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1EC" w:rsidRPr="009975CD" w:rsidRDefault="00DD7537" w:rsidP="00A431EC">
      <w:pPr>
        <w:widowControl w:val="0"/>
        <w:ind w:right="-760" w:hanging="567"/>
        <w:jc w:val="center"/>
        <w:outlineLvl w:val="0"/>
        <w:rPr>
          <w:b/>
          <w:sz w:val="22"/>
          <w:szCs w:val="22"/>
        </w:rPr>
      </w:pPr>
      <w:r>
        <w:rPr>
          <w:b/>
          <w:sz w:val="22"/>
          <w:szCs w:val="22"/>
        </w:rPr>
        <w:t>POLICY AND RESOURCES</w:t>
      </w:r>
      <w:r w:rsidR="00A431EC" w:rsidRPr="009975CD">
        <w:rPr>
          <w:b/>
          <w:sz w:val="22"/>
          <w:szCs w:val="22"/>
        </w:rPr>
        <w:t xml:space="preserve"> COMMITTEE </w:t>
      </w:r>
      <w:r w:rsidR="00A431EC" w:rsidRPr="00E20556">
        <w:rPr>
          <w:b/>
          <w:sz w:val="22"/>
          <w:szCs w:val="22"/>
        </w:rPr>
        <w:t>– 2</w:t>
      </w:r>
      <w:r w:rsidR="00E20556" w:rsidRPr="00E20556">
        <w:rPr>
          <w:b/>
          <w:sz w:val="22"/>
          <w:szCs w:val="22"/>
        </w:rPr>
        <w:t>9</w:t>
      </w:r>
      <w:r w:rsidR="00A431EC" w:rsidRPr="00E20556">
        <w:rPr>
          <w:b/>
          <w:sz w:val="22"/>
          <w:szCs w:val="22"/>
        </w:rPr>
        <w:t xml:space="preserve"> JANUARY </w:t>
      </w:r>
      <w:r w:rsidR="00E20556" w:rsidRPr="00E20556">
        <w:rPr>
          <w:b/>
          <w:sz w:val="22"/>
          <w:szCs w:val="22"/>
        </w:rPr>
        <w:t>2018</w:t>
      </w:r>
    </w:p>
    <w:p w:rsidR="00A431EC" w:rsidRPr="009975CD" w:rsidRDefault="00A431EC" w:rsidP="00A431EC">
      <w:pPr>
        <w:jc w:val="center"/>
      </w:pPr>
    </w:p>
    <w:p w:rsidR="00A431EC" w:rsidRPr="009975CD" w:rsidRDefault="00A431EC" w:rsidP="00A431EC">
      <w:pPr>
        <w:jc w:val="center"/>
        <w:rPr>
          <w:i/>
          <w:sz w:val="22"/>
          <w:szCs w:val="22"/>
        </w:rPr>
      </w:pPr>
      <w:r w:rsidRPr="009975CD">
        <w:rPr>
          <w:b/>
          <w:sz w:val="22"/>
          <w:szCs w:val="22"/>
        </w:rPr>
        <w:t xml:space="preserve">PART </w:t>
      </w:r>
      <w:r w:rsidRPr="009975CD">
        <w:rPr>
          <w:b/>
          <w:sz w:val="22"/>
          <w:szCs w:val="22"/>
        </w:rPr>
        <w:fldChar w:fldCharType="begin"/>
      </w:r>
      <w:r w:rsidRPr="009975CD">
        <w:rPr>
          <w:b/>
          <w:sz w:val="22"/>
          <w:szCs w:val="22"/>
        </w:rPr>
        <w:instrText xml:space="preserve">  </w:instrText>
      </w:r>
      <w:r w:rsidRPr="009975CD">
        <w:rPr>
          <w:b/>
          <w:sz w:val="22"/>
          <w:szCs w:val="22"/>
        </w:rPr>
        <w:fldChar w:fldCharType="end"/>
      </w:r>
      <w:r w:rsidRPr="009975CD">
        <w:rPr>
          <w:b/>
          <w:sz w:val="22"/>
          <w:szCs w:val="22"/>
        </w:rPr>
        <w:t>I -</w:t>
      </w:r>
      <w:r w:rsidRPr="009975CD">
        <w:rPr>
          <w:b/>
          <w:sz w:val="22"/>
          <w:szCs w:val="22"/>
        </w:rPr>
        <w:fldChar w:fldCharType="begin"/>
      </w:r>
      <w:r w:rsidRPr="009975CD">
        <w:rPr>
          <w:b/>
          <w:sz w:val="22"/>
          <w:szCs w:val="22"/>
        </w:rPr>
        <w:instrText xml:space="preserve">  </w:instrText>
      </w:r>
      <w:r w:rsidRPr="009975CD">
        <w:rPr>
          <w:b/>
          <w:sz w:val="22"/>
          <w:szCs w:val="22"/>
        </w:rPr>
        <w:fldChar w:fldCharType="end"/>
      </w:r>
      <w:r w:rsidRPr="009975CD">
        <w:rPr>
          <w:b/>
          <w:sz w:val="22"/>
          <w:szCs w:val="22"/>
        </w:rPr>
        <w:fldChar w:fldCharType="begin"/>
      </w:r>
      <w:r w:rsidRPr="009975CD">
        <w:rPr>
          <w:b/>
          <w:sz w:val="22"/>
          <w:szCs w:val="22"/>
        </w:rPr>
        <w:instrText xml:space="preserve">  </w:instrText>
      </w:r>
      <w:r w:rsidRPr="009975CD">
        <w:rPr>
          <w:b/>
          <w:sz w:val="22"/>
          <w:szCs w:val="22"/>
        </w:rPr>
        <w:fldChar w:fldCharType="end"/>
      </w:r>
      <w:r w:rsidRPr="009975CD">
        <w:rPr>
          <w:b/>
          <w:sz w:val="22"/>
          <w:szCs w:val="22"/>
        </w:rPr>
        <w:t xml:space="preserve"> NOT DELEGATED</w:t>
      </w:r>
    </w:p>
    <w:p w:rsidR="00A431EC" w:rsidRPr="009975CD" w:rsidRDefault="00A431EC" w:rsidP="00A431EC">
      <w:pPr>
        <w:jc w:val="center"/>
        <w:rPr>
          <w:i/>
          <w:sz w:val="22"/>
          <w:szCs w:val="22"/>
        </w:rPr>
      </w:pPr>
    </w:p>
    <w:p w:rsidR="00A431EC" w:rsidRPr="009975CD" w:rsidRDefault="004618D7" w:rsidP="0011004D">
      <w:pPr>
        <w:keepNext/>
        <w:ind w:left="851" w:hanging="851"/>
        <w:rPr>
          <w:i/>
          <w:sz w:val="22"/>
          <w:szCs w:val="22"/>
        </w:rPr>
      </w:pPr>
      <w:r>
        <w:rPr>
          <w:b/>
          <w:sz w:val="22"/>
          <w:szCs w:val="22"/>
        </w:rPr>
        <w:t>9</w:t>
      </w:r>
      <w:r w:rsidR="00A431EC" w:rsidRPr="0011004D">
        <w:rPr>
          <w:b/>
          <w:sz w:val="22"/>
          <w:szCs w:val="22"/>
        </w:rPr>
        <w:t>.</w:t>
      </w:r>
      <w:r w:rsidR="00A431EC" w:rsidRPr="009975CD">
        <w:rPr>
          <w:b/>
          <w:sz w:val="22"/>
          <w:szCs w:val="22"/>
        </w:rPr>
        <w:fldChar w:fldCharType="begin"/>
      </w:r>
      <w:r w:rsidR="00A431EC" w:rsidRPr="009975CD">
        <w:rPr>
          <w:b/>
          <w:sz w:val="22"/>
          <w:szCs w:val="22"/>
        </w:rPr>
        <w:instrText xml:space="preserve">  </w:instrText>
      </w:r>
      <w:r w:rsidR="00A431EC" w:rsidRPr="009975CD">
        <w:rPr>
          <w:b/>
          <w:sz w:val="22"/>
          <w:szCs w:val="22"/>
        </w:rPr>
        <w:fldChar w:fldCharType="end"/>
      </w:r>
      <w:r w:rsidR="00A431EC" w:rsidRPr="009975CD">
        <w:rPr>
          <w:b/>
          <w:sz w:val="22"/>
          <w:szCs w:val="22"/>
        </w:rPr>
        <w:tab/>
        <w:t>FINANCIAL PLANNING – REVENUE</w:t>
      </w:r>
      <w:r w:rsidR="00A431EC" w:rsidRPr="009975CD">
        <w:rPr>
          <w:b/>
          <w:sz w:val="22"/>
        </w:rPr>
        <w:t xml:space="preserve"> SERVICES</w:t>
      </w:r>
      <w:r w:rsidR="00A431EC" w:rsidRPr="009975CD">
        <w:rPr>
          <w:b/>
          <w:sz w:val="22"/>
          <w:szCs w:val="22"/>
        </w:rPr>
        <w:t xml:space="preserve"> </w:t>
      </w:r>
      <w:r w:rsidR="00A431EC" w:rsidRPr="009975CD">
        <w:rPr>
          <w:b/>
          <w:sz w:val="22"/>
          <w:szCs w:val="22"/>
        </w:rPr>
        <w:fldChar w:fldCharType="begin"/>
      </w:r>
      <w:r w:rsidR="00A431EC" w:rsidRPr="009975CD">
        <w:rPr>
          <w:b/>
          <w:sz w:val="22"/>
          <w:szCs w:val="22"/>
        </w:rPr>
        <w:instrText xml:space="preserve">  </w:instrText>
      </w:r>
      <w:r w:rsidR="00A431EC" w:rsidRPr="009975CD">
        <w:rPr>
          <w:b/>
          <w:sz w:val="22"/>
          <w:szCs w:val="22"/>
        </w:rPr>
        <w:fldChar w:fldCharType="end"/>
      </w:r>
    </w:p>
    <w:p w:rsidR="00A431EC" w:rsidRPr="00CF7499" w:rsidRDefault="00A431EC" w:rsidP="00A01C4C">
      <w:pPr>
        <w:keepNext/>
        <w:ind w:left="851" w:hanging="1267"/>
        <w:rPr>
          <w:i/>
          <w:color w:val="4F81BD" w:themeColor="accent1"/>
          <w:sz w:val="22"/>
          <w:szCs w:val="22"/>
        </w:rPr>
      </w:pPr>
      <w:r w:rsidRPr="00CF7499">
        <w:rPr>
          <w:b/>
          <w:color w:val="4F81BD" w:themeColor="accent1"/>
          <w:sz w:val="22"/>
          <w:szCs w:val="22"/>
        </w:rPr>
        <w:tab/>
      </w:r>
      <w:r w:rsidRPr="0074504B">
        <w:rPr>
          <w:sz w:val="22"/>
          <w:szCs w:val="22"/>
        </w:rPr>
        <w:t>(</w:t>
      </w:r>
      <w:proofErr w:type="spellStart"/>
      <w:r w:rsidRPr="0074504B">
        <w:rPr>
          <w:sz w:val="22"/>
          <w:szCs w:val="22"/>
        </w:rPr>
        <w:t>D</w:t>
      </w:r>
      <w:r w:rsidR="00E16A84">
        <w:rPr>
          <w:sz w:val="22"/>
          <w:szCs w:val="22"/>
        </w:rPr>
        <w:t>o</w:t>
      </w:r>
      <w:r w:rsidRPr="0074504B">
        <w:rPr>
          <w:sz w:val="22"/>
          <w:szCs w:val="22"/>
        </w:rPr>
        <w:t>F</w:t>
      </w:r>
      <w:proofErr w:type="spellEnd"/>
      <w:r w:rsidRPr="0074504B">
        <w:rPr>
          <w:sz w:val="22"/>
          <w:szCs w:val="22"/>
        </w:rPr>
        <w:fldChar w:fldCharType="begin"/>
      </w:r>
      <w:r w:rsidRPr="0074504B">
        <w:rPr>
          <w:sz w:val="22"/>
          <w:szCs w:val="22"/>
        </w:rPr>
        <w:instrText xml:space="preserve">  </w:instrText>
      </w:r>
      <w:r w:rsidRPr="0074504B">
        <w:rPr>
          <w:sz w:val="22"/>
          <w:szCs w:val="22"/>
        </w:rPr>
        <w:fldChar w:fldCharType="end"/>
      </w:r>
      <w:r w:rsidRPr="0074504B">
        <w:rPr>
          <w:sz w:val="22"/>
          <w:szCs w:val="22"/>
        </w:rPr>
        <w:t>)</w:t>
      </w:r>
      <w:r w:rsidRPr="00CF7499">
        <w:rPr>
          <w:b/>
          <w:i/>
          <w:color w:val="4F81BD" w:themeColor="accent1"/>
          <w:sz w:val="22"/>
          <w:szCs w:val="22"/>
        </w:rPr>
        <w:fldChar w:fldCharType="begin"/>
      </w:r>
      <w:r w:rsidRPr="00CF7499">
        <w:rPr>
          <w:b/>
          <w:i/>
          <w:color w:val="4F81BD" w:themeColor="accent1"/>
          <w:sz w:val="22"/>
          <w:szCs w:val="22"/>
        </w:rPr>
        <w:instrText xml:space="preserve">  </w:instrText>
      </w:r>
      <w:r w:rsidRPr="00CF7499">
        <w:rPr>
          <w:b/>
          <w:i/>
          <w:color w:val="4F81BD" w:themeColor="accent1"/>
          <w:sz w:val="22"/>
          <w:szCs w:val="22"/>
        </w:rPr>
        <w:fldChar w:fldCharType="end"/>
      </w:r>
      <w:r w:rsidRPr="00CF7499">
        <w:rPr>
          <w:b/>
          <w:i/>
          <w:color w:val="4F81BD" w:themeColor="accent1"/>
          <w:sz w:val="22"/>
          <w:szCs w:val="22"/>
        </w:rPr>
        <w:fldChar w:fldCharType="begin"/>
      </w:r>
      <w:r w:rsidRPr="00CF7499">
        <w:rPr>
          <w:b/>
          <w:i/>
          <w:color w:val="4F81BD" w:themeColor="accent1"/>
          <w:sz w:val="22"/>
          <w:szCs w:val="22"/>
        </w:rPr>
        <w:instrText xml:space="preserve">  </w:instrText>
      </w:r>
      <w:r w:rsidRPr="00CF7499">
        <w:rPr>
          <w:b/>
          <w:i/>
          <w:color w:val="4F81BD" w:themeColor="accent1"/>
          <w:sz w:val="22"/>
          <w:szCs w:val="22"/>
        </w:rPr>
        <w:fldChar w:fldCharType="end"/>
      </w:r>
    </w:p>
    <w:p w:rsidR="00B67F70" w:rsidRPr="00CF7499" w:rsidRDefault="00B67F70" w:rsidP="00B67F70">
      <w:pPr>
        <w:jc w:val="both"/>
        <w:rPr>
          <w:rFonts w:cs="Arial"/>
          <w:color w:val="4F81BD" w:themeColor="accent1"/>
          <w:sz w:val="22"/>
          <w:szCs w:val="22"/>
        </w:rPr>
      </w:pPr>
    </w:p>
    <w:tbl>
      <w:tblPr>
        <w:tblStyle w:val="TableColumns3"/>
        <w:tblW w:w="10065" w:type="dxa"/>
        <w:tblInd w:w="-34" w:type="dxa"/>
        <w:tblBorders>
          <w:top w:val="none" w:sz="0" w:space="0" w:color="auto"/>
          <w:left w:val="none" w:sz="0" w:space="0" w:color="auto"/>
          <w:bottom w:val="none" w:sz="0" w:space="0" w:color="auto"/>
          <w:right w:val="none" w:sz="0" w:space="0" w:color="auto"/>
          <w:insideV w:val="none" w:sz="0" w:space="0" w:color="auto"/>
        </w:tblBorders>
        <w:tblLayout w:type="fixed"/>
        <w:tblLook w:val="01E0" w:firstRow="1" w:lastRow="1" w:firstColumn="1" w:lastColumn="1" w:noHBand="0" w:noVBand="0"/>
      </w:tblPr>
      <w:tblGrid>
        <w:gridCol w:w="34"/>
        <w:gridCol w:w="959"/>
        <w:gridCol w:w="9072"/>
      </w:tblGrid>
      <w:tr w:rsidR="00CF7499" w:rsidRPr="00CF7499" w:rsidTr="002D171E">
        <w:trPr>
          <w:gridBefore w:val="1"/>
          <w:cnfStyle w:val="100000000000" w:firstRow="1" w:lastRow="0" w:firstColumn="0" w:lastColumn="0" w:oddVBand="0" w:evenVBand="0" w:oddHBand="0" w:evenHBand="0" w:firstRowFirstColumn="0" w:firstRowLastColumn="0" w:lastRowFirstColumn="0" w:lastRowLastColumn="0"/>
          <w:wBefore w:w="34" w:type="dxa"/>
        </w:trPr>
        <w:tc>
          <w:tcPr>
            <w:cnfStyle w:val="001000000000" w:firstRow="0" w:lastRow="0" w:firstColumn="1" w:lastColumn="0" w:oddVBand="0" w:evenVBand="0" w:oddHBand="0" w:evenHBand="0" w:firstRowFirstColumn="0" w:firstRowLastColumn="0" w:lastRowFirstColumn="0" w:lastRowLastColumn="0"/>
            <w:tcW w:w="959" w:type="dxa"/>
            <w:shd w:val="clear" w:color="auto" w:fill="auto"/>
          </w:tcPr>
          <w:p w:rsidR="00B67F70" w:rsidRPr="007C1C6B" w:rsidRDefault="00B67F70" w:rsidP="00C80E97">
            <w:pPr>
              <w:jc w:val="both"/>
              <w:rPr>
                <w:rFonts w:cs="Arial"/>
                <w:color w:val="auto"/>
                <w:sz w:val="22"/>
                <w:szCs w:val="22"/>
              </w:rPr>
            </w:pPr>
            <w:r w:rsidRPr="007C1C6B">
              <w:rPr>
                <w:rFonts w:cs="Arial"/>
                <w:color w:val="auto"/>
                <w:sz w:val="22"/>
                <w:szCs w:val="22"/>
              </w:rPr>
              <w:t>1.</w:t>
            </w:r>
          </w:p>
        </w:tc>
        <w:tc>
          <w:tcPr>
            <w:cnfStyle w:val="000100001000" w:firstRow="0" w:lastRow="0" w:firstColumn="0" w:lastColumn="1" w:oddVBand="0" w:evenVBand="0" w:oddHBand="0" w:evenHBand="0" w:firstRowFirstColumn="0" w:firstRowLastColumn="1" w:lastRowFirstColumn="0" w:lastRowLastColumn="0"/>
            <w:tcW w:w="9072" w:type="dxa"/>
            <w:shd w:val="clear" w:color="auto" w:fill="auto"/>
          </w:tcPr>
          <w:p w:rsidR="00A431EC" w:rsidRPr="007C1C6B" w:rsidRDefault="00A431EC" w:rsidP="00A431EC">
            <w:pPr>
              <w:keepNext/>
              <w:ind w:left="1267" w:hanging="1267"/>
              <w:jc w:val="both"/>
              <w:rPr>
                <w:color w:val="auto"/>
                <w:sz w:val="22"/>
                <w:szCs w:val="22"/>
              </w:rPr>
            </w:pPr>
            <w:r w:rsidRPr="007C1C6B">
              <w:rPr>
                <w:color w:val="auto"/>
                <w:sz w:val="22"/>
                <w:szCs w:val="22"/>
              </w:rPr>
              <w:t>Summary</w:t>
            </w:r>
          </w:p>
          <w:p w:rsidR="00B67F70" w:rsidRPr="007C1C6B" w:rsidRDefault="00B67F70" w:rsidP="00C80E97">
            <w:pPr>
              <w:jc w:val="both"/>
              <w:rPr>
                <w:rFonts w:cs="Arial"/>
                <w:b w:val="0"/>
                <w:color w:val="auto"/>
                <w:sz w:val="22"/>
                <w:szCs w:val="22"/>
              </w:rPr>
            </w:pPr>
          </w:p>
        </w:tc>
      </w:tr>
      <w:tr w:rsidR="00CF7499" w:rsidRPr="00CF7499" w:rsidTr="002D171E">
        <w:trPr>
          <w:gridBefore w:val="1"/>
          <w:wBefore w:w="34" w:type="dxa"/>
          <w:trHeight w:val="767"/>
        </w:trPr>
        <w:tc>
          <w:tcPr>
            <w:cnfStyle w:val="001000000000" w:firstRow="0" w:lastRow="0" w:firstColumn="1" w:lastColumn="0" w:oddVBand="0" w:evenVBand="0" w:oddHBand="0" w:evenHBand="0" w:firstRowFirstColumn="0" w:firstRowLastColumn="0" w:lastRowFirstColumn="0" w:lastRowLastColumn="0"/>
            <w:tcW w:w="959" w:type="dxa"/>
          </w:tcPr>
          <w:p w:rsidR="00B67F70" w:rsidRPr="007C1C6B" w:rsidRDefault="00B67F70" w:rsidP="00C80E97">
            <w:pPr>
              <w:rPr>
                <w:rFonts w:cs="Arial"/>
                <w:sz w:val="22"/>
                <w:szCs w:val="22"/>
              </w:rPr>
            </w:pPr>
            <w:r w:rsidRPr="007C1C6B">
              <w:rPr>
                <w:rFonts w:cs="Arial"/>
                <w:sz w:val="22"/>
                <w:szCs w:val="22"/>
              </w:rPr>
              <w:t>1.1</w:t>
            </w:r>
          </w:p>
        </w:tc>
        <w:tc>
          <w:tcPr>
            <w:cnfStyle w:val="000100000000" w:firstRow="0" w:lastRow="0" w:firstColumn="0" w:lastColumn="1" w:oddVBand="0" w:evenVBand="0" w:oddHBand="0" w:evenHBand="0" w:firstRowFirstColumn="0" w:firstRowLastColumn="0" w:lastRowFirstColumn="0" w:lastRowLastColumn="0"/>
            <w:tcW w:w="9072" w:type="dxa"/>
          </w:tcPr>
          <w:p w:rsidR="00B67F70" w:rsidRDefault="00A431EC" w:rsidP="00A76366">
            <w:pPr>
              <w:ind w:left="34"/>
              <w:jc w:val="both"/>
              <w:rPr>
                <w:sz w:val="22"/>
                <w:szCs w:val="22"/>
              </w:rPr>
            </w:pPr>
            <w:r w:rsidRPr="007C1C6B">
              <w:rPr>
                <w:sz w:val="22"/>
                <w:szCs w:val="22"/>
              </w:rPr>
              <w:t xml:space="preserve">The purpose of this report is to enable the </w:t>
            </w:r>
            <w:r w:rsidR="00DD7537" w:rsidRPr="007C1C6B">
              <w:rPr>
                <w:sz w:val="22"/>
                <w:szCs w:val="22"/>
              </w:rPr>
              <w:t>Policy and Resources</w:t>
            </w:r>
            <w:r w:rsidRPr="007C1C6B">
              <w:rPr>
                <w:sz w:val="22"/>
                <w:szCs w:val="22"/>
              </w:rPr>
              <w:t xml:space="preserve"> Committee to recommend to the Council the medium term revenue budget</w:t>
            </w:r>
            <w:r w:rsidR="00E038A0" w:rsidRPr="007C1C6B">
              <w:rPr>
                <w:sz w:val="22"/>
                <w:szCs w:val="22"/>
              </w:rPr>
              <w:t>s</w:t>
            </w:r>
            <w:r w:rsidRPr="007C1C6B">
              <w:rPr>
                <w:sz w:val="22"/>
                <w:szCs w:val="22"/>
              </w:rPr>
              <w:t xml:space="preserve">. </w:t>
            </w:r>
            <w:r w:rsidR="004D6E45">
              <w:rPr>
                <w:sz w:val="22"/>
                <w:szCs w:val="22"/>
              </w:rPr>
              <w:t xml:space="preserve"> This report is </w:t>
            </w:r>
            <w:r w:rsidR="00A76366">
              <w:rPr>
                <w:sz w:val="22"/>
                <w:szCs w:val="22"/>
              </w:rPr>
              <w:t>the first</w:t>
            </w:r>
            <w:r w:rsidR="004D6E45">
              <w:rPr>
                <w:sz w:val="22"/>
                <w:szCs w:val="22"/>
              </w:rPr>
              <w:t xml:space="preserve"> of three that </w:t>
            </w:r>
            <w:r w:rsidR="00422FFA">
              <w:rPr>
                <w:sz w:val="22"/>
                <w:szCs w:val="22"/>
              </w:rPr>
              <w:t>are</w:t>
            </w:r>
            <w:r w:rsidR="004D6E45">
              <w:rPr>
                <w:sz w:val="22"/>
                <w:szCs w:val="22"/>
              </w:rPr>
              <w:t xml:space="preserve"> </w:t>
            </w:r>
            <w:r w:rsidR="00422FFA">
              <w:rPr>
                <w:sz w:val="22"/>
                <w:szCs w:val="22"/>
              </w:rPr>
              <w:t xml:space="preserve">covered </w:t>
            </w:r>
            <w:r w:rsidR="004D6E45">
              <w:rPr>
                <w:sz w:val="22"/>
                <w:szCs w:val="22"/>
              </w:rPr>
              <w:t xml:space="preserve">together under the recommendations report at </w:t>
            </w:r>
            <w:r w:rsidR="004D6E45" w:rsidRPr="0011004D">
              <w:rPr>
                <w:sz w:val="22"/>
                <w:szCs w:val="22"/>
              </w:rPr>
              <w:t xml:space="preserve">Item </w:t>
            </w:r>
            <w:r w:rsidR="00FF48D6" w:rsidRPr="005F65E4">
              <w:rPr>
                <w:sz w:val="22"/>
                <w:szCs w:val="22"/>
              </w:rPr>
              <w:t>11</w:t>
            </w:r>
            <w:r w:rsidR="0074504B">
              <w:rPr>
                <w:sz w:val="22"/>
                <w:szCs w:val="22"/>
              </w:rPr>
              <w:t xml:space="preserve"> on this agenda</w:t>
            </w:r>
            <w:r w:rsidR="004D6E45">
              <w:rPr>
                <w:sz w:val="22"/>
                <w:szCs w:val="22"/>
              </w:rPr>
              <w:t>.</w:t>
            </w:r>
          </w:p>
          <w:p w:rsidR="00522A9C" w:rsidRPr="007C1C6B" w:rsidRDefault="00522A9C" w:rsidP="00A76366">
            <w:pPr>
              <w:ind w:left="34"/>
              <w:jc w:val="both"/>
              <w:rPr>
                <w:rFonts w:cs="Arial"/>
                <w:i/>
                <w:sz w:val="22"/>
                <w:szCs w:val="22"/>
              </w:rPr>
            </w:pPr>
          </w:p>
        </w:tc>
      </w:tr>
      <w:tr w:rsidR="00CF7499" w:rsidRPr="00CF7499" w:rsidTr="002D171E">
        <w:trPr>
          <w:gridBefore w:val="1"/>
          <w:wBefore w:w="34" w:type="dxa"/>
          <w:trHeight w:val="282"/>
        </w:trPr>
        <w:tc>
          <w:tcPr>
            <w:cnfStyle w:val="001000000000" w:firstRow="0" w:lastRow="0" w:firstColumn="1" w:lastColumn="0" w:oddVBand="0" w:evenVBand="0" w:oddHBand="0" w:evenHBand="0" w:firstRowFirstColumn="0" w:firstRowLastColumn="0" w:lastRowFirstColumn="0" w:lastRowLastColumn="0"/>
            <w:tcW w:w="959" w:type="dxa"/>
          </w:tcPr>
          <w:p w:rsidR="00B67F70" w:rsidRPr="007C1C6B" w:rsidRDefault="00B67F70" w:rsidP="00C80E97">
            <w:pPr>
              <w:jc w:val="both"/>
              <w:rPr>
                <w:rFonts w:cs="Arial"/>
                <w:sz w:val="22"/>
                <w:szCs w:val="22"/>
              </w:rPr>
            </w:pPr>
            <w:r w:rsidRPr="007C1C6B">
              <w:rPr>
                <w:rFonts w:cs="Arial"/>
                <w:sz w:val="22"/>
                <w:szCs w:val="22"/>
              </w:rPr>
              <w:t>2.</w:t>
            </w:r>
          </w:p>
        </w:tc>
        <w:tc>
          <w:tcPr>
            <w:cnfStyle w:val="000100000000" w:firstRow="0" w:lastRow="0" w:firstColumn="0" w:lastColumn="1" w:oddVBand="0" w:evenVBand="0" w:oddHBand="0" w:evenHBand="0" w:firstRowFirstColumn="0" w:firstRowLastColumn="0" w:lastRowFirstColumn="0" w:lastRowLastColumn="0"/>
            <w:tcW w:w="9072" w:type="dxa"/>
          </w:tcPr>
          <w:p w:rsidR="006F1EEE" w:rsidRPr="007C1C6B" w:rsidRDefault="00A431EC" w:rsidP="00A431EC">
            <w:pPr>
              <w:jc w:val="both"/>
              <w:rPr>
                <w:rFonts w:cs="Arial"/>
                <w:b/>
                <w:sz w:val="22"/>
                <w:szCs w:val="22"/>
              </w:rPr>
            </w:pPr>
            <w:r w:rsidRPr="007C1C6B">
              <w:rPr>
                <w:rFonts w:cs="Arial"/>
                <w:b/>
                <w:sz w:val="22"/>
                <w:szCs w:val="22"/>
              </w:rPr>
              <w:t>Details</w:t>
            </w:r>
          </w:p>
          <w:p w:rsidR="00A431EC" w:rsidRPr="007C1C6B" w:rsidRDefault="00A431EC" w:rsidP="00A431EC">
            <w:pPr>
              <w:jc w:val="both"/>
              <w:rPr>
                <w:rFonts w:cs="Arial"/>
                <w:b/>
                <w:sz w:val="22"/>
                <w:szCs w:val="22"/>
              </w:rPr>
            </w:pPr>
          </w:p>
        </w:tc>
      </w:tr>
      <w:tr w:rsidR="005E6727" w:rsidRPr="00CF7499" w:rsidTr="002D171E">
        <w:trPr>
          <w:gridBefore w:val="1"/>
          <w:wBefore w:w="34" w:type="dxa"/>
          <w:trHeight w:val="1013"/>
        </w:trPr>
        <w:tc>
          <w:tcPr>
            <w:cnfStyle w:val="001000000000" w:firstRow="0" w:lastRow="0" w:firstColumn="1" w:lastColumn="0" w:oddVBand="0" w:evenVBand="0" w:oddHBand="0" w:evenHBand="0" w:firstRowFirstColumn="0" w:firstRowLastColumn="0" w:lastRowFirstColumn="0" w:lastRowLastColumn="0"/>
            <w:tcW w:w="959" w:type="dxa"/>
          </w:tcPr>
          <w:p w:rsidR="005E6727" w:rsidRDefault="005E6727" w:rsidP="005E6727">
            <w:pPr>
              <w:jc w:val="both"/>
              <w:rPr>
                <w:rFonts w:cs="Arial"/>
                <w:sz w:val="22"/>
                <w:szCs w:val="22"/>
              </w:rPr>
            </w:pPr>
            <w:r w:rsidRPr="007C1C6B">
              <w:rPr>
                <w:rFonts w:cs="Arial"/>
                <w:sz w:val="22"/>
                <w:szCs w:val="22"/>
              </w:rPr>
              <w:t>2.1</w:t>
            </w:r>
          </w:p>
          <w:p w:rsidR="005E6727" w:rsidRPr="007C1C6B" w:rsidRDefault="005E6727" w:rsidP="00C80E97">
            <w:pPr>
              <w:jc w:val="both"/>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5E6727" w:rsidRPr="007C1C6B" w:rsidRDefault="005E6727" w:rsidP="006A256F">
            <w:pPr>
              <w:tabs>
                <w:tab w:val="left" w:pos="360"/>
                <w:tab w:val="left" w:pos="900"/>
              </w:tabs>
              <w:jc w:val="both"/>
              <w:rPr>
                <w:rFonts w:cs="Arial"/>
                <w:sz w:val="22"/>
                <w:szCs w:val="22"/>
              </w:rPr>
            </w:pPr>
            <w:r w:rsidRPr="007C1C6B">
              <w:rPr>
                <w:rFonts w:cs="Arial"/>
                <w:sz w:val="22"/>
                <w:szCs w:val="22"/>
              </w:rPr>
              <w:t>Officers have prepared</w:t>
            </w:r>
            <w:r w:rsidR="000D543E">
              <w:rPr>
                <w:rFonts w:cs="Arial"/>
                <w:sz w:val="22"/>
                <w:szCs w:val="22"/>
              </w:rPr>
              <w:t xml:space="preserve"> a</w:t>
            </w:r>
            <w:r w:rsidR="000D543E" w:rsidRPr="007C1C6B">
              <w:rPr>
                <w:rFonts w:cs="Arial"/>
                <w:sz w:val="22"/>
                <w:szCs w:val="22"/>
              </w:rPr>
              <w:t xml:space="preserve"> three-year Medium Term Financial Plan (MTFP) </w:t>
            </w:r>
            <w:r w:rsidR="000D543E">
              <w:rPr>
                <w:rFonts w:cs="Arial"/>
                <w:sz w:val="22"/>
                <w:szCs w:val="22"/>
              </w:rPr>
              <w:t xml:space="preserve">base budget </w:t>
            </w:r>
            <w:r w:rsidR="000D543E" w:rsidRPr="007C1C6B">
              <w:rPr>
                <w:rFonts w:cs="Arial"/>
                <w:sz w:val="22"/>
                <w:szCs w:val="22"/>
              </w:rPr>
              <w:t xml:space="preserve">for </w:t>
            </w:r>
            <w:r w:rsidR="00E20556" w:rsidRPr="00BF40B4">
              <w:rPr>
                <w:rFonts w:cs="Arial"/>
                <w:sz w:val="22"/>
                <w:szCs w:val="22"/>
              </w:rPr>
              <w:t>2018</w:t>
            </w:r>
            <w:r w:rsidR="00584D3D" w:rsidRPr="00BF40B4">
              <w:rPr>
                <w:rFonts w:cs="Arial"/>
                <w:sz w:val="22"/>
                <w:szCs w:val="22"/>
              </w:rPr>
              <w:t xml:space="preserve"> </w:t>
            </w:r>
            <w:r w:rsidR="00E20556" w:rsidRPr="00BF40B4">
              <w:rPr>
                <w:rFonts w:cs="Arial"/>
                <w:sz w:val="22"/>
                <w:szCs w:val="22"/>
              </w:rPr>
              <w:t>–</w:t>
            </w:r>
            <w:r w:rsidR="00584D3D" w:rsidRPr="00BF40B4">
              <w:rPr>
                <w:rFonts w:cs="Arial"/>
                <w:sz w:val="22"/>
                <w:szCs w:val="22"/>
              </w:rPr>
              <w:t xml:space="preserve"> </w:t>
            </w:r>
            <w:r w:rsidR="00E20556" w:rsidRPr="00BF40B4">
              <w:rPr>
                <w:rFonts w:cs="Arial"/>
                <w:sz w:val="22"/>
                <w:szCs w:val="22"/>
              </w:rPr>
              <w:t>2021</w:t>
            </w:r>
            <w:r w:rsidR="000D543E">
              <w:rPr>
                <w:rFonts w:cs="Arial"/>
                <w:sz w:val="22"/>
                <w:szCs w:val="22"/>
              </w:rPr>
              <w:t xml:space="preserve"> </w:t>
            </w:r>
            <w:r w:rsidR="000D543E" w:rsidRPr="007C1C6B">
              <w:rPr>
                <w:rFonts w:cs="Arial"/>
                <w:sz w:val="22"/>
                <w:szCs w:val="22"/>
              </w:rPr>
              <w:t>which includes a revised estimate for the current year</w:t>
            </w:r>
            <w:r w:rsidR="000D543E">
              <w:rPr>
                <w:rFonts w:cs="Arial"/>
                <w:sz w:val="22"/>
                <w:szCs w:val="22"/>
              </w:rPr>
              <w:t xml:space="preserve">. </w:t>
            </w:r>
            <w:r w:rsidR="00522A9C">
              <w:rPr>
                <w:rFonts w:cs="Arial"/>
                <w:sz w:val="22"/>
                <w:szCs w:val="22"/>
              </w:rPr>
              <w:t xml:space="preserve"> </w:t>
            </w:r>
            <w:r w:rsidR="000D543E">
              <w:rPr>
                <w:rFonts w:cs="Arial"/>
                <w:sz w:val="22"/>
                <w:szCs w:val="22"/>
              </w:rPr>
              <w:t xml:space="preserve">This is attached at </w:t>
            </w:r>
            <w:r w:rsidRPr="003A11F0">
              <w:rPr>
                <w:rFonts w:cs="Arial"/>
                <w:b/>
                <w:sz w:val="22"/>
                <w:szCs w:val="22"/>
              </w:rPr>
              <w:t>Appendix 1</w:t>
            </w:r>
            <w:r w:rsidR="000D543E" w:rsidRPr="003A11F0">
              <w:rPr>
                <w:rFonts w:cs="Arial"/>
                <w:b/>
                <w:sz w:val="22"/>
                <w:szCs w:val="22"/>
              </w:rPr>
              <w:t>.</w:t>
            </w:r>
            <w:r w:rsidRPr="007C1C6B">
              <w:rPr>
                <w:rFonts w:cs="Arial"/>
                <w:sz w:val="22"/>
                <w:szCs w:val="22"/>
              </w:rPr>
              <w:t xml:space="preserve"> </w:t>
            </w:r>
            <w:r w:rsidR="00522A9C">
              <w:rPr>
                <w:rFonts w:cs="Arial"/>
                <w:sz w:val="22"/>
                <w:szCs w:val="22"/>
              </w:rPr>
              <w:t xml:space="preserve"> </w:t>
            </w:r>
          </w:p>
        </w:tc>
      </w:tr>
      <w:tr w:rsidR="005E6727" w:rsidRPr="00CF7499" w:rsidTr="002D171E">
        <w:trPr>
          <w:gridBefore w:val="1"/>
          <w:wBefore w:w="34" w:type="dxa"/>
          <w:trHeight w:val="1013"/>
        </w:trPr>
        <w:tc>
          <w:tcPr>
            <w:cnfStyle w:val="001000000000" w:firstRow="0" w:lastRow="0" w:firstColumn="1" w:lastColumn="0" w:oddVBand="0" w:evenVBand="0" w:oddHBand="0" w:evenHBand="0" w:firstRowFirstColumn="0" w:firstRowLastColumn="0" w:lastRowFirstColumn="0" w:lastRowLastColumn="0"/>
            <w:tcW w:w="959" w:type="dxa"/>
          </w:tcPr>
          <w:p w:rsidR="005E6727" w:rsidRPr="007C1C6B" w:rsidRDefault="005E6727" w:rsidP="005E6727">
            <w:pPr>
              <w:jc w:val="both"/>
              <w:rPr>
                <w:rFonts w:cs="Arial"/>
                <w:sz w:val="22"/>
                <w:szCs w:val="22"/>
              </w:rPr>
            </w:pPr>
            <w:r>
              <w:rPr>
                <w:rFonts w:cs="Arial"/>
                <w:sz w:val="22"/>
                <w:szCs w:val="22"/>
              </w:rPr>
              <w:t>2.2</w:t>
            </w:r>
          </w:p>
          <w:p w:rsidR="005E6727" w:rsidRDefault="005E6727" w:rsidP="00C80E97">
            <w:pPr>
              <w:jc w:val="both"/>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5E6727" w:rsidRPr="005E6727" w:rsidRDefault="00E20556" w:rsidP="005E6727">
            <w:pPr>
              <w:tabs>
                <w:tab w:val="left" w:pos="360"/>
                <w:tab w:val="left" w:pos="900"/>
              </w:tabs>
              <w:jc w:val="both"/>
              <w:rPr>
                <w:rFonts w:cs="Arial"/>
                <w:b/>
                <w:i/>
                <w:sz w:val="22"/>
                <w:szCs w:val="22"/>
                <w:u w:val="single"/>
              </w:rPr>
            </w:pPr>
            <w:r>
              <w:rPr>
                <w:rFonts w:cs="Arial"/>
                <w:b/>
                <w:i/>
                <w:sz w:val="22"/>
                <w:szCs w:val="22"/>
                <w:u w:val="single"/>
              </w:rPr>
              <w:t>2017/18</w:t>
            </w:r>
          </w:p>
          <w:p w:rsidR="005E6727" w:rsidRDefault="005E6727" w:rsidP="005E6727">
            <w:pPr>
              <w:tabs>
                <w:tab w:val="left" w:pos="360"/>
                <w:tab w:val="left" w:pos="900"/>
              </w:tabs>
              <w:jc w:val="both"/>
              <w:rPr>
                <w:rFonts w:cs="Arial"/>
                <w:b/>
                <w:i/>
                <w:sz w:val="22"/>
                <w:szCs w:val="22"/>
              </w:rPr>
            </w:pPr>
          </w:p>
          <w:p w:rsidR="005E6727" w:rsidRPr="005E6727" w:rsidRDefault="005E6727" w:rsidP="005E6727">
            <w:pPr>
              <w:tabs>
                <w:tab w:val="left" w:pos="360"/>
                <w:tab w:val="left" w:pos="900"/>
              </w:tabs>
              <w:jc w:val="both"/>
              <w:rPr>
                <w:rFonts w:cs="Arial"/>
                <w:b/>
                <w:i/>
                <w:sz w:val="22"/>
                <w:szCs w:val="22"/>
              </w:rPr>
            </w:pPr>
            <w:r w:rsidRPr="00621D45">
              <w:rPr>
                <w:sz w:val="22"/>
                <w:lang w:eastAsia="en-GB"/>
              </w:rPr>
              <w:t xml:space="preserve">The original net revenue budget for </w:t>
            </w:r>
            <w:r w:rsidR="00E20556" w:rsidRPr="00621D45">
              <w:rPr>
                <w:sz w:val="22"/>
                <w:lang w:eastAsia="en-GB"/>
              </w:rPr>
              <w:t>2017/18</w:t>
            </w:r>
            <w:r w:rsidRPr="00621D45">
              <w:rPr>
                <w:sz w:val="22"/>
                <w:lang w:eastAsia="en-GB"/>
              </w:rPr>
              <w:t xml:space="preserve"> was </w:t>
            </w:r>
            <w:r w:rsidRPr="00621D45">
              <w:rPr>
                <w:b/>
                <w:sz w:val="22"/>
                <w:lang w:eastAsia="en-GB"/>
              </w:rPr>
              <w:t>£</w:t>
            </w:r>
            <w:r w:rsidR="0087734D" w:rsidRPr="00621D45">
              <w:rPr>
                <w:b/>
                <w:sz w:val="22"/>
                <w:lang w:eastAsia="en-GB"/>
              </w:rPr>
              <w:t xml:space="preserve">10.538 </w:t>
            </w:r>
            <w:r w:rsidRPr="00621D45">
              <w:rPr>
                <w:b/>
                <w:sz w:val="22"/>
                <w:lang w:eastAsia="en-GB"/>
              </w:rPr>
              <w:t>million</w:t>
            </w:r>
            <w:r w:rsidRPr="00621D45">
              <w:rPr>
                <w:sz w:val="22"/>
                <w:lang w:eastAsia="en-GB"/>
              </w:rPr>
              <w:t xml:space="preserve">. The latest approved budget is </w:t>
            </w:r>
            <w:r w:rsidR="00E20556" w:rsidRPr="00945BE7">
              <w:rPr>
                <w:b/>
                <w:sz w:val="22"/>
                <w:lang w:eastAsia="en-GB"/>
              </w:rPr>
              <w:t>£</w:t>
            </w:r>
            <w:r w:rsidR="0087734D" w:rsidRPr="00945BE7">
              <w:rPr>
                <w:b/>
                <w:sz w:val="22"/>
                <w:lang w:eastAsia="en-GB"/>
              </w:rPr>
              <w:t>11.062</w:t>
            </w:r>
            <w:r w:rsidR="00945BE7" w:rsidRPr="00945BE7">
              <w:rPr>
                <w:b/>
                <w:sz w:val="22"/>
                <w:lang w:eastAsia="en-GB"/>
              </w:rPr>
              <w:t xml:space="preserve"> </w:t>
            </w:r>
            <w:r w:rsidRPr="00945BE7">
              <w:rPr>
                <w:b/>
                <w:sz w:val="22"/>
                <w:lang w:eastAsia="en-GB"/>
              </w:rPr>
              <w:t xml:space="preserve">million </w:t>
            </w:r>
            <w:r w:rsidRPr="00621D45">
              <w:rPr>
                <w:sz w:val="22"/>
                <w:lang w:eastAsia="en-GB"/>
              </w:rPr>
              <w:t xml:space="preserve">(approved by Council on </w:t>
            </w:r>
            <w:r w:rsidR="00A90113" w:rsidRPr="00621D45">
              <w:rPr>
                <w:sz w:val="22"/>
                <w:lang w:eastAsia="en-GB"/>
              </w:rPr>
              <w:t>12 December 2017</w:t>
            </w:r>
            <w:r w:rsidRPr="00621D45">
              <w:rPr>
                <w:sz w:val="22"/>
                <w:lang w:eastAsia="en-GB"/>
              </w:rPr>
              <w:t>); the table below shows the approved changes to date and the variances reported for this period</w:t>
            </w:r>
            <w:r w:rsidR="005F65E4">
              <w:rPr>
                <w:sz w:val="22"/>
                <w:lang w:eastAsia="en-GB"/>
              </w:rPr>
              <w:t xml:space="preserve"> (end of November)</w:t>
            </w:r>
            <w:r w:rsidRPr="00621D45">
              <w:rPr>
                <w:sz w:val="22"/>
                <w:lang w:eastAsia="en-GB"/>
              </w:rPr>
              <w:t xml:space="preserve"> to give a </w:t>
            </w:r>
            <w:r w:rsidR="005F65E4">
              <w:rPr>
                <w:sz w:val="22"/>
                <w:lang w:eastAsia="en-GB"/>
              </w:rPr>
              <w:t>forecast outturn position</w:t>
            </w:r>
            <w:r w:rsidRPr="00621D45">
              <w:rPr>
                <w:sz w:val="22"/>
                <w:lang w:eastAsia="en-GB"/>
              </w:rPr>
              <w:t xml:space="preserve"> of </w:t>
            </w:r>
            <w:r w:rsidRPr="00621D45">
              <w:rPr>
                <w:b/>
                <w:sz w:val="22"/>
                <w:lang w:eastAsia="en-GB"/>
              </w:rPr>
              <w:t>£</w:t>
            </w:r>
            <w:r w:rsidR="00621D45" w:rsidRPr="00621D45">
              <w:rPr>
                <w:b/>
                <w:sz w:val="22"/>
                <w:lang w:eastAsia="en-GB"/>
              </w:rPr>
              <w:t>10</w:t>
            </w:r>
            <w:r w:rsidR="00621D45">
              <w:rPr>
                <w:b/>
                <w:sz w:val="22"/>
                <w:lang w:eastAsia="en-GB"/>
              </w:rPr>
              <w:t>.</w:t>
            </w:r>
            <w:r w:rsidR="00621D45" w:rsidRPr="00621D45">
              <w:rPr>
                <w:b/>
                <w:sz w:val="22"/>
                <w:lang w:eastAsia="en-GB"/>
              </w:rPr>
              <w:t>75</w:t>
            </w:r>
            <w:r w:rsidR="00701DAC">
              <w:rPr>
                <w:b/>
                <w:sz w:val="22"/>
                <w:lang w:eastAsia="en-GB"/>
              </w:rPr>
              <w:t>0</w:t>
            </w:r>
            <w:r w:rsidRPr="00621D45">
              <w:rPr>
                <w:b/>
                <w:sz w:val="22"/>
                <w:lang w:eastAsia="en-GB"/>
              </w:rPr>
              <w:t>million</w:t>
            </w:r>
            <w:r w:rsidRPr="00621D45">
              <w:rPr>
                <w:sz w:val="22"/>
                <w:lang w:eastAsia="en-GB"/>
              </w:rPr>
              <w:t>.</w:t>
            </w:r>
            <w:r w:rsidRPr="00BF159E">
              <w:rPr>
                <w:sz w:val="22"/>
                <w:lang w:eastAsia="en-GB"/>
              </w:rPr>
              <w:t xml:space="preserve">   </w:t>
            </w:r>
          </w:p>
          <w:p w:rsidR="005E6727" w:rsidRPr="00BF159E" w:rsidRDefault="005E6727" w:rsidP="005E6727">
            <w:pPr>
              <w:tabs>
                <w:tab w:val="left" w:pos="1260"/>
                <w:tab w:val="left" w:pos="1980"/>
                <w:tab w:val="left" w:pos="2700"/>
                <w:tab w:val="left" w:pos="3420"/>
              </w:tabs>
              <w:ind w:left="1267" w:hanging="1267"/>
              <w:jc w:val="both"/>
              <w:rPr>
                <w:sz w:val="22"/>
                <w:lang w:eastAsia="en-GB"/>
              </w:rPr>
            </w:pPr>
          </w:p>
          <w:tbl>
            <w:tblPr>
              <w:tblStyle w:val="TableGrid"/>
              <w:tblW w:w="7230" w:type="dxa"/>
              <w:tblInd w:w="454" w:type="dxa"/>
              <w:tblLayout w:type="fixed"/>
              <w:tblLook w:val="04A0" w:firstRow="1" w:lastRow="0" w:firstColumn="1" w:lastColumn="0" w:noHBand="0" w:noVBand="1"/>
            </w:tblPr>
            <w:tblGrid>
              <w:gridCol w:w="5954"/>
              <w:gridCol w:w="1276"/>
            </w:tblGrid>
            <w:tr w:rsidR="005E6727" w:rsidRPr="00BF159E" w:rsidTr="005E6727">
              <w:trPr>
                <w:trHeight w:val="601"/>
              </w:trPr>
              <w:tc>
                <w:tcPr>
                  <w:tcW w:w="5954" w:type="dxa"/>
                  <w:vAlign w:val="center"/>
                </w:tcPr>
                <w:p w:rsidR="005E6727" w:rsidRPr="00621D45" w:rsidRDefault="00E20556" w:rsidP="005E6727">
                  <w:pPr>
                    <w:tabs>
                      <w:tab w:val="left" w:pos="1260"/>
                      <w:tab w:val="left" w:pos="1980"/>
                      <w:tab w:val="left" w:pos="2700"/>
                      <w:tab w:val="left" w:pos="3420"/>
                    </w:tabs>
                    <w:jc w:val="center"/>
                    <w:rPr>
                      <w:b/>
                      <w:sz w:val="22"/>
                      <w:lang w:eastAsia="en-GB"/>
                    </w:rPr>
                  </w:pPr>
                  <w:r w:rsidRPr="00621D45">
                    <w:rPr>
                      <w:b/>
                      <w:sz w:val="22"/>
                      <w:lang w:eastAsia="en-GB"/>
                    </w:rPr>
                    <w:t>Net Revenue Budget 2017</w:t>
                  </w:r>
                  <w:r w:rsidR="005E6727" w:rsidRPr="00621D45">
                    <w:rPr>
                      <w:b/>
                      <w:sz w:val="22"/>
                      <w:lang w:eastAsia="en-GB"/>
                    </w:rPr>
                    <w:t>/1</w:t>
                  </w:r>
                  <w:r w:rsidRPr="00621D45">
                    <w:rPr>
                      <w:b/>
                      <w:sz w:val="22"/>
                      <w:lang w:eastAsia="en-GB"/>
                    </w:rPr>
                    <w:t>8</w:t>
                  </w:r>
                </w:p>
              </w:tc>
              <w:tc>
                <w:tcPr>
                  <w:tcW w:w="1276" w:type="dxa"/>
                  <w:vAlign w:val="center"/>
                </w:tcPr>
                <w:p w:rsidR="005E6727" w:rsidRPr="00621D45" w:rsidRDefault="005E6727" w:rsidP="002063C0">
                  <w:pPr>
                    <w:tabs>
                      <w:tab w:val="left" w:pos="1260"/>
                      <w:tab w:val="left" w:pos="1980"/>
                      <w:tab w:val="left" w:pos="2700"/>
                      <w:tab w:val="left" w:pos="3420"/>
                    </w:tabs>
                    <w:jc w:val="center"/>
                    <w:rPr>
                      <w:b/>
                      <w:sz w:val="22"/>
                      <w:lang w:eastAsia="en-GB"/>
                    </w:rPr>
                  </w:pPr>
                  <w:r w:rsidRPr="00621D45">
                    <w:rPr>
                      <w:b/>
                      <w:sz w:val="22"/>
                      <w:lang w:eastAsia="en-GB"/>
                    </w:rPr>
                    <w:t>£</w:t>
                  </w:r>
                  <w:r w:rsidR="002063C0" w:rsidRPr="00621D45">
                    <w:rPr>
                      <w:b/>
                      <w:sz w:val="22"/>
                      <w:lang w:eastAsia="en-GB"/>
                    </w:rPr>
                    <w:t xml:space="preserve"> million</w:t>
                  </w:r>
                </w:p>
              </w:tc>
            </w:tr>
            <w:tr w:rsidR="005E6727" w:rsidRPr="00BF159E" w:rsidTr="005E6727">
              <w:trPr>
                <w:trHeight w:val="412"/>
              </w:trPr>
              <w:tc>
                <w:tcPr>
                  <w:tcW w:w="5954" w:type="dxa"/>
                  <w:vAlign w:val="center"/>
                </w:tcPr>
                <w:p w:rsidR="005E6727" w:rsidRPr="00621D45" w:rsidRDefault="005E6727" w:rsidP="005E6727">
                  <w:pPr>
                    <w:tabs>
                      <w:tab w:val="left" w:pos="1260"/>
                      <w:tab w:val="left" w:pos="1980"/>
                      <w:tab w:val="left" w:pos="2700"/>
                      <w:tab w:val="left" w:pos="3420"/>
                    </w:tabs>
                    <w:ind w:right="-313"/>
                    <w:rPr>
                      <w:b/>
                      <w:sz w:val="22"/>
                      <w:lang w:eastAsia="en-GB"/>
                    </w:rPr>
                  </w:pPr>
                  <w:r w:rsidRPr="00621D45">
                    <w:rPr>
                      <w:b/>
                      <w:sz w:val="22"/>
                      <w:lang w:eastAsia="en-GB"/>
                    </w:rPr>
                    <w:t>Original Net Revenue Budget</w:t>
                  </w:r>
                </w:p>
              </w:tc>
              <w:tc>
                <w:tcPr>
                  <w:tcW w:w="1276" w:type="dxa"/>
                  <w:vAlign w:val="center"/>
                </w:tcPr>
                <w:p w:rsidR="005E6727" w:rsidRPr="00621D45" w:rsidRDefault="005E6727" w:rsidP="005E6727">
                  <w:pPr>
                    <w:tabs>
                      <w:tab w:val="left" w:pos="1260"/>
                      <w:tab w:val="left" w:pos="1980"/>
                      <w:tab w:val="left" w:pos="2700"/>
                      <w:tab w:val="left" w:pos="3420"/>
                    </w:tabs>
                    <w:jc w:val="right"/>
                    <w:rPr>
                      <w:sz w:val="22"/>
                      <w:lang w:eastAsia="en-GB"/>
                    </w:rPr>
                  </w:pPr>
                  <w:r w:rsidRPr="00621D45">
                    <w:rPr>
                      <w:b/>
                      <w:sz w:val="22"/>
                      <w:lang w:eastAsia="en-GB"/>
                    </w:rPr>
                    <w:t>1</w:t>
                  </w:r>
                  <w:r w:rsidR="00A90113" w:rsidRPr="00621D45">
                    <w:rPr>
                      <w:b/>
                      <w:sz w:val="22"/>
                      <w:lang w:eastAsia="en-GB"/>
                    </w:rPr>
                    <w:t>0.538</w:t>
                  </w:r>
                </w:p>
              </w:tc>
            </w:tr>
            <w:tr w:rsidR="005E6727" w:rsidRPr="00BF159E" w:rsidTr="005E6727">
              <w:trPr>
                <w:trHeight w:val="417"/>
              </w:trPr>
              <w:tc>
                <w:tcPr>
                  <w:tcW w:w="5954" w:type="dxa"/>
                  <w:vAlign w:val="center"/>
                </w:tcPr>
                <w:p w:rsidR="005E6727" w:rsidRPr="00621D45" w:rsidRDefault="005E6727" w:rsidP="005E6727">
                  <w:pPr>
                    <w:tabs>
                      <w:tab w:val="left" w:pos="1260"/>
                      <w:tab w:val="left" w:pos="1980"/>
                      <w:tab w:val="left" w:pos="2700"/>
                      <w:tab w:val="left" w:pos="3420"/>
                    </w:tabs>
                    <w:ind w:right="1309"/>
                    <w:rPr>
                      <w:sz w:val="22"/>
                      <w:lang w:eastAsia="en-GB"/>
                    </w:rPr>
                  </w:pPr>
                  <w:r w:rsidRPr="00621D45">
                    <w:rPr>
                      <w:sz w:val="22"/>
                      <w:lang w:eastAsia="en-GB"/>
                    </w:rPr>
                    <w:t>Variances Previously Reported</w:t>
                  </w:r>
                </w:p>
              </w:tc>
              <w:tc>
                <w:tcPr>
                  <w:tcW w:w="1276" w:type="dxa"/>
                  <w:vAlign w:val="center"/>
                </w:tcPr>
                <w:p w:rsidR="005E6727" w:rsidRPr="00621D45" w:rsidRDefault="00A90113" w:rsidP="005E6727">
                  <w:pPr>
                    <w:tabs>
                      <w:tab w:val="left" w:pos="1260"/>
                      <w:tab w:val="left" w:pos="1980"/>
                      <w:tab w:val="left" w:pos="2700"/>
                      <w:tab w:val="left" w:pos="3420"/>
                    </w:tabs>
                    <w:jc w:val="right"/>
                    <w:rPr>
                      <w:sz w:val="22"/>
                      <w:lang w:eastAsia="en-GB"/>
                    </w:rPr>
                  </w:pPr>
                  <w:r w:rsidRPr="00621D45">
                    <w:rPr>
                      <w:sz w:val="22"/>
                      <w:lang w:eastAsia="en-GB"/>
                    </w:rPr>
                    <w:t>0.524</w:t>
                  </w:r>
                </w:p>
              </w:tc>
            </w:tr>
            <w:tr w:rsidR="00F56632" w:rsidRPr="00BF159E" w:rsidTr="005E6727">
              <w:trPr>
                <w:trHeight w:val="417"/>
              </w:trPr>
              <w:tc>
                <w:tcPr>
                  <w:tcW w:w="5954" w:type="dxa"/>
                  <w:vAlign w:val="center"/>
                </w:tcPr>
                <w:p w:rsidR="00F56632" w:rsidRPr="00621D45" w:rsidRDefault="00F56632" w:rsidP="005E6727">
                  <w:pPr>
                    <w:tabs>
                      <w:tab w:val="left" w:pos="1260"/>
                      <w:tab w:val="left" w:pos="1980"/>
                      <w:tab w:val="left" w:pos="2700"/>
                      <w:tab w:val="left" w:pos="3420"/>
                    </w:tabs>
                    <w:ind w:right="1309"/>
                    <w:rPr>
                      <w:b/>
                      <w:sz w:val="22"/>
                      <w:lang w:eastAsia="en-GB"/>
                    </w:rPr>
                  </w:pPr>
                  <w:r w:rsidRPr="00621D45">
                    <w:rPr>
                      <w:b/>
                      <w:sz w:val="22"/>
                      <w:lang w:eastAsia="en-GB"/>
                    </w:rPr>
                    <w:t>Latest Approved Budget</w:t>
                  </w:r>
                </w:p>
              </w:tc>
              <w:tc>
                <w:tcPr>
                  <w:tcW w:w="1276" w:type="dxa"/>
                  <w:vAlign w:val="center"/>
                </w:tcPr>
                <w:p w:rsidR="00F56632" w:rsidRPr="00621D45" w:rsidRDefault="00F56632" w:rsidP="005E6727">
                  <w:pPr>
                    <w:tabs>
                      <w:tab w:val="left" w:pos="1260"/>
                      <w:tab w:val="left" w:pos="1980"/>
                      <w:tab w:val="left" w:pos="2700"/>
                      <w:tab w:val="left" w:pos="3420"/>
                    </w:tabs>
                    <w:jc w:val="right"/>
                    <w:rPr>
                      <w:b/>
                      <w:sz w:val="22"/>
                      <w:lang w:eastAsia="en-GB"/>
                    </w:rPr>
                  </w:pPr>
                  <w:r w:rsidRPr="00621D45">
                    <w:rPr>
                      <w:b/>
                      <w:sz w:val="22"/>
                      <w:lang w:eastAsia="en-GB"/>
                    </w:rPr>
                    <w:t>1</w:t>
                  </w:r>
                  <w:r w:rsidR="00A90113" w:rsidRPr="00621D45">
                    <w:rPr>
                      <w:b/>
                      <w:sz w:val="22"/>
                      <w:lang w:eastAsia="en-GB"/>
                    </w:rPr>
                    <w:t>1.062</w:t>
                  </w:r>
                </w:p>
              </w:tc>
            </w:tr>
            <w:tr w:rsidR="005E6727" w:rsidRPr="00BF159E" w:rsidTr="005E6727">
              <w:trPr>
                <w:trHeight w:val="409"/>
              </w:trPr>
              <w:tc>
                <w:tcPr>
                  <w:tcW w:w="5954" w:type="dxa"/>
                  <w:vAlign w:val="center"/>
                </w:tcPr>
                <w:p w:rsidR="005E6727" w:rsidRPr="00621D45" w:rsidRDefault="00320DE8" w:rsidP="00320DE8">
                  <w:pPr>
                    <w:tabs>
                      <w:tab w:val="left" w:pos="1260"/>
                      <w:tab w:val="left" w:pos="1980"/>
                      <w:tab w:val="left" w:pos="2700"/>
                      <w:tab w:val="left" w:pos="3420"/>
                    </w:tabs>
                    <w:rPr>
                      <w:sz w:val="22"/>
                      <w:lang w:eastAsia="en-GB"/>
                    </w:rPr>
                  </w:pPr>
                  <w:r w:rsidRPr="00621D45">
                    <w:rPr>
                      <w:sz w:val="22"/>
                      <w:lang w:eastAsia="en-GB"/>
                    </w:rPr>
                    <w:t>Service Variances Reported This Period</w:t>
                  </w:r>
                </w:p>
              </w:tc>
              <w:tc>
                <w:tcPr>
                  <w:tcW w:w="1276" w:type="dxa"/>
                  <w:vAlign w:val="center"/>
                </w:tcPr>
                <w:p w:rsidR="005E6727" w:rsidRPr="00621D45" w:rsidRDefault="00621D45" w:rsidP="00C31F9C">
                  <w:pPr>
                    <w:tabs>
                      <w:tab w:val="left" w:pos="1260"/>
                      <w:tab w:val="left" w:pos="1980"/>
                      <w:tab w:val="left" w:pos="2700"/>
                      <w:tab w:val="left" w:pos="3420"/>
                    </w:tabs>
                    <w:jc w:val="right"/>
                    <w:rPr>
                      <w:sz w:val="22"/>
                      <w:lang w:eastAsia="en-GB"/>
                    </w:rPr>
                  </w:pPr>
                  <w:r w:rsidRPr="00621D45">
                    <w:rPr>
                      <w:sz w:val="22"/>
                      <w:lang w:eastAsia="en-GB"/>
                    </w:rPr>
                    <w:t>(0.1</w:t>
                  </w:r>
                  <w:r w:rsidR="00C31F9C">
                    <w:rPr>
                      <w:sz w:val="22"/>
                      <w:lang w:eastAsia="en-GB"/>
                    </w:rPr>
                    <w:t>12</w:t>
                  </w:r>
                  <w:r w:rsidRPr="00621D45">
                    <w:rPr>
                      <w:sz w:val="22"/>
                      <w:lang w:eastAsia="en-GB"/>
                    </w:rPr>
                    <w:t>)</w:t>
                  </w:r>
                </w:p>
              </w:tc>
            </w:tr>
            <w:tr w:rsidR="005E6727" w:rsidRPr="00BF159E" w:rsidTr="005E6727">
              <w:trPr>
                <w:trHeight w:val="429"/>
              </w:trPr>
              <w:tc>
                <w:tcPr>
                  <w:tcW w:w="5954" w:type="dxa"/>
                  <w:vAlign w:val="center"/>
                </w:tcPr>
                <w:p w:rsidR="005E6727" w:rsidRPr="00621D45" w:rsidRDefault="00320DE8" w:rsidP="005E6727">
                  <w:pPr>
                    <w:tabs>
                      <w:tab w:val="left" w:pos="1260"/>
                      <w:tab w:val="left" w:pos="1980"/>
                      <w:tab w:val="left" w:pos="2700"/>
                      <w:tab w:val="left" w:pos="3420"/>
                    </w:tabs>
                    <w:ind w:right="255"/>
                    <w:rPr>
                      <w:b/>
                      <w:sz w:val="22"/>
                      <w:lang w:eastAsia="en-GB"/>
                    </w:rPr>
                  </w:pPr>
                  <w:r w:rsidRPr="00621D45">
                    <w:rPr>
                      <w:b/>
                      <w:sz w:val="22"/>
                      <w:lang w:eastAsia="en-GB"/>
                    </w:rPr>
                    <w:t>Net Expenditure Requirement</w:t>
                  </w:r>
                  <w:r w:rsidR="005E6727" w:rsidRPr="00621D45">
                    <w:rPr>
                      <w:b/>
                      <w:sz w:val="22"/>
                      <w:lang w:eastAsia="en-GB"/>
                    </w:rPr>
                    <w:t xml:space="preserve"> </w:t>
                  </w:r>
                </w:p>
              </w:tc>
              <w:tc>
                <w:tcPr>
                  <w:tcW w:w="1276" w:type="dxa"/>
                  <w:vAlign w:val="center"/>
                </w:tcPr>
                <w:p w:rsidR="005E6727" w:rsidRPr="00621D45" w:rsidRDefault="00320DE8" w:rsidP="00C31F9C">
                  <w:pPr>
                    <w:tabs>
                      <w:tab w:val="left" w:pos="1260"/>
                      <w:tab w:val="left" w:pos="1980"/>
                      <w:tab w:val="left" w:pos="2700"/>
                      <w:tab w:val="left" w:pos="3420"/>
                    </w:tabs>
                    <w:jc w:val="right"/>
                    <w:rPr>
                      <w:b/>
                      <w:sz w:val="22"/>
                      <w:lang w:eastAsia="en-GB"/>
                    </w:rPr>
                  </w:pPr>
                  <w:r w:rsidRPr="00621D45">
                    <w:rPr>
                      <w:b/>
                      <w:sz w:val="22"/>
                      <w:lang w:eastAsia="en-GB"/>
                    </w:rPr>
                    <w:t>1</w:t>
                  </w:r>
                  <w:r w:rsidR="00621D45" w:rsidRPr="00621D45">
                    <w:rPr>
                      <w:b/>
                      <w:sz w:val="22"/>
                      <w:lang w:eastAsia="en-GB"/>
                    </w:rPr>
                    <w:t>0.95</w:t>
                  </w:r>
                  <w:r w:rsidR="00C31F9C">
                    <w:rPr>
                      <w:b/>
                      <w:sz w:val="22"/>
                      <w:lang w:eastAsia="en-GB"/>
                    </w:rPr>
                    <w:t>0</w:t>
                  </w:r>
                </w:p>
              </w:tc>
            </w:tr>
            <w:tr w:rsidR="005E6727" w:rsidRPr="00BF159E" w:rsidTr="005E6727">
              <w:trPr>
                <w:trHeight w:val="408"/>
              </w:trPr>
              <w:tc>
                <w:tcPr>
                  <w:tcW w:w="5954" w:type="dxa"/>
                  <w:vAlign w:val="center"/>
                </w:tcPr>
                <w:p w:rsidR="005E6727" w:rsidRPr="00621D45" w:rsidRDefault="00320DE8" w:rsidP="00DC00F5">
                  <w:pPr>
                    <w:tabs>
                      <w:tab w:val="left" w:pos="1260"/>
                      <w:tab w:val="left" w:pos="1980"/>
                      <w:tab w:val="left" w:pos="2700"/>
                      <w:tab w:val="left" w:pos="3420"/>
                    </w:tabs>
                    <w:rPr>
                      <w:b/>
                      <w:sz w:val="22"/>
                      <w:lang w:eastAsia="en-GB"/>
                    </w:rPr>
                  </w:pPr>
                  <w:r w:rsidRPr="00621D45">
                    <w:rPr>
                      <w:sz w:val="22"/>
                      <w:lang w:eastAsia="en-GB"/>
                    </w:rPr>
                    <w:t xml:space="preserve">Funding Variance Reported This Period </w:t>
                  </w:r>
                </w:p>
              </w:tc>
              <w:tc>
                <w:tcPr>
                  <w:tcW w:w="1276" w:type="dxa"/>
                  <w:vAlign w:val="center"/>
                </w:tcPr>
                <w:p w:rsidR="005E6727" w:rsidRPr="00621D45" w:rsidRDefault="00621D45" w:rsidP="00320DE8">
                  <w:pPr>
                    <w:tabs>
                      <w:tab w:val="left" w:pos="1260"/>
                      <w:tab w:val="left" w:pos="1980"/>
                      <w:tab w:val="left" w:pos="2700"/>
                      <w:tab w:val="left" w:pos="3420"/>
                    </w:tabs>
                    <w:jc w:val="right"/>
                    <w:rPr>
                      <w:sz w:val="22"/>
                      <w:lang w:eastAsia="en-GB"/>
                    </w:rPr>
                  </w:pPr>
                  <w:r w:rsidRPr="00621D45">
                    <w:rPr>
                      <w:sz w:val="22"/>
                      <w:lang w:eastAsia="en-GB"/>
                    </w:rPr>
                    <w:t>(0.200)</w:t>
                  </w:r>
                </w:p>
              </w:tc>
            </w:tr>
            <w:tr w:rsidR="00F56632" w:rsidRPr="00BF159E" w:rsidTr="005E6727">
              <w:trPr>
                <w:trHeight w:val="408"/>
              </w:trPr>
              <w:tc>
                <w:tcPr>
                  <w:tcW w:w="5954" w:type="dxa"/>
                  <w:vAlign w:val="center"/>
                </w:tcPr>
                <w:p w:rsidR="00F56632" w:rsidRPr="00621D45" w:rsidRDefault="008470D0" w:rsidP="00320DE8">
                  <w:pPr>
                    <w:tabs>
                      <w:tab w:val="left" w:pos="1260"/>
                      <w:tab w:val="left" w:pos="1980"/>
                      <w:tab w:val="left" w:pos="2700"/>
                      <w:tab w:val="left" w:pos="3420"/>
                    </w:tabs>
                    <w:rPr>
                      <w:b/>
                      <w:sz w:val="22"/>
                      <w:lang w:eastAsia="en-GB"/>
                    </w:rPr>
                  </w:pPr>
                  <w:r>
                    <w:rPr>
                      <w:b/>
                      <w:sz w:val="22"/>
                      <w:lang w:eastAsia="en-GB"/>
                    </w:rPr>
                    <w:t>Forecast Outturn position</w:t>
                  </w:r>
                </w:p>
              </w:tc>
              <w:tc>
                <w:tcPr>
                  <w:tcW w:w="1276" w:type="dxa"/>
                  <w:vAlign w:val="center"/>
                </w:tcPr>
                <w:p w:rsidR="00F56632" w:rsidRPr="00621D45" w:rsidRDefault="00F56632" w:rsidP="00C31F9C">
                  <w:pPr>
                    <w:tabs>
                      <w:tab w:val="left" w:pos="1260"/>
                      <w:tab w:val="left" w:pos="1980"/>
                      <w:tab w:val="left" w:pos="2700"/>
                      <w:tab w:val="left" w:pos="3420"/>
                    </w:tabs>
                    <w:jc w:val="right"/>
                    <w:rPr>
                      <w:b/>
                      <w:sz w:val="22"/>
                      <w:lang w:eastAsia="en-GB"/>
                    </w:rPr>
                  </w:pPr>
                  <w:r w:rsidRPr="00621D45">
                    <w:rPr>
                      <w:b/>
                      <w:sz w:val="22"/>
                      <w:lang w:eastAsia="en-GB"/>
                    </w:rPr>
                    <w:t>1</w:t>
                  </w:r>
                  <w:r w:rsidR="00621D45" w:rsidRPr="00621D45">
                    <w:rPr>
                      <w:b/>
                      <w:sz w:val="22"/>
                      <w:lang w:eastAsia="en-GB"/>
                    </w:rPr>
                    <w:t>0.75</w:t>
                  </w:r>
                  <w:r w:rsidR="00C31F9C">
                    <w:rPr>
                      <w:b/>
                      <w:sz w:val="22"/>
                      <w:lang w:eastAsia="en-GB"/>
                    </w:rPr>
                    <w:t>0</w:t>
                  </w:r>
                </w:p>
              </w:tc>
            </w:tr>
          </w:tbl>
          <w:p w:rsidR="005E6727" w:rsidRDefault="005E6727" w:rsidP="00926417">
            <w:pPr>
              <w:tabs>
                <w:tab w:val="left" w:pos="360"/>
                <w:tab w:val="left" w:pos="900"/>
              </w:tabs>
              <w:jc w:val="both"/>
              <w:rPr>
                <w:rFonts w:cs="Arial"/>
                <w:sz w:val="22"/>
                <w:szCs w:val="22"/>
              </w:rPr>
            </w:pPr>
          </w:p>
        </w:tc>
      </w:tr>
      <w:tr w:rsidR="00CF7499" w:rsidRPr="00CF7499" w:rsidTr="002D171E">
        <w:trPr>
          <w:gridBefore w:val="1"/>
          <w:wBefore w:w="34" w:type="dxa"/>
          <w:trHeight w:val="1013"/>
        </w:trPr>
        <w:tc>
          <w:tcPr>
            <w:cnfStyle w:val="001000000000" w:firstRow="0" w:lastRow="0" w:firstColumn="1" w:lastColumn="0" w:oddVBand="0" w:evenVBand="0" w:oddHBand="0" w:evenHBand="0" w:firstRowFirstColumn="0" w:firstRowLastColumn="0" w:lastRowFirstColumn="0" w:lastRowLastColumn="0"/>
            <w:tcW w:w="959" w:type="dxa"/>
          </w:tcPr>
          <w:p w:rsidR="005E6727" w:rsidRDefault="005E6727" w:rsidP="00C80E97">
            <w:pPr>
              <w:jc w:val="both"/>
              <w:rPr>
                <w:rFonts w:cs="Arial"/>
                <w:sz w:val="22"/>
                <w:szCs w:val="22"/>
              </w:rPr>
            </w:pPr>
          </w:p>
          <w:p w:rsidR="005E6727" w:rsidRDefault="005E6727" w:rsidP="00C80E97">
            <w:pPr>
              <w:jc w:val="both"/>
              <w:rPr>
                <w:rFonts w:cs="Arial"/>
                <w:sz w:val="22"/>
                <w:szCs w:val="22"/>
              </w:rPr>
            </w:pPr>
            <w:r>
              <w:rPr>
                <w:rFonts w:cs="Arial"/>
                <w:sz w:val="22"/>
                <w:szCs w:val="22"/>
              </w:rPr>
              <w:t>2.3</w:t>
            </w:r>
          </w:p>
          <w:p w:rsidR="005E6727" w:rsidRDefault="005E6727" w:rsidP="00C80E97">
            <w:pPr>
              <w:jc w:val="both"/>
              <w:rPr>
                <w:rFonts w:cs="Arial"/>
                <w:sz w:val="22"/>
                <w:szCs w:val="22"/>
              </w:rPr>
            </w:pPr>
          </w:p>
          <w:p w:rsidR="00B67F70" w:rsidRPr="007C1C6B" w:rsidRDefault="00B67F70" w:rsidP="00C80E97">
            <w:pPr>
              <w:jc w:val="both"/>
              <w:rPr>
                <w:rFonts w:cs="Arial"/>
                <w:sz w:val="22"/>
                <w:szCs w:val="22"/>
              </w:rPr>
            </w:pPr>
          </w:p>
          <w:p w:rsidR="00B67F70" w:rsidRPr="007C1C6B" w:rsidRDefault="00B67F70" w:rsidP="00C80E97">
            <w:pPr>
              <w:rPr>
                <w:rFonts w:cs="Arial"/>
                <w:sz w:val="22"/>
                <w:szCs w:val="22"/>
              </w:rPr>
            </w:pPr>
          </w:p>
          <w:p w:rsidR="00B67F70" w:rsidRPr="007C1C6B" w:rsidRDefault="00B67F70" w:rsidP="00BF159E">
            <w:pPr>
              <w:ind w:right="2"/>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BF159E" w:rsidRDefault="00BF159E" w:rsidP="00926417">
            <w:pPr>
              <w:tabs>
                <w:tab w:val="left" w:pos="360"/>
                <w:tab w:val="left" w:pos="900"/>
              </w:tabs>
              <w:jc w:val="both"/>
              <w:rPr>
                <w:rFonts w:cs="Arial"/>
                <w:sz w:val="22"/>
                <w:szCs w:val="22"/>
              </w:rPr>
            </w:pPr>
          </w:p>
          <w:p w:rsidR="00353FEC" w:rsidRPr="00672FC3" w:rsidRDefault="005F65E4" w:rsidP="00BF4BEF">
            <w:pPr>
              <w:tabs>
                <w:tab w:val="left" w:pos="1260"/>
                <w:tab w:val="left" w:pos="1980"/>
                <w:tab w:val="left" w:pos="2700"/>
                <w:tab w:val="left" w:pos="3420"/>
              </w:tabs>
              <w:jc w:val="both"/>
              <w:rPr>
                <w:sz w:val="22"/>
                <w:lang w:eastAsia="en-GB"/>
              </w:rPr>
            </w:pPr>
            <w:r>
              <w:rPr>
                <w:sz w:val="22"/>
                <w:lang w:eastAsia="en-GB"/>
              </w:rPr>
              <w:t>At the end of November, S</w:t>
            </w:r>
            <w:r w:rsidR="008470D0">
              <w:rPr>
                <w:sz w:val="22"/>
                <w:lang w:eastAsia="en-GB"/>
              </w:rPr>
              <w:t>ervice</w:t>
            </w:r>
            <w:r>
              <w:rPr>
                <w:sz w:val="22"/>
                <w:lang w:eastAsia="en-GB"/>
              </w:rPr>
              <w:t>s</w:t>
            </w:r>
            <w:r w:rsidR="008470D0">
              <w:rPr>
                <w:sz w:val="22"/>
                <w:lang w:eastAsia="en-GB"/>
              </w:rPr>
              <w:t xml:space="preserve"> sh</w:t>
            </w:r>
            <w:r w:rsidR="00E675BC" w:rsidRPr="00672FC3">
              <w:rPr>
                <w:sz w:val="22"/>
                <w:lang w:eastAsia="en-GB"/>
              </w:rPr>
              <w:t>ow an e</w:t>
            </w:r>
            <w:r w:rsidR="00BF159E" w:rsidRPr="00672FC3">
              <w:rPr>
                <w:sz w:val="22"/>
                <w:lang w:eastAsia="en-GB"/>
              </w:rPr>
              <w:t xml:space="preserve">stimated </w:t>
            </w:r>
            <w:r w:rsidR="00321417" w:rsidRPr="00672FC3">
              <w:rPr>
                <w:sz w:val="22"/>
                <w:lang w:eastAsia="en-GB"/>
              </w:rPr>
              <w:t xml:space="preserve">favourable </w:t>
            </w:r>
            <w:r w:rsidR="00BF159E" w:rsidRPr="00672FC3">
              <w:rPr>
                <w:sz w:val="22"/>
                <w:lang w:eastAsia="en-GB"/>
              </w:rPr>
              <w:t xml:space="preserve">variance of </w:t>
            </w:r>
            <w:r w:rsidR="00BF159E" w:rsidRPr="00672FC3">
              <w:rPr>
                <w:b/>
                <w:sz w:val="22"/>
                <w:lang w:eastAsia="en-GB"/>
              </w:rPr>
              <w:t>£0</w:t>
            </w:r>
            <w:r w:rsidR="00F70683" w:rsidRPr="00672FC3">
              <w:rPr>
                <w:b/>
                <w:sz w:val="22"/>
                <w:lang w:eastAsia="en-GB"/>
              </w:rPr>
              <w:t>.</w:t>
            </w:r>
            <w:r w:rsidR="00621D45" w:rsidRPr="00672FC3">
              <w:rPr>
                <w:b/>
                <w:sz w:val="22"/>
                <w:lang w:eastAsia="en-GB"/>
              </w:rPr>
              <w:t>1</w:t>
            </w:r>
            <w:r w:rsidR="00C31F9C">
              <w:rPr>
                <w:b/>
                <w:sz w:val="22"/>
                <w:lang w:eastAsia="en-GB"/>
              </w:rPr>
              <w:t>12</w:t>
            </w:r>
            <w:r w:rsidR="00621D45" w:rsidRPr="00672FC3">
              <w:rPr>
                <w:b/>
                <w:sz w:val="22"/>
                <w:lang w:eastAsia="en-GB"/>
              </w:rPr>
              <w:t xml:space="preserve"> </w:t>
            </w:r>
            <w:r w:rsidR="00321417" w:rsidRPr="00672FC3">
              <w:rPr>
                <w:b/>
                <w:sz w:val="22"/>
                <w:lang w:eastAsia="en-GB"/>
              </w:rPr>
              <w:t>million</w:t>
            </w:r>
            <w:r w:rsidR="00321417" w:rsidRPr="00672FC3">
              <w:rPr>
                <w:sz w:val="22"/>
                <w:lang w:eastAsia="en-GB"/>
              </w:rPr>
              <w:t xml:space="preserve">.  In addition, </w:t>
            </w:r>
            <w:r w:rsidR="00621D45" w:rsidRPr="00672FC3">
              <w:rPr>
                <w:sz w:val="22"/>
                <w:lang w:eastAsia="en-GB"/>
              </w:rPr>
              <w:t>a favourable funding variance on collection fund of £50</w:t>
            </w:r>
            <w:r w:rsidR="007B62E2">
              <w:rPr>
                <w:sz w:val="22"/>
                <w:lang w:eastAsia="en-GB"/>
              </w:rPr>
              <w:t>,000</w:t>
            </w:r>
            <w:r w:rsidR="00621D45" w:rsidRPr="00672FC3">
              <w:rPr>
                <w:sz w:val="22"/>
                <w:lang w:eastAsia="en-GB"/>
              </w:rPr>
              <w:t xml:space="preserve"> and growth on business rates of £</w:t>
            </w:r>
            <w:r w:rsidR="007B62E2">
              <w:rPr>
                <w:sz w:val="22"/>
                <w:lang w:eastAsia="en-GB"/>
              </w:rPr>
              <w:t>1</w:t>
            </w:r>
            <w:r w:rsidR="00621D45" w:rsidRPr="00672FC3">
              <w:rPr>
                <w:sz w:val="22"/>
                <w:lang w:eastAsia="en-GB"/>
              </w:rPr>
              <w:t>50</w:t>
            </w:r>
            <w:r w:rsidR="007B62E2">
              <w:rPr>
                <w:sz w:val="22"/>
                <w:lang w:eastAsia="en-GB"/>
              </w:rPr>
              <w:t>,000</w:t>
            </w:r>
            <w:r w:rsidR="00621D45" w:rsidRPr="00672FC3">
              <w:rPr>
                <w:sz w:val="22"/>
                <w:lang w:eastAsia="en-GB"/>
              </w:rPr>
              <w:t xml:space="preserve"> in 2017/18 </w:t>
            </w:r>
            <w:r w:rsidR="007B62E2">
              <w:rPr>
                <w:sz w:val="22"/>
                <w:lang w:eastAsia="en-GB"/>
              </w:rPr>
              <w:t xml:space="preserve">which </w:t>
            </w:r>
            <w:r w:rsidR="00321417" w:rsidRPr="00672FC3">
              <w:rPr>
                <w:sz w:val="22"/>
                <w:lang w:eastAsia="en-GB"/>
              </w:rPr>
              <w:t xml:space="preserve">increases the favourable variance to </w:t>
            </w:r>
            <w:r w:rsidR="00621D45" w:rsidRPr="00672FC3">
              <w:rPr>
                <w:b/>
                <w:sz w:val="22"/>
                <w:lang w:eastAsia="en-GB"/>
              </w:rPr>
              <w:t>£0.3</w:t>
            </w:r>
            <w:r w:rsidR="00C31F9C">
              <w:rPr>
                <w:b/>
                <w:sz w:val="22"/>
                <w:lang w:eastAsia="en-GB"/>
              </w:rPr>
              <w:t>12</w:t>
            </w:r>
            <w:r w:rsidR="00321417" w:rsidRPr="00672FC3">
              <w:rPr>
                <w:b/>
                <w:sz w:val="22"/>
                <w:lang w:eastAsia="en-GB"/>
              </w:rPr>
              <w:t xml:space="preserve"> million</w:t>
            </w:r>
            <w:r w:rsidR="00321417" w:rsidRPr="00672FC3">
              <w:rPr>
                <w:sz w:val="22"/>
                <w:lang w:eastAsia="en-GB"/>
              </w:rPr>
              <w:t>.</w:t>
            </w:r>
            <w:r w:rsidR="008470D0">
              <w:rPr>
                <w:sz w:val="22"/>
                <w:lang w:eastAsia="en-GB"/>
              </w:rPr>
              <w:t xml:space="preserve">  The budget will be changed to reflect this outturn forecast if approved at Council.</w:t>
            </w:r>
          </w:p>
          <w:p w:rsidR="0053567A" w:rsidRDefault="0053567A" w:rsidP="00BF4BEF">
            <w:pPr>
              <w:tabs>
                <w:tab w:val="left" w:pos="1260"/>
                <w:tab w:val="left" w:pos="1980"/>
                <w:tab w:val="left" w:pos="2700"/>
                <w:tab w:val="left" w:pos="3420"/>
              </w:tabs>
              <w:jc w:val="both"/>
              <w:rPr>
                <w:b/>
                <w:sz w:val="22"/>
                <w:lang w:eastAsia="en-GB"/>
              </w:rPr>
            </w:pPr>
          </w:p>
          <w:p w:rsidR="0053567A" w:rsidRDefault="0053567A" w:rsidP="00BF4BEF">
            <w:pPr>
              <w:tabs>
                <w:tab w:val="left" w:pos="1260"/>
                <w:tab w:val="left" w:pos="1980"/>
                <w:tab w:val="left" w:pos="2700"/>
                <w:tab w:val="left" w:pos="3420"/>
              </w:tabs>
              <w:jc w:val="both"/>
              <w:rPr>
                <w:sz w:val="22"/>
                <w:lang w:eastAsia="en-GB"/>
              </w:rPr>
            </w:pPr>
            <w:r w:rsidRPr="005F65E4">
              <w:rPr>
                <w:b/>
                <w:sz w:val="22"/>
                <w:lang w:eastAsia="en-GB"/>
              </w:rPr>
              <w:t xml:space="preserve">Appendix </w:t>
            </w:r>
            <w:r w:rsidR="002357BB" w:rsidRPr="005F65E4">
              <w:rPr>
                <w:b/>
                <w:sz w:val="22"/>
                <w:lang w:eastAsia="en-GB"/>
              </w:rPr>
              <w:t>2</w:t>
            </w:r>
            <w:r w:rsidRPr="005F65E4">
              <w:rPr>
                <w:b/>
                <w:sz w:val="22"/>
                <w:lang w:eastAsia="en-GB"/>
              </w:rPr>
              <w:t xml:space="preserve"> </w:t>
            </w:r>
            <w:r w:rsidR="002357BB" w:rsidRPr="002357BB">
              <w:rPr>
                <w:sz w:val="22"/>
                <w:lang w:eastAsia="en-GB"/>
              </w:rPr>
              <w:t>details each service committee’s net direct revenue budgets over the medium term</w:t>
            </w:r>
            <w:r w:rsidR="002357BB">
              <w:rPr>
                <w:sz w:val="22"/>
                <w:lang w:eastAsia="en-GB"/>
              </w:rPr>
              <w:t>.</w:t>
            </w:r>
            <w:r w:rsidRPr="002357BB">
              <w:rPr>
                <w:sz w:val="22"/>
                <w:lang w:eastAsia="en-GB"/>
              </w:rPr>
              <w:t xml:space="preserve"> </w:t>
            </w:r>
          </w:p>
          <w:p w:rsidR="00F56632" w:rsidRDefault="00F56632" w:rsidP="00BF4BEF">
            <w:pPr>
              <w:tabs>
                <w:tab w:val="left" w:pos="1260"/>
                <w:tab w:val="left" w:pos="1980"/>
                <w:tab w:val="left" w:pos="2700"/>
                <w:tab w:val="left" w:pos="3420"/>
              </w:tabs>
              <w:jc w:val="both"/>
              <w:rPr>
                <w:b/>
                <w:sz w:val="22"/>
                <w:lang w:eastAsia="en-GB"/>
              </w:rPr>
            </w:pPr>
          </w:p>
          <w:p w:rsidR="00E43629" w:rsidRDefault="00BF159E" w:rsidP="00BF4BEF">
            <w:pPr>
              <w:tabs>
                <w:tab w:val="left" w:pos="1260"/>
                <w:tab w:val="left" w:pos="1980"/>
                <w:tab w:val="left" w:pos="2700"/>
                <w:tab w:val="left" w:pos="3420"/>
              </w:tabs>
              <w:jc w:val="both"/>
              <w:rPr>
                <w:sz w:val="22"/>
                <w:lang w:eastAsia="en-GB"/>
              </w:rPr>
            </w:pPr>
            <w:r w:rsidRPr="00BF159E">
              <w:rPr>
                <w:sz w:val="22"/>
                <w:lang w:eastAsia="en-GB"/>
              </w:rPr>
              <w:t xml:space="preserve">The table below shows the net direct expenditure budgets, </w:t>
            </w:r>
            <w:r w:rsidR="00E675BC">
              <w:rPr>
                <w:sz w:val="22"/>
                <w:lang w:eastAsia="en-GB"/>
              </w:rPr>
              <w:t xml:space="preserve">actuals to date, </w:t>
            </w:r>
            <w:r w:rsidR="005F65E4">
              <w:rPr>
                <w:sz w:val="22"/>
                <w:lang w:eastAsia="en-GB"/>
              </w:rPr>
              <w:t>forecast outturn</w:t>
            </w:r>
            <w:r w:rsidRPr="00BF159E">
              <w:rPr>
                <w:sz w:val="22"/>
                <w:lang w:eastAsia="en-GB"/>
              </w:rPr>
              <w:t xml:space="preserve"> and variance for each service committee.</w:t>
            </w:r>
          </w:p>
          <w:p w:rsidR="00F56632" w:rsidRDefault="00F56632" w:rsidP="00BF4BEF">
            <w:pPr>
              <w:tabs>
                <w:tab w:val="left" w:pos="1260"/>
                <w:tab w:val="left" w:pos="1980"/>
                <w:tab w:val="left" w:pos="2700"/>
                <w:tab w:val="left" w:pos="3420"/>
              </w:tabs>
              <w:jc w:val="both"/>
              <w:rPr>
                <w:sz w:val="22"/>
                <w:lang w:eastAsia="en-GB"/>
              </w:rPr>
            </w:pPr>
          </w:p>
          <w:p w:rsidR="00F56632" w:rsidRDefault="00F56632" w:rsidP="00BF4BEF">
            <w:pPr>
              <w:tabs>
                <w:tab w:val="left" w:pos="1260"/>
                <w:tab w:val="left" w:pos="1980"/>
                <w:tab w:val="left" w:pos="2700"/>
                <w:tab w:val="left" w:pos="3420"/>
              </w:tabs>
              <w:jc w:val="both"/>
              <w:rPr>
                <w:sz w:val="22"/>
                <w:lang w:eastAsia="en-GB"/>
              </w:rPr>
            </w:pPr>
          </w:p>
          <w:p w:rsidR="00323EA2" w:rsidRDefault="00323EA2" w:rsidP="00BF4BEF">
            <w:pPr>
              <w:tabs>
                <w:tab w:val="left" w:pos="1260"/>
                <w:tab w:val="left" w:pos="1980"/>
                <w:tab w:val="left" w:pos="2700"/>
                <w:tab w:val="left" w:pos="3420"/>
              </w:tabs>
              <w:jc w:val="both"/>
              <w:rPr>
                <w:sz w:val="22"/>
                <w:lang w:eastAsia="en-GB"/>
              </w:rPr>
            </w:pPr>
          </w:p>
          <w:p w:rsidR="00F56632" w:rsidRDefault="00F56632" w:rsidP="00BF4BEF">
            <w:pPr>
              <w:tabs>
                <w:tab w:val="left" w:pos="1260"/>
                <w:tab w:val="left" w:pos="1980"/>
                <w:tab w:val="left" w:pos="2700"/>
                <w:tab w:val="left" w:pos="3420"/>
              </w:tabs>
              <w:jc w:val="both"/>
              <w:rPr>
                <w:sz w:val="22"/>
                <w:lang w:eastAsia="en-GB"/>
              </w:rPr>
            </w:pPr>
          </w:p>
          <w:tbl>
            <w:tblPr>
              <w:tblW w:w="8675" w:type="dxa"/>
              <w:tblLayout w:type="fixed"/>
              <w:tblLook w:val="04A0" w:firstRow="1" w:lastRow="0" w:firstColumn="1" w:lastColumn="0" w:noHBand="0" w:noVBand="1"/>
            </w:tblPr>
            <w:tblGrid>
              <w:gridCol w:w="2467"/>
              <w:gridCol w:w="1232"/>
              <w:gridCol w:w="1232"/>
              <w:gridCol w:w="1349"/>
              <w:gridCol w:w="1199"/>
              <w:gridCol w:w="1196"/>
            </w:tblGrid>
            <w:tr w:rsidR="00726D5B" w:rsidRPr="00BF159E" w:rsidTr="000027F6">
              <w:trPr>
                <w:trHeight w:val="397"/>
              </w:trPr>
              <w:tc>
                <w:tcPr>
                  <w:tcW w:w="8675" w:type="dxa"/>
                  <w:gridSpan w:val="6"/>
                  <w:tcBorders>
                    <w:top w:val="single" w:sz="4" w:space="0" w:color="auto"/>
                    <w:left w:val="single" w:sz="4" w:space="0" w:color="auto"/>
                    <w:bottom w:val="single" w:sz="4" w:space="0" w:color="000000"/>
                    <w:right w:val="single" w:sz="4" w:space="0" w:color="auto"/>
                  </w:tcBorders>
                  <w:shd w:val="clear" w:color="auto" w:fill="auto"/>
                  <w:noWrap/>
                  <w:vAlign w:val="center"/>
                </w:tcPr>
                <w:p w:rsidR="00726D5B" w:rsidRPr="00143A79" w:rsidRDefault="00726D5B" w:rsidP="000027F6">
                  <w:pPr>
                    <w:tabs>
                      <w:tab w:val="left" w:pos="1260"/>
                      <w:tab w:val="left" w:pos="1980"/>
                      <w:tab w:val="left" w:pos="2700"/>
                      <w:tab w:val="left" w:pos="3420"/>
                    </w:tabs>
                    <w:ind w:left="1267" w:firstLine="9"/>
                    <w:jc w:val="center"/>
                    <w:rPr>
                      <w:rFonts w:cs="Arial"/>
                      <w:b/>
                      <w:bCs/>
                      <w:sz w:val="22"/>
                      <w:szCs w:val="22"/>
                      <w:lang w:eastAsia="en-GB"/>
                    </w:rPr>
                  </w:pPr>
                  <w:r w:rsidRPr="00143A79">
                    <w:rPr>
                      <w:rFonts w:cs="Arial"/>
                      <w:b/>
                      <w:bCs/>
                      <w:sz w:val="22"/>
                      <w:szCs w:val="22"/>
                      <w:lang w:eastAsia="en-GB"/>
                    </w:rPr>
                    <w:lastRenderedPageBreak/>
                    <w:t>2017/18 Revenue  Account – General Fund Summary</w:t>
                  </w:r>
                </w:p>
              </w:tc>
            </w:tr>
            <w:tr w:rsidR="00726D5B" w:rsidRPr="00BF159E" w:rsidTr="00726D5B">
              <w:trPr>
                <w:trHeight w:val="875"/>
              </w:trPr>
              <w:tc>
                <w:tcPr>
                  <w:tcW w:w="24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26D5B" w:rsidRPr="00143A79" w:rsidRDefault="00726D5B" w:rsidP="008E6700">
                  <w:pPr>
                    <w:ind w:left="-471"/>
                    <w:jc w:val="center"/>
                    <w:rPr>
                      <w:rFonts w:cs="Arial"/>
                      <w:b/>
                      <w:bCs/>
                      <w:sz w:val="22"/>
                      <w:szCs w:val="22"/>
                      <w:lang w:eastAsia="en-GB"/>
                    </w:rPr>
                  </w:pPr>
                  <w:r w:rsidRPr="00143A79">
                    <w:rPr>
                      <w:rFonts w:cs="Arial"/>
                      <w:b/>
                      <w:bCs/>
                      <w:sz w:val="22"/>
                      <w:szCs w:val="22"/>
                      <w:lang w:eastAsia="en-GB"/>
                    </w:rPr>
                    <w:t>Service Area</w:t>
                  </w:r>
                </w:p>
              </w:tc>
              <w:tc>
                <w:tcPr>
                  <w:tcW w:w="1232" w:type="dxa"/>
                  <w:tcBorders>
                    <w:top w:val="single" w:sz="4" w:space="0" w:color="auto"/>
                    <w:left w:val="single" w:sz="4" w:space="0" w:color="auto"/>
                    <w:bottom w:val="nil"/>
                    <w:right w:val="single" w:sz="4" w:space="0" w:color="auto"/>
                  </w:tcBorders>
                  <w:vAlign w:val="center"/>
                </w:tcPr>
                <w:p w:rsidR="00726D5B" w:rsidRPr="00143A79" w:rsidRDefault="00726D5B" w:rsidP="00143A79">
                  <w:pPr>
                    <w:rPr>
                      <w:rFonts w:cs="Arial"/>
                      <w:b/>
                      <w:bCs/>
                      <w:sz w:val="22"/>
                      <w:szCs w:val="22"/>
                      <w:lang w:eastAsia="en-GB"/>
                    </w:rPr>
                  </w:pPr>
                  <w:r w:rsidRPr="00143A79">
                    <w:rPr>
                      <w:rFonts w:cs="Arial"/>
                      <w:b/>
                      <w:bCs/>
                      <w:sz w:val="22"/>
                      <w:szCs w:val="22"/>
                      <w:lang w:eastAsia="en-GB"/>
                    </w:rPr>
                    <w:t xml:space="preserve">Original Budget </w:t>
                  </w:r>
                </w:p>
              </w:tc>
              <w:tc>
                <w:tcPr>
                  <w:tcW w:w="1232" w:type="dxa"/>
                  <w:tcBorders>
                    <w:top w:val="single" w:sz="4" w:space="0" w:color="auto"/>
                    <w:left w:val="single" w:sz="4" w:space="0" w:color="auto"/>
                    <w:bottom w:val="nil"/>
                    <w:right w:val="single" w:sz="4" w:space="0" w:color="auto"/>
                  </w:tcBorders>
                  <w:shd w:val="clear" w:color="auto" w:fill="auto"/>
                  <w:vAlign w:val="center"/>
                  <w:hideMark/>
                </w:tcPr>
                <w:p w:rsidR="00726D5B" w:rsidRPr="00143A79" w:rsidRDefault="00726D5B" w:rsidP="00BF159E">
                  <w:pPr>
                    <w:jc w:val="center"/>
                    <w:rPr>
                      <w:rFonts w:cs="Arial"/>
                      <w:b/>
                      <w:bCs/>
                      <w:sz w:val="22"/>
                      <w:szCs w:val="22"/>
                      <w:lang w:eastAsia="en-GB"/>
                    </w:rPr>
                  </w:pPr>
                  <w:r w:rsidRPr="00143A79">
                    <w:rPr>
                      <w:rFonts w:cs="Arial"/>
                      <w:b/>
                      <w:bCs/>
                      <w:sz w:val="22"/>
                      <w:szCs w:val="22"/>
                      <w:lang w:eastAsia="en-GB"/>
                    </w:rPr>
                    <w:t xml:space="preserve"> Latest Budget </w:t>
                  </w:r>
                </w:p>
              </w:tc>
              <w:tc>
                <w:tcPr>
                  <w:tcW w:w="1349" w:type="dxa"/>
                  <w:tcBorders>
                    <w:top w:val="single" w:sz="4" w:space="0" w:color="auto"/>
                    <w:left w:val="nil"/>
                    <w:bottom w:val="nil"/>
                    <w:right w:val="single" w:sz="4" w:space="0" w:color="auto"/>
                  </w:tcBorders>
                </w:tcPr>
                <w:p w:rsidR="00726D5B" w:rsidRDefault="00726D5B" w:rsidP="00835709">
                  <w:pPr>
                    <w:jc w:val="center"/>
                    <w:rPr>
                      <w:rFonts w:cs="Arial"/>
                      <w:b/>
                      <w:bCs/>
                      <w:sz w:val="22"/>
                      <w:szCs w:val="22"/>
                      <w:lang w:eastAsia="en-GB"/>
                    </w:rPr>
                  </w:pPr>
                </w:p>
                <w:p w:rsidR="00726D5B" w:rsidRPr="00143A79" w:rsidRDefault="00726D5B" w:rsidP="00835709">
                  <w:pPr>
                    <w:jc w:val="center"/>
                    <w:rPr>
                      <w:rFonts w:cs="Arial"/>
                      <w:b/>
                      <w:bCs/>
                      <w:sz w:val="22"/>
                      <w:szCs w:val="22"/>
                      <w:lang w:eastAsia="en-GB"/>
                    </w:rPr>
                  </w:pPr>
                  <w:r w:rsidRPr="00143A79">
                    <w:rPr>
                      <w:rFonts w:cs="Arial"/>
                      <w:b/>
                      <w:bCs/>
                      <w:sz w:val="22"/>
                      <w:szCs w:val="22"/>
                      <w:lang w:eastAsia="en-GB"/>
                    </w:rPr>
                    <w:t>Net Spend to Period 8</w:t>
                  </w:r>
                </w:p>
              </w:tc>
              <w:tc>
                <w:tcPr>
                  <w:tcW w:w="1199" w:type="dxa"/>
                  <w:tcBorders>
                    <w:top w:val="single" w:sz="4" w:space="0" w:color="auto"/>
                    <w:left w:val="nil"/>
                    <w:bottom w:val="nil"/>
                    <w:right w:val="single" w:sz="4" w:space="0" w:color="auto"/>
                  </w:tcBorders>
                  <w:shd w:val="clear" w:color="auto" w:fill="auto"/>
                  <w:vAlign w:val="center"/>
                  <w:hideMark/>
                </w:tcPr>
                <w:p w:rsidR="00726D5B" w:rsidRPr="00143A79" w:rsidRDefault="00726D5B" w:rsidP="00726D5B">
                  <w:pPr>
                    <w:jc w:val="center"/>
                    <w:rPr>
                      <w:rFonts w:cs="Arial"/>
                      <w:b/>
                      <w:bCs/>
                      <w:sz w:val="22"/>
                      <w:szCs w:val="22"/>
                      <w:lang w:eastAsia="en-GB"/>
                    </w:rPr>
                  </w:pPr>
                  <w:r w:rsidRPr="00143A79">
                    <w:rPr>
                      <w:rFonts w:cs="Arial"/>
                      <w:b/>
                      <w:bCs/>
                      <w:sz w:val="22"/>
                      <w:szCs w:val="22"/>
                      <w:lang w:eastAsia="en-GB"/>
                    </w:rPr>
                    <w:t xml:space="preserve"> </w:t>
                  </w:r>
                  <w:r>
                    <w:rPr>
                      <w:rFonts w:cs="Arial"/>
                      <w:b/>
                      <w:bCs/>
                      <w:sz w:val="22"/>
                      <w:szCs w:val="22"/>
                      <w:lang w:eastAsia="en-GB"/>
                    </w:rPr>
                    <w:t>Forecast Outturn</w:t>
                  </w:r>
                </w:p>
              </w:tc>
              <w:tc>
                <w:tcPr>
                  <w:tcW w:w="1196" w:type="dxa"/>
                  <w:tcBorders>
                    <w:top w:val="single" w:sz="4" w:space="0" w:color="auto"/>
                    <w:left w:val="nil"/>
                    <w:bottom w:val="nil"/>
                    <w:right w:val="single" w:sz="4" w:space="0" w:color="auto"/>
                  </w:tcBorders>
                  <w:vAlign w:val="center"/>
                </w:tcPr>
                <w:p w:rsidR="00726D5B" w:rsidRPr="00726D5B" w:rsidRDefault="00726D5B" w:rsidP="00726D5B">
                  <w:pPr>
                    <w:rPr>
                      <w:rFonts w:cs="Arial"/>
                      <w:sz w:val="22"/>
                      <w:szCs w:val="22"/>
                      <w:lang w:eastAsia="en-GB"/>
                    </w:rPr>
                  </w:pPr>
                  <w:r>
                    <w:rPr>
                      <w:rFonts w:cs="Arial"/>
                      <w:b/>
                      <w:bCs/>
                      <w:sz w:val="22"/>
                      <w:szCs w:val="22"/>
                      <w:lang w:eastAsia="en-GB"/>
                    </w:rPr>
                    <w:t>Variance</w:t>
                  </w:r>
                </w:p>
              </w:tc>
            </w:tr>
            <w:tr w:rsidR="00726D5B" w:rsidRPr="00BF159E" w:rsidTr="00726D5B">
              <w:trPr>
                <w:trHeight w:val="56"/>
              </w:trPr>
              <w:tc>
                <w:tcPr>
                  <w:tcW w:w="2467" w:type="dxa"/>
                  <w:vMerge/>
                  <w:tcBorders>
                    <w:top w:val="single" w:sz="4" w:space="0" w:color="auto"/>
                    <w:left w:val="single" w:sz="4" w:space="0" w:color="auto"/>
                    <w:bottom w:val="single" w:sz="4" w:space="0" w:color="000000"/>
                    <w:right w:val="single" w:sz="4" w:space="0" w:color="auto"/>
                  </w:tcBorders>
                  <w:vAlign w:val="center"/>
                  <w:hideMark/>
                </w:tcPr>
                <w:p w:rsidR="00726D5B" w:rsidRPr="00143A79" w:rsidRDefault="00726D5B" w:rsidP="00BF159E">
                  <w:pPr>
                    <w:rPr>
                      <w:rFonts w:cs="Arial"/>
                      <w:b/>
                      <w:bCs/>
                      <w:sz w:val="22"/>
                      <w:szCs w:val="22"/>
                      <w:lang w:eastAsia="en-GB"/>
                    </w:rPr>
                  </w:pPr>
                </w:p>
              </w:tc>
              <w:tc>
                <w:tcPr>
                  <w:tcW w:w="1232" w:type="dxa"/>
                  <w:tcBorders>
                    <w:top w:val="nil"/>
                    <w:left w:val="single" w:sz="4" w:space="0" w:color="auto"/>
                    <w:bottom w:val="single" w:sz="4" w:space="0" w:color="auto"/>
                    <w:right w:val="single" w:sz="4" w:space="0" w:color="auto"/>
                  </w:tcBorders>
                </w:tcPr>
                <w:p w:rsidR="00726D5B" w:rsidRPr="00143A79" w:rsidRDefault="00726D5B" w:rsidP="00BF159E">
                  <w:pPr>
                    <w:jc w:val="center"/>
                    <w:rPr>
                      <w:rFonts w:cs="Arial"/>
                      <w:b/>
                      <w:bCs/>
                      <w:sz w:val="22"/>
                      <w:szCs w:val="22"/>
                      <w:lang w:eastAsia="en-GB"/>
                    </w:rPr>
                  </w:pPr>
                  <w:r w:rsidRPr="00143A79">
                    <w:rPr>
                      <w:rFonts w:cs="Arial"/>
                      <w:b/>
                      <w:bCs/>
                      <w:sz w:val="22"/>
                      <w:szCs w:val="22"/>
                      <w:lang w:eastAsia="en-GB"/>
                    </w:rPr>
                    <w:t>£’000</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726D5B" w:rsidRPr="00143A79" w:rsidRDefault="00726D5B" w:rsidP="00BF159E">
                  <w:pPr>
                    <w:jc w:val="center"/>
                    <w:rPr>
                      <w:rFonts w:cs="Arial"/>
                      <w:b/>
                      <w:bCs/>
                      <w:sz w:val="22"/>
                      <w:szCs w:val="22"/>
                      <w:lang w:eastAsia="en-GB"/>
                    </w:rPr>
                  </w:pPr>
                  <w:r w:rsidRPr="00143A79">
                    <w:rPr>
                      <w:rFonts w:cs="Arial"/>
                      <w:b/>
                      <w:bCs/>
                      <w:sz w:val="22"/>
                      <w:szCs w:val="22"/>
                      <w:lang w:eastAsia="en-GB"/>
                    </w:rPr>
                    <w:t xml:space="preserve"> £</w:t>
                  </w:r>
                  <w:r>
                    <w:rPr>
                      <w:rFonts w:cs="Arial"/>
                      <w:b/>
                      <w:bCs/>
                      <w:sz w:val="22"/>
                      <w:szCs w:val="22"/>
                      <w:lang w:eastAsia="en-GB"/>
                    </w:rPr>
                    <w:t>’</w:t>
                  </w:r>
                  <w:r w:rsidRPr="00143A79">
                    <w:rPr>
                      <w:rFonts w:cs="Arial"/>
                      <w:b/>
                      <w:bCs/>
                      <w:sz w:val="22"/>
                      <w:szCs w:val="22"/>
                      <w:lang w:eastAsia="en-GB"/>
                    </w:rPr>
                    <w:t xml:space="preserve">000 </w:t>
                  </w:r>
                </w:p>
              </w:tc>
              <w:tc>
                <w:tcPr>
                  <w:tcW w:w="1349" w:type="dxa"/>
                  <w:tcBorders>
                    <w:top w:val="nil"/>
                    <w:left w:val="nil"/>
                    <w:bottom w:val="single" w:sz="4" w:space="0" w:color="auto"/>
                    <w:right w:val="single" w:sz="4" w:space="0" w:color="auto"/>
                  </w:tcBorders>
                </w:tcPr>
                <w:p w:rsidR="00726D5B" w:rsidRPr="00143A79" w:rsidRDefault="00726D5B" w:rsidP="00BF159E">
                  <w:pPr>
                    <w:jc w:val="center"/>
                    <w:rPr>
                      <w:rFonts w:cs="Arial"/>
                      <w:b/>
                      <w:bCs/>
                      <w:sz w:val="22"/>
                      <w:szCs w:val="22"/>
                      <w:lang w:eastAsia="en-GB"/>
                    </w:rPr>
                  </w:pPr>
                  <w:r w:rsidRPr="00143A79">
                    <w:rPr>
                      <w:rFonts w:cs="Arial"/>
                      <w:b/>
                      <w:bCs/>
                      <w:sz w:val="22"/>
                      <w:szCs w:val="22"/>
                      <w:lang w:eastAsia="en-GB"/>
                    </w:rPr>
                    <w:t>£</w:t>
                  </w:r>
                  <w:r>
                    <w:rPr>
                      <w:rFonts w:cs="Arial"/>
                      <w:b/>
                      <w:bCs/>
                      <w:sz w:val="22"/>
                      <w:szCs w:val="22"/>
                      <w:lang w:eastAsia="en-GB"/>
                    </w:rPr>
                    <w:t>’</w:t>
                  </w:r>
                  <w:r w:rsidRPr="00143A79">
                    <w:rPr>
                      <w:rFonts w:cs="Arial"/>
                      <w:b/>
                      <w:bCs/>
                      <w:sz w:val="22"/>
                      <w:szCs w:val="22"/>
                      <w:lang w:eastAsia="en-GB"/>
                    </w:rPr>
                    <w:t>000</w:t>
                  </w:r>
                </w:p>
              </w:tc>
              <w:tc>
                <w:tcPr>
                  <w:tcW w:w="1199" w:type="dxa"/>
                  <w:tcBorders>
                    <w:top w:val="nil"/>
                    <w:left w:val="single" w:sz="4" w:space="0" w:color="auto"/>
                    <w:bottom w:val="nil"/>
                    <w:right w:val="single" w:sz="4" w:space="0" w:color="auto"/>
                  </w:tcBorders>
                  <w:shd w:val="clear" w:color="auto" w:fill="auto"/>
                  <w:noWrap/>
                  <w:vAlign w:val="bottom"/>
                  <w:hideMark/>
                </w:tcPr>
                <w:p w:rsidR="00726D5B" w:rsidRPr="00143A79" w:rsidRDefault="00726D5B" w:rsidP="00BF159E">
                  <w:pPr>
                    <w:jc w:val="center"/>
                    <w:rPr>
                      <w:rFonts w:cs="Arial"/>
                      <w:b/>
                      <w:bCs/>
                      <w:sz w:val="22"/>
                      <w:szCs w:val="22"/>
                      <w:lang w:eastAsia="en-GB"/>
                    </w:rPr>
                  </w:pPr>
                  <w:r w:rsidRPr="00143A79">
                    <w:rPr>
                      <w:rFonts w:cs="Arial"/>
                      <w:b/>
                      <w:bCs/>
                      <w:sz w:val="22"/>
                      <w:szCs w:val="22"/>
                      <w:lang w:eastAsia="en-GB"/>
                    </w:rPr>
                    <w:t xml:space="preserve"> £</w:t>
                  </w:r>
                  <w:r>
                    <w:rPr>
                      <w:rFonts w:cs="Arial"/>
                      <w:b/>
                      <w:bCs/>
                      <w:sz w:val="22"/>
                      <w:szCs w:val="22"/>
                      <w:lang w:eastAsia="en-GB"/>
                    </w:rPr>
                    <w:t>’</w:t>
                  </w:r>
                  <w:r w:rsidRPr="00143A79">
                    <w:rPr>
                      <w:rFonts w:cs="Arial"/>
                      <w:b/>
                      <w:bCs/>
                      <w:sz w:val="22"/>
                      <w:szCs w:val="22"/>
                      <w:lang w:eastAsia="en-GB"/>
                    </w:rPr>
                    <w:t xml:space="preserve">000 </w:t>
                  </w:r>
                </w:p>
              </w:tc>
              <w:tc>
                <w:tcPr>
                  <w:tcW w:w="1196" w:type="dxa"/>
                  <w:tcBorders>
                    <w:top w:val="nil"/>
                    <w:left w:val="single" w:sz="4" w:space="0" w:color="auto"/>
                    <w:bottom w:val="nil"/>
                    <w:right w:val="single" w:sz="4" w:space="0" w:color="auto"/>
                  </w:tcBorders>
                </w:tcPr>
                <w:p w:rsidR="00726D5B" w:rsidRPr="00143A79" w:rsidRDefault="00726D5B" w:rsidP="00BF159E">
                  <w:pPr>
                    <w:jc w:val="center"/>
                    <w:rPr>
                      <w:rFonts w:cs="Arial"/>
                      <w:b/>
                      <w:bCs/>
                      <w:sz w:val="22"/>
                      <w:szCs w:val="22"/>
                      <w:lang w:eastAsia="en-GB"/>
                    </w:rPr>
                  </w:pPr>
                  <w:r>
                    <w:rPr>
                      <w:rFonts w:cs="Arial"/>
                      <w:b/>
                      <w:bCs/>
                      <w:sz w:val="22"/>
                      <w:szCs w:val="22"/>
                      <w:lang w:eastAsia="en-GB"/>
                    </w:rPr>
                    <w:t>£’000</w:t>
                  </w:r>
                </w:p>
              </w:tc>
            </w:tr>
            <w:tr w:rsidR="00726D5B" w:rsidRPr="00BF159E" w:rsidTr="00335B61">
              <w:trPr>
                <w:trHeight w:val="548"/>
              </w:trPr>
              <w:tc>
                <w:tcPr>
                  <w:tcW w:w="2467" w:type="dxa"/>
                  <w:tcBorders>
                    <w:top w:val="nil"/>
                    <w:left w:val="single" w:sz="4" w:space="0" w:color="auto"/>
                    <w:bottom w:val="nil"/>
                    <w:right w:val="single" w:sz="4" w:space="0" w:color="auto"/>
                  </w:tcBorders>
                  <w:shd w:val="clear" w:color="auto" w:fill="auto"/>
                  <w:noWrap/>
                  <w:vAlign w:val="center"/>
                  <w:hideMark/>
                </w:tcPr>
                <w:p w:rsidR="00726D5B" w:rsidRPr="00143A79" w:rsidRDefault="00726D5B" w:rsidP="00335B61">
                  <w:pPr>
                    <w:rPr>
                      <w:rFonts w:cs="Arial"/>
                      <w:sz w:val="22"/>
                      <w:szCs w:val="22"/>
                      <w:lang w:eastAsia="en-GB"/>
                    </w:rPr>
                  </w:pPr>
                  <w:r w:rsidRPr="00143A79">
                    <w:rPr>
                      <w:rFonts w:cs="Arial"/>
                      <w:sz w:val="22"/>
                      <w:szCs w:val="22"/>
                      <w:lang w:eastAsia="en-GB"/>
                    </w:rPr>
                    <w:t>Leisure, Wellbeing &amp; Health</w:t>
                  </w:r>
                </w:p>
              </w:tc>
              <w:tc>
                <w:tcPr>
                  <w:tcW w:w="1232" w:type="dxa"/>
                  <w:tcBorders>
                    <w:top w:val="nil"/>
                    <w:left w:val="single" w:sz="4" w:space="0" w:color="auto"/>
                    <w:bottom w:val="nil"/>
                    <w:right w:val="single" w:sz="4" w:space="0" w:color="auto"/>
                  </w:tcBorders>
                  <w:vAlign w:val="center"/>
                </w:tcPr>
                <w:p w:rsidR="00726D5B" w:rsidRPr="00143A79" w:rsidRDefault="00726D5B" w:rsidP="007B62E2">
                  <w:pPr>
                    <w:jc w:val="right"/>
                    <w:rPr>
                      <w:rFonts w:cs="Arial"/>
                      <w:sz w:val="22"/>
                      <w:szCs w:val="22"/>
                      <w:lang w:eastAsia="en-GB"/>
                    </w:rPr>
                  </w:pPr>
                  <w:r>
                    <w:rPr>
                      <w:rFonts w:cs="Arial"/>
                      <w:sz w:val="22"/>
                      <w:szCs w:val="22"/>
                      <w:lang w:eastAsia="en-GB"/>
                    </w:rPr>
                    <w:t>2,270</w:t>
                  </w:r>
                </w:p>
              </w:tc>
              <w:tc>
                <w:tcPr>
                  <w:tcW w:w="1232" w:type="dxa"/>
                  <w:tcBorders>
                    <w:top w:val="nil"/>
                    <w:left w:val="single" w:sz="4" w:space="0" w:color="auto"/>
                    <w:bottom w:val="nil"/>
                    <w:right w:val="single" w:sz="4" w:space="0" w:color="auto"/>
                  </w:tcBorders>
                  <w:shd w:val="clear" w:color="auto" w:fill="auto"/>
                  <w:noWrap/>
                  <w:vAlign w:val="center"/>
                </w:tcPr>
                <w:p w:rsidR="00726D5B" w:rsidRPr="00143A79" w:rsidRDefault="00726D5B" w:rsidP="007B62E2">
                  <w:pPr>
                    <w:jc w:val="right"/>
                    <w:rPr>
                      <w:rFonts w:cs="Arial"/>
                      <w:sz w:val="22"/>
                      <w:szCs w:val="22"/>
                      <w:lang w:eastAsia="en-GB"/>
                    </w:rPr>
                  </w:pPr>
                  <w:r>
                    <w:rPr>
                      <w:rFonts w:cs="Arial"/>
                      <w:sz w:val="22"/>
                      <w:szCs w:val="22"/>
                      <w:lang w:eastAsia="en-GB"/>
                    </w:rPr>
                    <w:t>2,249</w:t>
                  </w:r>
                </w:p>
              </w:tc>
              <w:tc>
                <w:tcPr>
                  <w:tcW w:w="1349" w:type="dxa"/>
                  <w:tcBorders>
                    <w:top w:val="nil"/>
                    <w:left w:val="nil"/>
                    <w:bottom w:val="nil"/>
                    <w:right w:val="single" w:sz="4" w:space="0" w:color="auto"/>
                  </w:tcBorders>
                  <w:vAlign w:val="center"/>
                </w:tcPr>
                <w:p w:rsidR="00726D5B" w:rsidRPr="00143A79" w:rsidRDefault="00726D5B" w:rsidP="007C6F79">
                  <w:pPr>
                    <w:jc w:val="right"/>
                    <w:rPr>
                      <w:rFonts w:cs="Arial"/>
                      <w:sz w:val="22"/>
                      <w:szCs w:val="22"/>
                      <w:lang w:eastAsia="en-GB"/>
                    </w:rPr>
                  </w:pPr>
                  <w:r>
                    <w:rPr>
                      <w:rFonts w:cs="Arial"/>
                      <w:sz w:val="22"/>
                      <w:szCs w:val="22"/>
                      <w:lang w:eastAsia="en-GB"/>
                    </w:rPr>
                    <w:t>1,</w:t>
                  </w:r>
                  <w:r w:rsidR="007C6F79">
                    <w:rPr>
                      <w:rFonts w:cs="Arial"/>
                      <w:sz w:val="22"/>
                      <w:szCs w:val="22"/>
                      <w:lang w:eastAsia="en-GB"/>
                    </w:rPr>
                    <w:t>252</w:t>
                  </w:r>
                </w:p>
              </w:tc>
              <w:tc>
                <w:tcPr>
                  <w:tcW w:w="1199" w:type="dxa"/>
                  <w:tcBorders>
                    <w:top w:val="single" w:sz="4" w:space="0" w:color="auto"/>
                    <w:left w:val="single" w:sz="4" w:space="0" w:color="auto"/>
                    <w:bottom w:val="nil"/>
                    <w:right w:val="single" w:sz="4" w:space="0" w:color="auto"/>
                  </w:tcBorders>
                  <w:shd w:val="clear" w:color="auto" w:fill="auto"/>
                  <w:noWrap/>
                  <w:vAlign w:val="center"/>
                </w:tcPr>
                <w:p w:rsidR="00726D5B" w:rsidRPr="00143A79" w:rsidRDefault="00726D5B" w:rsidP="00C31F9C">
                  <w:pPr>
                    <w:jc w:val="right"/>
                    <w:rPr>
                      <w:rFonts w:cs="Arial"/>
                      <w:sz w:val="22"/>
                      <w:szCs w:val="22"/>
                      <w:lang w:eastAsia="en-GB"/>
                    </w:rPr>
                  </w:pPr>
                  <w:r>
                    <w:rPr>
                      <w:rFonts w:cs="Arial"/>
                      <w:sz w:val="22"/>
                      <w:szCs w:val="22"/>
                      <w:lang w:eastAsia="en-GB"/>
                    </w:rPr>
                    <w:t>2,1</w:t>
                  </w:r>
                  <w:r w:rsidR="00C31F9C">
                    <w:rPr>
                      <w:rFonts w:cs="Arial"/>
                      <w:sz w:val="22"/>
                      <w:szCs w:val="22"/>
                      <w:lang w:eastAsia="en-GB"/>
                    </w:rPr>
                    <w:t>34</w:t>
                  </w:r>
                </w:p>
              </w:tc>
              <w:tc>
                <w:tcPr>
                  <w:tcW w:w="1196" w:type="dxa"/>
                  <w:tcBorders>
                    <w:top w:val="single" w:sz="4" w:space="0" w:color="auto"/>
                    <w:left w:val="single" w:sz="4" w:space="0" w:color="auto"/>
                    <w:bottom w:val="nil"/>
                    <w:right w:val="single" w:sz="4" w:space="0" w:color="auto"/>
                  </w:tcBorders>
                  <w:vAlign w:val="center"/>
                </w:tcPr>
                <w:p w:rsidR="00726D5B" w:rsidRPr="00143A79" w:rsidRDefault="00FF1F7B" w:rsidP="00C31F9C">
                  <w:pPr>
                    <w:jc w:val="right"/>
                    <w:rPr>
                      <w:rFonts w:cs="Arial"/>
                      <w:sz w:val="22"/>
                      <w:szCs w:val="22"/>
                      <w:lang w:eastAsia="en-GB"/>
                    </w:rPr>
                  </w:pPr>
                  <w:r>
                    <w:rPr>
                      <w:rFonts w:cs="Arial"/>
                      <w:sz w:val="22"/>
                      <w:szCs w:val="22"/>
                      <w:lang w:eastAsia="en-GB"/>
                    </w:rPr>
                    <w:t>(1</w:t>
                  </w:r>
                  <w:r w:rsidR="00C31F9C">
                    <w:rPr>
                      <w:rFonts w:cs="Arial"/>
                      <w:sz w:val="22"/>
                      <w:szCs w:val="22"/>
                      <w:lang w:eastAsia="en-GB"/>
                    </w:rPr>
                    <w:t>15</w:t>
                  </w:r>
                  <w:r>
                    <w:rPr>
                      <w:rFonts w:cs="Arial"/>
                      <w:sz w:val="22"/>
                      <w:szCs w:val="22"/>
                      <w:lang w:eastAsia="en-GB"/>
                    </w:rPr>
                    <w:t>)</w:t>
                  </w:r>
                </w:p>
              </w:tc>
            </w:tr>
            <w:tr w:rsidR="00726D5B" w:rsidRPr="00BF159E" w:rsidTr="007B62E2">
              <w:trPr>
                <w:trHeight w:val="268"/>
              </w:trPr>
              <w:tc>
                <w:tcPr>
                  <w:tcW w:w="2467" w:type="dxa"/>
                  <w:tcBorders>
                    <w:top w:val="nil"/>
                    <w:left w:val="single" w:sz="4" w:space="0" w:color="auto"/>
                    <w:bottom w:val="nil"/>
                    <w:right w:val="single" w:sz="4" w:space="0" w:color="auto"/>
                  </w:tcBorders>
                  <w:shd w:val="clear" w:color="auto" w:fill="auto"/>
                  <w:noWrap/>
                  <w:vAlign w:val="center"/>
                  <w:hideMark/>
                </w:tcPr>
                <w:p w:rsidR="00726D5B" w:rsidRPr="00143A79" w:rsidRDefault="00726D5B" w:rsidP="00BF159E">
                  <w:pPr>
                    <w:rPr>
                      <w:rFonts w:cs="Arial"/>
                      <w:sz w:val="22"/>
                      <w:szCs w:val="22"/>
                      <w:lang w:eastAsia="en-GB"/>
                    </w:rPr>
                  </w:pPr>
                  <w:r w:rsidRPr="00143A79">
                    <w:rPr>
                      <w:rFonts w:cs="Arial"/>
                      <w:sz w:val="22"/>
                      <w:szCs w:val="22"/>
                      <w:lang w:eastAsia="en-GB"/>
                    </w:rPr>
                    <w:t xml:space="preserve">Sustainable Development, </w:t>
                  </w:r>
                </w:p>
                <w:p w:rsidR="00726D5B" w:rsidRPr="00143A79" w:rsidRDefault="00726D5B" w:rsidP="00335B61">
                  <w:pPr>
                    <w:rPr>
                      <w:rFonts w:cs="Arial"/>
                      <w:sz w:val="22"/>
                      <w:szCs w:val="22"/>
                      <w:lang w:eastAsia="en-GB"/>
                    </w:rPr>
                  </w:pPr>
                  <w:r w:rsidRPr="00143A79">
                    <w:rPr>
                      <w:rFonts w:cs="Arial"/>
                      <w:sz w:val="22"/>
                      <w:szCs w:val="22"/>
                      <w:lang w:eastAsia="en-GB"/>
                    </w:rPr>
                    <w:t>Planning &amp; Transport</w:t>
                  </w:r>
                </w:p>
              </w:tc>
              <w:tc>
                <w:tcPr>
                  <w:tcW w:w="1232" w:type="dxa"/>
                  <w:tcBorders>
                    <w:top w:val="nil"/>
                    <w:left w:val="single" w:sz="4" w:space="0" w:color="auto"/>
                    <w:bottom w:val="nil"/>
                    <w:right w:val="single" w:sz="4" w:space="0" w:color="auto"/>
                  </w:tcBorders>
                  <w:vAlign w:val="center"/>
                </w:tcPr>
                <w:p w:rsidR="00726D5B" w:rsidRPr="00143A79" w:rsidRDefault="00726D5B" w:rsidP="007B62E2">
                  <w:pPr>
                    <w:jc w:val="right"/>
                    <w:rPr>
                      <w:rFonts w:cs="Arial"/>
                      <w:sz w:val="22"/>
                      <w:szCs w:val="22"/>
                      <w:lang w:eastAsia="en-GB"/>
                    </w:rPr>
                  </w:pPr>
                  <w:r>
                    <w:rPr>
                      <w:rFonts w:cs="Arial"/>
                      <w:sz w:val="22"/>
                      <w:szCs w:val="22"/>
                      <w:lang w:eastAsia="en-GB"/>
                    </w:rPr>
                    <w:t>1,834</w:t>
                  </w:r>
                </w:p>
              </w:tc>
              <w:tc>
                <w:tcPr>
                  <w:tcW w:w="1232" w:type="dxa"/>
                  <w:tcBorders>
                    <w:top w:val="nil"/>
                    <w:left w:val="single" w:sz="4" w:space="0" w:color="auto"/>
                    <w:bottom w:val="nil"/>
                    <w:right w:val="single" w:sz="4" w:space="0" w:color="auto"/>
                  </w:tcBorders>
                  <w:shd w:val="clear" w:color="auto" w:fill="auto"/>
                  <w:noWrap/>
                  <w:vAlign w:val="center"/>
                </w:tcPr>
                <w:p w:rsidR="00726D5B" w:rsidRPr="00143A79" w:rsidRDefault="00726D5B" w:rsidP="007B62E2">
                  <w:pPr>
                    <w:jc w:val="right"/>
                    <w:rPr>
                      <w:rFonts w:cs="Arial"/>
                      <w:sz w:val="22"/>
                      <w:szCs w:val="22"/>
                      <w:lang w:eastAsia="en-GB"/>
                    </w:rPr>
                  </w:pPr>
                  <w:r>
                    <w:rPr>
                      <w:rFonts w:cs="Arial"/>
                      <w:sz w:val="22"/>
                      <w:szCs w:val="22"/>
                      <w:lang w:eastAsia="en-GB"/>
                    </w:rPr>
                    <w:t>2,169</w:t>
                  </w:r>
                </w:p>
              </w:tc>
              <w:tc>
                <w:tcPr>
                  <w:tcW w:w="1349" w:type="dxa"/>
                  <w:tcBorders>
                    <w:top w:val="nil"/>
                    <w:left w:val="nil"/>
                    <w:bottom w:val="nil"/>
                    <w:right w:val="single" w:sz="4" w:space="0" w:color="auto"/>
                  </w:tcBorders>
                  <w:vAlign w:val="center"/>
                </w:tcPr>
                <w:p w:rsidR="00726D5B" w:rsidRPr="00143A79" w:rsidRDefault="000E4D31" w:rsidP="007C6F79">
                  <w:pPr>
                    <w:jc w:val="right"/>
                    <w:rPr>
                      <w:rFonts w:cs="Arial"/>
                      <w:sz w:val="22"/>
                      <w:szCs w:val="22"/>
                      <w:lang w:eastAsia="en-GB"/>
                    </w:rPr>
                  </w:pPr>
                  <w:r>
                    <w:rPr>
                      <w:rFonts w:cs="Arial"/>
                      <w:sz w:val="22"/>
                      <w:szCs w:val="22"/>
                      <w:lang w:eastAsia="en-GB"/>
                    </w:rPr>
                    <w:t>5</w:t>
                  </w:r>
                  <w:r w:rsidR="007C6F79">
                    <w:rPr>
                      <w:rFonts w:cs="Arial"/>
                      <w:sz w:val="22"/>
                      <w:szCs w:val="22"/>
                      <w:lang w:eastAsia="en-GB"/>
                    </w:rPr>
                    <w:t>96</w:t>
                  </w:r>
                </w:p>
              </w:tc>
              <w:tc>
                <w:tcPr>
                  <w:tcW w:w="1199" w:type="dxa"/>
                  <w:tcBorders>
                    <w:top w:val="nil"/>
                    <w:left w:val="single" w:sz="4" w:space="0" w:color="auto"/>
                    <w:bottom w:val="nil"/>
                    <w:right w:val="single" w:sz="4" w:space="0" w:color="auto"/>
                  </w:tcBorders>
                  <w:shd w:val="clear" w:color="auto" w:fill="auto"/>
                  <w:noWrap/>
                  <w:vAlign w:val="center"/>
                </w:tcPr>
                <w:p w:rsidR="00726D5B" w:rsidRPr="00143A79" w:rsidRDefault="00726D5B" w:rsidP="00C31F9C">
                  <w:pPr>
                    <w:jc w:val="right"/>
                    <w:rPr>
                      <w:rFonts w:cs="Arial"/>
                      <w:sz w:val="22"/>
                      <w:szCs w:val="22"/>
                      <w:lang w:eastAsia="en-GB"/>
                    </w:rPr>
                  </w:pPr>
                  <w:r>
                    <w:rPr>
                      <w:rFonts w:cs="Arial"/>
                      <w:sz w:val="22"/>
                      <w:szCs w:val="22"/>
                      <w:lang w:eastAsia="en-GB"/>
                    </w:rPr>
                    <w:t>2,12</w:t>
                  </w:r>
                  <w:r w:rsidR="00C31F9C">
                    <w:rPr>
                      <w:rFonts w:cs="Arial"/>
                      <w:sz w:val="22"/>
                      <w:szCs w:val="22"/>
                      <w:lang w:eastAsia="en-GB"/>
                    </w:rPr>
                    <w:t>7</w:t>
                  </w:r>
                </w:p>
              </w:tc>
              <w:tc>
                <w:tcPr>
                  <w:tcW w:w="1196" w:type="dxa"/>
                  <w:tcBorders>
                    <w:top w:val="nil"/>
                    <w:left w:val="single" w:sz="4" w:space="0" w:color="auto"/>
                    <w:bottom w:val="nil"/>
                    <w:right w:val="single" w:sz="4" w:space="0" w:color="auto"/>
                  </w:tcBorders>
                  <w:vAlign w:val="center"/>
                </w:tcPr>
                <w:p w:rsidR="00726D5B" w:rsidRPr="00143A79" w:rsidRDefault="00FF1F7B" w:rsidP="00C31F9C">
                  <w:pPr>
                    <w:jc w:val="right"/>
                    <w:rPr>
                      <w:rFonts w:cs="Arial"/>
                      <w:sz w:val="22"/>
                      <w:szCs w:val="22"/>
                      <w:lang w:eastAsia="en-GB"/>
                    </w:rPr>
                  </w:pPr>
                  <w:r>
                    <w:rPr>
                      <w:rFonts w:cs="Arial"/>
                      <w:sz w:val="22"/>
                      <w:szCs w:val="22"/>
                      <w:lang w:eastAsia="en-GB"/>
                    </w:rPr>
                    <w:t>(4</w:t>
                  </w:r>
                  <w:r w:rsidR="00C31F9C">
                    <w:rPr>
                      <w:rFonts w:cs="Arial"/>
                      <w:sz w:val="22"/>
                      <w:szCs w:val="22"/>
                      <w:lang w:eastAsia="en-GB"/>
                    </w:rPr>
                    <w:t>2</w:t>
                  </w:r>
                  <w:r>
                    <w:rPr>
                      <w:rFonts w:cs="Arial"/>
                      <w:sz w:val="22"/>
                      <w:szCs w:val="22"/>
                      <w:lang w:eastAsia="en-GB"/>
                    </w:rPr>
                    <w:t>)</w:t>
                  </w:r>
                </w:p>
              </w:tc>
            </w:tr>
            <w:tr w:rsidR="00726D5B" w:rsidRPr="00BF159E" w:rsidTr="007B62E2">
              <w:trPr>
                <w:trHeight w:val="813"/>
              </w:trPr>
              <w:tc>
                <w:tcPr>
                  <w:tcW w:w="2467" w:type="dxa"/>
                  <w:tcBorders>
                    <w:top w:val="nil"/>
                    <w:left w:val="single" w:sz="4" w:space="0" w:color="auto"/>
                    <w:bottom w:val="nil"/>
                    <w:right w:val="single" w:sz="4" w:space="0" w:color="auto"/>
                  </w:tcBorders>
                  <w:shd w:val="clear" w:color="auto" w:fill="auto"/>
                  <w:noWrap/>
                  <w:vAlign w:val="center"/>
                  <w:hideMark/>
                </w:tcPr>
                <w:p w:rsidR="007B62E2" w:rsidRPr="00143A79" w:rsidRDefault="00726D5B" w:rsidP="00335B61">
                  <w:pPr>
                    <w:rPr>
                      <w:rFonts w:cs="Arial"/>
                      <w:sz w:val="22"/>
                      <w:szCs w:val="22"/>
                      <w:lang w:eastAsia="en-GB"/>
                    </w:rPr>
                  </w:pPr>
                  <w:r w:rsidRPr="00143A79">
                    <w:rPr>
                      <w:rFonts w:cs="Arial"/>
                      <w:sz w:val="22"/>
                      <w:szCs w:val="22"/>
                      <w:lang w:eastAsia="en-GB"/>
                    </w:rPr>
                    <w:t>General Public Services &amp; Community Safety</w:t>
                  </w:r>
                </w:p>
              </w:tc>
              <w:tc>
                <w:tcPr>
                  <w:tcW w:w="1232" w:type="dxa"/>
                  <w:tcBorders>
                    <w:top w:val="nil"/>
                    <w:left w:val="single" w:sz="4" w:space="0" w:color="auto"/>
                    <w:bottom w:val="nil"/>
                    <w:right w:val="single" w:sz="4" w:space="0" w:color="auto"/>
                  </w:tcBorders>
                  <w:vAlign w:val="center"/>
                </w:tcPr>
                <w:p w:rsidR="00726D5B" w:rsidRPr="00143A79" w:rsidRDefault="00726D5B" w:rsidP="007B62E2">
                  <w:pPr>
                    <w:jc w:val="right"/>
                    <w:rPr>
                      <w:rFonts w:cs="Arial"/>
                      <w:sz w:val="22"/>
                      <w:szCs w:val="22"/>
                      <w:lang w:eastAsia="en-GB"/>
                    </w:rPr>
                  </w:pPr>
                  <w:r>
                    <w:rPr>
                      <w:rFonts w:cs="Arial"/>
                      <w:sz w:val="22"/>
                      <w:szCs w:val="22"/>
                      <w:lang w:eastAsia="en-GB"/>
                    </w:rPr>
                    <w:t>1,947</w:t>
                  </w:r>
                </w:p>
              </w:tc>
              <w:tc>
                <w:tcPr>
                  <w:tcW w:w="1232" w:type="dxa"/>
                  <w:tcBorders>
                    <w:top w:val="nil"/>
                    <w:left w:val="single" w:sz="4" w:space="0" w:color="auto"/>
                    <w:bottom w:val="nil"/>
                    <w:right w:val="single" w:sz="4" w:space="0" w:color="auto"/>
                  </w:tcBorders>
                  <w:shd w:val="clear" w:color="auto" w:fill="auto"/>
                  <w:noWrap/>
                  <w:vAlign w:val="center"/>
                </w:tcPr>
                <w:p w:rsidR="00726D5B" w:rsidRPr="00143A79" w:rsidRDefault="00726D5B" w:rsidP="007B62E2">
                  <w:pPr>
                    <w:jc w:val="right"/>
                    <w:rPr>
                      <w:rFonts w:cs="Arial"/>
                      <w:sz w:val="22"/>
                      <w:szCs w:val="22"/>
                      <w:lang w:eastAsia="en-GB"/>
                    </w:rPr>
                  </w:pPr>
                  <w:r>
                    <w:rPr>
                      <w:rFonts w:cs="Arial"/>
                      <w:sz w:val="22"/>
                      <w:szCs w:val="22"/>
                      <w:lang w:eastAsia="en-GB"/>
                    </w:rPr>
                    <w:t>1,79</w:t>
                  </w:r>
                  <w:r w:rsidR="00FF1F7B">
                    <w:rPr>
                      <w:rFonts w:cs="Arial"/>
                      <w:sz w:val="22"/>
                      <w:szCs w:val="22"/>
                      <w:lang w:eastAsia="en-GB"/>
                    </w:rPr>
                    <w:t>4</w:t>
                  </w:r>
                </w:p>
              </w:tc>
              <w:tc>
                <w:tcPr>
                  <w:tcW w:w="1349" w:type="dxa"/>
                  <w:tcBorders>
                    <w:top w:val="nil"/>
                    <w:left w:val="nil"/>
                    <w:bottom w:val="nil"/>
                    <w:right w:val="single" w:sz="4" w:space="0" w:color="auto"/>
                  </w:tcBorders>
                  <w:vAlign w:val="center"/>
                </w:tcPr>
                <w:p w:rsidR="00726D5B" w:rsidRPr="00143A79" w:rsidRDefault="00726D5B" w:rsidP="007B62E2">
                  <w:pPr>
                    <w:jc w:val="right"/>
                    <w:rPr>
                      <w:rFonts w:cs="Arial"/>
                      <w:sz w:val="22"/>
                      <w:szCs w:val="22"/>
                      <w:lang w:eastAsia="en-GB"/>
                    </w:rPr>
                  </w:pPr>
                  <w:r>
                    <w:rPr>
                      <w:rFonts w:cs="Arial"/>
                      <w:sz w:val="22"/>
                      <w:szCs w:val="22"/>
                      <w:lang w:eastAsia="en-GB"/>
                    </w:rPr>
                    <w:t>524</w:t>
                  </w:r>
                </w:p>
              </w:tc>
              <w:tc>
                <w:tcPr>
                  <w:tcW w:w="1199" w:type="dxa"/>
                  <w:tcBorders>
                    <w:top w:val="nil"/>
                    <w:left w:val="single" w:sz="4" w:space="0" w:color="auto"/>
                    <w:bottom w:val="nil"/>
                    <w:right w:val="single" w:sz="4" w:space="0" w:color="auto"/>
                  </w:tcBorders>
                  <w:shd w:val="clear" w:color="auto" w:fill="auto"/>
                  <w:noWrap/>
                  <w:vAlign w:val="center"/>
                </w:tcPr>
                <w:p w:rsidR="00726D5B" w:rsidRPr="00143A79" w:rsidRDefault="00726D5B" w:rsidP="007B62E2">
                  <w:pPr>
                    <w:ind w:right="34"/>
                    <w:jc w:val="right"/>
                    <w:rPr>
                      <w:rFonts w:cs="Arial"/>
                      <w:sz w:val="22"/>
                      <w:szCs w:val="22"/>
                      <w:lang w:eastAsia="en-GB"/>
                    </w:rPr>
                  </w:pPr>
                  <w:r>
                    <w:rPr>
                      <w:rFonts w:cs="Arial"/>
                      <w:sz w:val="22"/>
                      <w:szCs w:val="22"/>
                      <w:lang w:eastAsia="en-GB"/>
                    </w:rPr>
                    <w:t>1,776</w:t>
                  </w:r>
                </w:p>
              </w:tc>
              <w:tc>
                <w:tcPr>
                  <w:tcW w:w="1196" w:type="dxa"/>
                  <w:tcBorders>
                    <w:top w:val="nil"/>
                    <w:left w:val="single" w:sz="4" w:space="0" w:color="auto"/>
                    <w:bottom w:val="nil"/>
                    <w:right w:val="single" w:sz="4" w:space="0" w:color="auto"/>
                  </w:tcBorders>
                  <w:vAlign w:val="center"/>
                </w:tcPr>
                <w:p w:rsidR="00726D5B" w:rsidRPr="00143A79" w:rsidRDefault="00991112" w:rsidP="007B62E2">
                  <w:pPr>
                    <w:ind w:right="34"/>
                    <w:jc w:val="right"/>
                    <w:rPr>
                      <w:rFonts w:cs="Arial"/>
                      <w:sz w:val="22"/>
                      <w:szCs w:val="22"/>
                      <w:lang w:eastAsia="en-GB"/>
                    </w:rPr>
                  </w:pPr>
                  <w:r>
                    <w:rPr>
                      <w:rFonts w:cs="Arial"/>
                      <w:sz w:val="22"/>
                      <w:szCs w:val="22"/>
                      <w:lang w:eastAsia="en-GB"/>
                    </w:rPr>
                    <w:t>(18</w:t>
                  </w:r>
                  <w:r w:rsidR="00FF1F7B">
                    <w:rPr>
                      <w:rFonts w:cs="Arial"/>
                      <w:sz w:val="22"/>
                      <w:szCs w:val="22"/>
                      <w:lang w:eastAsia="en-GB"/>
                    </w:rPr>
                    <w:t>)</w:t>
                  </w:r>
                </w:p>
              </w:tc>
            </w:tr>
            <w:tr w:rsidR="00726D5B" w:rsidRPr="00BF159E" w:rsidTr="007B62E2">
              <w:trPr>
                <w:trHeight w:val="256"/>
              </w:trPr>
              <w:tc>
                <w:tcPr>
                  <w:tcW w:w="2467" w:type="dxa"/>
                  <w:tcBorders>
                    <w:top w:val="nil"/>
                    <w:left w:val="single" w:sz="4" w:space="0" w:color="auto"/>
                    <w:bottom w:val="single" w:sz="4" w:space="0" w:color="auto"/>
                    <w:right w:val="single" w:sz="4" w:space="0" w:color="auto"/>
                  </w:tcBorders>
                  <w:shd w:val="clear" w:color="auto" w:fill="auto"/>
                  <w:noWrap/>
                  <w:hideMark/>
                </w:tcPr>
                <w:p w:rsidR="007B62E2" w:rsidRPr="00143A79" w:rsidRDefault="00726D5B" w:rsidP="00335B61">
                  <w:pPr>
                    <w:rPr>
                      <w:rFonts w:cs="Arial"/>
                      <w:sz w:val="22"/>
                      <w:szCs w:val="22"/>
                      <w:lang w:eastAsia="en-GB"/>
                    </w:rPr>
                  </w:pPr>
                  <w:r w:rsidRPr="00143A79">
                    <w:rPr>
                      <w:rFonts w:cs="Arial"/>
                      <w:sz w:val="22"/>
                      <w:szCs w:val="22"/>
                      <w:lang w:eastAsia="en-GB"/>
                    </w:rPr>
                    <w:t>Policy &amp; Resources</w:t>
                  </w:r>
                </w:p>
              </w:tc>
              <w:tc>
                <w:tcPr>
                  <w:tcW w:w="1232" w:type="dxa"/>
                  <w:tcBorders>
                    <w:top w:val="nil"/>
                    <w:left w:val="single" w:sz="4" w:space="0" w:color="auto"/>
                    <w:bottom w:val="single" w:sz="4" w:space="0" w:color="auto"/>
                    <w:right w:val="single" w:sz="4" w:space="0" w:color="auto"/>
                  </w:tcBorders>
                  <w:vAlign w:val="center"/>
                </w:tcPr>
                <w:p w:rsidR="00726D5B" w:rsidRPr="00143A79" w:rsidRDefault="00726D5B" w:rsidP="007B62E2">
                  <w:pPr>
                    <w:jc w:val="right"/>
                    <w:rPr>
                      <w:rFonts w:cs="Arial"/>
                      <w:sz w:val="22"/>
                      <w:szCs w:val="22"/>
                      <w:lang w:eastAsia="en-GB"/>
                    </w:rPr>
                  </w:pPr>
                  <w:r>
                    <w:rPr>
                      <w:rFonts w:cs="Arial"/>
                      <w:sz w:val="22"/>
                      <w:szCs w:val="22"/>
                      <w:lang w:eastAsia="en-GB"/>
                    </w:rPr>
                    <w:t>4,487</w:t>
                  </w:r>
                </w:p>
              </w:tc>
              <w:tc>
                <w:tcPr>
                  <w:tcW w:w="1232" w:type="dxa"/>
                  <w:tcBorders>
                    <w:top w:val="nil"/>
                    <w:left w:val="single" w:sz="4" w:space="0" w:color="auto"/>
                    <w:bottom w:val="single" w:sz="4" w:space="0" w:color="auto"/>
                    <w:right w:val="single" w:sz="4" w:space="0" w:color="auto"/>
                  </w:tcBorders>
                  <w:shd w:val="clear" w:color="auto" w:fill="auto"/>
                  <w:noWrap/>
                  <w:vAlign w:val="center"/>
                </w:tcPr>
                <w:p w:rsidR="00726D5B" w:rsidRPr="00143A79" w:rsidRDefault="00726D5B" w:rsidP="007B62E2">
                  <w:pPr>
                    <w:jc w:val="right"/>
                    <w:rPr>
                      <w:lang w:eastAsia="en-GB"/>
                    </w:rPr>
                  </w:pPr>
                  <w:r>
                    <w:rPr>
                      <w:lang w:eastAsia="en-GB"/>
                    </w:rPr>
                    <w:t>4,849</w:t>
                  </w:r>
                </w:p>
              </w:tc>
              <w:tc>
                <w:tcPr>
                  <w:tcW w:w="1349" w:type="dxa"/>
                  <w:tcBorders>
                    <w:top w:val="nil"/>
                    <w:left w:val="nil"/>
                    <w:bottom w:val="single" w:sz="4" w:space="0" w:color="auto"/>
                    <w:right w:val="single" w:sz="4" w:space="0" w:color="auto"/>
                  </w:tcBorders>
                  <w:vAlign w:val="center"/>
                </w:tcPr>
                <w:p w:rsidR="00726D5B" w:rsidRPr="00143A79" w:rsidRDefault="007C6F79" w:rsidP="007B62E2">
                  <w:pPr>
                    <w:jc w:val="right"/>
                    <w:rPr>
                      <w:rFonts w:cs="Arial"/>
                      <w:sz w:val="22"/>
                      <w:szCs w:val="22"/>
                      <w:lang w:eastAsia="en-GB"/>
                    </w:rPr>
                  </w:pPr>
                  <w:r>
                    <w:rPr>
                      <w:rFonts w:cs="Arial"/>
                      <w:sz w:val="22"/>
                      <w:szCs w:val="22"/>
                      <w:lang w:eastAsia="en-GB"/>
                    </w:rPr>
                    <w:t>4,051</w:t>
                  </w:r>
                </w:p>
              </w:tc>
              <w:tc>
                <w:tcPr>
                  <w:tcW w:w="1199" w:type="dxa"/>
                  <w:tcBorders>
                    <w:top w:val="nil"/>
                    <w:left w:val="single" w:sz="4" w:space="0" w:color="auto"/>
                    <w:bottom w:val="single" w:sz="4" w:space="0" w:color="auto"/>
                    <w:right w:val="single" w:sz="4" w:space="0" w:color="auto"/>
                  </w:tcBorders>
                  <w:shd w:val="clear" w:color="auto" w:fill="auto"/>
                  <w:noWrap/>
                  <w:vAlign w:val="center"/>
                </w:tcPr>
                <w:p w:rsidR="00726D5B" w:rsidRPr="00143A79" w:rsidRDefault="00726D5B" w:rsidP="00C31F9C">
                  <w:pPr>
                    <w:jc w:val="right"/>
                    <w:rPr>
                      <w:rFonts w:cs="Arial"/>
                      <w:sz w:val="22"/>
                      <w:szCs w:val="22"/>
                      <w:lang w:eastAsia="en-GB"/>
                    </w:rPr>
                  </w:pPr>
                  <w:r>
                    <w:rPr>
                      <w:rFonts w:cs="Arial"/>
                      <w:sz w:val="22"/>
                      <w:szCs w:val="22"/>
                      <w:lang w:eastAsia="en-GB"/>
                    </w:rPr>
                    <w:t>4,</w:t>
                  </w:r>
                  <w:r w:rsidR="00FF1F7B">
                    <w:rPr>
                      <w:rFonts w:cs="Arial"/>
                      <w:sz w:val="22"/>
                      <w:szCs w:val="22"/>
                      <w:lang w:eastAsia="en-GB"/>
                    </w:rPr>
                    <w:t>9</w:t>
                  </w:r>
                  <w:r>
                    <w:rPr>
                      <w:rFonts w:cs="Arial"/>
                      <w:sz w:val="22"/>
                      <w:szCs w:val="22"/>
                      <w:lang w:eastAsia="en-GB"/>
                    </w:rPr>
                    <w:t>1</w:t>
                  </w:r>
                  <w:r w:rsidR="00C31F9C">
                    <w:rPr>
                      <w:rFonts w:cs="Arial"/>
                      <w:sz w:val="22"/>
                      <w:szCs w:val="22"/>
                      <w:lang w:eastAsia="en-GB"/>
                    </w:rPr>
                    <w:t>2</w:t>
                  </w:r>
                </w:p>
              </w:tc>
              <w:tc>
                <w:tcPr>
                  <w:tcW w:w="1196" w:type="dxa"/>
                  <w:tcBorders>
                    <w:top w:val="nil"/>
                    <w:left w:val="single" w:sz="4" w:space="0" w:color="auto"/>
                    <w:bottom w:val="single" w:sz="4" w:space="0" w:color="auto"/>
                    <w:right w:val="single" w:sz="4" w:space="0" w:color="auto"/>
                  </w:tcBorders>
                  <w:vAlign w:val="center"/>
                </w:tcPr>
                <w:p w:rsidR="00726D5B" w:rsidRPr="00143A79" w:rsidRDefault="00FF1F7B" w:rsidP="00C31F9C">
                  <w:pPr>
                    <w:jc w:val="right"/>
                    <w:rPr>
                      <w:rFonts w:cs="Arial"/>
                      <w:sz w:val="22"/>
                      <w:szCs w:val="22"/>
                      <w:lang w:eastAsia="en-GB"/>
                    </w:rPr>
                  </w:pPr>
                  <w:r>
                    <w:rPr>
                      <w:rFonts w:cs="Arial"/>
                      <w:sz w:val="22"/>
                      <w:szCs w:val="22"/>
                      <w:lang w:eastAsia="en-GB"/>
                    </w:rPr>
                    <w:t>6</w:t>
                  </w:r>
                  <w:r w:rsidR="00C31F9C">
                    <w:rPr>
                      <w:rFonts w:cs="Arial"/>
                      <w:sz w:val="22"/>
                      <w:szCs w:val="22"/>
                      <w:lang w:eastAsia="en-GB"/>
                    </w:rPr>
                    <w:t>3</w:t>
                  </w:r>
                </w:p>
              </w:tc>
            </w:tr>
            <w:tr w:rsidR="00726D5B" w:rsidRPr="00BF159E" w:rsidTr="007B62E2">
              <w:trPr>
                <w:trHeight w:val="303"/>
              </w:trPr>
              <w:tc>
                <w:tcPr>
                  <w:tcW w:w="2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6D5B" w:rsidRPr="00143A79" w:rsidRDefault="00726D5B" w:rsidP="00594250">
                  <w:pPr>
                    <w:rPr>
                      <w:rFonts w:cs="Arial"/>
                      <w:sz w:val="22"/>
                      <w:szCs w:val="22"/>
                      <w:lang w:eastAsia="en-GB"/>
                    </w:rPr>
                  </w:pPr>
                  <w:r w:rsidRPr="00143A79">
                    <w:rPr>
                      <w:rFonts w:cs="Arial"/>
                      <w:b/>
                      <w:bCs/>
                      <w:sz w:val="22"/>
                      <w:szCs w:val="22"/>
                      <w:lang w:eastAsia="en-GB"/>
                    </w:rPr>
                    <w:t>Net General Fund</w:t>
                  </w:r>
                </w:p>
              </w:tc>
              <w:tc>
                <w:tcPr>
                  <w:tcW w:w="1232" w:type="dxa"/>
                  <w:tcBorders>
                    <w:top w:val="single" w:sz="4" w:space="0" w:color="auto"/>
                    <w:left w:val="nil"/>
                    <w:bottom w:val="single" w:sz="4" w:space="0" w:color="auto"/>
                    <w:right w:val="single" w:sz="4" w:space="0" w:color="auto"/>
                  </w:tcBorders>
                </w:tcPr>
                <w:p w:rsidR="00726D5B" w:rsidRPr="00143A79" w:rsidRDefault="00726D5B" w:rsidP="007B62E2">
                  <w:pPr>
                    <w:jc w:val="right"/>
                    <w:rPr>
                      <w:rFonts w:cs="Arial"/>
                      <w:b/>
                      <w:bCs/>
                      <w:sz w:val="22"/>
                      <w:szCs w:val="22"/>
                      <w:lang w:eastAsia="en-GB"/>
                    </w:rPr>
                  </w:pPr>
                  <w:r>
                    <w:rPr>
                      <w:rFonts w:cs="Arial"/>
                      <w:b/>
                      <w:bCs/>
                      <w:sz w:val="22"/>
                      <w:szCs w:val="22"/>
                      <w:lang w:eastAsia="en-GB"/>
                    </w:rPr>
                    <w:t>10,538</w:t>
                  </w:r>
                </w:p>
              </w:tc>
              <w:tc>
                <w:tcPr>
                  <w:tcW w:w="1232" w:type="dxa"/>
                  <w:tcBorders>
                    <w:top w:val="single" w:sz="4" w:space="0" w:color="auto"/>
                    <w:left w:val="single" w:sz="4" w:space="0" w:color="auto"/>
                    <w:bottom w:val="single" w:sz="4" w:space="0" w:color="auto"/>
                    <w:right w:val="single" w:sz="4" w:space="0" w:color="auto"/>
                  </w:tcBorders>
                  <w:shd w:val="clear" w:color="auto" w:fill="auto"/>
                  <w:noWrap/>
                </w:tcPr>
                <w:p w:rsidR="00726D5B" w:rsidRPr="00143A79" w:rsidRDefault="00726D5B" w:rsidP="007B62E2">
                  <w:pPr>
                    <w:jc w:val="right"/>
                    <w:rPr>
                      <w:rFonts w:cs="Arial"/>
                      <w:b/>
                      <w:bCs/>
                      <w:sz w:val="22"/>
                      <w:szCs w:val="22"/>
                      <w:lang w:eastAsia="en-GB"/>
                    </w:rPr>
                  </w:pPr>
                  <w:r>
                    <w:rPr>
                      <w:rFonts w:cs="Arial"/>
                      <w:b/>
                      <w:bCs/>
                      <w:sz w:val="22"/>
                      <w:szCs w:val="22"/>
                      <w:lang w:eastAsia="en-GB"/>
                    </w:rPr>
                    <w:t>11,062</w:t>
                  </w:r>
                </w:p>
              </w:tc>
              <w:tc>
                <w:tcPr>
                  <w:tcW w:w="1349" w:type="dxa"/>
                  <w:tcBorders>
                    <w:top w:val="single" w:sz="4" w:space="0" w:color="auto"/>
                    <w:left w:val="nil"/>
                    <w:bottom w:val="single" w:sz="4" w:space="0" w:color="auto"/>
                    <w:right w:val="single" w:sz="4" w:space="0" w:color="auto"/>
                  </w:tcBorders>
                  <w:shd w:val="clear" w:color="auto" w:fill="auto"/>
                </w:tcPr>
                <w:p w:rsidR="00726D5B" w:rsidRPr="00143A79" w:rsidRDefault="000E4D31" w:rsidP="007C6F79">
                  <w:pPr>
                    <w:jc w:val="right"/>
                    <w:rPr>
                      <w:rFonts w:cs="Arial"/>
                      <w:b/>
                      <w:bCs/>
                      <w:sz w:val="22"/>
                      <w:szCs w:val="22"/>
                      <w:lang w:eastAsia="en-GB"/>
                    </w:rPr>
                  </w:pPr>
                  <w:r>
                    <w:rPr>
                      <w:rFonts w:cs="Arial"/>
                      <w:b/>
                      <w:bCs/>
                      <w:sz w:val="22"/>
                      <w:szCs w:val="22"/>
                      <w:lang w:eastAsia="en-GB"/>
                    </w:rPr>
                    <w:t>6,</w:t>
                  </w:r>
                  <w:r w:rsidR="007C6F79">
                    <w:rPr>
                      <w:rFonts w:cs="Arial"/>
                      <w:b/>
                      <w:bCs/>
                      <w:sz w:val="22"/>
                      <w:szCs w:val="22"/>
                      <w:lang w:eastAsia="en-GB"/>
                    </w:rPr>
                    <w:t>422</w:t>
                  </w:r>
                </w:p>
              </w:tc>
              <w:tc>
                <w:tcPr>
                  <w:tcW w:w="1199" w:type="dxa"/>
                  <w:tcBorders>
                    <w:top w:val="single" w:sz="4" w:space="0" w:color="auto"/>
                    <w:left w:val="nil"/>
                    <w:bottom w:val="single" w:sz="4" w:space="0" w:color="auto"/>
                    <w:right w:val="single" w:sz="4" w:space="0" w:color="auto"/>
                  </w:tcBorders>
                  <w:shd w:val="clear" w:color="auto" w:fill="auto"/>
                  <w:noWrap/>
                </w:tcPr>
                <w:p w:rsidR="00726D5B" w:rsidRPr="00143A79" w:rsidRDefault="00726D5B" w:rsidP="00C31F9C">
                  <w:pPr>
                    <w:jc w:val="right"/>
                    <w:rPr>
                      <w:rFonts w:cs="Arial"/>
                      <w:b/>
                      <w:bCs/>
                      <w:sz w:val="22"/>
                      <w:szCs w:val="22"/>
                      <w:lang w:eastAsia="en-GB"/>
                    </w:rPr>
                  </w:pPr>
                  <w:r>
                    <w:rPr>
                      <w:rFonts w:cs="Arial"/>
                      <w:b/>
                      <w:bCs/>
                      <w:sz w:val="22"/>
                      <w:szCs w:val="22"/>
                      <w:lang w:eastAsia="en-GB"/>
                    </w:rPr>
                    <w:t>10,</w:t>
                  </w:r>
                  <w:r w:rsidR="00C31F9C">
                    <w:rPr>
                      <w:rFonts w:cs="Arial"/>
                      <w:b/>
                      <w:bCs/>
                      <w:sz w:val="22"/>
                      <w:szCs w:val="22"/>
                      <w:lang w:eastAsia="en-GB"/>
                    </w:rPr>
                    <w:t>950</w:t>
                  </w:r>
                </w:p>
              </w:tc>
              <w:tc>
                <w:tcPr>
                  <w:tcW w:w="1196" w:type="dxa"/>
                  <w:tcBorders>
                    <w:top w:val="single" w:sz="4" w:space="0" w:color="auto"/>
                    <w:left w:val="nil"/>
                    <w:bottom w:val="single" w:sz="4" w:space="0" w:color="auto"/>
                    <w:right w:val="single" w:sz="4" w:space="0" w:color="auto"/>
                  </w:tcBorders>
                </w:tcPr>
                <w:p w:rsidR="00726D5B" w:rsidRPr="00143A79" w:rsidRDefault="00FF1F7B" w:rsidP="00C31F9C">
                  <w:pPr>
                    <w:jc w:val="right"/>
                    <w:rPr>
                      <w:rFonts w:cs="Arial"/>
                      <w:b/>
                      <w:bCs/>
                      <w:sz w:val="22"/>
                      <w:szCs w:val="22"/>
                      <w:lang w:eastAsia="en-GB"/>
                    </w:rPr>
                  </w:pPr>
                  <w:r>
                    <w:rPr>
                      <w:rFonts w:cs="Arial"/>
                      <w:b/>
                      <w:bCs/>
                      <w:sz w:val="22"/>
                      <w:szCs w:val="22"/>
                      <w:lang w:eastAsia="en-GB"/>
                    </w:rPr>
                    <w:t>(</w:t>
                  </w:r>
                  <w:r w:rsidR="00991112">
                    <w:rPr>
                      <w:rFonts w:cs="Arial"/>
                      <w:b/>
                      <w:bCs/>
                      <w:sz w:val="22"/>
                      <w:szCs w:val="22"/>
                      <w:lang w:eastAsia="en-GB"/>
                    </w:rPr>
                    <w:t>1</w:t>
                  </w:r>
                  <w:r w:rsidR="00C31F9C">
                    <w:rPr>
                      <w:rFonts w:cs="Arial"/>
                      <w:b/>
                      <w:bCs/>
                      <w:sz w:val="22"/>
                      <w:szCs w:val="22"/>
                      <w:lang w:eastAsia="en-GB"/>
                    </w:rPr>
                    <w:t>12</w:t>
                  </w:r>
                  <w:r>
                    <w:rPr>
                      <w:rFonts w:cs="Arial"/>
                      <w:b/>
                      <w:bCs/>
                      <w:sz w:val="22"/>
                      <w:szCs w:val="22"/>
                      <w:lang w:eastAsia="en-GB"/>
                    </w:rPr>
                    <w:t>)</w:t>
                  </w:r>
                </w:p>
              </w:tc>
            </w:tr>
            <w:tr w:rsidR="007B62E2" w:rsidRPr="00BF159E" w:rsidTr="007B62E2">
              <w:trPr>
                <w:trHeight w:val="303"/>
              </w:trPr>
              <w:tc>
                <w:tcPr>
                  <w:tcW w:w="4931" w:type="dxa"/>
                  <w:gridSpan w:val="3"/>
                  <w:tcBorders>
                    <w:top w:val="single" w:sz="4" w:space="0" w:color="auto"/>
                    <w:left w:val="single" w:sz="4" w:space="0" w:color="auto"/>
                    <w:bottom w:val="single" w:sz="4" w:space="0" w:color="auto"/>
                  </w:tcBorders>
                  <w:shd w:val="clear" w:color="auto" w:fill="auto"/>
                  <w:noWrap/>
                  <w:vAlign w:val="center"/>
                </w:tcPr>
                <w:p w:rsidR="007B62E2" w:rsidRPr="00143A79" w:rsidRDefault="007B62E2" w:rsidP="007B62E2">
                  <w:pPr>
                    <w:rPr>
                      <w:rFonts w:cs="Arial"/>
                      <w:b/>
                      <w:bCs/>
                      <w:sz w:val="22"/>
                      <w:szCs w:val="22"/>
                      <w:lang w:eastAsia="en-GB"/>
                    </w:rPr>
                  </w:pPr>
                  <w:r w:rsidRPr="00143A79">
                    <w:rPr>
                      <w:rFonts w:cs="Arial"/>
                      <w:sz w:val="22"/>
                      <w:szCs w:val="22"/>
                      <w:lang w:eastAsia="en-GB"/>
                    </w:rPr>
                    <w:t xml:space="preserve">Funding </w:t>
                  </w:r>
                  <w:r w:rsidRPr="00143A79">
                    <w:rPr>
                      <w:rFonts w:cs="Arial"/>
                      <w:sz w:val="20"/>
                      <w:lang w:eastAsia="en-GB"/>
                    </w:rPr>
                    <w:t xml:space="preserve"> (Business rates &amp; collection fund)</w:t>
                  </w:r>
                </w:p>
              </w:tc>
              <w:tc>
                <w:tcPr>
                  <w:tcW w:w="1349" w:type="dxa"/>
                  <w:tcBorders>
                    <w:top w:val="single" w:sz="4" w:space="0" w:color="auto"/>
                    <w:bottom w:val="single" w:sz="4" w:space="0" w:color="auto"/>
                  </w:tcBorders>
                  <w:shd w:val="clear" w:color="auto" w:fill="auto"/>
                  <w:vAlign w:val="center"/>
                </w:tcPr>
                <w:p w:rsidR="007B62E2" w:rsidRPr="00143A79" w:rsidRDefault="007B62E2" w:rsidP="00BF159E">
                  <w:pPr>
                    <w:jc w:val="right"/>
                    <w:rPr>
                      <w:rFonts w:cs="Arial"/>
                      <w:b/>
                      <w:bCs/>
                      <w:sz w:val="22"/>
                      <w:szCs w:val="22"/>
                      <w:lang w:eastAsia="en-GB"/>
                    </w:rPr>
                  </w:pPr>
                </w:p>
              </w:tc>
              <w:tc>
                <w:tcPr>
                  <w:tcW w:w="1199" w:type="dxa"/>
                  <w:tcBorders>
                    <w:top w:val="single" w:sz="4" w:space="0" w:color="auto"/>
                    <w:bottom w:val="single" w:sz="4" w:space="0" w:color="auto"/>
                    <w:right w:val="single" w:sz="4" w:space="0" w:color="auto"/>
                  </w:tcBorders>
                  <w:shd w:val="clear" w:color="auto" w:fill="auto"/>
                  <w:noWrap/>
                  <w:vAlign w:val="center"/>
                </w:tcPr>
                <w:p w:rsidR="007B62E2" w:rsidRPr="00143A79" w:rsidRDefault="007B62E2" w:rsidP="00705658">
                  <w:pPr>
                    <w:jc w:val="right"/>
                    <w:rPr>
                      <w:rFonts w:cs="Arial"/>
                      <w:b/>
                      <w:bCs/>
                      <w:sz w:val="22"/>
                      <w:szCs w:val="22"/>
                      <w:lang w:eastAsia="en-GB"/>
                    </w:rPr>
                  </w:pPr>
                </w:p>
              </w:tc>
              <w:tc>
                <w:tcPr>
                  <w:tcW w:w="1196" w:type="dxa"/>
                  <w:tcBorders>
                    <w:top w:val="single" w:sz="4" w:space="0" w:color="auto"/>
                    <w:left w:val="nil"/>
                    <w:bottom w:val="single" w:sz="4" w:space="0" w:color="auto"/>
                    <w:right w:val="single" w:sz="4" w:space="0" w:color="auto"/>
                  </w:tcBorders>
                </w:tcPr>
                <w:p w:rsidR="007B62E2" w:rsidRPr="00143A79" w:rsidRDefault="007B62E2" w:rsidP="007B62E2">
                  <w:pPr>
                    <w:jc w:val="right"/>
                    <w:rPr>
                      <w:rFonts w:cs="Arial"/>
                      <w:b/>
                      <w:bCs/>
                      <w:sz w:val="22"/>
                      <w:szCs w:val="22"/>
                      <w:lang w:eastAsia="en-GB"/>
                    </w:rPr>
                  </w:pPr>
                  <w:r>
                    <w:rPr>
                      <w:rFonts w:cs="Arial"/>
                      <w:b/>
                      <w:bCs/>
                      <w:sz w:val="22"/>
                      <w:szCs w:val="22"/>
                      <w:lang w:eastAsia="en-GB"/>
                    </w:rPr>
                    <w:t>(200)</w:t>
                  </w:r>
                </w:p>
              </w:tc>
            </w:tr>
            <w:tr w:rsidR="00726D5B" w:rsidRPr="00BF159E" w:rsidTr="007B62E2">
              <w:trPr>
                <w:trHeight w:val="303"/>
              </w:trPr>
              <w:tc>
                <w:tcPr>
                  <w:tcW w:w="2467" w:type="dxa"/>
                  <w:tcBorders>
                    <w:top w:val="single" w:sz="4" w:space="0" w:color="auto"/>
                    <w:left w:val="single" w:sz="4" w:space="0" w:color="auto"/>
                    <w:bottom w:val="single" w:sz="4" w:space="0" w:color="auto"/>
                  </w:tcBorders>
                  <w:shd w:val="clear" w:color="auto" w:fill="auto"/>
                  <w:noWrap/>
                  <w:vAlign w:val="center"/>
                </w:tcPr>
                <w:p w:rsidR="00726D5B" w:rsidRPr="00143A79" w:rsidRDefault="00726D5B" w:rsidP="00BF159E">
                  <w:pPr>
                    <w:rPr>
                      <w:rFonts w:cs="Arial"/>
                      <w:b/>
                      <w:sz w:val="22"/>
                      <w:szCs w:val="22"/>
                      <w:lang w:eastAsia="en-GB"/>
                    </w:rPr>
                  </w:pPr>
                  <w:r w:rsidRPr="00143A79">
                    <w:rPr>
                      <w:rFonts w:cs="Arial"/>
                      <w:b/>
                      <w:sz w:val="22"/>
                      <w:szCs w:val="22"/>
                      <w:lang w:eastAsia="en-GB"/>
                    </w:rPr>
                    <w:t>Total</w:t>
                  </w:r>
                </w:p>
              </w:tc>
              <w:tc>
                <w:tcPr>
                  <w:tcW w:w="1232" w:type="dxa"/>
                  <w:tcBorders>
                    <w:bottom w:val="single" w:sz="4" w:space="0" w:color="auto"/>
                  </w:tcBorders>
                  <w:shd w:val="clear" w:color="auto" w:fill="auto"/>
                </w:tcPr>
                <w:p w:rsidR="00726D5B" w:rsidRPr="00143A79" w:rsidRDefault="00726D5B" w:rsidP="00835709">
                  <w:pPr>
                    <w:jc w:val="right"/>
                    <w:rPr>
                      <w:rFonts w:cs="Arial"/>
                      <w:b/>
                      <w:bCs/>
                      <w:sz w:val="22"/>
                      <w:szCs w:val="22"/>
                      <w:lang w:eastAsia="en-GB"/>
                    </w:rPr>
                  </w:pPr>
                </w:p>
              </w:tc>
              <w:tc>
                <w:tcPr>
                  <w:tcW w:w="1232" w:type="dxa"/>
                  <w:tcBorders>
                    <w:bottom w:val="single" w:sz="4" w:space="0" w:color="auto"/>
                  </w:tcBorders>
                  <w:shd w:val="clear" w:color="auto" w:fill="auto"/>
                  <w:noWrap/>
                  <w:vAlign w:val="center"/>
                </w:tcPr>
                <w:p w:rsidR="00726D5B" w:rsidRPr="00143A79" w:rsidRDefault="00726D5B" w:rsidP="00835709">
                  <w:pPr>
                    <w:jc w:val="right"/>
                    <w:rPr>
                      <w:rFonts w:cs="Arial"/>
                      <w:b/>
                      <w:bCs/>
                      <w:sz w:val="22"/>
                      <w:szCs w:val="22"/>
                      <w:lang w:eastAsia="en-GB"/>
                    </w:rPr>
                  </w:pPr>
                </w:p>
              </w:tc>
              <w:tc>
                <w:tcPr>
                  <w:tcW w:w="1349" w:type="dxa"/>
                  <w:tcBorders>
                    <w:bottom w:val="single" w:sz="4" w:space="0" w:color="auto"/>
                  </w:tcBorders>
                  <w:shd w:val="clear" w:color="auto" w:fill="auto"/>
                  <w:vAlign w:val="center"/>
                </w:tcPr>
                <w:p w:rsidR="00726D5B" w:rsidRPr="00143A79" w:rsidRDefault="00726D5B" w:rsidP="00BF159E">
                  <w:pPr>
                    <w:jc w:val="right"/>
                    <w:rPr>
                      <w:rFonts w:cs="Arial"/>
                      <w:b/>
                      <w:bCs/>
                      <w:sz w:val="22"/>
                      <w:szCs w:val="22"/>
                      <w:lang w:eastAsia="en-GB"/>
                    </w:rPr>
                  </w:pPr>
                </w:p>
              </w:tc>
              <w:tc>
                <w:tcPr>
                  <w:tcW w:w="1199" w:type="dxa"/>
                  <w:tcBorders>
                    <w:bottom w:val="single" w:sz="4" w:space="0" w:color="auto"/>
                    <w:right w:val="single" w:sz="4" w:space="0" w:color="auto"/>
                  </w:tcBorders>
                  <w:shd w:val="clear" w:color="auto" w:fill="auto"/>
                  <w:noWrap/>
                  <w:vAlign w:val="center"/>
                </w:tcPr>
                <w:p w:rsidR="00726D5B" w:rsidRPr="00143A79" w:rsidRDefault="00726D5B" w:rsidP="00705658">
                  <w:pPr>
                    <w:jc w:val="right"/>
                    <w:rPr>
                      <w:rFonts w:cs="Arial"/>
                      <w:b/>
                      <w:bCs/>
                      <w:sz w:val="22"/>
                      <w:szCs w:val="22"/>
                      <w:lang w:eastAsia="en-GB"/>
                    </w:rPr>
                  </w:pPr>
                </w:p>
              </w:tc>
              <w:tc>
                <w:tcPr>
                  <w:tcW w:w="1196" w:type="dxa"/>
                  <w:tcBorders>
                    <w:top w:val="single" w:sz="4" w:space="0" w:color="auto"/>
                    <w:left w:val="nil"/>
                    <w:bottom w:val="single" w:sz="4" w:space="0" w:color="auto"/>
                    <w:right w:val="single" w:sz="4" w:space="0" w:color="auto"/>
                  </w:tcBorders>
                </w:tcPr>
                <w:p w:rsidR="00726D5B" w:rsidRPr="00143A79" w:rsidRDefault="00991112" w:rsidP="00C31F9C">
                  <w:pPr>
                    <w:jc w:val="right"/>
                    <w:rPr>
                      <w:rFonts w:cs="Arial"/>
                      <w:b/>
                      <w:bCs/>
                      <w:sz w:val="22"/>
                      <w:szCs w:val="22"/>
                      <w:lang w:eastAsia="en-GB"/>
                    </w:rPr>
                  </w:pPr>
                  <w:r>
                    <w:rPr>
                      <w:rFonts w:cs="Arial"/>
                      <w:b/>
                      <w:bCs/>
                      <w:sz w:val="22"/>
                      <w:szCs w:val="22"/>
                      <w:lang w:eastAsia="en-GB"/>
                    </w:rPr>
                    <w:t>(3</w:t>
                  </w:r>
                  <w:r w:rsidR="00C31F9C">
                    <w:rPr>
                      <w:rFonts w:cs="Arial"/>
                      <w:b/>
                      <w:bCs/>
                      <w:sz w:val="22"/>
                      <w:szCs w:val="22"/>
                      <w:lang w:eastAsia="en-GB"/>
                    </w:rPr>
                    <w:t>12</w:t>
                  </w:r>
                  <w:r>
                    <w:rPr>
                      <w:rFonts w:cs="Arial"/>
                      <w:b/>
                      <w:bCs/>
                      <w:sz w:val="22"/>
                      <w:szCs w:val="22"/>
                      <w:lang w:eastAsia="en-GB"/>
                    </w:rPr>
                    <w:t>)</w:t>
                  </w:r>
                </w:p>
              </w:tc>
            </w:tr>
          </w:tbl>
          <w:p w:rsidR="00F33EA4" w:rsidRPr="00F33EA4" w:rsidRDefault="00F33EA4" w:rsidP="00945BE7">
            <w:pPr>
              <w:tabs>
                <w:tab w:val="left" w:pos="1260"/>
                <w:tab w:val="left" w:pos="1980"/>
                <w:tab w:val="left" w:pos="2700"/>
                <w:tab w:val="left" w:pos="3420"/>
              </w:tabs>
              <w:ind w:left="1267" w:firstLine="9"/>
              <w:jc w:val="both"/>
              <w:rPr>
                <w:rFonts w:cs="Arial"/>
                <w:b/>
                <w:i/>
                <w:sz w:val="22"/>
                <w:szCs w:val="22"/>
              </w:rPr>
            </w:pPr>
          </w:p>
        </w:tc>
      </w:tr>
      <w:tr w:rsidR="005E6727" w:rsidRPr="00CF7499" w:rsidTr="006D58BC">
        <w:trPr>
          <w:gridBefore w:val="1"/>
          <w:wBefore w:w="34" w:type="dxa"/>
          <w:trHeight w:val="374"/>
        </w:trPr>
        <w:tc>
          <w:tcPr>
            <w:cnfStyle w:val="001000000000" w:firstRow="0" w:lastRow="0" w:firstColumn="1" w:lastColumn="0" w:oddVBand="0" w:evenVBand="0" w:oddHBand="0" w:evenHBand="0" w:firstRowFirstColumn="0" w:firstRowLastColumn="0" w:lastRowFirstColumn="0" w:lastRowLastColumn="0"/>
            <w:tcW w:w="959" w:type="dxa"/>
          </w:tcPr>
          <w:p w:rsidR="00335B61" w:rsidRDefault="00335B61" w:rsidP="00C80E97">
            <w:pPr>
              <w:jc w:val="both"/>
              <w:rPr>
                <w:rFonts w:cs="Arial"/>
                <w:sz w:val="22"/>
                <w:szCs w:val="22"/>
              </w:rPr>
            </w:pPr>
          </w:p>
          <w:p w:rsidR="005E6727" w:rsidRDefault="005E6727" w:rsidP="00C80E97">
            <w:pPr>
              <w:jc w:val="both"/>
              <w:rPr>
                <w:rFonts w:cs="Arial"/>
                <w:sz w:val="22"/>
                <w:szCs w:val="22"/>
              </w:rPr>
            </w:pPr>
            <w:r>
              <w:rPr>
                <w:rFonts w:cs="Arial"/>
                <w:sz w:val="22"/>
                <w:szCs w:val="22"/>
              </w:rPr>
              <w:t>2.4</w:t>
            </w:r>
          </w:p>
        </w:tc>
        <w:tc>
          <w:tcPr>
            <w:cnfStyle w:val="000100000000" w:firstRow="0" w:lastRow="0" w:firstColumn="0" w:lastColumn="1" w:oddVBand="0" w:evenVBand="0" w:oddHBand="0" w:evenHBand="0" w:firstRowFirstColumn="0" w:firstRowLastColumn="0" w:lastRowFirstColumn="0" w:lastRowLastColumn="0"/>
            <w:tcW w:w="9072" w:type="dxa"/>
          </w:tcPr>
          <w:p w:rsidR="00335B61" w:rsidRDefault="00335B61" w:rsidP="00705658">
            <w:pPr>
              <w:tabs>
                <w:tab w:val="left" w:pos="1980"/>
                <w:tab w:val="left" w:pos="2700"/>
                <w:tab w:val="left" w:pos="3420"/>
              </w:tabs>
              <w:contextualSpacing/>
              <w:jc w:val="both"/>
              <w:rPr>
                <w:rFonts w:cs="Arial"/>
                <w:sz w:val="22"/>
                <w:szCs w:val="22"/>
                <w:lang w:eastAsia="en-GB"/>
              </w:rPr>
            </w:pPr>
          </w:p>
          <w:p w:rsidR="005E6727" w:rsidRDefault="005E6727" w:rsidP="00705658">
            <w:pPr>
              <w:tabs>
                <w:tab w:val="left" w:pos="1980"/>
                <w:tab w:val="left" w:pos="2700"/>
                <w:tab w:val="left" w:pos="3420"/>
              </w:tabs>
              <w:contextualSpacing/>
              <w:jc w:val="both"/>
              <w:rPr>
                <w:rFonts w:cs="Arial"/>
                <w:sz w:val="22"/>
                <w:szCs w:val="22"/>
                <w:lang w:eastAsia="en-GB"/>
              </w:rPr>
            </w:pPr>
            <w:r w:rsidRPr="007B0DA3">
              <w:rPr>
                <w:rFonts w:cs="Arial"/>
                <w:sz w:val="22"/>
                <w:szCs w:val="22"/>
                <w:lang w:eastAsia="en-GB"/>
              </w:rPr>
              <w:t xml:space="preserve">The main </w:t>
            </w:r>
            <w:r w:rsidR="002C3587" w:rsidRPr="007B0DA3">
              <w:rPr>
                <w:rFonts w:cs="Arial"/>
                <w:sz w:val="22"/>
                <w:szCs w:val="22"/>
                <w:lang w:eastAsia="en-GB"/>
              </w:rPr>
              <w:t>items</w:t>
            </w:r>
            <w:r w:rsidRPr="007B0DA3">
              <w:rPr>
                <w:rFonts w:cs="Arial"/>
                <w:sz w:val="22"/>
                <w:szCs w:val="22"/>
                <w:lang w:eastAsia="en-GB"/>
              </w:rPr>
              <w:t xml:space="preserve"> that contribute to th</w:t>
            </w:r>
            <w:r w:rsidR="002C3587" w:rsidRPr="007B0DA3">
              <w:rPr>
                <w:rFonts w:cs="Arial"/>
                <w:sz w:val="22"/>
                <w:szCs w:val="22"/>
                <w:lang w:eastAsia="en-GB"/>
              </w:rPr>
              <w:t>e</w:t>
            </w:r>
            <w:r w:rsidR="000D543E" w:rsidRPr="007B0DA3">
              <w:rPr>
                <w:rFonts w:cs="Arial"/>
                <w:sz w:val="22"/>
                <w:szCs w:val="22"/>
                <w:lang w:eastAsia="en-GB"/>
              </w:rPr>
              <w:t xml:space="preserve"> net</w:t>
            </w:r>
            <w:r w:rsidR="002C3587" w:rsidRPr="007B0DA3">
              <w:rPr>
                <w:rFonts w:cs="Arial"/>
                <w:sz w:val="22"/>
                <w:szCs w:val="22"/>
                <w:lang w:eastAsia="en-GB"/>
              </w:rPr>
              <w:t xml:space="preserve"> favourable </w:t>
            </w:r>
            <w:r w:rsidR="00DB3A3E" w:rsidRPr="007B0DA3">
              <w:rPr>
                <w:rFonts w:cs="Arial"/>
                <w:sz w:val="22"/>
                <w:szCs w:val="22"/>
                <w:lang w:eastAsia="en-GB"/>
              </w:rPr>
              <w:t xml:space="preserve">services </w:t>
            </w:r>
            <w:r w:rsidR="007B0DA3">
              <w:rPr>
                <w:rFonts w:cs="Arial"/>
                <w:sz w:val="22"/>
                <w:szCs w:val="22"/>
                <w:lang w:eastAsia="en-GB"/>
              </w:rPr>
              <w:t>variance of  (£0.1</w:t>
            </w:r>
            <w:r w:rsidR="00C31F9C">
              <w:rPr>
                <w:rFonts w:cs="Arial"/>
                <w:sz w:val="22"/>
                <w:szCs w:val="22"/>
                <w:lang w:eastAsia="en-GB"/>
              </w:rPr>
              <w:t>12</w:t>
            </w:r>
            <w:r w:rsidR="007B0DA3">
              <w:rPr>
                <w:rFonts w:cs="Arial"/>
                <w:sz w:val="22"/>
                <w:szCs w:val="22"/>
                <w:lang w:eastAsia="en-GB"/>
              </w:rPr>
              <w:t xml:space="preserve">) million </w:t>
            </w:r>
            <w:r w:rsidRPr="007B0DA3">
              <w:rPr>
                <w:rFonts w:cs="Arial"/>
                <w:sz w:val="22"/>
                <w:szCs w:val="22"/>
                <w:lang w:eastAsia="en-GB"/>
              </w:rPr>
              <w:t>are;</w:t>
            </w:r>
          </w:p>
          <w:tbl>
            <w:tblPr>
              <w:tblStyle w:val="TableGrid"/>
              <w:tblW w:w="0" w:type="auto"/>
              <w:tblLayout w:type="fixed"/>
              <w:tblLook w:val="04A0" w:firstRow="1" w:lastRow="0" w:firstColumn="1" w:lastColumn="0" w:noHBand="0" w:noVBand="1"/>
            </w:tblPr>
            <w:tblGrid>
              <w:gridCol w:w="601"/>
              <w:gridCol w:w="6945"/>
              <w:gridCol w:w="1295"/>
            </w:tblGrid>
            <w:tr w:rsidR="004E14DF" w:rsidRPr="007B0DA3" w:rsidTr="00920477">
              <w:trPr>
                <w:trHeight w:val="84"/>
              </w:trPr>
              <w:tc>
                <w:tcPr>
                  <w:tcW w:w="601" w:type="dxa"/>
                  <w:tcBorders>
                    <w:top w:val="nil"/>
                    <w:left w:val="nil"/>
                    <w:bottom w:val="single" w:sz="4" w:space="0" w:color="auto"/>
                    <w:right w:val="nil"/>
                  </w:tcBorders>
                </w:tcPr>
                <w:p w:rsidR="004E14DF" w:rsidRPr="007B0DA3" w:rsidRDefault="004E14DF" w:rsidP="00705658">
                  <w:pPr>
                    <w:tabs>
                      <w:tab w:val="left" w:pos="1980"/>
                      <w:tab w:val="left" w:pos="2700"/>
                      <w:tab w:val="left" w:pos="3420"/>
                    </w:tabs>
                    <w:contextualSpacing/>
                    <w:jc w:val="both"/>
                    <w:rPr>
                      <w:rFonts w:cs="Arial"/>
                      <w:sz w:val="22"/>
                      <w:szCs w:val="22"/>
                      <w:lang w:eastAsia="en-GB"/>
                    </w:rPr>
                  </w:pPr>
                </w:p>
              </w:tc>
              <w:tc>
                <w:tcPr>
                  <w:tcW w:w="6945" w:type="dxa"/>
                  <w:tcBorders>
                    <w:top w:val="nil"/>
                    <w:left w:val="nil"/>
                    <w:bottom w:val="single" w:sz="4" w:space="0" w:color="auto"/>
                    <w:right w:val="single" w:sz="4" w:space="0" w:color="auto"/>
                  </w:tcBorders>
                </w:tcPr>
                <w:p w:rsidR="004E14DF" w:rsidRPr="007B0DA3" w:rsidRDefault="004E14DF" w:rsidP="00705658">
                  <w:pPr>
                    <w:tabs>
                      <w:tab w:val="left" w:pos="1980"/>
                      <w:tab w:val="left" w:pos="2700"/>
                      <w:tab w:val="left" w:pos="3420"/>
                    </w:tabs>
                    <w:contextualSpacing/>
                    <w:jc w:val="both"/>
                    <w:rPr>
                      <w:rFonts w:cs="Arial"/>
                      <w:sz w:val="22"/>
                      <w:szCs w:val="22"/>
                      <w:lang w:eastAsia="en-GB"/>
                    </w:rPr>
                  </w:pPr>
                </w:p>
              </w:tc>
              <w:tc>
                <w:tcPr>
                  <w:tcW w:w="1295" w:type="dxa"/>
                  <w:tcBorders>
                    <w:left w:val="single" w:sz="4" w:space="0" w:color="auto"/>
                  </w:tcBorders>
                </w:tcPr>
                <w:p w:rsidR="004E14DF" w:rsidRPr="007B0DA3" w:rsidRDefault="004E14DF" w:rsidP="004E14DF">
                  <w:pPr>
                    <w:tabs>
                      <w:tab w:val="left" w:pos="1980"/>
                      <w:tab w:val="left" w:pos="2700"/>
                      <w:tab w:val="left" w:pos="3420"/>
                    </w:tabs>
                    <w:contextualSpacing/>
                    <w:jc w:val="center"/>
                    <w:rPr>
                      <w:rFonts w:cs="Arial"/>
                      <w:sz w:val="22"/>
                      <w:szCs w:val="22"/>
                      <w:lang w:eastAsia="en-GB"/>
                    </w:rPr>
                  </w:pPr>
                  <w:r w:rsidRPr="007B0DA3">
                    <w:rPr>
                      <w:rFonts w:cs="Arial"/>
                      <w:sz w:val="22"/>
                      <w:szCs w:val="22"/>
                      <w:lang w:eastAsia="en-GB"/>
                    </w:rPr>
                    <w:t>£</w:t>
                  </w:r>
                </w:p>
              </w:tc>
            </w:tr>
            <w:tr w:rsidR="004E14DF" w:rsidRPr="007B0DA3" w:rsidTr="00920477">
              <w:tc>
                <w:tcPr>
                  <w:tcW w:w="601" w:type="dxa"/>
                  <w:tcBorders>
                    <w:top w:val="single" w:sz="4" w:space="0" w:color="auto"/>
                    <w:right w:val="single" w:sz="4" w:space="0" w:color="auto"/>
                  </w:tcBorders>
                </w:tcPr>
                <w:p w:rsidR="004E14DF" w:rsidRPr="007B0DA3" w:rsidRDefault="004E14DF" w:rsidP="004E14DF">
                  <w:pPr>
                    <w:tabs>
                      <w:tab w:val="left" w:pos="1980"/>
                      <w:tab w:val="left" w:pos="2700"/>
                      <w:tab w:val="left" w:pos="3420"/>
                    </w:tabs>
                    <w:contextualSpacing/>
                    <w:jc w:val="center"/>
                    <w:rPr>
                      <w:rFonts w:cs="Arial"/>
                      <w:sz w:val="22"/>
                      <w:szCs w:val="22"/>
                      <w:lang w:eastAsia="en-GB"/>
                    </w:rPr>
                  </w:pPr>
                  <w:r w:rsidRPr="007B0DA3">
                    <w:rPr>
                      <w:rFonts w:cs="Arial"/>
                      <w:sz w:val="22"/>
                      <w:szCs w:val="22"/>
                      <w:lang w:eastAsia="en-GB"/>
                    </w:rPr>
                    <w:t>1.</w:t>
                  </w:r>
                </w:p>
              </w:tc>
              <w:tc>
                <w:tcPr>
                  <w:tcW w:w="6945" w:type="dxa"/>
                  <w:tcBorders>
                    <w:top w:val="single" w:sz="4" w:space="0" w:color="auto"/>
                    <w:left w:val="single" w:sz="4" w:space="0" w:color="auto"/>
                  </w:tcBorders>
                </w:tcPr>
                <w:p w:rsidR="004E14DF" w:rsidRPr="007B0DA3" w:rsidRDefault="004E14DF" w:rsidP="00705658">
                  <w:pPr>
                    <w:tabs>
                      <w:tab w:val="left" w:pos="1980"/>
                      <w:tab w:val="left" w:pos="2700"/>
                      <w:tab w:val="left" w:pos="3420"/>
                    </w:tabs>
                    <w:contextualSpacing/>
                    <w:jc w:val="both"/>
                    <w:rPr>
                      <w:rFonts w:cs="Arial"/>
                      <w:sz w:val="22"/>
                      <w:szCs w:val="22"/>
                      <w:lang w:eastAsia="en-GB"/>
                    </w:rPr>
                  </w:pPr>
                  <w:r w:rsidRPr="007B0DA3">
                    <w:rPr>
                      <w:rFonts w:cs="Arial"/>
                      <w:sz w:val="22"/>
                      <w:szCs w:val="22"/>
                      <w:lang w:eastAsia="en-GB"/>
                    </w:rPr>
                    <w:t>Additional income received following successful prosecution by the Environmental Health Team</w:t>
                  </w:r>
                </w:p>
              </w:tc>
              <w:tc>
                <w:tcPr>
                  <w:tcW w:w="1295" w:type="dxa"/>
                </w:tcPr>
                <w:p w:rsidR="004E14DF" w:rsidRPr="007B0DA3" w:rsidRDefault="004E14DF" w:rsidP="004E14DF">
                  <w:pPr>
                    <w:tabs>
                      <w:tab w:val="left" w:pos="1980"/>
                      <w:tab w:val="left" w:pos="2700"/>
                      <w:tab w:val="left" w:pos="3420"/>
                    </w:tabs>
                    <w:contextualSpacing/>
                    <w:jc w:val="center"/>
                    <w:rPr>
                      <w:rFonts w:cs="Arial"/>
                      <w:sz w:val="22"/>
                      <w:szCs w:val="22"/>
                      <w:lang w:eastAsia="en-GB"/>
                    </w:rPr>
                  </w:pPr>
                  <w:r w:rsidRPr="007B0DA3">
                    <w:rPr>
                      <w:rFonts w:cs="Arial"/>
                      <w:sz w:val="22"/>
                      <w:szCs w:val="22"/>
                      <w:lang w:eastAsia="en-GB"/>
                    </w:rPr>
                    <w:t>(44,000)</w:t>
                  </w:r>
                </w:p>
              </w:tc>
            </w:tr>
            <w:tr w:rsidR="004E14DF" w:rsidRPr="007B0DA3" w:rsidTr="00920477">
              <w:tc>
                <w:tcPr>
                  <w:tcW w:w="601" w:type="dxa"/>
                </w:tcPr>
                <w:p w:rsidR="004E14DF" w:rsidRPr="007B0DA3" w:rsidRDefault="004E14DF" w:rsidP="004E14DF">
                  <w:pPr>
                    <w:tabs>
                      <w:tab w:val="left" w:pos="1980"/>
                      <w:tab w:val="left" w:pos="2700"/>
                      <w:tab w:val="left" w:pos="3420"/>
                    </w:tabs>
                    <w:contextualSpacing/>
                    <w:jc w:val="center"/>
                    <w:rPr>
                      <w:rFonts w:cs="Arial"/>
                      <w:sz w:val="22"/>
                      <w:szCs w:val="22"/>
                      <w:lang w:eastAsia="en-GB"/>
                    </w:rPr>
                  </w:pPr>
                  <w:r w:rsidRPr="007B0DA3">
                    <w:rPr>
                      <w:rFonts w:cs="Arial"/>
                      <w:sz w:val="22"/>
                      <w:szCs w:val="22"/>
                      <w:lang w:eastAsia="en-GB"/>
                    </w:rPr>
                    <w:t>2.</w:t>
                  </w:r>
                </w:p>
              </w:tc>
              <w:tc>
                <w:tcPr>
                  <w:tcW w:w="6945" w:type="dxa"/>
                </w:tcPr>
                <w:p w:rsidR="004E14DF" w:rsidRPr="007B0DA3" w:rsidRDefault="004E14DF" w:rsidP="00705658">
                  <w:pPr>
                    <w:tabs>
                      <w:tab w:val="left" w:pos="1980"/>
                      <w:tab w:val="left" w:pos="2700"/>
                      <w:tab w:val="left" w:pos="3420"/>
                    </w:tabs>
                    <w:contextualSpacing/>
                    <w:jc w:val="both"/>
                    <w:rPr>
                      <w:rFonts w:cs="Arial"/>
                      <w:sz w:val="22"/>
                      <w:szCs w:val="22"/>
                      <w:lang w:eastAsia="en-GB"/>
                    </w:rPr>
                  </w:pPr>
                  <w:r w:rsidRPr="007B0DA3">
                    <w:rPr>
                      <w:rFonts w:cs="Arial"/>
                      <w:sz w:val="22"/>
                      <w:szCs w:val="22"/>
                      <w:lang w:eastAsia="en-GB"/>
                    </w:rPr>
                    <w:t>Licensing - income target is unlikely to be me</w:t>
                  </w:r>
                  <w:r w:rsidR="00945BE7">
                    <w:rPr>
                      <w:rFonts w:cs="Arial"/>
                      <w:sz w:val="22"/>
                      <w:szCs w:val="22"/>
                      <w:lang w:eastAsia="en-GB"/>
                    </w:rPr>
                    <w:t>t</w:t>
                  </w:r>
                  <w:r w:rsidRPr="007B0DA3">
                    <w:rPr>
                      <w:rFonts w:cs="Arial"/>
                      <w:sz w:val="22"/>
                      <w:szCs w:val="22"/>
                      <w:lang w:eastAsia="en-GB"/>
                    </w:rPr>
                    <w:t xml:space="preserve"> due to reduction i</w:t>
                  </w:r>
                  <w:r w:rsidR="00945BE7">
                    <w:rPr>
                      <w:rFonts w:cs="Arial"/>
                      <w:sz w:val="22"/>
                      <w:szCs w:val="22"/>
                      <w:lang w:eastAsia="en-GB"/>
                    </w:rPr>
                    <w:t>n the number of applications</w:t>
                  </w:r>
                  <w:r w:rsidRPr="007B0DA3">
                    <w:rPr>
                      <w:rFonts w:cs="Arial"/>
                      <w:sz w:val="22"/>
                      <w:szCs w:val="22"/>
                      <w:lang w:eastAsia="en-GB"/>
                    </w:rPr>
                    <w:t xml:space="preserve"> for Private Hire Drivers</w:t>
                  </w:r>
                </w:p>
              </w:tc>
              <w:tc>
                <w:tcPr>
                  <w:tcW w:w="1295" w:type="dxa"/>
                </w:tcPr>
                <w:p w:rsidR="004E14DF" w:rsidRPr="007B0DA3" w:rsidRDefault="004E14DF" w:rsidP="004E14DF">
                  <w:pPr>
                    <w:tabs>
                      <w:tab w:val="left" w:pos="1980"/>
                      <w:tab w:val="left" w:pos="2700"/>
                      <w:tab w:val="left" w:pos="3420"/>
                    </w:tabs>
                    <w:contextualSpacing/>
                    <w:jc w:val="center"/>
                    <w:rPr>
                      <w:rFonts w:cs="Arial"/>
                      <w:sz w:val="22"/>
                      <w:szCs w:val="22"/>
                      <w:lang w:eastAsia="en-GB"/>
                    </w:rPr>
                  </w:pPr>
                  <w:r w:rsidRPr="007B0DA3">
                    <w:rPr>
                      <w:rFonts w:cs="Arial"/>
                      <w:sz w:val="22"/>
                      <w:szCs w:val="22"/>
                      <w:lang w:eastAsia="en-GB"/>
                    </w:rPr>
                    <w:t>20,000</w:t>
                  </w:r>
                </w:p>
              </w:tc>
            </w:tr>
            <w:tr w:rsidR="004E14DF" w:rsidRPr="007B0DA3" w:rsidTr="00920477">
              <w:tc>
                <w:tcPr>
                  <w:tcW w:w="601" w:type="dxa"/>
                </w:tcPr>
                <w:p w:rsidR="004E14DF" w:rsidRPr="007B0DA3" w:rsidRDefault="004E14DF" w:rsidP="004E14DF">
                  <w:pPr>
                    <w:tabs>
                      <w:tab w:val="left" w:pos="1980"/>
                      <w:tab w:val="left" w:pos="2700"/>
                      <w:tab w:val="left" w:pos="3420"/>
                    </w:tabs>
                    <w:contextualSpacing/>
                    <w:jc w:val="center"/>
                    <w:rPr>
                      <w:rFonts w:cs="Arial"/>
                      <w:sz w:val="22"/>
                      <w:szCs w:val="22"/>
                      <w:lang w:eastAsia="en-GB"/>
                    </w:rPr>
                  </w:pPr>
                  <w:r w:rsidRPr="007B0DA3">
                    <w:rPr>
                      <w:rFonts w:cs="Arial"/>
                      <w:sz w:val="22"/>
                      <w:szCs w:val="22"/>
                      <w:lang w:eastAsia="en-GB"/>
                    </w:rPr>
                    <w:t>3.</w:t>
                  </w:r>
                </w:p>
              </w:tc>
              <w:tc>
                <w:tcPr>
                  <w:tcW w:w="6945" w:type="dxa"/>
                </w:tcPr>
                <w:p w:rsidR="004E14DF" w:rsidRPr="007B0DA3" w:rsidRDefault="004E14DF" w:rsidP="007B62E2">
                  <w:pPr>
                    <w:tabs>
                      <w:tab w:val="left" w:pos="1980"/>
                      <w:tab w:val="left" w:pos="2700"/>
                      <w:tab w:val="left" w:pos="3420"/>
                    </w:tabs>
                    <w:contextualSpacing/>
                    <w:jc w:val="both"/>
                    <w:rPr>
                      <w:rFonts w:cs="Arial"/>
                      <w:sz w:val="22"/>
                      <w:szCs w:val="22"/>
                      <w:lang w:eastAsia="en-GB"/>
                    </w:rPr>
                  </w:pPr>
                  <w:r w:rsidRPr="007B0DA3">
                    <w:rPr>
                      <w:rFonts w:cs="Arial"/>
                      <w:sz w:val="22"/>
                      <w:szCs w:val="22"/>
                      <w:lang w:eastAsia="en-GB"/>
                    </w:rPr>
                    <w:t xml:space="preserve">Energy Efficiency- Full allocation for grants and contributions is unlikely to be </w:t>
                  </w:r>
                  <w:r w:rsidR="007B62E2">
                    <w:rPr>
                      <w:rFonts w:cs="Arial"/>
                      <w:sz w:val="22"/>
                      <w:szCs w:val="22"/>
                      <w:lang w:eastAsia="en-GB"/>
                    </w:rPr>
                    <w:t xml:space="preserve">awarded </w:t>
                  </w:r>
                  <w:r w:rsidRPr="007B0DA3">
                    <w:rPr>
                      <w:rFonts w:cs="Arial"/>
                      <w:sz w:val="22"/>
                      <w:szCs w:val="22"/>
                      <w:lang w:eastAsia="en-GB"/>
                    </w:rPr>
                    <w:t>in the current year</w:t>
                  </w:r>
                </w:p>
              </w:tc>
              <w:tc>
                <w:tcPr>
                  <w:tcW w:w="1295" w:type="dxa"/>
                </w:tcPr>
                <w:p w:rsidR="004E14DF" w:rsidRPr="007B0DA3" w:rsidRDefault="004E14DF" w:rsidP="004E14DF">
                  <w:pPr>
                    <w:tabs>
                      <w:tab w:val="left" w:pos="1980"/>
                      <w:tab w:val="left" w:pos="2700"/>
                      <w:tab w:val="left" w:pos="3420"/>
                    </w:tabs>
                    <w:contextualSpacing/>
                    <w:jc w:val="center"/>
                    <w:rPr>
                      <w:rFonts w:cs="Arial"/>
                      <w:sz w:val="22"/>
                      <w:szCs w:val="22"/>
                      <w:lang w:eastAsia="en-GB"/>
                    </w:rPr>
                  </w:pPr>
                  <w:r w:rsidRPr="007B0DA3">
                    <w:rPr>
                      <w:rFonts w:cs="Arial"/>
                      <w:sz w:val="22"/>
                      <w:szCs w:val="22"/>
                      <w:lang w:eastAsia="en-GB"/>
                    </w:rPr>
                    <w:t>(18,700)</w:t>
                  </w:r>
                </w:p>
              </w:tc>
            </w:tr>
            <w:tr w:rsidR="004E14DF" w:rsidRPr="007B0DA3" w:rsidTr="00920477">
              <w:tc>
                <w:tcPr>
                  <w:tcW w:w="601" w:type="dxa"/>
                </w:tcPr>
                <w:p w:rsidR="004E14DF" w:rsidRPr="007B0DA3" w:rsidRDefault="004E14DF" w:rsidP="004E14DF">
                  <w:pPr>
                    <w:tabs>
                      <w:tab w:val="left" w:pos="1980"/>
                      <w:tab w:val="left" w:pos="2700"/>
                      <w:tab w:val="left" w:pos="3420"/>
                    </w:tabs>
                    <w:contextualSpacing/>
                    <w:jc w:val="center"/>
                    <w:rPr>
                      <w:rFonts w:cs="Arial"/>
                      <w:sz w:val="22"/>
                      <w:szCs w:val="22"/>
                      <w:lang w:eastAsia="en-GB"/>
                    </w:rPr>
                  </w:pPr>
                  <w:r w:rsidRPr="007B0DA3">
                    <w:rPr>
                      <w:rFonts w:cs="Arial"/>
                      <w:sz w:val="22"/>
                      <w:szCs w:val="22"/>
                      <w:lang w:eastAsia="en-GB"/>
                    </w:rPr>
                    <w:t>4.</w:t>
                  </w:r>
                </w:p>
              </w:tc>
              <w:tc>
                <w:tcPr>
                  <w:tcW w:w="6945" w:type="dxa"/>
                </w:tcPr>
                <w:p w:rsidR="004E14DF" w:rsidRPr="007B0DA3" w:rsidRDefault="004E14DF" w:rsidP="00705658">
                  <w:pPr>
                    <w:tabs>
                      <w:tab w:val="left" w:pos="1980"/>
                      <w:tab w:val="left" w:pos="2700"/>
                      <w:tab w:val="left" w:pos="3420"/>
                    </w:tabs>
                    <w:contextualSpacing/>
                    <w:jc w:val="both"/>
                    <w:rPr>
                      <w:rFonts w:cs="Arial"/>
                      <w:sz w:val="22"/>
                      <w:szCs w:val="22"/>
                      <w:lang w:eastAsia="en-GB"/>
                    </w:rPr>
                  </w:pPr>
                  <w:r w:rsidRPr="007B0DA3">
                    <w:rPr>
                      <w:rFonts w:cs="Arial"/>
                      <w:sz w:val="22"/>
                      <w:szCs w:val="22"/>
                      <w:lang w:eastAsia="en-GB"/>
                    </w:rPr>
                    <w:t>Land Charges-</w:t>
                  </w:r>
                </w:p>
                <w:p w:rsidR="004E14DF" w:rsidRPr="007B0DA3" w:rsidRDefault="00A95F1C" w:rsidP="004E14DF">
                  <w:pPr>
                    <w:pStyle w:val="ListParagraph"/>
                    <w:numPr>
                      <w:ilvl w:val="0"/>
                      <w:numId w:val="26"/>
                    </w:numPr>
                    <w:tabs>
                      <w:tab w:val="left" w:pos="1980"/>
                      <w:tab w:val="left" w:pos="2700"/>
                      <w:tab w:val="left" w:pos="3420"/>
                    </w:tabs>
                    <w:jc w:val="both"/>
                    <w:rPr>
                      <w:rFonts w:ascii="Arial" w:hAnsi="Arial" w:cs="Arial"/>
                      <w:sz w:val="22"/>
                      <w:szCs w:val="22"/>
                    </w:rPr>
                  </w:pPr>
                  <w:r w:rsidRPr="007B0DA3">
                    <w:rPr>
                      <w:rFonts w:ascii="Arial" w:hAnsi="Arial" w:cs="Arial"/>
                      <w:sz w:val="22"/>
                      <w:szCs w:val="22"/>
                    </w:rPr>
                    <w:t>Due to change in questions and complexity of search enquiries, more requests are sent to Hertfordshire County Council for processing leading to unbudgeted increases</w:t>
                  </w:r>
                </w:p>
                <w:p w:rsidR="00A95F1C" w:rsidRPr="007B0DA3" w:rsidRDefault="00A95F1C" w:rsidP="00145FB8">
                  <w:pPr>
                    <w:pStyle w:val="ListParagraph"/>
                    <w:numPr>
                      <w:ilvl w:val="0"/>
                      <w:numId w:val="26"/>
                    </w:numPr>
                    <w:tabs>
                      <w:tab w:val="left" w:pos="1980"/>
                      <w:tab w:val="left" w:pos="2700"/>
                      <w:tab w:val="left" w:pos="3420"/>
                    </w:tabs>
                    <w:jc w:val="both"/>
                    <w:rPr>
                      <w:rFonts w:ascii="Arial" w:hAnsi="Arial" w:cs="Arial"/>
                      <w:sz w:val="22"/>
                      <w:szCs w:val="22"/>
                    </w:rPr>
                  </w:pPr>
                  <w:r w:rsidRPr="007B0DA3">
                    <w:rPr>
                      <w:rFonts w:ascii="Arial" w:hAnsi="Arial" w:cs="Arial"/>
                      <w:sz w:val="22"/>
                      <w:szCs w:val="22"/>
                    </w:rPr>
                    <w:t>Services are projecting a shortfall in income</w:t>
                  </w:r>
                  <w:r w:rsidR="006D58BC">
                    <w:rPr>
                      <w:rFonts w:ascii="Arial" w:hAnsi="Arial" w:cs="Arial"/>
                      <w:sz w:val="22"/>
                      <w:szCs w:val="22"/>
                    </w:rPr>
                    <w:t xml:space="preserve"> due to reduced demand.</w:t>
                  </w:r>
                  <w:r w:rsidRPr="007B0DA3">
                    <w:rPr>
                      <w:rFonts w:ascii="Arial" w:hAnsi="Arial" w:cs="Arial"/>
                      <w:sz w:val="22"/>
                      <w:szCs w:val="22"/>
                    </w:rPr>
                    <w:t xml:space="preserve"> </w:t>
                  </w:r>
                </w:p>
              </w:tc>
              <w:tc>
                <w:tcPr>
                  <w:tcW w:w="1295" w:type="dxa"/>
                </w:tcPr>
                <w:p w:rsidR="007B62E2" w:rsidRDefault="007B62E2" w:rsidP="00A95F1C">
                  <w:pPr>
                    <w:tabs>
                      <w:tab w:val="left" w:pos="1980"/>
                      <w:tab w:val="left" w:pos="2700"/>
                      <w:tab w:val="left" w:pos="3420"/>
                    </w:tabs>
                    <w:contextualSpacing/>
                    <w:jc w:val="center"/>
                    <w:rPr>
                      <w:rFonts w:cs="Arial"/>
                      <w:sz w:val="22"/>
                      <w:szCs w:val="22"/>
                      <w:lang w:eastAsia="en-GB"/>
                    </w:rPr>
                  </w:pPr>
                </w:p>
                <w:p w:rsidR="00A95F1C" w:rsidRPr="007B0DA3" w:rsidRDefault="00A95F1C" w:rsidP="00A95F1C">
                  <w:pPr>
                    <w:tabs>
                      <w:tab w:val="left" w:pos="1980"/>
                      <w:tab w:val="left" w:pos="2700"/>
                      <w:tab w:val="left" w:pos="3420"/>
                    </w:tabs>
                    <w:contextualSpacing/>
                    <w:jc w:val="center"/>
                    <w:rPr>
                      <w:rFonts w:cs="Arial"/>
                      <w:sz w:val="22"/>
                      <w:szCs w:val="22"/>
                      <w:lang w:eastAsia="en-GB"/>
                    </w:rPr>
                  </w:pPr>
                  <w:r w:rsidRPr="007B0DA3">
                    <w:rPr>
                      <w:rFonts w:cs="Arial"/>
                      <w:sz w:val="22"/>
                      <w:szCs w:val="22"/>
                      <w:lang w:eastAsia="en-GB"/>
                    </w:rPr>
                    <w:t>11,000</w:t>
                  </w:r>
                </w:p>
                <w:p w:rsidR="00A95F1C" w:rsidRPr="007B0DA3" w:rsidRDefault="00A95F1C" w:rsidP="00A95F1C">
                  <w:pPr>
                    <w:rPr>
                      <w:rFonts w:cs="Arial"/>
                      <w:sz w:val="22"/>
                      <w:szCs w:val="22"/>
                      <w:lang w:eastAsia="en-GB"/>
                    </w:rPr>
                  </w:pPr>
                </w:p>
                <w:p w:rsidR="00A95F1C" w:rsidRPr="007B0DA3" w:rsidRDefault="00A95F1C" w:rsidP="00A95F1C">
                  <w:pPr>
                    <w:rPr>
                      <w:rFonts w:cs="Arial"/>
                      <w:sz w:val="22"/>
                      <w:szCs w:val="22"/>
                      <w:lang w:eastAsia="en-GB"/>
                    </w:rPr>
                  </w:pPr>
                </w:p>
                <w:p w:rsidR="004E14DF" w:rsidRPr="007B0DA3" w:rsidRDefault="00A95F1C" w:rsidP="00A95F1C">
                  <w:pPr>
                    <w:jc w:val="center"/>
                    <w:rPr>
                      <w:rFonts w:cs="Arial"/>
                      <w:sz w:val="22"/>
                      <w:szCs w:val="22"/>
                      <w:lang w:eastAsia="en-GB"/>
                    </w:rPr>
                  </w:pPr>
                  <w:r w:rsidRPr="007B0DA3">
                    <w:rPr>
                      <w:rFonts w:cs="Arial"/>
                      <w:sz w:val="22"/>
                      <w:szCs w:val="22"/>
                      <w:lang w:eastAsia="en-GB"/>
                    </w:rPr>
                    <w:t>20,000</w:t>
                  </w:r>
                </w:p>
              </w:tc>
            </w:tr>
            <w:tr w:rsidR="004E14DF" w:rsidRPr="007B0DA3" w:rsidTr="00920477">
              <w:tc>
                <w:tcPr>
                  <w:tcW w:w="601" w:type="dxa"/>
                </w:tcPr>
                <w:p w:rsidR="004E14DF" w:rsidRPr="007B0DA3" w:rsidRDefault="00A95F1C" w:rsidP="00A95F1C">
                  <w:pPr>
                    <w:tabs>
                      <w:tab w:val="left" w:pos="1980"/>
                      <w:tab w:val="left" w:pos="2700"/>
                      <w:tab w:val="left" w:pos="3420"/>
                    </w:tabs>
                    <w:contextualSpacing/>
                    <w:jc w:val="center"/>
                    <w:rPr>
                      <w:rFonts w:cs="Arial"/>
                      <w:sz w:val="22"/>
                      <w:szCs w:val="22"/>
                      <w:lang w:eastAsia="en-GB"/>
                    </w:rPr>
                  </w:pPr>
                  <w:r w:rsidRPr="007B0DA3">
                    <w:rPr>
                      <w:rFonts w:cs="Arial"/>
                      <w:sz w:val="22"/>
                      <w:szCs w:val="22"/>
                      <w:lang w:eastAsia="en-GB"/>
                    </w:rPr>
                    <w:t>5</w:t>
                  </w:r>
                </w:p>
              </w:tc>
              <w:tc>
                <w:tcPr>
                  <w:tcW w:w="6945" w:type="dxa"/>
                </w:tcPr>
                <w:p w:rsidR="00A95F1C" w:rsidRPr="007B0DA3" w:rsidRDefault="00A95F1C" w:rsidP="00705658">
                  <w:pPr>
                    <w:tabs>
                      <w:tab w:val="left" w:pos="1980"/>
                      <w:tab w:val="left" w:pos="2700"/>
                      <w:tab w:val="left" w:pos="3420"/>
                    </w:tabs>
                    <w:contextualSpacing/>
                    <w:jc w:val="both"/>
                    <w:rPr>
                      <w:rFonts w:cs="Arial"/>
                      <w:sz w:val="22"/>
                      <w:szCs w:val="22"/>
                      <w:lang w:eastAsia="en-GB"/>
                    </w:rPr>
                  </w:pPr>
                  <w:r w:rsidRPr="007B0DA3">
                    <w:rPr>
                      <w:rFonts w:cs="Arial"/>
                      <w:sz w:val="22"/>
                      <w:szCs w:val="22"/>
                      <w:lang w:eastAsia="en-GB"/>
                    </w:rPr>
                    <w:t xml:space="preserve">Development Management: </w:t>
                  </w:r>
                </w:p>
                <w:p w:rsidR="00A95F1C" w:rsidRPr="007B0DA3" w:rsidRDefault="00A95F1C" w:rsidP="007F5C62">
                  <w:pPr>
                    <w:pStyle w:val="ListParagraph"/>
                    <w:tabs>
                      <w:tab w:val="left" w:pos="1980"/>
                      <w:tab w:val="left" w:pos="2700"/>
                      <w:tab w:val="left" w:pos="3420"/>
                    </w:tabs>
                    <w:jc w:val="both"/>
                    <w:rPr>
                      <w:rFonts w:ascii="Arial" w:hAnsi="Arial" w:cs="Arial"/>
                      <w:sz w:val="22"/>
                      <w:szCs w:val="22"/>
                    </w:rPr>
                  </w:pPr>
                  <w:r w:rsidRPr="007B0DA3">
                    <w:rPr>
                      <w:rFonts w:ascii="Arial" w:hAnsi="Arial" w:cs="Arial"/>
                      <w:sz w:val="22"/>
                      <w:szCs w:val="22"/>
                    </w:rPr>
                    <w:t xml:space="preserve">Additional 20% income due to Government </w:t>
                  </w:r>
                  <w:r w:rsidR="007F5C62">
                    <w:rPr>
                      <w:rFonts w:ascii="Arial" w:hAnsi="Arial" w:cs="Arial"/>
                      <w:sz w:val="22"/>
                      <w:szCs w:val="22"/>
                    </w:rPr>
                    <w:t>legislation</w:t>
                  </w:r>
                  <w:r w:rsidR="006D58BC">
                    <w:rPr>
                      <w:rFonts w:ascii="Arial" w:hAnsi="Arial" w:cs="Arial"/>
                      <w:sz w:val="22"/>
                      <w:szCs w:val="22"/>
                    </w:rPr>
                    <w:t xml:space="preserve"> on increasing </w:t>
                  </w:r>
                  <w:r w:rsidR="006D58BC" w:rsidRPr="007B0DA3">
                    <w:rPr>
                      <w:rFonts w:ascii="Arial" w:hAnsi="Arial" w:cs="Arial"/>
                      <w:sz w:val="22"/>
                      <w:szCs w:val="22"/>
                    </w:rPr>
                    <w:t xml:space="preserve">Planning Application fees </w:t>
                  </w:r>
                </w:p>
              </w:tc>
              <w:tc>
                <w:tcPr>
                  <w:tcW w:w="1295" w:type="dxa"/>
                </w:tcPr>
                <w:p w:rsidR="006D58BC" w:rsidRDefault="006D58BC" w:rsidP="00A95F1C">
                  <w:pPr>
                    <w:tabs>
                      <w:tab w:val="left" w:pos="1980"/>
                      <w:tab w:val="left" w:pos="2700"/>
                      <w:tab w:val="left" w:pos="3420"/>
                    </w:tabs>
                    <w:contextualSpacing/>
                    <w:jc w:val="center"/>
                    <w:rPr>
                      <w:rFonts w:cs="Arial"/>
                      <w:sz w:val="22"/>
                      <w:szCs w:val="22"/>
                      <w:lang w:eastAsia="en-GB"/>
                    </w:rPr>
                  </w:pPr>
                </w:p>
                <w:p w:rsidR="007B0DA3" w:rsidRPr="007B0DA3" w:rsidRDefault="00A95F1C" w:rsidP="000027F6">
                  <w:pPr>
                    <w:tabs>
                      <w:tab w:val="left" w:pos="1980"/>
                      <w:tab w:val="left" w:pos="2700"/>
                      <w:tab w:val="left" w:pos="3420"/>
                    </w:tabs>
                    <w:contextualSpacing/>
                    <w:jc w:val="center"/>
                    <w:rPr>
                      <w:rFonts w:cs="Arial"/>
                      <w:sz w:val="22"/>
                      <w:szCs w:val="22"/>
                      <w:lang w:eastAsia="en-GB"/>
                    </w:rPr>
                  </w:pPr>
                  <w:r w:rsidRPr="007B0DA3">
                    <w:rPr>
                      <w:rFonts w:cs="Arial"/>
                      <w:sz w:val="22"/>
                      <w:szCs w:val="22"/>
                      <w:lang w:eastAsia="en-GB"/>
                    </w:rPr>
                    <w:t>(23,</w:t>
                  </w:r>
                  <w:r w:rsidR="00C31F9C">
                    <w:rPr>
                      <w:rFonts w:cs="Arial"/>
                      <w:sz w:val="22"/>
                      <w:szCs w:val="22"/>
                      <w:lang w:eastAsia="en-GB"/>
                    </w:rPr>
                    <w:t>10</w:t>
                  </w:r>
                  <w:r w:rsidRPr="007B0DA3">
                    <w:rPr>
                      <w:rFonts w:cs="Arial"/>
                      <w:sz w:val="22"/>
                      <w:szCs w:val="22"/>
                      <w:lang w:eastAsia="en-GB"/>
                    </w:rPr>
                    <w:t>0)</w:t>
                  </w:r>
                </w:p>
                <w:p w:rsidR="004E14DF" w:rsidRPr="007B0DA3" w:rsidRDefault="004E14DF" w:rsidP="007B0DA3">
                  <w:pPr>
                    <w:jc w:val="center"/>
                    <w:rPr>
                      <w:rFonts w:cs="Arial"/>
                      <w:sz w:val="22"/>
                      <w:szCs w:val="22"/>
                      <w:lang w:eastAsia="en-GB"/>
                    </w:rPr>
                  </w:pPr>
                </w:p>
              </w:tc>
            </w:tr>
            <w:tr w:rsidR="004E14DF" w:rsidRPr="007B0DA3" w:rsidTr="00920477">
              <w:tc>
                <w:tcPr>
                  <w:tcW w:w="601" w:type="dxa"/>
                </w:tcPr>
                <w:p w:rsidR="004E14DF" w:rsidRPr="007B0DA3" w:rsidRDefault="007B0DA3" w:rsidP="004E14DF">
                  <w:pPr>
                    <w:tabs>
                      <w:tab w:val="left" w:pos="1980"/>
                      <w:tab w:val="left" w:pos="2700"/>
                      <w:tab w:val="left" w:pos="3420"/>
                    </w:tabs>
                    <w:contextualSpacing/>
                    <w:jc w:val="center"/>
                    <w:rPr>
                      <w:rFonts w:cs="Arial"/>
                      <w:sz w:val="22"/>
                      <w:szCs w:val="22"/>
                      <w:lang w:eastAsia="en-GB"/>
                    </w:rPr>
                  </w:pPr>
                  <w:r w:rsidRPr="007B0DA3">
                    <w:rPr>
                      <w:rFonts w:cs="Arial"/>
                      <w:sz w:val="22"/>
                      <w:szCs w:val="22"/>
                      <w:lang w:eastAsia="en-GB"/>
                    </w:rPr>
                    <w:t>6</w:t>
                  </w:r>
                </w:p>
              </w:tc>
              <w:tc>
                <w:tcPr>
                  <w:tcW w:w="6945" w:type="dxa"/>
                </w:tcPr>
                <w:p w:rsidR="004E14DF" w:rsidRPr="007B0DA3" w:rsidRDefault="007B0DA3" w:rsidP="006D58BC">
                  <w:pPr>
                    <w:tabs>
                      <w:tab w:val="left" w:pos="1980"/>
                      <w:tab w:val="left" w:pos="2700"/>
                      <w:tab w:val="left" w:pos="3420"/>
                    </w:tabs>
                    <w:contextualSpacing/>
                    <w:jc w:val="both"/>
                    <w:rPr>
                      <w:rFonts w:cs="Arial"/>
                      <w:sz w:val="22"/>
                      <w:szCs w:val="22"/>
                      <w:lang w:eastAsia="en-GB"/>
                    </w:rPr>
                  </w:pPr>
                  <w:r w:rsidRPr="007B0DA3">
                    <w:rPr>
                      <w:rFonts w:cs="Arial"/>
                      <w:sz w:val="22"/>
                      <w:szCs w:val="22"/>
                      <w:lang w:eastAsia="en-GB"/>
                    </w:rPr>
                    <w:t xml:space="preserve">CSC- </w:t>
                  </w:r>
                  <w:r w:rsidR="006D58BC">
                    <w:rPr>
                      <w:rFonts w:cs="Arial"/>
                      <w:sz w:val="22"/>
                      <w:szCs w:val="22"/>
                      <w:lang w:eastAsia="en-GB"/>
                    </w:rPr>
                    <w:t>a</w:t>
                  </w:r>
                  <w:r w:rsidRPr="007B0DA3">
                    <w:rPr>
                      <w:rFonts w:cs="Arial"/>
                      <w:sz w:val="22"/>
                      <w:szCs w:val="22"/>
                      <w:lang w:eastAsia="en-GB"/>
                    </w:rPr>
                    <w:t xml:space="preserve">dditional costs due to restructuring </w:t>
                  </w:r>
                </w:p>
              </w:tc>
              <w:tc>
                <w:tcPr>
                  <w:tcW w:w="1295" w:type="dxa"/>
                </w:tcPr>
                <w:p w:rsidR="004E14DF" w:rsidRPr="007B0DA3" w:rsidRDefault="007B0DA3" w:rsidP="007B0DA3">
                  <w:pPr>
                    <w:tabs>
                      <w:tab w:val="left" w:pos="1980"/>
                      <w:tab w:val="left" w:pos="2700"/>
                      <w:tab w:val="left" w:pos="3420"/>
                    </w:tabs>
                    <w:contextualSpacing/>
                    <w:jc w:val="center"/>
                    <w:rPr>
                      <w:rFonts w:cs="Arial"/>
                      <w:sz w:val="22"/>
                      <w:szCs w:val="22"/>
                      <w:lang w:eastAsia="en-GB"/>
                    </w:rPr>
                  </w:pPr>
                  <w:r>
                    <w:rPr>
                      <w:rFonts w:cs="Arial"/>
                      <w:sz w:val="22"/>
                      <w:szCs w:val="22"/>
                      <w:lang w:eastAsia="en-GB"/>
                    </w:rPr>
                    <w:t>48,800</w:t>
                  </w:r>
                </w:p>
              </w:tc>
            </w:tr>
            <w:tr w:rsidR="004E14DF" w:rsidRPr="007B0DA3" w:rsidTr="00920477">
              <w:tc>
                <w:tcPr>
                  <w:tcW w:w="601" w:type="dxa"/>
                </w:tcPr>
                <w:p w:rsidR="004E14DF" w:rsidRPr="007B0DA3" w:rsidRDefault="007B0DA3" w:rsidP="004E14DF">
                  <w:pPr>
                    <w:tabs>
                      <w:tab w:val="left" w:pos="1980"/>
                      <w:tab w:val="left" w:pos="2700"/>
                      <w:tab w:val="left" w:pos="3420"/>
                    </w:tabs>
                    <w:contextualSpacing/>
                    <w:jc w:val="center"/>
                    <w:rPr>
                      <w:rFonts w:cs="Arial"/>
                      <w:sz w:val="22"/>
                      <w:szCs w:val="22"/>
                      <w:lang w:eastAsia="en-GB"/>
                    </w:rPr>
                  </w:pPr>
                  <w:r>
                    <w:rPr>
                      <w:rFonts w:cs="Arial"/>
                      <w:sz w:val="22"/>
                      <w:szCs w:val="22"/>
                      <w:lang w:eastAsia="en-GB"/>
                    </w:rPr>
                    <w:t>7</w:t>
                  </w:r>
                </w:p>
              </w:tc>
              <w:tc>
                <w:tcPr>
                  <w:tcW w:w="6945" w:type="dxa"/>
                </w:tcPr>
                <w:p w:rsidR="004E14DF" w:rsidRPr="007B0DA3" w:rsidRDefault="007B0DA3" w:rsidP="00145FB8">
                  <w:pPr>
                    <w:tabs>
                      <w:tab w:val="left" w:pos="1980"/>
                      <w:tab w:val="left" w:pos="2700"/>
                      <w:tab w:val="left" w:pos="3420"/>
                    </w:tabs>
                    <w:contextualSpacing/>
                    <w:jc w:val="both"/>
                    <w:rPr>
                      <w:rFonts w:cs="Arial"/>
                      <w:sz w:val="22"/>
                      <w:szCs w:val="22"/>
                      <w:lang w:eastAsia="en-GB"/>
                    </w:rPr>
                  </w:pPr>
                  <w:r w:rsidRPr="007B0DA3">
                    <w:rPr>
                      <w:rFonts w:cs="Arial"/>
                      <w:sz w:val="22"/>
                      <w:szCs w:val="22"/>
                      <w:lang w:eastAsia="en-GB"/>
                    </w:rPr>
                    <w:t>£60</w:t>
                  </w:r>
                  <w:r w:rsidR="007B62E2">
                    <w:rPr>
                      <w:rFonts w:cs="Arial"/>
                      <w:sz w:val="22"/>
                      <w:szCs w:val="22"/>
                      <w:lang w:eastAsia="en-GB"/>
                    </w:rPr>
                    <w:t>k</w:t>
                  </w:r>
                  <w:r w:rsidRPr="007B0DA3">
                    <w:rPr>
                      <w:rFonts w:cs="Arial"/>
                      <w:sz w:val="22"/>
                      <w:szCs w:val="22"/>
                      <w:lang w:eastAsia="en-GB"/>
                    </w:rPr>
                    <w:t xml:space="preserve"> saving from the </w:t>
                  </w:r>
                  <w:r w:rsidR="007B62E2">
                    <w:rPr>
                      <w:rFonts w:cs="Arial"/>
                      <w:sz w:val="22"/>
                      <w:szCs w:val="22"/>
                      <w:lang w:eastAsia="en-GB"/>
                    </w:rPr>
                    <w:t xml:space="preserve">TRDC element of the </w:t>
                  </w:r>
                  <w:r w:rsidRPr="007B0DA3">
                    <w:rPr>
                      <w:rFonts w:cs="Arial"/>
                      <w:sz w:val="22"/>
                      <w:szCs w:val="22"/>
                      <w:lang w:eastAsia="en-GB"/>
                    </w:rPr>
                    <w:t>IT operating costs that are shared between Watford and Three Rivers.</w:t>
                  </w:r>
                  <w:r w:rsidR="00145FB8">
                    <w:rPr>
                      <w:rFonts w:cs="Arial"/>
                      <w:sz w:val="22"/>
                      <w:szCs w:val="22"/>
                      <w:lang w:eastAsia="en-GB"/>
                    </w:rPr>
                    <w:t xml:space="preserve"> </w:t>
                  </w:r>
                  <w:r w:rsidR="007B62E2">
                    <w:rPr>
                      <w:rFonts w:cs="Arial"/>
                      <w:sz w:val="22"/>
                      <w:szCs w:val="22"/>
                      <w:lang w:eastAsia="en-GB"/>
                    </w:rPr>
                    <w:t xml:space="preserve"> </w:t>
                  </w:r>
                  <w:r w:rsidRPr="007B0DA3">
                    <w:rPr>
                      <w:rFonts w:cs="Arial"/>
                      <w:sz w:val="22"/>
                      <w:szCs w:val="22"/>
                      <w:lang w:eastAsia="en-GB"/>
                    </w:rPr>
                    <w:t xml:space="preserve">A further £17k saving from </w:t>
                  </w:r>
                  <w:r w:rsidR="006D58BC">
                    <w:rPr>
                      <w:rFonts w:cs="Arial"/>
                      <w:sz w:val="22"/>
                      <w:szCs w:val="22"/>
                      <w:lang w:eastAsia="en-GB"/>
                    </w:rPr>
                    <w:t xml:space="preserve">a managed reduction in </w:t>
                  </w:r>
                  <w:r w:rsidRPr="007B0DA3">
                    <w:rPr>
                      <w:rFonts w:cs="Arial"/>
                      <w:sz w:val="22"/>
                      <w:szCs w:val="22"/>
                      <w:lang w:eastAsia="en-GB"/>
                    </w:rPr>
                    <w:t>spend on IT equipment and professional consultancy.</w:t>
                  </w:r>
                </w:p>
              </w:tc>
              <w:tc>
                <w:tcPr>
                  <w:tcW w:w="1295" w:type="dxa"/>
                </w:tcPr>
                <w:p w:rsidR="004E14DF" w:rsidRPr="007B0DA3" w:rsidRDefault="007B0DA3" w:rsidP="007B0DA3">
                  <w:pPr>
                    <w:tabs>
                      <w:tab w:val="left" w:pos="1980"/>
                      <w:tab w:val="left" w:pos="2700"/>
                      <w:tab w:val="left" w:pos="3420"/>
                    </w:tabs>
                    <w:contextualSpacing/>
                    <w:jc w:val="center"/>
                    <w:rPr>
                      <w:rFonts w:cs="Arial"/>
                      <w:sz w:val="22"/>
                      <w:szCs w:val="22"/>
                      <w:lang w:eastAsia="en-GB"/>
                    </w:rPr>
                  </w:pPr>
                  <w:r>
                    <w:rPr>
                      <w:rFonts w:cs="Arial"/>
                      <w:sz w:val="22"/>
                      <w:szCs w:val="22"/>
                      <w:lang w:eastAsia="en-GB"/>
                    </w:rPr>
                    <w:t>(77,520)</w:t>
                  </w:r>
                </w:p>
              </w:tc>
            </w:tr>
            <w:tr w:rsidR="007B0DA3" w:rsidRPr="007B0DA3" w:rsidTr="00920477">
              <w:tc>
                <w:tcPr>
                  <w:tcW w:w="601" w:type="dxa"/>
                </w:tcPr>
                <w:p w:rsidR="007B0DA3" w:rsidRPr="007B0DA3" w:rsidRDefault="007B0DA3" w:rsidP="004E14DF">
                  <w:pPr>
                    <w:tabs>
                      <w:tab w:val="left" w:pos="1980"/>
                      <w:tab w:val="left" w:pos="2700"/>
                      <w:tab w:val="left" w:pos="3420"/>
                    </w:tabs>
                    <w:contextualSpacing/>
                    <w:jc w:val="center"/>
                    <w:rPr>
                      <w:rFonts w:cs="Arial"/>
                      <w:sz w:val="22"/>
                      <w:szCs w:val="22"/>
                      <w:lang w:eastAsia="en-GB"/>
                    </w:rPr>
                  </w:pPr>
                  <w:r>
                    <w:rPr>
                      <w:rFonts w:cs="Arial"/>
                      <w:sz w:val="22"/>
                      <w:szCs w:val="22"/>
                      <w:lang w:eastAsia="en-GB"/>
                    </w:rPr>
                    <w:t>8.</w:t>
                  </w:r>
                </w:p>
              </w:tc>
              <w:tc>
                <w:tcPr>
                  <w:tcW w:w="6945" w:type="dxa"/>
                </w:tcPr>
                <w:p w:rsidR="007B0DA3" w:rsidRPr="007B0DA3" w:rsidRDefault="007B0DA3" w:rsidP="006D58BC">
                  <w:pPr>
                    <w:tabs>
                      <w:tab w:val="left" w:pos="1980"/>
                      <w:tab w:val="left" w:pos="2700"/>
                      <w:tab w:val="left" w:pos="3420"/>
                    </w:tabs>
                    <w:contextualSpacing/>
                    <w:jc w:val="both"/>
                    <w:rPr>
                      <w:rFonts w:cs="Arial"/>
                      <w:sz w:val="22"/>
                      <w:szCs w:val="22"/>
                      <w:lang w:eastAsia="en-GB"/>
                    </w:rPr>
                  </w:pPr>
                  <w:r>
                    <w:rPr>
                      <w:rFonts w:cs="Arial"/>
                      <w:sz w:val="22"/>
                      <w:szCs w:val="22"/>
                      <w:lang w:eastAsia="en-GB"/>
                    </w:rPr>
                    <w:t>Three Rivers House</w:t>
                  </w:r>
                  <w:r w:rsidR="006D58BC">
                    <w:rPr>
                      <w:rFonts w:cs="Arial"/>
                      <w:sz w:val="22"/>
                      <w:szCs w:val="22"/>
                      <w:lang w:eastAsia="en-GB"/>
                    </w:rPr>
                    <w:t xml:space="preserve"> </w:t>
                  </w:r>
                  <w:r>
                    <w:rPr>
                      <w:rFonts w:cs="Arial"/>
                      <w:sz w:val="22"/>
                      <w:szCs w:val="22"/>
                      <w:lang w:eastAsia="en-GB"/>
                    </w:rPr>
                    <w:t xml:space="preserve">- </w:t>
                  </w:r>
                  <w:r w:rsidR="006D58BC">
                    <w:rPr>
                      <w:rFonts w:cs="Arial"/>
                      <w:sz w:val="22"/>
                      <w:szCs w:val="22"/>
                      <w:lang w:eastAsia="en-GB"/>
                    </w:rPr>
                    <w:t>s</w:t>
                  </w:r>
                  <w:r w:rsidR="00145FB8">
                    <w:rPr>
                      <w:rFonts w:cs="Arial"/>
                      <w:sz w:val="22"/>
                      <w:szCs w:val="22"/>
                      <w:lang w:eastAsia="en-GB"/>
                    </w:rPr>
                    <w:t>aving</w:t>
                  </w:r>
                  <w:r>
                    <w:rPr>
                      <w:rFonts w:cs="Arial"/>
                      <w:sz w:val="22"/>
                      <w:szCs w:val="22"/>
                      <w:lang w:eastAsia="en-GB"/>
                    </w:rPr>
                    <w:t xml:space="preserve"> on electricity as the building is more energy efficient </w:t>
                  </w:r>
                </w:p>
              </w:tc>
              <w:tc>
                <w:tcPr>
                  <w:tcW w:w="1295" w:type="dxa"/>
                </w:tcPr>
                <w:p w:rsidR="007B0DA3" w:rsidRPr="007B0DA3" w:rsidRDefault="007B0DA3" w:rsidP="007B0DA3">
                  <w:pPr>
                    <w:tabs>
                      <w:tab w:val="left" w:pos="1980"/>
                      <w:tab w:val="left" w:pos="2700"/>
                      <w:tab w:val="left" w:pos="3420"/>
                    </w:tabs>
                    <w:contextualSpacing/>
                    <w:jc w:val="center"/>
                    <w:rPr>
                      <w:rFonts w:cs="Arial"/>
                      <w:sz w:val="22"/>
                      <w:szCs w:val="22"/>
                      <w:lang w:eastAsia="en-GB"/>
                    </w:rPr>
                  </w:pPr>
                  <w:r>
                    <w:rPr>
                      <w:rFonts w:cs="Arial"/>
                      <w:sz w:val="22"/>
                      <w:szCs w:val="22"/>
                      <w:lang w:eastAsia="en-GB"/>
                    </w:rPr>
                    <w:t>(15,000)</w:t>
                  </w:r>
                </w:p>
              </w:tc>
            </w:tr>
            <w:tr w:rsidR="000027F6" w:rsidRPr="007B0DA3" w:rsidTr="00920477">
              <w:tc>
                <w:tcPr>
                  <w:tcW w:w="601" w:type="dxa"/>
                </w:tcPr>
                <w:p w:rsidR="000027F6" w:rsidRDefault="000027F6" w:rsidP="004E14DF">
                  <w:pPr>
                    <w:tabs>
                      <w:tab w:val="left" w:pos="1980"/>
                      <w:tab w:val="left" w:pos="2700"/>
                      <w:tab w:val="left" w:pos="3420"/>
                    </w:tabs>
                    <w:contextualSpacing/>
                    <w:jc w:val="center"/>
                    <w:rPr>
                      <w:rFonts w:cs="Arial"/>
                      <w:sz w:val="22"/>
                      <w:szCs w:val="22"/>
                      <w:lang w:eastAsia="en-GB"/>
                    </w:rPr>
                  </w:pPr>
                  <w:r>
                    <w:rPr>
                      <w:rFonts w:cs="Arial"/>
                      <w:sz w:val="22"/>
                      <w:szCs w:val="22"/>
                      <w:lang w:eastAsia="en-GB"/>
                    </w:rPr>
                    <w:t>9.</w:t>
                  </w:r>
                </w:p>
              </w:tc>
              <w:tc>
                <w:tcPr>
                  <w:tcW w:w="6945" w:type="dxa"/>
                </w:tcPr>
                <w:p w:rsidR="000027F6" w:rsidRDefault="000027F6" w:rsidP="006D58BC">
                  <w:pPr>
                    <w:tabs>
                      <w:tab w:val="left" w:pos="1980"/>
                      <w:tab w:val="left" w:pos="2700"/>
                      <w:tab w:val="left" w:pos="3420"/>
                    </w:tabs>
                    <w:contextualSpacing/>
                    <w:jc w:val="both"/>
                    <w:rPr>
                      <w:rFonts w:cs="Arial"/>
                      <w:sz w:val="22"/>
                      <w:szCs w:val="22"/>
                      <w:lang w:eastAsia="en-GB"/>
                    </w:rPr>
                  </w:pPr>
                  <w:r>
                    <w:rPr>
                      <w:rFonts w:cs="Arial"/>
                      <w:sz w:val="22"/>
                      <w:szCs w:val="22"/>
                      <w:lang w:eastAsia="en-GB"/>
                    </w:rPr>
                    <w:t xml:space="preserve">Additional budget required for </w:t>
                  </w:r>
                  <w:r w:rsidR="00CB7244">
                    <w:rPr>
                      <w:rFonts w:cs="Arial"/>
                      <w:sz w:val="22"/>
                      <w:szCs w:val="22"/>
                      <w:lang w:eastAsia="en-GB"/>
                    </w:rPr>
                    <w:t xml:space="preserve">the </w:t>
                  </w:r>
                  <w:r>
                    <w:rPr>
                      <w:rFonts w:cs="Arial"/>
                      <w:sz w:val="22"/>
                      <w:szCs w:val="22"/>
                      <w:lang w:eastAsia="en-GB"/>
                    </w:rPr>
                    <w:t xml:space="preserve">refurbishment of </w:t>
                  </w:r>
                  <w:r w:rsidR="00CB7244">
                    <w:rPr>
                      <w:rFonts w:cs="Arial"/>
                      <w:sz w:val="22"/>
                      <w:szCs w:val="22"/>
                      <w:lang w:eastAsia="en-GB"/>
                    </w:rPr>
                    <w:t xml:space="preserve">the two recently purchased </w:t>
                  </w:r>
                  <w:r>
                    <w:rPr>
                      <w:rFonts w:cs="Arial"/>
                      <w:sz w:val="22"/>
                      <w:szCs w:val="22"/>
                      <w:lang w:eastAsia="en-GB"/>
                    </w:rPr>
                    <w:t>temporary accommodation</w:t>
                  </w:r>
                  <w:r w:rsidR="00CB7244">
                    <w:rPr>
                      <w:rFonts w:cs="Arial"/>
                      <w:sz w:val="22"/>
                      <w:szCs w:val="22"/>
                      <w:lang w:eastAsia="en-GB"/>
                    </w:rPr>
                    <w:t xml:space="preserve"> properties at South </w:t>
                  </w:r>
                  <w:proofErr w:type="spellStart"/>
                  <w:r w:rsidR="00CB7244">
                    <w:rPr>
                      <w:rFonts w:cs="Arial"/>
                      <w:sz w:val="22"/>
                      <w:szCs w:val="22"/>
                      <w:lang w:eastAsia="en-GB"/>
                    </w:rPr>
                    <w:t>Oxhey</w:t>
                  </w:r>
                  <w:proofErr w:type="spellEnd"/>
                </w:p>
              </w:tc>
              <w:tc>
                <w:tcPr>
                  <w:tcW w:w="1295" w:type="dxa"/>
                </w:tcPr>
                <w:p w:rsidR="000027F6" w:rsidRDefault="000027F6" w:rsidP="007B0DA3">
                  <w:pPr>
                    <w:tabs>
                      <w:tab w:val="left" w:pos="1980"/>
                      <w:tab w:val="left" w:pos="2700"/>
                      <w:tab w:val="left" w:pos="3420"/>
                    </w:tabs>
                    <w:contextualSpacing/>
                    <w:jc w:val="center"/>
                    <w:rPr>
                      <w:rFonts w:cs="Arial"/>
                      <w:sz w:val="22"/>
                      <w:szCs w:val="22"/>
                      <w:lang w:eastAsia="en-GB"/>
                    </w:rPr>
                  </w:pPr>
                  <w:r>
                    <w:rPr>
                      <w:rFonts w:cs="Arial"/>
                      <w:sz w:val="22"/>
                      <w:szCs w:val="22"/>
                      <w:lang w:eastAsia="en-GB"/>
                    </w:rPr>
                    <w:t>15,000</w:t>
                  </w:r>
                </w:p>
              </w:tc>
            </w:tr>
            <w:tr w:rsidR="007B0DA3" w:rsidRPr="007B0DA3" w:rsidTr="00920477">
              <w:tc>
                <w:tcPr>
                  <w:tcW w:w="601" w:type="dxa"/>
                </w:tcPr>
                <w:p w:rsidR="007B0DA3" w:rsidRPr="007B0DA3" w:rsidRDefault="000027F6" w:rsidP="004E14DF">
                  <w:pPr>
                    <w:tabs>
                      <w:tab w:val="left" w:pos="1980"/>
                      <w:tab w:val="left" w:pos="2700"/>
                      <w:tab w:val="left" w:pos="3420"/>
                    </w:tabs>
                    <w:contextualSpacing/>
                    <w:jc w:val="center"/>
                    <w:rPr>
                      <w:rFonts w:cs="Arial"/>
                      <w:sz w:val="22"/>
                      <w:szCs w:val="22"/>
                      <w:lang w:eastAsia="en-GB"/>
                    </w:rPr>
                  </w:pPr>
                  <w:r>
                    <w:rPr>
                      <w:rFonts w:cs="Arial"/>
                      <w:sz w:val="22"/>
                      <w:szCs w:val="22"/>
                      <w:lang w:eastAsia="en-GB"/>
                    </w:rPr>
                    <w:t>10</w:t>
                  </w:r>
                  <w:r w:rsidR="007B0DA3">
                    <w:rPr>
                      <w:rFonts w:cs="Arial"/>
                      <w:sz w:val="22"/>
                      <w:szCs w:val="22"/>
                      <w:lang w:eastAsia="en-GB"/>
                    </w:rPr>
                    <w:t>.</w:t>
                  </w:r>
                </w:p>
              </w:tc>
              <w:tc>
                <w:tcPr>
                  <w:tcW w:w="6945" w:type="dxa"/>
                </w:tcPr>
                <w:p w:rsidR="007B0DA3" w:rsidRPr="007B0DA3" w:rsidRDefault="006D58BC" w:rsidP="006D58BC">
                  <w:pPr>
                    <w:tabs>
                      <w:tab w:val="left" w:pos="1980"/>
                      <w:tab w:val="left" w:pos="2700"/>
                      <w:tab w:val="left" w:pos="3420"/>
                    </w:tabs>
                    <w:contextualSpacing/>
                    <w:jc w:val="both"/>
                    <w:rPr>
                      <w:rFonts w:cs="Arial"/>
                      <w:sz w:val="22"/>
                      <w:szCs w:val="22"/>
                      <w:lang w:eastAsia="en-GB"/>
                    </w:rPr>
                  </w:pPr>
                  <w:r>
                    <w:rPr>
                      <w:rFonts w:cs="Arial"/>
                      <w:sz w:val="22"/>
                      <w:szCs w:val="22"/>
                      <w:lang w:eastAsia="en-GB"/>
                    </w:rPr>
                    <w:t>In-year s</w:t>
                  </w:r>
                  <w:r w:rsidR="007B0DA3">
                    <w:rPr>
                      <w:rFonts w:cs="Arial"/>
                      <w:sz w:val="22"/>
                      <w:szCs w:val="22"/>
                      <w:lang w:eastAsia="en-GB"/>
                    </w:rPr>
                    <w:t xml:space="preserve">alary </w:t>
                  </w:r>
                  <w:r>
                    <w:rPr>
                      <w:rFonts w:cs="Arial"/>
                      <w:sz w:val="22"/>
                      <w:szCs w:val="22"/>
                      <w:lang w:eastAsia="en-GB"/>
                    </w:rPr>
                    <w:t xml:space="preserve">vacancies </w:t>
                  </w:r>
                  <w:r w:rsidR="007B0DA3">
                    <w:rPr>
                      <w:rFonts w:cs="Arial"/>
                      <w:sz w:val="22"/>
                      <w:szCs w:val="22"/>
                      <w:lang w:eastAsia="en-GB"/>
                    </w:rPr>
                    <w:t>across services</w:t>
                  </w:r>
                </w:p>
              </w:tc>
              <w:tc>
                <w:tcPr>
                  <w:tcW w:w="1295" w:type="dxa"/>
                </w:tcPr>
                <w:p w:rsidR="007B0DA3" w:rsidRPr="007B0DA3" w:rsidRDefault="00C31F9C" w:rsidP="007B0DA3">
                  <w:pPr>
                    <w:tabs>
                      <w:tab w:val="left" w:pos="1980"/>
                      <w:tab w:val="left" w:pos="2700"/>
                      <w:tab w:val="left" w:pos="3420"/>
                    </w:tabs>
                    <w:contextualSpacing/>
                    <w:jc w:val="center"/>
                    <w:rPr>
                      <w:rFonts w:cs="Arial"/>
                      <w:sz w:val="22"/>
                      <w:szCs w:val="22"/>
                      <w:lang w:eastAsia="en-GB"/>
                    </w:rPr>
                  </w:pPr>
                  <w:r>
                    <w:rPr>
                      <w:rFonts w:cs="Arial"/>
                      <w:sz w:val="22"/>
                      <w:szCs w:val="22"/>
                      <w:lang w:eastAsia="en-GB"/>
                    </w:rPr>
                    <w:t>(30,980)</w:t>
                  </w:r>
                </w:p>
              </w:tc>
            </w:tr>
            <w:tr w:rsidR="000027F6" w:rsidRPr="007B0DA3" w:rsidTr="00920477">
              <w:tc>
                <w:tcPr>
                  <w:tcW w:w="601" w:type="dxa"/>
                </w:tcPr>
                <w:p w:rsidR="000027F6" w:rsidRPr="007B0DA3" w:rsidRDefault="000027F6" w:rsidP="004E14DF">
                  <w:pPr>
                    <w:tabs>
                      <w:tab w:val="left" w:pos="1980"/>
                      <w:tab w:val="left" w:pos="2700"/>
                      <w:tab w:val="left" w:pos="3420"/>
                    </w:tabs>
                    <w:contextualSpacing/>
                    <w:jc w:val="center"/>
                    <w:rPr>
                      <w:rFonts w:cs="Arial"/>
                      <w:sz w:val="22"/>
                      <w:szCs w:val="22"/>
                      <w:lang w:eastAsia="en-GB"/>
                    </w:rPr>
                  </w:pPr>
                </w:p>
              </w:tc>
              <w:tc>
                <w:tcPr>
                  <w:tcW w:w="6945" w:type="dxa"/>
                </w:tcPr>
                <w:p w:rsidR="000027F6" w:rsidRDefault="000027F6" w:rsidP="00705658">
                  <w:pPr>
                    <w:tabs>
                      <w:tab w:val="left" w:pos="1980"/>
                      <w:tab w:val="left" w:pos="2700"/>
                      <w:tab w:val="left" w:pos="3420"/>
                    </w:tabs>
                    <w:contextualSpacing/>
                    <w:jc w:val="both"/>
                    <w:rPr>
                      <w:rFonts w:cs="Arial"/>
                      <w:sz w:val="22"/>
                      <w:szCs w:val="22"/>
                      <w:lang w:eastAsia="en-GB"/>
                    </w:rPr>
                  </w:pPr>
                  <w:r>
                    <w:rPr>
                      <w:rFonts w:cs="Arial"/>
                      <w:sz w:val="22"/>
                      <w:szCs w:val="22"/>
                      <w:lang w:eastAsia="en-GB"/>
                    </w:rPr>
                    <w:t>Other</w:t>
                  </w:r>
                </w:p>
              </w:tc>
              <w:tc>
                <w:tcPr>
                  <w:tcW w:w="1295" w:type="dxa"/>
                </w:tcPr>
                <w:p w:rsidR="000027F6" w:rsidRPr="000027F6" w:rsidRDefault="000027F6" w:rsidP="00C31F9C">
                  <w:pPr>
                    <w:tabs>
                      <w:tab w:val="left" w:pos="1980"/>
                      <w:tab w:val="left" w:pos="2700"/>
                      <w:tab w:val="left" w:pos="3420"/>
                    </w:tabs>
                    <w:contextualSpacing/>
                    <w:jc w:val="center"/>
                    <w:rPr>
                      <w:rFonts w:cs="Arial"/>
                      <w:sz w:val="22"/>
                      <w:szCs w:val="22"/>
                      <w:lang w:eastAsia="en-GB"/>
                    </w:rPr>
                  </w:pPr>
                  <w:r w:rsidRPr="000027F6">
                    <w:rPr>
                      <w:rFonts w:cs="Arial"/>
                      <w:sz w:val="22"/>
                      <w:szCs w:val="22"/>
                      <w:lang w:eastAsia="en-GB"/>
                    </w:rPr>
                    <w:t>(17,630)</w:t>
                  </w:r>
                </w:p>
              </w:tc>
            </w:tr>
            <w:tr w:rsidR="007B0DA3" w:rsidRPr="007B0DA3" w:rsidTr="00920477">
              <w:tc>
                <w:tcPr>
                  <w:tcW w:w="601" w:type="dxa"/>
                </w:tcPr>
                <w:p w:rsidR="007B0DA3" w:rsidRPr="007B0DA3" w:rsidRDefault="007B0DA3" w:rsidP="004E14DF">
                  <w:pPr>
                    <w:tabs>
                      <w:tab w:val="left" w:pos="1980"/>
                      <w:tab w:val="left" w:pos="2700"/>
                      <w:tab w:val="left" w:pos="3420"/>
                    </w:tabs>
                    <w:contextualSpacing/>
                    <w:jc w:val="center"/>
                    <w:rPr>
                      <w:rFonts w:cs="Arial"/>
                      <w:sz w:val="22"/>
                      <w:szCs w:val="22"/>
                      <w:lang w:eastAsia="en-GB"/>
                    </w:rPr>
                  </w:pPr>
                </w:p>
              </w:tc>
              <w:tc>
                <w:tcPr>
                  <w:tcW w:w="6945" w:type="dxa"/>
                </w:tcPr>
                <w:p w:rsidR="007B0DA3" w:rsidRPr="007B0DA3" w:rsidRDefault="00672FC3" w:rsidP="00705658">
                  <w:pPr>
                    <w:tabs>
                      <w:tab w:val="left" w:pos="1980"/>
                      <w:tab w:val="left" w:pos="2700"/>
                      <w:tab w:val="left" w:pos="3420"/>
                    </w:tabs>
                    <w:contextualSpacing/>
                    <w:jc w:val="both"/>
                    <w:rPr>
                      <w:rFonts w:cs="Arial"/>
                      <w:sz w:val="22"/>
                      <w:szCs w:val="22"/>
                      <w:lang w:eastAsia="en-GB"/>
                    </w:rPr>
                  </w:pPr>
                  <w:r>
                    <w:rPr>
                      <w:rFonts w:cs="Arial"/>
                      <w:sz w:val="22"/>
                      <w:szCs w:val="22"/>
                      <w:lang w:eastAsia="en-GB"/>
                    </w:rPr>
                    <w:t>Total</w:t>
                  </w:r>
                </w:p>
              </w:tc>
              <w:tc>
                <w:tcPr>
                  <w:tcW w:w="1295" w:type="dxa"/>
                </w:tcPr>
                <w:p w:rsidR="007B0DA3" w:rsidRPr="007B0DA3" w:rsidRDefault="007B0DA3" w:rsidP="00C31F9C">
                  <w:pPr>
                    <w:tabs>
                      <w:tab w:val="left" w:pos="1980"/>
                      <w:tab w:val="left" w:pos="2700"/>
                      <w:tab w:val="left" w:pos="3420"/>
                    </w:tabs>
                    <w:contextualSpacing/>
                    <w:jc w:val="center"/>
                    <w:rPr>
                      <w:rFonts w:cs="Arial"/>
                      <w:b/>
                      <w:sz w:val="22"/>
                      <w:szCs w:val="22"/>
                      <w:lang w:eastAsia="en-GB"/>
                    </w:rPr>
                  </w:pPr>
                  <w:r w:rsidRPr="007B0DA3">
                    <w:rPr>
                      <w:rFonts w:cs="Arial"/>
                      <w:b/>
                      <w:sz w:val="22"/>
                      <w:szCs w:val="22"/>
                      <w:lang w:eastAsia="en-GB"/>
                    </w:rPr>
                    <w:t>(1</w:t>
                  </w:r>
                  <w:r w:rsidR="00C31F9C">
                    <w:rPr>
                      <w:rFonts w:cs="Arial"/>
                      <w:b/>
                      <w:sz w:val="22"/>
                      <w:szCs w:val="22"/>
                      <w:lang w:eastAsia="en-GB"/>
                    </w:rPr>
                    <w:t>12,130</w:t>
                  </w:r>
                  <w:r w:rsidRPr="007B0DA3">
                    <w:rPr>
                      <w:rFonts w:cs="Arial"/>
                      <w:b/>
                      <w:sz w:val="22"/>
                      <w:szCs w:val="22"/>
                      <w:lang w:eastAsia="en-GB"/>
                    </w:rPr>
                    <w:t>)</w:t>
                  </w:r>
                </w:p>
              </w:tc>
            </w:tr>
          </w:tbl>
          <w:p w:rsidR="006D58BC" w:rsidRDefault="006D58BC" w:rsidP="00346D39">
            <w:pPr>
              <w:tabs>
                <w:tab w:val="left" w:pos="1260"/>
                <w:tab w:val="left" w:pos="1980"/>
                <w:tab w:val="left" w:pos="2700"/>
                <w:tab w:val="left" w:pos="3420"/>
              </w:tabs>
              <w:jc w:val="both"/>
              <w:rPr>
                <w:rFonts w:cs="Arial"/>
                <w:sz w:val="22"/>
                <w:szCs w:val="22"/>
                <w:lang w:eastAsia="en-GB"/>
              </w:rPr>
            </w:pPr>
          </w:p>
          <w:p w:rsidR="005E6727" w:rsidRDefault="005E6727" w:rsidP="00F433DA">
            <w:pPr>
              <w:tabs>
                <w:tab w:val="left" w:pos="1260"/>
                <w:tab w:val="left" w:pos="1980"/>
                <w:tab w:val="left" w:pos="2700"/>
                <w:tab w:val="left" w:pos="3420"/>
              </w:tabs>
              <w:jc w:val="both"/>
              <w:rPr>
                <w:rFonts w:cs="Arial"/>
                <w:sz w:val="22"/>
                <w:szCs w:val="22"/>
              </w:rPr>
            </w:pPr>
            <w:r w:rsidRPr="00BF159E">
              <w:rPr>
                <w:rFonts w:cs="Arial"/>
                <w:sz w:val="22"/>
                <w:szCs w:val="22"/>
                <w:lang w:eastAsia="en-GB"/>
              </w:rPr>
              <w:t xml:space="preserve">The details of all </w:t>
            </w:r>
            <w:r w:rsidR="00333C45">
              <w:rPr>
                <w:rFonts w:cs="Arial"/>
                <w:sz w:val="22"/>
                <w:szCs w:val="22"/>
                <w:lang w:eastAsia="en-GB"/>
              </w:rPr>
              <w:t xml:space="preserve">the </w:t>
            </w:r>
            <w:r w:rsidR="006D58BC">
              <w:rPr>
                <w:rFonts w:cs="Arial"/>
                <w:sz w:val="22"/>
                <w:szCs w:val="22"/>
                <w:lang w:eastAsia="en-GB"/>
              </w:rPr>
              <w:t xml:space="preserve">service </w:t>
            </w:r>
            <w:r w:rsidR="00333C45">
              <w:rPr>
                <w:rFonts w:cs="Arial"/>
                <w:sz w:val="22"/>
                <w:szCs w:val="22"/>
                <w:lang w:eastAsia="en-GB"/>
              </w:rPr>
              <w:t xml:space="preserve">variances over the medium term </w:t>
            </w:r>
            <w:r w:rsidRPr="00BF159E">
              <w:rPr>
                <w:rFonts w:cs="Arial"/>
                <w:sz w:val="22"/>
                <w:szCs w:val="22"/>
                <w:lang w:eastAsia="en-GB"/>
              </w:rPr>
              <w:t xml:space="preserve">are shown at </w:t>
            </w:r>
            <w:r w:rsidRPr="00BF159E">
              <w:rPr>
                <w:rFonts w:cs="Arial"/>
                <w:b/>
                <w:sz w:val="22"/>
                <w:szCs w:val="22"/>
                <w:lang w:eastAsia="en-GB"/>
              </w:rPr>
              <w:t xml:space="preserve">Appendix </w:t>
            </w:r>
            <w:r w:rsidR="0053567A">
              <w:rPr>
                <w:rFonts w:cs="Arial"/>
                <w:b/>
                <w:sz w:val="22"/>
                <w:szCs w:val="22"/>
                <w:lang w:eastAsia="en-GB"/>
              </w:rPr>
              <w:t>3</w:t>
            </w:r>
            <w:r w:rsidRPr="00BF159E">
              <w:rPr>
                <w:rFonts w:cs="Arial"/>
                <w:b/>
                <w:sz w:val="22"/>
                <w:szCs w:val="22"/>
                <w:lang w:eastAsia="en-GB"/>
              </w:rPr>
              <w:t>.</w:t>
            </w:r>
          </w:p>
        </w:tc>
      </w:tr>
      <w:tr w:rsidR="005E6727" w:rsidRPr="00CF7499" w:rsidTr="002D171E">
        <w:trPr>
          <w:gridBefore w:val="1"/>
          <w:wBefore w:w="34" w:type="dxa"/>
          <w:trHeight w:val="1013"/>
        </w:trPr>
        <w:tc>
          <w:tcPr>
            <w:cnfStyle w:val="001000000000" w:firstRow="0" w:lastRow="0" w:firstColumn="1" w:lastColumn="0" w:oddVBand="0" w:evenVBand="0" w:oddHBand="0" w:evenHBand="0" w:firstRowFirstColumn="0" w:firstRowLastColumn="0" w:lastRowFirstColumn="0" w:lastRowLastColumn="0"/>
            <w:tcW w:w="959" w:type="dxa"/>
          </w:tcPr>
          <w:p w:rsidR="00583AFA" w:rsidRDefault="00583AFA" w:rsidP="00C80E97">
            <w:pPr>
              <w:jc w:val="both"/>
              <w:rPr>
                <w:rFonts w:cs="Arial"/>
                <w:sz w:val="22"/>
                <w:szCs w:val="22"/>
              </w:rPr>
            </w:pPr>
          </w:p>
          <w:p w:rsidR="005E6727" w:rsidRDefault="005E6727" w:rsidP="00C80E97">
            <w:pPr>
              <w:jc w:val="both"/>
              <w:rPr>
                <w:rFonts w:cs="Arial"/>
                <w:sz w:val="22"/>
                <w:szCs w:val="22"/>
              </w:rPr>
            </w:pPr>
            <w:r>
              <w:rPr>
                <w:rFonts w:cs="Arial"/>
                <w:sz w:val="22"/>
                <w:szCs w:val="22"/>
              </w:rPr>
              <w:t>2.5</w:t>
            </w:r>
          </w:p>
          <w:p w:rsidR="005E6727" w:rsidRDefault="005E6727" w:rsidP="00C80E97">
            <w:pPr>
              <w:jc w:val="both"/>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583AFA" w:rsidRDefault="00583AFA" w:rsidP="005E6727">
            <w:pPr>
              <w:tabs>
                <w:tab w:val="left" w:pos="1260"/>
                <w:tab w:val="left" w:pos="1980"/>
                <w:tab w:val="left" w:pos="2700"/>
                <w:tab w:val="left" w:pos="3420"/>
              </w:tabs>
              <w:ind w:left="1276" w:hanging="1276"/>
              <w:jc w:val="both"/>
              <w:rPr>
                <w:rFonts w:cs="Arial"/>
                <w:sz w:val="22"/>
                <w:szCs w:val="22"/>
                <w:lang w:eastAsia="en-GB"/>
              </w:rPr>
            </w:pPr>
          </w:p>
          <w:p w:rsidR="005E6727" w:rsidRDefault="005E6727" w:rsidP="005E6727">
            <w:pPr>
              <w:tabs>
                <w:tab w:val="left" w:pos="1260"/>
                <w:tab w:val="left" w:pos="1980"/>
                <w:tab w:val="left" w:pos="2700"/>
                <w:tab w:val="left" w:pos="3420"/>
              </w:tabs>
              <w:ind w:left="1276" w:hanging="1276"/>
              <w:jc w:val="both"/>
              <w:rPr>
                <w:rFonts w:cs="Arial"/>
                <w:sz w:val="22"/>
                <w:szCs w:val="22"/>
                <w:lang w:eastAsia="en-GB"/>
              </w:rPr>
            </w:pPr>
            <w:r w:rsidRPr="00BF159E">
              <w:rPr>
                <w:rFonts w:cs="Arial"/>
                <w:sz w:val="22"/>
                <w:szCs w:val="22"/>
                <w:lang w:eastAsia="en-GB"/>
              </w:rPr>
              <w:t>The trend over the financial year (</w:t>
            </w:r>
            <w:r w:rsidR="00BF40B4">
              <w:rPr>
                <w:rFonts w:cs="Arial"/>
                <w:sz w:val="22"/>
                <w:szCs w:val="22"/>
                <w:lang w:eastAsia="en-GB"/>
              </w:rPr>
              <w:t>2017/18</w:t>
            </w:r>
            <w:r w:rsidRPr="00BF159E">
              <w:rPr>
                <w:rFonts w:cs="Arial"/>
                <w:sz w:val="22"/>
                <w:szCs w:val="22"/>
                <w:lang w:eastAsia="en-GB"/>
              </w:rPr>
              <w:t>) is plotted on the graph below;</w:t>
            </w:r>
          </w:p>
          <w:p w:rsidR="002540C2" w:rsidRDefault="005E6727" w:rsidP="005E6727">
            <w:pPr>
              <w:tabs>
                <w:tab w:val="left" w:pos="1260"/>
                <w:tab w:val="left" w:pos="1980"/>
                <w:tab w:val="left" w:pos="2700"/>
                <w:tab w:val="left" w:pos="3420"/>
              </w:tabs>
              <w:ind w:left="360"/>
              <w:contextualSpacing/>
              <w:jc w:val="both"/>
              <w:rPr>
                <w:rFonts w:cs="Arial"/>
                <w:sz w:val="22"/>
                <w:szCs w:val="22"/>
                <w:lang w:eastAsia="en-GB"/>
              </w:rPr>
            </w:pPr>
            <w:r w:rsidRPr="00BF159E">
              <w:rPr>
                <w:rFonts w:cs="Arial"/>
                <w:noProof/>
                <w:sz w:val="22"/>
                <w:szCs w:val="22"/>
                <w:lang w:eastAsia="en-GB"/>
              </w:rPr>
              <w:lastRenderedPageBreak/>
              <w:drawing>
                <wp:inline distT="0" distB="0" distL="0" distR="0" wp14:anchorId="4C16BF30" wp14:editId="1FB162F7">
                  <wp:extent cx="4718304" cy="2157984"/>
                  <wp:effectExtent l="0" t="0" r="25400" b="1397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E6727" w:rsidRDefault="005E6727" w:rsidP="00926417">
            <w:pPr>
              <w:tabs>
                <w:tab w:val="left" w:pos="360"/>
                <w:tab w:val="left" w:pos="900"/>
              </w:tabs>
              <w:jc w:val="both"/>
              <w:rPr>
                <w:rFonts w:cs="Arial"/>
                <w:sz w:val="22"/>
                <w:szCs w:val="22"/>
              </w:rPr>
            </w:pPr>
          </w:p>
        </w:tc>
      </w:tr>
      <w:tr w:rsidR="00CF7499" w:rsidRPr="00CF7499" w:rsidTr="002D171E">
        <w:trPr>
          <w:gridBefore w:val="1"/>
          <w:wBefore w:w="34" w:type="dxa"/>
          <w:trHeight w:val="1160"/>
        </w:trPr>
        <w:tc>
          <w:tcPr>
            <w:cnfStyle w:val="001000000000" w:firstRow="0" w:lastRow="0" w:firstColumn="1" w:lastColumn="0" w:oddVBand="0" w:evenVBand="0" w:oddHBand="0" w:evenHBand="0" w:firstRowFirstColumn="0" w:firstRowLastColumn="0" w:lastRowFirstColumn="0" w:lastRowLastColumn="0"/>
            <w:tcW w:w="959" w:type="dxa"/>
          </w:tcPr>
          <w:p w:rsidR="009A7768" w:rsidRPr="00EA5E50" w:rsidRDefault="009A7768" w:rsidP="005E6727">
            <w:pPr>
              <w:jc w:val="both"/>
              <w:rPr>
                <w:rFonts w:cs="Arial"/>
                <w:sz w:val="22"/>
                <w:szCs w:val="22"/>
              </w:rPr>
            </w:pPr>
          </w:p>
          <w:p w:rsidR="009A7768" w:rsidRPr="00EA5E50" w:rsidRDefault="009A7768" w:rsidP="005E6727">
            <w:pPr>
              <w:jc w:val="both"/>
              <w:rPr>
                <w:rFonts w:cs="Arial"/>
                <w:sz w:val="22"/>
                <w:szCs w:val="22"/>
              </w:rPr>
            </w:pPr>
          </w:p>
          <w:p w:rsidR="007941B8" w:rsidRPr="00EA5E50" w:rsidRDefault="007941B8" w:rsidP="005E6727">
            <w:pPr>
              <w:jc w:val="both"/>
              <w:rPr>
                <w:rFonts w:cs="Arial"/>
                <w:sz w:val="22"/>
                <w:szCs w:val="22"/>
              </w:rPr>
            </w:pPr>
            <w:r w:rsidRPr="00EA5E50">
              <w:rPr>
                <w:rFonts w:cs="Arial"/>
                <w:sz w:val="22"/>
                <w:szCs w:val="22"/>
              </w:rPr>
              <w:t>2.</w:t>
            </w:r>
            <w:r w:rsidR="005E6727" w:rsidRPr="00EA5E50">
              <w:rPr>
                <w:rFonts w:cs="Arial"/>
                <w:sz w:val="22"/>
                <w:szCs w:val="22"/>
              </w:rPr>
              <w:t>6</w:t>
            </w:r>
          </w:p>
          <w:p w:rsidR="008E3095" w:rsidRPr="00EA5E50" w:rsidRDefault="008E3095" w:rsidP="005E6727">
            <w:pPr>
              <w:jc w:val="both"/>
              <w:rPr>
                <w:rFonts w:cs="Arial"/>
                <w:sz w:val="22"/>
                <w:szCs w:val="22"/>
              </w:rPr>
            </w:pPr>
          </w:p>
          <w:p w:rsidR="008E3095" w:rsidRPr="00EA5E50" w:rsidRDefault="008E3095" w:rsidP="005E6727">
            <w:pPr>
              <w:jc w:val="both"/>
              <w:rPr>
                <w:rFonts w:cs="Arial"/>
                <w:sz w:val="22"/>
                <w:szCs w:val="22"/>
              </w:rPr>
            </w:pPr>
          </w:p>
          <w:p w:rsidR="008E3095" w:rsidRPr="00EA5E50" w:rsidRDefault="008E3095" w:rsidP="005E6727">
            <w:pPr>
              <w:jc w:val="both"/>
              <w:rPr>
                <w:rFonts w:cs="Arial"/>
                <w:sz w:val="22"/>
                <w:szCs w:val="22"/>
              </w:rPr>
            </w:pPr>
          </w:p>
          <w:p w:rsidR="008E3095" w:rsidRPr="00EA5E50" w:rsidRDefault="008E3095" w:rsidP="005E6727">
            <w:pPr>
              <w:jc w:val="both"/>
              <w:rPr>
                <w:rFonts w:cs="Arial"/>
                <w:sz w:val="22"/>
                <w:szCs w:val="22"/>
              </w:rPr>
            </w:pPr>
            <w:r w:rsidRPr="00EA5E50">
              <w:rPr>
                <w:rFonts w:cs="Arial"/>
                <w:sz w:val="22"/>
                <w:szCs w:val="22"/>
              </w:rPr>
              <w:t>2.7</w:t>
            </w:r>
          </w:p>
        </w:tc>
        <w:tc>
          <w:tcPr>
            <w:cnfStyle w:val="000100000000" w:firstRow="0" w:lastRow="0" w:firstColumn="0" w:lastColumn="1" w:oddVBand="0" w:evenVBand="0" w:oddHBand="0" w:evenHBand="0" w:firstRowFirstColumn="0" w:firstRowLastColumn="0" w:lastRowFirstColumn="0" w:lastRowLastColumn="0"/>
            <w:tcW w:w="9072" w:type="dxa"/>
          </w:tcPr>
          <w:p w:rsidR="005E6727" w:rsidRPr="00EA5E50" w:rsidRDefault="00705658" w:rsidP="005E6727">
            <w:pPr>
              <w:tabs>
                <w:tab w:val="left" w:pos="360"/>
                <w:tab w:val="left" w:pos="900"/>
              </w:tabs>
              <w:jc w:val="both"/>
              <w:rPr>
                <w:rFonts w:cs="Arial"/>
                <w:b/>
                <w:i/>
                <w:sz w:val="22"/>
                <w:szCs w:val="22"/>
                <w:u w:val="single"/>
              </w:rPr>
            </w:pPr>
            <w:r w:rsidRPr="00EA5E50">
              <w:rPr>
                <w:rFonts w:cs="Arial"/>
                <w:b/>
                <w:i/>
                <w:sz w:val="22"/>
                <w:szCs w:val="22"/>
                <w:u w:val="single"/>
              </w:rPr>
              <w:t>2018/19 - 2020/21</w:t>
            </w:r>
            <w:r w:rsidR="005E6727" w:rsidRPr="00EA5E50">
              <w:rPr>
                <w:rFonts w:cs="Arial"/>
                <w:b/>
                <w:i/>
                <w:sz w:val="22"/>
                <w:szCs w:val="22"/>
                <w:u w:val="single"/>
              </w:rPr>
              <w:t xml:space="preserve"> - The Medium Term</w:t>
            </w:r>
            <w:r w:rsidR="00AA1ECA" w:rsidRPr="00EA5E50">
              <w:rPr>
                <w:rFonts w:cs="Arial"/>
                <w:b/>
                <w:i/>
                <w:sz w:val="22"/>
                <w:szCs w:val="22"/>
                <w:u w:val="single"/>
              </w:rPr>
              <w:t xml:space="preserve"> Financial Plan (MTFP)</w:t>
            </w:r>
          </w:p>
          <w:p w:rsidR="005E6727" w:rsidRPr="00EA5E50" w:rsidRDefault="005E6727" w:rsidP="005E6727">
            <w:pPr>
              <w:tabs>
                <w:tab w:val="left" w:pos="360"/>
                <w:tab w:val="left" w:pos="900"/>
              </w:tabs>
              <w:jc w:val="both"/>
              <w:rPr>
                <w:rFonts w:cs="Arial"/>
                <w:b/>
                <w:i/>
                <w:sz w:val="22"/>
                <w:szCs w:val="22"/>
                <w:u w:val="single"/>
              </w:rPr>
            </w:pPr>
          </w:p>
          <w:p w:rsidR="00F62ECE" w:rsidRPr="00EA5E50" w:rsidRDefault="008B0042" w:rsidP="00F86AA0">
            <w:pPr>
              <w:tabs>
                <w:tab w:val="left" w:pos="360"/>
                <w:tab w:val="left" w:pos="900"/>
              </w:tabs>
              <w:jc w:val="both"/>
              <w:rPr>
                <w:rFonts w:cs="Arial"/>
                <w:sz w:val="22"/>
                <w:szCs w:val="22"/>
              </w:rPr>
            </w:pPr>
            <w:r w:rsidRPr="00EA5E50">
              <w:rPr>
                <w:rFonts w:cs="Arial"/>
                <w:sz w:val="22"/>
                <w:szCs w:val="22"/>
              </w:rPr>
              <w:t xml:space="preserve">Looking ahead </w:t>
            </w:r>
            <w:r w:rsidR="00F33EA4" w:rsidRPr="00EA5E50">
              <w:rPr>
                <w:rFonts w:cs="Arial"/>
                <w:sz w:val="22"/>
                <w:szCs w:val="22"/>
              </w:rPr>
              <w:t xml:space="preserve">over the </w:t>
            </w:r>
            <w:r w:rsidR="004F4DAA" w:rsidRPr="00EA5E50">
              <w:rPr>
                <w:rFonts w:cs="Arial"/>
                <w:sz w:val="22"/>
                <w:szCs w:val="22"/>
              </w:rPr>
              <w:t>next three</w:t>
            </w:r>
            <w:r w:rsidR="00F33EA4" w:rsidRPr="00EA5E50">
              <w:rPr>
                <w:rFonts w:cs="Arial"/>
                <w:sz w:val="22"/>
                <w:szCs w:val="22"/>
              </w:rPr>
              <w:t xml:space="preserve"> years</w:t>
            </w:r>
            <w:r w:rsidR="00480C71" w:rsidRPr="00EA5E50">
              <w:rPr>
                <w:rFonts w:cs="Arial"/>
                <w:sz w:val="22"/>
                <w:szCs w:val="22"/>
              </w:rPr>
              <w:t>, the</w:t>
            </w:r>
            <w:r w:rsidR="000C07E2" w:rsidRPr="00EA5E50">
              <w:rPr>
                <w:rFonts w:cs="Arial"/>
                <w:sz w:val="22"/>
                <w:szCs w:val="22"/>
              </w:rPr>
              <w:t xml:space="preserve"> MTFP has been prepared against </w:t>
            </w:r>
            <w:r w:rsidR="006A256F" w:rsidRPr="00EA5E50">
              <w:rPr>
                <w:rFonts w:cs="Arial"/>
                <w:sz w:val="22"/>
                <w:szCs w:val="22"/>
              </w:rPr>
              <w:t xml:space="preserve">the continued </w:t>
            </w:r>
            <w:r w:rsidR="000C07E2" w:rsidRPr="00EA5E50">
              <w:rPr>
                <w:rFonts w:cs="Arial"/>
                <w:sz w:val="22"/>
                <w:szCs w:val="22"/>
              </w:rPr>
              <w:t xml:space="preserve">backdrop of cuts in Government funding, increasing pressure on services and </w:t>
            </w:r>
            <w:r w:rsidR="006A256F" w:rsidRPr="00EA5E50">
              <w:rPr>
                <w:rFonts w:cs="Arial"/>
                <w:sz w:val="22"/>
                <w:szCs w:val="22"/>
              </w:rPr>
              <w:t xml:space="preserve">continuing </w:t>
            </w:r>
            <w:r w:rsidR="000C07E2" w:rsidRPr="00EA5E50">
              <w:rPr>
                <w:rFonts w:cs="Arial"/>
                <w:sz w:val="22"/>
                <w:szCs w:val="22"/>
              </w:rPr>
              <w:t>expectations from stakeholders</w:t>
            </w:r>
            <w:r w:rsidR="006A256F" w:rsidRPr="00EA5E50">
              <w:rPr>
                <w:rFonts w:cs="Arial"/>
                <w:sz w:val="22"/>
                <w:szCs w:val="22"/>
              </w:rPr>
              <w:t xml:space="preserve"> for service provision</w:t>
            </w:r>
            <w:r w:rsidR="000C07E2" w:rsidRPr="00EA5E50">
              <w:rPr>
                <w:rFonts w:cs="Arial"/>
                <w:sz w:val="22"/>
                <w:szCs w:val="22"/>
              </w:rPr>
              <w:t>.</w:t>
            </w:r>
          </w:p>
          <w:p w:rsidR="006D4761" w:rsidRPr="00EA5E50" w:rsidRDefault="006D4761" w:rsidP="00F86AA0">
            <w:pPr>
              <w:tabs>
                <w:tab w:val="left" w:pos="360"/>
                <w:tab w:val="left" w:pos="900"/>
              </w:tabs>
              <w:jc w:val="both"/>
              <w:rPr>
                <w:rFonts w:cs="Arial"/>
                <w:sz w:val="22"/>
                <w:szCs w:val="22"/>
              </w:rPr>
            </w:pPr>
          </w:p>
          <w:p w:rsidR="00F5222E" w:rsidRPr="00EA5E50" w:rsidRDefault="006D4761" w:rsidP="00F86AA0">
            <w:pPr>
              <w:tabs>
                <w:tab w:val="left" w:pos="360"/>
                <w:tab w:val="left" w:pos="900"/>
              </w:tabs>
              <w:jc w:val="both"/>
              <w:rPr>
                <w:rFonts w:cs="Arial"/>
                <w:sz w:val="22"/>
                <w:szCs w:val="22"/>
              </w:rPr>
            </w:pPr>
            <w:r w:rsidRPr="00EA5E50">
              <w:rPr>
                <w:rFonts w:cs="Arial"/>
                <w:sz w:val="22"/>
                <w:szCs w:val="22"/>
              </w:rPr>
              <w:t xml:space="preserve">The main </w:t>
            </w:r>
            <w:r w:rsidR="00F5222E" w:rsidRPr="00EA5E50">
              <w:rPr>
                <w:rFonts w:cs="Arial"/>
                <w:sz w:val="22"/>
                <w:szCs w:val="22"/>
              </w:rPr>
              <w:t xml:space="preserve">immediate </w:t>
            </w:r>
            <w:r w:rsidRPr="00EA5E50">
              <w:rPr>
                <w:rFonts w:cs="Arial"/>
                <w:sz w:val="22"/>
                <w:szCs w:val="22"/>
              </w:rPr>
              <w:t xml:space="preserve">budget pressure facing the Council is the requirement </w:t>
            </w:r>
            <w:r w:rsidR="00F5222E" w:rsidRPr="00EA5E50">
              <w:rPr>
                <w:rFonts w:cs="Arial"/>
                <w:sz w:val="22"/>
                <w:szCs w:val="22"/>
              </w:rPr>
              <w:t>to honour the National Joint Council pay award for staff.  The level of pay award has been</w:t>
            </w:r>
            <w:r w:rsidR="000232F0">
              <w:rPr>
                <w:rFonts w:cs="Arial"/>
                <w:sz w:val="22"/>
                <w:szCs w:val="22"/>
              </w:rPr>
              <w:t xml:space="preserve"> previously</w:t>
            </w:r>
            <w:r w:rsidR="00F5222E" w:rsidRPr="00EA5E50">
              <w:rPr>
                <w:rFonts w:cs="Arial"/>
                <w:sz w:val="22"/>
                <w:szCs w:val="22"/>
              </w:rPr>
              <w:t xml:space="preserve"> capped but for 2018/19 this has been set at 2% for the next two years.  This will mean a pressure of £880,000 over and above the amounts already built into the MTFP.</w:t>
            </w:r>
          </w:p>
          <w:p w:rsidR="005A4AF2" w:rsidRPr="00EA5E50" w:rsidRDefault="005A4AF2" w:rsidP="00F5222E">
            <w:pPr>
              <w:tabs>
                <w:tab w:val="left" w:pos="360"/>
                <w:tab w:val="left" w:pos="900"/>
              </w:tabs>
              <w:jc w:val="both"/>
              <w:rPr>
                <w:rFonts w:cs="Arial"/>
                <w:sz w:val="22"/>
                <w:szCs w:val="22"/>
              </w:rPr>
            </w:pPr>
          </w:p>
        </w:tc>
      </w:tr>
      <w:tr w:rsidR="009A7768" w:rsidRPr="00CF7499" w:rsidTr="002D171E">
        <w:trPr>
          <w:gridBefore w:val="1"/>
          <w:wBefore w:w="34" w:type="dxa"/>
          <w:trHeight w:val="1160"/>
        </w:trPr>
        <w:tc>
          <w:tcPr>
            <w:cnfStyle w:val="001000000000" w:firstRow="0" w:lastRow="0" w:firstColumn="1" w:lastColumn="0" w:oddVBand="0" w:evenVBand="0" w:oddHBand="0" w:evenHBand="0" w:firstRowFirstColumn="0" w:firstRowLastColumn="0" w:lastRowFirstColumn="0" w:lastRowLastColumn="0"/>
            <w:tcW w:w="959" w:type="dxa"/>
          </w:tcPr>
          <w:p w:rsidR="009A7768" w:rsidRPr="00EA5E50" w:rsidRDefault="009A7768" w:rsidP="008E3095">
            <w:pPr>
              <w:jc w:val="both"/>
              <w:rPr>
                <w:rFonts w:cs="Arial"/>
                <w:sz w:val="22"/>
                <w:szCs w:val="22"/>
              </w:rPr>
            </w:pPr>
            <w:r w:rsidRPr="00EA5E50">
              <w:rPr>
                <w:rFonts w:cs="Arial"/>
                <w:sz w:val="22"/>
                <w:szCs w:val="22"/>
              </w:rPr>
              <w:t>2.</w:t>
            </w:r>
            <w:r w:rsidR="008E3095" w:rsidRPr="00EA5E50">
              <w:rPr>
                <w:rFonts w:cs="Arial"/>
                <w:sz w:val="22"/>
                <w:szCs w:val="22"/>
              </w:rPr>
              <w:t>8</w:t>
            </w:r>
          </w:p>
        </w:tc>
        <w:tc>
          <w:tcPr>
            <w:cnfStyle w:val="000100000000" w:firstRow="0" w:lastRow="0" w:firstColumn="0" w:lastColumn="1" w:oddVBand="0" w:evenVBand="0" w:oddHBand="0" w:evenHBand="0" w:firstRowFirstColumn="0" w:firstRowLastColumn="0" w:lastRowFirstColumn="0" w:lastRowLastColumn="0"/>
            <w:tcW w:w="9072" w:type="dxa"/>
          </w:tcPr>
          <w:p w:rsidR="009A7768" w:rsidRPr="00EA5E50" w:rsidRDefault="00F5222E" w:rsidP="009D299C">
            <w:pPr>
              <w:tabs>
                <w:tab w:val="left" w:pos="360"/>
                <w:tab w:val="left" w:pos="900"/>
              </w:tabs>
              <w:jc w:val="both"/>
              <w:rPr>
                <w:sz w:val="22"/>
                <w:szCs w:val="22"/>
              </w:rPr>
            </w:pPr>
            <w:r w:rsidRPr="00EA5E50">
              <w:rPr>
                <w:sz w:val="22"/>
                <w:szCs w:val="22"/>
              </w:rPr>
              <w:t xml:space="preserve">Services have worked hard during the budget setting process to keep budget growth to a minimum and remain within their budget limits. </w:t>
            </w:r>
            <w:r w:rsidR="005F65E4">
              <w:rPr>
                <w:sz w:val="22"/>
                <w:szCs w:val="22"/>
              </w:rPr>
              <w:t xml:space="preserve"> Services have submitted Project Initiation Documents (PIDS) to their relevant service Committees for approval. </w:t>
            </w:r>
            <w:r w:rsidRPr="00EA5E50">
              <w:rPr>
                <w:sz w:val="22"/>
                <w:szCs w:val="22"/>
              </w:rPr>
              <w:t xml:space="preserve"> This has resulted in a minimal increase in growth of £112,790 over the MTFP.</w:t>
            </w:r>
          </w:p>
          <w:p w:rsidR="00786988" w:rsidRPr="00EA5E50" w:rsidRDefault="00786988" w:rsidP="009D299C">
            <w:pPr>
              <w:tabs>
                <w:tab w:val="left" w:pos="360"/>
                <w:tab w:val="left" w:pos="900"/>
              </w:tabs>
              <w:jc w:val="both"/>
              <w:rPr>
                <w:sz w:val="22"/>
                <w:szCs w:val="22"/>
              </w:rPr>
            </w:pPr>
          </w:p>
        </w:tc>
      </w:tr>
      <w:tr w:rsidR="008E3095" w:rsidRPr="00CF7499" w:rsidTr="002D171E">
        <w:trPr>
          <w:gridBefore w:val="1"/>
          <w:wBefore w:w="34" w:type="dxa"/>
          <w:trHeight w:val="1160"/>
        </w:trPr>
        <w:tc>
          <w:tcPr>
            <w:cnfStyle w:val="001000000000" w:firstRow="0" w:lastRow="0" w:firstColumn="1" w:lastColumn="0" w:oddVBand="0" w:evenVBand="0" w:oddHBand="0" w:evenHBand="0" w:firstRowFirstColumn="0" w:firstRowLastColumn="0" w:lastRowFirstColumn="0" w:lastRowLastColumn="0"/>
            <w:tcW w:w="959" w:type="dxa"/>
          </w:tcPr>
          <w:p w:rsidR="008E3095" w:rsidRPr="00EA5E50" w:rsidRDefault="008E3095" w:rsidP="008E3095">
            <w:pPr>
              <w:jc w:val="both"/>
              <w:rPr>
                <w:rFonts w:cs="Arial"/>
                <w:sz w:val="22"/>
                <w:szCs w:val="22"/>
              </w:rPr>
            </w:pPr>
            <w:r w:rsidRPr="00EA5E50">
              <w:rPr>
                <w:rFonts w:cs="Arial"/>
                <w:sz w:val="22"/>
                <w:szCs w:val="22"/>
              </w:rPr>
              <w:t>2.9</w:t>
            </w:r>
          </w:p>
        </w:tc>
        <w:tc>
          <w:tcPr>
            <w:cnfStyle w:val="000100000000" w:firstRow="0" w:lastRow="0" w:firstColumn="0" w:lastColumn="1" w:oddVBand="0" w:evenVBand="0" w:oddHBand="0" w:evenHBand="0" w:firstRowFirstColumn="0" w:firstRowLastColumn="0" w:lastRowFirstColumn="0" w:lastRowLastColumn="0"/>
            <w:tcW w:w="9072" w:type="dxa"/>
          </w:tcPr>
          <w:p w:rsidR="002540C2" w:rsidRPr="00EA5E50" w:rsidRDefault="00784580" w:rsidP="00784580">
            <w:pPr>
              <w:tabs>
                <w:tab w:val="left" w:pos="360"/>
                <w:tab w:val="left" w:pos="900"/>
              </w:tabs>
              <w:jc w:val="both"/>
              <w:rPr>
                <w:sz w:val="22"/>
                <w:szCs w:val="22"/>
              </w:rPr>
            </w:pPr>
            <w:r w:rsidRPr="00EA5E50">
              <w:rPr>
                <w:sz w:val="22"/>
                <w:szCs w:val="22"/>
              </w:rPr>
              <w:t xml:space="preserve">There is an expectation that the Council will take advantage of the increase in planning fees (statutory) to also increase its fees for pre-application advice by a similar percentage.  Both of these will see an increase income, although the statutory element will be ring-fenced to support </w:t>
            </w:r>
            <w:r w:rsidR="007F5C62">
              <w:rPr>
                <w:sz w:val="22"/>
                <w:szCs w:val="22"/>
              </w:rPr>
              <w:t>planning services</w:t>
            </w:r>
            <w:r w:rsidRPr="00EA5E50">
              <w:rPr>
                <w:sz w:val="22"/>
                <w:szCs w:val="22"/>
              </w:rPr>
              <w:t>.</w:t>
            </w:r>
          </w:p>
          <w:p w:rsidR="00EA5E50" w:rsidRPr="00EA5E50" w:rsidRDefault="00EA5E50" w:rsidP="00784580">
            <w:pPr>
              <w:tabs>
                <w:tab w:val="left" w:pos="360"/>
                <w:tab w:val="left" w:pos="900"/>
              </w:tabs>
              <w:jc w:val="both"/>
              <w:rPr>
                <w:sz w:val="22"/>
                <w:szCs w:val="22"/>
              </w:rPr>
            </w:pPr>
          </w:p>
        </w:tc>
      </w:tr>
      <w:tr w:rsidR="00EA5E50" w:rsidRPr="00CF7499" w:rsidTr="002D171E">
        <w:trPr>
          <w:gridBefore w:val="1"/>
          <w:wBefore w:w="34" w:type="dxa"/>
          <w:trHeight w:val="942"/>
        </w:trPr>
        <w:tc>
          <w:tcPr>
            <w:cnfStyle w:val="001000000000" w:firstRow="0" w:lastRow="0" w:firstColumn="1" w:lastColumn="0" w:oddVBand="0" w:evenVBand="0" w:oddHBand="0" w:evenHBand="0" w:firstRowFirstColumn="0" w:firstRowLastColumn="0" w:lastRowFirstColumn="0" w:lastRowLastColumn="0"/>
            <w:tcW w:w="959" w:type="dxa"/>
          </w:tcPr>
          <w:p w:rsidR="00EA5E50" w:rsidRPr="00EA5E50" w:rsidRDefault="002D171E" w:rsidP="008E3095">
            <w:pPr>
              <w:jc w:val="both"/>
              <w:rPr>
                <w:rFonts w:cs="Arial"/>
                <w:sz w:val="22"/>
                <w:szCs w:val="22"/>
              </w:rPr>
            </w:pPr>
            <w:r w:rsidRPr="00EA5E50">
              <w:rPr>
                <w:rFonts w:cs="Arial"/>
                <w:sz w:val="22"/>
                <w:szCs w:val="22"/>
              </w:rPr>
              <w:t>2.10</w:t>
            </w:r>
          </w:p>
        </w:tc>
        <w:tc>
          <w:tcPr>
            <w:cnfStyle w:val="000100000000" w:firstRow="0" w:lastRow="0" w:firstColumn="0" w:lastColumn="1" w:oddVBand="0" w:evenVBand="0" w:oddHBand="0" w:evenHBand="0" w:firstRowFirstColumn="0" w:firstRowLastColumn="0" w:lastRowFirstColumn="0" w:lastRowLastColumn="0"/>
            <w:tcW w:w="9072" w:type="dxa"/>
          </w:tcPr>
          <w:p w:rsidR="002D171E" w:rsidRPr="00EA5E50" w:rsidRDefault="002D171E" w:rsidP="002D171E">
            <w:pPr>
              <w:tabs>
                <w:tab w:val="left" w:pos="1260"/>
                <w:tab w:val="left" w:pos="1980"/>
                <w:tab w:val="left" w:pos="2700"/>
                <w:tab w:val="left" w:pos="3420"/>
              </w:tabs>
              <w:jc w:val="both"/>
              <w:rPr>
                <w:sz w:val="22"/>
                <w:szCs w:val="22"/>
              </w:rPr>
            </w:pPr>
            <w:r w:rsidRPr="00EA5E50">
              <w:rPr>
                <w:sz w:val="22"/>
                <w:szCs w:val="22"/>
              </w:rPr>
              <w:t>In the previous MTFP the Council indicated that by 2018/19 it would be making an additional £1 million from its investment in property (including temporary accommodation).  Whereas progress has been made in this financial year (c£300,000), delays in the Bury project and recent government announcements restricting property investments present a risk to the full achievement of this target in future years.</w:t>
            </w:r>
          </w:p>
          <w:p w:rsidR="00EA5E50" w:rsidRPr="00EA5E50" w:rsidRDefault="00EA5E50" w:rsidP="00EA5E50">
            <w:pPr>
              <w:tabs>
                <w:tab w:val="left" w:pos="1260"/>
                <w:tab w:val="left" w:pos="1980"/>
                <w:tab w:val="left" w:pos="2700"/>
                <w:tab w:val="left" w:pos="3420"/>
              </w:tabs>
              <w:jc w:val="both"/>
              <w:rPr>
                <w:sz w:val="22"/>
                <w:szCs w:val="22"/>
              </w:rPr>
            </w:pPr>
          </w:p>
        </w:tc>
      </w:tr>
      <w:tr w:rsidR="002540C2" w:rsidRPr="00CF7499" w:rsidTr="00F433DA">
        <w:trPr>
          <w:gridBefore w:val="1"/>
          <w:wBefore w:w="34" w:type="dxa"/>
          <w:trHeight w:val="424"/>
        </w:trPr>
        <w:tc>
          <w:tcPr>
            <w:cnfStyle w:val="001000000000" w:firstRow="0" w:lastRow="0" w:firstColumn="1" w:lastColumn="0" w:oddVBand="0" w:evenVBand="0" w:oddHBand="0" w:evenHBand="0" w:firstRowFirstColumn="0" w:firstRowLastColumn="0" w:lastRowFirstColumn="0" w:lastRowLastColumn="0"/>
            <w:tcW w:w="959" w:type="dxa"/>
          </w:tcPr>
          <w:p w:rsidR="002540C2" w:rsidRDefault="002540C2" w:rsidP="00675178">
            <w:pPr>
              <w:jc w:val="both"/>
              <w:rPr>
                <w:rFonts w:cs="Arial"/>
                <w:sz w:val="22"/>
                <w:szCs w:val="22"/>
              </w:rPr>
            </w:pPr>
            <w:r>
              <w:rPr>
                <w:rFonts w:cs="Arial"/>
                <w:sz w:val="22"/>
                <w:szCs w:val="22"/>
              </w:rPr>
              <w:t>2.1</w:t>
            </w:r>
            <w:r w:rsidR="00675178">
              <w:rPr>
                <w:rFonts w:cs="Arial"/>
                <w:sz w:val="22"/>
                <w:szCs w:val="22"/>
              </w:rPr>
              <w:t>1</w:t>
            </w:r>
          </w:p>
        </w:tc>
        <w:tc>
          <w:tcPr>
            <w:cnfStyle w:val="000100000000" w:firstRow="0" w:lastRow="0" w:firstColumn="0" w:lastColumn="1" w:oddVBand="0" w:evenVBand="0" w:oddHBand="0" w:evenHBand="0" w:firstRowFirstColumn="0" w:firstRowLastColumn="0" w:lastRowFirstColumn="0" w:lastRowLastColumn="0"/>
            <w:tcW w:w="9072" w:type="dxa"/>
          </w:tcPr>
          <w:p w:rsidR="002540C2" w:rsidRDefault="002540C2" w:rsidP="00644D2E">
            <w:pPr>
              <w:tabs>
                <w:tab w:val="left" w:pos="1260"/>
                <w:tab w:val="left" w:pos="1980"/>
                <w:tab w:val="left" w:pos="2700"/>
                <w:tab w:val="left" w:pos="3420"/>
              </w:tabs>
              <w:jc w:val="both"/>
              <w:rPr>
                <w:rFonts w:cs="Arial"/>
                <w:sz w:val="22"/>
                <w:szCs w:val="22"/>
                <w:lang w:eastAsia="en-GB"/>
              </w:rPr>
            </w:pPr>
            <w:r w:rsidRPr="003A11F0">
              <w:rPr>
                <w:sz w:val="22"/>
                <w:szCs w:val="22"/>
              </w:rPr>
              <w:t xml:space="preserve">Appendix </w:t>
            </w:r>
            <w:r w:rsidR="00BD7656" w:rsidRPr="003A11F0">
              <w:rPr>
                <w:sz w:val="22"/>
                <w:szCs w:val="22"/>
              </w:rPr>
              <w:t>3</w:t>
            </w:r>
            <w:r>
              <w:rPr>
                <w:sz w:val="22"/>
                <w:szCs w:val="22"/>
              </w:rPr>
              <w:t xml:space="preserve"> includes the </w:t>
            </w:r>
            <w:r w:rsidRPr="00850A19">
              <w:rPr>
                <w:sz w:val="22"/>
                <w:szCs w:val="22"/>
              </w:rPr>
              <w:t xml:space="preserve">variances </w:t>
            </w:r>
            <w:r>
              <w:rPr>
                <w:sz w:val="22"/>
                <w:szCs w:val="22"/>
              </w:rPr>
              <w:t xml:space="preserve">reported </w:t>
            </w:r>
            <w:r w:rsidRPr="00850A19">
              <w:rPr>
                <w:sz w:val="22"/>
                <w:szCs w:val="22"/>
              </w:rPr>
              <w:t>for the current period</w:t>
            </w:r>
            <w:r w:rsidR="00333C45">
              <w:rPr>
                <w:sz w:val="22"/>
                <w:szCs w:val="22"/>
              </w:rPr>
              <w:t xml:space="preserve"> (end of December)</w:t>
            </w:r>
            <w:r>
              <w:rPr>
                <w:sz w:val="22"/>
                <w:szCs w:val="22"/>
              </w:rPr>
              <w:t xml:space="preserve"> that </w:t>
            </w:r>
            <w:r w:rsidR="003A11F0">
              <w:rPr>
                <w:sz w:val="22"/>
                <w:szCs w:val="22"/>
              </w:rPr>
              <w:t>a</w:t>
            </w:r>
            <w:r>
              <w:rPr>
                <w:sz w:val="22"/>
                <w:szCs w:val="22"/>
              </w:rPr>
              <w:t>ffect</w:t>
            </w:r>
            <w:r w:rsidR="003A11F0">
              <w:rPr>
                <w:sz w:val="22"/>
                <w:szCs w:val="22"/>
              </w:rPr>
              <w:t>s</w:t>
            </w:r>
            <w:r>
              <w:rPr>
                <w:sz w:val="22"/>
                <w:szCs w:val="22"/>
              </w:rPr>
              <w:t xml:space="preserve"> all years</w:t>
            </w:r>
            <w:r w:rsidRPr="00850A19">
              <w:rPr>
                <w:sz w:val="22"/>
                <w:szCs w:val="22"/>
              </w:rPr>
              <w:t xml:space="preserve">. </w:t>
            </w:r>
            <w:r>
              <w:rPr>
                <w:sz w:val="22"/>
                <w:szCs w:val="22"/>
              </w:rPr>
              <w:t xml:space="preserve"> </w:t>
            </w:r>
            <w:r w:rsidR="00D067E7">
              <w:rPr>
                <w:sz w:val="22"/>
                <w:szCs w:val="22"/>
              </w:rPr>
              <w:t>The</w:t>
            </w:r>
            <w:r w:rsidRPr="00BF159E">
              <w:rPr>
                <w:rFonts w:cs="Arial"/>
                <w:sz w:val="22"/>
                <w:szCs w:val="22"/>
                <w:lang w:eastAsia="en-GB"/>
              </w:rPr>
              <w:t xml:space="preserve"> </w:t>
            </w:r>
            <w:r w:rsidR="00644D2E">
              <w:rPr>
                <w:rFonts w:cs="Arial"/>
                <w:sz w:val="22"/>
                <w:szCs w:val="22"/>
                <w:lang w:eastAsia="en-GB"/>
              </w:rPr>
              <w:t>e</w:t>
            </w:r>
            <w:r w:rsidR="00644D2E" w:rsidRPr="00BF159E">
              <w:rPr>
                <w:rFonts w:cs="Arial"/>
                <w:sz w:val="22"/>
                <w:szCs w:val="22"/>
                <w:lang w:eastAsia="en-GB"/>
              </w:rPr>
              <w:t>ffect</w:t>
            </w:r>
            <w:r w:rsidRPr="00BF159E">
              <w:rPr>
                <w:rFonts w:cs="Arial"/>
                <w:sz w:val="22"/>
                <w:szCs w:val="22"/>
                <w:lang w:eastAsia="en-GB"/>
              </w:rPr>
              <w:t xml:space="preserve"> of the </w:t>
            </w:r>
            <w:r>
              <w:rPr>
                <w:rFonts w:cs="Arial"/>
                <w:sz w:val="22"/>
                <w:szCs w:val="22"/>
                <w:lang w:eastAsia="en-GB"/>
              </w:rPr>
              <w:t xml:space="preserve">all </w:t>
            </w:r>
            <w:r w:rsidRPr="00BF159E">
              <w:rPr>
                <w:rFonts w:cs="Arial"/>
                <w:sz w:val="22"/>
                <w:szCs w:val="22"/>
                <w:lang w:eastAsia="en-GB"/>
              </w:rPr>
              <w:t>variances on the Council’s (surplus)/deficit for the year and the general fund balance over the medium term is shown in the table below.</w:t>
            </w:r>
          </w:p>
          <w:p w:rsidR="00F433DA" w:rsidRPr="00BF159E" w:rsidRDefault="00F433DA" w:rsidP="00F433DA">
            <w:pPr>
              <w:tabs>
                <w:tab w:val="left" w:pos="1260"/>
                <w:tab w:val="left" w:pos="1980"/>
                <w:tab w:val="left" w:pos="2700"/>
                <w:tab w:val="left" w:pos="3420"/>
              </w:tabs>
              <w:ind w:left="1267" w:hanging="1267"/>
              <w:jc w:val="both"/>
              <w:rPr>
                <w:rFonts w:cs="Arial"/>
                <w:sz w:val="22"/>
                <w:szCs w:val="22"/>
                <w:lang w:eastAsia="en-GB"/>
              </w:rPr>
            </w:pPr>
          </w:p>
          <w:tbl>
            <w:tblPr>
              <w:tblStyle w:val="TableGrid"/>
              <w:tblW w:w="8392" w:type="dxa"/>
              <w:tblLayout w:type="fixed"/>
              <w:tblLook w:val="04A0" w:firstRow="1" w:lastRow="0" w:firstColumn="1" w:lastColumn="0" w:noHBand="0" w:noVBand="1"/>
            </w:tblPr>
            <w:tblGrid>
              <w:gridCol w:w="2864"/>
              <w:gridCol w:w="1417"/>
              <w:gridCol w:w="1276"/>
              <w:gridCol w:w="1417"/>
              <w:gridCol w:w="1418"/>
            </w:tblGrid>
            <w:tr w:rsidR="00F433DA" w:rsidRPr="00BF159E" w:rsidTr="002E7D6F">
              <w:trPr>
                <w:trHeight w:val="397"/>
              </w:trPr>
              <w:tc>
                <w:tcPr>
                  <w:tcW w:w="2864" w:type="dxa"/>
                  <w:vMerge w:val="restart"/>
                </w:tcPr>
                <w:p w:rsidR="00F433DA" w:rsidRPr="002D171E" w:rsidRDefault="00F433DA" w:rsidP="002E7D6F">
                  <w:pPr>
                    <w:tabs>
                      <w:tab w:val="left" w:pos="1260"/>
                      <w:tab w:val="left" w:pos="1980"/>
                      <w:tab w:val="left" w:pos="2700"/>
                      <w:tab w:val="left" w:pos="3420"/>
                    </w:tabs>
                    <w:jc w:val="center"/>
                    <w:rPr>
                      <w:rFonts w:cs="Arial"/>
                      <w:b/>
                      <w:sz w:val="22"/>
                      <w:szCs w:val="22"/>
                      <w:lang w:eastAsia="en-GB"/>
                    </w:rPr>
                  </w:pPr>
                </w:p>
                <w:p w:rsidR="00F433DA" w:rsidRPr="002D171E" w:rsidRDefault="00F433DA" w:rsidP="002E7D6F">
                  <w:pPr>
                    <w:tabs>
                      <w:tab w:val="left" w:pos="1260"/>
                      <w:tab w:val="left" w:pos="1980"/>
                      <w:tab w:val="left" w:pos="2700"/>
                      <w:tab w:val="left" w:pos="3420"/>
                    </w:tabs>
                    <w:jc w:val="center"/>
                    <w:rPr>
                      <w:rFonts w:cs="Arial"/>
                      <w:b/>
                      <w:sz w:val="22"/>
                      <w:szCs w:val="22"/>
                      <w:lang w:eastAsia="en-GB"/>
                    </w:rPr>
                  </w:pPr>
                </w:p>
                <w:p w:rsidR="00F433DA" w:rsidRPr="002D171E" w:rsidRDefault="00F433DA" w:rsidP="002E7D6F">
                  <w:pPr>
                    <w:tabs>
                      <w:tab w:val="left" w:pos="1260"/>
                      <w:tab w:val="left" w:pos="1980"/>
                      <w:tab w:val="left" w:pos="2700"/>
                      <w:tab w:val="left" w:pos="3420"/>
                    </w:tabs>
                    <w:jc w:val="center"/>
                    <w:rPr>
                      <w:rFonts w:cs="Arial"/>
                      <w:b/>
                      <w:sz w:val="22"/>
                      <w:szCs w:val="22"/>
                      <w:lang w:eastAsia="en-GB"/>
                    </w:rPr>
                  </w:pPr>
                  <w:r w:rsidRPr="002D171E">
                    <w:rPr>
                      <w:rFonts w:cs="Arial"/>
                      <w:b/>
                      <w:sz w:val="22"/>
                      <w:szCs w:val="22"/>
                      <w:lang w:eastAsia="en-GB"/>
                    </w:rPr>
                    <w:t>Movement  on            General Fund</w:t>
                  </w:r>
                </w:p>
              </w:tc>
              <w:tc>
                <w:tcPr>
                  <w:tcW w:w="1417" w:type="dxa"/>
                  <w:vAlign w:val="center"/>
                </w:tcPr>
                <w:p w:rsidR="00F433DA" w:rsidRPr="002D171E" w:rsidRDefault="00F433DA" w:rsidP="002E7D6F">
                  <w:pPr>
                    <w:tabs>
                      <w:tab w:val="left" w:pos="1260"/>
                      <w:tab w:val="left" w:pos="1980"/>
                      <w:tab w:val="left" w:pos="2700"/>
                      <w:tab w:val="left" w:pos="3420"/>
                    </w:tabs>
                    <w:jc w:val="center"/>
                    <w:rPr>
                      <w:rFonts w:cs="Arial"/>
                      <w:b/>
                      <w:sz w:val="22"/>
                      <w:szCs w:val="22"/>
                      <w:lang w:eastAsia="en-GB"/>
                    </w:rPr>
                  </w:pPr>
                  <w:r w:rsidRPr="002D171E">
                    <w:rPr>
                      <w:rFonts w:cs="Arial"/>
                      <w:b/>
                      <w:sz w:val="22"/>
                      <w:szCs w:val="22"/>
                      <w:lang w:eastAsia="en-GB"/>
                    </w:rPr>
                    <w:t>2017/18</w:t>
                  </w:r>
                </w:p>
              </w:tc>
              <w:tc>
                <w:tcPr>
                  <w:tcW w:w="1276" w:type="dxa"/>
                  <w:vAlign w:val="center"/>
                </w:tcPr>
                <w:p w:rsidR="00F433DA" w:rsidRPr="002D171E" w:rsidRDefault="00F433DA" w:rsidP="002E7D6F">
                  <w:pPr>
                    <w:tabs>
                      <w:tab w:val="left" w:pos="1260"/>
                      <w:tab w:val="left" w:pos="1980"/>
                      <w:tab w:val="left" w:pos="2700"/>
                      <w:tab w:val="left" w:pos="3420"/>
                    </w:tabs>
                    <w:jc w:val="center"/>
                    <w:rPr>
                      <w:rFonts w:cs="Arial"/>
                      <w:b/>
                      <w:sz w:val="22"/>
                      <w:szCs w:val="22"/>
                      <w:lang w:eastAsia="en-GB"/>
                    </w:rPr>
                  </w:pPr>
                  <w:r w:rsidRPr="002D171E">
                    <w:rPr>
                      <w:rFonts w:cs="Arial"/>
                      <w:b/>
                      <w:sz w:val="22"/>
                      <w:szCs w:val="22"/>
                      <w:lang w:eastAsia="en-GB"/>
                    </w:rPr>
                    <w:t>2018/19</w:t>
                  </w:r>
                </w:p>
              </w:tc>
              <w:tc>
                <w:tcPr>
                  <w:tcW w:w="1417" w:type="dxa"/>
                  <w:vAlign w:val="center"/>
                </w:tcPr>
                <w:p w:rsidR="00F433DA" w:rsidRPr="002D171E" w:rsidRDefault="00F433DA" w:rsidP="002E7D6F">
                  <w:pPr>
                    <w:tabs>
                      <w:tab w:val="left" w:pos="1260"/>
                      <w:tab w:val="left" w:pos="1980"/>
                      <w:tab w:val="left" w:pos="2700"/>
                      <w:tab w:val="left" w:pos="3420"/>
                    </w:tabs>
                    <w:jc w:val="center"/>
                    <w:rPr>
                      <w:rFonts w:cs="Arial"/>
                      <w:b/>
                      <w:sz w:val="22"/>
                      <w:szCs w:val="22"/>
                      <w:lang w:eastAsia="en-GB"/>
                    </w:rPr>
                  </w:pPr>
                  <w:r w:rsidRPr="002D171E">
                    <w:rPr>
                      <w:rFonts w:cs="Arial"/>
                      <w:b/>
                      <w:sz w:val="22"/>
                      <w:szCs w:val="22"/>
                      <w:lang w:eastAsia="en-GB"/>
                    </w:rPr>
                    <w:t>2019/20</w:t>
                  </w:r>
                </w:p>
              </w:tc>
              <w:tc>
                <w:tcPr>
                  <w:tcW w:w="1418" w:type="dxa"/>
                  <w:vAlign w:val="center"/>
                </w:tcPr>
                <w:p w:rsidR="00F433DA" w:rsidRPr="002D171E" w:rsidRDefault="00F433DA" w:rsidP="002E7D6F">
                  <w:pPr>
                    <w:tabs>
                      <w:tab w:val="left" w:pos="1260"/>
                      <w:tab w:val="left" w:pos="1980"/>
                      <w:tab w:val="left" w:pos="2700"/>
                      <w:tab w:val="left" w:pos="3420"/>
                    </w:tabs>
                    <w:jc w:val="center"/>
                    <w:rPr>
                      <w:rFonts w:cs="Arial"/>
                      <w:b/>
                      <w:sz w:val="22"/>
                      <w:szCs w:val="22"/>
                      <w:lang w:eastAsia="en-GB"/>
                    </w:rPr>
                  </w:pPr>
                  <w:r w:rsidRPr="002D171E">
                    <w:rPr>
                      <w:rFonts w:cs="Arial"/>
                      <w:b/>
                      <w:sz w:val="22"/>
                      <w:szCs w:val="22"/>
                      <w:lang w:eastAsia="en-GB"/>
                    </w:rPr>
                    <w:t>2020/21</w:t>
                  </w:r>
                </w:p>
              </w:tc>
            </w:tr>
            <w:tr w:rsidR="00F433DA" w:rsidRPr="00BF159E" w:rsidTr="002E7D6F">
              <w:tc>
                <w:tcPr>
                  <w:tcW w:w="2864" w:type="dxa"/>
                  <w:vMerge/>
                </w:tcPr>
                <w:p w:rsidR="00F433DA" w:rsidRPr="002D171E" w:rsidRDefault="00F433DA" w:rsidP="002E7D6F">
                  <w:pPr>
                    <w:tabs>
                      <w:tab w:val="left" w:pos="1260"/>
                      <w:tab w:val="left" w:pos="1980"/>
                      <w:tab w:val="left" w:pos="2700"/>
                      <w:tab w:val="left" w:pos="3420"/>
                    </w:tabs>
                    <w:jc w:val="both"/>
                    <w:rPr>
                      <w:rFonts w:cs="Arial"/>
                      <w:b/>
                      <w:sz w:val="22"/>
                      <w:szCs w:val="22"/>
                      <w:lang w:eastAsia="en-GB"/>
                    </w:rPr>
                  </w:pPr>
                </w:p>
              </w:tc>
              <w:tc>
                <w:tcPr>
                  <w:tcW w:w="1417" w:type="dxa"/>
                </w:tcPr>
                <w:p w:rsidR="00F433DA" w:rsidRPr="002D171E" w:rsidRDefault="00F433DA" w:rsidP="002E7D6F">
                  <w:pPr>
                    <w:tabs>
                      <w:tab w:val="left" w:pos="1260"/>
                      <w:tab w:val="left" w:pos="1980"/>
                      <w:tab w:val="left" w:pos="2700"/>
                      <w:tab w:val="left" w:pos="3420"/>
                    </w:tabs>
                    <w:jc w:val="center"/>
                    <w:rPr>
                      <w:rFonts w:cs="Arial"/>
                      <w:b/>
                      <w:sz w:val="22"/>
                      <w:szCs w:val="22"/>
                      <w:lang w:eastAsia="en-GB"/>
                    </w:rPr>
                  </w:pPr>
                  <w:r>
                    <w:rPr>
                      <w:rFonts w:cs="Arial"/>
                      <w:b/>
                      <w:sz w:val="22"/>
                      <w:szCs w:val="22"/>
                      <w:lang w:eastAsia="en-GB"/>
                    </w:rPr>
                    <w:t>Forecast Outturn</w:t>
                  </w:r>
                </w:p>
              </w:tc>
              <w:tc>
                <w:tcPr>
                  <w:tcW w:w="1276" w:type="dxa"/>
                </w:tcPr>
                <w:p w:rsidR="00F433DA" w:rsidRPr="002D171E" w:rsidRDefault="00F433DA" w:rsidP="002E7D6F">
                  <w:pPr>
                    <w:tabs>
                      <w:tab w:val="left" w:pos="1260"/>
                      <w:tab w:val="left" w:pos="1980"/>
                      <w:tab w:val="left" w:pos="2700"/>
                      <w:tab w:val="left" w:pos="3420"/>
                    </w:tabs>
                    <w:jc w:val="center"/>
                    <w:rPr>
                      <w:rFonts w:cs="Arial"/>
                      <w:b/>
                      <w:sz w:val="22"/>
                      <w:szCs w:val="22"/>
                      <w:lang w:eastAsia="en-GB"/>
                    </w:rPr>
                  </w:pPr>
                  <w:r w:rsidRPr="002D171E">
                    <w:rPr>
                      <w:rFonts w:cs="Arial"/>
                      <w:b/>
                      <w:sz w:val="22"/>
                      <w:szCs w:val="22"/>
                      <w:lang w:eastAsia="en-GB"/>
                    </w:rPr>
                    <w:t>Proposed Budget</w:t>
                  </w:r>
                </w:p>
              </w:tc>
              <w:tc>
                <w:tcPr>
                  <w:tcW w:w="1417" w:type="dxa"/>
                </w:tcPr>
                <w:p w:rsidR="00F433DA" w:rsidRPr="002D171E" w:rsidRDefault="00F433DA" w:rsidP="002E7D6F">
                  <w:pPr>
                    <w:tabs>
                      <w:tab w:val="left" w:pos="1260"/>
                      <w:tab w:val="left" w:pos="1980"/>
                      <w:tab w:val="left" w:pos="2700"/>
                      <w:tab w:val="left" w:pos="3420"/>
                    </w:tabs>
                    <w:jc w:val="center"/>
                    <w:rPr>
                      <w:rFonts w:cs="Arial"/>
                      <w:b/>
                      <w:sz w:val="22"/>
                      <w:szCs w:val="22"/>
                      <w:lang w:eastAsia="en-GB"/>
                    </w:rPr>
                  </w:pPr>
                  <w:r w:rsidRPr="002D171E">
                    <w:rPr>
                      <w:rFonts w:cs="Arial"/>
                      <w:b/>
                      <w:sz w:val="22"/>
                      <w:szCs w:val="22"/>
                      <w:lang w:eastAsia="en-GB"/>
                    </w:rPr>
                    <w:t>Indicative Budget</w:t>
                  </w:r>
                </w:p>
              </w:tc>
              <w:tc>
                <w:tcPr>
                  <w:tcW w:w="1418" w:type="dxa"/>
                </w:tcPr>
                <w:p w:rsidR="00F433DA" w:rsidRPr="002D171E" w:rsidRDefault="00F433DA" w:rsidP="002E7D6F">
                  <w:pPr>
                    <w:tabs>
                      <w:tab w:val="left" w:pos="1260"/>
                      <w:tab w:val="left" w:pos="1980"/>
                      <w:tab w:val="left" w:pos="2700"/>
                      <w:tab w:val="left" w:pos="3420"/>
                    </w:tabs>
                    <w:jc w:val="center"/>
                    <w:rPr>
                      <w:rFonts w:cs="Arial"/>
                      <w:b/>
                      <w:sz w:val="22"/>
                      <w:szCs w:val="22"/>
                      <w:lang w:eastAsia="en-GB"/>
                    </w:rPr>
                  </w:pPr>
                  <w:r w:rsidRPr="002D171E">
                    <w:rPr>
                      <w:rFonts w:cs="Arial"/>
                      <w:b/>
                      <w:sz w:val="22"/>
                      <w:szCs w:val="22"/>
                      <w:lang w:eastAsia="en-GB"/>
                    </w:rPr>
                    <w:t>Indicative Budget</w:t>
                  </w:r>
                </w:p>
              </w:tc>
            </w:tr>
            <w:tr w:rsidR="00F433DA" w:rsidRPr="00BF159E" w:rsidTr="002E7D6F">
              <w:tc>
                <w:tcPr>
                  <w:tcW w:w="2864" w:type="dxa"/>
                  <w:vMerge/>
                </w:tcPr>
                <w:p w:rsidR="00F433DA" w:rsidRPr="002D171E" w:rsidRDefault="00F433DA" w:rsidP="002E7D6F">
                  <w:pPr>
                    <w:tabs>
                      <w:tab w:val="left" w:pos="1260"/>
                      <w:tab w:val="left" w:pos="1980"/>
                      <w:tab w:val="left" w:pos="2700"/>
                      <w:tab w:val="left" w:pos="3420"/>
                    </w:tabs>
                    <w:jc w:val="both"/>
                    <w:rPr>
                      <w:rFonts w:cs="Arial"/>
                      <w:b/>
                      <w:sz w:val="22"/>
                      <w:szCs w:val="22"/>
                      <w:lang w:eastAsia="en-GB"/>
                    </w:rPr>
                  </w:pPr>
                </w:p>
              </w:tc>
              <w:tc>
                <w:tcPr>
                  <w:tcW w:w="1417" w:type="dxa"/>
                </w:tcPr>
                <w:p w:rsidR="00F433DA" w:rsidRPr="002D171E" w:rsidRDefault="00F433DA" w:rsidP="002E7D6F">
                  <w:pPr>
                    <w:tabs>
                      <w:tab w:val="left" w:pos="1260"/>
                      <w:tab w:val="left" w:pos="1980"/>
                      <w:tab w:val="left" w:pos="2700"/>
                      <w:tab w:val="left" w:pos="3420"/>
                    </w:tabs>
                    <w:jc w:val="center"/>
                    <w:rPr>
                      <w:rFonts w:cs="Arial"/>
                      <w:b/>
                      <w:sz w:val="22"/>
                      <w:szCs w:val="22"/>
                      <w:lang w:eastAsia="en-GB"/>
                    </w:rPr>
                  </w:pPr>
                  <w:r w:rsidRPr="002D171E">
                    <w:rPr>
                      <w:rFonts w:cs="Arial"/>
                      <w:b/>
                      <w:sz w:val="22"/>
                      <w:szCs w:val="22"/>
                      <w:lang w:eastAsia="en-GB"/>
                    </w:rPr>
                    <w:t>£000</w:t>
                  </w:r>
                </w:p>
              </w:tc>
              <w:tc>
                <w:tcPr>
                  <w:tcW w:w="1276" w:type="dxa"/>
                </w:tcPr>
                <w:p w:rsidR="00F433DA" w:rsidRPr="002D171E" w:rsidRDefault="00F433DA" w:rsidP="002E7D6F">
                  <w:pPr>
                    <w:tabs>
                      <w:tab w:val="left" w:pos="1260"/>
                      <w:tab w:val="left" w:pos="1980"/>
                      <w:tab w:val="left" w:pos="2700"/>
                      <w:tab w:val="left" w:pos="3420"/>
                    </w:tabs>
                    <w:jc w:val="center"/>
                    <w:rPr>
                      <w:rFonts w:cs="Arial"/>
                      <w:b/>
                      <w:sz w:val="22"/>
                      <w:szCs w:val="22"/>
                      <w:lang w:eastAsia="en-GB"/>
                    </w:rPr>
                  </w:pPr>
                  <w:r w:rsidRPr="002D171E">
                    <w:rPr>
                      <w:rFonts w:cs="Arial"/>
                      <w:b/>
                      <w:sz w:val="22"/>
                      <w:szCs w:val="22"/>
                      <w:lang w:eastAsia="en-GB"/>
                    </w:rPr>
                    <w:t>£000</w:t>
                  </w:r>
                </w:p>
              </w:tc>
              <w:tc>
                <w:tcPr>
                  <w:tcW w:w="1417" w:type="dxa"/>
                </w:tcPr>
                <w:p w:rsidR="00F433DA" w:rsidRPr="002D171E" w:rsidRDefault="00F433DA" w:rsidP="002E7D6F">
                  <w:pPr>
                    <w:tabs>
                      <w:tab w:val="left" w:pos="1260"/>
                      <w:tab w:val="left" w:pos="1980"/>
                      <w:tab w:val="left" w:pos="2700"/>
                      <w:tab w:val="left" w:pos="3420"/>
                    </w:tabs>
                    <w:jc w:val="center"/>
                    <w:rPr>
                      <w:rFonts w:cs="Arial"/>
                      <w:b/>
                      <w:sz w:val="22"/>
                      <w:szCs w:val="22"/>
                      <w:lang w:eastAsia="en-GB"/>
                    </w:rPr>
                  </w:pPr>
                  <w:r w:rsidRPr="002D171E">
                    <w:rPr>
                      <w:rFonts w:cs="Arial"/>
                      <w:b/>
                      <w:sz w:val="22"/>
                      <w:szCs w:val="22"/>
                      <w:lang w:eastAsia="en-GB"/>
                    </w:rPr>
                    <w:t>£000</w:t>
                  </w:r>
                </w:p>
              </w:tc>
              <w:tc>
                <w:tcPr>
                  <w:tcW w:w="1418" w:type="dxa"/>
                </w:tcPr>
                <w:p w:rsidR="00F433DA" w:rsidRPr="002D171E" w:rsidRDefault="00F433DA" w:rsidP="002E7D6F">
                  <w:pPr>
                    <w:tabs>
                      <w:tab w:val="left" w:pos="1260"/>
                      <w:tab w:val="left" w:pos="1980"/>
                      <w:tab w:val="left" w:pos="2700"/>
                      <w:tab w:val="left" w:pos="3420"/>
                    </w:tabs>
                    <w:jc w:val="center"/>
                    <w:rPr>
                      <w:rFonts w:cs="Arial"/>
                      <w:b/>
                      <w:sz w:val="22"/>
                      <w:szCs w:val="22"/>
                      <w:lang w:eastAsia="en-GB"/>
                    </w:rPr>
                  </w:pPr>
                  <w:r w:rsidRPr="002D171E">
                    <w:rPr>
                      <w:rFonts w:cs="Arial"/>
                      <w:b/>
                      <w:sz w:val="22"/>
                      <w:szCs w:val="22"/>
                      <w:lang w:eastAsia="en-GB"/>
                    </w:rPr>
                    <w:t>£000</w:t>
                  </w:r>
                </w:p>
              </w:tc>
            </w:tr>
            <w:tr w:rsidR="00F433DA" w:rsidRPr="00BF159E" w:rsidTr="002E7D6F">
              <w:trPr>
                <w:trHeight w:val="444"/>
              </w:trPr>
              <w:tc>
                <w:tcPr>
                  <w:tcW w:w="2864" w:type="dxa"/>
                  <w:vAlign w:val="center"/>
                </w:tcPr>
                <w:p w:rsidR="00F433DA" w:rsidRPr="002D171E" w:rsidRDefault="00F433DA" w:rsidP="002E7D6F">
                  <w:pPr>
                    <w:tabs>
                      <w:tab w:val="left" w:pos="1260"/>
                      <w:tab w:val="left" w:pos="1980"/>
                      <w:tab w:val="left" w:pos="2700"/>
                      <w:tab w:val="left" w:pos="3420"/>
                    </w:tabs>
                    <w:rPr>
                      <w:rFonts w:cs="Arial"/>
                      <w:sz w:val="22"/>
                      <w:szCs w:val="22"/>
                      <w:lang w:eastAsia="en-GB"/>
                    </w:rPr>
                  </w:pPr>
                  <w:r w:rsidRPr="002D171E">
                    <w:rPr>
                      <w:rFonts w:cs="Arial"/>
                      <w:sz w:val="22"/>
                      <w:szCs w:val="22"/>
                      <w:lang w:eastAsia="en-GB"/>
                    </w:rPr>
                    <w:t>Balance at  1 Apr</w:t>
                  </w:r>
                  <w:r>
                    <w:rPr>
                      <w:rFonts w:cs="Arial"/>
                      <w:sz w:val="22"/>
                      <w:szCs w:val="22"/>
                      <w:lang w:eastAsia="en-GB"/>
                    </w:rPr>
                    <w:t>i</w:t>
                  </w:r>
                  <w:r w:rsidRPr="002D171E">
                    <w:rPr>
                      <w:rFonts w:cs="Arial"/>
                      <w:sz w:val="22"/>
                      <w:szCs w:val="22"/>
                      <w:lang w:eastAsia="en-GB"/>
                    </w:rPr>
                    <w:t>l</w:t>
                  </w:r>
                </w:p>
              </w:tc>
              <w:tc>
                <w:tcPr>
                  <w:tcW w:w="1417" w:type="dxa"/>
                  <w:vAlign w:val="center"/>
                </w:tcPr>
                <w:p w:rsidR="00F433DA" w:rsidRPr="005E538B" w:rsidRDefault="00F433DA" w:rsidP="002E7D6F">
                  <w:pPr>
                    <w:tabs>
                      <w:tab w:val="left" w:pos="1260"/>
                      <w:tab w:val="left" w:pos="1980"/>
                      <w:tab w:val="left" w:pos="2700"/>
                      <w:tab w:val="left" w:pos="3420"/>
                    </w:tabs>
                    <w:jc w:val="center"/>
                    <w:rPr>
                      <w:rFonts w:cs="Arial"/>
                      <w:sz w:val="22"/>
                      <w:szCs w:val="22"/>
                      <w:lang w:eastAsia="en-GB"/>
                    </w:rPr>
                  </w:pPr>
                  <w:r w:rsidRPr="005E538B">
                    <w:rPr>
                      <w:rFonts w:cs="Arial"/>
                      <w:sz w:val="22"/>
                      <w:szCs w:val="22"/>
                      <w:lang w:eastAsia="en-GB"/>
                    </w:rPr>
                    <w:t>(4,094)</w:t>
                  </w:r>
                </w:p>
              </w:tc>
              <w:tc>
                <w:tcPr>
                  <w:tcW w:w="1276" w:type="dxa"/>
                  <w:vAlign w:val="center"/>
                </w:tcPr>
                <w:p w:rsidR="00F433DA" w:rsidRPr="005E538B" w:rsidRDefault="00F433DA" w:rsidP="002E7D6F">
                  <w:pPr>
                    <w:tabs>
                      <w:tab w:val="left" w:pos="1260"/>
                      <w:tab w:val="left" w:pos="1980"/>
                      <w:tab w:val="left" w:pos="2700"/>
                      <w:tab w:val="left" w:pos="3420"/>
                    </w:tabs>
                    <w:jc w:val="center"/>
                    <w:rPr>
                      <w:rFonts w:cs="Arial"/>
                      <w:sz w:val="22"/>
                      <w:szCs w:val="22"/>
                      <w:lang w:eastAsia="en-GB"/>
                    </w:rPr>
                  </w:pPr>
                  <w:r w:rsidRPr="005E538B">
                    <w:rPr>
                      <w:rFonts w:cs="Arial"/>
                      <w:sz w:val="22"/>
                      <w:szCs w:val="22"/>
                      <w:lang w:eastAsia="en-GB"/>
                    </w:rPr>
                    <w:t>(3,3</w:t>
                  </w:r>
                  <w:r>
                    <w:rPr>
                      <w:rFonts w:cs="Arial"/>
                      <w:sz w:val="22"/>
                      <w:szCs w:val="22"/>
                      <w:lang w:eastAsia="en-GB"/>
                    </w:rPr>
                    <w:t>47</w:t>
                  </w:r>
                  <w:r w:rsidRPr="005E538B">
                    <w:rPr>
                      <w:rFonts w:cs="Arial"/>
                      <w:sz w:val="22"/>
                      <w:szCs w:val="22"/>
                      <w:lang w:eastAsia="en-GB"/>
                    </w:rPr>
                    <w:t>)</w:t>
                  </w:r>
                </w:p>
              </w:tc>
              <w:tc>
                <w:tcPr>
                  <w:tcW w:w="1417" w:type="dxa"/>
                  <w:vAlign w:val="center"/>
                </w:tcPr>
                <w:p w:rsidR="00F433DA" w:rsidRPr="005E538B" w:rsidRDefault="00F433DA" w:rsidP="002E7D6F">
                  <w:pPr>
                    <w:tabs>
                      <w:tab w:val="left" w:pos="1260"/>
                      <w:tab w:val="left" w:pos="1980"/>
                      <w:tab w:val="left" w:pos="2700"/>
                      <w:tab w:val="left" w:pos="3420"/>
                    </w:tabs>
                    <w:jc w:val="center"/>
                    <w:rPr>
                      <w:rFonts w:cs="Arial"/>
                      <w:sz w:val="22"/>
                      <w:szCs w:val="22"/>
                      <w:lang w:eastAsia="en-GB"/>
                    </w:rPr>
                  </w:pPr>
                  <w:r w:rsidRPr="005E538B">
                    <w:rPr>
                      <w:rFonts w:cs="Arial"/>
                      <w:sz w:val="22"/>
                      <w:szCs w:val="22"/>
                      <w:lang w:eastAsia="en-GB"/>
                    </w:rPr>
                    <w:t>(3,85</w:t>
                  </w:r>
                  <w:r>
                    <w:rPr>
                      <w:rFonts w:cs="Arial"/>
                      <w:sz w:val="22"/>
                      <w:szCs w:val="22"/>
                      <w:lang w:eastAsia="en-GB"/>
                    </w:rPr>
                    <w:t>9</w:t>
                  </w:r>
                  <w:r w:rsidRPr="005E538B">
                    <w:rPr>
                      <w:rFonts w:cs="Arial"/>
                      <w:sz w:val="22"/>
                      <w:szCs w:val="22"/>
                      <w:lang w:eastAsia="en-GB"/>
                    </w:rPr>
                    <w:t>)</w:t>
                  </w:r>
                </w:p>
              </w:tc>
              <w:tc>
                <w:tcPr>
                  <w:tcW w:w="1418" w:type="dxa"/>
                  <w:vAlign w:val="center"/>
                </w:tcPr>
                <w:p w:rsidR="00F433DA" w:rsidRPr="005E538B" w:rsidRDefault="00F433DA" w:rsidP="002E7D6F">
                  <w:pPr>
                    <w:tabs>
                      <w:tab w:val="left" w:pos="1260"/>
                      <w:tab w:val="left" w:pos="1980"/>
                      <w:tab w:val="left" w:pos="2700"/>
                      <w:tab w:val="left" w:pos="3420"/>
                    </w:tabs>
                    <w:jc w:val="center"/>
                    <w:rPr>
                      <w:rFonts w:cs="Arial"/>
                      <w:sz w:val="22"/>
                      <w:szCs w:val="22"/>
                      <w:lang w:eastAsia="en-GB"/>
                    </w:rPr>
                  </w:pPr>
                  <w:r w:rsidRPr="005E538B">
                    <w:rPr>
                      <w:rFonts w:cs="Arial"/>
                      <w:sz w:val="22"/>
                      <w:szCs w:val="22"/>
                      <w:lang w:eastAsia="en-GB"/>
                    </w:rPr>
                    <w:t>(3,1</w:t>
                  </w:r>
                  <w:r>
                    <w:rPr>
                      <w:rFonts w:cs="Arial"/>
                      <w:sz w:val="22"/>
                      <w:szCs w:val="22"/>
                      <w:lang w:eastAsia="en-GB"/>
                    </w:rPr>
                    <w:t>24</w:t>
                  </w:r>
                  <w:r w:rsidRPr="005E538B">
                    <w:rPr>
                      <w:rFonts w:cs="Arial"/>
                      <w:sz w:val="22"/>
                      <w:szCs w:val="22"/>
                      <w:lang w:eastAsia="en-GB"/>
                    </w:rPr>
                    <w:t>)</w:t>
                  </w:r>
                </w:p>
              </w:tc>
            </w:tr>
            <w:tr w:rsidR="00F433DA" w:rsidRPr="00BF159E" w:rsidTr="002E7D6F">
              <w:trPr>
                <w:trHeight w:val="422"/>
              </w:trPr>
              <w:tc>
                <w:tcPr>
                  <w:tcW w:w="2864" w:type="dxa"/>
                  <w:vAlign w:val="center"/>
                </w:tcPr>
                <w:p w:rsidR="00F433DA" w:rsidRPr="002D171E" w:rsidRDefault="00F433DA" w:rsidP="002E7D6F">
                  <w:pPr>
                    <w:tabs>
                      <w:tab w:val="left" w:pos="1260"/>
                      <w:tab w:val="left" w:pos="1980"/>
                      <w:tab w:val="left" w:pos="2700"/>
                      <w:tab w:val="left" w:pos="3420"/>
                    </w:tabs>
                    <w:rPr>
                      <w:rFonts w:cs="Arial"/>
                      <w:sz w:val="22"/>
                      <w:szCs w:val="22"/>
                      <w:lang w:eastAsia="en-GB"/>
                    </w:rPr>
                  </w:pPr>
                  <w:r w:rsidRPr="002D171E">
                    <w:rPr>
                      <w:rFonts w:cs="Arial"/>
                      <w:sz w:val="22"/>
                      <w:szCs w:val="22"/>
                      <w:lang w:eastAsia="en-GB"/>
                    </w:rPr>
                    <w:t>(Surplus)/deficit for year</w:t>
                  </w:r>
                </w:p>
              </w:tc>
              <w:tc>
                <w:tcPr>
                  <w:tcW w:w="1417" w:type="dxa"/>
                  <w:tcBorders>
                    <w:bottom w:val="single" w:sz="4" w:space="0" w:color="auto"/>
                  </w:tcBorders>
                  <w:vAlign w:val="center"/>
                </w:tcPr>
                <w:p w:rsidR="00F433DA" w:rsidRPr="005E538B" w:rsidRDefault="00F433DA" w:rsidP="002E7D6F">
                  <w:pPr>
                    <w:tabs>
                      <w:tab w:val="left" w:pos="1260"/>
                      <w:tab w:val="left" w:pos="1980"/>
                      <w:tab w:val="left" w:pos="2700"/>
                      <w:tab w:val="left" w:pos="3420"/>
                    </w:tabs>
                    <w:jc w:val="center"/>
                    <w:rPr>
                      <w:rFonts w:cs="Arial"/>
                      <w:sz w:val="22"/>
                      <w:szCs w:val="22"/>
                      <w:lang w:eastAsia="en-GB"/>
                    </w:rPr>
                  </w:pPr>
                  <w:r w:rsidRPr="005E538B">
                    <w:rPr>
                      <w:rFonts w:cs="Arial"/>
                      <w:sz w:val="22"/>
                      <w:szCs w:val="22"/>
                      <w:lang w:eastAsia="en-GB"/>
                    </w:rPr>
                    <w:t>7</w:t>
                  </w:r>
                  <w:r>
                    <w:rPr>
                      <w:rFonts w:cs="Arial"/>
                      <w:sz w:val="22"/>
                      <w:szCs w:val="22"/>
                      <w:lang w:eastAsia="en-GB"/>
                    </w:rPr>
                    <w:t>47</w:t>
                  </w:r>
                </w:p>
              </w:tc>
              <w:tc>
                <w:tcPr>
                  <w:tcW w:w="1276" w:type="dxa"/>
                  <w:tcBorders>
                    <w:bottom w:val="single" w:sz="4" w:space="0" w:color="auto"/>
                  </w:tcBorders>
                  <w:vAlign w:val="center"/>
                </w:tcPr>
                <w:p w:rsidR="00F433DA" w:rsidRPr="005E538B" w:rsidRDefault="00F433DA" w:rsidP="002E7D6F">
                  <w:pPr>
                    <w:tabs>
                      <w:tab w:val="left" w:pos="1260"/>
                      <w:tab w:val="left" w:pos="1980"/>
                      <w:tab w:val="left" w:pos="2700"/>
                      <w:tab w:val="left" w:pos="3420"/>
                    </w:tabs>
                    <w:jc w:val="center"/>
                    <w:rPr>
                      <w:rFonts w:cs="Arial"/>
                      <w:sz w:val="22"/>
                      <w:szCs w:val="22"/>
                      <w:lang w:eastAsia="en-GB"/>
                    </w:rPr>
                  </w:pPr>
                  <w:r w:rsidRPr="005E538B">
                    <w:rPr>
                      <w:rFonts w:cs="Arial"/>
                      <w:sz w:val="22"/>
                      <w:szCs w:val="22"/>
                      <w:lang w:eastAsia="en-GB"/>
                    </w:rPr>
                    <w:t>(512)</w:t>
                  </w:r>
                </w:p>
              </w:tc>
              <w:tc>
                <w:tcPr>
                  <w:tcW w:w="1417" w:type="dxa"/>
                  <w:tcBorders>
                    <w:bottom w:val="single" w:sz="4" w:space="0" w:color="auto"/>
                  </w:tcBorders>
                  <w:vAlign w:val="center"/>
                </w:tcPr>
                <w:p w:rsidR="00F433DA" w:rsidRPr="005E538B" w:rsidRDefault="00F433DA" w:rsidP="002E7D6F">
                  <w:pPr>
                    <w:tabs>
                      <w:tab w:val="left" w:pos="1260"/>
                      <w:tab w:val="left" w:pos="1980"/>
                      <w:tab w:val="left" w:pos="2700"/>
                      <w:tab w:val="left" w:pos="3420"/>
                    </w:tabs>
                    <w:jc w:val="center"/>
                    <w:rPr>
                      <w:rFonts w:cs="Arial"/>
                      <w:sz w:val="22"/>
                      <w:szCs w:val="22"/>
                      <w:lang w:eastAsia="en-GB"/>
                    </w:rPr>
                  </w:pPr>
                  <w:r w:rsidRPr="005E538B">
                    <w:rPr>
                      <w:rFonts w:cs="Arial"/>
                      <w:sz w:val="22"/>
                      <w:szCs w:val="22"/>
                      <w:lang w:eastAsia="en-GB"/>
                    </w:rPr>
                    <w:t>735</w:t>
                  </w:r>
                </w:p>
              </w:tc>
              <w:tc>
                <w:tcPr>
                  <w:tcW w:w="1418" w:type="dxa"/>
                  <w:tcBorders>
                    <w:bottom w:val="single" w:sz="4" w:space="0" w:color="auto"/>
                  </w:tcBorders>
                  <w:vAlign w:val="center"/>
                </w:tcPr>
                <w:p w:rsidR="00F433DA" w:rsidRPr="005E538B" w:rsidRDefault="00F433DA" w:rsidP="002E7D6F">
                  <w:pPr>
                    <w:tabs>
                      <w:tab w:val="left" w:pos="1260"/>
                      <w:tab w:val="left" w:pos="1980"/>
                      <w:tab w:val="left" w:pos="2700"/>
                      <w:tab w:val="left" w:pos="3420"/>
                    </w:tabs>
                    <w:jc w:val="center"/>
                    <w:rPr>
                      <w:rFonts w:cs="Arial"/>
                      <w:sz w:val="22"/>
                      <w:szCs w:val="22"/>
                      <w:lang w:eastAsia="en-GB"/>
                    </w:rPr>
                  </w:pPr>
                  <w:r w:rsidRPr="005E538B">
                    <w:rPr>
                      <w:rFonts w:cs="Arial"/>
                      <w:sz w:val="22"/>
                      <w:szCs w:val="22"/>
                      <w:lang w:eastAsia="en-GB"/>
                    </w:rPr>
                    <w:t>964</w:t>
                  </w:r>
                </w:p>
              </w:tc>
            </w:tr>
            <w:tr w:rsidR="00F433DA" w:rsidRPr="00BF159E" w:rsidTr="002E7D6F">
              <w:trPr>
                <w:trHeight w:val="410"/>
              </w:trPr>
              <w:tc>
                <w:tcPr>
                  <w:tcW w:w="2864" w:type="dxa"/>
                  <w:vAlign w:val="center"/>
                </w:tcPr>
                <w:p w:rsidR="00F433DA" w:rsidRPr="002D171E" w:rsidRDefault="00F433DA" w:rsidP="002E7D6F">
                  <w:pPr>
                    <w:tabs>
                      <w:tab w:val="left" w:pos="1260"/>
                      <w:tab w:val="left" w:pos="1980"/>
                      <w:tab w:val="left" w:pos="2700"/>
                      <w:tab w:val="left" w:pos="3420"/>
                    </w:tabs>
                    <w:rPr>
                      <w:rFonts w:cs="Arial"/>
                      <w:sz w:val="22"/>
                      <w:szCs w:val="22"/>
                      <w:lang w:eastAsia="en-GB"/>
                    </w:rPr>
                  </w:pPr>
                  <w:r w:rsidRPr="002D171E">
                    <w:rPr>
                      <w:rFonts w:cs="Arial"/>
                      <w:sz w:val="22"/>
                      <w:szCs w:val="22"/>
                      <w:lang w:eastAsia="en-GB"/>
                    </w:rPr>
                    <w:t>Balance at  31 March</w:t>
                  </w:r>
                </w:p>
              </w:tc>
              <w:tc>
                <w:tcPr>
                  <w:tcW w:w="1417" w:type="dxa"/>
                  <w:shd w:val="clear" w:color="auto" w:fill="92D050"/>
                  <w:vAlign w:val="center"/>
                </w:tcPr>
                <w:p w:rsidR="00F433DA" w:rsidRPr="005E538B" w:rsidRDefault="00F433DA" w:rsidP="002E7D6F">
                  <w:pPr>
                    <w:tabs>
                      <w:tab w:val="left" w:pos="1260"/>
                      <w:tab w:val="left" w:pos="1980"/>
                      <w:tab w:val="left" w:pos="2700"/>
                      <w:tab w:val="left" w:pos="3420"/>
                    </w:tabs>
                    <w:jc w:val="center"/>
                    <w:rPr>
                      <w:rFonts w:cs="Arial"/>
                      <w:b/>
                      <w:sz w:val="22"/>
                      <w:szCs w:val="22"/>
                      <w:lang w:eastAsia="en-GB"/>
                    </w:rPr>
                  </w:pPr>
                  <w:r w:rsidRPr="005E538B">
                    <w:rPr>
                      <w:rFonts w:cs="Arial"/>
                      <w:b/>
                      <w:sz w:val="22"/>
                      <w:szCs w:val="22"/>
                      <w:lang w:eastAsia="en-GB"/>
                    </w:rPr>
                    <w:t>(3,3</w:t>
                  </w:r>
                  <w:r>
                    <w:rPr>
                      <w:rFonts w:cs="Arial"/>
                      <w:b/>
                      <w:sz w:val="22"/>
                      <w:szCs w:val="22"/>
                      <w:lang w:eastAsia="en-GB"/>
                    </w:rPr>
                    <w:t>47</w:t>
                  </w:r>
                  <w:r w:rsidRPr="005E538B">
                    <w:rPr>
                      <w:rFonts w:cs="Arial"/>
                      <w:b/>
                      <w:sz w:val="22"/>
                      <w:szCs w:val="22"/>
                      <w:lang w:eastAsia="en-GB"/>
                    </w:rPr>
                    <w:t>)</w:t>
                  </w:r>
                </w:p>
              </w:tc>
              <w:tc>
                <w:tcPr>
                  <w:tcW w:w="1276" w:type="dxa"/>
                  <w:shd w:val="clear" w:color="auto" w:fill="92D050"/>
                  <w:vAlign w:val="center"/>
                </w:tcPr>
                <w:p w:rsidR="00F433DA" w:rsidRPr="005E538B" w:rsidRDefault="00F433DA" w:rsidP="002E7D6F">
                  <w:pPr>
                    <w:tabs>
                      <w:tab w:val="left" w:pos="1260"/>
                      <w:tab w:val="left" w:pos="1980"/>
                      <w:tab w:val="left" w:pos="2700"/>
                      <w:tab w:val="left" w:pos="3420"/>
                    </w:tabs>
                    <w:jc w:val="center"/>
                    <w:rPr>
                      <w:rFonts w:cs="Arial"/>
                      <w:b/>
                      <w:sz w:val="22"/>
                      <w:szCs w:val="22"/>
                      <w:lang w:eastAsia="en-GB"/>
                    </w:rPr>
                  </w:pPr>
                  <w:r w:rsidRPr="005E538B">
                    <w:rPr>
                      <w:rFonts w:cs="Arial"/>
                      <w:b/>
                      <w:sz w:val="22"/>
                      <w:szCs w:val="22"/>
                      <w:lang w:eastAsia="en-GB"/>
                    </w:rPr>
                    <w:t>(3,8</w:t>
                  </w:r>
                  <w:r>
                    <w:rPr>
                      <w:rFonts w:cs="Arial"/>
                      <w:b/>
                      <w:sz w:val="22"/>
                      <w:szCs w:val="22"/>
                      <w:lang w:eastAsia="en-GB"/>
                    </w:rPr>
                    <w:t>59</w:t>
                  </w:r>
                  <w:r w:rsidRPr="005E538B">
                    <w:rPr>
                      <w:rFonts w:cs="Arial"/>
                      <w:b/>
                      <w:sz w:val="22"/>
                      <w:szCs w:val="22"/>
                      <w:lang w:eastAsia="en-GB"/>
                    </w:rPr>
                    <w:t>)</w:t>
                  </w:r>
                </w:p>
              </w:tc>
              <w:tc>
                <w:tcPr>
                  <w:tcW w:w="1417" w:type="dxa"/>
                  <w:shd w:val="clear" w:color="auto" w:fill="92D050"/>
                  <w:vAlign w:val="center"/>
                </w:tcPr>
                <w:p w:rsidR="00F433DA" w:rsidRPr="005E538B" w:rsidRDefault="00F433DA" w:rsidP="002E7D6F">
                  <w:pPr>
                    <w:tabs>
                      <w:tab w:val="left" w:pos="1260"/>
                      <w:tab w:val="left" w:pos="1980"/>
                      <w:tab w:val="left" w:pos="2700"/>
                      <w:tab w:val="left" w:pos="3420"/>
                    </w:tabs>
                    <w:jc w:val="center"/>
                    <w:rPr>
                      <w:rFonts w:cs="Arial"/>
                      <w:b/>
                      <w:sz w:val="22"/>
                      <w:szCs w:val="22"/>
                      <w:lang w:eastAsia="en-GB"/>
                    </w:rPr>
                  </w:pPr>
                  <w:r w:rsidRPr="005E538B">
                    <w:rPr>
                      <w:rFonts w:cs="Arial"/>
                      <w:b/>
                      <w:sz w:val="22"/>
                      <w:szCs w:val="22"/>
                      <w:lang w:eastAsia="en-GB"/>
                    </w:rPr>
                    <w:t>(3,1</w:t>
                  </w:r>
                  <w:r>
                    <w:rPr>
                      <w:rFonts w:cs="Arial"/>
                      <w:b/>
                      <w:sz w:val="22"/>
                      <w:szCs w:val="22"/>
                      <w:lang w:eastAsia="en-GB"/>
                    </w:rPr>
                    <w:t>24</w:t>
                  </w:r>
                  <w:r w:rsidRPr="005E538B">
                    <w:rPr>
                      <w:rFonts w:cs="Arial"/>
                      <w:b/>
                      <w:sz w:val="22"/>
                      <w:szCs w:val="22"/>
                      <w:lang w:eastAsia="en-GB"/>
                    </w:rPr>
                    <w:t>)</w:t>
                  </w:r>
                </w:p>
              </w:tc>
              <w:tc>
                <w:tcPr>
                  <w:tcW w:w="1418" w:type="dxa"/>
                  <w:shd w:val="clear" w:color="auto" w:fill="92D050"/>
                  <w:vAlign w:val="center"/>
                </w:tcPr>
                <w:p w:rsidR="00F433DA" w:rsidRPr="005E538B" w:rsidRDefault="00F433DA" w:rsidP="002E7D6F">
                  <w:pPr>
                    <w:tabs>
                      <w:tab w:val="left" w:pos="1260"/>
                      <w:tab w:val="left" w:pos="1980"/>
                      <w:tab w:val="left" w:pos="2700"/>
                      <w:tab w:val="left" w:pos="3420"/>
                    </w:tabs>
                    <w:jc w:val="center"/>
                    <w:rPr>
                      <w:rFonts w:cs="Arial"/>
                      <w:b/>
                      <w:sz w:val="22"/>
                      <w:szCs w:val="22"/>
                      <w:lang w:eastAsia="en-GB"/>
                    </w:rPr>
                  </w:pPr>
                  <w:r w:rsidRPr="005E538B">
                    <w:rPr>
                      <w:rFonts w:cs="Arial"/>
                      <w:b/>
                      <w:sz w:val="22"/>
                      <w:szCs w:val="22"/>
                      <w:lang w:eastAsia="en-GB"/>
                    </w:rPr>
                    <w:t>(2,1</w:t>
                  </w:r>
                  <w:r>
                    <w:rPr>
                      <w:rFonts w:cs="Arial"/>
                      <w:b/>
                      <w:sz w:val="22"/>
                      <w:szCs w:val="22"/>
                      <w:lang w:eastAsia="en-GB"/>
                    </w:rPr>
                    <w:t>60</w:t>
                  </w:r>
                  <w:r w:rsidRPr="005E538B">
                    <w:rPr>
                      <w:rFonts w:cs="Arial"/>
                      <w:b/>
                      <w:sz w:val="22"/>
                      <w:szCs w:val="22"/>
                      <w:lang w:eastAsia="en-GB"/>
                    </w:rPr>
                    <w:t>)</w:t>
                  </w:r>
                </w:p>
              </w:tc>
            </w:tr>
          </w:tbl>
          <w:p w:rsidR="00F433DA" w:rsidRPr="00786988" w:rsidRDefault="00F433DA" w:rsidP="00644D2E">
            <w:pPr>
              <w:tabs>
                <w:tab w:val="left" w:pos="1260"/>
                <w:tab w:val="left" w:pos="1980"/>
                <w:tab w:val="left" w:pos="2700"/>
                <w:tab w:val="left" w:pos="3420"/>
              </w:tabs>
              <w:jc w:val="both"/>
              <w:rPr>
                <w:sz w:val="22"/>
                <w:szCs w:val="22"/>
              </w:rPr>
            </w:pPr>
          </w:p>
        </w:tc>
      </w:tr>
      <w:tr w:rsidR="008E3095" w:rsidRPr="00CF7499" w:rsidTr="002D171E">
        <w:trPr>
          <w:gridBefore w:val="1"/>
          <w:wBefore w:w="34" w:type="dxa"/>
          <w:trHeight w:val="1160"/>
        </w:trPr>
        <w:tc>
          <w:tcPr>
            <w:cnfStyle w:val="001000000000" w:firstRow="0" w:lastRow="0" w:firstColumn="1" w:lastColumn="0" w:oddVBand="0" w:evenVBand="0" w:oddHBand="0" w:evenHBand="0" w:firstRowFirstColumn="0" w:firstRowLastColumn="0" w:lastRowFirstColumn="0" w:lastRowLastColumn="0"/>
            <w:tcW w:w="959" w:type="dxa"/>
          </w:tcPr>
          <w:p w:rsidR="008E3095" w:rsidRDefault="00DB00E6" w:rsidP="00675178">
            <w:pPr>
              <w:jc w:val="both"/>
              <w:rPr>
                <w:rFonts w:cs="Arial"/>
                <w:sz w:val="22"/>
                <w:szCs w:val="22"/>
              </w:rPr>
            </w:pPr>
            <w:r>
              <w:rPr>
                <w:rFonts w:cs="Arial"/>
                <w:sz w:val="22"/>
                <w:szCs w:val="22"/>
              </w:rPr>
              <w:lastRenderedPageBreak/>
              <w:t>2.1</w:t>
            </w:r>
            <w:r w:rsidR="00675178">
              <w:rPr>
                <w:rFonts w:cs="Arial"/>
                <w:sz w:val="22"/>
                <w:szCs w:val="22"/>
              </w:rPr>
              <w:t>2</w:t>
            </w:r>
          </w:p>
        </w:tc>
        <w:tc>
          <w:tcPr>
            <w:cnfStyle w:val="000100000000" w:firstRow="0" w:lastRow="0" w:firstColumn="0" w:lastColumn="1" w:oddVBand="0" w:evenVBand="0" w:oddHBand="0" w:evenHBand="0" w:firstRowFirstColumn="0" w:firstRowLastColumn="0" w:lastRowFirstColumn="0" w:lastRowLastColumn="0"/>
            <w:tcW w:w="9072" w:type="dxa"/>
          </w:tcPr>
          <w:p w:rsidR="00864DA5" w:rsidRPr="002D171E" w:rsidRDefault="00DB00E6" w:rsidP="00864DA5">
            <w:pPr>
              <w:jc w:val="both"/>
              <w:rPr>
                <w:sz w:val="22"/>
                <w:szCs w:val="22"/>
              </w:rPr>
            </w:pPr>
            <w:r w:rsidRPr="002D171E">
              <w:rPr>
                <w:sz w:val="22"/>
                <w:szCs w:val="22"/>
              </w:rPr>
              <w:t xml:space="preserve">It is recommended that </w:t>
            </w:r>
            <w:r w:rsidR="00603F09" w:rsidRPr="002D171E">
              <w:rPr>
                <w:sz w:val="22"/>
                <w:szCs w:val="22"/>
              </w:rPr>
              <w:t>for contingencies a balance of</w:t>
            </w:r>
            <w:r w:rsidR="005E538B">
              <w:rPr>
                <w:sz w:val="22"/>
                <w:szCs w:val="22"/>
              </w:rPr>
              <w:t xml:space="preserve"> at least </w:t>
            </w:r>
            <w:r w:rsidR="00603F09" w:rsidRPr="002D171E">
              <w:rPr>
                <w:sz w:val="22"/>
                <w:szCs w:val="22"/>
              </w:rPr>
              <w:t>£2</w:t>
            </w:r>
            <w:r w:rsidR="005E538B">
              <w:rPr>
                <w:sz w:val="22"/>
                <w:szCs w:val="22"/>
              </w:rPr>
              <w:t xml:space="preserve"> </w:t>
            </w:r>
            <w:r w:rsidR="00603F09" w:rsidRPr="002D171E">
              <w:rPr>
                <w:sz w:val="22"/>
                <w:szCs w:val="22"/>
              </w:rPr>
              <w:t xml:space="preserve">million </w:t>
            </w:r>
            <w:r w:rsidR="005E538B">
              <w:rPr>
                <w:sz w:val="22"/>
                <w:szCs w:val="22"/>
              </w:rPr>
              <w:t xml:space="preserve">should </w:t>
            </w:r>
            <w:r w:rsidRPr="002D171E">
              <w:rPr>
                <w:sz w:val="22"/>
                <w:szCs w:val="22"/>
              </w:rPr>
              <w:t>be retained in the General Fund</w:t>
            </w:r>
            <w:r w:rsidR="00603F09" w:rsidRPr="002D171E">
              <w:rPr>
                <w:sz w:val="22"/>
                <w:szCs w:val="22"/>
              </w:rPr>
              <w:t>.</w:t>
            </w:r>
            <w:r w:rsidRPr="002D171E">
              <w:rPr>
                <w:sz w:val="22"/>
                <w:szCs w:val="22"/>
              </w:rPr>
              <w:t xml:space="preserve"> </w:t>
            </w:r>
            <w:r w:rsidR="00603F09" w:rsidRPr="002D171E">
              <w:rPr>
                <w:sz w:val="22"/>
                <w:szCs w:val="22"/>
              </w:rPr>
              <w:t xml:space="preserve"> The Council has an </w:t>
            </w:r>
            <w:r w:rsidR="005E538B">
              <w:rPr>
                <w:sz w:val="22"/>
                <w:szCs w:val="22"/>
              </w:rPr>
              <w:t xml:space="preserve">additional </w:t>
            </w:r>
            <w:r w:rsidR="00603F09" w:rsidRPr="002D171E">
              <w:rPr>
                <w:sz w:val="22"/>
                <w:szCs w:val="22"/>
              </w:rPr>
              <w:t xml:space="preserve">earmarked reserve of £2,000,000 to set against future economic downturn/loss of business rates and this </w:t>
            </w:r>
            <w:r w:rsidR="005E538B">
              <w:rPr>
                <w:sz w:val="22"/>
                <w:szCs w:val="22"/>
              </w:rPr>
              <w:t xml:space="preserve">could </w:t>
            </w:r>
            <w:r w:rsidR="00603F09" w:rsidRPr="002D171E">
              <w:rPr>
                <w:sz w:val="22"/>
                <w:szCs w:val="22"/>
              </w:rPr>
              <w:t>be used if required to maintain a prudent level of General Fund balance.   It should be noted that long term use of reserves to offset deficits is not sustainable or prudent.</w:t>
            </w:r>
          </w:p>
          <w:p w:rsidR="00241DBE" w:rsidRPr="002D171E" w:rsidRDefault="00241DBE" w:rsidP="00864DA5">
            <w:pPr>
              <w:jc w:val="both"/>
              <w:rPr>
                <w:sz w:val="22"/>
                <w:szCs w:val="22"/>
              </w:rPr>
            </w:pPr>
          </w:p>
        </w:tc>
      </w:tr>
      <w:tr w:rsidR="00CF7499" w:rsidRPr="00CF7499" w:rsidTr="002D171E">
        <w:trPr>
          <w:gridBefore w:val="1"/>
          <w:wBefore w:w="34" w:type="dxa"/>
          <w:trHeight w:val="522"/>
        </w:trPr>
        <w:tc>
          <w:tcPr>
            <w:cnfStyle w:val="001000000000" w:firstRow="0" w:lastRow="0" w:firstColumn="1" w:lastColumn="0" w:oddVBand="0" w:evenVBand="0" w:oddHBand="0" w:evenHBand="0" w:firstRowFirstColumn="0" w:firstRowLastColumn="0" w:lastRowFirstColumn="0" w:lastRowLastColumn="0"/>
            <w:tcW w:w="959" w:type="dxa"/>
          </w:tcPr>
          <w:p w:rsidR="00B338D6" w:rsidRPr="00B16F41" w:rsidRDefault="00B338D6" w:rsidP="001E0F67">
            <w:pPr>
              <w:jc w:val="both"/>
              <w:rPr>
                <w:rFonts w:cs="Arial"/>
                <w:sz w:val="22"/>
                <w:szCs w:val="22"/>
              </w:rPr>
            </w:pPr>
            <w:r w:rsidRPr="00B16F41">
              <w:rPr>
                <w:rFonts w:cs="Arial"/>
                <w:sz w:val="22"/>
                <w:szCs w:val="22"/>
              </w:rPr>
              <w:t>3.</w:t>
            </w:r>
          </w:p>
          <w:p w:rsidR="00B338D6" w:rsidRPr="00B16F41" w:rsidRDefault="00B338D6" w:rsidP="001E0F67">
            <w:pPr>
              <w:jc w:val="both"/>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B338D6" w:rsidRPr="00850A19" w:rsidRDefault="008470D0" w:rsidP="008470D0">
            <w:pPr>
              <w:jc w:val="both"/>
              <w:rPr>
                <w:rFonts w:cs="Arial"/>
                <w:b/>
                <w:sz w:val="22"/>
                <w:szCs w:val="22"/>
              </w:rPr>
            </w:pPr>
            <w:r>
              <w:rPr>
                <w:rFonts w:cs="Arial"/>
                <w:b/>
                <w:sz w:val="22"/>
                <w:szCs w:val="22"/>
              </w:rPr>
              <w:t>Additional income and e</w:t>
            </w:r>
            <w:r w:rsidR="00F865FB">
              <w:rPr>
                <w:rFonts w:cs="Arial"/>
                <w:b/>
                <w:sz w:val="22"/>
                <w:szCs w:val="22"/>
              </w:rPr>
              <w:t xml:space="preserve">fficiency </w:t>
            </w:r>
            <w:r>
              <w:rPr>
                <w:rFonts w:cs="Arial"/>
                <w:b/>
                <w:sz w:val="22"/>
                <w:szCs w:val="22"/>
              </w:rPr>
              <w:t>s</w:t>
            </w:r>
            <w:r w:rsidR="00F865FB">
              <w:rPr>
                <w:rFonts w:cs="Arial"/>
                <w:b/>
                <w:sz w:val="22"/>
                <w:szCs w:val="22"/>
              </w:rPr>
              <w:t>avings</w:t>
            </w:r>
          </w:p>
        </w:tc>
      </w:tr>
      <w:tr w:rsidR="00CF7499" w:rsidRPr="00CF7499" w:rsidTr="002D171E">
        <w:trPr>
          <w:gridBefore w:val="1"/>
          <w:wBefore w:w="34" w:type="dxa"/>
          <w:trHeight w:val="70"/>
        </w:trPr>
        <w:tc>
          <w:tcPr>
            <w:cnfStyle w:val="001000000000" w:firstRow="0" w:lastRow="0" w:firstColumn="1" w:lastColumn="0" w:oddVBand="0" w:evenVBand="0" w:oddHBand="0" w:evenHBand="0" w:firstRowFirstColumn="0" w:firstRowLastColumn="0" w:lastRowFirstColumn="0" w:lastRowLastColumn="0"/>
            <w:tcW w:w="959" w:type="dxa"/>
          </w:tcPr>
          <w:p w:rsidR="00E650B2" w:rsidRPr="00B16F41" w:rsidRDefault="00B338D6" w:rsidP="00C80E97">
            <w:pPr>
              <w:rPr>
                <w:rFonts w:cs="Arial"/>
                <w:sz w:val="22"/>
                <w:szCs w:val="22"/>
              </w:rPr>
            </w:pPr>
            <w:r w:rsidRPr="00B16F41">
              <w:rPr>
                <w:rFonts w:cs="Arial"/>
                <w:sz w:val="22"/>
                <w:szCs w:val="22"/>
              </w:rPr>
              <w:t>3.1</w:t>
            </w:r>
          </w:p>
        </w:tc>
        <w:tc>
          <w:tcPr>
            <w:cnfStyle w:val="000100000000" w:firstRow="0" w:lastRow="0" w:firstColumn="0" w:lastColumn="1" w:oddVBand="0" w:evenVBand="0" w:oddHBand="0" w:evenHBand="0" w:firstRowFirstColumn="0" w:firstRowLastColumn="0" w:lastRowFirstColumn="0" w:lastRowLastColumn="0"/>
            <w:tcW w:w="9072" w:type="dxa"/>
          </w:tcPr>
          <w:p w:rsidR="002E5F8B" w:rsidRPr="002E5F8B" w:rsidRDefault="00512D49" w:rsidP="00AA1ECA">
            <w:pPr>
              <w:jc w:val="both"/>
              <w:rPr>
                <w:rFonts w:cs="Arial"/>
                <w:sz w:val="22"/>
                <w:szCs w:val="22"/>
              </w:rPr>
            </w:pPr>
            <w:r w:rsidRPr="002E5F8B">
              <w:rPr>
                <w:rFonts w:cs="Arial"/>
                <w:sz w:val="22"/>
                <w:szCs w:val="22"/>
              </w:rPr>
              <w:t xml:space="preserve">The </w:t>
            </w:r>
            <w:r w:rsidR="000E5D46" w:rsidRPr="002E5F8B">
              <w:rPr>
                <w:rFonts w:cs="Arial"/>
                <w:sz w:val="22"/>
                <w:szCs w:val="22"/>
              </w:rPr>
              <w:t>g</w:t>
            </w:r>
            <w:r w:rsidRPr="002E5F8B">
              <w:rPr>
                <w:rFonts w:cs="Arial"/>
                <w:sz w:val="22"/>
                <w:szCs w:val="22"/>
              </w:rPr>
              <w:t>arden waste initiative has</w:t>
            </w:r>
            <w:r w:rsidR="00AA1ECA" w:rsidRPr="002E5F8B">
              <w:rPr>
                <w:rFonts w:cs="Arial"/>
                <w:sz w:val="22"/>
                <w:szCs w:val="22"/>
              </w:rPr>
              <w:t xml:space="preserve"> </w:t>
            </w:r>
            <w:r w:rsidR="008470D0" w:rsidRPr="002E5F8B">
              <w:rPr>
                <w:rFonts w:cs="Arial"/>
                <w:sz w:val="22"/>
                <w:szCs w:val="22"/>
              </w:rPr>
              <w:t xml:space="preserve">continued to </w:t>
            </w:r>
            <w:r w:rsidR="00AA1ECA" w:rsidRPr="002E5F8B">
              <w:rPr>
                <w:rFonts w:cs="Arial"/>
                <w:sz w:val="22"/>
                <w:szCs w:val="22"/>
              </w:rPr>
              <w:t xml:space="preserve">be </w:t>
            </w:r>
            <w:r w:rsidRPr="002E5F8B">
              <w:rPr>
                <w:rFonts w:cs="Arial"/>
                <w:sz w:val="22"/>
                <w:szCs w:val="22"/>
              </w:rPr>
              <w:t xml:space="preserve">extremely </w:t>
            </w:r>
            <w:r w:rsidR="008470D0" w:rsidRPr="002E5F8B">
              <w:rPr>
                <w:rFonts w:cs="Arial"/>
                <w:sz w:val="22"/>
                <w:szCs w:val="22"/>
              </w:rPr>
              <w:t xml:space="preserve">popular </w:t>
            </w:r>
            <w:r w:rsidRPr="002E5F8B">
              <w:rPr>
                <w:rFonts w:cs="Arial"/>
                <w:sz w:val="22"/>
                <w:szCs w:val="22"/>
              </w:rPr>
              <w:t xml:space="preserve">and </w:t>
            </w:r>
            <w:r w:rsidR="00AA1ECA" w:rsidRPr="002E5F8B">
              <w:rPr>
                <w:rFonts w:cs="Arial"/>
                <w:sz w:val="22"/>
                <w:szCs w:val="22"/>
              </w:rPr>
              <w:t xml:space="preserve">current demand </w:t>
            </w:r>
            <w:r w:rsidRPr="002E5F8B">
              <w:rPr>
                <w:rFonts w:cs="Arial"/>
                <w:sz w:val="22"/>
                <w:szCs w:val="22"/>
              </w:rPr>
              <w:t xml:space="preserve">has </w:t>
            </w:r>
            <w:r w:rsidR="008470D0" w:rsidRPr="002E5F8B">
              <w:rPr>
                <w:rFonts w:cs="Arial"/>
                <w:sz w:val="22"/>
                <w:szCs w:val="22"/>
              </w:rPr>
              <w:t xml:space="preserve">continued to exceed </w:t>
            </w:r>
            <w:r w:rsidR="00AA1ECA" w:rsidRPr="002E5F8B">
              <w:rPr>
                <w:rFonts w:cs="Arial"/>
                <w:sz w:val="22"/>
                <w:szCs w:val="22"/>
              </w:rPr>
              <w:t xml:space="preserve">the </w:t>
            </w:r>
            <w:r w:rsidR="008470D0" w:rsidRPr="002E5F8B">
              <w:rPr>
                <w:rFonts w:cs="Arial"/>
                <w:sz w:val="22"/>
                <w:szCs w:val="22"/>
              </w:rPr>
              <w:t xml:space="preserve">anticipated </w:t>
            </w:r>
            <w:r w:rsidRPr="002E5F8B">
              <w:rPr>
                <w:rFonts w:cs="Arial"/>
                <w:sz w:val="22"/>
                <w:szCs w:val="22"/>
              </w:rPr>
              <w:t>participation</w:t>
            </w:r>
            <w:r w:rsidR="00AA1ECA" w:rsidRPr="002E5F8B">
              <w:rPr>
                <w:rFonts w:cs="Arial"/>
                <w:sz w:val="22"/>
                <w:szCs w:val="22"/>
              </w:rPr>
              <w:t xml:space="preserve"> and take-up</w:t>
            </w:r>
            <w:r w:rsidRPr="002E5F8B">
              <w:rPr>
                <w:rFonts w:cs="Arial"/>
                <w:sz w:val="22"/>
                <w:szCs w:val="22"/>
              </w:rPr>
              <w:t xml:space="preserve"> rates.</w:t>
            </w:r>
          </w:p>
          <w:p w:rsidR="009F3C0B" w:rsidRPr="002E5F8B" w:rsidRDefault="009F3C0B" w:rsidP="002E5F8B">
            <w:pPr>
              <w:jc w:val="both"/>
              <w:rPr>
                <w:sz w:val="22"/>
                <w:szCs w:val="22"/>
              </w:rPr>
            </w:pPr>
          </w:p>
        </w:tc>
      </w:tr>
      <w:tr w:rsidR="00CF7499" w:rsidRPr="00CF7499" w:rsidTr="002D171E">
        <w:trPr>
          <w:gridBefore w:val="1"/>
          <w:wBefore w:w="34" w:type="dxa"/>
          <w:trHeight w:val="740"/>
        </w:trPr>
        <w:tc>
          <w:tcPr>
            <w:cnfStyle w:val="001000000000" w:firstRow="0" w:lastRow="0" w:firstColumn="1" w:lastColumn="0" w:oddVBand="0" w:evenVBand="0" w:oddHBand="0" w:evenHBand="0" w:firstRowFirstColumn="0" w:firstRowLastColumn="0" w:lastRowFirstColumn="0" w:lastRowLastColumn="0"/>
            <w:tcW w:w="959" w:type="dxa"/>
          </w:tcPr>
          <w:p w:rsidR="000738B4" w:rsidRPr="00B16F41" w:rsidRDefault="000738B4" w:rsidP="00C80E97">
            <w:pPr>
              <w:rPr>
                <w:rFonts w:cs="Arial"/>
                <w:sz w:val="22"/>
                <w:szCs w:val="22"/>
              </w:rPr>
            </w:pPr>
            <w:r w:rsidRPr="00B16F41">
              <w:rPr>
                <w:rFonts w:cs="Arial"/>
                <w:sz w:val="22"/>
                <w:szCs w:val="22"/>
              </w:rPr>
              <w:t>3.</w:t>
            </w:r>
            <w:r w:rsidR="00CC1F66" w:rsidRPr="00B16F41">
              <w:rPr>
                <w:rFonts w:cs="Arial"/>
                <w:sz w:val="22"/>
                <w:szCs w:val="22"/>
              </w:rPr>
              <w:t>2</w:t>
            </w:r>
          </w:p>
        </w:tc>
        <w:tc>
          <w:tcPr>
            <w:cnfStyle w:val="000100000000" w:firstRow="0" w:lastRow="0" w:firstColumn="0" w:lastColumn="1" w:oddVBand="0" w:evenVBand="0" w:oddHBand="0" w:evenHBand="0" w:firstRowFirstColumn="0" w:firstRowLastColumn="0" w:lastRowFirstColumn="0" w:lastRowLastColumn="0"/>
            <w:tcW w:w="9072" w:type="dxa"/>
          </w:tcPr>
          <w:p w:rsidR="002E5F8B" w:rsidRDefault="002E5F8B" w:rsidP="00413873">
            <w:pPr>
              <w:jc w:val="both"/>
              <w:rPr>
                <w:rFonts w:cs="Arial"/>
                <w:sz w:val="22"/>
                <w:szCs w:val="22"/>
              </w:rPr>
            </w:pPr>
            <w:r w:rsidRPr="002E5F8B">
              <w:rPr>
                <w:rFonts w:cs="Arial"/>
                <w:sz w:val="22"/>
                <w:szCs w:val="22"/>
              </w:rPr>
              <w:t xml:space="preserve">The retendered leisure management contract had anticipated income of £130,000 for each of the years covered by the MTFP.  The Council has </w:t>
            </w:r>
            <w:r w:rsidR="00580188">
              <w:rPr>
                <w:rFonts w:cs="Arial"/>
                <w:sz w:val="22"/>
                <w:szCs w:val="22"/>
              </w:rPr>
              <w:t>been presented with</w:t>
            </w:r>
            <w:r w:rsidRPr="002E5F8B">
              <w:rPr>
                <w:rFonts w:cs="Arial"/>
                <w:sz w:val="22"/>
                <w:szCs w:val="22"/>
              </w:rPr>
              <w:t xml:space="preserve"> a stepped income profile from the new contractor, which means that this management fee will not be achieved in the MTFP, but will see an enhanced revenue stream to the Council from 2021/22 onwards. </w:t>
            </w:r>
          </w:p>
          <w:p w:rsidR="00413873" w:rsidRPr="00BF40B4" w:rsidRDefault="002E5F8B" w:rsidP="00413873">
            <w:pPr>
              <w:jc w:val="both"/>
              <w:rPr>
                <w:color w:val="4F81BD" w:themeColor="accent1"/>
                <w:sz w:val="22"/>
                <w:szCs w:val="22"/>
              </w:rPr>
            </w:pPr>
            <w:r w:rsidRPr="002E5F8B">
              <w:rPr>
                <w:rFonts w:cs="Arial"/>
                <w:sz w:val="22"/>
                <w:szCs w:val="22"/>
              </w:rPr>
              <w:t xml:space="preserve"> </w:t>
            </w:r>
          </w:p>
        </w:tc>
      </w:tr>
      <w:tr w:rsidR="002E5F8B" w:rsidRPr="00CF7499" w:rsidTr="002D171E">
        <w:trPr>
          <w:gridBefore w:val="1"/>
          <w:wBefore w:w="34" w:type="dxa"/>
          <w:trHeight w:val="740"/>
        </w:trPr>
        <w:tc>
          <w:tcPr>
            <w:cnfStyle w:val="001000000000" w:firstRow="0" w:lastRow="0" w:firstColumn="1" w:lastColumn="0" w:oddVBand="0" w:evenVBand="0" w:oddHBand="0" w:evenHBand="0" w:firstRowFirstColumn="0" w:firstRowLastColumn="0" w:lastRowFirstColumn="0" w:lastRowLastColumn="0"/>
            <w:tcW w:w="959" w:type="dxa"/>
          </w:tcPr>
          <w:p w:rsidR="002E5F8B" w:rsidRPr="00B16F41" w:rsidRDefault="002E5F8B" w:rsidP="00C80E97">
            <w:pPr>
              <w:rPr>
                <w:rFonts w:cs="Arial"/>
                <w:sz w:val="22"/>
                <w:szCs w:val="22"/>
              </w:rPr>
            </w:pPr>
            <w:r>
              <w:rPr>
                <w:rFonts w:cs="Arial"/>
                <w:sz w:val="22"/>
                <w:szCs w:val="22"/>
              </w:rPr>
              <w:t>3.3</w:t>
            </w:r>
          </w:p>
        </w:tc>
        <w:tc>
          <w:tcPr>
            <w:cnfStyle w:val="000100000000" w:firstRow="0" w:lastRow="0" w:firstColumn="0" w:lastColumn="1" w:oddVBand="0" w:evenVBand="0" w:oddHBand="0" w:evenHBand="0" w:firstRowFirstColumn="0" w:firstRowLastColumn="0" w:lastRowFirstColumn="0" w:lastRowLastColumn="0"/>
            <w:tcW w:w="9072" w:type="dxa"/>
          </w:tcPr>
          <w:p w:rsidR="002E5F8B" w:rsidRPr="002E5F8B" w:rsidRDefault="002E5F8B" w:rsidP="002E5F8B">
            <w:pPr>
              <w:jc w:val="both"/>
              <w:rPr>
                <w:rFonts w:cs="Arial"/>
                <w:sz w:val="22"/>
                <w:szCs w:val="22"/>
              </w:rPr>
            </w:pPr>
            <w:r w:rsidRPr="002E5F8B">
              <w:rPr>
                <w:rFonts w:cs="Arial"/>
                <w:sz w:val="22"/>
                <w:szCs w:val="22"/>
              </w:rPr>
              <w:t>The base budgets also include efficiency savings of £100,000 in 2019/20 and £200,000 in both 2020/21.  These have yet to be specifically identified and allocated to individual services.</w:t>
            </w:r>
          </w:p>
          <w:p w:rsidR="002E5F8B" w:rsidRPr="002E5F8B" w:rsidRDefault="002E5F8B" w:rsidP="00413873">
            <w:pPr>
              <w:jc w:val="both"/>
              <w:rPr>
                <w:rFonts w:cs="Arial"/>
                <w:sz w:val="22"/>
                <w:szCs w:val="22"/>
              </w:rPr>
            </w:pPr>
          </w:p>
        </w:tc>
      </w:tr>
      <w:tr w:rsidR="00CF7499" w:rsidRPr="00CF7499" w:rsidTr="002D171E">
        <w:trPr>
          <w:gridBefore w:val="1"/>
          <w:wBefore w:w="34" w:type="dxa"/>
          <w:trHeight w:val="488"/>
        </w:trPr>
        <w:tc>
          <w:tcPr>
            <w:cnfStyle w:val="001000000000" w:firstRow="0" w:lastRow="0" w:firstColumn="1" w:lastColumn="0" w:oddVBand="0" w:evenVBand="0" w:oddHBand="0" w:evenHBand="0" w:firstRowFirstColumn="0" w:firstRowLastColumn="0" w:lastRowFirstColumn="0" w:lastRowLastColumn="0"/>
            <w:tcW w:w="959" w:type="dxa"/>
          </w:tcPr>
          <w:p w:rsidR="003A79EB" w:rsidRPr="007C1C6B" w:rsidRDefault="003A79EB" w:rsidP="001E0F67">
            <w:pPr>
              <w:rPr>
                <w:rFonts w:cs="Arial"/>
                <w:sz w:val="22"/>
                <w:szCs w:val="22"/>
              </w:rPr>
            </w:pPr>
            <w:r w:rsidRPr="007C1C6B">
              <w:rPr>
                <w:rFonts w:cs="Arial"/>
                <w:sz w:val="22"/>
                <w:szCs w:val="22"/>
              </w:rPr>
              <w:t>4.</w:t>
            </w:r>
          </w:p>
        </w:tc>
        <w:tc>
          <w:tcPr>
            <w:cnfStyle w:val="000100000000" w:firstRow="0" w:lastRow="0" w:firstColumn="0" w:lastColumn="1" w:oddVBand="0" w:evenVBand="0" w:oddHBand="0" w:evenHBand="0" w:firstRowFirstColumn="0" w:firstRowLastColumn="0" w:lastRowFirstColumn="0" w:lastRowLastColumn="0"/>
            <w:tcW w:w="9072" w:type="dxa"/>
          </w:tcPr>
          <w:p w:rsidR="003A79EB" w:rsidRPr="007C1C6B" w:rsidRDefault="003A79EB" w:rsidP="001E0F67">
            <w:pPr>
              <w:rPr>
                <w:rFonts w:cs="Arial"/>
                <w:b/>
                <w:sz w:val="22"/>
                <w:szCs w:val="22"/>
              </w:rPr>
            </w:pPr>
            <w:r w:rsidRPr="007C1C6B">
              <w:rPr>
                <w:rFonts w:cs="Arial"/>
                <w:b/>
                <w:sz w:val="22"/>
                <w:szCs w:val="22"/>
              </w:rPr>
              <w:t>Potential Growth</w:t>
            </w:r>
          </w:p>
        </w:tc>
      </w:tr>
      <w:tr w:rsidR="00CF7499" w:rsidRPr="00CF7499" w:rsidTr="002D171E">
        <w:trPr>
          <w:gridBefore w:val="1"/>
          <w:wBefore w:w="34" w:type="dxa"/>
          <w:trHeight w:val="374"/>
        </w:trPr>
        <w:tc>
          <w:tcPr>
            <w:cnfStyle w:val="001000000000" w:firstRow="0" w:lastRow="0" w:firstColumn="1" w:lastColumn="0" w:oddVBand="0" w:evenVBand="0" w:oddHBand="0" w:evenHBand="0" w:firstRowFirstColumn="0" w:firstRowLastColumn="0" w:lastRowFirstColumn="0" w:lastRowLastColumn="0"/>
            <w:tcW w:w="959" w:type="dxa"/>
          </w:tcPr>
          <w:p w:rsidR="003A79EB" w:rsidRPr="007C1C6B" w:rsidRDefault="003A79EB" w:rsidP="001E0F67">
            <w:pPr>
              <w:rPr>
                <w:rFonts w:cs="Arial"/>
                <w:sz w:val="22"/>
                <w:szCs w:val="22"/>
              </w:rPr>
            </w:pPr>
            <w:r w:rsidRPr="007C1C6B">
              <w:rPr>
                <w:rFonts w:cs="Arial"/>
                <w:sz w:val="22"/>
                <w:szCs w:val="22"/>
              </w:rPr>
              <w:t>4.1</w:t>
            </w:r>
          </w:p>
          <w:p w:rsidR="003A79EB" w:rsidRPr="00CF7499" w:rsidRDefault="003A79EB" w:rsidP="001E0F67">
            <w:pPr>
              <w:rPr>
                <w:rFonts w:cs="Arial"/>
                <w:color w:val="4F81BD" w:themeColor="accent1"/>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3A79EB" w:rsidRPr="0095613F" w:rsidRDefault="0095613F" w:rsidP="00333C45">
            <w:pPr>
              <w:pStyle w:val="Default"/>
              <w:jc w:val="both"/>
              <w:rPr>
                <w:b/>
                <w:color w:val="auto"/>
                <w:sz w:val="22"/>
                <w:szCs w:val="22"/>
              </w:rPr>
            </w:pPr>
            <w:r w:rsidRPr="0095613F">
              <w:rPr>
                <w:color w:val="auto"/>
                <w:sz w:val="22"/>
                <w:szCs w:val="22"/>
              </w:rPr>
              <w:t>As mentioned above, o</w:t>
            </w:r>
            <w:r w:rsidR="003A79EB" w:rsidRPr="0095613F">
              <w:rPr>
                <w:color w:val="auto"/>
                <w:sz w:val="22"/>
                <w:szCs w:val="22"/>
              </w:rPr>
              <w:t xml:space="preserve">fficers have made every effort to cash limit expenditure without affecting service delivery. </w:t>
            </w:r>
            <w:r w:rsidR="000E5D46" w:rsidRPr="0095613F">
              <w:rPr>
                <w:color w:val="auto"/>
                <w:sz w:val="22"/>
                <w:szCs w:val="22"/>
              </w:rPr>
              <w:t xml:space="preserve">  Unavoidable growth (eg: statutory and contractual requirements) have been included into the based budgets.</w:t>
            </w:r>
            <w:r w:rsidR="00B9370D" w:rsidRPr="0095613F">
              <w:rPr>
                <w:color w:val="auto"/>
                <w:sz w:val="22"/>
                <w:szCs w:val="22"/>
              </w:rPr>
              <w:t xml:space="preserve">  T</w:t>
            </w:r>
            <w:r w:rsidR="00577388" w:rsidRPr="0095613F">
              <w:rPr>
                <w:color w:val="auto"/>
                <w:sz w:val="22"/>
                <w:szCs w:val="22"/>
              </w:rPr>
              <w:t xml:space="preserve">he scheme for prioritising </w:t>
            </w:r>
            <w:r w:rsidR="000E5D46" w:rsidRPr="0095613F">
              <w:rPr>
                <w:color w:val="auto"/>
                <w:sz w:val="22"/>
                <w:szCs w:val="22"/>
              </w:rPr>
              <w:t xml:space="preserve">discretionary </w:t>
            </w:r>
            <w:r w:rsidR="00577388" w:rsidRPr="0095613F">
              <w:rPr>
                <w:color w:val="auto"/>
                <w:sz w:val="22"/>
                <w:szCs w:val="22"/>
              </w:rPr>
              <w:t xml:space="preserve">growth is shown at </w:t>
            </w:r>
            <w:r w:rsidR="00577388" w:rsidRPr="0095613F">
              <w:rPr>
                <w:b/>
                <w:color w:val="auto"/>
                <w:sz w:val="22"/>
                <w:szCs w:val="22"/>
              </w:rPr>
              <w:t xml:space="preserve">Appendix </w:t>
            </w:r>
            <w:r w:rsidR="007411A3" w:rsidRPr="0095613F">
              <w:rPr>
                <w:b/>
                <w:color w:val="auto"/>
                <w:sz w:val="22"/>
                <w:szCs w:val="22"/>
              </w:rPr>
              <w:t>4</w:t>
            </w:r>
            <w:r w:rsidR="00172DC5" w:rsidRPr="0095613F">
              <w:rPr>
                <w:b/>
                <w:color w:val="auto"/>
                <w:sz w:val="22"/>
                <w:szCs w:val="22"/>
              </w:rPr>
              <w:t xml:space="preserve">. </w:t>
            </w:r>
            <w:r w:rsidR="00413873" w:rsidRPr="0095613F">
              <w:rPr>
                <w:b/>
                <w:color w:val="auto"/>
                <w:sz w:val="22"/>
                <w:szCs w:val="22"/>
              </w:rPr>
              <w:t xml:space="preserve"> </w:t>
            </w:r>
            <w:r w:rsidR="00172DC5" w:rsidRPr="0095613F">
              <w:rPr>
                <w:color w:val="auto"/>
                <w:sz w:val="22"/>
                <w:szCs w:val="22"/>
              </w:rPr>
              <w:t xml:space="preserve">There are </w:t>
            </w:r>
            <w:r w:rsidR="000232F0">
              <w:rPr>
                <w:color w:val="auto"/>
                <w:sz w:val="22"/>
                <w:szCs w:val="22"/>
              </w:rPr>
              <w:t>six new</w:t>
            </w:r>
            <w:r w:rsidR="0086191B" w:rsidRPr="0095613F">
              <w:rPr>
                <w:color w:val="auto"/>
                <w:sz w:val="22"/>
                <w:szCs w:val="22"/>
              </w:rPr>
              <w:t xml:space="preserve"> </w:t>
            </w:r>
            <w:r w:rsidR="00353FEC" w:rsidRPr="0095613F">
              <w:rPr>
                <w:color w:val="auto"/>
                <w:sz w:val="22"/>
                <w:szCs w:val="22"/>
              </w:rPr>
              <w:t xml:space="preserve">proposed </w:t>
            </w:r>
            <w:r w:rsidR="0086191B" w:rsidRPr="0095613F">
              <w:rPr>
                <w:color w:val="auto"/>
                <w:sz w:val="22"/>
                <w:szCs w:val="22"/>
              </w:rPr>
              <w:t>growth items</w:t>
            </w:r>
            <w:r w:rsidR="00172DC5" w:rsidRPr="0095613F">
              <w:rPr>
                <w:color w:val="auto"/>
                <w:sz w:val="22"/>
                <w:szCs w:val="22"/>
              </w:rPr>
              <w:t xml:space="preserve"> </w:t>
            </w:r>
            <w:r w:rsidR="0086191B" w:rsidRPr="0095613F">
              <w:rPr>
                <w:color w:val="auto"/>
                <w:sz w:val="22"/>
                <w:szCs w:val="22"/>
              </w:rPr>
              <w:t xml:space="preserve">shown at </w:t>
            </w:r>
            <w:r w:rsidR="0086191B" w:rsidRPr="0095613F">
              <w:rPr>
                <w:b/>
                <w:color w:val="auto"/>
                <w:sz w:val="22"/>
                <w:szCs w:val="22"/>
              </w:rPr>
              <w:t xml:space="preserve">Appendix </w:t>
            </w:r>
            <w:r w:rsidR="007411A3" w:rsidRPr="0095613F">
              <w:rPr>
                <w:b/>
                <w:color w:val="auto"/>
                <w:sz w:val="22"/>
                <w:szCs w:val="22"/>
              </w:rPr>
              <w:t>5</w:t>
            </w:r>
            <w:r w:rsidR="00172DC5" w:rsidRPr="0095613F">
              <w:rPr>
                <w:b/>
                <w:color w:val="auto"/>
                <w:sz w:val="22"/>
                <w:szCs w:val="22"/>
              </w:rPr>
              <w:t xml:space="preserve">. </w:t>
            </w:r>
            <w:r w:rsidR="00413873" w:rsidRPr="0095613F">
              <w:rPr>
                <w:b/>
                <w:color w:val="auto"/>
                <w:sz w:val="22"/>
                <w:szCs w:val="22"/>
              </w:rPr>
              <w:t xml:space="preserve"> </w:t>
            </w:r>
            <w:r w:rsidR="00172DC5" w:rsidRPr="0095613F">
              <w:rPr>
                <w:color w:val="auto"/>
                <w:sz w:val="22"/>
                <w:szCs w:val="22"/>
              </w:rPr>
              <w:t xml:space="preserve">These total </w:t>
            </w:r>
            <w:r w:rsidR="00172DC5" w:rsidRPr="00E302B9">
              <w:rPr>
                <w:color w:val="auto"/>
                <w:sz w:val="22"/>
                <w:szCs w:val="22"/>
              </w:rPr>
              <w:t>£</w:t>
            </w:r>
            <w:r w:rsidR="00E302B9" w:rsidRPr="00E302B9">
              <w:rPr>
                <w:color w:val="auto"/>
                <w:sz w:val="22"/>
                <w:szCs w:val="22"/>
              </w:rPr>
              <w:t>61,530</w:t>
            </w:r>
            <w:r w:rsidRPr="00E302B9">
              <w:rPr>
                <w:color w:val="auto"/>
                <w:sz w:val="22"/>
                <w:szCs w:val="22"/>
              </w:rPr>
              <w:t xml:space="preserve"> in 2018</w:t>
            </w:r>
            <w:r w:rsidR="004C0ABF" w:rsidRPr="00E302B9">
              <w:rPr>
                <w:color w:val="auto"/>
                <w:sz w:val="22"/>
                <w:szCs w:val="22"/>
              </w:rPr>
              <w:t>/</w:t>
            </w:r>
            <w:r w:rsidR="00E302B9" w:rsidRPr="00E302B9">
              <w:rPr>
                <w:color w:val="auto"/>
                <w:sz w:val="22"/>
                <w:szCs w:val="22"/>
              </w:rPr>
              <w:t xml:space="preserve">19. </w:t>
            </w:r>
            <w:r w:rsidR="004C0ABF" w:rsidRPr="0095613F">
              <w:rPr>
                <w:color w:val="auto"/>
                <w:sz w:val="22"/>
                <w:szCs w:val="22"/>
              </w:rPr>
              <w:t>T</w:t>
            </w:r>
            <w:r w:rsidR="00172DC5" w:rsidRPr="0095613F">
              <w:rPr>
                <w:color w:val="auto"/>
                <w:sz w:val="22"/>
                <w:szCs w:val="22"/>
              </w:rPr>
              <w:t>hree</w:t>
            </w:r>
            <w:r w:rsidR="004C0ABF" w:rsidRPr="0095613F">
              <w:rPr>
                <w:color w:val="auto"/>
                <w:sz w:val="22"/>
                <w:szCs w:val="22"/>
              </w:rPr>
              <w:t xml:space="preserve"> of these bids</w:t>
            </w:r>
            <w:r w:rsidR="006053A9" w:rsidRPr="0095613F">
              <w:rPr>
                <w:color w:val="auto"/>
                <w:sz w:val="22"/>
                <w:szCs w:val="22"/>
              </w:rPr>
              <w:t xml:space="preserve"> </w:t>
            </w:r>
            <w:r w:rsidR="00E343F1" w:rsidRPr="0095613F">
              <w:rPr>
                <w:color w:val="auto"/>
                <w:sz w:val="22"/>
                <w:szCs w:val="22"/>
              </w:rPr>
              <w:t>depend on the approval to fund their respective new</w:t>
            </w:r>
            <w:r w:rsidR="006053A9" w:rsidRPr="0095613F">
              <w:rPr>
                <w:color w:val="auto"/>
                <w:sz w:val="22"/>
                <w:szCs w:val="22"/>
              </w:rPr>
              <w:t xml:space="preserve"> capital schemes</w:t>
            </w:r>
            <w:r w:rsidR="0074504B" w:rsidRPr="0095613F">
              <w:rPr>
                <w:color w:val="auto"/>
                <w:sz w:val="22"/>
                <w:szCs w:val="22"/>
              </w:rPr>
              <w:t xml:space="preserve"> (see </w:t>
            </w:r>
            <w:r w:rsidR="00616477" w:rsidRPr="00BB5F0C">
              <w:rPr>
                <w:color w:val="auto"/>
                <w:sz w:val="22"/>
                <w:szCs w:val="22"/>
              </w:rPr>
              <w:t xml:space="preserve">Item </w:t>
            </w:r>
            <w:r w:rsidR="00FF48D6" w:rsidRPr="00BB5F0C">
              <w:rPr>
                <w:color w:val="auto"/>
                <w:sz w:val="22"/>
                <w:szCs w:val="22"/>
              </w:rPr>
              <w:t>9</w:t>
            </w:r>
            <w:r w:rsidR="0074504B" w:rsidRPr="0095613F">
              <w:rPr>
                <w:color w:val="auto"/>
                <w:sz w:val="22"/>
                <w:szCs w:val="22"/>
              </w:rPr>
              <w:t xml:space="preserve"> on this agenda)</w:t>
            </w:r>
            <w:r w:rsidR="006053A9" w:rsidRPr="0095613F">
              <w:rPr>
                <w:color w:val="auto"/>
                <w:sz w:val="22"/>
                <w:szCs w:val="22"/>
              </w:rPr>
              <w:t xml:space="preserve">. </w:t>
            </w:r>
            <w:r w:rsidR="0074504B" w:rsidRPr="0095613F">
              <w:rPr>
                <w:color w:val="auto"/>
                <w:sz w:val="22"/>
                <w:szCs w:val="22"/>
              </w:rPr>
              <w:t xml:space="preserve"> </w:t>
            </w:r>
          </w:p>
          <w:p w:rsidR="00333C45" w:rsidRPr="0095613F" w:rsidRDefault="00333C45" w:rsidP="00333C45">
            <w:pPr>
              <w:pStyle w:val="Default"/>
              <w:jc w:val="both"/>
              <w:rPr>
                <w:color w:val="auto"/>
                <w:sz w:val="22"/>
                <w:szCs w:val="22"/>
              </w:rPr>
            </w:pPr>
          </w:p>
        </w:tc>
      </w:tr>
      <w:tr w:rsidR="00CF7499" w:rsidRPr="00CF7499" w:rsidTr="002D171E">
        <w:trPr>
          <w:gridBefore w:val="1"/>
          <w:wBefore w:w="34" w:type="dxa"/>
          <w:trHeight w:val="350"/>
        </w:trPr>
        <w:tc>
          <w:tcPr>
            <w:cnfStyle w:val="001000000000" w:firstRow="0" w:lastRow="0" w:firstColumn="1" w:lastColumn="0" w:oddVBand="0" w:evenVBand="0" w:oddHBand="0" w:evenHBand="0" w:firstRowFirstColumn="0" w:firstRowLastColumn="0" w:lastRowFirstColumn="0" w:lastRowLastColumn="0"/>
            <w:tcW w:w="959" w:type="dxa"/>
          </w:tcPr>
          <w:p w:rsidR="0086191B" w:rsidRPr="007C1C6B" w:rsidRDefault="0086191B" w:rsidP="001E0F67">
            <w:pPr>
              <w:tabs>
                <w:tab w:val="left" w:pos="1020"/>
              </w:tabs>
              <w:jc w:val="both"/>
              <w:rPr>
                <w:rFonts w:cs="Arial"/>
                <w:sz w:val="22"/>
                <w:szCs w:val="22"/>
              </w:rPr>
            </w:pPr>
            <w:r w:rsidRPr="007C1C6B">
              <w:rPr>
                <w:rFonts w:cs="Arial"/>
                <w:sz w:val="22"/>
                <w:szCs w:val="22"/>
              </w:rPr>
              <w:t>5.</w:t>
            </w:r>
            <w:r w:rsidRPr="007C1C6B">
              <w:rPr>
                <w:rFonts w:cs="Arial"/>
                <w:sz w:val="22"/>
                <w:szCs w:val="22"/>
              </w:rPr>
              <w:tab/>
            </w:r>
          </w:p>
          <w:p w:rsidR="0086191B" w:rsidRPr="007C1C6B" w:rsidRDefault="0086191B" w:rsidP="001E0F67">
            <w:pPr>
              <w:tabs>
                <w:tab w:val="left" w:pos="2835"/>
              </w:tabs>
              <w:jc w:val="both"/>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86191B" w:rsidRPr="007C1C6B" w:rsidRDefault="0086191B" w:rsidP="001E0F67">
            <w:pPr>
              <w:jc w:val="both"/>
              <w:rPr>
                <w:b/>
                <w:sz w:val="22"/>
                <w:szCs w:val="22"/>
              </w:rPr>
            </w:pPr>
            <w:r w:rsidRPr="007C1C6B">
              <w:rPr>
                <w:b/>
                <w:sz w:val="22"/>
                <w:szCs w:val="22"/>
              </w:rPr>
              <w:t>Fees and Charges</w:t>
            </w:r>
          </w:p>
        </w:tc>
      </w:tr>
      <w:tr w:rsidR="00CF7499" w:rsidRPr="00CF7499" w:rsidTr="002D171E">
        <w:trPr>
          <w:gridBefore w:val="1"/>
          <w:wBefore w:w="34" w:type="dxa"/>
          <w:trHeight w:val="740"/>
        </w:trPr>
        <w:tc>
          <w:tcPr>
            <w:cnfStyle w:val="001000000000" w:firstRow="0" w:lastRow="0" w:firstColumn="1" w:lastColumn="0" w:oddVBand="0" w:evenVBand="0" w:oddHBand="0" w:evenHBand="0" w:firstRowFirstColumn="0" w:firstRowLastColumn="0" w:lastRowFirstColumn="0" w:lastRowLastColumn="0"/>
            <w:tcW w:w="959" w:type="dxa"/>
          </w:tcPr>
          <w:p w:rsidR="0086191B" w:rsidRPr="007C1C6B" w:rsidRDefault="0086191B" w:rsidP="001E0F67">
            <w:pPr>
              <w:tabs>
                <w:tab w:val="left" w:pos="2835"/>
              </w:tabs>
              <w:jc w:val="both"/>
              <w:rPr>
                <w:rFonts w:cs="Arial"/>
                <w:sz w:val="22"/>
                <w:szCs w:val="22"/>
              </w:rPr>
            </w:pPr>
            <w:r w:rsidRPr="007C1C6B">
              <w:rPr>
                <w:rFonts w:cs="Arial"/>
                <w:sz w:val="22"/>
                <w:szCs w:val="22"/>
              </w:rPr>
              <w:t>5.1</w:t>
            </w:r>
          </w:p>
          <w:p w:rsidR="0086191B" w:rsidRPr="007C1C6B" w:rsidRDefault="0086191B" w:rsidP="001E0F67">
            <w:pPr>
              <w:tabs>
                <w:tab w:val="left" w:pos="2835"/>
              </w:tabs>
              <w:jc w:val="both"/>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621785" w:rsidRDefault="0086191B" w:rsidP="001E0F67">
            <w:pPr>
              <w:jc w:val="both"/>
              <w:rPr>
                <w:rFonts w:cs="Arial"/>
                <w:b/>
                <w:sz w:val="22"/>
                <w:szCs w:val="22"/>
              </w:rPr>
            </w:pPr>
            <w:r w:rsidRPr="007C1C6B">
              <w:rPr>
                <w:rFonts w:cs="Arial"/>
                <w:sz w:val="22"/>
                <w:szCs w:val="22"/>
              </w:rPr>
              <w:t xml:space="preserve">Details of the proposed fees &amp; charges were presented to </w:t>
            </w:r>
            <w:r w:rsidR="000E5D46">
              <w:rPr>
                <w:rFonts w:cs="Arial"/>
                <w:sz w:val="22"/>
                <w:szCs w:val="22"/>
              </w:rPr>
              <w:t>service c</w:t>
            </w:r>
            <w:r w:rsidRPr="007C1C6B">
              <w:rPr>
                <w:rFonts w:cs="Arial"/>
                <w:sz w:val="22"/>
                <w:szCs w:val="22"/>
              </w:rPr>
              <w:t>ommittees in November</w:t>
            </w:r>
            <w:r w:rsidR="00BF40B4">
              <w:rPr>
                <w:rFonts w:cs="Arial"/>
                <w:sz w:val="22"/>
                <w:szCs w:val="22"/>
              </w:rPr>
              <w:t xml:space="preserve"> and December</w:t>
            </w:r>
            <w:r w:rsidRPr="007C1C6B">
              <w:rPr>
                <w:rFonts w:cs="Arial"/>
                <w:sz w:val="22"/>
                <w:szCs w:val="22"/>
              </w:rPr>
              <w:t xml:space="preserve"> </w:t>
            </w:r>
            <w:r w:rsidRPr="007C1C6B">
              <w:rPr>
                <w:sz w:val="22"/>
                <w:szCs w:val="22"/>
              </w:rPr>
              <w:t>and</w:t>
            </w:r>
            <w:r w:rsidR="00336AE7" w:rsidRPr="007C1C6B">
              <w:rPr>
                <w:sz w:val="22"/>
                <w:szCs w:val="22"/>
              </w:rPr>
              <w:t xml:space="preserve"> have been included in the base budgets where agreed. </w:t>
            </w:r>
            <w:r w:rsidR="00831AA7">
              <w:rPr>
                <w:sz w:val="22"/>
                <w:szCs w:val="22"/>
              </w:rPr>
              <w:t xml:space="preserve"> </w:t>
            </w:r>
            <w:r w:rsidR="00336AE7" w:rsidRPr="007C1C6B">
              <w:rPr>
                <w:rFonts w:cs="Arial"/>
                <w:sz w:val="22"/>
                <w:szCs w:val="22"/>
              </w:rPr>
              <w:t>The</w:t>
            </w:r>
            <w:r w:rsidRPr="007C1C6B">
              <w:rPr>
                <w:rFonts w:cs="Arial"/>
                <w:sz w:val="22"/>
                <w:szCs w:val="22"/>
              </w:rPr>
              <w:t xml:space="preserve"> latest budgets for fees and charges are shown at </w:t>
            </w:r>
            <w:r w:rsidRPr="00527BBC">
              <w:rPr>
                <w:rFonts w:cs="Arial"/>
                <w:b/>
                <w:sz w:val="22"/>
                <w:szCs w:val="22"/>
              </w:rPr>
              <w:t xml:space="preserve">Appendix </w:t>
            </w:r>
            <w:r w:rsidR="007411A3" w:rsidRPr="00527BBC">
              <w:rPr>
                <w:rFonts w:cs="Arial"/>
                <w:b/>
                <w:sz w:val="22"/>
                <w:szCs w:val="22"/>
              </w:rPr>
              <w:t>6</w:t>
            </w:r>
            <w:r w:rsidRPr="00527BBC">
              <w:rPr>
                <w:rFonts w:cs="Arial"/>
                <w:b/>
                <w:sz w:val="22"/>
                <w:szCs w:val="22"/>
              </w:rPr>
              <w:t>.</w:t>
            </w:r>
            <w:r w:rsidRPr="007C1C6B">
              <w:rPr>
                <w:rFonts w:cs="Arial"/>
                <w:b/>
                <w:sz w:val="22"/>
                <w:szCs w:val="22"/>
              </w:rPr>
              <w:t xml:space="preserve"> </w:t>
            </w:r>
          </w:p>
          <w:p w:rsidR="0086191B" w:rsidRPr="007C1C6B" w:rsidRDefault="0086191B" w:rsidP="001E0F67">
            <w:pPr>
              <w:jc w:val="both"/>
              <w:rPr>
                <w:rFonts w:cs="Arial"/>
                <w:b/>
                <w:i/>
                <w:sz w:val="22"/>
                <w:szCs w:val="22"/>
              </w:rPr>
            </w:pPr>
          </w:p>
        </w:tc>
      </w:tr>
      <w:tr w:rsidR="00CF7499" w:rsidRPr="00CF7499" w:rsidTr="002D171E">
        <w:trPr>
          <w:gridBefore w:val="1"/>
          <w:wBefore w:w="34" w:type="dxa"/>
          <w:trHeight w:val="433"/>
        </w:trPr>
        <w:tc>
          <w:tcPr>
            <w:cnfStyle w:val="001000000000" w:firstRow="0" w:lastRow="0" w:firstColumn="1" w:lastColumn="0" w:oddVBand="0" w:evenVBand="0" w:oddHBand="0" w:evenHBand="0" w:firstRowFirstColumn="0" w:firstRowLastColumn="0" w:lastRowFirstColumn="0" w:lastRowLastColumn="0"/>
            <w:tcW w:w="959" w:type="dxa"/>
          </w:tcPr>
          <w:p w:rsidR="0086191B" w:rsidRPr="007C1C6B" w:rsidRDefault="0086191B" w:rsidP="001E0F67">
            <w:pPr>
              <w:tabs>
                <w:tab w:val="left" w:pos="2835"/>
              </w:tabs>
              <w:jc w:val="both"/>
              <w:rPr>
                <w:rFonts w:cs="Arial"/>
                <w:sz w:val="22"/>
                <w:szCs w:val="22"/>
              </w:rPr>
            </w:pPr>
            <w:r w:rsidRPr="007C1C6B">
              <w:rPr>
                <w:rFonts w:cs="Arial"/>
                <w:sz w:val="22"/>
                <w:szCs w:val="22"/>
              </w:rPr>
              <w:t>6.</w:t>
            </w:r>
          </w:p>
          <w:p w:rsidR="0086191B" w:rsidRPr="007C1C6B" w:rsidRDefault="0086191B" w:rsidP="001E0F67">
            <w:pPr>
              <w:tabs>
                <w:tab w:val="left" w:pos="2835"/>
              </w:tabs>
              <w:jc w:val="both"/>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86191B" w:rsidRPr="007C1C6B" w:rsidRDefault="0086191B" w:rsidP="001E0F67">
            <w:pPr>
              <w:jc w:val="both"/>
              <w:rPr>
                <w:rFonts w:cs="Arial"/>
                <w:sz w:val="22"/>
                <w:szCs w:val="22"/>
              </w:rPr>
            </w:pPr>
            <w:r w:rsidRPr="007C1C6B">
              <w:rPr>
                <w:b/>
                <w:sz w:val="22"/>
                <w:szCs w:val="22"/>
              </w:rPr>
              <w:t>Funding the Revenue Budget</w:t>
            </w:r>
          </w:p>
        </w:tc>
      </w:tr>
      <w:tr w:rsidR="00CF7499" w:rsidRPr="00CF7499" w:rsidTr="002D171E">
        <w:trPr>
          <w:gridBefore w:val="1"/>
          <w:wBefore w:w="34" w:type="dxa"/>
          <w:trHeight w:val="740"/>
        </w:trPr>
        <w:tc>
          <w:tcPr>
            <w:cnfStyle w:val="001000000000" w:firstRow="0" w:lastRow="0" w:firstColumn="1" w:lastColumn="0" w:oddVBand="0" w:evenVBand="0" w:oddHBand="0" w:evenHBand="0" w:firstRowFirstColumn="0" w:firstRowLastColumn="0" w:lastRowFirstColumn="0" w:lastRowLastColumn="0"/>
            <w:tcW w:w="959" w:type="dxa"/>
          </w:tcPr>
          <w:p w:rsidR="0086191B" w:rsidRPr="00B16F41" w:rsidRDefault="0086191B" w:rsidP="001E0F67">
            <w:pPr>
              <w:tabs>
                <w:tab w:val="left" w:pos="2835"/>
              </w:tabs>
              <w:jc w:val="both"/>
              <w:rPr>
                <w:rFonts w:cs="Arial"/>
                <w:sz w:val="22"/>
                <w:szCs w:val="22"/>
              </w:rPr>
            </w:pPr>
            <w:r w:rsidRPr="00B16F41">
              <w:rPr>
                <w:rFonts w:cs="Arial"/>
                <w:sz w:val="22"/>
                <w:szCs w:val="22"/>
              </w:rPr>
              <w:t>6.1</w:t>
            </w:r>
          </w:p>
        </w:tc>
        <w:tc>
          <w:tcPr>
            <w:cnfStyle w:val="000100000000" w:firstRow="0" w:lastRow="0" w:firstColumn="0" w:lastColumn="1" w:oddVBand="0" w:evenVBand="0" w:oddHBand="0" w:evenHBand="0" w:firstRowFirstColumn="0" w:firstRowLastColumn="0" w:lastRowFirstColumn="0" w:lastRowLastColumn="0"/>
            <w:tcW w:w="9072" w:type="dxa"/>
          </w:tcPr>
          <w:p w:rsidR="00BB5F0C" w:rsidRDefault="0086191B" w:rsidP="00346D39">
            <w:pPr>
              <w:jc w:val="both"/>
              <w:rPr>
                <w:sz w:val="22"/>
                <w:szCs w:val="22"/>
              </w:rPr>
            </w:pPr>
            <w:r w:rsidRPr="007C1C6B">
              <w:rPr>
                <w:sz w:val="22"/>
                <w:szCs w:val="22"/>
              </w:rPr>
              <w:t xml:space="preserve">The </w:t>
            </w:r>
            <w:r w:rsidR="0053567A">
              <w:rPr>
                <w:sz w:val="22"/>
                <w:szCs w:val="22"/>
              </w:rPr>
              <w:t xml:space="preserve">overall Council </w:t>
            </w:r>
            <w:r w:rsidRPr="007C1C6B">
              <w:rPr>
                <w:sz w:val="22"/>
                <w:szCs w:val="22"/>
              </w:rPr>
              <w:t xml:space="preserve">Medium Term Financial </w:t>
            </w:r>
            <w:r w:rsidR="00667FF6" w:rsidRPr="007C1C6B">
              <w:rPr>
                <w:sz w:val="22"/>
                <w:szCs w:val="22"/>
              </w:rPr>
              <w:t>Plan</w:t>
            </w:r>
            <w:r w:rsidRPr="007C1C6B">
              <w:rPr>
                <w:sz w:val="22"/>
                <w:szCs w:val="22"/>
              </w:rPr>
              <w:t xml:space="preserve"> (MTF</w:t>
            </w:r>
            <w:r w:rsidR="00667FF6" w:rsidRPr="007C1C6B">
              <w:rPr>
                <w:sz w:val="22"/>
                <w:szCs w:val="22"/>
              </w:rPr>
              <w:t>P</w:t>
            </w:r>
            <w:r w:rsidRPr="007C1C6B">
              <w:rPr>
                <w:sz w:val="22"/>
                <w:szCs w:val="22"/>
              </w:rPr>
              <w:t xml:space="preserve">) </w:t>
            </w:r>
            <w:r w:rsidRPr="003F7458">
              <w:rPr>
                <w:sz w:val="22"/>
                <w:szCs w:val="22"/>
              </w:rPr>
              <w:t xml:space="preserve">at </w:t>
            </w:r>
            <w:r w:rsidRPr="003F7458">
              <w:rPr>
                <w:b/>
                <w:sz w:val="22"/>
                <w:szCs w:val="22"/>
              </w:rPr>
              <w:t>Appendix 1</w:t>
            </w:r>
            <w:r w:rsidRPr="002A1193">
              <w:rPr>
                <w:sz w:val="22"/>
                <w:szCs w:val="22"/>
              </w:rPr>
              <w:t xml:space="preserve"> </w:t>
            </w:r>
            <w:r w:rsidRPr="007C1C6B">
              <w:rPr>
                <w:sz w:val="22"/>
                <w:szCs w:val="22"/>
              </w:rPr>
              <w:t>indicates a budget requirement</w:t>
            </w:r>
            <w:r w:rsidR="00C40134" w:rsidRPr="007C1C6B">
              <w:rPr>
                <w:sz w:val="22"/>
                <w:szCs w:val="22"/>
              </w:rPr>
              <w:t xml:space="preserve"> (net expenditure)</w:t>
            </w:r>
            <w:r w:rsidRPr="007C1C6B">
              <w:rPr>
                <w:sz w:val="22"/>
                <w:szCs w:val="22"/>
              </w:rPr>
              <w:t xml:space="preserve"> for </w:t>
            </w:r>
            <w:r w:rsidR="00BF40B4">
              <w:rPr>
                <w:sz w:val="22"/>
                <w:szCs w:val="22"/>
              </w:rPr>
              <w:t>2018/19</w:t>
            </w:r>
            <w:r w:rsidRPr="007C1C6B">
              <w:rPr>
                <w:sz w:val="22"/>
                <w:szCs w:val="22"/>
              </w:rPr>
              <w:t xml:space="preserve"> </w:t>
            </w:r>
            <w:r w:rsidRPr="00E302B9">
              <w:rPr>
                <w:sz w:val="22"/>
                <w:szCs w:val="22"/>
              </w:rPr>
              <w:t xml:space="preserve">of </w:t>
            </w:r>
            <w:r w:rsidRPr="00E302B9">
              <w:rPr>
                <w:b/>
                <w:sz w:val="22"/>
                <w:szCs w:val="22"/>
              </w:rPr>
              <w:t>£</w:t>
            </w:r>
            <w:r w:rsidR="005E71AE">
              <w:rPr>
                <w:b/>
                <w:sz w:val="22"/>
                <w:szCs w:val="22"/>
              </w:rPr>
              <w:t>11,646,852</w:t>
            </w:r>
            <w:r w:rsidR="005E71AE">
              <w:rPr>
                <w:sz w:val="22"/>
                <w:szCs w:val="22"/>
              </w:rPr>
              <w:t>.</w:t>
            </w:r>
            <w:r w:rsidR="009F3C0B">
              <w:rPr>
                <w:b/>
                <w:color w:val="4F81BD" w:themeColor="accent1"/>
                <w:sz w:val="22"/>
                <w:szCs w:val="22"/>
              </w:rPr>
              <w:t xml:space="preserve"> </w:t>
            </w:r>
            <w:r w:rsidR="009F3C0B" w:rsidRPr="009F3C0B">
              <w:rPr>
                <w:sz w:val="22"/>
                <w:szCs w:val="22"/>
              </w:rPr>
              <w:t>This will be funded from a number of sources, which are detailed in</w:t>
            </w:r>
            <w:r w:rsidRPr="009F3C0B">
              <w:rPr>
                <w:sz w:val="22"/>
                <w:szCs w:val="22"/>
              </w:rPr>
              <w:t xml:space="preserve"> </w:t>
            </w:r>
            <w:r w:rsidR="009F3C0B" w:rsidRPr="009F3C0B">
              <w:rPr>
                <w:sz w:val="22"/>
                <w:szCs w:val="22"/>
              </w:rPr>
              <w:t>the following paragraphs</w:t>
            </w:r>
            <w:r w:rsidR="00B16F41">
              <w:rPr>
                <w:sz w:val="22"/>
                <w:szCs w:val="22"/>
              </w:rPr>
              <w:t>.</w:t>
            </w:r>
          </w:p>
          <w:p w:rsidR="00353FEC" w:rsidRPr="00CF7499" w:rsidRDefault="00353FEC" w:rsidP="00346D39">
            <w:pPr>
              <w:jc w:val="both"/>
              <w:rPr>
                <w:color w:val="4F81BD" w:themeColor="accent1"/>
                <w:sz w:val="22"/>
                <w:szCs w:val="22"/>
              </w:rPr>
            </w:pPr>
          </w:p>
        </w:tc>
      </w:tr>
      <w:tr w:rsidR="00CF7499" w:rsidRPr="00CF7499" w:rsidTr="002D171E">
        <w:trPr>
          <w:gridBefore w:val="1"/>
          <w:wBefore w:w="34" w:type="dxa"/>
          <w:trHeight w:val="508"/>
        </w:trPr>
        <w:tc>
          <w:tcPr>
            <w:cnfStyle w:val="001000000000" w:firstRow="0" w:lastRow="0" w:firstColumn="1" w:lastColumn="0" w:oddVBand="0" w:evenVBand="0" w:oddHBand="0" w:evenHBand="0" w:firstRowFirstColumn="0" w:firstRowLastColumn="0" w:lastRowFirstColumn="0" w:lastRowLastColumn="0"/>
            <w:tcW w:w="959" w:type="dxa"/>
          </w:tcPr>
          <w:p w:rsidR="0086191B" w:rsidRPr="00B16F41" w:rsidRDefault="0086191B" w:rsidP="001E0F67">
            <w:pPr>
              <w:tabs>
                <w:tab w:val="left" w:pos="2835"/>
              </w:tabs>
              <w:jc w:val="both"/>
              <w:rPr>
                <w:rFonts w:cs="Arial"/>
                <w:sz w:val="22"/>
                <w:szCs w:val="22"/>
              </w:rPr>
            </w:pPr>
            <w:r w:rsidRPr="00B16F41">
              <w:rPr>
                <w:rFonts w:cs="Arial"/>
                <w:sz w:val="22"/>
                <w:szCs w:val="22"/>
              </w:rPr>
              <w:t>6.2</w:t>
            </w:r>
          </w:p>
          <w:p w:rsidR="0086191B" w:rsidRPr="00B16F41" w:rsidRDefault="0086191B" w:rsidP="001E0F67">
            <w:pPr>
              <w:tabs>
                <w:tab w:val="left" w:pos="2835"/>
              </w:tabs>
              <w:jc w:val="both"/>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86191B" w:rsidRPr="00A66EC8" w:rsidRDefault="0086191B" w:rsidP="00F47108">
            <w:pPr>
              <w:jc w:val="both"/>
              <w:rPr>
                <w:rFonts w:cs="Arial"/>
                <w:b/>
                <w:i/>
                <w:sz w:val="22"/>
                <w:szCs w:val="22"/>
              </w:rPr>
            </w:pPr>
            <w:r w:rsidRPr="00A66EC8">
              <w:rPr>
                <w:b/>
                <w:sz w:val="22"/>
                <w:szCs w:val="22"/>
              </w:rPr>
              <w:t xml:space="preserve">Government </w:t>
            </w:r>
            <w:r w:rsidR="00F47108">
              <w:rPr>
                <w:b/>
                <w:sz w:val="22"/>
                <w:szCs w:val="22"/>
              </w:rPr>
              <w:t xml:space="preserve">Grant </w:t>
            </w:r>
          </w:p>
        </w:tc>
      </w:tr>
      <w:tr w:rsidR="00CF7499" w:rsidRPr="00CF7499" w:rsidTr="002D171E">
        <w:trPr>
          <w:gridBefore w:val="1"/>
          <w:wBefore w:w="34" w:type="dxa"/>
          <w:trHeight w:val="740"/>
        </w:trPr>
        <w:tc>
          <w:tcPr>
            <w:cnfStyle w:val="001000000000" w:firstRow="0" w:lastRow="0" w:firstColumn="1" w:lastColumn="0" w:oddVBand="0" w:evenVBand="0" w:oddHBand="0" w:evenHBand="0" w:firstRowFirstColumn="0" w:firstRowLastColumn="0" w:lastRowFirstColumn="0" w:lastRowLastColumn="0"/>
            <w:tcW w:w="959" w:type="dxa"/>
          </w:tcPr>
          <w:p w:rsidR="0066249D" w:rsidRPr="005E538B" w:rsidRDefault="0066249D" w:rsidP="001E0F67">
            <w:pPr>
              <w:tabs>
                <w:tab w:val="left" w:pos="2835"/>
              </w:tabs>
              <w:jc w:val="both"/>
              <w:rPr>
                <w:rFonts w:cs="Arial"/>
                <w:sz w:val="22"/>
                <w:szCs w:val="22"/>
              </w:rPr>
            </w:pPr>
            <w:r w:rsidRPr="005E538B">
              <w:rPr>
                <w:rFonts w:cs="Arial"/>
                <w:sz w:val="22"/>
                <w:szCs w:val="22"/>
              </w:rPr>
              <w:t>6.2.1</w:t>
            </w:r>
          </w:p>
          <w:p w:rsidR="00BC7E45" w:rsidRPr="005E538B" w:rsidRDefault="00BC7E45" w:rsidP="001E0F67">
            <w:pPr>
              <w:tabs>
                <w:tab w:val="left" w:pos="2835"/>
              </w:tabs>
              <w:jc w:val="both"/>
              <w:rPr>
                <w:rFonts w:cs="Arial"/>
                <w:sz w:val="22"/>
                <w:szCs w:val="22"/>
              </w:rPr>
            </w:pPr>
          </w:p>
          <w:p w:rsidR="00BC7E45" w:rsidRPr="005E538B" w:rsidRDefault="00BC7E45" w:rsidP="001E0F67">
            <w:pPr>
              <w:tabs>
                <w:tab w:val="left" w:pos="2835"/>
              </w:tabs>
              <w:jc w:val="both"/>
              <w:rPr>
                <w:rFonts w:cs="Arial"/>
                <w:sz w:val="22"/>
                <w:szCs w:val="22"/>
              </w:rPr>
            </w:pPr>
          </w:p>
          <w:p w:rsidR="00BC7E45" w:rsidRPr="005E538B" w:rsidRDefault="00BC7E45" w:rsidP="001E0F67">
            <w:pPr>
              <w:tabs>
                <w:tab w:val="left" w:pos="2835"/>
              </w:tabs>
              <w:jc w:val="both"/>
              <w:rPr>
                <w:rFonts w:cs="Arial"/>
                <w:sz w:val="22"/>
                <w:szCs w:val="22"/>
              </w:rPr>
            </w:pPr>
          </w:p>
          <w:p w:rsidR="00BC7E45" w:rsidRPr="005E538B" w:rsidRDefault="00BC7E45" w:rsidP="001E0F67">
            <w:pPr>
              <w:tabs>
                <w:tab w:val="left" w:pos="2835"/>
              </w:tabs>
              <w:jc w:val="both"/>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66249D" w:rsidRPr="005E538B" w:rsidRDefault="000C07E2" w:rsidP="0066249D">
            <w:pPr>
              <w:tabs>
                <w:tab w:val="left" w:pos="360"/>
                <w:tab w:val="left" w:pos="900"/>
              </w:tabs>
              <w:jc w:val="both"/>
              <w:rPr>
                <w:sz w:val="22"/>
                <w:szCs w:val="22"/>
              </w:rPr>
            </w:pPr>
            <w:r w:rsidRPr="0095613F">
              <w:rPr>
                <w:rFonts w:cs="Arial"/>
                <w:sz w:val="22"/>
                <w:szCs w:val="22"/>
              </w:rPr>
              <w:t>Government funding has continued to diminish since the austerity measures were introduced in 2010.</w:t>
            </w:r>
            <w:r w:rsidR="002A1193" w:rsidRPr="0095613F">
              <w:rPr>
                <w:rFonts w:cs="Arial"/>
                <w:sz w:val="22"/>
                <w:szCs w:val="22"/>
              </w:rPr>
              <w:t xml:space="preserve"> </w:t>
            </w:r>
            <w:r w:rsidR="00B835FD" w:rsidRPr="0095613F">
              <w:rPr>
                <w:rFonts w:cs="Arial"/>
                <w:sz w:val="22"/>
                <w:szCs w:val="22"/>
              </w:rPr>
              <w:t xml:space="preserve"> </w:t>
            </w:r>
            <w:r w:rsidR="00281605" w:rsidRPr="0095613F">
              <w:rPr>
                <w:rFonts w:cs="Arial"/>
                <w:sz w:val="22"/>
                <w:szCs w:val="22"/>
              </w:rPr>
              <w:t xml:space="preserve">To provide some </w:t>
            </w:r>
            <w:r w:rsidR="00F83758" w:rsidRPr="0095613F">
              <w:rPr>
                <w:rFonts w:cs="Arial"/>
                <w:sz w:val="22"/>
                <w:szCs w:val="22"/>
              </w:rPr>
              <w:t>certainty</w:t>
            </w:r>
            <w:r w:rsidR="00281605" w:rsidRPr="0095613F">
              <w:rPr>
                <w:rFonts w:cs="Arial"/>
                <w:sz w:val="22"/>
                <w:szCs w:val="22"/>
              </w:rPr>
              <w:t xml:space="preserve"> </w:t>
            </w:r>
            <w:r w:rsidR="00B835FD" w:rsidRPr="0095613F">
              <w:rPr>
                <w:rFonts w:cs="Arial"/>
                <w:sz w:val="22"/>
                <w:szCs w:val="22"/>
              </w:rPr>
              <w:t>the Policy and Resources Committee</w:t>
            </w:r>
            <w:r w:rsidR="00F83758" w:rsidRPr="0095613F">
              <w:rPr>
                <w:rFonts w:cs="Arial"/>
                <w:sz w:val="22"/>
                <w:szCs w:val="22"/>
              </w:rPr>
              <w:t xml:space="preserve"> agreed on </w:t>
            </w:r>
            <w:r w:rsidR="00B835FD" w:rsidRPr="0095613F">
              <w:rPr>
                <w:rFonts w:cs="Arial"/>
                <w:sz w:val="22"/>
                <w:szCs w:val="22"/>
              </w:rPr>
              <w:t>6 October 2016</w:t>
            </w:r>
            <w:r w:rsidR="00F83758" w:rsidRPr="0095613F">
              <w:rPr>
                <w:rFonts w:cs="Arial"/>
                <w:sz w:val="22"/>
                <w:szCs w:val="22"/>
              </w:rPr>
              <w:t xml:space="preserve"> (Minute No. </w:t>
            </w:r>
            <w:r w:rsidR="00B835FD" w:rsidRPr="0095613F">
              <w:rPr>
                <w:rFonts w:cs="Arial"/>
                <w:sz w:val="22"/>
                <w:szCs w:val="22"/>
              </w:rPr>
              <w:t>PR54</w:t>
            </w:r>
            <w:r w:rsidR="00F83758" w:rsidRPr="0095613F">
              <w:rPr>
                <w:rFonts w:cs="Arial"/>
                <w:sz w:val="22"/>
                <w:szCs w:val="22"/>
              </w:rPr>
              <w:t>/16 refers) to accept the Government’s offer of a four year settlement</w:t>
            </w:r>
            <w:r w:rsidR="0066249D" w:rsidRPr="0095613F">
              <w:rPr>
                <w:rFonts w:cs="Arial"/>
                <w:sz w:val="22"/>
                <w:szCs w:val="22"/>
              </w:rPr>
              <w:t xml:space="preserve">. </w:t>
            </w:r>
            <w:r w:rsidR="0066249D" w:rsidRPr="0095613F">
              <w:rPr>
                <w:sz w:val="22"/>
                <w:szCs w:val="22"/>
              </w:rPr>
              <w:t>These amounts have been included in the MTFP</w:t>
            </w:r>
            <w:r w:rsidR="0066249D" w:rsidRPr="005E538B">
              <w:rPr>
                <w:sz w:val="22"/>
                <w:szCs w:val="22"/>
              </w:rPr>
              <w:t>.</w:t>
            </w:r>
            <w:r w:rsidR="005E538B" w:rsidRPr="005E538B">
              <w:rPr>
                <w:sz w:val="22"/>
                <w:szCs w:val="22"/>
              </w:rPr>
              <w:t xml:space="preserve">  The provisional settlement in December 2017 confirmed these amounts.</w:t>
            </w:r>
          </w:p>
          <w:p w:rsidR="001D291A" w:rsidRPr="00BF40B4" w:rsidRDefault="001D291A" w:rsidP="00E066AB">
            <w:pPr>
              <w:jc w:val="both"/>
              <w:rPr>
                <w:color w:val="4F81BD" w:themeColor="accent1"/>
                <w:sz w:val="22"/>
                <w:szCs w:val="22"/>
              </w:rPr>
            </w:pPr>
          </w:p>
        </w:tc>
      </w:tr>
      <w:tr w:rsidR="005E538B" w:rsidRPr="00CF7499" w:rsidTr="005E538B">
        <w:trPr>
          <w:gridBefore w:val="1"/>
          <w:wBefore w:w="34" w:type="dxa"/>
          <w:trHeight w:val="442"/>
        </w:trPr>
        <w:tc>
          <w:tcPr>
            <w:cnfStyle w:val="001000000000" w:firstRow="0" w:lastRow="0" w:firstColumn="1" w:lastColumn="0" w:oddVBand="0" w:evenVBand="0" w:oddHBand="0" w:evenHBand="0" w:firstRowFirstColumn="0" w:firstRowLastColumn="0" w:lastRowFirstColumn="0" w:lastRowLastColumn="0"/>
            <w:tcW w:w="959" w:type="dxa"/>
          </w:tcPr>
          <w:p w:rsidR="005E538B" w:rsidRPr="005E538B" w:rsidRDefault="005E538B" w:rsidP="005E538B">
            <w:pPr>
              <w:tabs>
                <w:tab w:val="left" w:pos="2835"/>
              </w:tabs>
              <w:jc w:val="both"/>
              <w:rPr>
                <w:rFonts w:cs="Arial"/>
                <w:sz w:val="22"/>
                <w:szCs w:val="22"/>
              </w:rPr>
            </w:pPr>
            <w:r w:rsidRPr="005E538B">
              <w:rPr>
                <w:rFonts w:cs="Arial"/>
                <w:sz w:val="22"/>
                <w:szCs w:val="22"/>
              </w:rPr>
              <w:t>6.3</w:t>
            </w:r>
          </w:p>
          <w:p w:rsidR="005E538B" w:rsidRPr="005E538B" w:rsidRDefault="005E538B" w:rsidP="001E0F67">
            <w:pPr>
              <w:tabs>
                <w:tab w:val="left" w:pos="2835"/>
              </w:tabs>
              <w:jc w:val="both"/>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5E538B" w:rsidRPr="0095613F" w:rsidRDefault="005E538B" w:rsidP="005E538B">
            <w:pPr>
              <w:tabs>
                <w:tab w:val="left" w:pos="2835"/>
              </w:tabs>
              <w:jc w:val="both"/>
              <w:rPr>
                <w:rFonts w:cs="Arial"/>
                <w:sz w:val="22"/>
                <w:szCs w:val="22"/>
              </w:rPr>
            </w:pPr>
            <w:r w:rsidRPr="0095613F">
              <w:rPr>
                <w:rFonts w:cs="Arial"/>
                <w:b/>
                <w:sz w:val="22"/>
                <w:szCs w:val="22"/>
              </w:rPr>
              <w:t xml:space="preserve">Revenue Support </w:t>
            </w:r>
            <w:r w:rsidRPr="005E538B">
              <w:rPr>
                <w:rFonts w:cs="Arial"/>
                <w:b/>
                <w:sz w:val="22"/>
                <w:szCs w:val="22"/>
              </w:rPr>
              <w:t>Grant (RSG)</w:t>
            </w:r>
            <w:r w:rsidRPr="0095613F">
              <w:rPr>
                <w:rFonts w:cs="Arial"/>
                <w:sz w:val="22"/>
                <w:szCs w:val="22"/>
              </w:rPr>
              <w:t xml:space="preserve"> </w:t>
            </w:r>
          </w:p>
          <w:p w:rsidR="005E538B" w:rsidRPr="0095613F" w:rsidRDefault="005E538B" w:rsidP="0066249D">
            <w:pPr>
              <w:tabs>
                <w:tab w:val="left" w:pos="360"/>
                <w:tab w:val="left" w:pos="900"/>
              </w:tabs>
              <w:jc w:val="both"/>
              <w:rPr>
                <w:rFonts w:cs="Arial"/>
                <w:sz w:val="22"/>
                <w:szCs w:val="22"/>
              </w:rPr>
            </w:pPr>
          </w:p>
        </w:tc>
      </w:tr>
      <w:tr w:rsidR="005E538B" w:rsidRPr="00CF7499" w:rsidTr="002D171E">
        <w:trPr>
          <w:gridBefore w:val="1"/>
          <w:wBefore w:w="34" w:type="dxa"/>
          <w:trHeight w:val="740"/>
        </w:trPr>
        <w:tc>
          <w:tcPr>
            <w:cnfStyle w:val="001000000000" w:firstRow="0" w:lastRow="0" w:firstColumn="1" w:lastColumn="0" w:oddVBand="0" w:evenVBand="0" w:oddHBand="0" w:evenHBand="0" w:firstRowFirstColumn="0" w:firstRowLastColumn="0" w:lastRowFirstColumn="0" w:lastRowLastColumn="0"/>
            <w:tcW w:w="959" w:type="dxa"/>
          </w:tcPr>
          <w:p w:rsidR="005E538B" w:rsidRPr="005E538B" w:rsidRDefault="005E538B" w:rsidP="001E0F67">
            <w:pPr>
              <w:tabs>
                <w:tab w:val="left" w:pos="2835"/>
              </w:tabs>
              <w:jc w:val="both"/>
              <w:rPr>
                <w:rFonts w:cs="Arial"/>
                <w:sz w:val="22"/>
                <w:szCs w:val="22"/>
              </w:rPr>
            </w:pPr>
            <w:r w:rsidRPr="005E538B">
              <w:rPr>
                <w:rFonts w:cs="Arial"/>
                <w:sz w:val="22"/>
                <w:szCs w:val="22"/>
              </w:rPr>
              <w:t>6.3.1</w:t>
            </w:r>
          </w:p>
        </w:tc>
        <w:tc>
          <w:tcPr>
            <w:cnfStyle w:val="000100000000" w:firstRow="0" w:lastRow="0" w:firstColumn="0" w:lastColumn="1" w:oddVBand="0" w:evenVBand="0" w:oddHBand="0" w:evenHBand="0" w:firstRowFirstColumn="0" w:firstRowLastColumn="0" w:lastRowFirstColumn="0" w:lastRowLastColumn="0"/>
            <w:tcW w:w="9072" w:type="dxa"/>
          </w:tcPr>
          <w:p w:rsidR="005E538B" w:rsidRDefault="005E538B" w:rsidP="005E538B">
            <w:pPr>
              <w:tabs>
                <w:tab w:val="left" w:pos="360"/>
                <w:tab w:val="left" w:pos="900"/>
              </w:tabs>
              <w:jc w:val="both"/>
              <w:rPr>
                <w:rFonts w:cs="Arial"/>
                <w:sz w:val="22"/>
                <w:szCs w:val="22"/>
              </w:rPr>
            </w:pPr>
            <w:r w:rsidRPr="0095613F">
              <w:rPr>
                <w:rFonts w:cs="Arial"/>
                <w:sz w:val="22"/>
                <w:szCs w:val="22"/>
              </w:rPr>
              <w:t>The RSG element of Government funding reduces to zero in 2019/20. The chart below shows the cumulative reductions over the medium term.</w:t>
            </w:r>
          </w:p>
          <w:p w:rsidR="005E538B" w:rsidRPr="0095613F" w:rsidRDefault="005E538B" w:rsidP="005E538B">
            <w:pPr>
              <w:tabs>
                <w:tab w:val="left" w:pos="360"/>
                <w:tab w:val="left" w:pos="900"/>
              </w:tabs>
              <w:jc w:val="both"/>
              <w:rPr>
                <w:rFonts w:cs="Arial"/>
                <w:sz w:val="22"/>
                <w:szCs w:val="22"/>
              </w:rPr>
            </w:pPr>
          </w:p>
          <w:p w:rsidR="005E538B" w:rsidRPr="0095613F" w:rsidRDefault="005E538B" w:rsidP="0066249D">
            <w:pPr>
              <w:tabs>
                <w:tab w:val="left" w:pos="360"/>
                <w:tab w:val="left" w:pos="900"/>
              </w:tabs>
              <w:jc w:val="both"/>
              <w:rPr>
                <w:rFonts w:cs="Arial"/>
                <w:sz w:val="22"/>
                <w:szCs w:val="22"/>
              </w:rPr>
            </w:pPr>
            <w:r w:rsidRPr="00BF40B4">
              <w:rPr>
                <w:rFonts w:cs="Arial"/>
                <w:noProof/>
                <w:color w:val="4F81BD" w:themeColor="accent1"/>
                <w:sz w:val="22"/>
                <w:szCs w:val="22"/>
                <w:lang w:eastAsia="en-GB"/>
              </w:rPr>
              <w:lastRenderedPageBreak/>
              <w:drawing>
                <wp:inline distT="0" distB="0" distL="0" distR="0" wp14:anchorId="5A58E071" wp14:editId="1EA73016">
                  <wp:extent cx="4834393" cy="1841279"/>
                  <wp:effectExtent l="0" t="0" r="23495" b="2603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CF7499" w:rsidRPr="00CF7499" w:rsidTr="002D171E">
        <w:trPr>
          <w:gridBefore w:val="1"/>
          <w:wBefore w:w="34" w:type="dxa"/>
          <w:trHeight w:val="463"/>
        </w:trPr>
        <w:tc>
          <w:tcPr>
            <w:cnfStyle w:val="001000000000" w:firstRow="0" w:lastRow="0" w:firstColumn="1" w:lastColumn="0" w:oddVBand="0" w:evenVBand="0" w:oddHBand="0" w:evenHBand="0" w:firstRowFirstColumn="0" w:firstRowLastColumn="0" w:lastRowFirstColumn="0" w:lastRowLastColumn="0"/>
            <w:tcW w:w="959" w:type="dxa"/>
          </w:tcPr>
          <w:p w:rsidR="0022044C" w:rsidRDefault="0022044C" w:rsidP="001E0F67">
            <w:pPr>
              <w:jc w:val="both"/>
              <w:rPr>
                <w:rFonts w:cs="Arial"/>
                <w:sz w:val="22"/>
                <w:szCs w:val="22"/>
              </w:rPr>
            </w:pPr>
          </w:p>
          <w:p w:rsidR="008E3095" w:rsidRPr="00DD6E29" w:rsidRDefault="0024522C" w:rsidP="0083599F">
            <w:pPr>
              <w:jc w:val="both"/>
              <w:rPr>
                <w:rFonts w:cs="Arial"/>
                <w:sz w:val="22"/>
                <w:szCs w:val="22"/>
              </w:rPr>
            </w:pPr>
            <w:r>
              <w:rPr>
                <w:rFonts w:cs="Arial"/>
                <w:sz w:val="22"/>
                <w:szCs w:val="22"/>
              </w:rPr>
              <w:t>6.4</w:t>
            </w:r>
          </w:p>
        </w:tc>
        <w:tc>
          <w:tcPr>
            <w:cnfStyle w:val="000100000000" w:firstRow="0" w:lastRow="0" w:firstColumn="0" w:lastColumn="1" w:oddVBand="0" w:evenVBand="0" w:oddHBand="0" w:evenHBand="0" w:firstRowFirstColumn="0" w:firstRowLastColumn="0" w:lastRowFirstColumn="0" w:lastRowLastColumn="0"/>
            <w:tcW w:w="9072" w:type="dxa"/>
          </w:tcPr>
          <w:p w:rsidR="0022044C" w:rsidRPr="003C3FF6" w:rsidRDefault="0022044C" w:rsidP="001E0F67">
            <w:pPr>
              <w:jc w:val="both"/>
              <w:rPr>
                <w:b/>
                <w:sz w:val="22"/>
              </w:rPr>
            </w:pPr>
          </w:p>
          <w:p w:rsidR="002A1193" w:rsidRPr="003C3FF6" w:rsidRDefault="004776AF" w:rsidP="000C07E2">
            <w:pPr>
              <w:tabs>
                <w:tab w:val="left" w:pos="1418"/>
                <w:tab w:val="left" w:pos="2520"/>
              </w:tabs>
              <w:jc w:val="both"/>
              <w:rPr>
                <w:rFonts w:cs="Arial"/>
                <w:b/>
                <w:sz w:val="22"/>
                <w:szCs w:val="22"/>
                <w:lang w:eastAsia="en-GB"/>
              </w:rPr>
            </w:pPr>
            <w:r w:rsidRPr="003C3FF6">
              <w:rPr>
                <w:rFonts w:cs="Arial"/>
                <w:b/>
                <w:sz w:val="22"/>
                <w:szCs w:val="22"/>
                <w:lang w:eastAsia="en-GB"/>
              </w:rPr>
              <w:t>Business rates</w:t>
            </w:r>
          </w:p>
          <w:p w:rsidR="006F4E27" w:rsidRPr="003C3FF6" w:rsidRDefault="006F4E27" w:rsidP="005E538B">
            <w:pPr>
              <w:rPr>
                <w:rFonts w:cs="Arial"/>
                <w:b/>
                <w:sz w:val="22"/>
                <w:szCs w:val="22"/>
              </w:rPr>
            </w:pPr>
          </w:p>
        </w:tc>
      </w:tr>
      <w:tr w:rsidR="005E538B" w:rsidRPr="00CF7499" w:rsidTr="002D171E">
        <w:trPr>
          <w:gridBefore w:val="1"/>
          <w:wBefore w:w="34" w:type="dxa"/>
          <w:trHeight w:val="463"/>
        </w:trPr>
        <w:tc>
          <w:tcPr>
            <w:cnfStyle w:val="001000000000" w:firstRow="0" w:lastRow="0" w:firstColumn="1" w:lastColumn="0" w:oddVBand="0" w:evenVBand="0" w:oddHBand="0" w:evenHBand="0" w:firstRowFirstColumn="0" w:firstRowLastColumn="0" w:lastRowFirstColumn="0" w:lastRowLastColumn="0"/>
            <w:tcW w:w="959" w:type="dxa"/>
          </w:tcPr>
          <w:p w:rsidR="003C3FF6" w:rsidRDefault="003C3FF6" w:rsidP="003C3FF6">
            <w:pPr>
              <w:jc w:val="both"/>
              <w:rPr>
                <w:rFonts w:cs="Arial"/>
                <w:sz w:val="22"/>
                <w:szCs w:val="22"/>
              </w:rPr>
            </w:pPr>
            <w:r>
              <w:rPr>
                <w:rFonts w:cs="Arial"/>
                <w:sz w:val="22"/>
                <w:szCs w:val="22"/>
              </w:rPr>
              <w:t>6.4.1</w:t>
            </w:r>
          </w:p>
          <w:p w:rsidR="005E538B" w:rsidRDefault="005E538B" w:rsidP="001E0F67">
            <w:pPr>
              <w:jc w:val="both"/>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5E538B" w:rsidRPr="003C3FF6" w:rsidRDefault="005E538B" w:rsidP="005E538B">
            <w:pPr>
              <w:tabs>
                <w:tab w:val="left" w:pos="1418"/>
                <w:tab w:val="left" w:pos="2520"/>
              </w:tabs>
              <w:jc w:val="both"/>
              <w:rPr>
                <w:rFonts w:cs="Arial"/>
                <w:sz w:val="22"/>
                <w:szCs w:val="22"/>
                <w:lang w:eastAsia="en-GB"/>
              </w:rPr>
            </w:pPr>
            <w:r w:rsidRPr="003C3FF6">
              <w:rPr>
                <w:rFonts w:cs="Arial"/>
                <w:sz w:val="22"/>
                <w:szCs w:val="22"/>
                <w:lang w:eastAsia="en-GB"/>
              </w:rPr>
              <w:t>Business rates</w:t>
            </w:r>
            <w:r w:rsidRPr="003C3FF6">
              <w:rPr>
                <w:rFonts w:cs="Arial"/>
                <w:b/>
                <w:sz w:val="22"/>
                <w:szCs w:val="22"/>
                <w:lang w:eastAsia="en-GB"/>
              </w:rPr>
              <w:t xml:space="preserve"> </w:t>
            </w:r>
            <w:r w:rsidRPr="003C3FF6">
              <w:rPr>
                <w:rFonts w:cs="Arial"/>
                <w:sz w:val="22"/>
                <w:szCs w:val="22"/>
                <w:lang w:eastAsia="en-GB"/>
              </w:rPr>
              <w:t>are collected by the Council, and the proceeds are shared between the District and County Council, and also with central Government to fund services.  There is an element of risk and reward involved in the Business Rates scheme, which is designed to incentivise Councils to promote business growth within their areas.  The Council expects its share of business rates to be £1.91</w:t>
            </w:r>
            <w:r w:rsidR="003C3FF6" w:rsidRPr="003C3FF6">
              <w:rPr>
                <w:rFonts w:cs="Arial"/>
                <w:sz w:val="22"/>
                <w:szCs w:val="22"/>
                <w:lang w:eastAsia="en-GB"/>
              </w:rPr>
              <w:t>9</w:t>
            </w:r>
            <w:r w:rsidRPr="003C3FF6">
              <w:rPr>
                <w:rFonts w:cs="Arial"/>
                <w:sz w:val="22"/>
                <w:szCs w:val="22"/>
                <w:lang w:eastAsia="en-GB"/>
              </w:rPr>
              <w:t xml:space="preserve"> million</w:t>
            </w:r>
            <w:r w:rsidRPr="003C3FF6">
              <w:rPr>
                <w:rFonts w:cs="Arial"/>
                <w:b/>
                <w:sz w:val="22"/>
                <w:szCs w:val="22"/>
                <w:lang w:eastAsia="en-GB"/>
              </w:rPr>
              <w:t xml:space="preserve"> </w:t>
            </w:r>
            <w:r w:rsidRPr="003C3FF6">
              <w:rPr>
                <w:rFonts w:cs="Arial"/>
                <w:sz w:val="22"/>
                <w:szCs w:val="22"/>
                <w:lang w:eastAsia="en-GB"/>
              </w:rPr>
              <w:t>in 201</w:t>
            </w:r>
            <w:r w:rsidR="003C3FF6" w:rsidRPr="003C3FF6">
              <w:rPr>
                <w:rFonts w:cs="Arial"/>
                <w:sz w:val="22"/>
                <w:szCs w:val="22"/>
                <w:lang w:eastAsia="en-GB"/>
              </w:rPr>
              <w:t>8</w:t>
            </w:r>
            <w:r w:rsidRPr="003C3FF6">
              <w:rPr>
                <w:rFonts w:cs="Arial"/>
                <w:sz w:val="22"/>
                <w:szCs w:val="22"/>
                <w:lang w:eastAsia="en-GB"/>
              </w:rPr>
              <w:t>/1</w:t>
            </w:r>
            <w:r w:rsidR="003C3FF6" w:rsidRPr="003C3FF6">
              <w:rPr>
                <w:rFonts w:cs="Arial"/>
                <w:sz w:val="22"/>
                <w:szCs w:val="22"/>
                <w:lang w:eastAsia="en-GB"/>
              </w:rPr>
              <w:t>9</w:t>
            </w:r>
            <w:r w:rsidRPr="003C3FF6">
              <w:rPr>
                <w:rFonts w:cs="Arial"/>
                <w:sz w:val="22"/>
                <w:szCs w:val="22"/>
                <w:lang w:eastAsia="en-GB"/>
              </w:rPr>
              <w:t xml:space="preserve">. </w:t>
            </w:r>
            <w:r w:rsidRPr="003C3FF6">
              <w:rPr>
                <w:rFonts w:cs="Arial"/>
                <w:sz w:val="22"/>
                <w:szCs w:val="22"/>
              </w:rPr>
              <w:t xml:space="preserve">The business rates retention scheme is volatile and estimating the outturn is complex due to factors such as appeals, demolitions, new builds, occupation and reliefs. </w:t>
            </w:r>
            <w:r w:rsidRPr="003C3FF6">
              <w:rPr>
                <w:rFonts w:cs="Arial"/>
                <w:sz w:val="22"/>
                <w:szCs w:val="22"/>
                <w:lang w:eastAsia="en-GB"/>
              </w:rPr>
              <w:t>Future plans for 100% rate retention are yet to be published by Central Government.  The MTFP allows for business rate growth of £</w:t>
            </w:r>
            <w:r w:rsidR="003C3FF6" w:rsidRPr="003C3FF6">
              <w:rPr>
                <w:rFonts w:cs="Arial"/>
                <w:sz w:val="22"/>
                <w:szCs w:val="22"/>
                <w:lang w:eastAsia="en-GB"/>
              </w:rPr>
              <w:t>7</w:t>
            </w:r>
            <w:r w:rsidRPr="003C3FF6">
              <w:rPr>
                <w:rFonts w:cs="Arial"/>
                <w:sz w:val="22"/>
                <w:szCs w:val="22"/>
                <w:lang w:eastAsia="en-GB"/>
              </w:rPr>
              <w:t>00,000</w:t>
            </w:r>
            <w:r w:rsidRPr="003C3FF6">
              <w:rPr>
                <w:rFonts w:cs="Arial"/>
                <w:b/>
                <w:sz w:val="22"/>
                <w:szCs w:val="22"/>
                <w:lang w:eastAsia="en-GB"/>
              </w:rPr>
              <w:t xml:space="preserve"> </w:t>
            </w:r>
            <w:r w:rsidRPr="003C3FF6">
              <w:rPr>
                <w:rFonts w:cs="Arial"/>
                <w:sz w:val="22"/>
                <w:szCs w:val="22"/>
                <w:lang w:eastAsia="en-GB"/>
              </w:rPr>
              <w:t>in 201</w:t>
            </w:r>
            <w:r w:rsidR="003C3FF6" w:rsidRPr="003C3FF6">
              <w:rPr>
                <w:rFonts w:cs="Arial"/>
                <w:sz w:val="22"/>
                <w:szCs w:val="22"/>
                <w:lang w:eastAsia="en-GB"/>
              </w:rPr>
              <w:t>8</w:t>
            </w:r>
            <w:r w:rsidRPr="003C3FF6">
              <w:rPr>
                <w:rFonts w:cs="Arial"/>
                <w:sz w:val="22"/>
                <w:szCs w:val="22"/>
                <w:lang w:eastAsia="en-GB"/>
              </w:rPr>
              <w:t>/1</w:t>
            </w:r>
            <w:r w:rsidR="003C3FF6" w:rsidRPr="003C3FF6">
              <w:rPr>
                <w:rFonts w:cs="Arial"/>
                <w:sz w:val="22"/>
                <w:szCs w:val="22"/>
                <w:lang w:eastAsia="en-GB"/>
              </w:rPr>
              <w:t>9</w:t>
            </w:r>
            <w:r w:rsidRPr="003C3FF6">
              <w:rPr>
                <w:rFonts w:cs="Arial"/>
                <w:sz w:val="22"/>
                <w:szCs w:val="22"/>
                <w:lang w:eastAsia="en-GB"/>
              </w:rPr>
              <w:t>.</w:t>
            </w:r>
          </w:p>
          <w:p w:rsidR="005E538B" w:rsidRPr="003C3FF6" w:rsidRDefault="005E538B" w:rsidP="001E0F67">
            <w:pPr>
              <w:jc w:val="both"/>
              <w:rPr>
                <w:b/>
                <w:sz w:val="22"/>
              </w:rPr>
            </w:pPr>
          </w:p>
        </w:tc>
      </w:tr>
      <w:tr w:rsidR="005E538B" w:rsidRPr="00CF7499" w:rsidTr="002D171E">
        <w:trPr>
          <w:gridBefore w:val="1"/>
          <w:wBefore w:w="34" w:type="dxa"/>
          <w:trHeight w:val="463"/>
        </w:trPr>
        <w:tc>
          <w:tcPr>
            <w:cnfStyle w:val="001000000000" w:firstRow="0" w:lastRow="0" w:firstColumn="1" w:lastColumn="0" w:oddVBand="0" w:evenVBand="0" w:oddHBand="0" w:evenHBand="0" w:firstRowFirstColumn="0" w:firstRowLastColumn="0" w:lastRowFirstColumn="0" w:lastRowLastColumn="0"/>
            <w:tcW w:w="959" w:type="dxa"/>
          </w:tcPr>
          <w:p w:rsidR="003C3FF6" w:rsidRDefault="003C3FF6" w:rsidP="003C3FF6">
            <w:pPr>
              <w:jc w:val="both"/>
              <w:rPr>
                <w:rFonts w:cs="Arial"/>
                <w:sz w:val="22"/>
                <w:szCs w:val="22"/>
              </w:rPr>
            </w:pPr>
            <w:r w:rsidRPr="00DD6E29">
              <w:rPr>
                <w:rFonts w:cs="Arial"/>
                <w:sz w:val="22"/>
                <w:szCs w:val="22"/>
              </w:rPr>
              <w:t>6.</w:t>
            </w:r>
            <w:r>
              <w:rPr>
                <w:rFonts w:cs="Arial"/>
                <w:sz w:val="22"/>
                <w:szCs w:val="22"/>
              </w:rPr>
              <w:t>5</w:t>
            </w:r>
          </w:p>
          <w:p w:rsidR="005E538B" w:rsidRDefault="005E538B" w:rsidP="001E0F67">
            <w:pPr>
              <w:jc w:val="both"/>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5E538B" w:rsidRPr="003C3FF6" w:rsidRDefault="005E538B" w:rsidP="005E538B">
            <w:pPr>
              <w:tabs>
                <w:tab w:val="left" w:pos="-1211"/>
              </w:tabs>
              <w:autoSpaceDE w:val="0"/>
              <w:autoSpaceDN w:val="0"/>
              <w:adjustRightInd w:val="0"/>
              <w:ind w:left="65"/>
              <w:jc w:val="both"/>
              <w:rPr>
                <w:b/>
                <w:sz w:val="22"/>
                <w:szCs w:val="22"/>
                <w:lang w:eastAsia="en-GB"/>
              </w:rPr>
            </w:pPr>
            <w:r w:rsidRPr="003C3FF6">
              <w:rPr>
                <w:b/>
                <w:sz w:val="22"/>
                <w:szCs w:val="22"/>
                <w:lang w:eastAsia="en-GB"/>
              </w:rPr>
              <w:t>Business Rates Pooling</w:t>
            </w:r>
          </w:p>
          <w:p w:rsidR="005E538B" w:rsidRPr="003C3FF6" w:rsidRDefault="005E538B" w:rsidP="001E0F67">
            <w:pPr>
              <w:jc w:val="both"/>
              <w:rPr>
                <w:b/>
                <w:sz w:val="22"/>
              </w:rPr>
            </w:pPr>
          </w:p>
        </w:tc>
      </w:tr>
      <w:tr w:rsidR="005E538B" w:rsidRPr="00CF7499" w:rsidTr="002D171E">
        <w:trPr>
          <w:gridBefore w:val="1"/>
          <w:wBefore w:w="34" w:type="dxa"/>
          <w:trHeight w:val="463"/>
        </w:trPr>
        <w:tc>
          <w:tcPr>
            <w:cnfStyle w:val="001000000000" w:firstRow="0" w:lastRow="0" w:firstColumn="1" w:lastColumn="0" w:oddVBand="0" w:evenVBand="0" w:oddHBand="0" w:evenHBand="0" w:firstRowFirstColumn="0" w:firstRowLastColumn="0" w:lastRowFirstColumn="0" w:lastRowLastColumn="0"/>
            <w:tcW w:w="959" w:type="dxa"/>
          </w:tcPr>
          <w:p w:rsidR="003C3FF6" w:rsidRDefault="003C3FF6" w:rsidP="003C3FF6">
            <w:pPr>
              <w:jc w:val="both"/>
              <w:rPr>
                <w:rFonts w:cs="Arial"/>
                <w:sz w:val="22"/>
                <w:szCs w:val="22"/>
              </w:rPr>
            </w:pPr>
            <w:r>
              <w:rPr>
                <w:rFonts w:cs="Arial"/>
                <w:sz w:val="22"/>
                <w:szCs w:val="22"/>
              </w:rPr>
              <w:t>6.5.1</w:t>
            </w:r>
          </w:p>
          <w:p w:rsidR="005E538B" w:rsidRDefault="005E538B" w:rsidP="001E0F67">
            <w:pPr>
              <w:jc w:val="both"/>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5E538B" w:rsidRPr="003C3FF6" w:rsidRDefault="005E538B" w:rsidP="005E538B">
            <w:pPr>
              <w:rPr>
                <w:sz w:val="22"/>
                <w:szCs w:val="22"/>
              </w:rPr>
            </w:pPr>
            <w:r w:rsidRPr="003C3FF6">
              <w:rPr>
                <w:sz w:val="22"/>
                <w:szCs w:val="22"/>
              </w:rPr>
              <w:t>In 201</w:t>
            </w:r>
            <w:r w:rsidR="003C3FF6">
              <w:rPr>
                <w:sz w:val="22"/>
                <w:szCs w:val="22"/>
              </w:rPr>
              <w:t>7</w:t>
            </w:r>
            <w:r w:rsidRPr="003C3FF6">
              <w:rPr>
                <w:sz w:val="22"/>
                <w:szCs w:val="22"/>
              </w:rPr>
              <w:t>/1</w:t>
            </w:r>
            <w:r w:rsidR="003C3FF6">
              <w:rPr>
                <w:sz w:val="22"/>
                <w:szCs w:val="22"/>
              </w:rPr>
              <w:t>8</w:t>
            </w:r>
            <w:r w:rsidRPr="003C3FF6">
              <w:rPr>
                <w:sz w:val="22"/>
                <w:szCs w:val="22"/>
              </w:rPr>
              <w:t xml:space="preserve"> </w:t>
            </w:r>
            <w:r w:rsidR="003C3FF6">
              <w:rPr>
                <w:sz w:val="22"/>
                <w:szCs w:val="22"/>
              </w:rPr>
              <w:t xml:space="preserve">it was agreed by the various Hertfordshire Authorities that the previous business rates pool was not viable and therefore dissolved.  In 2018/19 a new </w:t>
            </w:r>
            <w:r w:rsidRPr="003C3FF6">
              <w:rPr>
                <w:sz w:val="22"/>
                <w:szCs w:val="22"/>
              </w:rPr>
              <w:t>business rate pool consisting of the County Council</w:t>
            </w:r>
            <w:r w:rsidR="003C3FF6">
              <w:rPr>
                <w:sz w:val="22"/>
                <w:szCs w:val="22"/>
              </w:rPr>
              <w:t xml:space="preserve">, this Council and </w:t>
            </w:r>
            <w:r w:rsidRPr="003C3FF6">
              <w:rPr>
                <w:sz w:val="22"/>
                <w:szCs w:val="22"/>
              </w:rPr>
              <w:t>other Hertfordshire districts/borough councils</w:t>
            </w:r>
            <w:r w:rsidR="003C3FF6">
              <w:rPr>
                <w:sz w:val="22"/>
                <w:szCs w:val="22"/>
              </w:rPr>
              <w:t xml:space="preserve"> has been established</w:t>
            </w:r>
            <w:r w:rsidRPr="003C3FF6">
              <w:rPr>
                <w:sz w:val="22"/>
                <w:szCs w:val="22"/>
              </w:rPr>
              <w:t xml:space="preserve">.  </w:t>
            </w:r>
            <w:r w:rsidR="003C3FF6">
              <w:rPr>
                <w:sz w:val="22"/>
                <w:szCs w:val="22"/>
              </w:rPr>
              <w:t>Membership of this pool should see projected additional business rate income for the Council of £400,000.</w:t>
            </w:r>
          </w:p>
          <w:p w:rsidR="005E538B" w:rsidRPr="003C3FF6" w:rsidRDefault="005E538B" w:rsidP="001E0F67">
            <w:pPr>
              <w:jc w:val="both"/>
              <w:rPr>
                <w:b/>
                <w:sz w:val="22"/>
              </w:rPr>
            </w:pPr>
          </w:p>
        </w:tc>
      </w:tr>
      <w:tr w:rsidR="00644D2E" w:rsidRPr="00CF7499" w:rsidTr="002D171E">
        <w:trPr>
          <w:gridBefore w:val="1"/>
          <w:wBefore w:w="34" w:type="dxa"/>
          <w:trHeight w:val="463"/>
        </w:trPr>
        <w:tc>
          <w:tcPr>
            <w:cnfStyle w:val="001000000000" w:firstRow="0" w:lastRow="0" w:firstColumn="1" w:lastColumn="0" w:oddVBand="0" w:evenVBand="0" w:oddHBand="0" w:evenHBand="0" w:firstRowFirstColumn="0" w:firstRowLastColumn="0" w:lastRowFirstColumn="0" w:lastRowLastColumn="0"/>
            <w:tcW w:w="959" w:type="dxa"/>
          </w:tcPr>
          <w:p w:rsidR="00644D2E" w:rsidRDefault="00644D2E" w:rsidP="001E0F67">
            <w:pPr>
              <w:jc w:val="both"/>
              <w:rPr>
                <w:rFonts w:cs="Arial"/>
                <w:sz w:val="22"/>
                <w:szCs w:val="22"/>
              </w:rPr>
            </w:pPr>
            <w:r>
              <w:rPr>
                <w:rFonts w:cs="Arial"/>
                <w:sz w:val="22"/>
                <w:szCs w:val="22"/>
              </w:rPr>
              <w:t>6.6</w:t>
            </w:r>
          </w:p>
        </w:tc>
        <w:tc>
          <w:tcPr>
            <w:cnfStyle w:val="000100000000" w:firstRow="0" w:lastRow="0" w:firstColumn="0" w:lastColumn="1" w:oddVBand="0" w:evenVBand="0" w:oddHBand="0" w:evenHBand="0" w:firstRowFirstColumn="0" w:firstRowLastColumn="0" w:lastRowFirstColumn="0" w:lastRowLastColumn="0"/>
            <w:tcW w:w="9072" w:type="dxa"/>
          </w:tcPr>
          <w:p w:rsidR="00644D2E" w:rsidRPr="00971AD3" w:rsidRDefault="00644D2E" w:rsidP="00644D2E">
            <w:pPr>
              <w:jc w:val="both"/>
              <w:rPr>
                <w:b/>
                <w:sz w:val="22"/>
              </w:rPr>
            </w:pPr>
            <w:r w:rsidRPr="00971AD3">
              <w:rPr>
                <w:b/>
                <w:sz w:val="22"/>
              </w:rPr>
              <w:t>New Homes Bonus</w:t>
            </w:r>
          </w:p>
          <w:p w:rsidR="00644D2E" w:rsidRPr="00BF40B4" w:rsidRDefault="00644D2E" w:rsidP="001E0F67">
            <w:pPr>
              <w:jc w:val="both"/>
              <w:rPr>
                <w:b/>
                <w:color w:val="4F81BD" w:themeColor="accent1"/>
                <w:sz w:val="22"/>
              </w:rPr>
            </w:pPr>
          </w:p>
        </w:tc>
      </w:tr>
      <w:tr w:rsidR="00CF7499" w:rsidRPr="00CF7499" w:rsidTr="002D171E">
        <w:trPr>
          <w:gridBefore w:val="1"/>
          <w:wBefore w:w="34" w:type="dxa"/>
          <w:trHeight w:val="552"/>
        </w:trPr>
        <w:tc>
          <w:tcPr>
            <w:cnfStyle w:val="001000000000" w:firstRow="0" w:lastRow="0" w:firstColumn="1" w:lastColumn="0" w:oddVBand="0" w:evenVBand="0" w:oddHBand="0" w:evenHBand="0" w:firstRowFirstColumn="0" w:firstRowLastColumn="0" w:lastRowFirstColumn="0" w:lastRowLastColumn="0"/>
            <w:tcW w:w="959" w:type="dxa"/>
          </w:tcPr>
          <w:p w:rsidR="001A12EB" w:rsidRPr="00CF7499" w:rsidRDefault="008C1B22" w:rsidP="0024522C">
            <w:pPr>
              <w:jc w:val="both"/>
              <w:rPr>
                <w:rFonts w:cs="Arial"/>
                <w:color w:val="4F81BD" w:themeColor="accent1"/>
                <w:sz w:val="22"/>
                <w:szCs w:val="22"/>
              </w:rPr>
            </w:pPr>
            <w:r w:rsidRPr="00E67339">
              <w:rPr>
                <w:rFonts w:cs="Arial"/>
                <w:sz w:val="22"/>
                <w:szCs w:val="22"/>
              </w:rPr>
              <w:t>6.</w:t>
            </w:r>
            <w:r w:rsidR="0024522C">
              <w:rPr>
                <w:rFonts w:cs="Arial"/>
                <w:sz w:val="22"/>
                <w:szCs w:val="22"/>
              </w:rPr>
              <w:t>6</w:t>
            </w:r>
            <w:r w:rsidRPr="00E67339">
              <w:rPr>
                <w:rFonts w:cs="Arial"/>
                <w:sz w:val="22"/>
                <w:szCs w:val="22"/>
              </w:rPr>
              <w:t>.1</w:t>
            </w:r>
          </w:p>
        </w:tc>
        <w:tc>
          <w:tcPr>
            <w:cnfStyle w:val="000100000000" w:firstRow="0" w:lastRow="0" w:firstColumn="0" w:lastColumn="1" w:oddVBand="0" w:evenVBand="0" w:oddHBand="0" w:evenHBand="0" w:firstRowFirstColumn="0" w:firstRowLastColumn="0" w:lastRowFirstColumn="0" w:lastRowLastColumn="0"/>
            <w:tcW w:w="9072" w:type="dxa"/>
          </w:tcPr>
          <w:p w:rsidR="00BB5F0C" w:rsidRPr="00971AD3" w:rsidRDefault="00011BC4" w:rsidP="0022044C">
            <w:pPr>
              <w:ind w:left="65"/>
              <w:rPr>
                <w:sz w:val="22"/>
                <w:szCs w:val="22"/>
              </w:rPr>
            </w:pPr>
            <w:r w:rsidRPr="00971AD3">
              <w:rPr>
                <w:rFonts w:cs="Arial"/>
                <w:sz w:val="22"/>
                <w:szCs w:val="22"/>
                <w:lang w:eastAsia="en-GB"/>
              </w:rPr>
              <w:t xml:space="preserve">New Homes Bonus is a </w:t>
            </w:r>
            <w:r w:rsidR="003C3FF6" w:rsidRPr="00971AD3">
              <w:rPr>
                <w:rFonts w:cs="Arial"/>
                <w:sz w:val="22"/>
                <w:szCs w:val="22"/>
                <w:lang w:eastAsia="en-GB"/>
              </w:rPr>
              <w:t>non-ring</w:t>
            </w:r>
            <w:r w:rsidR="004618D7">
              <w:rPr>
                <w:rFonts w:cs="Arial"/>
                <w:sz w:val="22"/>
                <w:szCs w:val="22"/>
                <w:lang w:eastAsia="en-GB"/>
              </w:rPr>
              <w:t>-</w:t>
            </w:r>
            <w:r w:rsidR="003C3FF6" w:rsidRPr="00971AD3">
              <w:rPr>
                <w:rFonts w:cs="Arial"/>
                <w:sz w:val="22"/>
                <w:szCs w:val="22"/>
                <w:lang w:eastAsia="en-GB"/>
              </w:rPr>
              <w:t xml:space="preserve">fenced </w:t>
            </w:r>
            <w:r w:rsidRPr="00971AD3">
              <w:rPr>
                <w:rFonts w:cs="Arial"/>
                <w:sz w:val="22"/>
                <w:szCs w:val="22"/>
                <w:lang w:eastAsia="en-GB"/>
              </w:rPr>
              <w:t>grant relating to the number of new homes delivered in a local authority area</w:t>
            </w:r>
            <w:r w:rsidR="003C3FF6" w:rsidRPr="00971AD3">
              <w:rPr>
                <w:rFonts w:cs="Arial"/>
                <w:sz w:val="22"/>
                <w:szCs w:val="22"/>
                <w:lang w:eastAsia="en-GB"/>
              </w:rPr>
              <w:t xml:space="preserve"> that may be used at the discretion of the Council for either capital expenditure or to support the revenue account (or combination)</w:t>
            </w:r>
            <w:r w:rsidRPr="00971AD3">
              <w:rPr>
                <w:rFonts w:cs="Arial"/>
                <w:sz w:val="22"/>
                <w:szCs w:val="22"/>
                <w:lang w:eastAsia="en-GB"/>
              </w:rPr>
              <w:t>.  For 201</w:t>
            </w:r>
            <w:r w:rsidR="003C3FF6" w:rsidRPr="00971AD3">
              <w:rPr>
                <w:rFonts w:cs="Arial"/>
                <w:sz w:val="22"/>
                <w:szCs w:val="22"/>
                <w:lang w:eastAsia="en-GB"/>
              </w:rPr>
              <w:t>8</w:t>
            </w:r>
            <w:r w:rsidRPr="00971AD3">
              <w:rPr>
                <w:rFonts w:cs="Arial"/>
                <w:sz w:val="22"/>
                <w:szCs w:val="22"/>
                <w:lang w:eastAsia="en-GB"/>
              </w:rPr>
              <w:t>/1</w:t>
            </w:r>
            <w:r w:rsidR="003C3FF6" w:rsidRPr="00971AD3">
              <w:rPr>
                <w:rFonts w:cs="Arial"/>
                <w:sz w:val="22"/>
                <w:szCs w:val="22"/>
                <w:lang w:eastAsia="en-GB"/>
              </w:rPr>
              <w:t>9</w:t>
            </w:r>
            <w:r w:rsidRPr="00971AD3">
              <w:rPr>
                <w:rFonts w:cs="Arial"/>
                <w:sz w:val="22"/>
                <w:szCs w:val="22"/>
                <w:lang w:eastAsia="en-GB"/>
              </w:rPr>
              <w:t>, based on the provisional settlement, th</w:t>
            </w:r>
            <w:bookmarkStart w:id="0" w:name="_GoBack"/>
            <w:bookmarkEnd w:id="0"/>
            <w:r w:rsidRPr="00971AD3">
              <w:rPr>
                <w:rFonts w:cs="Arial"/>
                <w:sz w:val="22"/>
                <w:szCs w:val="22"/>
                <w:lang w:eastAsia="en-GB"/>
              </w:rPr>
              <w:t>e Council expects to receive £</w:t>
            </w:r>
            <w:r w:rsidR="00E67339" w:rsidRPr="00971AD3">
              <w:rPr>
                <w:rFonts w:cs="Arial"/>
                <w:sz w:val="22"/>
                <w:szCs w:val="22"/>
                <w:lang w:eastAsia="en-GB"/>
              </w:rPr>
              <w:t>1.</w:t>
            </w:r>
            <w:r w:rsidR="003C3FF6" w:rsidRPr="00971AD3">
              <w:rPr>
                <w:rFonts w:cs="Arial"/>
                <w:sz w:val="22"/>
                <w:szCs w:val="22"/>
                <w:lang w:eastAsia="en-GB"/>
              </w:rPr>
              <w:t>1</w:t>
            </w:r>
            <w:r w:rsidR="00971AD3" w:rsidRPr="00971AD3">
              <w:rPr>
                <w:rFonts w:cs="Arial"/>
                <w:sz w:val="22"/>
                <w:szCs w:val="22"/>
                <w:lang w:eastAsia="en-GB"/>
              </w:rPr>
              <w:t>09</w:t>
            </w:r>
            <w:r w:rsidRPr="00971AD3">
              <w:rPr>
                <w:rFonts w:cs="Arial"/>
                <w:sz w:val="22"/>
                <w:szCs w:val="22"/>
                <w:lang w:eastAsia="en-GB"/>
              </w:rPr>
              <w:t xml:space="preserve"> million</w:t>
            </w:r>
            <w:r w:rsidR="00343642" w:rsidRPr="00971AD3">
              <w:rPr>
                <w:rFonts w:cs="Arial"/>
                <w:sz w:val="22"/>
                <w:szCs w:val="22"/>
                <w:lang w:eastAsia="en-GB"/>
              </w:rPr>
              <w:t xml:space="preserve"> of which</w:t>
            </w:r>
            <w:r w:rsidR="00971AD3">
              <w:rPr>
                <w:rFonts w:cs="Arial"/>
                <w:sz w:val="22"/>
                <w:szCs w:val="22"/>
                <w:lang w:eastAsia="en-GB"/>
              </w:rPr>
              <w:t xml:space="preserve"> will be split equally between </w:t>
            </w:r>
            <w:r w:rsidR="00343642" w:rsidRPr="00971AD3">
              <w:rPr>
                <w:rFonts w:cs="Arial"/>
                <w:sz w:val="22"/>
                <w:szCs w:val="22"/>
                <w:lang w:eastAsia="en-GB"/>
              </w:rPr>
              <w:t xml:space="preserve">revenue </w:t>
            </w:r>
            <w:r w:rsidR="00971AD3">
              <w:rPr>
                <w:rFonts w:cs="Arial"/>
                <w:sz w:val="22"/>
                <w:szCs w:val="22"/>
                <w:lang w:eastAsia="en-GB"/>
              </w:rPr>
              <w:t xml:space="preserve">and </w:t>
            </w:r>
            <w:r w:rsidR="00343642" w:rsidRPr="00971AD3">
              <w:rPr>
                <w:rFonts w:cs="Arial"/>
                <w:sz w:val="22"/>
                <w:szCs w:val="22"/>
                <w:lang w:eastAsia="en-GB"/>
              </w:rPr>
              <w:t>capital funding</w:t>
            </w:r>
            <w:r w:rsidRPr="00971AD3">
              <w:rPr>
                <w:rFonts w:cs="Arial"/>
                <w:b/>
                <w:sz w:val="22"/>
                <w:szCs w:val="22"/>
                <w:lang w:eastAsia="en-GB"/>
              </w:rPr>
              <w:t>.</w:t>
            </w:r>
            <w:r w:rsidR="00343642" w:rsidRPr="00971AD3">
              <w:rPr>
                <w:rFonts w:cs="Arial"/>
                <w:b/>
                <w:sz w:val="22"/>
                <w:szCs w:val="22"/>
                <w:lang w:eastAsia="en-GB"/>
              </w:rPr>
              <w:t xml:space="preserve"> </w:t>
            </w:r>
            <w:r w:rsidR="001D175E" w:rsidRPr="00971AD3">
              <w:rPr>
                <w:rFonts w:cs="Arial"/>
                <w:b/>
                <w:sz w:val="22"/>
                <w:szCs w:val="22"/>
                <w:lang w:eastAsia="en-GB"/>
              </w:rPr>
              <w:t xml:space="preserve"> </w:t>
            </w:r>
            <w:r w:rsidRPr="00971AD3">
              <w:rPr>
                <w:rFonts w:cs="Arial"/>
                <w:sz w:val="22"/>
                <w:szCs w:val="22"/>
                <w:lang w:eastAsia="en-GB"/>
              </w:rPr>
              <w:t>Estimates for future years are harder to predict due to factors around timing of qualifying developments coming on line, but the Council has made realistic estimates of income</w:t>
            </w:r>
            <w:r w:rsidR="00E67339" w:rsidRPr="00971AD3">
              <w:rPr>
                <w:rFonts w:cs="Arial"/>
                <w:sz w:val="22"/>
                <w:szCs w:val="22"/>
                <w:lang w:eastAsia="en-GB"/>
              </w:rPr>
              <w:t xml:space="preserve"> and included these in the </w:t>
            </w:r>
            <w:r w:rsidR="00636494" w:rsidRPr="00971AD3">
              <w:rPr>
                <w:sz w:val="22"/>
                <w:szCs w:val="22"/>
              </w:rPr>
              <w:t>MTFP.</w:t>
            </w:r>
          </w:p>
          <w:p w:rsidR="00E066AB" w:rsidRPr="00BF40B4" w:rsidRDefault="00E066AB" w:rsidP="0022044C">
            <w:pPr>
              <w:ind w:left="65"/>
              <w:rPr>
                <w:rFonts w:cs="Arial"/>
                <w:b/>
                <w:color w:val="4F81BD" w:themeColor="accent1"/>
                <w:sz w:val="22"/>
                <w:szCs w:val="22"/>
              </w:rPr>
            </w:pPr>
          </w:p>
        </w:tc>
      </w:tr>
      <w:tr w:rsidR="00CF7499" w:rsidRPr="00CF7499" w:rsidTr="002D171E">
        <w:trPr>
          <w:gridBefore w:val="1"/>
          <w:wBefore w:w="34" w:type="dxa"/>
          <w:trHeight w:val="552"/>
        </w:trPr>
        <w:tc>
          <w:tcPr>
            <w:cnfStyle w:val="001000000000" w:firstRow="0" w:lastRow="0" w:firstColumn="1" w:lastColumn="0" w:oddVBand="0" w:evenVBand="0" w:oddHBand="0" w:evenHBand="0" w:firstRowFirstColumn="0" w:firstRowLastColumn="0" w:lastRowFirstColumn="0" w:lastRowLastColumn="0"/>
            <w:tcW w:w="959" w:type="dxa"/>
          </w:tcPr>
          <w:p w:rsidR="00404AF7" w:rsidRPr="007C1C6B" w:rsidRDefault="00404AF7" w:rsidP="0024522C">
            <w:pPr>
              <w:jc w:val="both"/>
              <w:rPr>
                <w:rFonts w:cs="Arial"/>
                <w:sz w:val="22"/>
                <w:szCs w:val="22"/>
              </w:rPr>
            </w:pPr>
            <w:r w:rsidRPr="007C1C6B">
              <w:rPr>
                <w:rFonts w:cs="Arial"/>
                <w:sz w:val="22"/>
                <w:szCs w:val="22"/>
              </w:rPr>
              <w:t>6.</w:t>
            </w:r>
            <w:r w:rsidR="0024522C">
              <w:rPr>
                <w:rFonts w:cs="Arial"/>
                <w:sz w:val="22"/>
                <w:szCs w:val="22"/>
              </w:rPr>
              <w:t>7</w:t>
            </w:r>
          </w:p>
        </w:tc>
        <w:tc>
          <w:tcPr>
            <w:cnfStyle w:val="000100000000" w:firstRow="0" w:lastRow="0" w:firstColumn="0" w:lastColumn="1" w:oddVBand="0" w:evenVBand="0" w:oddHBand="0" w:evenHBand="0" w:firstRowFirstColumn="0" w:firstRowLastColumn="0" w:lastRowFirstColumn="0" w:lastRowLastColumn="0"/>
            <w:tcW w:w="9072" w:type="dxa"/>
          </w:tcPr>
          <w:p w:rsidR="00404AF7" w:rsidRPr="00971AD3" w:rsidRDefault="00404AF7" w:rsidP="00E066AB">
            <w:pPr>
              <w:tabs>
                <w:tab w:val="left" w:pos="0"/>
              </w:tabs>
              <w:autoSpaceDE w:val="0"/>
              <w:autoSpaceDN w:val="0"/>
              <w:adjustRightInd w:val="0"/>
              <w:jc w:val="both"/>
              <w:rPr>
                <w:b/>
                <w:sz w:val="22"/>
                <w:szCs w:val="22"/>
                <w:lang w:eastAsia="en-GB"/>
              </w:rPr>
            </w:pPr>
            <w:r w:rsidRPr="00971AD3">
              <w:rPr>
                <w:b/>
                <w:sz w:val="22"/>
                <w:szCs w:val="22"/>
                <w:lang w:eastAsia="en-GB"/>
              </w:rPr>
              <w:t xml:space="preserve">Council Tax for </w:t>
            </w:r>
            <w:r w:rsidR="007C1C6B" w:rsidRPr="00971AD3">
              <w:rPr>
                <w:b/>
                <w:sz w:val="22"/>
                <w:szCs w:val="22"/>
                <w:lang w:eastAsia="en-GB"/>
              </w:rPr>
              <w:t>201</w:t>
            </w:r>
            <w:r w:rsidR="00971AD3">
              <w:rPr>
                <w:b/>
                <w:sz w:val="22"/>
                <w:szCs w:val="22"/>
                <w:lang w:eastAsia="en-GB"/>
              </w:rPr>
              <w:t>8</w:t>
            </w:r>
            <w:r w:rsidR="007C1C6B" w:rsidRPr="00971AD3">
              <w:rPr>
                <w:b/>
                <w:sz w:val="22"/>
                <w:szCs w:val="22"/>
                <w:lang w:eastAsia="en-GB"/>
              </w:rPr>
              <w:t>/201</w:t>
            </w:r>
            <w:r w:rsidR="00971AD3">
              <w:rPr>
                <w:b/>
                <w:sz w:val="22"/>
                <w:szCs w:val="22"/>
                <w:lang w:eastAsia="en-GB"/>
              </w:rPr>
              <w:t>9</w:t>
            </w:r>
          </w:p>
          <w:p w:rsidR="006A1B03" w:rsidRPr="00BF40B4" w:rsidRDefault="006A1B03" w:rsidP="006A1B03">
            <w:pPr>
              <w:jc w:val="both"/>
              <w:rPr>
                <w:rFonts w:cs="Arial"/>
                <w:color w:val="4F81BD" w:themeColor="accent1"/>
                <w:sz w:val="22"/>
                <w:szCs w:val="22"/>
              </w:rPr>
            </w:pPr>
          </w:p>
        </w:tc>
      </w:tr>
      <w:tr w:rsidR="00CF7499" w:rsidRPr="00CF7499" w:rsidTr="002D171E">
        <w:trPr>
          <w:gridBefore w:val="1"/>
          <w:wBefore w:w="34" w:type="dxa"/>
          <w:trHeight w:val="567"/>
        </w:trPr>
        <w:tc>
          <w:tcPr>
            <w:cnfStyle w:val="001000000000" w:firstRow="0" w:lastRow="0" w:firstColumn="1" w:lastColumn="0" w:oddVBand="0" w:evenVBand="0" w:oddHBand="0" w:evenHBand="0" w:firstRowFirstColumn="0" w:firstRowLastColumn="0" w:lastRowFirstColumn="0" w:lastRowLastColumn="0"/>
            <w:tcW w:w="959" w:type="dxa"/>
          </w:tcPr>
          <w:p w:rsidR="00404AF7" w:rsidRPr="007C1C6B" w:rsidRDefault="00404AF7" w:rsidP="0024522C">
            <w:pPr>
              <w:jc w:val="both"/>
              <w:rPr>
                <w:rFonts w:cs="Arial"/>
                <w:sz w:val="22"/>
                <w:szCs w:val="22"/>
              </w:rPr>
            </w:pPr>
            <w:r w:rsidRPr="007C1C6B">
              <w:rPr>
                <w:rFonts w:cs="Arial"/>
                <w:sz w:val="22"/>
                <w:szCs w:val="22"/>
              </w:rPr>
              <w:t>6.</w:t>
            </w:r>
            <w:r w:rsidR="0024522C">
              <w:rPr>
                <w:rFonts w:cs="Arial"/>
                <w:sz w:val="22"/>
                <w:szCs w:val="22"/>
              </w:rPr>
              <w:t>7</w:t>
            </w:r>
            <w:r w:rsidRPr="007C1C6B">
              <w:rPr>
                <w:rFonts w:cs="Arial"/>
                <w:sz w:val="22"/>
                <w:szCs w:val="22"/>
              </w:rPr>
              <w:t>.1</w:t>
            </w:r>
          </w:p>
        </w:tc>
        <w:tc>
          <w:tcPr>
            <w:cnfStyle w:val="000100000000" w:firstRow="0" w:lastRow="0" w:firstColumn="0" w:lastColumn="1" w:oddVBand="0" w:evenVBand="0" w:oddHBand="0" w:evenHBand="0" w:firstRowFirstColumn="0" w:firstRowLastColumn="0" w:lastRowFirstColumn="0" w:lastRowLastColumn="0"/>
            <w:tcW w:w="9072" w:type="dxa"/>
          </w:tcPr>
          <w:p w:rsidR="00404AF7" w:rsidRPr="00971AD3" w:rsidRDefault="00404AF7" w:rsidP="00B373E3">
            <w:pPr>
              <w:jc w:val="both"/>
              <w:rPr>
                <w:sz w:val="22"/>
                <w:szCs w:val="22"/>
              </w:rPr>
            </w:pPr>
            <w:r w:rsidRPr="00971AD3">
              <w:rPr>
                <w:sz w:val="22"/>
                <w:szCs w:val="22"/>
              </w:rPr>
              <w:t xml:space="preserve">The Council needs to set a budget that gives an acceptable level of council tax, and </w:t>
            </w:r>
            <w:r w:rsidR="002B65D9" w:rsidRPr="00971AD3">
              <w:rPr>
                <w:sz w:val="22"/>
                <w:szCs w:val="22"/>
              </w:rPr>
              <w:t xml:space="preserve">is balanced </w:t>
            </w:r>
            <w:r w:rsidRPr="00971AD3">
              <w:rPr>
                <w:sz w:val="22"/>
                <w:szCs w:val="22"/>
              </w:rPr>
              <w:t xml:space="preserve">in the medium to long term using the </w:t>
            </w:r>
            <w:r w:rsidR="002B65D9" w:rsidRPr="00971AD3">
              <w:rPr>
                <w:sz w:val="22"/>
                <w:szCs w:val="22"/>
              </w:rPr>
              <w:t xml:space="preserve">resources </w:t>
            </w:r>
            <w:r w:rsidRPr="00971AD3">
              <w:rPr>
                <w:sz w:val="22"/>
                <w:szCs w:val="22"/>
              </w:rPr>
              <w:t>at its disposal.</w:t>
            </w:r>
          </w:p>
          <w:p w:rsidR="00E066AB" w:rsidRPr="00971AD3" w:rsidRDefault="00E066AB" w:rsidP="00B373E3">
            <w:pPr>
              <w:jc w:val="both"/>
              <w:rPr>
                <w:rFonts w:cs="Arial"/>
                <w:sz w:val="22"/>
                <w:szCs w:val="22"/>
              </w:rPr>
            </w:pPr>
          </w:p>
        </w:tc>
      </w:tr>
      <w:tr w:rsidR="00CF7499" w:rsidRPr="00CF7499" w:rsidTr="002D171E">
        <w:trPr>
          <w:gridBefore w:val="1"/>
          <w:wBefore w:w="34" w:type="dxa"/>
          <w:trHeight w:val="740"/>
        </w:trPr>
        <w:tc>
          <w:tcPr>
            <w:cnfStyle w:val="001000000000" w:firstRow="0" w:lastRow="0" w:firstColumn="1" w:lastColumn="0" w:oddVBand="0" w:evenVBand="0" w:oddHBand="0" w:evenHBand="0" w:firstRowFirstColumn="0" w:firstRowLastColumn="0" w:lastRowFirstColumn="0" w:lastRowLastColumn="0"/>
            <w:tcW w:w="959" w:type="dxa"/>
          </w:tcPr>
          <w:p w:rsidR="00404AF7" w:rsidRPr="007C1C6B" w:rsidRDefault="00404AF7" w:rsidP="0024522C">
            <w:pPr>
              <w:jc w:val="both"/>
              <w:rPr>
                <w:rFonts w:cs="Arial"/>
                <w:sz w:val="22"/>
                <w:szCs w:val="22"/>
              </w:rPr>
            </w:pPr>
            <w:r w:rsidRPr="007C1C6B">
              <w:rPr>
                <w:rFonts w:cs="Arial"/>
                <w:sz w:val="22"/>
                <w:szCs w:val="22"/>
              </w:rPr>
              <w:t>6.</w:t>
            </w:r>
            <w:r w:rsidR="0024522C">
              <w:rPr>
                <w:rFonts w:cs="Arial"/>
                <w:sz w:val="22"/>
                <w:szCs w:val="22"/>
              </w:rPr>
              <w:t>7</w:t>
            </w:r>
            <w:r w:rsidRPr="007C1C6B">
              <w:rPr>
                <w:rFonts w:cs="Arial"/>
                <w:sz w:val="22"/>
                <w:szCs w:val="22"/>
              </w:rPr>
              <w:t>.</w:t>
            </w:r>
            <w:r w:rsidR="0024522C">
              <w:rPr>
                <w:rFonts w:cs="Arial"/>
                <w:sz w:val="22"/>
                <w:szCs w:val="22"/>
              </w:rPr>
              <w:t>2</w:t>
            </w:r>
          </w:p>
        </w:tc>
        <w:tc>
          <w:tcPr>
            <w:cnfStyle w:val="000100000000" w:firstRow="0" w:lastRow="0" w:firstColumn="0" w:lastColumn="1" w:oddVBand="0" w:evenVBand="0" w:oddHBand="0" w:evenHBand="0" w:firstRowFirstColumn="0" w:firstRowLastColumn="0" w:lastRowFirstColumn="0" w:lastRowLastColumn="0"/>
            <w:tcW w:w="9072" w:type="dxa"/>
          </w:tcPr>
          <w:p w:rsidR="00E353B7" w:rsidRPr="00971AD3" w:rsidRDefault="00E353B7" w:rsidP="00706F27">
            <w:pPr>
              <w:tabs>
                <w:tab w:val="left" w:pos="0"/>
              </w:tabs>
              <w:autoSpaceDE w:val="0"/>
              <w:autoSpaceDN w:val="0"/>
              <w:adjustRightInd w:val="0"/>
              <w:jc w:val="both"/>
              <w:rPr>
                <w:lang w:eastAsia="en-GB"/>
              </w:rPr>
            </w:pPr>
            <w:r w:rsidRPr="00971AD3">
              <w:rPr>
                <w:sz w:val="22"/>
              </w:rPr>
              <w:t xml:space="preserve">A council tax increase of </w:t>
            </w:r>
            <w:r w:rsidR="000867E6" w:rsidRPr="00971AD3">
              <w:rPr>
                <w:sz w:val="22"/>
              </w:rPr>
              <w:t>£5</w:t>
            </w:r>
            <w:r w:rsidRPr="00971AD3">
              <w:rPr>
                <w:sz w:val="22"/>
              </w:rPr>
              <w:t xml:space="preserve"> has been assumed for </w:t>
            </w:r>
            <w:r w:rsidR="007C1C6B" w:rsidRPr="00971AD3">
              <w:rPr>
                <w:sz w:val="22"/>
              </w:rPr>
              <w:t>201</w:t>
            </w:r>
            <w:r w:rsidR="00971AD3" w:rsidRPr="00971AD3">
              <w:rPr>
                <w:sz w:val="22"/>
              </w:rPr>
              <w:t>8</w:t>
            </w:r>
            <w:r w:rsidR="007C1C6B" w:rsidRPr="00971AD3">
              <w:rPr>
                <w:sz w:val="22"/>
              </w:rPr>
              <w:t>/1</w:t>
            </w:r>
            <w:r w:rsidR="00971AD3" w:rsidRPr="00971AD3">
              <w:rPr>
                <w:sz w:val="22"/>
              </w:rPr>
              <w:t>9</w:t>
            </w:r>
            <w:r w:rsidRPr="00971AD3">
              <w:rPr>
                <w:sz w:val="22"/>
              </w:rPr>
              <w:t xml:space="preserve"> and subsequent years</w:t>
            </w:r>
            <w:r w:rsidR="004B0EBE" w:rsidRPr="00971AD3">
              <w:rPr>
                <w:sz w:val="22"/>
              </w:rPr>
              <w:t>.</w:t>
            </w:r>
            <w:r w:rsidRPr="00971AD3">
              <w:rPr>
                <w:sz w:val="22"/>
              </w:rPr>
              <w:t xml:space="preserve"> </w:t>
            </w:r>
            <w:r w:rsidR="00971AD3" w:rsidRPr="00971AD3">
              <w:rPr>
                <w:sz w:val="22"/>
              </w:rPr>
              <w:t xml:space="preserve"> </w:t>
            </w:r>
            <w:r w:rsidR="00DA2F18" w:rsidRPr="00971AD3">
              <w:rPr>
                <w:sz w:val="22"/>
              </w:rPr>
              <w:t xml:space="preserve">The </w:t>
            </w:r>
            <w:r w:rsidR="0039390E" w:rsidRPr="00971AD3">
              <w:rPr>
                <w:sz w:val="22"/>
              </w:rPr>
              <w:t>Council expects to collect £6.</w:t>
            </w:r>
            <w:r w:rsidR="00971AD3" w:rsidRPr="00971AD3">
              <w:rPr>
                <w:sz w:val="22"/>
              </w:rPr>
              <w:t>459</w:t>
            </w:r>
            <w:r w:rsidR="0039390E" w:rsidRPr="00971AD3">
              <w:rPr>
                <w:sz w:val="22"/>
              </w:rPr>
              <w:t xml:space="preserve"> million of council tax income in 201</w:t>
            </w:r>
            <w:r w:rsidR="00971AD3" w:rsidRPr="00971AD3">
              <w:rPr>
                <w:sz w:val="22"/>
              </w:rPr>
              <w:t>8</w:t>
            </w:r>
            <w:r w:rsidR="0039390E" w:rsidRPr="00971AD3">
              <w:rPr>
                <w:sz w:val="22"/>
              </w:rPr>
              <w:t>/1</w:t>
            </w:r>
            <w:r w:rsidR="00971AD3" w:rsidRPr="00971AD3">
              <w:rPr>
                <w:sz w:val="22"/>
              </w:rPr>
              <w:t>9</w:t>
            </w:r>
            <w:r w:rsidR="0039390E" w:rsidRPr="00971AD3">
              <w:rPr>
                <w:sz w:val="22"/>
              </w:rPr>
              <w:t xml:space="preserve">.  </w:t>
            </w:r>
            <w:r w:rsidR="000867E6" w:rsidRPr="00971AD3">
              <w:rPr>
                <w:rFonts w:cs="Arial"/>
                <w:sz w:val="22"/>
                <w:szCs w:val="22"/>
                <w:lang w:eastAsia="en-GB"/>
              </w:rPr>
              <w:t>A</w:t>
            </w:r>
            <w:r w:rsidR="00B16F41" w:rsidRPr="00971AD3">
              <w:rPr>
                <w:rFonts w:cs="Arial"/>
                <w:sz w:val="22"/>
                <w:szCs w:val="22"/>
                <w:lang w:eastAsia="en-GB"/>
              </w:rPr>
              <w:t xml:space="preserve"> one percentage increase in the </w:t>
            </w:r>
            <w:r w:rsidR="0039390E" w:rsidRPr="00971AD3">
              <w:rPr>
                <w:rFonts w:cs="Arial"/>
                <w:sz w:val="22"/>
                <w:szCs w:val="22"/>
                <w:lang w:eastAsia="en-GB"/>
              </w:rPr>
              <w:t>c</w:t>
            </w:r>
            <w:r w:rsidR="00B16F41" w:rsidRPr="00971AD3">
              <w:rPr>
                <w:rFonts w:cs="Arial"/>
                <w:sz w:val="22"/>
                <w:szCs w:val="22"/>
                <w:lang w:eastAsia="en-GB"/>
              </w:rPr>
              <w:t xml:space="preserve">ouncil </w:t>
            </w:r>
            <w:r w:rsidR="0039390E" w:rsidRPr="00971AD3">
              <w:rPr>
                <w:rFonts w:cs="Arial"/>
                <w:sz w:val="22"/>
                <w:szCs w:val="22"/>
                <w:lang w:eastAsia="en-GB"/>
              </w:rPr>
              <w:t>t</w:t>
            </w:r>
            <w:r w:rsidR="00B16F41" w:rsidRPr="00971AD3">
              <w:rPr>
                <w:rFonts w:cs="Arial"/>
                <w:sz w:val="22"/>
                <w:szCs w:val="22"/>
                <w:lang w:eastAsia="en-GB"/>
              </w:rPr>
              <w:t>ax rate generates approximately a £</w:t>
            </w:r>
            <w:r w:rsidR="00706F27" w:rsidRPr="00971AD3">
              <w:rPr>
                <w:rFonts w:cs="Arial"/>
                <w:sz w:val="22"/>
                <w:szCs w:val="22"/>
                <w:lang w:eastAsia="en-GB"/>
              </w:rPr>
              <w:t>6</w:t>
            </w:r>
            <w:r w:rsidR="00971AD3" w:rsidRPr="00971AD3">
              <w:rPr>
                <w:rFonts w:cs="Arial"/>
                <w:sz w:val="22"/>
                <w:szCs w:val="22"/>
                <w:lang w:eastAsia="en-GB"/>
              </w:rPr>
              <w:t>5</w:t>
            </w:r>
            <w:r w:rsidR="00B16F41" w:rsidRPr="00971AD3">
              <w:rPr>
                <w:rFonts w:cs="Arial"/>
                <w:sz w:val="22"/>
                <w:szCs w:val="22"/>
                <w:lang w:eastAsia="en-GB"/>
              </w:rPr>
              <w:t xml:space="preserve">,000 increase in Council Tax revenue. </w:t>
            </w:r>
          </w:p>
          <w:p w:rsidR="00404AF7" w:rsidRPr="00971AD3" w:rsidRDefault="00404AF7" w:rsidP="001E0F67">
            <w:pPr>
              <w:jc w:val="both"/>
              <w:rPr>
                <w:rFonts w:cs="Arial"/>
                <w:sz w:val="22"/>
                <w:szCs w:val="22"/>
              </w:rPr>
            </w:pPr>
          </w:p>
        </w:tc>
      </w:tr>
      <w:tr w:rsidR="00CF7499" w:rsidRPr="00CF7499" w:rsidTr="00F433DA">
        <w:trPr>
          <w:gridBefore w:val="1"/>
          <w:wBefore w:w="34" w:type="dxa"/>
          <w:trHeight w:val="282"/>
        </w:trPr>
        <w:tc>
          <w:tcPr>
            <w:cnfStyle w:val="001000000000" w:firstRow="0" w:lastRow="0" w:firstColumn="1" w:lastColumn="0" w:oddVBand="0" w:evenVBand="0" w:oddHBand="0" w:evenHBand="0" w:firstRowFirstColumn="0" w:firstRowLastColumn="0" w:lastRowFirstColumn="0" w:lastRowLastColumn="0"/>
            <w:tcW w:w="959" w:type="dxa"/>
          </w:tcPr>
          <w:p w:rsidR="00E353B7" w:rsidRPr="00B16F41" w:rsidRDefault="00E353B7" w:rsidP="0024522C">
            <w:pPr>
              <w:jc w:val="both"/>
              <w:rPr>
                <w:rFonts w:cs="Arial"/>
                <w:sz w:val="22"/>
                <w:szCs w:val="22"/>
              </w:rPr>
            </w:pPr>
            <w:r w:rsidRPr="00B16F41">
              <w:rPr>
                <w:rFonts w:cs="Arial"/>
                <w:sz w:val="22"/>
                <w:szCs w:val="22"/>
              </w:rPr>
              <w:t>6.</w:t>
            </w:r>
            <w:r w:rsidR="0024522C">
              <w:rPr>
                <w:rFonts w:cs="Arial"/>
                <w:sz w:val="22"/>
                <w:szCs w:val="22"/>
              </w:rPr>
              <w:t>7</w:t>
            </w:r>
            <w:r w:rsidRPr="00B16F41">
              <w:rPr>
                <w:rFonts w:cs="Arial"/>
                <w:sz w:val="22"/>
                <w:szCs w:val="22"/>
              </w:rPr>
              <w:t>.</w:t>
            </w:r>
            <w:r w:rsidR="0024522C">
              <w:rPr>
                <w:rFonts w:cs="Arial"/>
                <w:sz w:val="22"/>
                <w:szCs w:val="22"/>
              </w:rPr>
              <w:t>3</w:t>
            </w:r>
          </w:p>
        </w:tc>
        <w:tc>
          <w:tcPr>
            <w:cnfStyle w:val="000100000000" w:firstRow="0" w:lastRow="0" w:firstColumn="0" w:lastColumn="1" w:oddVBand="0" w:evenVBand="0" w:oddHBand="0" w:evenHBand="0" w:firstRowFirstColumn="0" w:firstRowLastColumn="0" w:lastRowFirstColumn="0" w:lastRowLastColumn="0"/>
            <w:tcW w:w="9072" w:type="dxa"/>
          </w:tcPr>
          <w:p w:rsidR="00E353B7" w:rsidRPr="00971AD3" w:rsidRDefault="00636494" w:rsidP="00B16F41">
            <w:pPr>
              <w:tabs>
                <w:tab w:val="left" w:pos="0"/>
              </w:tabs>
              <w:autoSpaceDE w:val="0"/>
              <w:autoSpaceDN w:val="0"/>
              <w:adjustRightInd w:val="0"/>
              <w:jc w:val="both"/>
              <w:rPr>
                <w:sz w:val="22"/>
                <w:szCs w:val="22"/>
                <w:lang w:eastAsia="en-GB"/>
              </w:rPr>
            </w:pPr>
            <w:r w:rsidRPr="00971AD3">
              <w:rPr>
                <w:sz w:val="22"/>
                <w:szCs w:val="22"/>
                <w:lang w:eastAsia="en-GB"/>
              </w:rPr>
              <w:t>The Localism Act 2011 introduced a power for local electorates to approve or veto excessive council tax rises</w:t>
            </w:r>
            <w:r w:rsidR="006D68EE" w:rsidRPr="00971AD3">
              <w:rPr>
                <w:sz w:val="22"/>
                <w:szCs w:val="22"/>
                <w:lang w:eastAsia="en-GB"/>
              </w:rPr>
              <w:t>.</w:t>
            </w:r>
            <w:r w:rsidRPr="00971AD3">
              <w:rPr>
                <w:sz w:val="22"/>
                <w:szCs w:val="22"/>
                <w:lang w:eastAsia="en-GB"/>
              </w:rPr>
              <w:t xml:space="preserve"> </w:t>
            </w:r>
            <w:r w:rsidR="00346D39" w:rsidRPr="00971AD3">
              <w:rPr>
                <w:sz w:val="22"/>
                <w:szCs w:val="22"/>
                <w:lang w:eastAsia="en-GB"/>
              </w:rPr>
              <w:t xml:space="preserve"> </w:t>
            </w:r>
            <w:r w:rsidRPr="00971AD3">
              <w:rPr>
                <w:sz w:val="22"/>
                <w:szCs w:val="22"/>
                <w:lang w:eastAsia="en-GB"/>
              </w:rPr>
              <w:t xml:space="preserve">Any authority setting a council tax increase </w:t>
            </w:r>
            <w:r w:rsidR="00B16F41" w:rsidRPr="00971AD3">
              <w:rPr>
                <w:sz w:val="22"/>
                <w:szCs w:val="22"/>
                <w:lang w:eastAsia="en-GB"/>
              </w:rPr>
              <w:t xml:space="preserve">of </w:t>
            </w:r>
            <w:r w:rsidR="00971AD3">
              <w:rPr>
                <w:sz w:val="22"/>
                <w:szCs w:val="22"/>
                <w:lang w:eastAsia="en-GB"/>
              </w:rPr>
              <w:t>3</w:t>
            </w:r>
            <w:r w:rsidR="00B16F41" w:rsidRPr="00971AD3">
              <w:rPr>
                <w:sz w:val="22"/>
                <w:szCs w:val="22"/>
                <w:lang w:eastAsia="en-GB"/>
              </w:rPr>
              <w:t xml:space="preserve">% or more </w:t>
            </w:r>
            <w:r w:rsidR="00971AD3">
              <w:rPr>
                <w:sz w:val="22"/>
                <w:szCs w:val="22"/>
                <w:lang w:eastAsia="en-GB"/>
              </w:rPr>
              <w:t xml:space="preserve">or more than £5 (whichever is the greater) </w:t>
            </w:r>
            <w:r w:rsidRPr="00971AD3">
              <w:rPr>
                <w:sz w:val="22"/>
                <w:szCs w:val="22"/>
                <w:lang w:eastAsia="en-GB"/>
              </w:rPr>
              <w:t xml:space="preserve">will be required to hold a council tax referendum. </w:t>
            </w:r>
          </w:p>
          <w:p w:rsidR="00B16F41" w:rsidRPr="00971AD3" w:rsidRDefault="00B16F41" w:rsidP="00B16F41">
            <w:pPr>
              <w:tabs>
                <w:tab w:val="left" w:pos="0"/>
              </w:tabs>
              <w:autoSpaceDE w:val="0"/>
              <w:autoSpaceDN w:val="0"/>
              <w:adjustRightInd w:val="0"/>
              <w:jc w:val="both"/>
              <w:rPr>
                <w:rFonts w:cs="Arial"/>
                <w:sz w:val="22"/>
                <w:szCs w:val="22"/>
              </w:rPr>
            </w:pPr>
          </w:p>
        </w:tc>
      </w:tr>
      <w:tr w:rsidR="00971AD3" w:rsidRPr="00CF7499" w:rsidTr="002D171E">
        <w:trPr>
          <w:gridBefore w:val="1"/>
          <w:wBefore w:w="34" w:type="dxa"/>
          <w:trHeight w:val="351"/>
        </w:trPr>
        <w:tc>
          <w:tcPr>
            <w:cnfStyle w:val="001000000000" w:firstRow="0" w:lastRow="0" w:firstColumn="1" w:lastColumn="0" w:oddVBand="0" w:evenVBand="0" w:oddHBand="0" w:evenHBand="0" w:firstRowFirstColumn="0" w:firstRowLastColumn="0" w:lastRowFirstColumn="0" w:lastRowLastColumn="0"/>
            <w:tcW w:w="959" w:type="dxa"/>
          </w:tcPr>
          <w:p w:rsidR="00971AD3" w:rsidRPr="00A66EC8" w:rsidRDefault="00971AD3" w:rsidP="0024522C">
            <w:pPr>
              <w:jc w:val="both"/>
              <w:rPr>
                <w:rFonts w:cs="Arial"/>
                <w:sz w:val="22"/>
                <w:szCs w:val="22"/>
              </w:rPr>
            </w:pPr>
            <w:r>
              <w:rPr>
                <w:rFonts w:cs="Arial"/>
                <w:sz w:val="22"/>
                <w:szCs w:val="22"/>
              </w:rPr>
              <w:lastRenderedPageBreak/>
              <w:t>6.7.4</w:t>
            </w:r>
          </w:p>
        </w:tc>
        <w:tc>
          <w:tcPr>
            <w:cnfStyle w:val="000100000000" w:firstRow="0" w:lastRow="0" w:firstColumn="0" w:lastColumn="1" w:oddVBand="0" w:evenVBand="0" w:oddHBand="0" w:evenHBand="0" w:firstRowFirstColumn="0" w:firstRowLastColumn="0" w:lastRowFirstColumn="0" w:lastRowLastColumn="0"/>
            <w:tcW w:w="9072" w:type="dxa"/>
          </w:tcPr>
          <w:p w:rsidR="00971AD3" w:rsidRPr="00971AD3" w:rsidRDefault="00971AD3" w:rsidP="00781D05">
            <w:pPr>
              <w:tabs>
                <w:tab w:val="left" w:pos="0"/>
              </w:tabs>
              <w:autoSpaceDE w:val="0"/>
              <w:autoSpaceDN w:val="0"/>
              <w:adjustRightInd w:val="0"/>
              <w:jc w:val="both"/>
              <w:rPr>
                <w:sz w:val="22"/>
                <w:szCs w:val="22"/>
                <w:lang w:eastAsia="en-GB"/>
              </w:rPr>
            </w:pPr>
            <w:r w:rsidRPr="00971AD3">
              <w:rPr>
                <w:sz w:val="22"/>
                <w:szCs w:val="22"/>
                <w:lang w:eastAsia="en-GB"/>
              </w:rPr>
              <w:t>The government assessment of core spending power assumes local authorities will increase Council Tax by the maximum amount available without triggering a referendum.</w:t>
            </w:r>
          </w:p>
          <w:p w:rsidR="00971AD3" w:rsidRPr="00971AD3" w:rsidRDefault="00971AD3" w:rsidP="00781D05">
            <w:pPr>
              <w:tabs>
                <w:tab w:val="left" w:pos="0"/>
              </w:tabs>
              <w:autoSpaceDE w:val="0"/>
              <w:autoSpaceDN w:val="0"/>
              <w:adjustRightInd w:val="0"/>
              <w:jc w:val="both"/>
              <w:rPr>
                <w:sz w:val="22"/>
                <w:szCs w:val="22"/>
                <w:lang w:eastAsia="en-GB"/>
              </w:rPr>
            </w:pPr>
          </w:p>
        </w:tc>
      </w:tr>
      <w:tr w:rsidR="00CF7499" w:rsidRPr="00CF7499" w:rsidTr="002D171E">
        <w:trPr>
          <w:gridBefore w:val="1"/>
          <w:wBefore w:w="34" w:type="dxa"/>
          <w:trHeight w:val="351"/>
        </w:trPr>
        <w:tc>
          <w:tcPr>
            <w:cnfStyle w:val="001000000000" w:firstRow="0" w:lastRow="0" w:firstColumn="1" w:lastColumn="0" w:oddVBand="0" w:evenVBand="0" w:oddHBand="0" w:evenHBand="0" w:firstRowFirstColumn="0" w:firstRowLastColumn="0" w:lastRowFirstColumn="0" w:lastRowLastColumn="0"/>
            <w:tcW w:w="959" w:type="dxa"/>
          </w:tcPr>
          <w:p w:rsidR="00E353B7" w:rsidRPr="00A66EC8" w:rsidRDefault="00E353B7" w:rsidP="0024522C">
            <w:pPr>
              <w:jc w:val="both"/>
              <w:rPr>
                <w:rFonts w:cs="Arial"/>
                <w:sz w:val="22"/>
                <w:szCs w:val="22"/>
              </w:rPr>
            </w:pPr>
            <w:r w:rsidRPr="00A66EC8">
              <w:rPr>
                <w:rFonts w:cs="Arial"/>
                <w:sz w:val="22"/>
                <w:szCs w:val="22"/>
              </w:rPr>
              <w:t>6.</w:t>
            </w:r>
            <w:r w:rsidR="0024522C">
              <w:rPr>
                <w:rFonts w:cs="Arial"/>
                <w:sz w:val="22"/>
                <w:szCs w:val="22"/>
              </w:rPr>
              <w:t>8</w:t>
            </w:r>
          </w:p>
        </w:tc>
        <w:tc>
          <w:tcPr>
            <w:cnfStyle w:val="000100000000" w:firstRow="0" w:lastRow="0" w:firstColumn="0" w:lastColumn="1" w:oddVBand="0" w:evenVBand="0" w:oddHBand="0" w:evenHBand="0" w:firstRowFirstColumn="0" w:firstRowLastColumn="0" w:lastRowFirstColumn="0" w:lastRowLastColumn="0"/>
            <w:tcW w:w="9072" w:type="dxa"/>
          </w:tcPr>
          <w:p w:rsidR="00E353B7" w:rsidRPr="00971AD3" w:rsidRDefault="00E353B7" w:rsidP="00781D05">
            <w:pPr>
              <w:tabs>
                <w:tab w:val="left" w:pos="0"/>
              </w:tabs>
              <w:autoSpaceDE w:val="0"/>
              <w:autoSpaceDN w:val="0"/>
              <w:adjustRightInd w:val="0"/>
              <w:jc w:val="both"/>
              <w:rPr>
                <w:b/>
                <w:sz w:val="22"/>
                <w:szCs w:val="22"/>
                <w:lang w:eastAsia="en-GB"/>
              </w:rPr>
            </w:pPr>
            <w:r w:rsidRPr="00971AD3">
              <w:rPr>
                <w:b/>
                <w:sz w:val="22"/>
                <w:szCs w:val="22"/>
                <w:lang w:eastAsia="en-GB"/>
              </w:rPr>
              <w:t>Council Tax Base</w:t>
            </w:r>
          </w:p>
          <w:p w:rsidR="000F138C" w:rsidRPr="00971AD3" w:rsidRDefault="000F138C" w:rsidP="00781D05">
            <w:pPr>
              <w:tabs>
                <w:tab w:val="left" w:pos="0"/>
              </w:tabs>
              <w:autoSpaceDE w:val="0"/>
              <w:autoSpaceDN w:val="0"/>
              <w:adjustRightInd w:val="0"/>
              <w:jc w:val="both"/>
              <w:rPr>
                <w:b/>
                <w:sz w:val="22"/>
                <w:szCs w:val="22"/>
                <w:lang w:eastAsia="en-GB"/>
              </w:rPr>
            </w:pPr>
          </w:p>
        </w:tc>
      </w:tr>
      <w:tr w:rsidR="00CF7499" w:rsidRPr="00CF7499" w:rsidTr="002D171E">
        <w:trPr>
          <w:gridBefore w:val="1"/>
          <w:wBefore w:w="34" w:type="dxa"/>
          <w:trHeight w:val="740"/>
        </w:trPr>
        <w:tc>
          <w:tcPr>
            <w:cnfStyle w:val="001000000000" w:firstRow="0" w:lastRow="0" w:firstColumn="1" w:lastColumn="0" w:oddVBand="0" w:evenVBand="0" w:oddHBand="0" w:evenHBand="0" w:firstRowFirstColumn="0" w:firstRowLastColumn="0" w:lastRowFirstColumn="0" w:lastRowLastColumn="0"/>
            <w:tcW w:w="959" w:type="dxa"/>
          </w:tcPr>
          <w:p w:rsidR="00E353B7" w:rsidRPr="00CF7499" w:rsidRDefault="000F138C" w:rsidP="0024522C">
            <w:pPr>
              <w:jc w:val="both"/>
              <w:rPr>
                <w:rFonts w:cs="Arial"/>
                <w:color w:val="4F81BD" w:themeColor="accent1"/>
                <w:sz w:val="22"/>
                <w:szCs w:val="22"/>
              </w:rPr>
            </w:pPr>
            <w:r w:rsidRPr="00706F27">
              <w:rPr>
                <w:rFonts w:cs="Arial"/>
                <w:sz w:val="22"/>
                <w:szCs w:val="22"/>
              </w:rPr>
              <w:t>6.</w:t>
            </w:r>
            <w:r w:rsidR="0024522C">
              <w:rPr>
                <w:rFonts w:cs="Arial"/>
                <w:sz w:val="22"/>
                <w:szCs w:val="22"/>
              </w:rPr>
              <w:t>8</w:t>
            </w:r>
            <w:r w:rsidRPr="00706F27">
              <w:rPr>
                <w:rFonts w:cs="Arial"/>
                <w:sz w:val="22"/>
                <w:szCs w:val="22"/>
              </w:rPr>
              <w:t>.1</w:t>
            </w:r>
          </w:p>
        </w:tc>
        <w:tc>
          <w:tcPr>
            <w:cnfStyle w:val="000100000000" w:firstRow="0" w:lastRow="0" w:firstColumn="0" w:lastColumn="1" w:oddVBand="0" w:evenVBand="0" w:oddHBand="0" w:evenHBand="0" w:firstRowFirstColumn="0" w:firstRowLastColumn="0" w:lastRowFirstColumn="0" w:lastRowLastColumn="0"/>
            <w:tcW w:w="9072" w:type="dxa"/>
          </w:tcPr>
          <w:p w:rsidR="00FA56D9" w:rsidRPr="00971AD3" w:rsidRDefault="000F138C" w:rsidP="002A1193">
            <w:pPr>
              <w:tabs>
                <w:tab w:val="left" w:pos="0"/>
              </w:tabs>
              <w:ind w:left="65"/>
              <w:jc w:val="both"/>
              <w:rPr>
                <w:rFonts w:cs="Arial"/>
                <w:sz w:val="22"/>
                <w:szCs w:val="22"/>
              </w:rPr>
            </w:pPr>
            <w:r w:rsidRPr="00971AD3">
              <w:rPr>
                <w:sz w:val="22"/>
                <w:szCs w:val="22"/>
                <w:lang w:eastAsia="en-GB"/>
              </w:rPr>
              <w:t xml:space="preserve">The Council Tax base for </w:t>
            </w:r>
            <w:r w:rsidR="007C1C6B" w:rsidRPr="00971AD3">
              <w:rPr>
                <w:sz w:val="22"/>
                <w:szCs w:val="22"/>
                <w:lang w:eastAsia="en-GB"/>
              </w:rPr>
              <w:t>201</w:t>
            </w:r>
            <w:r w:rsidR="00971AD3">
              <w:rPr>
                <w:sz w:val="22"/>
                <w:szCs w:val="22"/>
                <w:lang w:eastAsia="en-GB"/>
              </w:rPr>
              <w:t>8</w:t>
            </w:r>
            <w:r w:rsidR="007C1C6B" w:rsidRPr="00971AD3">
              <w:rPr>
                <w:sz w:val="22"/>
                <w:szCs w:val="22"/>
                <w:lang w:eastAsia="en-GB"/>
              </w:rPr>
              <w:t>/1</w:t>
            </w:r>
            <w:r w:rsidR="00971AD3">
              <w:rPr>
                <w:sz w:val="22"/>
                <w:szCs w:val="22"/>
                <w:lang w:eastAsia="en-GB"/>
              </w:rPr>
              <w:t>9</w:t>
            </w:r>
            <w:r w:rsidRPr="00971AD3">
              <w:rPr>
                <w:sz w:val="22"/>
                <w:szCs w:val="22"/>
                <w:lang w:eastAsia="en-GB"/>
              </w:rPr>
              <w:t xml:space="preserve"> was set at the </w:t>
            </w:r>
            <w:r w:rsidR="007C1C6B" w:rsidRPr="00971AD3">
              <w:rPr>
                <w:sz w:val="22"/>
                <w:szCs w:val="22"/>
                <w:lang w:eastAsia="en-GB"/>
              </w:rPr>
              <w:t xml:space="preserve">Council </w:t>
            </w:r>
            <w:r w:rsidRPr="00971AD3">
              <w:rPr>
                <w:sz w:val="22"/>
                <w:szCs w:val="22"/>
                <w:lang w:eastAsia="en-GB"/>
              </w:rPr>
              <w:t xml:space="preserve">meeting on </w:t>
            </w:r>
            <w:r w:rsidR="007C1C6B" w:rsidRPr="00971AD3">
              <w:rPr>
                <w:sz w:val="22"/>
                <w:szCs w:val="22"/>
                <w:lang w:eastAsia="en-GB"/>
              </w:rPr>
              <w:t>1</w:t>
            </w:r>
            <w:r w:rsidR="00971AD3">
              <w:rPr>
                <w:sz w:val="22"/>
                <w:szCs w:val="22"/>
                <w:lang w:eastAsia="en-GB"/>
              </w:rPr>
              <w:t>2</w:t>
            </w:r>
            <w:r w:rsidRPr="00971AD3">
              <w:rPr>
                <w:sz w:val="22"/>
                <w:szCs w:val="22"/>
                <w:lang w:eastAsia="en-GB"/>
              </w:rPr>
              <w:t xml:space="preserve"> December 201</w:t>
            </w:r>
            <w:r w:rsidR="00971AD3">
              <w:rPr>
                <w:sz w:val="22"/>
                <w:szCs w:val="22"/>
                <w:lang w:eastAsia="en-GB"/>
              </w:rPr>
              <w:t>7</w:t>
            </w:r>
            <w:r w:rsidRPr="00971AD3">
              <w:rPr>
                <w:sz w:val="22"/>
                <w:szCs w:val="22"/>
                <w:lang w:eastAsia="en-GB"/>
              </w:rPr>
              <w:t xml:space="preserve"> and totalled </w:t>
            </w:r>
            <w:r w:rsidR="00261019" w:rsidRPr="00971AD3">
              <w:rPr>
                <w:sz w:val="22"/>
                <w:szCs w:val="22"/>
                <w:lang w:eastAsia="en-GB"/>
              </w:rPr>
              <w:t>3</w:t>
            </w:r>
            <w:r w:rsidR="00971AD3">
              <w:rPr>
                <w:sz w:val="22"/>
                <w:szCs w:val="22"/>
                <w:lang w:eastAsia="en-GB"/>
              </w:rPr>
              <w:t>8</w:t>
            </w:r>
            <w:r w:rsidR="00261019" w:rsidRPr="00971AD3">
              <w:rPr>
                <w:sz w:val="22"/>
                <w:szCs w:val="22"/>
                <w:lang w:eastAsia="en-GB"/>
              </w:rPr>
              <w:t>,</w:t>
            </w:r>
            <w:r w:rsidR="00971AD3">
              <w:rPr>
                <w:sz w:val="22"/>
                <w:szCs w:val="22"/>
                <w:lang w:eastAsia="en-GB"/>
              </w:rPr>
              <w:t>243.7</w:t>
            </w:r>
            <w:r w:rsidRPr="00971AD3">
              <w:rPr>
                <w:sz w:val="22"/>
                <w:szCs w:val="22"/>
                <w:lang w:eastAsia="en-GB"/>
              </w:rPr>
              <w:t xml:space="preserve"> </w:t>
            </w:r>
            <w:r w:rsidR="00971AD3">
              <w:rPr>
                <w:sz w:val="22"/>
                <w:szCs w:val="22"/>
                <w:lang w:eastAsia="en-GB"/>
              </w:rPr>
              <w:t xml:space="preserve">assuming a </w:t>
            </w:r>
            <w:r w:rsidRPr="00971AD3">
              <w:rPr>
                <w:sz w:val="22"/>
                <w:szCs w:val="22"/>
                <w:lang w:eastAsia="en-GB"/>
              </w:rPr>
              <w:t>collection rate of 99%.</w:t>
            </w:r>
            <w:r w:rsidR="00346D39" w:rsidRPr="00971AD3">
              <w:rPr>
                <w:sz w:val="22"/>
                <w:szCs w:val="22"/>
                <w:lang w:eastAsia="en-GB"/>
              </w:rPr>
              <w:t xml:space="preserve"> </w:t>
            </w:r>
            <w:r w:rsidRPr="00971AD3">
              <w:rPr>
                <w:sz w:val="22"/>
                <w:szCs w:val="22"/>
                <w:lang w:eastAsia="en-GB"/>
              </w:rPr>
              <w:t xml:space="preserve"> The base shows an increase of 1.</w:t>
            </w:r>
            <w:r w:rsidR="00706F27" w:rsidRPr="00971AD3">
              <w:rPr>
                <w:sz w:val="22"/>
                <w:szCs w:val="22"/>
                <w:lang w:eastAsia="en-GB"/>
              </w:rPr>
              <w:t>1</w:t>
            </w:r>
            <w:r w:rsidRPr="00971AD3">
              <w:rPr>
                <w:sz w:val="22"/>
                <w:szCs w:val="22"/>
                <w:lang w:eastAsia="en-GB"/>
              </w:rPr>
              <w:t xml:space="preserve">% over </w:t>
            </w:r>
            <w:r w:rsidR="007C1C6B" w:rsidRPr="00971AD3">
              <w:rPr>
                <w:sz w:val="22"/>
                <w:szCs w:val="22"/>
                <w:lang w:eastAsia="en-GB"/>
              </w:rPr>
              <w:t>201</w:t>
            </w:r>
            <w:r w:rsidR="00971AD3">
              <w:rPr>
                <w:sz w:val="22"/>
                <w:szCs w:val="22"/>
                <w:lang w:eastAsia="en-GB"/>
              </w:rPr>
              <w:t>7</w:t>
            </w:r>
            <w:r w:rsidR="007C1C6B" w:rsidRPr="00971AD3">
              <w:rPr>
                <w:sz w:val="22"/>
                <w:szCs w:val="22"/>
                <w:lang w:eastAsia="en-GB"/>
              </w:rPr>
              <w:t>/1</w:t>
            </w:r>
            <w:r w:rsidR="00971AD3">
              <w:rPr>
                <w:sz w:val="22"/>
                <w:szCs w:val="22"/>
                <w:lang w:eastAsia="en-GB"/>
              </w:rPr>
              <w:t>8</w:t>
            </w:r>
            <w:r w:rsidRPr="00971AD3">
              <w:rPr>
                <w:sz w:val="22"/>
                <w:szCs w:val="22"/>
                <w:lang w:eastAsia="en-GB"/>
              </w:rPr>
              <w:t xml:space="preserve">. </w:t>
            </w:r>
            <w:r w:rsidR="00971AD3">
              <w:rPr>
                <w:sz w:val="22"/>
                <w:szCs w:val="22"/>
                <w:lang w:eastAsia="en-GB"/>
              </w:rPr>
              <w:t xml:space="preserve"> </w:t>
            </w:r>
            <w:r w:rsidR="008817DC" w:rsidRPr="00971AD3">
              <w:rPr>
                <w:rFonts w:cs="Arial"/>
                <w:sz w:val="22"/>
                <w:szCs w:val="22"/>
                <w:lang w:eastAsia="en-GB"/>
              </w:rPr>
              <w:t xml:space="preserve">Where amounts of Council Tax collected exceed the estimates made, the surplus is shared between the relevant major precepting authorities (Hertfordshire County Council, </w:t>
            </w:r>
            <w:r w:rsidR="00971AD3">
              <w:rPr>
                <w:rFonts w:cs="Arial"/>
                <w:sz w:val="22"/>
                <w:szCs w:val="22"/>
                <w:lang w:eastAsia="en-GB"/>
              </w:rPr>
              <w:t>Three Rivers District</w:t>
            </w:r>
            <w:r w:rsidR="008817DC" w:rsidRPr="00971AD3">
              <w:rPr>
                <w:rFonts w:cs="Arial"/>
                <w:sz w:val="22"/>
                <w:szCs w:val="22"/>
                <w:lang w:eastAsia="en-GB"/>
              </w:rPr>
              <w:t xml:space="preserve"> Council and Hertfordshire Police &amp; Crime Commissioner).</w:t>
            </w:r>
            <w:r w:rsidR="00971AD3">
              <w:rPr>
                <w:rFonts w:cs="Arial"/>
                <w:sz w:val="22"/>
                <w:szCs w:val="22"/>
                <w:lang w:eastAsia="en-GB"/>
              </w:rPr>
              <w:t xml:space="preserve">  To reduce risk for the Parish Councils, surpluses or deficits are not paid or charged to them. </w:t>
            </w:r>
            <w:r w:rsidR="008817DC" w:rsidRPr="00971AD3">
              <w:rPr>
                <w:rFonts w:cs="Arial"/>
                <w:sz w:val="22"/>
                <w:szCs w:val="22"/>
                <w:lang w:eastAsia="en-GB"/>
              </w:rPr>
              <w:t xml:space="preserve">  </w:t>
            </w:r>
          </w:p>
          <w:p w:rsidR="00FA56D9" w:rsidRPr="00971AD3" w:rsidRDefault="00FA56D9" w:rsidP="000F138C">
            <w:pPr>
              <w:jc w:val="both"/>
              <w:rPr>
                <w:rFonts w:cs="Arial"/>
                <w:sz w:val="22"/>
                <w:szCs w:val="22"/>
              </w:rPr>
            </w:pPr>
          </w:p>
        </w:tc>
      </w:tr>
      <w:tr w:rsidR="00CF7499" w:rsidRPr="00CF7499" w:rsidTr="002D171E">
        <w:trPr>
          <w:gridBefore w:val="1"/>
          <w:wBefore w:w="34" w:type="dxa"/>
          <w:trHeight w:val="429"/>
        </w:trPr>
        <w:tc>
          <w:tcPr>
            <w:cnfStyle w:val="001000000000" w:firstRow="0" w:lastRow="0" w:firstColumn="1" w:lastColumn="0" w:oddVBand="0" w:evenVBand="0" w:oddHBand="0" w:evenHBand="0" w:firstRowFirstColumn="0" w:firstRowLastColumn="0" w:lastRowFirstColumn="0" w:lastRowLastColumn="0"/>
            <w:tcW w:w="959" w:type="dxa"/>
          </w:tcPr>
          <w:p w:rsidR="000F138C" w:rsidRPr="00A66EC8" w:rsidRDefault="000F138C" w:rsidP="0024522C">
            <w:pPr>
              <w:jc w:val="both"/>
              <w:rPr>
                <w:rFonts w:cs="Arial"/>
                <w:sz w:val="22"/>
                <w:szCs w:val="22"/>
              </w:rPr>
            </w:pPr>
            <w:r w:rsidRPr="00A66EC8">
              <w:rPr>
                <w:rFonts w:cs="Arial"/>
                <w:sz w:val="22"/>
                <w:szCs w:val="22"/>
              </w:rPr>
              <w:t>6.</w:t>
            </w:r>
            <w:r w:rsidR="0024522C">
              <w:rPr>
                <w:rFonts w:cs="Arial"/>
                <w:sz w:val="22"/>
                <w:szCs w:val="22"/>
              </w:rPr>
              <w:t>9</w:t>
            </w:r>
          </w:p>
        </w:tc>
        <w:tc>
          <w:tcPr>
            <w:cnfStyle w:val="000100000000" w:firstRow="0" w:lastRow="0" w:firstColumn="0" w:lastColumn="1" w:oddVBand="0" w:evenVBand="0" w:oddHBand="0" w:evenHBand="0" w:firstRowFirstColumn="0" w:firstRowLastColumn="0" w:lastRowFirstColumn="0" w:lastRowLastColumn="0"/>
            <w:tcW w:w="9072" w:type="dxa"/>
          </w:tcPr>
          <w:p w:rsidR="000F138C" w:rsidRPr="009004AE" w:rsidRDefault="000F138C" w:rsidP="00781D05">
            <w:pPr>
              <w:tabs>
                <w:tab w:val="left" w:pos="0"/>
              </w:tabs>
              <w:autoSpaceDE w:val="0"/>
              <w:autoSpaceDN w:val="0"/>
              <w:adjustRightInd w:val="0"/>
              <w:jc w:val="both"/>
              <w:rPr>
                <w:b/>
                <w:sz w:val="22"/>
                <w:szCs w:val="22"/>
                <w:lang w:eastAsia="en-GB"/>
              </w:rPr>
            </w:pPr>
            <w:r w:rsidRPr="009004AE">
              <w:rPr>
                <w:b/>
                <w:sz w:val="22"/>
                <w:szCs w:val="22"/>
                <w:lang w:eastAsia="en-GB"/>
              </w:rPr>
              <w:t>Local Council Tax Reduction Scheme</w:t>
            </w:r>
          </w:p>
          <w:p w:rsidR="000F138C" w:rsidRPr="009004AE" w:rsidRDefault="000F138C" w:rsidP="00781D05">
            <w:pPr>
              <w:tabs>
                <w:tab w:val="left" w:pos="0"/>
              </w:tabs>
              <w:autoSpaceDE w:val="0"/>
              <w:autoSpaceDN w:val="0"/>
              <w:adjustRightInd w:val="0"/>
              <w:jc w:val="both"/>
              <w:rPr>
                <w:b/>
                <w:sz w:val="22"/>
                <w:szCs w:val="22"/>
                <w:lang w:eastAsia="en-GB"/>
              </w:rPr>
            </w:pPr>
          </w:p>
        </w:tc>
      </w:tr>
      <w:tr w:rsidR="00CF7499" w:rsidRPr="00CF7499" w:rsidTr="002D171E">
        <w:trPr>
          <w:trHeight w:val="740"/>
        </w:trPr>
        <w:tc>
          <w:tcPr>
            <w:cnfStyle w:val="001000000000" w:firstRow="0" w:lastRow="0" w:firstColumn="1" w:lastColumn="0" w:oddVBand="0" w:evenVBand="0" w:oddHBand="0" w:evenHBand="0" w:firstRowFirstColumn="0" w:firstRowLastColumn="0" w:lastRowFirstColumn="0" w:lastRowLastColumn="0"/>
            <w:tcW w:w="993" w:type="dxa"/>
            <w:gridSpan w:val="2"/>
          </w:tcPr>
          <w:p w:rsidR="000F138C" w:rsidRPr="00CF7499" w:rsidRDefault="000F138C" w:rsidP="0024522C">
            <w:pPr>
              <w:jc w:val="both"/>
              <w:rPr>
                <w:rFonts w:cs="Arial"/>
                <w:color w:val="4F81BD" w:themeColor="accent1"/>
                <w:sz w:val="22"/>
                <w:szCs w:val="22"/>
              </w:rPr>
            </w:pPr>
            <w:r w:rsidRPr="00091604">
              <w:rPr>
                <w:rFonts w:cs="Arial"/>
                <w:sz w:val="22"/>
                <w:szCs w:val="22"/>
              </w:rPr>
              <w:t>6.</w:t>
            </w:r>
            <w:r w:rsidR="0024522C">
              <w:rPr>
                <w:rFonts w:cs="Arial"/>
                <w:sz w:val="22"/>
                <w:szCs w:val="22"/>
              </w:rPr>
              <w:t>9</w:t>
            </w:r>
            <w:r w:rsidRPr="00091604">
              <w:rPr>
                <w:rFonts w:cs="Arial"/>
                <w:sz w:val="22"/>
                <w:szCs w:val="22"/>
              </w:rPr>
              <w:t>.1</w:t>
            </w:r>
          </w:p>
        </w:tc>
        <w:tc>
          <w:tcPr>
            <w:cnfStyle w:val="000100000000" w:firstRow="0" w:lastRow="0" w:firstColumn="0" w:lastColumn="1" w:oddVBand="0" w:evenVBand="0" w:oddHBand="0" w:evenHBand="0" w:firstRowFirstColumn="0" w:firstRowLastColumn="0" w:lastRowFirstColumn="0" w:lastRowLastColumn="0"/>
            <w:tcW w:w="9072" w:type="dxa"/>
          </w:tcPr>
          <w:p w:rsidR="000F138C" w:rsidRPr="009004AE" w:rsidRDefault="000F138C" w:rsidP="00091604">
            <w:pPr>
              <w:tabs>
                <w:tab w:val="left" w:pos="0"/>
              </w:tabs>
              <w:autoSpaceDE w:val="0"/>
              <w:autoSpaceDN w:val="0"/>
              <w:adjustRightInd w:val="0"/>
              <w:jc w:val="both"/>
              <w:rPr>
                <w:sz w:val="22"/>
                <w:szCs w:val="22"/>
                <w:lang w:eastAsia="en-GB"/>
              </w:rPr>
            </w:pPr>
            <w:r w:rsidRPr="009004AE">
              <w:rPr>
                <w:sz w:val="22"/>
                <w:szCs w:val="22"/>
                <w:lang w:eastAsia="en-GB"/>
              </w:rPr>
              <w:t xml:space="preserve">At the </w:t>
            </w:r>
            <w:r w:rsidR="00A66EC8" w:rsidRPr="009004AE">
              <w:rPr>
                <w:sz w:val="22"/>
                <w:szCs w:val="22"/>
                <w:lang w:eastAsia="en-GB"/>
              </w:rPr>
              <w:t xml:space="preserve">Council </w:t>
            </w:r>
            <w:r w:rsidRPr="009004AE">
              <w:rPr>
                <w:sz w:val="22"/>
                <w:szCs w:val="22"/>
                <w:lang w:eastAsia="en-GB"/>
              </w:rPr>
              <w:t xml:space="preserve">meeting on </w:t>
            </w:r>
            <w:r w:rsidR="00A66EC8" w:rsidRPr="009004AE">
              <w:rPr>
                <w:sz w:val="22"/>
                <w:szCs w:val="22"/>
                <w:lang w:eastAsia="en-GB"/>
              </w:rPr>
              <w:t>1</w:t>
            </w:r>
            <w:r w:rsidR="009004AE">
              <w:rPr>
                <w:sz w:val="22"/>
                <w:szCs w:val="22"/>
                <w:lang w:eastAsia="en-GB"/>
              </w:rPr>
              <w:t>2</w:t>
            </w:r>
            <w:r w:rsidR="00A66EC8" w:rsidRPr="009004AE">
              <w:rPr>
                <w:sz w:val="22"/>
                <w:szCs w:val="22"/>
                <w:lang w:eastAsia="en-GB"/>
              </w:rPr>
              <w:t xml:space="preserve"> </w:t>
            </w:r>
            <w:r w:rsidRPr="009004AE">
              <w:rPr>
                <w:sz w:val="22"/>
                <w:szCs w:val="22"/>
                <w:lang w:eastAsia="en-GB"/>
              </w:rPr>
              <w:t>December 201</w:t>
            </w:r>
            <w:r w:rsidR="009004AE">
              <w:rPr>
                <w:sz w:val="22"/>
                <w:szCs w:val="22"/>
                <w:lang w:eastAsia="en-GB"/>
              </w:rPr>
              <w:t>7</w:t>
            </w:r>
            <w:r w:rsidRPr="009004AE">
              <w:rPr>
                <w:sz w:val="22"/>
                <w:szCs w:val="22"/>
                <w:lang w:eastAsia="en-GB"/>
              </w:rPr>
              <w:t xml:space="preserve">, it was resolved to continue to apply the </w:t>
            </w:r>
            <w:r w:rsidR="009004AE">
              <w:rPr>
                <w:sz w:val="22"/>
                <w:szCs w:val="22"/>
                <w:lang w:eastAsia="en-GB"/>
              </w:rPr>
              <w:t xml:space="preserve">agreed </w:t>
            </w:r>
            <w:r w:rsidRPr="009004AE">
              <w:rPr>
                <w:sz w:val="22"/>
                <w:szCs w:val="22"/>
                <w:lang w:eastAsia="en-GB"/>
              </w:rPr>
              <w:t>Local Council Tax Reduction Scheme for 201</w:t>
            </w:r>
            <w:r w:rsidR="009004AE">
              <w:rPr>
                <w:sz w:val="22"/>
                <w:szCs w:val="22"/>
                <w:lang w:eastAsia="en-GB"/>
              </w:rPr>
              <w:t>8</w:t>
            </w:r>
            <w:r w:rsidR="00A66EC8" w:rsidRPr="009004AE">
              <w:rPr>
                <w:sz w:val="22"/>
                <w:szCs w:val="22"/>
                <w:lang w:eastAsia="en-GB"/>
              </w:rPr>
              <w:t>/1</w:t>
            </w:r>
            <w:r w:rsidR="009004AE">
              <w:rPr>
                <w:sz w:val="22"/>
                <w:szCs w:val="22"/>
                <w:lang w:eastAsia="en-GB"/>
              </w:rPr>
              <w:t>9</w:t>
            </w:r>
            <w:r w:rsidRPr="009004AE">
              <w:rPr>
                <w:sz w:val="22"/>
                <w:szCs w:val="22"/>
                <w:lang w:eastAsia="en-GB"/>
              </w:rPr>
              <w:t xml:space="preserve">.  </w:t>
            </w:r>
          </w:p>
          <w:p w:rsidR="000F138C" w:rsidRPr="009004AE" w:rsidRDefault="000F138C" w:rsidP="009004AE">
            <w:pPr>
              <w:tabs>
                <w:tab w:val="left" w:pos="65"/>
              </w:tabs>
              <w:jc w:val="both"/>
              <w:rPr>
                <w:b/>
                <w:sz w:val="22"/>
                <w:szCs w:val="22"/>
                <w:lang w:eastAsia="en-GB"/>
              </w:rPr>
            </w:pPr>
          </w:p>
        </w:tc>
      </w:tr>
      <w:tr w:rsidR="00CF7499" w:rsidRPr="00CF7499" w:rsidTr="002D171E">
        <w:trPr>
          <w:gridBefore w:val="1"/>
          <w:wBefore w:w="34" w:type="dxa"/>
          <w:trHeight w:val="490"/>
        </w:trPr>
        <w:tc>
          <w:tcPr>
            <w:cnfStyle w:val="001000000000" w:firstRow="0" w:lastRow="0" w:firstColumn="1" w:lastColumn="0" w:oddVBand="0" w:evenVBand="0" w:oddHBand="0" w:evenHBand="0" w:firstRowFirstColumn="0" w:firstRowLastColumn="0" w:lastRowFirstColumn="0" w:lastRowLastColumn="0"/>
            <w:tcW w:w="959" w:type="dxa"/>
          </w:tcPr>
          <w:p w:rsidR="00BC3FF3" w:rsidRPr="00241DFA" w:rsidRDefault="00BC3FF3" w:rsidP="0024522C">
            <w:pPr>
              <w:tabs>
                <w:tab w:val="left" w:pos="2835"/>
              </w:tabs>
              <w:jc w:val="both"/>
              <w:rPr>
                <w:rFonts w:cs="Arial"/>
                <w:sz w:val="22"/>
                <w:szCs w:val="22"/>
              </w:rPr>
            </w:pPr>
            <w:r w:rsidRPr="00241DFA">
              <w:rPr>
                <w:rFonts w:cs="Arial"/>
                <w:sz w:val="22"/>
                <w:szCs w:val="22"/>
              </w:rPr>
              <w:t>6.</w:t>
            </w:r>
            <w:r w:rsidR="0024522C" w:rsidRPr="00241DFA">
              <w:rPr>
                <w:rFonts w:cs="Arial"/>
                <w:sz w:val="22"/>
                <w:szCs w:val="22"/>
              </w:rPr>
              <w:t>10</w:t>
            </w:r>
          </w:p>
        </w:tc>
        <w:tc>
          <w:tcPr>
            <w:cnfStyle w:val="000100000000" w:firstRow="0" w:lastRow="0" w:firstColumn="0" w:lastColumn="1" w:oddVBand="0" w:evenVBand="0" w:oddHBand="0" w:evenHBand="0" w:firstRowFirstColumn="0" w:firstRowLastColumn="0" w:lastRowFirstColumn="0" w:lastRowLastColumn="0"/>
            <w:tcW w:w="9072" w:type="dxa"/>
          </w:tcPr>
          <w:p w:rsidR="00BC3FF3" w:rsidRPr="00241DFA" w:rsidRDefault="00BC3FF3" w:rsidP="001E0F67">
            <w:pPr>
              <w:jc w:val="both"/>
              <w:rPr>
                <w:rFonts w:cs="Arial"/>
                <w:b/>
                <w:sz w:val="22"/>
                <w:szCs w:val="22"/>
              </w:rPr>
            </w:pPr>
            <w:r w:rsidRPr="00241DFA">
              <w:rPr>
                <w:rFonts w:cs="Arial"/>
                <w:b/>
                <w:sz w:val="22"/>
                <w:szCs w:val="22"/>
              </w:rPr>
              <w:t>Collection Fund</w:t>
            </w:r>
          </w:p>
          <w:p w:rsidR="00BC3FF3" w:rsidRPr="00241DFA" w:rsidRDefault="00BC3FF3" w:rsidP="001E0F67">
            <w:pPr>
              <w:jc w:val="both"/>
              <w:rPr>
                <w:rFonts w:cs="Arial"/>
                <w:b/>
                <w:i/>
                <w:sz w:val="22"/>
                <w:szCs w:val="22"/>
              </w:rPr>
            </w:pPr>
          </w:p>
        </w:tc>
      </w:tr>
      <w:tr w:rsidR="00CF7499" w:rsidRPr="00CF7499" w:rsidTr="002D171E">
        <w:trPr>
          <w:gridBefore w:val="1"/>
          <w:wBefore w:w="34" w:type="dxa"/>
          <w:trHeight w:val="426"/>
        </w:trPr>
        <w:tc>
          <w:tcPr>
            <w:cnfStyle w:val="001000000000" w:firstRow="0" w:lastRow="0" w:firstColumn="1" w:lastColumn="0" w:oddVBand="0" w:evenVBand="0" w:oddHBand="0" w:evenHBand="0" w:firstRowFirstColumn="0" w:firstRowLastColumn="0" w:lastRowFirstColumn="0" w:lastRowLastColumn="0"/>
            <w:tcW w:w="959" w:type="dxa"/>
          </w:tcPr>
          <w:p w:rsidR="00BC3FF3" w:rsidRPr="00241DFA" w:rsidRDefault="00BC3FF3" w:rsidP="0024522C">
            <w:pPr>
              <w:tabs>
                <w:tab w:val="left" w:pos="2835"/>
              </w:tabs>
              <w:jc w:val="both"/>
              <w:rPr>
                <w:rFonts w:cs="Arial"/>
                <w:sz w:val="22"/>
                <w:szCs w:val="22"/>
              </w:rPr>
            </w:pPr>
            <w:r w:rsidRPr="00241DFA">
              <w:rPr>
                <w:rFonts w:cs="Arial"/>
                <w:sz w:val="22"/>
                <w:szCs w:val="22"/>
              </w:rPr>
              <w:t>6.</w:t>
            </w:r>
            <w:r w:rsidR="0024522C" w:rsidRPr="00241DFA">
              <w:rPr>
                <w:rFonts w:cs="Arial"/>
                <w:sz w:val="22"/>
                <w:szCs w:val="22"/>
              </w:rPr>
              <w:t>10</w:t>
            </w:r>
            <w:r w:rsidRPr="00241DFA">
              <w:rPr>
                <w:rFonts w:cs="Arial"/>
                <w:sz w:val="22"/>
                <w:szCs w:val="22"/>
              </w:rPr>
              <w:t>.1</w:t>
            </w:r>
          </w:p>
        </w:tc>
        <w:tc>
          <w:tcPr>
            <w:cnfStyle w:val="000100000000" w:firstRow="0" w:lastRow="0" w:firstColumn="0" w:lastColumn="1" w:oddVBand="0" w:evenVBand="0" w:oddHBand="0" w:evenHBand="0" w:firstRowFirstColumn="0" w:firstRowLastColumn="0" w:lastRowFirstColumn="0" w:lastRowLastColumn="0"/>
            <w:tcW w:w="9072" w:type="dxa"/>
          </w:tcPr>
          <w:p w:rsidR="00BC3FF3" w:rsidRPr="00241DFA" w:rsidRDefault="00BC3FF3" w:rsidP="004C65D5">
            <w:pPr>
              <w:tabs>
                <w:tab w:val="left" w:pos="1418"/>
                <w:tab w:val="left" w:pos="2520"/>
              </w:tabs>
              <w:jc w:val="both"/>
              <w:rPr>
                <w:rFonts w:cs="Arial"/>
                <w:sz w:val="22"/>
                <w:szCs w:val="22"/>
              </w:rPr>
            </w:pPr>
            <w:r w:rsidRPr="00241DFA">
              <w:rPr>
                <w:rFonts w:cs="Arial"/>
                <w:sz w:val="22"/>
                <w:szCs w:val="22"/>
              </w:rPr>
              <w:t xml:space="preserve">The Collection Fund is a statutory requirement to account separately for Council Tax and </w:t>
            </w:r>
            <w:r w:rsidR="004C65D5" w:rsidRPr="00241DFA">
              <w:rPr>
                <w:rFonts w:cs="Arial"/>
                <w:sz w:val="22"/>
                <w:szCs w:val="22"/>
              </w:rPr>
              <w:t>Business</w:t>
            </w:r>
            <w:r w:rsidRPr="00241DFA">
              <w:rPr>
                <w:rFonts w:cs="Arial"/>
                <w:sz w:val="22"/>
                <w:szCs w:val="22"/>
              </w:rPr>
              <w:t xml:space="preserve"> Rates</w:t>
            </w:r>
            <w:r w:rsidR="004C65D5" w:rsidRPr="00241DFA">
              <w:rPr>
                <w:rFonts w:cs="Arial"/>
                <w:sz w:val="22"/>
                <w:szCs w:val="22"/>
              </w:rPr>
              <w:t>.</w:t>
            </w:r>
            <w:r w:rsidRPr="00241DFA">
              <w:rPr>
                <w:rFonts w:cs="Arial"/>
                <w:sz w:val="22"/>
                <w:szCs w:val="22"/>
              </w:rPr>
              <w:t xml:space="preserve"> The Fund records all transactions such as the yield, exemptions, discounts, provisions for bad debts, payments to major preceptors to Central Government and takes into account collection rates.</w:t>
            </w:r>
          </w:p>
          <w:p w:rsidR="00E066AB" w:rsidRPr="00241DFA" w:rsidRDefault="00E066AB" w:rsidP="004C65D5">
            <w:pPr>
              <w:tabs>
                <w:tab w:val="left" w:pos="1418"/>
                <w:tab w:val="left" w:pos="2520"/>
              </w:tabs>
              <w:jc w:val="both"/>
              <w:rPr>
                <w:rFonts w:cs="Arial"/>
                <w:b/>
                <w:sz w:val="22"/>
                <w:szCs w:val="22"/>
              </w:rPr>
            </w:pPr>
          </w:p>
        </w:tc>
      </w:tr>
      <w:tr w:rsidR="00CF7499" w:rsidRPr="00CF7499" w:rsidTr="002D171E">
        <w:trPr>
          <w:gridBefore w:val="1"/>
          <w:wBefore w:w="34" w:type="dxa"/>
          <w:trHeight w:val="740"/>
        </w:trPr>
        <w:tc>
          <w:tcPr>
            <w:cnfStyle w:val="001000000000" w:firstRow="0" w:lastRow="0" w:firstColumn="1" w:lastColumn="0" w:oddVBand="0" w:evenVBand="0" w:oddHBand="0" w:evenHBand="0" w:firstRowFirstColumn="0" w:firstRowLastColumn="0" w:lastRowFirstColumn="0" w:lastRowLastColumn="0"/>
            <w:tcW w:w="959" w:type="dxa"/>
          </w:tcPr>
          <w:p w:rsidR="00BC3FF3" w:rsidRPr="00CF7499" w:rsidRDefault="00BC3FF3" w:rsidP="0024522C">
            <w:pPr>
              <w:tabs>
                <w:tab w:val="left" w:pos="2835"/>
              </w:tabs>
              <w:jc w:val="both"/>
              <w:rPr>
                <w:rFonts w:cs="Arial"/>
                <w:color w:val="4F81BD" w:themeColor="accent1"/>
                <w:sz w:val="22"/>
                <w:szCs w:val="22"/>
              </w:rPr>
            </w:pPr>
            <w:r w:rsidRPr="0024522C">
              <w:rPr>
                <w:rFonts w:cs="Arial"/>
                <w:sz w:val="22"/>
                <w:szCs w:val="22"/>
              </w:rPr>
              <w:t>6.</w:t>
            </w:r>
            <w:r w:rsidR="0024522C" w:rsidRPr="0024522C">
              <w:rPr>
                <w:rFonts w:cs="Arial"/>
                <w:sz w:val="22"/>
                <w:szCs w:val="22"/>
              </w:rPr>
              <w:t>10.2</w:t>
            </w:r>
          </w:p>
        </w:tc>
        <w:tc>
          <w:tcPr>
            <w:cnfStyle w:val="000100000000" w:firstRow="0" w:lastRow="0" w:firstColumn="0" w:lastColumn="1" w:oddVBand="0" w:evenVBand="0" w:oddHBand="0" w:evenHBand="0" w:firstRowFirstColumn="0" w:firstRowLastColumn="0" w:lastRowFirstColumn="0" w:lastRowLastColumn="0"/>
            <w:tcW w:w="9072" w:type="dxa"/>
          </w:tcPr>
          <w:p w:rsidR="005A6D43" w:rsidRPr="00C27188" w:rsidRDefault="000259ED" w:rsidP="005A6D43">
            <w:pPr>
              <w:tabs>
                <w:tab w:val="left" w:pos="1418"/>
                <w:tab w:val="left" w:pos="2520"/>
              </w:tabs>
              <w:jc w:val="both"/>
              <w:rPr>
                <w:rFonts w:cs="Arial"/>
                <w:sz w:val="22"/>
                <w:szCs w:val="22"/>
              </w:rPr>
            </w:pPr>
            <w:r w:rsidRPr="009004AE">
              <w:rPr>
                <w:rFonts w:cs="Arial"/>
                <w:sz w:val="22"/>
                <w:szCs w:val="22"/>
              </w:rPr>
              <w:t>The Council Tax setting process requires an estimate of the surplus or deficit at 31 March 201</w:t>
            </w:r>
            <w:r w:rsidR="009004AE" w:rsidRPr="009004AE">
              <w:rPr>
                <w:rFonts w:cs="Arial"/>
                <w:sz w:val="22"/>
                <w:szCs w:val="22"/>
              </w:rPr>
              <w:t>8</w:t>
            </w:r>
            <w:r w:rsidRPr="009004AE">
              <w:rPr>
                <w:rFonts w:cs="Arial"/>
                <w:sz w:val="22"/>
                <w:szCs w:val="22"/>
              </w:rPr>
              <w:t xml:space="preserve"> on Council Tax and Business Rates.</w:t>
            </w:r>
            <w:r w:rsidR="00346D39" w:rsidRPr="009004AE">
              <w:rPr>
                <w:rFonts w:cs="Arial"/>
                <w:sz w:val="22"/>
                <w:szCs w:val="22"/>
              </w:rPr>
              <w:t xml:space="preserve"> </w:t>
            </w:r>
            <w:r w:rsidRPr="009004AE">
              <w:rPr>
                <w:rFonts w:cs="Arial"/>
                <w:sz w:val="22"/>
                <w:szCs w:val="22"/>
              </w:rPr>
              <w:t xml:space="preserve"> The balances are distributed to the Council as the Billing Authority, the major preceptors and Central Government.</w:t>
            </w:r>
            <w:r w:rsidR="00346D39" w:rsidRPr="009004AE">
              <w:rPr>
                <w:rFonts w:cs="Arial"/>
                <w:sz w:val="22"/>
                <w:szCs w:val="22"/>
              </w:rPr>
              <w:t xml:space="preserve"> </w:t>
            </w:r>
            <w:r w:rsidRPr="009004AE">
              <w:rPr>
                <w:rFonts w:cs="Arial"/>
                <w:i/>
                <w:sz w:val="22"/>
                <w:szCs w:val="22"/>
              </w:rPr>
              <w:t xml:space="preserve"> </w:t>
            </w:r>
            <w:r w:rsidRPr="009004AE">
              <w:rPr>
                <w:rFonts w:cs="Arial"/>
                <w:sz w:val="22"/>
                <w:szCs w:val="22"/>
              </w:rPr>
              <w:t>The balance on the Collection Fund for Council Tax at 1 April 201</w:t>
            </w:r>
            <w:r w:rsidR="009004AE" w:rsidRPr="009004AE">
              <w:rPr>
                <w:rFonts w:cs="Arial"/>
                <w:sz w:val="22"/>
                <w:szCs w:val="22"/>
              </w:rPr>
              <w:t>7</w:t>
            </w:r>
            <w:r w:rsidR="009F6252" w:rsidRPr="009004AE">
              <w:rPr>
                <w:rFonts w:cs="Arial"/>
                <w:sz w:val="22"/>
                <w:szCs w:val="22"/>
              </w:rPr>
              <w:t xml:space="preserve"> </w:t>
            </w:r>
            <w:r w:rsidRPr="009004AE">
              <w:rPr>
                <w:rFonts w:cs="Arial"/>
                <w:sz w:val="22"/>
                <w:szCs w:val="22"/>
              </w:rPr>
              <w:t xml:space="preserve">was </w:t>
            </w:r>
            <w:r w:rsidRPr="00C27188">
              <w:rPr>
                <w:rFonts w:cs="Arial"/>
                <w:sz w:val="22"/>
                <w:szCs w:val="22"/>
              </w:rPr>
              <w:t>a £</w:t>
            </w:r>
            <w:r w:rsidR="005A6D43" w:rsidRPr="00C27188">
              <w:rPr>
                <w:rFonts w:cs="Arial"/>
                <w:sz w:val="22"/>
                <w:szCs w:val="22"/>
              </w:rPr>
              <w:t>0.</w:t>
            </w:r>
            <w:r w:rsidR="00C27188" w:rsidRPr="00C27188">
              <w:rPr>
                <w:rFonts w:cs="Arial"/>
                <w:sz w:val="22"/>
                <w:szCs w:val="22"/>
              </w:rPr>
              <w:t>711</w:t>
            </w:r>
            <w:r w:rsidR="005A6D43" w:rsidRPr="00C27188">
              <w:rPr>
                <w:rFonts w:cs="Arial"/>
                <w:sz w:val="22"/>
                <w:szCs w:val="22"/>
              </w:rPr>
              <w:t>million</w:t>
            </w:r>
            <w:r w:rsidRPr="00C27188">
              <w:rPr>
                <w:rFonts w:cs="Arial"/>
                <w:sz w:val="22"/>
                <w:szCs w:val="22"/>
              </w:rPr>
              <w:t xml:space="preserve"> surplus, with £</w:t>
            </w:r>
            <w:r w:rsidR="005A6D43" w:rsidRPr="00C27188">
              <w:rPr>
                <w:rFonts w:cs="Arial"/>
                <w:sz w:val="22"/>
                <w:szCs w:val="22"/>
              </w:rPr>
              <w:t>0.</w:t>
            </w:r>
            <w:r w:rsidR="00C27188" w:rsidRPr="00C27188">
              <w:rPr>
                <w:rFonts w:cs="Arial"/>
                <w:sz w:val="22"/>
                <w:szCs w:val="22"/>
              </w:rPr>
              <w:t>93</w:t>
            </w:r>
            <w:r w:rsidR="005A6D43" w:rsidRPr="00C27188">
              <w:rPr>
                <w:rFonts w:cs="Arial"/>
                <w:sz w:val="22"/>
                <w:szCs w:val="22"/>
              </w:rPr>
              <w:t xml:space="preserve"> million</w:t>
            </w:r>
            <w:r w:rsidRPr="00C27188">
              <w:rPr>
                <w:rFonts w:cs="Arial"/>
                <w:sz w:val="22"/>
                <w:szCs w:val="22"/>
              </w:rPr>
              <w:t xml:space="preserve"> as </w:t>
            </w:r>
            <w:r w:rsidR="00794816" w:rsidRPr="00C27188">
              <w:rPr>
                <w:rFonts w:cs="Arial"/>
                <w:sz w:val="22"/>
                <w:szCs w:val="22"/>
              </w:rPr>
              <w:t>TRD</w:t>
            </w:r>
            <w:r w:rsidRPr="00C27188">
              <w:rPr>
                <w:rFonts w:cs="Arial"/>
                <w:sz w:val="22"/>
                <w:szCs w:val="22"/>
              </w:rPr>
              <w:t>C’s share.</w:t>
            </w:r>
            <w:r w:rsidRPr="009004AE">
              <w:rPr>
                <w:rFonts w:cs="Arial"/>
                <w:sz w:val="22"/>
                <w:szCs w:val="22"/>
              </w:rPr>
              <w:t xml:space="preserve"> </w:t>
            </w:r>
            <w:r w:rsidR="00346D39" w:rsidRPr="009004AE">
              <w:rPr>
                <w:rFonts w:cs="Arial"/>
                <w:sz w:val="22"/>
                <w:szCs w:val="22"/>
              </w:rPr>
              <w:t xml:space="preserve"> </w:t>
            </w:r>
            <w:r w:rsidRPr="009004AE">
              <w:rPr>
                <w:rFonts w:cs="Arial"/>
                <w:sz w:val="22"/>
                <w:szCs w:val="22"/>
              </w:rPr>
              <w:t>The balance on the Collection Fund for Business Rates at 1 April 201</w:t>
            </w:r>
            <w:r w:rsidR="009004AE" w:rsidRPr="009004AE">
              <w:rPr>
                <w:rFonts w:cs="Arial"/>
                <w:sz w:val="22"/>
                <w:szCs w:val="22"/>
              </w:rPr>
              <w:t>7</w:t>
            </w:r>
            <w:r w:rsidRPr="009004AE">
              <w:rPr>
                <w:rFonts w:cs="Arial"/>
                <w:sz w:val="22"/>
                <w:szCs w:val="22"/>
              </w:rPr>
              <w:t xml:space="preserve"> was </w:t>
            </w:r>
            <w:r w:rsidRPr="00C27188">
              <w:rPr>
                <w:rFonts w:cs="Arial"/>
                <w:sz w:val="22"/>
                <w:szCs w:val="22"/>
              </w:rPr>
              <w:t>a £</w:t>
            </w:r>
            <w:r w:rsidR="00C27188" w:rsidRPr="00C27188">
              <w:rPr>
                <w:rFonts w:cs="Arial"/>
                <w:sz w:val="22"/>
                <w:szCs w:val="22"/>
              </w:rPr>
              <w:t>9.863</w:t>
            </w:r>
            <w:r w:rsidR="005A6D43" w:rsidRPr="00C27188">
              <w:rPr>
                <w:rFonts w:cs="Arial"/>
                <w:sz w:val="22"/>
                <w:szCs w:val="22"/>
              </w:rPr>
              <w:t xml:space="preserve"> million</w:t>
            </w:r>
            <w:r w:rsidRPr="00C27188">
              <w:rPr>
                <w:rFonts w:cs="Arial"/>
                <w:sz w:val="22"/>
                <w:szCs w:val="22"/>
              </w:rPr>
              <w:t xml:space="preserve"> </w:t>
            </w:r>
            <w:r w:rsidR="0056550D" w:rsidRPr="00C27188">
              <w:rPr>
                <w:rFonts w:cs="Arial"/>
                <w:sz w:val="22"/>
                <w:szCs w:val="22"/>
              </w:rPr>
              <w:t>loss</w:t>
            </w:r>
            <w:r w:rsidRPr="00C27188">
              <w:rPr>
                <w:rFonts w:cs="Arial"/>
                <w:sz w:val="22"/>
                <w:szCs w:val="22"/>
              </w:rPr>
              <w:t>, with £</w:t>
            </w:r>
            <w:r w:rsidR="00C27188" w:rsidRPr="00C27188">
              <w:rPr>
                <w:rFonts w:cs="Arial"/>
                <w:sz w:val="22"/>
                <w:szCs w:val="22"/>
              </w:rPr>
              <w:t>3.945</w:t>
            </w:r>
            <w:r w:rsidR="005A6D43" w:rsidRPr="00C27188">
              <w:rPr>
                <w:rFonts w:cs="Arial"/>
                <w:sz w:val="22"/>
                <w:szCs w:val="22"/>
              </w:rPr>
              <w:t xml:space="preserve"> million</w:t>
            </w:r>
            <w:r w:rsidRPr="00C27188">
              <w:rPr>
                <w:rFonts w:cs="Arial"/>
                <w:sz w:val="22"/>
                <w:szCs w:val="22"/>
              </w:rPr>
              <w:t xml:space="preserve"> as </w:t>
            </w:r>
            <w:r w:rsidR="00794816" w:rsidRPr="00C27188">
              <w:rPr>
                <w:rFonts w:cs="Arial"/>
                <w:sz w:val="22"/>
                <w:szCs w:val="22"/>
              </w:rPr>
              <w:t>TRD</w:t>
            </w:r>
            <w:r w:rsidRPr="00C27188">
              <w:rPr>
                <w:rFonts w:cs="Arial"/>
                <w:sz w:val="22"/>
                <w:szCs w:val="22"/>
              </w:rPr>
              <w:t xml:space="preserve">C’s share.  </w:t>
            </w:r>
            <w:r w:rsidR="0056550D" w:rsidRPr="00C27188">
              <w:rPr>
                <w:rFonts w:cs="Arial"/>
                <w:sz w:val="22"/>
                <w:szCs w:val="22"/>
              </w:rPr>
              <w:t>The Business Rates deficit will be recovered in subsequent years in the proportion to the value of the respective shares of the Business Rates Retention scheme.</w:t>
            </w:r>
          </w:p>
          <w:p w:rsidR="005A6D43" w:rsidRPr="00BF40B4" w:rsidRDefault="005A6D43" w:rsidP="001D291A">
            <w:pPr>
              <w:tabs>
                <w:tab w:val="left" w:pos="1418"/>
                <w:tab w:val="left" w:pos="2520"/>
              </w:tabs>
              <w:jc w:val="both"/>
              <w:rPr>
                <w:rFonts w:cs="Arial"/>
                <w:color w:val="4F81BD" w:themeColor="accent1"/>
                <w:sz w:val="22"/>
                <w:szCs w:val="22"/>
              </w:rPr>
            </w:pPr>
          </w:p>
        </w:tc>
      </w:tr>
      <w:tr w:rsidR="00DB00E6" w:rsidRPr="00CF7499" w:rsidTr="002D171E">
        <w:trPr>
          <w:gridBefore w:val="1"/>
          <w:wBefore w:w="34" w:type="dxa"/>
          <w:trHeight w:val="833"/>
        </w:trPr>
        <w:tc>
          <w:tcPr>
            <w:cnfStyle w:val="001000000000" w:firstRow="0" w:lastRow="0" w:firstColumn="1" w:lastColumn="0" w:oddVBand="0" w:evenVBand="0" w:oddHBand="0" w:evenHBand="0" w:firstRowFirstColumn="0" w:firstRowLastColumn="0" w:lastRowFirstColumn="0" w:lastRowLastColumn="0"/>
            <w:tcW w:w="959" w:type="dxa"/>
          </w:tcPr>
          <w:p w:rsidR="00DB00E6" w:rsidRPr="0024522C" w:rsidRDefault="00DB0916" w:rsidP="00DB0916">
            <w:pPr>
              <w:tabs>
                <w:tab w:val="left" w:pos="2835"/>
              </w:tabs>
              <w:jc w:val="both"/>
              <w:rPr>
                <w:rFonts w:cs="Arial"/>
                <w:sz w:val="22"/>
                <w:szCs w:val="22"/>
              </w:rPr>
            </w:pPr>
            <w:r>
              <w:rPr>
                <w:rFonts w:cs="Arial"/>
                <w:sz w:val="22"/>
                <w:szCs w:val="22"/>
              </w:rPr>
              <w:t>6.11</w:t>
            </w:r>
          </w:p>
        </w:tc>
        <w:tc>
          <w:tcPr>
            <w:cnfStyle w:val="000100000000" w:firstRow="0" w:lastRow="0" w:firstColumn="0" w:lastColumn="1" w:oddVBand="0" w:evenVBand="0" w:oddHBand="0" w:evenHBand="0" w:firstRowFirstColumn="0" w:firstRowLastColumn="0" w:lastRowFirstColumn="0" w:lastRowLastColumn="0"/>
            <w:tcW w:w="9072" w:type="dxa"/>
          </w:tcPr>
          <w:p w:rsidR="00DB00E6" w:rsidRPr="00241DFA" w:rsidRDefault="00DB00E6" w:rsidP="00BF40B4">
            <w:pPr>
              <w:tabs>
                <w:tab w:val="left" w:pos="1418"/>
                <w:tab w:val="left" w:pos="2520"/>
              </w:tabs>
              <w:jc w:val="both"/>
              <w:rPr>
                <w:rFonts w:cs="Arial"/>
                <w:sz w:val="22"/>
                <w:szCs w:val="22"/>
              </w:rPr>
            </w:pPr>
            <w:r w:rsidRPr="00241DFA">
              <w:rPr>
                <w:rFonts w:cs="Arial"/>
                <w:sz w:val="22"/>
                <w:szCs w:val="22"/>
                <w:lang w:eastAsia="en-GB"/>
              </w:rPr>
              <w:t xml:space="preserve">The </w:t>
            </w:r>
            <w:r w:rsidR="00911A04" w:rsidRPr="00241DFA">
              <w:rPr>
                <w:rFonts w:cs="Arial"/>
                <w:sz w:val="22"/>
                <w:szCs w:val="22"/>
                <w:lang w:eastAsia="en-GB"/>
              </w:rPr>
              <w:t>chart</w:t>
            </w:r>
            <w:r w:rsidR="00DB0916" w:rsidRPr="00241DFA">
              <w:rPr>
                <w:rFonts w:cs="Arial"/>
                <w:sz w:val="22"/>
                <w:szCs w:val="22"/>
                <w:lang w:eastAsia="en-GB"/>
              </w:rPr>
              <w:t>s</w:t>
            </w:r>
            <w:r w:rsidR="00911A04" w:rsidRPr="00241DFA">
              <w:rPr>
                <w:rFonts w:cs="Arial"/>
                <w:sz w:val="22"/>
                <w:szCs w:val="22"/>
                <w:lang w:eastAsia="en-GB"/>
              </w:rPr>
              <w:t xml:space="preserve"> below show the value</w:t>
            </w:r>
            <w:r w:rsidR="004A46B9" w:rsidRPr="00241DFA">
              <w:rPr>
                <w:rFonts w:cs="Arial"/>
                <w:sz w:val="22"/>
                <w:szCs w:val="22"/>
                <w:lang w:eastAsia="en-GB"/>
              </w:rPr>
              <w:t xml:space="preserve"> and</w:t>
            </w:r>
            <w:r w:rsidR="00911A04" w:rsidRPr="00241DFA">
              <w:rPr>
                <w:rFonts w:cs="Arial"/>
                <w:sz w:val="22"/>
                <w:szCs w:val="22"/>
                <w:lang w:eastAsia="en-GB"/>
              </w:rPr>
              <w:t xml:space="preserve"> </w:t>
            </w:r>
            <w:r w:rsidR="004A46B9" w:rsidRPr="00241DFA">
              <w:rPr>
                <w:rFonts w:cs="Arial"/>
                <w:sz w:val="22"/>
                <w:szCs w:val="22"/>
                <w:lang w:eastAsia="en-GB"/>
              </w:rPr>
              <w:t>proportion of each</w:t>
            </w:r>
            <w:r w:rsidR="00911A04" w:rsidRPr="00241DFA">
              <w:rPr>
                <w:rFonts w:cs="Arial"/>
                <w:sz w:val="22"/>
                <w:szCs w:val="22"/>
                <w:lang w:eastAsia="en-GB"/>
              </w:rPr>
              <w:t xml:space="preserve"> funding </w:t>
            </w:r>
            <w:r w:rsidR="004A46B9" w:rsidRPr="00241DFA">
              <w:rPr>
                <w:rFonts w:cs="Arial"/>
                <w:sz w:val="22"/>
                <w:szCs w:val="22"/>
                <w:lang w:eastAsia="en-GB"/>
              </w:rPr>
              <w:t>stream</w:t>
            </w:r>
            <w:r w:rsidR="00911A04" w:rsidRPr="00241DFA">
              <w:rPr>
                <w:rFonts w:cs="Arial"/>
                <w:sz w:val="22"/>
                <w:szCs w:val="22"/>
                <w:lang w:eastAsia="en-GB"/>
              </w:rPr>
              <w:t xml:space="preserve"> that supports the</w:t>
            </w:r>
            <w:r w:rsidR="004A46B9" w:rsidRPr="00241DFA">
              <w:rPr>
                <w:rFonts w:cs="Arial"/>
                <w:sz w:val="22"/>
                <w:szCs w:val="22"/>
                <w:lang w:eastAsia="en-GB"/>
              </w:rPr>
              <w:t xml:space="preserve"> Council’s revenue</w:t>
            </w:r>
            <w:r w:rsidR="00911A04" w:rsidRPr="00241DFA">
              <w:rPr>
                <w:rFonts w:cs="Arial"/>
                <w:sz w:val="22"/>
                <w:szCs w:val="22"/>
                <w:lang w:eastAsia="en-GB"/>
              </w:rPr>
              <w:t xml:space="preserve"> </w:t>
            </w:r>
            <w:r w:rsidR="0095613F" w:rsidRPr="00241DFA">
              <w:rPr>
                <w:rFonts w:cs="Arial"/>
                <w:sz w:val="22"/>
                <w:szCs w:val="22"/>
                <w:lang w:eastAsia="en-GB"/>
              </w:rPr>
              <w:t>account for</w:t>
            </w:r>
            <w:r w:rsidR="00BF40B4" w:rsidRPr="00241DFA">
              <w:rPr>
                <w:rFonts w:cs="Arial"/>
                <w:sz w:val="22"/>
                <w:szCs w:val="22"/>
                <w:lang w:eastAsia="en-GB"/>
              </w:rPr>
              <w:t xml:space="preserve"> 2018/19</w:t>
            </w:r>
            <w:r w:rsidRPr="00241DFA">
              <w:rPr>
                <w:rFonts w:cs="Arial"/>
                <w:sz w:val="22"/>
                <w:szCs w:val="22"/>
                <w:lang w:eastAsia="en-GB"/>
              </w:rPr>
              <w:t>.</w:t>
            </w:r>
          </w:p>
        </w:tc>
      </w:tr>
      <w:tr w:rsidR="00262935" w:rsidRPr="00CF7499" w:rsidTr="002D171E">
        <w:trPr>
          <w:gridBefore w:val="1"/>
          <w:wBefore w:w="34" w:type="dxa"/>
          <w:trHeight w:val="126"/>
        </w:trPr>
        <w:tc>
          <w:tcPr>
            <w:cnfStyle w:val="001000000000" w:firstRow="0" w:lastRow="0" w:firstColumn="1" w:lastColumn="0" w:oddVBand="0" w:evenVBand="0" w:oddHBand="0" w:evenHBand="0" w:firstRowFirstColumn="0" w:firstRowLastColumn="0" w:lastRowFirstColumn="0" w:lastRowLastColumn="0"/>
            <w:tcW w:w="959" w:type="dxa"/>
          </w:tcPr>
          <w:p w:rsidR="00262935" w:rsidRPr="00CF7499" w:rsidRDefault="00262935" w:rsidP="001E0F67">
            <w:pPr>
              <w:tabs>
                <w:tab w:val="left" w:pos="2835"/>
              </w:tabs>
              <w:jc w:val="both"/>
              <w:rPr>
                <w:rFonts w:cs="Arial"/>
                <w:color w:val="4F81BD" w:themeColor="accent1"/>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262935" w:rsidRPr="00241DFA" w:rsidRDefault="00262935" w:rsidP="00B13E10">
            <w:pPr>
              <w:tabs>
                <w:tab w:val="left" w:pos="1418"/>
                <w:tab w:val="left" w:pos="2520"/>
              </w:tabs>
              <w:jc w:val="both"/>
              <w:rPr>
                <w:rFonts w:cs="Arial"/>
                <w:sz w:val="22"/>
                <w:szCs w:val="22"/>
              </w:rPr>
            </w:pPr>
          </w:p>
        </w:tc>
      </w:tr>
      <w:tr w:rsidR="00CF7499" w:rsidRPr="00CF7499" w:rsidTr="002D171E">
        <w:trPr>
          <w:gridBefore w:val="1"/>
          <w:wBefore w:w="34" w:type="dxa"/>
          <w:trHeight w:val="70"/>
        </w:trPr>
        <w:tc>
          <w:tcPr>
            <w:cnfStyle w:val="001000000000" w:firstRow="0" w:lastRow="0" w:firstColumn="1" w:lastColumn="0" w:oddVBand="0" w:evenVBand="0" w:oddHBand="0" w:evenHBand="0" w:firstRowFirstColumn="0" w:firstRowLastColumn="0" w:lastRowFirstColumn="0" w:lastRowLastColumn="0"/>
            <w:tcW w:w="959" w:type="dxa"/>
          </w:tcPr>
          <w:p w:rsidR="00DB0916" w:rsidRDefault="00DB0916" w:rsidP="001E0F67">
            <w:pPr>
              <w:tabs>
                <w:tab w:val="left" w:pos="2835"/>
              </w:tabs>
              <w:jc w:val="both"/>
              <w:rPr>
                <w:rFonts w:cs="Arial"/>
                <w:color w:val="4F81BD" w:themeColor="accent1"/>
                <w:sz w:val="22"/>
                <w:szCs w:val="22"/>
              </w:rPr>
            </w:pPr>
          </w:p>
          <w:p w:rsidR="00DB0916" w:rsidRDefault="00DB0916" w:rsidP="001E0F67">
            <w:pPr>
              <w:tabs>
                <w:tab w:val="left" w:pos="2835"/>
              </w:tabs>
              <w:jc w:val="both"/>
              <w:rPr>
                <w:rFonts w:cs="Arial"/>
                <w:color w:val="4F81BD" w:themeColor="accent1"/>
                <w:sz w:val="22"/>
                <w:szCs w:val="22"/>
              </w:rPr>
            </w:pPr>
          </w:p>
          <w:p w:rsidR="00DB0916" w:rsidRDefault="00DB0916" w:rsidP="001E0F67">
            <w:pPr>
              <w:tabs>
                <w:tab w:val="left" w:pos="2835"/>
              </w:tabs>
              <w:jc w:val="both"/>
              <w:rPr>
                <w:rFonts w:cs="Arial"/>
                <w:color w:val="4F81BD" w:themeColor="accent1"/>
                <w:sz w:val="22"/>
                <w:szCs w:val="22"/>
              </w:rPr>
            </w:pPr>
          </w:p>
          <w:p w:rsidR="00DB0916" w:rsidRDefault="00DB0916" w:rsidP="001E0F67">
            <w:pPr>
              <w:tabs>
                <w:tab w:val="left" w:pos="2835"/>
              </w:tabs>
              <w:jc w:val="both"/>
              <w:rPr>
                <w:rFonts w:cs="Arial"/>
                <w:color w:val="4F81BD" w:themeColor="accent1"/>
                <w:sz w:val="22"/>
                <w:szCs w:val="22"/>
              </w:rPr>
            </w:pPr>
          </w:p>
          <w:p w:rsidR="00DB0916" w:rsidRDefault="00DB0916" w:rsidP="001E0F67">
            <w:pPr>
              <w:tabs>
                <w:tab w:val="left" w:pos="2835"/>
              </w:tabs>
              <w:jc w:val="both"/>
              <w:rPr>
                <w:rFonts w:cs="Arial"/>
                <w:color w:val="4F81BD" w:themeColor="accent1"/>
                <w:sz w:val="22"/>
                <w:szCs w:val="22"/>
              </w:rPr>
            </w:pPr>
          </w:p>
          <w:p w:rsidR="00DB0916" w:rsidRDefault="00DB0916" w:rsidP="001E0F67">
            <w:pPr>
              <w:tabs>
                <w:tab w:val="left" w:pos="2835"/>
              </w:tabs>
              <w:jc w:val="both"/>
              <w:rPr>
                <w:rFonts w:cs="Arial"/>
                <w:color w:val="4F81BD" w:themeColor="accent1"/>
                <w:sz w:val="22"/>
                <w:szCs w:val="22"/>
              </w:rPr>
            </w:pPr>
          </w:p>
          <w:p w:rsidR="00DB0916" w:rsidRDefault="00DB0916" w:rsidP="001E0F67">
            <w:pPr>
              <w:tabs>
                <w:tab w:val="left" w:pos="2835"/>
              </w:tabs>
              <w:jc w:val="both"/>
              <w:rPr>
                <w:rFonts w:cs="Arial"/>
                <w:color w:val="4F81BD" w:themeColor="accent1"/>
                <w:sz w:val="22"/>
                <w:szCs w:val="22"/>
              </w:rPr>
            </w:pPr>
          </w:p>
          <w:p w:rsidR="00DB0916" w:rsidRDefault="00DB0916" w:rsidP="001E0F67">
            <w:pPr>
              <w:tabs>
                <w:tab w:val="left" w:pos="2835"/>
              </w:tabs>
              <w:jc w:val="both"/>
              <w:rPr>
                <w:rFonts w:cs="Arial"/>
                <w:color w:val="4F81BD" w:themeColor="accent1"/>
                <w:sz w:val="22"/>
                <w:szCs w:val="22"/>
              </w:rPr>
            </w:pPr>
          </w:p>
          <w:p w:rsidR="00DB0916" w:rsidRDefault="00DB0916" w:rsidP="001E0F67">
            <w:pPr>
              <w:tabs>
                <w:tab w:val="left" w:pos="2835"/>
              </w:tabs>
              <w:jc w:val="both"/>
              <w:rPr>
                <w:rFonts w:cs="Arial"/>
                <w:color w:val="4F81BD" w:themeColor="accent1"/>
                <w:sz w:val="22"/>
                <w:szCs w:val="22"/>
              </w:rPr>
            </w:pPr>
          </w:p>
          <w:p w:rsidR="00DB0916" w:rsidRDefault="00DB0916" w:rsidP="001E0F67">
            <w:pPr>
              <w:tabs>
                <w:tab w:val="left" w:pos="2835"/>
              </w:tabs>
              <w:jc w:val="both"/>
              <w:rPr>
                <w:rFonts w:cs="Arial"/>
                <w:color w:val="4F81BD" w:themeColor="accent1"/>
                <w:sz w:val="22"/>
                <w:szCs w:val="22"/>
              </w:rPr>
            </w:pPr>
          </w:p>
          <w:p w:rsidR="00DB0916" w:rsidRDefault="00DB0916" w:rsidP="001E0F67">
            <w:pPr>
              <w:tabs>
                <w:tab w:val="left" w:pos="2835"/>
              </w:tabs>
              <w:jc w:val="both"/>
              <w:rPr>
                <w:rFonts w:cs="Arial"/>
                <w:color w:val="4F81BD" w:themeColor="accent1"/>
                <w:sz w:val="22"/>
                <w:szCs w:val="22"/>
              </w:rPr>
            </w:pPr>
          </w:p>
          <w:p w:rsidR="00DB0916" w:rsidRDefault="00DB0916" w:rsidP="001E0F67">
            <w:pPr>
              <w:tabs>
                <w:tab w:val="left" w:pos="2835"/>
              </w:tabs>
              <w:jc w:val="both"/>
              <w:rPr>
                <w:rFonts w:cs="Arial"/>
                <w:color w:val="4F81BD" w:themeColor="accent1"/>
                <w:sz w:val="22"/>
                <w:szCs w:val="22"/>
              </w:rPr>
            </w:pPr>
          </w:p>
          <w:p w:rsidR="00DB0916" w:rsidRDefault="00DB0916" w:rsidP="001E0F67">
            <w:pPr>
              <w:tabs>
                <w:tab w:val="left" w:pos="2835"/>
              </w:tabs>
              <w:jc w:val="both"/>
              <w:rPr>
                <w:rFonts w:cs="Arial"/>
                <w:color w:val="4F81BD" w:themeColor="accent1"/>
                <w:sz w:val="22"/>
                <w:szCs w:val="22"/>
              </w:rPr>
            </w:pPr>
          </w:p>
          <w:p w:rsidR="00DB0916" w:rsidRDefault="00DB0916" w:rsidP="001E0F67">
            <w:pPr>
              <w:tabs>
                <w:tab w:val="left" w:pos="2835"/>
              </w:tabs>
              <w:jc w:val="both"/>
              <w:rPr>
                <w:rFonts w:cs="Arial"/>
                <w:color w:val="4F81BD" w:themeColor="accent1"/>
                <w:sz w:val="22"/>
                <w:szCs w:val="22"/>
              </w:rPr>
            </w:pPr>
          </w:p>
          <w:p w:rsidR="00DB0916" w:rsidRPr="00CF7499" w:rsidRDefault="00DB0916" w:rsidP="00FE49E9">
            <w:pPr>
              <w:tabs>
                <w:tab w:val="left" w:pos="2835"/>
              </w:tabs>
              <w:jc w:val="both"/>
              <w:rPr>
                <w:rFonts w:cs="Arial"/>
                <w:color w:val="4F81BD" w:themeColor="accent1"/>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E2077E" w:rsidRPr="00241DFA" w:rsidRDefault="00E066AB" w:rsidP="008B6F8C">
            <w:pPr>
              <w:rPr>
                <w:sz w:val="22"/>
                <w:szCs w:val="22"/>
              </w:rPr>
            </w:pPr>
            <w:r w:rsidRPr="00241DFA">
              <w:rPr>
                <w:noProof/>
                <w:sz w:val="22"/>
                <w:szCs w:val="22"/>
                <w:lang w:eastAsia="en-GB"/>
              </w:rPr>
              <w:drawing>
                <wp:inline distT="0" distB="0" distL="0" distR="0" wp14:anchorId="152CD0D7" wp14:editId="73548312">
                  <wp:extent cx="5486400" cy="2460487"/>
                  <wp:effectExtent l="0" t="0" r="19050" b="1651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077E" w:rsidRPr="00241DFA" w:rsidRDefault="00E2077E" w:rsidP="008B6F8C">
            <w:pPr>
              <w:rPr>
                <w:sz w:val="22"/>
                <w:szCs w:val="22"/>
              </w:rPr>
            </w:pPr>
          </w:p>
        </w:tc>
      </w:tr>
      <w:tr w:rsidR="00CF7499" w:rsidRPr="00CF7499" w:rsidTr="002D171E">
        <w:trPr>
          <w:gridBefore w:val="1"/>
          <w:wBefore w:w="34" w:type="dxa"/>
          <w:trHeight w:val="70"/>
        </w:trPr>
        <w:tc>
          <w:tcPr>
            <w:cnfStyle w:val="001000000000" w:firstRow="0" w:lastRow="0" w:firstColumn="1" w:lastColumn="0" w:oddVBand="0" w:evenVBand="0" w:oddHBand="0" w:evenHBand="0" w:firstRowFirstColumn="0" w:firstRowLastColumn="0" w:lastRowFirstColumn="0" w:lastRowLastColumn="0"/>
            <w:tcW w:w="959" w:type="dxa"/>
          </w:tcPr>
          <w:p w:rsidR="00F433DA" w:rsidRDefault="00F433DA" w:rsidP="001E0F67">
            <w:pPr>
              <w:tabs>
                <w:tab w:val="left" w:pos="2835"/>
              </w:tabs>
              <w:jc w:val="both"/>
              <w:rPr>
                <w:rFonts w:cs="Arial"/>
                <w:sz w:val="22"/>
                <w:szCs w:val="22"/>
              </w:rPr>
            </w:pPr>
          </w:p>
          <w:p w:rsidR="008B6F8C" w:rsidRPr="00241DFA" w:rsidRDefault="00613A3E" w:rsidP="001E0F67">
            <w:pPr>
              <w:tabs>
                <w:tab w:val="left" w:pos="2835"/>
              </w:tabs>
              <w:jc w:val="both"/>
              <w:rPr>
                <w:rFonts w:cs="Arial"/>
                <w:sz w:val="22"/>
                <w:szCs w:val="22"/>
              </w:rPr>
            </w:pPr>
            <w:r w:rsidRPr="00241DFA">
              <w:rPr>
                <w:rFonts w:cs="Arial"/>
                <w:sz w:val="22"/>
                <w:szCs w:val="22"/>
              </w:rPr>
              <w:lastRenderedPageBreak/>
              <w:t>7.</w:t>
            </w:r>
          </w:p>
          <w:p w:rsidR="00613A3E" w:rsidRPr="00241DFA" w:rsidRDefault="00613A3E" w:rsidP="001E0F67">
            <w:pPr>
              <w:tabs>
                <w:tab w:val="left" w:pos="2835"/>
              </w:tabs>
              <w:jc w:val="both"/>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F433DA" w:rsidRDefault="00F433DA" w:rsidP="00B373E3">
            <w:pPr>
              <w:rPr>
                <w:rFonts w:cs="Arial"/>
                <w:b/>
                <w:sz w:val="22"/>
                <w:szCs w:val="22"/>
              </w:rPr>
            </w:pPr>
          </w:p>
          <w:p w:rsidR="008B6F8C" w:rsidRPr="00241DFA" w:rsidRDefault="00613A3E" w:rsidP="00B373E3">
            <w:pPr>
              <w:rPr>
                <w:rFonts w:cs="Arial"/>
                <w:b/>
                <w:sz w:val="22"/>
                <w:szCs w:val="22"/>
              </w:rPr>
            </w:pPr>
            <w:r w:rsidRPr="00241DFA">
              <w:rPr>
                <w:rFonts w:cs="Arial"/>
                <w:b/>
                <w:sz w:val="22"/>
                <w:szCs w:val="22"/>
              </w:rPr>
              <w:lastRenderedPageBreak/>
              <w:t>Budget Consultation</w:t>
            </w:r>
          </w:p>
        </w:tc>
      </w:tr>
      <w:tr w:rsidR="00613A3E" w:rsidRPr="00B373E3" w:rsidTr="002D171E">
        <w:trPr>
          <w:gridBefore w:val="1"/>
          <w:wBefore w:w="34" w:type="dxa"/>
          <w:trHeight w:val="70"/>
        </w:trPr>
        <w:tc>
          <w:tcPr>
            <w:cnfStyle w:val="001000000000" w:firstRow="0" w:lastRow="0" w:firstColumn="1" w:lastColumn="0" w:oddVBand="0" w:evenVBand="0" w:oddHBand="0" w:evenHBand="0" w:firstRowFirstColumn="0" w:firstRowLastColumn="0" w:lastRowFirstColumn="0" w:lastRowLastColumn="0"/>
            <w:tcW w:w="959" w:type="dxa"/>
          </w:tcPr>
          <w:p w:rsidR="00613A3E" w:rsidRPr="00E066AB" w:rsidRDefault="00613A3E" w:rsidP="004440EB">
            <w:pPr>
              <w:tabs>
                <w:tab w:val="left" w:pos="2835"/>
              </w:tabs>
              <w:jc w:val="both"/>
              <w:rPr>
                <w:rFonts w:cs="Arial"/>
                <w:sz w:val="22"/>
                <w:szCs w:val="22"/>
              </w:rPr>
            </w:pPr>
            <w:r w:rsidRPr="00E066AB">
              <w:rPr>
                <w:rFonts w:cs="Arial"/>
                <w:sz w:val="22"/>
                <w:szCs w:val="22"/>
              </w:rPr>
              <w:lastRenderedPageBreak/>
              <w:t>7.</w:t>
            </w:r>
            <w:r w:rsidR="004440EB">
              <w:rPr>
                <w:rFonts w:cs="Arial"/>
                <w:sz w:val="22"/>
                <w:szCs w:val="22"/>
              </w:rPr>
              <w:t>1</w:t>
            </w:r>
          </w:p>
        </w:tc>
        <w:tc>
          <w:tcPr>
            <w:cnfStyle w:val="000100000000" w:firstRow="0" w:lastRow="0" w:firstColumn="0" w:lastColumn="1" w:oddVBand="0" w:evenVBand="0" w:oddHBand="0" w:evenHBand="0" w:firstRowFirstColumn="0" w:firstRowLastColumn="0" w:lastRowFirstColumn="0" w:lastRowLastColumn="0"/>
            <w:tcW w:w="9072" w:type="dxa"/>
          </w:tcPr>
          <w:p w:rsidR="004440EB" w:rsidRPr="004440EB" w:rsidRDefault="004440EB" w:rsidP="004440EB">
            <w:pPr>
              <w:rPr>
                <w:iCs/>
                <w:sz w:val="22"/>
                <w:szCs w:val="22"/>
              </w:rPr>
            </w:pPr>
            <w:r w:rsidRPr="004440EB">
              <w:rPr>
                <w:iCs/>
                <w:sz w:val="22"/>
                <w:szCs w:val="22"/>
              </w:rPr>
              <w:t xml:space="preserve">The Council consulted on budget proposals for the period 2018/19, via an on-line proposal document.  Customers, stakeholders, businesses and partner agencies were invited to read the proposals and to respond directly to the consultation email address, with their opinions.  </w:t>
            </w:r>
            <w:r w:rsidRPr="004440EB">
              <w:rPr>
                <w:rFonts w:cs="Arial"/>
                <w:sz w:val="22"/>
                <w:szCs w:val="22"/>
              </w:rPr>
              <w:t xml:space="preserve">The consultation completed on </w:t>
            </w:r>
            <w:r>
              <w:rPr>
                <w:rFonts w:cs="Arial"/>
                <w:sz w:val="22"/>
                <w:szCs w:val="22"/>
              </w:rPr>
              <w:t xml:space="preserve">16 </w:t>
            </w:r>
            <w:r w:rsidRPr="004440EB">
              <w:rPr>
                <w:rFonts w:cs="Arial"/>
                <w:sz w:val="22"/>
                <w:szCs w:val="22"/>
              </w:rPr>
              <w:t>January 201</w:t>
            </w:r>
            <w:r w:rsidR="00215E88">
              <w:rPr>
                <w:rFonts w:cs="Arial"/>
                <w:sz w:val="22"/>
                <w:szCs w:val="22"/>
              </w:rPr>
              <w:t>8</w:t>
            </w:r>
            <w:r w:rsidRPr="004440EB">
              <w:rPr>
                <w:rFonts w:cs="Arial"/>
                <w:sz w:val="22"/>
                <w:szCs w:val="22"/>
              </w:rPr>
              <w:t xml:space="preserve"> </w:t>
            </w:r>
            <w:r>
              <w:rPr>
                <w:rFonts w:cs="Arial"/>
                <w:sz w:val="22"/>
                <w:szCs w:val="22"/>
              </w:rPr>
              <w:t xml:space="preserve">and a </w:t>
            </w:r>
            <w:r w:rsidRPr="004440EB">
              <w:rPr>
                <w:iCs/>
                <w:sz w:val="22"/>
                <w:szCs w:val="22"/>
              </w:rPr>
              <w:t>report will be compiled with the responses and presented to Members for their consideration</w:t>
            </w:r>
            <w:r>
              <w:rPr>
                <w:iCs/>
                <w:sz w:val="22"/>
                <w:szCs w:val="22"/>
              </w:rPr>
              <w:t xml:space="preserve"> in February.</w:t>
            </w:r>
          </w:p>
          <w:p w:rsidR="00E65D17" w:rsidRPr="009004AE" w:rsidRDefault="00E65D17" w:rsidP="004440EB">
            <w:pPr>
              <w:jc w:val="both"/>
              <w:rPr>
                <w:rFonts w:cs="Arial"/>
                <w:i/>
                <w:color w:val="4F81BD" w:themeColor="accent1"/>
                <w:szCs w:val="22"/>
                <w:highlight w:val="yellow"/>
              </w:rPr>
            </w:pPr>
          </w:p>
        </w:tc>
      </w:tr>
      <w:tr w:rsidR="00CF7499" w:rsidRPr="00CF7499" w:rsidTr="002D171E">
        <w:trPr>
          <w:gridBefore w:val="1"/>
          <w:wBefore w:w="34" w:type="dxa"/>
          <w:trHeight w:val="520"/>
        </w:trPr>
        <w:tc>
          <w:tcPr>
            <w:cnfStyle w:val="001000000000" w:firstRow="0" w:lastRow="0" w:firstColumn="1" w:lastColumn="0" w:oddVBand="0" w:evenVBand="0" w:oddHBand="0" w:evenHBand="0" w:firstRowFirstColumn="0" w:firstRowLastColumn="0" w:lastRowFirstColumn="0" w:lastRowLastColumn="0"/>
            <w:tcW w:w="959" w:type="dxa"/>
          </w:tcPr>
          <w:p w:rsidR="00BC3FF3" w:rsidRPr="00A66EC8" w:rsidRDefault="00613A3E" w:rsidP="001E0F67">
            <w:pPr>
              <w:tabs>
                <w:tab w:val="left" w:pos="2835"/>
              </w:tabs>
              <w:jc w:val="both"/>
              <w:rPr>
                <w:rFonts w:cs="Arial"/>
                <w:sz w:val="22"/>
                <w:szCs w:val="22"/>
              </w:rPr>
            </w:pPr>
            <w:r>
              <w:rPr>
                <w:rFonts w:cs="Arial"/>
                <w:sz w:val="22"/>
                <w:szCs w:val="22"/>
              </w:rPr>
              <w:t>8</w:t>
            </w:r>
            <w:r w:rsidR="00BC3FF3" w:rsidRPr="00A66EC8">
              <w:rPr>
                <w:rFonts w:cs="Arial"/>
                <w:sz w:val="22"/>
                <w:szCs w:val="22"/>
              </w:rPr>
              <w:t>.</w:t>
            </w:r>
          </w:p>
          <w:p w:rsidR="00BC3FF3" w:rsidRPr="00A66EC8" w:rsidRDefault="00BC3FF3" w:rsidP="001E0F67">
            <w:pPr>
              <w:tabs>
                <w:tab w:val="left" w:pos="2835"/>
              </w:tabs>
              <w:jc w:val="both"/>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BC3FF3" w:rsidRPr="00613A3E" w:rsidRDefault="00BC3FF3" w:rsidP="001E0F67">
            <w:pPr>
              <w:jc w:val="both"/>
              <w:rPr>
                <w:rFonts w:cs="Arial"/>
                <w:b/>
                <w:sz w:val="22"/>
                <w:szCs w:val="22"/>
              </w:rPr>
            </w:pPr>
            <w:r w:rsidRPr="00613A3E">
              <w:rPr>
                <w:rFonts w:cs="Arial"/>
                <w:b/>
                <w:sz w:val="22"/>
                <w:szCs w:val="22"/>
              </w:rPr>
              <w:t xml:space="preserve">Draft Revenue Estimates and General Fund Balance </w:t>
            </w:r>
          </w:p>
        </w:tc>
      </w:tr>
      <w:tr w:rsidR="00CF7499" w:rsidRPr="00CF7499" w:rsidTr="002D171E">
        <w:trPr>
          <w:gridBefore w:val="1"/>
          <w:wBefore w:w="34" w:type="dxa"/>
          <w:trHeight w:val="740"/>
        </w:trPr>
        <w:tc>
          <w:tcPr>
            <w:cnfStyle w:val="001000000000" w:firstRow="0" w:lastRow="0" w:firstColumn="1" w:lastColumn="0" w:oddVBand="0" w:evenVBand="0" w:oddHBand="0" w:evenHBand="0" w:firstRowFirstColumn="0" w:firstRowLastColumn="0" w:lastRowFirstColumn="0" w:lastRowLastColumn="0"/>
            <w:tcW w:w="959" w:type="dxa"/>
          </w:tcPr>
          <w:p w:rsidR="00BC3FF3" w:rsidRPr="00492CFB" w:rsidRDefault="00613A3E" w:rsidP="001E0F67">
            <w:pPr>
              <w:tabs>
                <w:tab w:val="left" w:pos="2835"/>
              </w:tabs>
              <w:ind w:right="-592"/>
              <w:jc w:val="both"/>
              <w:rPr>
                <w:rFonts w:cs="Arial"/>
                <w:sz w:val="22"/>
                <w:szCs w:val="22"/>
              </w:rPr>
            </w:pPr>
            <w:r w:rsidRPr="00492CFB">
              <w:rPr>
                <w:rFonts w:cs="Arial"/>
                <w:sz w:val="22"/>
                <w:szCs w:val="22"/>
              </w:rPr>
              <w:t>8</w:t>
            </w:r>
            <w:r w:rsidR="00BC3FF3" w:rsidRPr="00492CFB">
              <w:rPr>
                <w:rFonts w:cs="Arial"/>
                <w:sz w:val="22"/>
                <w:szCs w:val="22"/>
              </w:rPr>
              <w:t>.</w:t>
            </w:r>
            <w:r w:rsidR="006C1324" w:rsidRPr="00492CFB">
              <w:rPr>
                <w:rFonts w:cs="Arial"/>
                <w:sz w:val="22"/>
                <w:szCs w:val="22"/>
              </w:rPr>
              <w:t>1</w:t>
            </w:r>
          </w:p>
          <w:p w:rsidR="00BC3FF3" w:rsidRPr="00BF40B4" w:rsidRDefault="00BC3FF3" w:rsidP="001E0F67">
            <w:pPr>
              <w:jc w:val="both"/>
              <w:rPr>
                <w:rFonts w:cs="Arial"/>
                <w:color w:val="4F81BD" w:themeColor="accent1"/>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BC3FF3" w:rsidRPr="00492CFB" w:rsidRDefault="00BC3FF3" w:rsidP="001E0F67">
            <w:pPr>
              <w:jc w:val="both"/>
              <w:rPr>
                <w:sz w:val="22"/>
                <w:szCs w:val="22"/>
              </w:rPr>
            </w:pPr>
            <w:r w:rsidRPr="00492CFB">
              <w:rPr>
                <w:sz w:val="22"/>
                <w:szCs w:val="22"/>
              </w:rPr>
              <w:t>The Director of Finance confirms the estimates have been correctly calculated under the assumptions used and that balances remain adequate.</w:t>
            </w:r>
          </w:p>
          <w:p w:rsidR="00BC3FF3" w:rsidRPr="00492CFB" w:rsidRDefault="00BC3FF3" w:rsidP="001E0F67">
            <w:pPr>
              <w:tabs>
                <w:tab w:val="left" w:pos="0"/>
              </w:tabs>
              <w:jc w:val="both"/>
              <w:rPr>
                <w:sz w:val="22"/>
                <w:szCs w:val="22"/>
              </w:rPr>
            </w:pPr>
          </w:p>
        </w:tc>
      </w:tr>
      <w:tr w:rsidR="00CF7499" w:rsidRPr="00CF7499" w:rsidTr="002D171E">
        <w:trPr>
          <w:gridBefore w:val="1"/>
          <w:wBefore w:w="34" w:type="dxa"/>
          <w:trHeight w:val="740"/>
        </w:trPr>
        <w:tc>
          <w:tcPr>
            <w:cnfStyle w:val="001000000000" w:firstRow="0" w:lastRow="0" w:firstColumn="1" w:lastColumn="0" w:oddVBand="0" w:evenVBand="0" w:oddHBand="0" w:evenHBand="0" w:firstRowFirstColumn="0" w:firstRowLastColumn="0" w:lastRowFirstColumn="0" w:lastRowLastColumn="0"/>
            <w:tcW w:w="959" w:type="dxa"/>
          </w:tcPr>
          <w:p w:rsidR="00BC3FF3" w:rsidRPr="00241DFA" w:rsidRDefault="00613A3E" w:rsidP="006C1324">
            <w:pPr>
              <w:tabs>
                <w:tab w:val="left" w:pos="2835"/>
              </w:tabs>
              <w:ind w:right="-592"/>
              <w:jc w:val="both"/>
              <w:rPr>
                <w:rFonts w:cs="Arial"/>
                <w:sz w:val="22"/>
                <w:szCs w:val="22"/>
              </w:rPr>
            </w:pPr>
            <w:r w:rsidRPr="00241DFA">
              <w:rPr>
                <w:rFonts w:cs="Arial"/>
                <w:sz w:val="22"/>
                <w:szCs w:val="22"/>
              </w:rPr>
              <w:t>8</w:t>
            </w:r>
            <w:r w:rsidR="00BC3FF3" w:rsidRPr="00241DFA">
              <w:rPr>
                <w:rFonts w:cs="Arial"/>
                <w:sz w:val="22"/>
                <w:szCs w:val="22"/>
              </w:rPr>
              <w:t>.</w:t>
            </w:r>
            <w:r w:rsidR="006C1324" w:rsidRPr="00241DFA">
              <w:rPr>
                <w:rFonts w:cs="Arial"/>
                <w:sz w:val="22"/>
                <w:szCs w:val="22"/>
              </w:rPr>
              <w:t>2</w:t>
            </w:r>
          </w:p>
        </w:tc>
        <w:tc>
          <w:tcPr>
            <w:cnfStyle w:val="000100000000" w:firstRow="0" w:lastRow="0" w:firstColumn="0" w:lastColumn="1" w:oddVBand="0" w:evenVBand="0" w:oddHBand="0" w:evenHBand="0" w:firstRowFirstColumn="0" w:firstRowLastColumn="0" w:lastRowFirstColumn="0" w:lastRowLastColumn="0"/>
            <w:tcW w:w="9072" w:type="dxa"/>
          </w:tcPr>
          <w:p w:rsidR="00BC3FF3" w:rsidRPr="00241DFA" w:rsidRDefault="00BC3FF3" w:rsidP="006C1324">
            <w:pPr>
              <w:jc w:val="both"/>
              <w:rPr>
                <w:sz w:val="22"/>
                <w:szCs w:val="22"/>
              </w:rPr>
            </w:pPr>
            <w:r w:rsidRPr="00241DFA">
              <w:rPr>
                <w:sz w:val="22"/>
                <w:szCs w:val="22"/>
              </w:rPr>
              <w:t>The Council’s financial exposure over a three-year medium-term period has been calculated for each of its budgetary risks.</w:t>
            </w:r>
            <w:r w:rsidR="00346D39" w:rsidRPr="00241DFA">
              <w:rPr>
                <w:sz w:val="22"/>
                <w:szCs w:val="22"/>
              </w:rPr>
              <w:t xml:space="preserve"> </w:t>
            </w:r>
            <w:r w:rsidRPr="00241DFA">
              <w:rPr>
                <w:sz w:val="22"/>
                <w:szCs w:val="22"/>
              </w:rPr>
              <w:t xml:space="preserve"> It is acknowledged that were any of the risks to occur then the impact might last </w:t>
            </w:r>
            <w:r w:rsidR="0097182F" w:rsidRPr="00241DFA">
              <w:rPr>
                <w:sz w:val="22"/>
                <w:szCs w:val="22"/>
              </w:rPr>
              <w:t>longer;</w:t>
            </w:r>
            <w:r w:rsidRPr="00241DFA">
              <w:rPr>
                <w:sz w:val="22"/>
                <w:szCs w:val="22"/>
              </w:rPr>
              <w:t xml:space="preserve"> on the other hand actions to mitigate the risk would be taken over the three year period. </w:t>
            </w:r>
          </w:p>
          <w:p w:rsidR="006C1324" w:rsidRPr="00241DFA" w:rsidRDefault="006C1324" w:rsidP="006C1324">
            <w:pPr>
              <w:jc w:val="both"/>
              <w:rPr>
                <w:sz w:val="22"/>
                <w:szCs w:val="22"/>
              </w:rPr>
            </w:pPr>
          </w:p>
        </w:tc>
      </w:tr>
      <w:tr w:rsidR="00CF7499" w:rsidRPr="00CF7499" w:rsidTr="002D171E">
        <w:trPr>
          <w:gridBefore w:val="1"/>
          <w:wBefore w:w="34" w:type="dxa"/>
          <w:trHeight w:val="740"/>
        </w:trPr>
        <w:tc>
          <w:tcPr>
            <w:cnfStyle w:val="001000000000" w:firstRow="0" w:lastRow="0" w:firstColumn="1" w:lastColumn="0" w:oddVBand="0" w:evenVBand="0" w:oddHBand="0" w:evenHBand="0" w:firstRowFirstColumn="0" w:firstRowLastColumn="0" w:lastRowFirstColumn="0" w:lastRowLastColumn="0"/>
            <w:tcW w:w="959" w:type="dxa"/>
          </w:tcPr>
          <w:p w:rsidR="00BC3FF3" w:rsidRPr="00492CFB" w:rsidRDefault="00613A3E" w:rsidP="006C1324">
            <w:pPr>
              <w:tabs>
                <w:tab w:val="left" w:pos="2835"/>
              </w:tabs>
              <w:ind w:right="-592"/>
              <w:jc w:val="both"/>
              <w:rPr>
                <w:rFonts w:cs="Arial"/>
                <w:sz w:val="22"/>
                <w:szCs w:val="22"/>
              </w:rPr>
            </w:pPr>
            <w:r w:rsidRPr="00492CFB">
              <w:rPr>
                <w:rFonts w:cs="Arial"/>
                <w:sz w:val="22"/>
                <w:szCs w:val="22"/>
              </w:rPr>
              <w:t>8</w:t>
            </w:r>
            <w:r w:rsidR="00BC3FF3" w:rsidRPr="00492CFB">
              <w:rPr>
                <w:rFonts w:cs="Arial"/>
                <w:sz w:val="22"/>
                <w:szCs w:val="22"/>
              </w:rPr>
              <w:t>.</w:t>
            </w:r>
            <w:r w:rsidR="006C1324" w:rsidRPr="00492CFB">
              <w:rPr>
                <w:rFonts w:cs="Arial"/>
                <w:sz w:val="22"/>
                <w:szCs w:val="22"/>
              </w:rPr>
              <w:t>3</w:t>
            </w:r>
          </w:p>
        </w:tc>
        <w:tc>
          <w:tcPr>
            <w:cnfStyle w:val="000100000000" w:firstRow="0" w:lastRow="0" w:firstColumn="0" w:lastColumn="1" w:oddVBand="0" w:evenVBand="0" w:oddHBand="0" w:evenHBand="0" w:firstRowFirstColumn="0" w:firstRowLastColumn="0" w:lastRowFirstColumn="0" w:lastRowLastColumn="0"/>
            <w:tcW w:w="9072" w:type="dxa"/>
          </w:tcPr>
          <w:p w:rsidR="00BC3FF3" w:rsidRPr="00492CFB" w:rsidRDefault="00BC3FF3" w:rsidP="001E0F67">
            <w:pPr>
              <w:jc w:val="both"/>
              <w:rPr>
                <w:sz w:val="22"/>
                <w:szCs w:val="22"/>
              </w:rPr>
            </w:pPr>
            <w:r w:rsidRPr="00492CFB">
              <w:rPr>
                <w:sz w:val="22"/>
                <w:szCs w:val="22"/>
              </w:rPr>
              <w:t xml:space="preserve">Balances can be used to support revenue expenditure, applied to capital expenditure or a combination of these. </w:t>
            </w:r>
            <w:r w:rsidR="00492CFB" w:rsidRPr="00492CFB">
              <w:rPr>
                <w:sz w:val="22"/>
                <w:szCs w:val="22"/>
              </w:rPr>
              <w:t xml:space="preserve"> </w:t>
            </w:r>
            <w:r w:rsidRPr="00492CFB">
              <w:rPr>
                <w:sz w:val="22"/>
                <w:szCs w:val="22"/>
              </w:rPr>
              <w:t xml:space="preserve">The Council should agree to retain some of the balance as ‘working balances’. These should be retained at a prudent minimum to assist cash flow management, avoid the need to borrow in the short term, and cover unforeseen expenditure. The prudent minimum level of balances depends on the council’s view of its financial risks and is considered further under </w:t>
            </w:r>
            <w:r w:rsidR="00DB00E6" w:rsidRPr="00492CFB">
              <w:rPr>
                <w:sz w:val="22"/>
                <w:szCs w:val="22"/>
              </w:rPr>
              <w:t>r</w:t>
            </w:r>
            <w:r w:rsidRPr="00492CFB">
              <w:rPr>
                <w:sz w:val="22"/>
                <w:szCs w:val="22"/>
              </w:rPr>
              <w:t xml:space="preserve">isk </w:t>
            </w:r>
            <w:r w:rsidR="00DB00E6" w:rsidRPr="00492CFB">
              <w:rPr>
                <w:sz w:val="22"/>
                <w:szCs w:val="22"/>
              </w:rPr>
              <w:t>m</w:t>
            </w:r>
            <w:r w:rsidRPr="00492CFB">
              <w:rPr>
                <w:sz w:val="22"/>
                <w:szCs w:val="22"/>
              </w:rPr>
              <w:t>anagement below.</w:t>
            </w:r>
          </w:p>
          <w:p w:rsidR="00BC3FF3" w:rsidRPr="00492CFB" w:rsidRDefault="00BC3FF3" w:rsidP="001E0F67">
            <w:pPr>
              <w:jc w:val="both"/>
              <w:rPr>
                <w:sz w:val="22"/>
                <w:szCs w:val="22"/>
              </w:rPr>
            </w:pPr>
          </w:p>
        </w:tc>
      </w:tr>
      <w:tr w:rsidR="00CF7499" w:rsidRPr="00CF7499" w:rsidTr="002D171E">
        <w:trPr>
          <w:gridBefore w:val="1"/>
          <w:wBefore w:w="34" w:type="dxa"/>
          <w:trHeight w:val="740"/>
        </w:trPr>
        <w:tc>
          <w:tcPr>
            <w:cnfStyle w:val="001000000000" w:firstRow="0" w:lastRow="0" w:firstColumn="1" w:lastColumn="0" w:oddVBand="0" w:evenVBand="0" w:oddHBand="0" w:evenHBand="0" w:firstRowFirstColumn="0" w:firstRowLastColumn="0" w:lastRowFirstColumn="0" w:lastRowLastColumn="0"/>
            <w:tcW w:w="959" w:type="dxa"/>
          </w:tcPr>
          <w:p w:rsidR="00BC3FF3" w:rsidRPr="00492CFB" w:rsidRDefault="00613A3E" w:rsidP="006C1324">
            <w:pPr>
              <w:tabs>
                <w:tab w:val="left" w:pos="2835"/>
              </w:tabs>
              <w:ind w:right="-592"/>
              <w:jc w:val="both"/>
              <w:rPr>
                <w:rFonts w:cs="Arial"/>
                <w:sz w:val="22"/>
                <w:szCs w:val="22"/>
              </w:rPr>
            </w:pPr>
            <w:r w:rsidRPr="00492CFB">
              <w:rPr>
                <w:rFonts w:cs="Arial"/>
                <w:sz w:val="22"/>
                <w:szCs w:val="22"/>
              </w:rPr>
              <w:t>8</w:t>
            </w:r>
            <w:r w:rsidR="00BC3FF3" w:rsidRPr="00492CFB">
              <w:rPr>
                <w:rFonts w:cs="Arial"/>
                <w:sz w:val="22"/>
                <w:szCs w:val="22"/>
              </w:rPr>
              <w:t>.</w:t>
            </w:r>
            <w:r w:rsidR="006C1324" w:rsidRPr="00492CFB">
              <w:rPr>
                <w:rFonts w:cs="Arial"/>
                <w:sz w:val="22"/>
                <w:szCs w:val="22"/>
              </w:rPr>
              <w:t>4</w:t>
            </w:r>
          </w:p>
        </w:tc>
        <w:tc>
          <w:tcPr>
            <w:cnfStyle w:val="000100000000" w:firstRow="0" w:lastRow="0" w:firstColumn="0" w:lastColumn="1" w:oddVBand="0" w:evenVBand="0" w:oddHBand="0" w:evenHBand="0" w:firstRowFirstColumn="0" w:firstRowLastColumn="0" w:lastRowFirstColumn="0" w:lastRowLastColumn="0"/>
            <w:tcW w:w="9072" w:type="dxa"/>
          </w:tcPr>
          <w:p w:rsidR="00E65D17" w:rsidRPr="00492CFB" w:rsidRDefault="00BC3FF3" w:rsidP="001E0F67">
            <w:pPr>
              <w:jc w:val="both"/>
              <w:rPr>
                <w:sz w:val="22"/>
                <w:szCs w:val="22"/>
              </w:rPr>
            </w:pPr>
            <w:r w:rsidRPr="00492CFB">
              <w:rPr>
                <w:sz w:val="22"/>
                <w:szCs w:val="22"/>
              </w:rPr>
              <w:t xml:space="preserve">The Committee is recommended to agree £2,000,000 as the minimum </w:t>
            </w:r>
            <w:r w:rsidR="00DB00E6" w:rsidRPr="00492CFB">
              <w:rPr>
                <w:sz w:val="22"/>
                <w:szCs w:val="22"/>
              </w:rPr>
              <w:t>g</w:t>
            </w:r>
            <w:r w:rsidRPr="00492CFB">
              <w:rPr>
                <w:sz w:val="22"/>
                <w:szCs w:val="22"/>
              </w:rPr>
              <w:t xml:space="preserve">eneral </w:t>
            </w:r>
            <w:r w:rsidR="00DB00E6" w:rsidRPr="00492CFB">
              <w:rPr>
                <w:sz w:val="22"/>
                <w:szCs w:val="22"/>
              </w:rPr>
              <w:t>f</w:t>
            </w:r>
            <w:r w:rsidRPr="00492CFB">
              <w:rPr>
                <w:sz w:val="22"/>
                <w:szCs w:val="22"/>
              </w:rPr>
              <w:t>und balance over the medium term.</w:t>
            </w:r>
            <w:r w:rsidR="004C65D5" w:rsidRPr="00492CFB">
              <w:rPr>
                <w:sz w:val="22"/>
                <w:szCs w:val="22"/>
              </w:rPr>
              <w:t xml:space="preserve"> </w:t>
            </w:r>
            <w:r w:rsidR="00613A3E" w:rsidRPr="00492CFB">
              <w:rPr>
                <w:sz w:val="22"/>
                <w:szCs w:val="22"/>
              </w:rPr>
              <w:t xml:space="preserve"> </w:t>
            </w:r>
          </w:p>
          <w:p w:rsidR="00BC3FF3" w:rsidRPr="00492CFB" w:rsidRDefault="00BC3FF3" w:rsidP="001E0F67">
            <w:pPr>
              <w:jc w:val="both"/>
              <w:rPr>
                <w:sz w:val="22"/>
                <w:szCs w:val="22"/>
              </w:rPr>
            </w:pPr>
          </w:p>
        </w:tc>
      </w:tr>
      <w:tr w:rsidR="00CF7499" w:rsidRPr="00CF7499" w:rsidTr="002D171E">
        <w:trPr>
          <w:gridBefore w:val="1"/>
          <w:wBefore w:w="34" w:type="dxa"/>
          <w:trHeight w:val="561"/>
        </w:trPr>
        <w:tc>
          <w:tcPr>
            <w:cnfStyle w:val="001000000000" w:firstRow="0" w:lastRow="0" w:firstColumn="1" w:lastColumn="0" w:oddVBand="0" w:evenVBand="0" w:oddHBand="0" w:evenHBand="0" w:firstRowFirstColumn="0" w:firstRowLastColumn="0" w:lastRowFirstColumn="0" w:lastRowLastColumn="0"/>
            <w:tcW w:w="959" w:type="dxa"/>
          </w:tcPr>
          <w:p w:rsidR="00BC3FF3" w:rsidRPr="00A66EC8" w:rsidRDefault="00613A3E" w:rsidP="00613A3E">
            <w:pPr>
              <w:tabs>
                <w:tab w:val="left" w:pos="2835"/>
              </w:tabs>
              <w:jc w:val="both"/>
              <w:rPr>
                <w:rFonts w:cs="Arial"/>
                <w:sz w:val="22"/>
                <w:szCs w:val="22"/>
              </w:rPr>
            </w:pPr>
            <w:r>
              <w:rPr>
                <w:rFonts w:cs="Arial"/>
                <w:sz w:val="22"/>
                <w:szCs w:val="22"/>
              </w:rPr>
              <w:t>9</w:t>
            </w:r>
            <w:r w:rsidR="00C73A68" w:rsidRPr="00A66EC8">
              <w:rPr>
                <w:rFonts w:cs="Arial"/>
                <w:sz w:val="22"/>
                <w:szCs w:val="22"/>
              </w:rPr>
              <w:t>.</w:t>
            </w:r>
          </w:p>
        </w:tc>
        <w:tc>
          <w:tcPr>
            <w:cnfStyle w:val="000100000000" w:firstRow="0" w:lastRow="0" w:firstColumn="0" w:lastColumn="1" w:oddVBand="0" w:evenVBand="0" w:oddHBand="0" w:evenHBand="0" w:firstRowFirstColumn="0" w:firstRowLastColumn="0" w:lastRowFirstColumn="0" w:lastRowLastColumn="0"/>
            <w:tcW w:w="9072" w:type="dxa"/>
          </w:tcPr>
          <w:p w:rsidR="00BC3FF3" w:rsidRPr="00A66EC8" w:rsidRDefault="00BC3FF3" w:rsidP="001E0F67">
            <w:pPr>
              <w:jc w:val="both"/>
              <w:rPr>
                <w:rFonts w:cs="Arial"/>
                <w:sz w:val="22"/>
                <w:szCs w:val="22"/>
              </w:rPr>
            </w:pPr>
            <w:r w:rsidRPr="00A66EC8">
              <w:rPr>
                <w:b/>
                <w:sz w:val="22"/>
                <w:szCs w:val="22"/>
              </w:rPr>
              <w:t>Options/Reasons for Recommendation</w:t>
            </w:r>
          </w:p>
        </w:tc>
      </w:tr>
      <w:tr w:rsidR="00CF7499" w:rsidRPr="00CF7499" w:rsidTr="002D171E">
        <w:trPr>
          <w:gridBefore w:val="1"/>
          <w:wBefore w:w="34" w:type="dxa"/>
          <w:trHeight w:val="740"/>
        </w:trPr>
        <w:tc>
          <w:tcPr>
            <w:cnfStyle w:val="001000000000" w:firstRow="0" w:lastRow="0" w:firstColumn="1" w:lastColumn="0" w:oddVBand="0" w:evenVBand="0" w:oddHBand="0" w:evenHBand="0" w:firstRowFirstColumn="0" w:firstRowLastColumn="0" w:lastRowFirstColumn="0" w:lastRowLastColumn="0"/>
            <w:tcW w:w="959" w:type="dxa"/>
          </w:tcPr>
          <w:p w:rsidR="00BC3FF3" w:rsidRPr="00A66EC8" w:rsidRDefault="00613A3E" w:rsidP="001E0F67">
            <w:pPr>
              <w:tabs>
                <w:tab w:val="left" w:pos="2835"/>
              </w:tabs>
              <w:jc w:val="both"/>
              <w:rPr>
                <w:rFonts w:cs="Arial"/>
                <w:sz w:val="22"/>
                <w:szCs w:val="22"/>
              </w:rPr>
            </w:pPr>
            <w:r>
              <w:rPr>
                <w:rFonts w:cs="Arial"/>
                <w:sz w:val="22"/>
                <w:szCs w:val="22"/>
              </w:rPr>
              <w:t>9</w:t>
            </w:r>
            <w:r w:rsidR="00BC3FF3" w:rsidRPr="00A66EC8">
              <w:rPr>
                <w:rFonts w:cs="Arial"/>
                <w:sz w:val="22"/>
                <w:szCs w:val="22"/>
              </w:rPr>
              <w:t>.1</w:t>
            </w:r>
          </w:p>
        </w:tc>
        <w:tc>
          <w:tcPr>
            <w:cnfStyle w:val="000100000000" w:firstRow="0" w:lastRow="0" w:firstColumn="0" w:lastColumn="1" w:oddVBand="0" w:evenVBand="0" w:oddHBand="0" w:evenHBand="0" w:firstRowFirstColumn="0" w:firstRowLastColumn="0" w:lastRowFirstColumn="0" w:lastRowLastColumn="0"/>
            <w:tcW w:w="9072" w:type="dxa"/>
          </w:tcPr>
          <w:p w:rsidR="00BC3FF3" w:rsidRPr="00A66EC8" w:rsidRDefault="00BC3FF3" w:rsidP="00BF40B4">
            <w:pPr>
              <w:jc w:val="both"/>
              <w:rPr>
                <w:rFonts w:cs="Arial"/>
                <w:sz w:val="22"/>
                <w:szCs w:val="22"/>
              </w:rPr>
            </w:pPr>
            <w:r w:rsidRPr="00A66EC8">
              <w:rPr>
                <w:rFonts w:cs="Arial"/>
                <w:sz w:val="22"/>
                <w:szCs w:val="22"/>
              </w:rPr>
              <w:t>The recommendation below enables the Committee to make recommendations to the Council on 2</w:t>
            </w:r>
            <w:r w:rsidR="00BF40B4">
              <w:rPr>
                <w:rFonts w:cs="Arial"/>
                <w:sz w:val="22"/>
                <w:szCs w:val="22"/>
              </w:rPr>
              <w:t>0</w:t>
            </w:r>
            <w:r w:rsidRPr="00A66EC8">
              <w:rPr>
                <w:rFonts w:cs="Arial"/>
                <w:sz w:val="22"/>
                <w:szCs w:val="22"/>
              </w:rPr>
              <w:t xml:space="preserve"> February 201</w:t>
            </w:r>
            <w:r w:rsidR="00BF40B4">
              <w:rPr>
                <w:rFonts w:cs="Arial"/>
                <w:sz w:val="22"/>
                <w:szCs w:val="22"/>
              </w:rPr>
              <w:t>8</w:t>
            </w:r>
            <w:r w:rsidRPr="00A66EC8">
              <w:rPr>
                <w:rFonts w:cs="Arial"/>
                <w:sz w:val="22"/>
                <w:szCs w:val="22"/>
              </w:rPr>
              <w:t xml:space="preserve"> concerning the Council’s budget.</w:t>
            </w:r>
          </w:p>
        </w:tc>
      </w:tr>
      <w:tr w:rsidR="00CF7499" w:rsidRPr="00CF7499" w:rsidTr="002D171E">
        <w:trPr>
          <w:gridBefore w:val="1"/>
          <w:wBefore w:w="34" w:type="dxa"/>
          <w:trHeight w:val="524"/>
        </w:trPr>
        <w:tc>
          <w:tcPr>
            <w:cnfStyle w:val="001000000000" w:firstRow="0" w:lastRow="0" w:firstColumn="1" w:lastColumn="0" w:oddVBand="0" w:evenVBand="0" w:oddHBand="0" w:evenHBand="0" w:firstRowFirstColumn="0" w:firstRowLastColumn="0" w:lastRowFirstColumn="0" w:lastRowLastColumn="0"/>
            <w:tcW w:w="959" w:type="dxa"/>
          </w:tcPr>
          <w:p w:rsidR="00BC3FF3" w:rsidRPr="00A66EC8" w:rsidRDefault="00613A3E" w:rsidP="00613A3E">
            <w:pPr>
              <w:tabs>
                <w:tab w:val="left" w:pos="2835"/>
              </w:tabs>
              <w:jc w:val="both"/>
              <w:rPr>
                <w:rFonts w:cs="Arial"/>
                <w:sz w:val="22"/>
                <w:szCs w:val="22"/>
              </w:rPr>
            </w:pPr>
            <w:r>
              <w:rPr>
                <w:rFonts w:cs="Arial"/>
                <w:sz w:val="22"/>
                <w:szCs w:val="22"/>
              </w:rPr>
              <w:t>10</w:t>
            </w:r>
            <w:r w:rsidR="00C73A68" w:rsidRPr="00A66EC8">
              <w:rPr>
                <w:rFonts w:cs="Arial"/>
                <w:sz w:val="22"/>
                <w:szCs w:val="22"/>
              </w:rPr>
              <w:t>.</w:t>
            </w:r>
          </w:p>
        </w:tc>
        <w:tc>
          <w:tcPr>
            <w:cnfStyle w:val="000100000000" w:firstRow="0" w:lastRow="0" w:firstColumn="0" w:lastColumn="1" w:oddVBand="0" w:evenVBand="0" w:oddHBand="0" w:evenHBand="0" w:firstRowFirstColumn="0" w:firstRowLastColumn="0" w:lastRowFirstColumn="0" w:lastRowLastColumn="0"/>
            <w:tcW w:w="9072" w:type="dxa"/>
          </w:tcPr>
          <w:p w:rsidR="00BC3FF3" w:rsidRPr="00A66EC8" w:rsidRDefault="00BC3FF3" w:rsidP="001E0F67">
            <w:pPr>
              <w:keepNext/>
              <w:ind w:left="1267" w:hanging="1267"/>
              <w:rPr>
                <w:sz w:val="22"/>
                <w:szCs w:val="22"/>
              </w:rPr>
            </w:pPr>
            <w:r w:rsidRPr="00A66EC8">
              <w:rPr>
                <w:b/>
                <w:sz w:val="22"/>
                <w:szCs w:val="22"/>
              </w:rPr>
              <w:t>Policy/Budget Reference and Implications</w:t>
            </w:r>
          </w:p>
          <w:p w:rsidR="00BC3FF3" w:rsidRPr="00A66EC8" w:rsidRDefault="00BC3FF3" w:rsidP="001E0F67">
            <w:pPr>
              <w:jc w:val="both"/>
              <w:rPr>
                <w:rFonts w:cs="Arial"/>
                <w:sz w:val="22"/>
                <w:szCs w:val="22"/>
              </w:rPr>
            </w:pPr>
          </w:p>
        </w:tc>
      </w:tr>
      <w:tr w:rsidR="00CF7499" w:rsidRPr="00CF7499" w:rsidTr="002D171E">
        <w:trPr>
          <w:gridBefore w:val="1"/>
          <w:wBefore w:w="34" w:type="dxa"/>
          <w:trHeight w:val="740"/>
        </w:trPr>
        <w:tc>
          <w:tcPr>
            <w:cnfStyle w:val="001000000000" w:firstRow="0" w:lastRow="0" w:firstColumn="1" w:lastColumn="0" w:oddVBand="0" w:evenVBand="0" w:oddHBand="0" w:evenHBand="0" w:firstRowFirstColumn="0" w:firstRowLastColumn="0" w:lastRowFirstColumn="0" w:lastRowLastColumn="0"/>
            <w:tcW w:w="959" w:type="dxa"/>
          </w:tcPr>
          <w:p w:rsidR="00BC3FF3" w:rsidRPr="00A66EC8" w:rsidRDefault="00613A3E" w:rsidP="00613A3E">
            <w:pPr>
              <w:tabs>
                <w:tab w:val="left" w:pos="2835"/>
              </w:tabs>
              <w:jc w:val="both"/>
              <w:rPr>
                <w:rFonts w:cs="Arial"/>
                <w:sz w:val="22"/>
                <w:szCs w:val="22"/>
              </w:rPr>
            </w:pPr>
            <w:r>
              <w:rPr>
                <w:rFonts w:cs="Arial"/>
                <w:sz w:val="22"/>
                <w:szCs w:val="22"/>
              </w:rPr>
              <w:t>10</w:t>
            </w:r>
            <w:r w:rsidR="00BC3FF3" w:rsidRPr="00A66EC8">
              <w:rPr>
                <w:rFonts w:cs="Arial"/>
                <w:sz w:val="22"/>
                <w:szCs w:val="22"/>
              </w:rPr>
              <w:t>.1</w:t>
            </w:r>
          </w:p>
        </w:tc>
        <w:tc>
          <w:tcPr>
            <w:cnfStyle w:val="000100000000" w:firstRow="0" w:lastRow="0" w:firstColumn="0" w:lastColumn="1" w:oddVBand="0" w:evenVBand="0" w:oddHBand="0" w:evenHBand="0" w:firstRowFirstColumn="0" w:firstRowLastColumn="0" w:lastRowFirstColumn="0" w:lastRowLastColumn="0"/>
            <w:tcW w:w="9072" w:type="dxa"/>
          </w:tcPr>
          <w:p w:rsidR="00BC3FF3" w:rsidRPr="00A66EC8" w:rsidRDefault="00BC3FF3" w:rsidP="001E0F67">
            <w:pPr>
              <w:jc w:val="both"/>
              <w:rPr>
                <w:rFonts w:cs="Arial"/>
                <w:sz w:val="22"/>
                <w:szCs w:val="22"/>
              </w:rPr>
            </w:pPr>
            <w:r w:rsidRPr="00A66EC8">
              <w:rPr>
                <w:rFonts w:cs="Arial"/>
                <w:sz w:val="22"/>
                <w:szCs w:val="22"/>
              </w:rPr>
              <w:t>The recommendations in this report contribute to the process whereby the Council will approve and adopt its budget under Article 4 of the Council’s Constitution.</w:t>
            </w:r>
          </w:p>
        </w:tc>
      </w:tr>
      <w:tr w:rsidR="00CF7499" w:rsidRPr="00CF7499" w:rsidTr="002D171E">
        <w:trPr>
          <w:gridBefore w:val="1"/>
          <w:wBefore w:w="34" w:type="dxa"/>
          <w:trHeight w:val="740"/>
        </w:trPr>
        <w:tc>
          <w:tcPr>
            <w:cnfStyle w:val="001000000000" w:firstRow="0" w:lastRow="0" w:firstColumn="1" w:lastColumn="0" w:oddVBand="0" w:evenVBand="0" w:oddHBand="0" w:evenHBand="0" w:firstRowFirstColumn="0" w:firstRowLastColumn="0" w:lastRowFirstColumn="0" w:lastRowLastColumn="0"/>
            <w:tcW w:w="959" w:type="dxa"/>
          </w:tcPr>
          <w:p w:rsidR="00BC3FF3" w:rsidRPr="00A66EC8" w:rsidRDefault="00BC3FF3" w:rsidP="00613A3E">
            <w:pPr>
              <w:tabs>
                <w:tab w:val="left" w:pos="2835"/>
              </w:tabs>
              <w:jc w:val="both"/>
              <w:rPr>
                <w:rFonts w:cs="Arial"/>
                <w:sz w:val="22"/>
                <w:szCs w:val="22"/>
              </w:rPr>
            </w:pPr>
            <w:r w:rsidRPr="00A66EC8">
              <w:rPr>
                <w:rFonts w:cs="Arial"/>
                <w:sz w:val="22"/>
                <w:szCs w:val="22"/>
              </w:rPr>
              <w:t>1</w:t>
            </w:r>
            <w:r w:rsidR="00613A3E">
              <w:rPr>
                <w:rFonts w:cs="Arial"/>
                <w:sz w:val="22"/>
                <w:szCs w:val="22"/>
              </w:rPr>
              <w:t>1</w:t>
            </w:r>
            <w:r w:rsidR="00C73A68" w:rsidRPr="00A66EC8">
              <w:rPr>
                <w:rFonts w:cs="Arial"/>
                <w:sz w:val="22"/>
                <w:szCs w:val="22"/>
              </w:rPr>
              <w:t>.</w:t>
            </w:r>
          </w:p>
        </w:tc>
        <w:tc>
          <w:tcPr>
            <w:cnfStyle w:val="000100000000" w:firstRow="0" w:lastRow="0" w:firstColumn="0" w:lastColumn="1" w:oddVBand="0" w:evenVBand="0" w:oddHBand="0" w:evenHBand="0" w:firstRowFirstColumn="0" w:firstRowLastColumn="0" w:lastRowFirstColumn="0" w:lastRowLastColumn="0"/>
            <w:tcW w:w="9072" w:type="dxa"/>
          </w:tcPr>
          <w:p w:rsidR="00BC3FF3" w:rsidRPr="00A66EC8" w:rsidRDefault="00BC3FF3" w:rsidP="009B5C2A">
            <w:pPr>
              <w:ind w:left="34" w:hanging="34"/>
              <w:rPr>
                <w:sz w:val="22"/>
                <w:szCs w:val="22"/>
              </w:rPr>
            </w:pPr>
            <w:r w:rsidRPr="00A66EC8">
              <w:rPr>
                <w:b/>
                <w:sz w:val="22"/>
                <w:szCs w:val="22"/>
              </w:rPr>
              <w:t>Environmental, Community Safety, Customer Services Centre, Communications &amp; Website Implications</w:t>
            </w:r>
          </w:p>
          <w:p w:rsidR="00BC3FF3" w:rsidRPr="00A66EC8" w:rsidRDefault="00BC3FF3" w:rsidP="001E0F67">
            <w:pPr>
              <w:ind w:left="1267" w:hanging="1267"/>
              <w:jc w:val="both"/>
              <w:rPr>
                <w:rFonts w:cs="Arial"/>
                <w:sz w:val="22"/>
                <w:szCs w:val="22"/>
              </w:rPr>
            </w:pPr>
          </w:p>
        </w:tc>
      </w:tr>
      <w:tr w:rsidR="00CF7499" w:rsidRPr="00CF7499" w:rsidTr="002D171E">
        <w:trPr>
          <w:gridBefore w:val="1"/>
          <w:wBefore w:w="34" w:type="dxa"/>
          <w:trHeight w:val="468"/>
        </w:trPr>
        <w:tc>
          <w:tcPr>
            <w:cnfStyle w:val="001000000000" w:firstRow="0" w:lastRow="0" w:firstColumn="1" w:lastColumn="0" w:oddVBand="0" w:evenVBand="0" w:oddHBand="0" w:evenHBand="0" w:firstRowFirstColumn="0" w:firstRowLastColumn="0" w:lastRowFirstColumn="0" w:lastRowLastColumn="0"/>
            <w:tcW w:w="959" w:type="dxa"/>
          </w:tcPr>
          <w:p w:rsidR="00BC3FF3" w:rsidRPr="00A66EC8" w:rsidRDefault="00BC3FF3" w:rsidP="00613A3E">
            <w:pPr>
              <w:tabs>
                <w:tab w:val="left" w:pos="2835"/>
              </w:tabs>
              <w:jc w:val="both"/>
              <w:rPr>
                <w:rFonts w:cs="Arial"/>
                <w:sz w:val="22"/>
                <w:szCs w:val="22"/>
              </w:rPr>
            </w:pPr>
            <w:r w:rsidRPr="00A66EC8">
              <w:rPr>
                <w:rFonts w:cs="Arial"/>
                <w:sz w:val="22"/>
                <w:szCs w:val="22"/>
              </w:rPr>
              <w:t>1</w:t>
            </w:r>
            <w:r w:rsidR="00613A3E">
              <w:rPr>
                <w:rFonts w:cs="Arial"/>
                <w:sz w:val="22"/>
                <w:szCs w:val="22"/>
              </w:rPr>
              <w:t>1</w:t>
            </w:r>
            <w:r w:rsidRPr="00A66EC8">
              <w:rPr>
                <w:rFonts w:cs="Arial"/>
                <w:sz w:val="22"/>
                <w:szCs w:val="22"/>
              </w:rPr>
              <w:t>.1</w:t>
            </w:r>
          </w:p>
        </w:tc>
        <w:tc>
          <w:tcPr>
            <w:cnfStyle w:val="000100000000" w:firstRow="0" w:lastRow="0" w:firstColumn="0" w:lastColumn="1" w:oddVBand="0" w:evenVBand="0" w:oddHBand="0" w:evenHBand="0" w:firstRowFirstColumn="0" w:firstRowLastColumn="0" w:lastRowFirstColumn="0" w:lastRowLastColumn="0"/>
            <w:tcW w:w="9072" w:type="dxa"/>
          </w:tcPr>
          <w:p w:rsidR="00BC3FF3" w:rsidRPr="00A66EC8" w:rsidRDefault="00BC3FF3" w:rsidP="001E0F67">
            <w:pPr>
              <w:jc w:val="both"/>
              <w:rPr>
                <w:rFonts w:cs="Arial"/>
                <w:sz w:val="22"/>
                <w:szCs w:val="22"/>
              </w:rPr>
            </w:pPr>
            <w:r w:rsidRPr="00A66EC8">
              <w:rPr>
                <w:sz w:val="22"/>
              </w:rPr>
              <w:t>Dependent on budget decisions</w:t>
            </w:r>
            <w:r w:rsidR="0069369A" w:rsidRPr="00A66EC8">
              <w:rPr>
                <w:sz w:val="22"/>
              </w:rPr>
              <w:t>.</w:t>
            </w:r>
            <w:r w:rsidRPr="00A66EC8">
              <w:rPr>
                <w:rFonts w:cs="Arial"/>
                <w:sz w:val="22"/>
                <w:szCs w:val="22"/>
              </w:rPr>
              <w:t xml:space="preserve"> </w:t>
            </w:r>
          </w:p>
        </w:tc>
      </w:tr>
      <w:tr w:rsidR="00CF7499" w:rsidRPr="00CF7499" w:rsidTr="002D171E">
        <w:trPr>
          <w:gridBefore w:val="1"/>
          <w:wBefore w:w="34" w:type="dxa"/>
          <w:trHeight w:val="432"/>
        </w:trPr>
        <w:tc>
          <w:tcPr>
            <w:cnfStyle w:val="001000000000" w:firstRow="0" w:lastRow="0" w:firstColumn="1" w:lastColumn="0" w:oddVBand="0" w:evenVBand="0" w:oddHBand="0" w:evenHBand="0" w:firstRowFirstColumn="0" w:firstRowLastColumn="0" w:lastRowFirstColumn="0" w:lastRowLastColumn="0"/>
            <w:tcW w:w="959" w:type="dxa"/>
          </w:tcPr>
          <w:p w:rsidR="00BC3FF3" w:rsidRPr="00A66EC8" w:rsidRDefault="00BC3FF3" w:rsidP="00613A3E">
            <w:pPr>
              <w:jc w:val="both"/>
              <w:rPr>
                <w:rFonts w:cs="Arial"/>
                <w:sz w:val="22"/>
                <w:szCs w:val="22"/>
              </w:rPr>
            </w:pPr>
            <w:r w:rsidRPr="00A66EC8">
              <w:rPr>
                <w:rFonts w:cs="Arial"/>
                <w:sz w:val="22"/>
                <w:szCs w:val="22"/>
              </w:rPr>
              <w:t>1</w:t>
            </w:r>
            <w:r w:rsidR="00613A3E">
              <w:rPr>
                <w:rFonts w:cs="Arial"/>
                <w:sz w:val="22"/>
                <w:szCs w:val="22"/>
              </w:rPr>
              <w:t>2</w:t>
            </w:r>
            <w:r w:rsidR="00C73A68" w:rsidRPr="00A66EC8">
              <w:rPr>
                <w:rFonts w:cs="Arial"/>
                <w:sz w:val="22"/>
                <w:szCs w:val="22"/>
              </w:rPr>
              <w:t>.</w:t>
            </w:r>
          </w:p>
        </w:tc>
        <w:tc>
          <w:tcPr>
            <w:cnfStyle w:val="000100000000" w:firstRow="0" w:lastRow="0" w:firstColumn="0" w:lastColumn="1" w:oddVBand="0" w:evenVBand="0" w:oddHBand="0" w:evenHBand="0" w:firstRowFirstColumn="0" w:firstRowLastColumn="0" w:lastRowFirstColumn="0" w:lastRowLastColumn="0"/>
            <w:tcW w:w="9072" w:type="dxa"/>
          </w:tcPr>
          <w:p w:rsidR="00BC3FF3" w:rsidRPr="00A66EC8" w:rsidRDefault="00BC3FF3" w:rsidP="001E0F67">
            <w:pPr>
              <w:jc w:val="both"/>
              <w:rPr>
                <w:b/>
                <w:sz w:val="22"/>
                <w:szCs w:val="22"/>
              </w:rPr>
            </w:pPr>
            <w:r w:rsidRPr="00A66EC8">
              <w:rPr>
                <w:b/>
                <w:sz w:val="22"/>
                <w:szCs w:val="22"/>
              </w:rPr>
              <w:t>Financial Implications</w:t>
            </w:r>
          </w:p>
          <w:p w:rsidR="00BC3FF3" w:rsidRPr="00A66EC8" w:rsidRDefault="00BC3FF3" w:rsidP="001E0F67">
            <w:pPr>
              <w:jc w:val="both"/>
              <w:rPr>
                <w:rFonts w:cs="Arial"/>
                <w:sz w:val="22"/>
                <w:szCs w:val="22"/>
              </w:rPr>
            </w:pPr>
          </w:p>
        </w:tc>
      </w:tr>
      <w:tr w:rsidR="00CF7499" w:rsidRPr="00CF7499" w:rsidTr="002D171E">
        <w:trPr>
          <w:gridBefore w:val="1"/>
          <w:wBefore w:w="34" w:type="dxa"/>
          <w:trHeight w:val="352"/>
        </w:trPr>
        <w:tc>
          <w:tcPr>
            <w:cnfStyle w:val="001000000000" w:firstRow="0" w:lastRow="0" w:firstColumn="1" w:lastColumn="0" w:oddVBand="0" w:evenVBand="0" w:oddHBand="0" w:evenHBand="0" w:firstRowFirstColumn="0" w:firstRowLastColumn="0" w:lastRowFirstColumn="0" w:lastRowLastColumn="0"/>
            <w:tcW w:w="959" w:type="dxa"/>
          </w:tcPr>
          <w:p w:rsidR="00BC3FF3" w:rsidRPr="00A66EC8" w:rsidRDefault="00BC3FF3" w:rsidP="00613A3E">
            <w:pPr>
              <w:jc w:val="both"/>
              <w:rPr>
                <w:rFonts w:cs="Arial"/>
                <w:sz w:val="22"/>
                <w:szCs w:val="22"/>
              </w:rPr>
            </w:pPr>
            <w:r w:rsidRPr="00A66EC8">
              <w:rPr>
                <w:rFonts w:cs="Arial"/>
                <w:sz w:val="22"/>
                <w:szCs w:val="22"/>
              </w:rPr>
              <w:t>1</w:t>
            </w:r>
            <w:r w:rsidR="00613A3E">
              <w:rPr>
                <w:rFonts w:cs="Arial"/>
                <w:sz w:val="22"/>
                <w:szCs w:val="22"/>
              </w:rPr>
              <w:t>2</w:t>
            </w:r>
            <w:r w:rsidRPr="00A66EC8">
              <w:rPr>
                <w:rFonts w:cs="Arial"/>
                <w:sz w:val="22"/>
                <w:szCs w:val="22"/>
              </w:rPr>
              <w:t>.1</w:t>
            </w:r>
          </w:p>
        </w:tc>
        <w:tc>
          <w:tcPr>
            <w:cnfStyle w:val="000100000000" w:firstRow="0" w:lastRow="0" w:firstColumn="0" w:lastColumn="1" w:oddVBand="0" w:evenVBand="0" w:oddHBand="0" w:evenHBand="0" w:firstRowFirstColumn="0" w:firstRowLastColumn="0" w:lastRowFirstColumn="0" w:lastRowLastColumn="0"/>
            <w:tcW w:w="9072" w:type="dxa"/>
          </w:tcPr>
          <w:p w:rsidR="00BC3FF3" w:rsidRPr="00A66EC8" w:rsidRDefault="00BC3FF3" w:rsidP="001E0F67">
            <w:pPr>
              <w:jc w:val="both"/>
              <w:rPr>
                <w:sz w:val="22"/>
                <w:szCs w:val="22"/>
              </w:rPr>
            </w:pPr>
            <w:r w:rsidRPr="00A66EC8">
              <w:rPr>
                <w:sz w:val="22"/>
                <w:szCs w:val="22"/>
              </w:rPr>
              <w:t>Included above</w:t>
            </w:r>
            <w:r w:rsidR="0069369A" w:rsidRPr="00A66EC8">
              <w:rPr>
                <w:sz w:val="22"/>
                <w:szCs w:val="22"/>
              </w:rPr>
              <w:t>.</w:t>
            </w:r>
          </w:p>
          <w:p w:rsidR="00BC3FF3" w:rsidRPr="00A66EC8" w:rsidRDefault="00BC3FF3" w:rsidP="001E0F67">
            <w:pPr>
              <w:jc w:val="both"/>
              <w:rPr>
                <w:rFonts w:cs="Arial"/>
                <w:sz w:val="22"/>
                <w:szCs w:val="22"/>
              </w:rPr>
            </w:pPr>
          </w:p>
        </w:tc>
      </w:tr>
      <w:tr w:rsidR="00CF7499" w:rsidRPr="00CF7499" w:rsidTr="002D171E">
        <w:trPr>
          <w:gridBefore w:val="1"/>
          <w:wBefore w:w="34" w:type="dxa"/>
          <w:trHeight w:val="532"/>
        </w:trPr>
        <w:tc>
          <w:tcPr>
            <w:cnfStyle w:val="001000000000" w:firstRow="0" w:lastRow="0" w:firstColumn="1" w:lastColumn="0" w:oddVBand="0" w:evenVBand="0" w:oddHBand="0" w:evenHBand="0" w:firstRowFirstColumn="0" w:firstRowLastColumn="0" w:lastRowFirstColumn="0" w:lastRowLastColumn="0"/>
            <w:tcW w:w="959" w:type="dxa"/>
          </w:tcPr>
          <w:p w:rsidR="00BC3FF3" w:rsidRPr="00A66EC8" w:rsidRDefault="00BC3FF3" w:rsidP="00613A3E">
            <w:pPr>
              <w:jc w:val="both"/>
              <w:rPr>
                <w:rFonts w:cs="Arial"/>
                <w:sz w:val="22"/>
                <w:szCs w:val="22"/>
              </w:rPr>
            </w:pPr>
            <w:r w:rsidRPr="00A66EC8">
              <w:rPr>
                <w:rFonts w:cs="Arial"/>
                <w:sz w:val="22"/>
                <w:szCs w:val="22"/>
              </w:rPr>
              <w:t>1</w:t>
            </w:r>
            <w:r w:rsidR="00613A3E">
              <w:rPr>
                <w:rFonts w:cs="Arial"/>
                <w:sz w:val="22"/>
                <w:szCs w:val="22"/>
              </w:rPr>
              <w:t>3</w:t>
            </w:r>
            <w:r w:rsidR="00C73A68" w:rsidRPr="00A66EC8">
              <w:rPr>
                <w:rFonts w:cs="Arial"/>
                <w:sz w:val="22"/>
                <w:szCs w:val="22"/>
              </w:rPr>
              <w:t>.</w:t>
            </w:r>
          </w:p>
        </w:tc>
        <w:tc>
          <w:tcPr>
            <w:cnfStyle w:val="000100000000" w:firstRow="0" w:lastRow="0" w:firstColumn="0" w:lastColumn="1" w:oddVBand="0" w:evenVBand="0" w:oddHBand="0" w:evenHBand="0" w:firstRowFirstColumn="0" w:firstRowLastColumn="0" w:lastRowFirstColumn="0" w:lastRowLastColumn="0"/>
            <w:tcW w:w="9072" w:type="dxa"/>
          </w:tcPr>
          <w:p w:rsidR="00BC3FF3" w:rsidRPr="00A66EC8" w:rsidRDefault="00BC3FF3" w:rsidP="001E0F67">
            <w:pPr>
              <w:ind w:left="1267" w:hanging="1267"/>
              <w:rPr>
                <w:sz w:val="22"/>
                <w:szCs w:val="22"/>
              </w:rPr>
            </w:pPr>
            <w:r w:rsidRPr="00A66EC8">
              <w:rPr>
                <w:b/>
                <w:sz w:val="22"/>
                <w:szCs w:val="22"/>
              </w:rPr>
              <w:t>Legal Implications</w:t>
            </w:r>
          </w:p>
          <w:p w:rsidR="00BC3FF3" w:rsidRPr="00A66EC8" w:rsidRDefault="00BC3FF3" w:rsidP="001E0F67">
            <w:pPr>
              <w:jc w:val="both"/>
              <w:rPr>
                <w:rFonts w:cs="Arial"/>
                <w:sz w:val="22"/>
                <w:szCs w:val="22"/>
              </w:rPr>
            </w:pPr>
          </w:p>
        </w:tc>
      </w:tr>
      <w:tr w:rsidR="00CF7499" w:rsidRPr="00CF7499" w:rsidTr="002D171E">
        <w:trPr>
          <w:gridBefore w:val="1"/>
          <w:wBefore w:w="34" w:type="dxa"/>
          <w:trHeight w:val="740"/>
        </w:trPr>
        <w:tc>
          <w:tcPr>
            <w:cnfStyle w:val="001000000000" w:firstRow="0" w:lastRow="0" w:firstColumn="1" w:lastColumn="0" w:oddVBand="0" w:evenVBand="0" w:oddHBand="0" w:evenHBand="0" w:firstRowFirstColumn="0" w:firstRowLastColumn="0" w:lastRowFirstColumn="0" w:lastRowLastColumn="0"/>
            <w:tcW w:w="959" w:type="dxa"/>
          </w:tcPr>
          <w:p w:rsidR="00BC3FF3" w:rsidRPr="00A66EC8" w:rsidRDefault="00BC3FF3" w:rsidP="00613A3E">
            <w:pPr>
              <w:jc w:val="both"/>
              <w:rPr>
                <w:rFonts w:cs="Arial"/>
                <w:sz w:val="22"/>
                <w:szCs w:val="22"/>
              </w:rPr>
            </w:pPr>
            <w:r w:rsidRPr="00A66EC8">
              <w:rPr>
                <w:rFonts w:cs="Arial"/>
                <w:sz w:val="22"/>
                <w:szCs w:val="22"/>
              </w:rPr>
              <w:t>1</w:t>
            </w:r>
            <w:r w:rsidR="00613A3E">
              <w:rPr>
                <w:rFonts w:cs="Arial"/>
                <w:sz w:val="22"/>
                <w:szCs w:val="22"/>
              </w:rPr>
              <w:t>3</w:t>
            </w:r>
            <w:r w:rsidRPr="00A66EC8">
              <w:rPr>
                <w:rFonts w:cs="Arial"/>
                <w:sz w:val="22"/>
                <w:szCs w:val="22"/>
              </w:rPr>
              <w:t>.1</w:t>
            </w:r>
          </w:p>
        </w:tc>
        <w:tc>
          <w:tcPr>
            <w:cnfStyle w:val="000100000000" w:firstRow="0" w:lastRow="0" w:firstColumn="0" w:lastColumn="1" w:oddVBand="0" w:evenVBand="0" w:oddHBand="0" w:evenHBand="0" w:firstRowFirstColumn="0" w:firstRowLastColumn="0" w:lastRowFirstColumn="0" w:lastRowLastColumn="0"/>
            <w:tcW w:w="9072" w:type="dxa"/>
          </w:tcPr>
          <w:p w:rsidR="00BC3FF3" w:rsidRPr="00A66EC8" w:rsidRDefault="00BC3FF3" w:rsidP="001E0F67">
            <w:pPr>
              <w:jc w:val="both"/>
              <w:rPr>
                <w:rFonts w:cs="Arial"/>
                <w:sz w:val="22"/>
                <w:szCs w:val="22"/>
              </w:rPr>
            </w:pPr>
            <w:r w:rsidRPr="00A66EC8">
              <w:rPr>
                <w:rFonts w:cs="Arial"/>
                <w:sz w:val="22"/>
                <w:szCs w:val="22"/>
              </w:rPr>
              <w:t xml:space="preserve">The </w:t>
            </w:r>
            <w:r w:rsidR="00DD7537" w:rsidRPr="00A66EC8">
              <w:rPr>
                <w:rFonts w:cs="Arial"/>
                <w:sz w:val="22"/>
                <w:szCs w:val="22"/>
              </w:rPr>
              <w:t>Policy and Resources</w:t>
            </w:r>
            <w:r w:rsidRPr="00A66EC8">
              <w:rPr>
                <w:rFonts w:cs="Arial"/>
                <w:sz w:val="22"/>
                <w:szCs w:val="22"/>
              </w:rPr>
              <w:t xml:space="preserve"> Committee must forward </w:t>
            </w:r>
            <w:r w:rsidR="000F138C" w:rsidRPr="00A66EC8">
              <w:rPr>
                <w:rFonts w:cs="Arial"/>
                <w:sz w:val="22"/>
                <w:szCs w:val="22"/>
              </w:rPr>
              <w:t>its</w:t>
            </w:r>
            <w:r w:rsidRPr="00A66EC8">
              <w:rPr>
                <w:rFonts w:cs="Arial"/>
                <w:sz w:val="22"/>
                <w:szCs w:val="22"/>
              </w:rPr>
              <w:t xml:space="preserve"> recommendations on the budget to Council. The Council must set its </w:t>
            </w:r>
            <w:r w:rsidR="00BF40B4">
              <w:rPr>
                <w:rFonts w:cs="Arial"/>
                <w:sz w:val="22"/>
                <w:szCs w:val="22"/>
              </w:rPr>
              <w:t>2018/19</w:t>
            </w:r>
            <w:r w:rsidRPr="00A66EC8">
              <w:rPr>
                <w:rFonts w:cs="Arial"/>
                <w:sz w:val="22"/>
                <w:szCs w:val="22"/>
              </w:rPr>
              <w:t xml:space="preserve"> budget by 11 March 201</w:t>
            </w:r>
            <w:r w:rsidR="00BF40B4">
              <w:rPr>
                <w:rFonts w:cs="Arial"/>
                <w:sz w:val="22"/>
                <w:szCs w:val="22"/>
              </w:rPr>
              <w:t>8</w:t>
            </w:r>
            <w:r w:rsidRPr="00A66EC8">
              <w:rPr>
                <w:rFonts w:cs="Arial"/>
                <w:sz w:val="22"/>
                <w:szCs w:val="22"/>
              </w:rPr>
              <w:t xml:space="preserve">. </w:t>
            </w:r>
          </w:p>
          <w:p w:rsidR="00FA56D9" w:rsidRPr="00A66EC8" w:rsidRDefault="00FA56D9" w:rsidP="001E0F67">
            <w:pPr>
              <w:jc w:val="both"/>
              <w:rPr>
                <w:sz w:val="22"/>
                <w:szCs w:val="22"/>
              </w:rPr>
            </w:pPr>
          </w:p>
        </w:tc>
      </w:tr>
      <w:tr w:rsidR="00CF7499" w:rsidRPr="00CF7499" w:rsidTr="002D171E">
        <w:trPr>
          <w:gridBefore w:val="1"/>
          <w:wBefore w:w="34" w:type="dxa"/>
          <w:trHeight w:val="487"/>
        </w:trPr>
        <w:tc>
          <w:tcPr>
            <w:cnfStyle w:val="001000000000" w:firstRow="0" w:lastRow="0" w:firstColumn="1" w:lastColumn="0" w:oddVBand="0" w:evenVBand="0" w:oddHBand="0" w:evenHBand="0" w:firstRowFirstColumn="0" w:firstRowLastColumn="0" w:lastRowFirstColumn="0" w:lastRowLastColumn="0"/>
            <w:tcW w:w="959" w:type="dxa"/>
          </w:tcPr>
          <w:p w:rsidR="00BC3FF3" w:rsidRPr="00A66EC8" w:rsidRDefault="00BC3FF3" w:rsidP="00613A3E">
            <w:pPr>
              <w:jc w:val="both"/>
              <w:rPr>
                <w:rFonts w:cs="Arial"/>
                <w:sz w:val="22"/>
                <w:szCs w:val="22"/>
              </w:rPr>
            </w:pPr>
            <w:r w:rsidRPr="00A66EC8">
              <w:rPr>
                <w:rFonts w:cs="Arial"/>
                <w:sz w:val="22"/>
                <w:szCs w:val="22"/>
              </w:rPr>
              <w:t>1</w:t>
            </w:r>
            <w:r w:rsidR="00613A3E">
              <w:rPr>
                <w:rFonts w:cs="Arial"/>
                <w:sz w:val="22"/>
                <w:szCs w:val="22"/>
              </w:rPr>
              <w:t>4</w:t>
            </w:r>
            <w:r w:rsidR="00C73A68" w:rsidRPr="00A66EC8">
              <w:rPr>
                <w:rFonts w:cs="Arial"/>
                <w:sz w:val="22"/>
                <w:szCs w:val="22"/>
              </w:rPr>
              <w:t>.</w:t>
            </w:r>
          </w:p>
        </w:tc>
        <w:tc>
          <w:tcPr>
            <w:cnfStyle w:val="000100000000" w:firstRow="0" w:lastRow="0" w:firstColumn="0" w:lastColumn="1" w:oddVBand="0" w:evenVBand="0" w:oddHBand="0" w:evenHBand="0" w:firstRowFirstColumn="0" w:firstRowLastColumn="0" w:lastRowFirstColumn="0" w:lastRowLastColumn="0"/>
            <w:tcW w:w="9072" w:type="dxa"/>
          </w:tcPr>
          <w:p w:rsidR="00BC3FF3" w:rsidRPr="00A66EC8" w:rsidRDefault="00BC3FF3" w:rsidP="001E0F67">
            <w:pPr>
              <w:tabs>
                <w:tab w:val="left" w:pos="2520"/>
              </w:tabs>
              <w:jc w:val="both"/>
              <w:rPr>
                <w:rFonts w:cs="Arial"/>
                <w:b/>
                <w:i/>
                <w:sz w:val="22"/>
                <w:szCs w:val="22"/>
              </w:rPr>
            </w:pPr>
            <w:r w:rsidRPr="00A66EC8">
              <w:rPr>
                <w:b/>
                <w:sz w:val="22"/>
                <w:szCs w:val="22"/>
              </w:rPr>
              <w:t>Equal Opportunities Implications</w:t>
            </w:r>
            <w:r w:rsidRPr="00A66EC8">
              <w:rPr>
                <w:b/>
                <w:sz w:val="22"/>
              </w:rPr>
              <w:t xml:space="preserve"> </w:t>
            </w:r>
          </w:p>
        </w:tc>
      </w:tr>
      <w:tr w:rsidR="00CF7499" w:rsidRPr="00CF7499" w:rsidTr="002D171E">
        <w:trPr>
          <w:gridBefore w:val="1"/>
          <w:wBefore w:w="34" w:type="dxa"/>
          <w:trHeight w:val="540"/>
        </w:trPr>
        <w:tc>
          <w:tcPr>
            <w:cnfStyle w:val="001000000000" w:firstRow="0" w:lastRow="0" w:firstColumn="1" w:lastColumn="0" w:oddVBand="0" w:evenVBand="0" w:oddHBand="0" w:evenHBand="0" w:firstRowFirstColumn="0" w:firstRowLastColumn="0" w:lastRowFirstColumn="0" w:lastRowLastColumn="0"/>
            <w:tcW w:w="959" w:type="dxa"/>
          </w:tcPr>
          <w:p w:rsidR="00BC3FF3" w:rsidRPr="00A66EC8" w:rsidRDefault="00BC3FF3" w:rsidP="00613A3E">
            <w:pPr>
              <w:jc w:val="both"/>
              <w:rPr>
                <w:rFonts w:cs="Arial"/>
                <w:sz w:val="22"/>
                <w:szCs w:val="22"/>
              </w:rPr>
            </w:pPr>
            <w:r w:rsidRPr="00A66EC8">
              <w:rPr>
                <w:rFonts w:cs="Arial"/>
                <w:sz w:val="22"/>
                <w:szCs w:val="22"/>
              </w:rPr>
              <w:t>1</w:t>
            </w:r>
            <w:r w:rsidR="00613A3E">
              <w:rPr>
                <w:rFonts w:cs="Arial"/>
                <w:sz w:val="22"/>
                <w:szCs w:val="22"/>
              </w:rPr>
              <w:t>4</w:t>
            </w:r>
            <w:r w:rsidRPr="00A66EC8">
              <w:rPr>
                <w:rFonts w:cs="Arial"/>
                <w:sz w:val="22"/>
                <w:szCs w:val="22"/>
              </w:rPr>
              <w:t>.1</w:t>
            </w:r>
          </w:p>
        </w:tc>
        <w:tc>
          <w:tcPr>
            <w:cnfStyle w:val="000100000000" w:firstRow="0" w:lastRow="0" w:firstColumn="0" w:lastColumn="1" w:oddVBand="0" w:evenVBand="0" w:oddHBand="0" w:evenHBand="0" w:firstRowFirstColumn="0" w:firstRowLastColumn="0" w:lastRowFirstColumn="0" w:lastRowLastColumn="0"/>
            <w:tcW w:w="9072" w:type="dxa"/>
          </w:tcPr>
          <w:p w:rsidR="00BC3FF3" w:rsidRPr="00A66EC8" w:rsidRDefault="00BC3FF3" w:rsidP="001E0F67">
            <w:pPr>
              <w:jc w:val="both"/>
              <w:rPr>
                <w:sz w:val="22"/>
                <w:szCs w:val="22"/>
              </w:rPr>
            </w:pPr>
            <w:r w:rsidRPr="00A66EC8">
              <w:rPr>
                <w:sz w:val="22"/>
                <w:szCs w:val="22"/>
              </w:rPr>
              <w:fldChar w:fldCharType="begin"/>
            </w:r>
            <w:r w:rsidRPr="00A66EC8">
              <w:rPr>
                <w:sz w:val="22"/>
                <w:szCs w:val="22"/>
              </w:rPr>
              <w:instrText xml:space="preserve">  </w:instrText>
            </w:r>
            <w:r w:rsidRPr="00A66EC8">
              <w:rPr>
                <w:sz w:val="22"/>
                <w:szCs w:val="22"/>
              </w:rPr>
              <w:fldChar w:fldCharType="end"/>
            </w:r>
            <w:r w:rsidR="00EB3661" w:rsidRPr="00A66EC8">
              <w:rPr>
                <w:sz w:val="22"/>
                <w:szCs w:val="22"/>
              </w:rPr>
              <w:t>None specific</w:t>
            </w:r>
          </w:p>
          <w:p w:rsidR="00BC3FF3" w:rsidRPr="00A66EC8" w:rsidRDefault="00BC3FF3" w:rsidP="001E0F67">
            <w:pPr>
              <w:jc w:val="both"/>
              <w:rPr>
                <w:rFonts w:cs="Arial"/>
                <w:i/>
                <w:sz w:val="22"/>
                <w:szCs w:val="22"/>
              </w:rPr>
            </w:pPr>
          </w:p>
        </w:tc>
      </w:tr>
      <w:tr w:rsidR="00CF7499" w:rsidRPr="00CF7499" w:rsidTr="002D171E">
        <w:trPr>
          <w:gridBefore w:val="1"/>
          <w:wBefore w:w="34" w:type="dxa"/>
          <w:trHeight w:val="508"/>
        </w:trPr>
        <w:tc>
          <w:tcPr>
            <w:cnfStyle w:val="001000000000" w:firstRow="0" w:lastRow="0" w:firstColumn="1" w:lastColumn="0" w:oddVBand="0" w:evenVBand="0" w:oddHBand="0" w:evenHBand="0" w:firstRowFirstColumn="0" w:firstRowLastColumn="0" w:lastRowFirstColumn="0" w:lastRowLastColumn="0"/>
            <w:tcW w:w="959" w:type="dxa"/>
          </w:tcPr>
          <w:p w:rsidR="00BC3FF3" w:rsidRPr="00A66EC8" w:rsidRDefault="00BC3FF3" w:rsidP="00613A3E">
            <w:pPr>
              <w:jc w:val="both"/>
              <w:rPr>
                <w:rFonts w:cs="Arial"/>
                <w:sz w:val="22"/>
                <w:szCs w:val="22"/>
              </w:rPr>
            </w:pPr>
            <w:r w:rsidRPr="00A66EC8">
              <w:rPr>
                <w:rFonts w:cs="Arial"/>
                <w:sz w:val="22"/>
                <w:szCs w:val="22"/>
              </w:rPr>
              <w:lastRenderedPageBreak/>
              <w:t>1</w:t>
            </w:r>
            <w:r w:rsidR="00613A3E">
              <w:rPr>
                <w:rFonts w:cs="Arial"/>
                <w:sz w:val="22"/>
                <w:szCs w:val="22"/>
              </w:rPr>
              <w:t>5</w:t>
            </w:r>
            <w:r w:rsidR="00C73A68" w:rsidRPr="00A66EC8">
              <w:rPr>
                <w:rFonts w:cs="Arial"/>
                <w:sz w:val="22"/>
                <w:szCs w:val="22"/>
              </w:rPr>
              <w:t>.</w:t>
            </w:r>
          </w:p>
        </w:tc>
        <w:tc>
          <w:tcPr>
            <w:cnfStyle w:val="000100000000" w:firstRow="0" w:lastRow="0" w:firstColumn="0" w:lastColumn="1" w:oddVBand="0" w:evenVBand="0" w:oddHBand="0" w:evenHBand="0" w:firstRowFirstColumn="0" w:firstRowLastColumn="0" w:lastRowFirstColumn="0" w:lastRowLastColumn="0"/>
            <w:tcW w:w="9072" w:type="dxa"/>
          </w:tcPr>
          <w:p w:rsidR="00BC3FF3" w:rsidRPr="00A66EC8" w:rsidRDefault="00BC3FF3" w:rsidP="001E0F67">
            <w:pPr>
              <w:jc w:val="both"/>
              <w:rPr>
                <w:b/>
                <w:sz w:val="22"/>
                <w:szCs w:val="22"/>
              </w:rPr>
            </w:pPr>
            <w:r w:rsidRPr="00A66EC8">
              <w:rPr>
                <w:b/>
                <w:sz w:val="22"/>
                <w:szCs w:val="22"/>
              </w:rPr>
              <w:t>Staffing Implications</w:t>
            </w:r>
          </w:p>
        </w:tc>
      </w:tr>
      <w:tr w:rsidR="00CF7499" w:rsidRPr="00CF7499" w:rsidTr="002D171E">
        <w:trPr>
          <w:gridBefore w:val="1"/>
          <w:wBefore w:w="34" w:type="dxa"/>
          <w:trHeight w:val="740"/>
        </w:trPr>
        <w:tc>
          <w:tcPr>
            <w:cnfStyle w:val="001000000000" w:firstRow="0" w:lastRow="0" w:firstColumn="1" w:lastColumn="0" w:oddVBand="0" w:evenVBand="0" w:oddHBand="0" w:evenHBand="0" w:firstRowFirstColumn="0" w:firstRowLastColumn="0" w:lastRowFirstColumn="0" w:lastRowLastColumn="0"/>
            <w:tcW w:w="959" w:type="dxa"/>
          </w:tcPr>
          <w:p w:rsidR="00BC3FF3" w:rsidRPr="00A66EC8" w:rsidRDefault="00BC3FF3" w:rsidP="00613A3E">
            <w:pPr>
              <w:jc w:val="both"/>
              <w:rPr>
                <w:rFonts w:cs="Arial"/>
                <w:sz w:val="22"/>
                <w:szCs w:val="22"/>
              </w:rPr>
            </w:pPr>
            <w:r w:rsidRPr="00A66EC8">
              <w:rPr>
                <w:rFonts w:cs="Arial"/>
                <w:sz w:val="22"/>
                <w:szCs w:val="22"/>
              </w:rPr>
              <w:t>1</w:t>
            </w:r>
            <w:r w:rsidR="00613A3E">
              <w:rPr>
                <w:rFonts w:cs="Arial"/>
                <w:sz w:val="22"/>
                <w:szCs w:val="22"/>
              </w:rPr>
              <w:t>5</w:t>
            </w:r>
            <w:r w:rsidRPr="00A66EC8">
              <w:rPr>
                <w:rFonts w:cs="Arial"/>
                <w:sz w:val="22"/>
                <w:szCs w:val="22"/>
              </w:rPr>
              <w:t>.1</w:t>
            </w:r>
          </w:p>
        </w:tc>
        <w:tc>
          <w:tcPr>
            <w:cnfStyle w:val="000100000000" w:firstRow="0" w:lastRow="0" w:firstColumn="0" w:lastColumn="1" w:oddVBand="0" w:evenVBand="0" w:oddHBand="0" w:evenHBand="0" w:firstRowFirstColumn="0" w:firstRowLastColumn="0" w:lastRowFirstColumn="0" w:lastRowLastColumn="0"/>
            <w:tcW w:w="9072" w:type="dxa"/>
          </w:tcPr>
          <w:p w:rsidR="00BC3FF3" w:rsidRPr="00A66EC8" w:rsidRDefault="00BC3FF3" w:rsidP="001E0F67">
            <w:pPr>
              <w:jc w:val="both"/>
              <w:rPr>
                <w:sz w:val="22"/>
                <w:szCs w:val="22"/>
              </w:rPr>
            </w:pPr>
            <w:r w:rsidRPr="00A66EC8">
              <w:rPr>
                <w:sz w:val="22"/>
                <w:szCs w:val="22"/>
              </w:rPr>
              <w:t>These depend on the budget set. The Council has clear policies and procedures in circumstances where it needs to reduce staff levels, for example, redeployments are made wherever possible. Staff and their representatives have been kept informed of the strategic, service and financial planning process.</w:t>
            </w:r>
          </w:p>
          <w:p w:rsidR="00BC3FF3" w:rsidRPr="00A66EC8" w:rsidRDefault="00BC3FF3" w:rsidP="001E0F67">
            <w:pPr>
              <w:jc w:val="both"/>
              <w:rPr>
                <w:sz w:val="22"/>
                <w:szCs w:val="22"/>
              </w:rPr>
            </w:pPr>
          </w:p>
        </w:tc>
      </w:tr>
      <w:tr w:rsidR="00CF7499" w:rsidRPr="00CF7499" w:rsidTr="002D171E">
        <w:trPr>
          <w:gridBefore w:val="1"/>
          <w:wBefore w:w="34" w:type="dxa"/>
          <w:trHeight w:val="574"/>
        </w:trPr>
        <w:tc>
          <w:tcPr>
            <w:cnfStyle w:val="001000000000" w:firstRow="0" w:lastRow="0" w:firstColumn="1" w:lastColumn="0" w:oddVBand="0" w:evenVBand="0" w:oddHBand="0" w:evenHBand="0" w:firstRowFirstColumn="0" w:firstRowLastColumn="0" w:lastRowFirstColumn="0" w:lastRowLastColumn="0"/>
            <w:tcW w:w="959" w:type="dxa"/>
          </w:tcPr>
          <w:p w:rsidR="00BC3FF3" w:rsidRPr="00A66EC8" w:rsidRDefault="00BC3FF3" w:rsidP="00613A3E">
            <w:pPr>
              <w:jc w:val="both"/>
              <w:rPr>
                <w:rFonts w:cs="Arial"/>
                <w:sz w:val="22"/>
                <w:szCs w:val="22"/>
              </w:rPr>
            </w:pPr>
            <w:r w:rsidRPr="00A66EC8">
              <w:rPr>
                <w:rFonts w:cs="Arial"/>
                <w:sz w:val="22"/>
                <w:szCs w:val="22"/>
              </w:rPr>
              <w:t>1</w:t>
            </w:r>
            <w:r w:rsidR="00613A3E">
              <w:rPr>
                <w:rFonts w:cs="Arial"/>
                <w:sz w:val="22"/>
                <w:szCs w:val="22"/>
              </w:rPr>
              <w:t>6</w:t>
            </w:r>
            <w:r w:rsidR="00C73A68" w:rsidRPr="00A66EC8">
              <w:rPr>
                <w:rFonts w:cs="Arial"/>
                <w:sz w:val="22"/>
                <w:szCs w:val="22"/>
              </w:rPr>
              <w:t>.</w:t>
            </w:r>
          </w:p>
        </w:tc>
        <w:tc>
          <w:tcPr>
            <w:cnfStyle w:val="000100000000" w:firstRow="0" w:lastRow="0" w:firstColumn="0" w:lastColumn="1" w:oddVBand="0" w:evenVBand="0" w:oddHBand="0" w:evenHBand="0" w:firstRowFirstColumn="0" w:firstRowLastColumn="0" w:lastRowFirstColumn="0" w:lastRowLastColumn="0"/>
            <w:tcW w:w="9072" w:type="dxa"/>
          </w:tcPr>
          <w:p w:rsidR="00BC3FF3" w:rsidRPr="00A66EC8" w:rsidRDefault="00BC3FF3" w:rsidP="001E0F67">
            <w:pPr>
              <w:jc w:val="both"/>
              <w:rPr>
                <w:b/>
                <w:sz w:val="22"/>
                <w:szCs w:val="22"/>
              </w:rPr>
            </w:pPr>
            <w:r w:rsidRPr="00A66EC8">
              <w:rPr>
                <w:b/>
                <w:sz w:val="22"/>
                <w:szCs w:val="22"/>
              </w:rPr>
              <w:t>Risk Management and Health &amp; Safety Implications</w:t>
            </w:r>
          </w:p>
        </w:tc>
      </w:tr>
      <w:tr w:rsidR="00CF7499" w:rsidRPr="00CF7499" w:rsidTr="002D171E">
        <w:trPr>
          <w:gridBefore w:val="1"/>
          <w:wBefore w:w="34" w:type="dxa"/>
          <w:trHeight w:val="740"/>
        </w:trPr>
        <w:tc>
          <w:tcPr>
            <w:cnfStyle w:val="001000000000" w:firstRow="0" w:lastRow="0" w:firstColumn="1" w:lastColumn="0" w:oddVBand="0" w:evenVBand="0" w:oddHBand="0" w:evenHBand="0" w:firstRowFirstColumn="0" w:firstRowLastColumn="0" w:lastRowFirstColumn="0" w:lastRowLastColumn="0"/>
            <w:tcW w:w="959" w:type="dxa"/>
          </w:tcPr>
          <w:p w:rsidR="00BC3FF3" w:rsidRPr="00CF7499" w:rsidRDefault="00BC3FF3" w:rsidP="00613A3E">
            <w:pPr>
              <w:jc w:val="both"/>
              <w:rPr>
                <w:rFonts w:cs="Arial"/>
                <w:color w:val="4F81BD" w:themeColor="accent1"/>
                <w:sz w:val="22"/>
                <w:szCs w:val="22"/>
              </w:rPr>
            </w:pPr>
            <w:r w:rsidRPr="00A66EC8">
              <w:rPr>
                <w:rFonts w:cs="Arial"/>
                <w:sz w:val="22"/>
                <w:szCs w:val="22"/>
              </w:rPr>
              <w:t>1</w:t>
            </w:r>
            <w:r w:rsidR="00613A3E">
              <w:rPr>
                <w:rFonts w:cs="Arial"/>
                <w:sz w:val="22"/>
                <w:szCs w:val="22"/>
              </w:rPr>
              <w:t>6</w:t>
            </w:r>
            <w:r w:rsidRPr="00A66EC8">
              <w:rPr>
                <w:rFonts w:cs="Arial"/>
                <w:sz w:val="22"/>
                <w:szCs w:val="22"/>
              </w:rPr>
              <w:t>.1</w:t>
            </w:r>
          </w:p>
        </w:tc>
        <w:tc>
          <w:tcPr>
            <w:cnfStyle w:val="000100000000" w:firstRow="0" w:lastRow="0" w:firstColumn="0" w:lastColumn="1" w:oddVBand="0" w:evenVBand="0" w:oddHBand="0" w:evenHBand="0" w:firstRowFirstColumn="0" w:firstRowLastColumn="0" w:lastRowFirstColumn="0" w:lastRowLastColumn="0"/>
            <w:tcW w:w="9072" w:type="dxa"/>
          </w:tcPr>
          <w:p w:rsidR="00BC3FF3" w:rsidRPr="00CF7499" w:rsidRDefault="00BC3FF3" w:rsidP="001E0F67">
            <w:pPr>
              <w:jc w:val="both"/>
              <w:rPr>
                <w:color w:val="4F81BD" w:themeColor="accent1"/>
                <w:sz w:val="22"/>
                <w:szCs w:val="22"/>
              </w:rPr>
            </w:pPr>
            <w:r w:rsidRPr="00A66EC8">
              <w:rPr>
                <w:sz w:val="22"/>
                <w:szCs w:val="22"/>
              </w:rPr>
              <w:t xml:space="preserve">The Council has agreed its risk management strategy which can be found on the website at </w:t>
            </w:r>
            <w:hyperlink r:id="rId12" w:history="1">
              <w:r w:rsidRPr="00A66EC8">
                <w:rPr>
                  <w:sz w:val="22"/>
                  <w:szCs w:val="22"/>
                </w:rPr>
                <w:t>http://www.threerivers.gov.uk</w:t>
              </w:r>
            </w:hyperlink>
            <w:r w:rsidRPr="00A66EC8">
              <w:rPr>
                <w:sz w:val="22"/>
                <w:szCs w:val="22"/>
              </w:rPr>
              <w:t xml:space="preserve"> . Financial and budgetary risks are shown at </w:t>
            </w:r>
            <w:r w:rsidRPr="0097182F">
              <w:rPr>
                <w:b/>
                <w:sz w:val="22"/>
                <w:szCs w:val="22"/>
              </w:rPr>
              <w:t xml:space="preserve">Appendix </w:t>
            </w:r>
            <w:r w:rsidR="007411A3" w:rsidRPr="0097182F">
              <w:rPr>
                <w:b/>
                <w:sz w:val="22"/>
                <w:szCs w:val="22"/>
              </w:rPr>
              <w:t>7</w:t>
            </w:r>
            <w:r w:rsidR="000F6AB4" w:rsidRPr="0097182F">
              <w:rPr>
                <w:b/>
                <w:sz w:val="22"/>
                <w:szCs w:val="22"/>
              </w:rPr>
              <w:t>.</w:t>
            </w:r>
          </w:p>
          <w:p w:rsidR="00BC3FF3" w:rsidRPr="00CF7499" w:rsidRDefault="00BC3FF3" w:rsidP="001E0F67">
            <w:pPr>
              <w:jc w:val="both"/>
              <w:rPr>
                <w:color w:val="4F81BD" w:themeColor="accent1"/>
                <w:sz w:val="22"/>
                <w:szCs w:val="22"/>
              </w:rPr>
            </w:pPr>
          </w:p>
        </w:tc>
      </w:tr>
      <w:tr w:rsidR="00CF7499" w:rsidRPr="00CF7499" w:rsidTr="002D171E">
        <w:trPr>
          <w:gridBefore w:val="1"/>
          <w:wBefore w:w="34" w:type="dxa"/>
          <w:trHeight w:val="740"/>
        </w:trPr>
        <w:tc>
          <w:tcPr>
            <w:cnfStyle w:val="001000000000" w:firstRow="0" w:lastRow="0" w:firstColumn="1" w:lastColumn="0" w:oddVBand="0" w:evenVBand="0" w:oddHBand="0" w:evenHBand="0" w:firstRowFirstColumn="0" w:firstRowLastColumn="0" w:lastRowFirstColumn="0" w:lastRowLastColumn="0"/>
            <w:tcW w:w="959" w:type="dxa"/>
          </w:tcPr>
          <w:p w:rsidR="00BC3FF3" w:rsidRPr="00CF7499" w:rsidRDefault="00BC3FF3" w:rsidP="001E0F67">
            <w:pPr>
              <w:jc w:val="both"/>
              <w:rPr>
                <w:rFonts w:cs="Arial"/>
                <w:color w:val="4F81BD" w:themeColor="accent1"/>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BC3FF3" w:rsidRPr="00A66EC8" w:rsidRDefault="00BC3FF3" w:rsidP="001E0F67">
            <w:pPr>
              <w:jc w:val="both"/>
              <w:rPr>
                <w:sz w:val="22"/>
                <w:szCs w:val="22"/>
              </w:rPr>
            </w:pPr>
            <w:r w:rsidRPr="00A66EC8">
              <w:rPr>
                <w:sz w:val="22"/>
                <w:szCs w:val="22"/>
              </w:rPr>
              <w:t>In the officers’ opinion none of the risks above, in isolation, were they to come about, would seriously prejudice the achievement of the Strategic Plan and are therefore operational risks that will be included and managed via the Corporate Services Service Plan.  The effectiveness of treatment plans are reviewed by the Audit Committee annually.</w:t>
            </w:r>
          </w:p>
          <w:p w:rsidR="00BC3FF3" w:rsidRPr="00A66EC8" w:rsidRDefault="00BC3FF3" w:rsidP="001E0F67">
            <w:pPr>
              <w:jc w:val="both"/>
              <w:rPr>
                <w:sz w:val="22"/>
                <w:szCs w:val="22"/>
              </w:rPr>
            </w:pPr>
          </w:p>
        </w:tc>
      </w:tr>
      <w:tr w:rsidR="00CF7499" w:rsidRPr="00CF7499" w:rsidTr="002D171E">
        <w:trPr>
          <w:gridBefore w:val="1"/>
          <w:wBefore w:w="34" w:type="dxa"/>
          <w:trHeight w:val="426"/>
        </w:trPr>
        <w:tc>
          <w:tcPr>
            <w:cnfStyle w:val="001000000000" w:firstRow="0" w:lastRow="0" w:firstColumn="1" w:lastColumn="0" w:oddVBand="0" w:evenVBand="0" w:oddHBand="0" w:evenHBand="0" w:firstRowFirstColumn="0" w:firstRowLastColumn="0" w:lastRowFirstColumn="0" w:lastRowLastColumn="0"/>
            <w:tcW w:w="959" w:type="dxa"/>
          </w:tcPr>
          <w:p w:rsidR="00BC3FF3" w:rsidRPr="00CF7499" w:rsidRDefault="00BC3FF3" w:rsidP="001E0F67">
            <w:pPr>
              <w:jc w:val="both"/>
              <w:rPr>
                <w:rFonts w:cs="Arial"/>
                <w:color w:val="4F81BD" w:themeColor="accent1"/>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BC3FF3" w:rsidRPr="00A66EC8" w:rsidRDefault="00BC3FF3" w:rsidP="001E0F67">
            <w:pPr>
              <w:ind w:left="1267" w:hanging="1267"/>
              <w:rPr>
                <w:sz w:val="22"/>
                <w:szCs w:val="22"/>
              </w:rPr>
            </w:pPr>
            <w:r w:rsidRPr="00A66EC8">
              <w:rPr>
                <w:b/>
                <w:sz w:val="22"/>
                <w:szCs w:val="22"/>
              </w:rPr>
              <w:t>Recommendation</w:t>
            </w:r>
          </w:p>
          <w:p w:rsidR="00BC3FF3" w:rsidRPr="00A66EC8" w:rsidRDefault="00BC3FF3" w:rsidP="001E0F67">
            <w:pPr>
              <w:jc w:val="both"/>
              <w:rPr>
                <w:rFonts w:cs="Arial"/>
                <w:b/>
                <w:sz w:val="22"/>
                <w:szCs w:val="22"/>
              </w:rPr>
            </w:pPr>
          </w:p>
        </w:tc>
      </w:tr>
      <w:tr w:rsidR="00CF7499" w:rsidRPr="00CF7499" w:rsidTr="002D171E">
        <w:trPr>
          <w:gridBefore w:val="1"/>
          <w:wBefore w:w="34" w:type="dxa"/>
          <w:trHeight w:val="363"/>
        </w:trPr>
        <w:tc>
          <w:tcPr>
            <w:cnfStyle w:val="001000000000" w:firstRow="0" w:lastRow="0" w:firstColumn="1" w:lastColumn="0" w:oddVBand="0" w:evenVBand="0" w:oddHBand="0" w:evenHBand="0" w:firstRowFirstColumn="0" w:firstRowLastColumn="0" w:lastRowFirstColumn="0" w:lastRowLastColumn="0"/>
            <w:tcW w:w="959" w:type="dxa"/>
          </w:tcPr>
          <w:p w:rsidR="00BC3FF3" w:rsidRPr="00CF7499" w:rsidRDefault="00BC3FF3" w:rsidP="001E0F67">
            <w:pPr>
              <w:jc w:val="both"/>
              <w:rPr>
                <w:rFonts w:cs="Arial"/>
                <w:color w:val="4F81BD" w:themeColor="accent1"/>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BC3FF3" w:rsidRPr="00A66EC8" w:rsidRDefault="00BC3FF3" w:rsidP="001E0F67">
            <w:pPr>
              <w:rPr>
                <w:sz w:val="22"/>
                <w:szCs w:val="22"/>
              </w:rPr>
            </w:pPr>
            <w:r w:rsidRPr="00A66EC8">
              <w:rPr>
                <w:sz w:val="22"/>
                <w:szCs w:val="22"/>
              </w:rPr>
              <w:t xml:space="preserve">That this report be noted. </w:t>
            </w:r>
            <w:r w:rsidRPr="00A66EC8">
              <w:rPr>
                <w:sz w:val="22"/>
                <w:szCs w:val="22"/>
              </w:rPr>
              <w:fldChar w:fldCharType="begin"/>
            </w:r>
            <w:r w:rsidRPr="00A66EC8">
              <w:rPr>
                <w:sz w:val="22"/>
                <w:szCs w:val="22"/>
              </w:rPr>
              <w:instrText xml:space="preserve">  </w:instrText>
            </w:r>
            <w:r w:rsidRPr="00A66EC8">
              <w:rPr>
                <w:sz w:val="22"/>
                <w:szCs w:val="22"/>
              </w:rPr>
              <w:fldChar w:fldCharType="end"/>
            </w:r>
            <w:r w:rsidRPr="00A66EC8">
              <w:rPr>
                <w:sz w:val="22"/>
                <w:szCs w:val="22"/>
              </w:rPr>
              <w:t xml:space="preserve"> </w:t>
            </w:r>
          </w:p>
        </w:tc>
      </w:tr>
      <w:tr w:rsidR="00DB00E6" w:rsidRPr="00CF7499" w:rsidTr="008938EA">
        <w:trPr>
          <w:gridBefore w:val="1"/>
          <w:wBefore w:w="34" w:type="dxa"/>
          <w:trHeight w:val="1977"/>
        </w:trPr>
        <w:tc>
          <w:tcPr>
            <w:cnfStyle w:val="001000000000" w:firstRow="0" w:lastRow="0" w:firstColumn="1" w:lastColumn="0" w:oddVBand="0" w:evenVBand="0" w:oddHBand="0" w:evenHBand="0" w:firstRowFirstColumn="0" w:firstRowLastColumn="0" w:lastRowFirstColumn="0" w:lastRowLastColumn="0"/>
            <w:tcW w:w="959" w:type="dxa"/>
          </w:tcPr>
          <w:p w:rsidR="00DB00E6" w:rsidRPr="00CF7499" w:rsidRDefault="00DB00E6" w:rsidP="001E0F67">
            <w:pPr>
              <w:jc w:val="both"/>
              <w:rPr>
                <w:rFonts w:cs="Arial"/>
                <w:color w:val="4F81BD" w:themeColor="accent1"/>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DB00E6" w:rsidRDefault="00DB00E6" w:rsidP="00DB00E6">
            <w:pPr>
              <w:ind w:left="1267" w:hanging="1267"/>
              <w:rPr>
                <w:sz w:val="22"/>
                <w:szCs w:val="22"/>
              </w:rPr>
            </w:pPr>
            <w:r w:rsidRPr="0099434D">
              <w:rPr>
                <w:sz w:val="22"/>
                <w:szCs w:val="22"/>
              </w:rPr>
              <w:t>Report prepared by:</w:t>
            </w:r>
            <w:r w:rsidRPr="0099434D">
              <w:rPr>
                <w:sz w:val="22"/>
                <w:szCs w:val="22"/>
              </w:rPr>
              <w:tab/>
            </w:r>
          </w:p>
          <w:p w:rsidR="008938EA" w:rsidRPr="0099434D" w:rsidRDefault="008938EA" w:rsidP="00DB00E6">
            <w:pPr>
              <w:ind w:left="1267" w:hanging="1267"/>
              <w:rPr>
                <w:sz w:val="22"/>
                <w:szCs w:val="22"/>
              </w:rPr>
            </w:pPr>
          </w:p>
          <w:p w:rsidR="00DB00E6" w:rsidRPr="0099434D" w:rsidRDefault="00DB00E6" w:rsidP="00DB00E6">
            <w:pPr>
              <w:ind w:left="1267" w:hanging="1267"/>
              <w:rPr>
                <w:sz w:val="22"/>
                <w:szCs w:val="22"/>
              </w:rPr>
            </w:pPr>
            <w:r w:rsidRPr="0099434D">
              <w:rPr>
                <w:sz w:val="22"/>
                <w:szCs w:val="22"/>
              </w:rPr>
              <w:t>Bob Watson – Head of Finance</w:t>
            </w:r>
          </w:p>
          <w:p w:rsidR="00DB00E6" w:rsidRPr="0099434D" w:rsidRDefault="00DB00E6" w:rsidP="00DB00E6">
            <w:pPr>
              <w:ind w:left="1267" w:hanging="1267"/>
              <w:rPr>
                <w:sz w:val="22"/>
                <w:szCs w:val="22"/>
              </w:rPr>
            </w:pPr>
            <w:r w:rsidRPr="0099434D">
              <w:rPr>
                <w:sz w:val="22"/>
                <w:szCs w:val="22"/>
              </w:rPr>
              <w:t>Nigel Pollard – Section Head (Accountancy)</w:t>
            </w:r>
          </w:p>
          <w:p w:rsidR="00DB00E6" w:rsidRPr="00CF7499" w:rsidRDefault="00DB00E6" w:rsidP="00DB00E6">
            <w:pPr>
              <w:rPr>
                <w:color w:val="4F81BD" w:themeColor="accent1"/>
                <w:sz w:val="22"/>
                <w:szCs w:val="22"/>
              </w:rPr>
            </w:pPr>
          </w:p>
          <w:p w:rsidR="00DB00E6" w:rsidRPr="00A66EC8" w:rsidRDefault="00DB00E6" w:rsidP="008938EA">
            <w:pPr>
              <w:ind w:left="1267" w:hanging="1267"/>
              <w:rPr>
                <w:sz w:val="22"/>
              </w:rPr>
            </w:pPr>
            <w:r w:rsidRPr="00A66EC8">
              <w:rPr>
                <w:b/>
                <w:sz w:val="22"/>
                <w:szCs w:val="22"/>
              </w:rPr>
              <w:t>Background Papers</w:t>
            </w:r>
            <w:r w:rsidR="008938EA">
              <w:rPr>
                <w:b/>
                <w:sz w:val="22"/>
                <w:szCs w:val="22"/>
              </w:rPr>
              <w:t xml:space="preserve"> - </w:t>
            </w:r>
            <w:r w:rsidRPr="00A66EC8">
              <w:rPr>
                <w:b/>
                <w:sz w:val="22"/>
                <w:szCs w:val="22"/>
              </w:rPr>
              <w:fldChar w:fldCharType="begin"/>
            </w:r>
            <w:r w:rsidRPr="00A66EC8">
              <w:rPr>
                <w:b/>
                <w:sz w:val="22"/>
                <w:szCs w:val="22"/>
              </w:rPr>
              <w:instrText xml:space="preserve">  </w:instrText>
            </w:r>
            <w:r w:rsidRPr="00A66EC8">
              <w:rPr>
                <w:b/>
                <w:sz w:val="22"/>
                <w:szCs w:val="22"/>
              </w:rPr>
              <w:fldChar w:fldCharType="end"/>
            </w:r>
            <w:r w:rsidRPr="00A66EC8">
              <w:rPr>
                <w:sz w:val="22"/>
              </w:rPr>
              <w:t>Reports and Minutes of;</w:t>
            </w:r>
          </w:p>
          <w:p w:rsidR="00DB00E6" w:rsidRPr="00A66EC8" w:rsidRDefault="00DB00E6" w:rsidP="00DB00E6">
            <w:pPr>
              <w:numPr>
                <w:ilvl w:val="0"/>
                <w:numId w:val="8"/>
              </w:numPr>
              <w:outlineLvl w:val="0"/>
              <w:rPr>
                <w:sz w:val="22"/>
              </w:rPr>
            </w:pPr>
            <w:r w:rsidRPr="00A66EC8">
              <w:rPr>
                <w:sz w:val="22"/>
              </w:rPr>
              <w:t>The Policy and Resources Committee</w:t>
            </w:r>
          </w:p>
          <w:p w:rsidR="00DB00E6" w:rsidRPr="008938EA" w:rsidRDefault="00DB00E6" w:rsidP="009B6CFC">
            <w:pPr>
              <w:numPr>
                <w:ilvl w:val="0"/>
                <w:numId w:val="8"/>
              </w:numPr>
              <w:outlineLvl w:val="0"/>
              <w:rPr>
                <w:sz w:val="22"/>
                <w:szCs w:val="22"/>
              </w:rPr>
            </w:pPr>
            <w:r w:rsidRPr="00A66EC8">
              <w:rPr>
                <w:sz w:val="22"/>
              </w:rPr>
              <w:t>Council</w:t>
            </w:r>
          </w:p>
          <w:p w:rsidR="008938EA" w:rsidRPr="00A66EC8" w:rsidRDefault="008938EA" w:rsidP="008938EA">
            <w:pPr>
              <w:ind w:left="720"/>
              <w:outlineLvl w:val="0"/>
              <w:rPr>
                <w:sz w:val="22"/>
                <w:szCs w:val="22"/>
              </w:rPr>
            </w:pPr>
          </w:p>
        </w:tc>
      </w:tr>
      <w:tr w:rsidR="00CF7499" w:rsidRPr="00CF7499" w:rsidTr="002D171E">
        <w:trPr>
          <w:gridBefore w:val="1"/>
          <w:cnfStyle w:val="010000000000" w:firstRow="0" w:lastRow="1" w:firstColumn="0" w:lastColumn="0" w:oddVBand="0" w:evenVBand="0" w:oddHBand="0" w:evenHBand="0" w:firstRowFirstColumn="0" w:firstRowLastColumn="0" w:lastRowFirstColumn="0" w:lastRowLastColumn="0"/>
          <w:wBefore w:w="34" w:type="dxa"/>
          <w:trHeight w:val="740"/>
        </w:trPr>
        <w:tc>
          <w:tcPr>
            <w:cnfStyle w:val="001000000000" w:firstRow="0" w:lastRow="0" w:firstColumn="1" w:lastColumn="0" w:oddVBand="0" w:evenVBand="0" w:oddHBand="0" w:evenHBand="0" w:firstRowFirstColumn="0" w:firstRowLastColumn="0" w:lastRowFirstColumn="0" w:lastRowLastColumn="0"/>
            <w:tcW w:w="959" w:type="dxa"/>
          </w:tcPr>
          <w:p w:rsidR="00BC3FF3" w:rsidRPr="00CF7499" w:rsidRDefault="00BC3FF3" w:rsidP="001E0F67">
            <w:pPr>
              <w:jc w:val="both"/>
              <w:rPr>
                <w:rFonts w:cs="Arial"/>
                <w:color w:val="4F81BD" w:themeColor="accent1"/>
                <w:sz w:val="22"/>
                <w:szCs w:val="22"/>
              </w:rPr>
            </w:pPr>
          </w:p>
        </w:tc>
        <w:tc>
          <w:tcPr>
            <w:cnfStyle w:val="000100000000" w:firstRow="0" w:lastRow="0" w:firstColumn="0" w:lastColumn="1" w:oddVBand="0" w:evenVBand="0" w:oddHBand="0" w:evenHBand="0" w:firstRowFirstColumn="0" w:firstRowLastColumn="0" w:lastRowFirstColumn="0" w:lastRowLastColumn="0"/>
            <w:tcW w:w="9072" w:type="dxa"/>
          </w:tcPr>
          <w:p w:rsidR="00BC3FF3" w:rsidRPr="00CF7499" w:rsidRDefault="00BC3FF3" w:rsidP="001E0F67">
            <w:pPr>
              <w:jc w:val="both"/>
              <w:rPr>
                <w:rFonts w:cs="Arial"/>
                <w:b/>
                <w:color w:val="4F81BD" w:themeColor="accent1"/>
                <w:sz w:val="22"/>
                <w:szCs w:val="22"/>
              </w:rPr>
            </w:pPr>
            <w:r w:rsidRPr="00A66EC8">
              <w:rPr>
                <w:b/>
                <w:i/>
                <w:sz w:val="22"/>
                <w:szCs w:val="22"/>
              </w:rPr>
              <w:t>The recommendations contained in this report DO NOT constitute a KEY DECISION but contribute to the process whereby the Council will approve and adopt its Strategic, Service and Financial Plans under Article 4 of the Council’s Constitution</w:t>
            </w:r>
          </w:p>
        </w:tc>
      </w:tr>
    </w:tbl>
    <w:p w:rsidR="00EB3661" w:rsidRDefault="00EB3661" w:rsidP="00B67F70">
      <w:pPr>
        <w:jc w:val="both"/>
        <w:rPr>
          <w:rFonts w:cs="Arial"/>
          <w:color w:val="4F81BD" w:themeColor="accent1"/>
          <w:sz w:val="22"/>
          <w:szCs w:val="22"/>
          <w:u w:val="single"/>
        </w:rPr>
      </w:pPr>
    </w:p>
    <w:p w:rsidR="00B67F70" w:rsidRDefault="00B67F70" w:rsidP="00B67F70">
      <w:pPr>
        <w:jc w:val="both"/>
        <w:rPr>
          <w:rFonts w:cs="Arial"/>
          <w:b/>
          <w:sz w:val="22"/>
          <w:szCs w:val="22"/>
        </w:rPr>
      </w:pPr>
      <w:r w:rsidRPr="00331012">
        <w:rPr>
          <w:rFonts w:cs="Arial"/>
          <w:b/>
          <w:sz w:val="22"/>
          <w:szCs w:val="22"/>
        </w:rPr>
        <w:t xml:space="preserve">Appendices </w:t>
      </w:r>
    </w:p>
    <w:p w:rsidR="008938EA" w:rsidRPr="00CF7499" w:rsidRDefault="008938EA" w:rsidP="00B67F70">
      <w:pPr>
        <w:jc w:val="both"/>
        <w:rPr>
          <w:rFonts w:cs="Arial"/>
          <w:color w:val="4F81BD" w:themeColor="accent1"/>
          <w:sz w:val="22"/>
          <w:szCs w:val="22"/>
          <w:u w:val="single"/>
        </w:rPr>
      </w:pP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4"/>
        <w:gridCol w:w="6521"/>
      </w:tblGrid>
      <w:tr w:rsidR="00CF7499" w:rsidRPr="00CF7499" w:rsidTr="005770BA">
        <w:tc>
          <w:tcPr>
            <w:tcW w:w="1984" w:type="dxa"/>
          </w:tcPr>
          <w:p w:rsidR="00B67F70" w:rsidRPr="00331012" w:rsidRDefault="00B67F70" w:rsidP="005770BA">
            <w:pPr>
              <w:spacing w:after="60"/>
              <w:rPr>
                <w:rFonts w:cs="Arial"/>
                <w:sz w:val="22"/>
                <w:szCs w:val="22"/>
              </w:rPr>
            </w:pPr>
            <w:r w:rsidRPr="00331012">
              <w:rPr>
                <w:rFonts w:cs="Arial"/>
                <w:sz w:val="22"/>
                <w:szCs w:val="22"/>
              </w:rPr>
              <w:t>Appendix 1</w:t>
            </w:r>
          </w:p>
        </w:tc>
        <w:tc>
          <w:tcPr>
            <w:tcW w:w="6521" w:type="dxa"/>
          </w:tcPr>
          <w:p w:rsidR="00B67F70" w:rsidRPr="00CF7499" w:rsidRDefault="00AF0064" w:rsidP="00AF46AB">
            <w:pPr>
              <w:spacing w:after="60"/>
              <w:rPr>
                <w:rFonts w:cs="Arial"/>
                <w:color w:val="4F81BD" w:themeColor="accent1"/>
                <w:sz w:val="22"/>
                <w:szCs w:val="22"/>
              </w:rPr>
            </w:pPr>
            <w:r w:rsidRPr="00534318">
              <w:rPr>
                <w:rFonts w:cs="Arial"/>
                <w:sz w:val="22"/>
                <w:szCs w:val="22"/>
              </w:rPr>
              <w:t xml:space="preserve">Summary </w:t>
            </w:r>
            <w:r w:rsidR="00C748FC" w:rsidRPr="00534318">
              <w:rPr>
                <w:rFonts w:cs="Arial"/>
                <w:sz w:val="22"/>
                <w:szCs w:val="22"/>
              </w:rPr>
              <w:t xml:space="preserve">Medium Term Financial </w:t>
            </w:r>
            <w:r w:rsidR="00F933B6" w:rsidRPr="00534318">
              <w:rPr>
                <w:rFonts w:cs="Arial"/>
                <w:sz w:val="22"/>
                <w:szCs w:val="22"/>
              </w:rPr>
              <w:t>Plan</w:t>
            </w:r>
            <w:r w:rsidR="00C748FC" w:rsidRPr="00534318">
              <w:rPr>
                <w:rFonts w:cs="Arial"/>
                <w:sz w:val="22"/>
                <w:szCs w:val="22"/>
              </w:rPr>
              <w:t xml:space="preserve"> </w:t>
            </w:r>
            <w:r w:rsidR="00331012" w:rsidRPr="00534318">
              <w:rPr>
                <w:rFonts w:cs="Arial"/>
                <w:sz w:val="22"/>
                <w:szCs w:val="22"/>
              </w:rPr>
              <w:t>(</w:t>
            </w:r>
            <w:r w:rsidR="008C436D" w:rsidRPr="00534318">
              <w:rPr>
                <w:rFonts w:cs="Arial"/>
                <w:sz w:val="22"/>
                <w:szCs w:val="22"/>
              </w:rPr>
              <w:t>201</w:t>
            </w:r>
            <w:r w:rsidR="00AF46AB">
              <w:rPr>
                <w:rFonts w:cs="Arial"/>
                <w:sz w:val="22"/>
                <w:szCs w:val="22"/>
              </w:rPr>
              <w:t>7</w:t>
            </w:r>
            <w:r w:rsidR="008C436D" w:rsidRPr="00534318">
              <w:rPr>
                <w:rFonts w:cs="Arial"/>
                <w:sz w:val="22"/>
                <w:szCs w:val="22"/>
              </w:rPr>
              <w:t>-20</w:t>
            </w:r>
            <w:r w:rsidR="00331012" w:rsidRPr="00534318">
              <w:rPr>
                <w:rFonts w:cs="Arial"/>
                <w:sz w:val="22"/>
                <w:szCs w:val="22"/>
              </w:rPr>
              <w:t>2</w:t>
            </w:r>
            <w:r w:rsidR="00AF46AB">
              <w:rPr>
                <w:rFonts w:cs="Arial"/>
                <w:sz w:val="22"/>
                <w:szCs w:val="22"/>
              </w:rPr>
              <w:t>1</w:t>
            </w:r>
            <w:r w:rsidR="00331012" w:rsidRPr="00534318">
              <w:rPr>
                <w:rFonts w:cs="Arial"/>
                <w:sz w:val="22"/>
                <w:szCs w:val="22"/>
              </w:rPr>
              <w:t>)</w:t>
            </w:r>
          </w:p>
        </w:tc>
      </w:tr>
      <w:tr w:rsidR="00CF7499" w:rsidRPr="00CF7499" w:rsidTr="00AF0064">
        <w:trPr>
          <w:trHeight w:val="258"/>
        </w:trPr>
        <w:tc>
          <w:tcPr>
            <w:tcW w:w="1984" w:type="dxa"/>
          </w:tcPr>
          <w:p w:rsidR="00F92932" w:rsidRPr="00331012" w:rsidRDefault="00F92932" w:rsidP="005770BA">
            <w:pPr>
              <w:spacing w:after="60"/>
              <w:rPr>
                <w:rFonts w:cs="Arial"/>
                <w:sz w:val="22"/>
                <w:szCs w:val="22"/>
              </w:rPr>
            </w:pPr>
            <w:r w:rsidRPr="00331012">
              <w:rPr>
                <w:rFonts w:cs="Arial"/>
                <w:sz w:val="22"/>
                <w:szCs w:val="22"/>
              </w:rPr>
              <w:t>Appendix 2</w:t>
            </w:r>
            <w:r w:rsidR="005770BA" w:rsidRPr="00331012">
              <w:rPr>
                <w:rFonts w:cs="Arial"/>
                <w:sz w:val="22"/>
                <w:szCs w:val="22"/>
              </w:rPr>
              <w:t xml:space="preserve"> </w:t>
            </w:r>
          </w:p>
        </w:tc>
        <w:tc>
          <w:tcPr>
            <w:tcW w:w="6521" w:type="dxa"/>
          </w:tcPr>
          <w:p w:rsidR="00F92932" w:rsidRPr="00CF7499" w:rsidRDefault="00AF0064" w:rsidP="00AF46AB">
            <w:pPr>
              <w:spacing w:after="60"/>
              <w:rPr>
                <w:color w:val="4F81BD" w:themeColor="accent1"/>
                <w:sz w:val="22"/>
                <w:szCs w:val="22"/>
              </w:rPr>
            </w:pPr>
            <w:r w:rsidRPr="000D2D66">
              <w:rPr>
                <w:rFonts w:cs="Arial"/>
                <w:sz w:val="22"/>
                <w:szCs w:val="22"/>
              </w:rPr>
              <w:t xml:space="preserve">Service Committees Medium term Financial Plan </w:t>
            </w:r>
            <w:r w:rsidR="00331012" w:rsidRPr="000D2D66">
              <w:rPr>
                <w:rFonts w:cs="Arial"/>
                <w:sz w:val="22"/>
                <w:szCs w:val="22"/>
              </w:rPr>
              <w:t>(</w:t>
            </w:r>
            <w:r w:rsidRPr="000D2D66">
              <w:rPr>
                <w:rFonts w:cs="Arial"/>
                <w:sz w:val="22"/>
                <w:szCs w:val="22"/>
              </w:rPr>
              <w:t>201</w:t>
            </w:r>
            <w:r w:rsidR="00AF46AB">
              <w:rPr>
                <w:rFonts w:cs="Arial"/>
                <w:sz w:val="22"/>
                <w:szCs w:val="22"/>
              </w:rPr>
              <w:t>7</w:t>
            </w:r>
            <w:r w:rsidRPr="000D2D66">
              <w:rPr>
                <w:rFonts w:cs="Arial"/>
                <w:sz w:val="22"/>
                <w:szCs w:val="22"/>
              </w:rPr>
              <w:t>-</w:t>
            </w:r>
            <w:r w:rsidR="0023732C" w:rsidRPr="000D2D66">
              <w:rPr>
                <w:rFonts w:cs="Arial"/>
                <w:sz w:val="22"/>
                <w:szCs w:val="22"/>
              </w:rPr>
              <w:t>2</w:t>
            </w:r>
            <w:r w:rsidR="009B5C2A" w:rsidRPr="000D2D66">
              <w:rPr>
                <w:rFonts w:cs="Arial"/>
                <w:sz w:val="22"/>
                <w:szCs w:val="22"/>
              </w:rPr>
              <w:t>0</w:t>
            </w:r>
            <w:r w:rsidR="008C436D" w:rsidRPr="000D2D66">
              <w:rPr>
                <w:rFonts w:cs="Arial"/>
                <w:sz w:val="22"/>
                <w:szCs w:val="22"/>
              </w:rPr>
              <w:t>2</w:t>
            </w:r>
            <w:r w:rsidR="00AF46AB">
              <w:rPr>
                <w:rFonts w:cs="Arial"/>
                <w:sz w:val="22"/>
                <w:szCs w:val="22"/>
              </w:rPr>
              <w:t>1</w:t>
            </w:r>
            <w:r w:rsidR="00331012" w:rsidRPr="000D2D66">
              <w:rPr>
                <w:rFonts w:cs="Arial"/>
                <w:sz w:val="22"/>
                <w:szCs w:val="22"/>
              </w:rPr>
              <w:t>)</w:t>
            </w:r>
          </w:p>
        </w:tc>
      </w:tr>
      <w:tr w:rsidR="00CF7499" w:rsidRPr="00CF7499" w:rsidTr="00AF0064">
        <w:trPr>
          <w:trHeight w:val="219"/>
        </w:trPr>
        <w:tc>
          <w:tcPr>
            <w:tcW w:w="1984" w:type="dxa"/>
          </w:tcPr>
          <w:p w:rsidR="00AF0064" w:rsidRPr="00331012" w:rsidRDefault="00AF0064" w:rsidP="005770BA">
            <w:pPr>
              <w:spacing w:after="60"/>
              <w:rPr>
                <w:rFonts w:cs="Arial"/>
                <w:sz w:val="22"/>
                <w:szCs w:val="22"/>
              </w:rPr>
            </w:pPr>
            <w:r w:rsidRPr="00331012">
              <w:rPr>
                <w:rFonts w:cs="Arial"/>
                <w:sz w:val="22"/>
                <w:szCs w:val="22"/>
              </w:rPr>
              <w:t>Appendix 3</w:t>
            </w:r>
          </w:p>
        </w:tc>
        <w:tc>
          <w:tcPr>
            <w:tcW w:w="6521" w:type="dxa"/>
          </w:tcPr>
          <w:p w:rsidR="00AF0064" w:rsidRPr="00CF7499" w:rsidRDefault="00AF0064" w:rsidP="00BB5F0C">
            <w:pPr>
              <w:rPr>
                <w:rFonts w:cs="Arial"/>
                <w:color w:val="4F81BD" w:themeColor="accent1"/>
                <w:sz w:val="22"/>
                <w:szCs w:val="22"/>
              </w:rPr>
            </w:pPr>
            <w:r w:rsidRPr="0083402D">
              <w:rPr>
                <w:rFonts w:cs="Arial"/>
                <w:sz w:val="22"/>
                <w:szCs w:val="22"/>
              </w:rPr>
              <w:t xml:space="preserve">Service Committees Variances at </w:t>
            </w:r>
            <w:r w:rsidR="00BB5F0C">
              <w:rPr>
                <w:rFonts w:cs="Arial"/>
                <w:sz w:val="22"/>
                <w:szCs w:val="22"/>
              </w:rPr>
              <w:t xml:space="preserve">end of November </w:t>
            </w:r>
            <w:r w:rsidR="00331012" w:rsidRPr="0083402D">
              <w:rPr>
                <w:rFonts w:cs="Arial"/>
                <w:sz w:val="22"/>
                <w:szCs w:val="22"/>
              </w:rPr>
              <w:t>(</w:t>
            </w:r>
            <w:r w:rsidRPr="0083402D">
              <w:rPr>
                <w:rFonts w:cs="Arial"/>
                <w:sz w:val="22"/>
                <w:szCs w:val="22"/>
              </w:rPr>
              <w:t>201</w:t>
            </w:r>
            <w:r w:rsidR="00AF46AB">
              <w:rPr>
                <w:rFonts w:cs="Arial"/>
                <w:sz w:val="22"/>
                <w:szCs w:val="22"/>
              </w:rPr>
              <w:t>7</w:t>
            </w:r>
            <w:r w:rsidRPr="0083402D">
              <w:rPr>
                <w:rFonts w:cs="Arial"/>
                <w:sz w:val="22"/>
                <w:szCs w:val="22"/>
              </w:rPr>
              <w:t>-</w:t>
            </w:r>
            <w:r w:rsidR="009B5C2A" w:rsidRPr="0083402D">
              <w:rPr>
                <w:rFonts w:cs="Arial"/>
                <w:sz w:val="22"/>
                <w:szCs w:val="22"/>
              </w:rPr>
              <w:t>20</w:t>
            </w:r>
            <w:r w:rsidR="00AF46AB">
              <w:rPr>
                <w:rFonts w:cs="Arial"/>
                <w:sz w:val="22"/>
                <w:szCs w:val="22"/>
              </w:rPr>
              <w:t>18</w:t>
            </w:r>
            <w:r w:rsidR="00331012" w:rsidRPr="0083402D">
              <w:rPr>
                <w:rFonts w:cs="Arial"/>
                <w:sz w:val="22"/>
                <w:szCs w:val="22"/>
              </w:rPr>
              <w:t>)</w:t>
            </w:r>
          </w:p>
        </w:tc>
      </w:tr>
      <w:tr w:rsidR="00CF7499" w:rsidRPr="00CF7499" w:rsidTr="005770BA">
        <w:tc>
          <w:tcPr>
            <w:tcW w:w="1984" w:type="dxa"/>
          </w:tcPr>
          <w:p w:rsidR="000F6AB4" w:rsidRPr="00331012" w:rsidRDefault="000F6AB4" w:rsidP="00331012">
            <w:pPr>
              <w:spacing w:after="60"/>
              <w:rPr>
                <w:rFonts w:cs="Arial"/>
                <w:sz w:val="22"/>
                <w:szCs w:val="22"/>
              </w:rPr>
            </w:pPr>
            <w:r w:rsidRPr="00331012">
              <w:rPr>
                <w:rFonts w:cs="Arial"/>
                <w:sz w:val="22"/>
                <w:szCs w:val="22"/>
              </w:rPr>
              <w:t>Appendix 4</w:t>
            </w:r>
          </w:p>
        </w:tc>
        <w:tc>
          <w:tcPr>
            <w:tcW w:w="6521" w:type="dxa"/>
          </w:tcPr>
          <w:p w:rsidR="000F6AB4" w:rsidRPr="00CF7499" w:rsidRDefault="00331012" w:rsidP="00D6546E">
            <w:pPr>
              <w:spacing w:after="60"/>
              <w:rPr>
                <w:rFonts w:cs="Arial"/>
                <w:color w:val="4F81BD" w:themeColor="accent1"/>
                <w:sz w:val="22"/>
                <w:szCs w:val="22"/>
              </w:rPr>
            </w:pPr>
            <w:r w:rsidRPr="0097182F">
              <w:rPr>
                <w:rFonts w:cs="Arial"/>
                <w:sz w:val="22"/>
                <w:szCs w:val="22"/>
              </w:rPr>
              <w:t>Scheme for Prioritising Growth</w:t>
            </w:r>
          </w:p>
        </w:tc>
      </w:tr>
      <w:tr w:rsidR="00CF7499" w:rsidRPr="00CF7499" w:rsidTr="005770BA">
        <w:tc>
          <w:tcPr>
            <w:tcW w:w="1984" w:type="dxa"/>
          </w:tcPr>
          <w:p w:rsidR="00921244" w:rsidRPr="00331012" w:rsidRDefault="00921244" w:rsidP="00331012">
            <w:pPr>
              <w:spacing w:after="60"/>
              <w:rPr>
                <w:rFonts w:cs="Arial"/>
                <w:sz w:val="22"/>
                <w:szCs w:val="22"/>
              </w:rPr>
            </w:pPr>
            <w:r w:rsidRPr="00331012">
              <w:rPr>
                <w:rFonts w:cs="Arial"/>
                <w:sz w:val="22"/>
                <w:szCs w:val="22"/>
              </w:rPr>
              <w:t xml:space="preserve">Appendix </w:t>
            </w:r>
            <w:r w:rsidR="00331012" w:rsidRPr="00331012">
              <w:rPr>
                <w:rFonts w:cs="Arial"/>
                <w:sz w:val="22"/>
                <w:szCs w:val="22"/>
              </w:rPr>
              <w:t>5</w:t>
            </w:r>
          </w:p>
        </w:tc>
        <w:tc>
          <w:tcPr>
            <w:tcW w:w="6521" w:type="dxa"/>
          </w:tcPr>
          <w:p w:rsidR="00921244" w:rsidRPr="00CF7499" w:rsidRDefault="00331012" w:rsidP="00B0732F">
            <w:pPr>
              <w:spacing w:after="60"/>
              <w:rPr>
                <w:rFonts w:cs="Arial"/>
                <w:color w:val="4F81BD" w:themeColor="accent1"/>
                <w:sz w:val="22"/>
                <w:szCs w:val="22"/>
              </w:rPr>
            </w:pPr>
            <w:r w:rsidRPr="0097182F">
              <w:rPr>
                <w:rFonts w:cs="Arial"/>
                <w:sz w:val="22"/>
                <w:szCs w:val="22"/>
              </w:rPr>
              <w:t>Potential Growth</w:t>
            </w:r>
          </w:p>
        </w:tc>
      </w:tr>
      <w:tr w:rsidR="00CF7499" w:rsidRPr="00CF7499" w:rsidTr="005770BA">
        <w:tc>
          <w:tcPr>
            <w:tcW w:w="1984" w:type="dxa"/>
          </w:tcPr>
          <w:p w:rsidR="00921244" w:rsidRPr="00331012" w:rsidRDefault="00921244" w:rsidP="00331012">
            <w:pPr>
              <w:spacing w:after="60"/>
            </w:pPr>
            <w:r w:rsidRPr="00331012">
              <w:rPr>
                <w:rFonts w:cs="Arial"/>
                <w:sz w:val="22"/>
                <w:szCs w:val="22"/>
              </w:rPr>
              <w:t xml:space="preserve">Appendix </w:t>
            </w:r>
            <w:r w:rsidR="00331012" w:rsidRPr="00331012">
              <w:rPr>
                <w:rFonts w:cs="Arial"/>
                <w:sz w:val="22"/>
                <w:szCs w:val="22"/>
              </w:rPr>
              <w:t>6</w:t>
            </w:r>
          </w:p>
        </w:tc>
        <w:tc>
          <w:tcPr>
            <w:tcW w:w="6521" w:type="dxa"/>
          </w:tcPr>
          <w:p w:rsidR="00921244" w:rsidRPr="00CF7499" w:rsidRDefault="00331012" w:rsidP="00D6546E">
            <w:pPr>
              <w:spacing w:after="60"/>
              <w:rPr>
                <w:rFonts w:cs="Arial"/>
                <w:color w:val="4F81BD" w:themeColor="accent1"/>
                <w:sz w:val="22"/>
                <w:szCs w:val="22"/>
              </w:rPr>
            </w:pPr>
            <w:r w:rsidRPr="00DF332A">
              <w:rPr>
                <w:rFonts w:cs="Arial"/>
                <w:sz w:val="22"/>
                <w:szCs w:val="22"/>
              </w:rPr>
              <w:t>Proposed Fees &amp; Charges</w:t>
            </w:r>
          </w:p>
        </w:tc>
      </w:tr>
      <w:tr w:rsidR="00CF7499" w:rsidRPr="00CF7499" w:rsidTr="005770BA">
        <w:tc>
          <w:tcPr>
            <w:tcW w:w="1984" w:type="dxa"/>
          </w:tcPr>
          <w:p w:rsidR="00921244" w:rsidRPr="00331012" w:rsidRDefault="00921244" w:rsidP="00331012">
            <w:pPr>
              <w:spacing w:after="60"/>
              <w:rPr>
                <w:rFonts w:cs="Arial"/>
                <w:sz w:val="22"/>
                <w:szCs w:val="22"/>
              </w:rPr>
            </w:pPr>
            <w:r w:rsidRPr="00331012">
              <w:rPr>
                <w:rFonts w:cs="Arial"/>
                <w:sz w:val="22"/>
                <w:szCs w:val="22"/>
              </w:rPr>
              <w:t xml:space="preserve">Appendix </w:t>
            </w:r>
            <w:r w:rsidR="00331012" w:rsidRPr="00331012">
              <w:rPr>
                <w:rFonts w:cs="Arial"/>
                <w:sz w:val="22"/>
                <w:szCs w:val="22"/>
              </w:rPr>
              <w:t>7</w:t>
            </w:r>
          </w:p>
        </w:tc>
        <w:tc>
          <w:tcPr>
            <w:tcW w:w="6521" w:type="dxa"/>
          </w:tcPr>
          <w:p w:rsidR="00921244" w:rsidRPr="00CF7499" w:rsidRDefault="00331012" w:rsidP="00D6546E">
            <w:pPr>
              <w:spacing w:after="60"/>
              <w:rPr>
                <w:rFonts w:cs="Arial"/>
                <w:color w:val="4F81BD" w:themeColor="accent1"/>
                <w:sz w:val="22"/>
                <w:szCs w:val="22"/>
              </w:rPr>
            </w:pPr>
            <w:r w:rsidRPr="0097182F">
              <w:rPr>
                <w:rFonts w:cs="Arial"/>
                <w:sz w:val="22"/>
                <w:szCs w:val="22"/>
              </w:rPr>
              <w:t>Financial and Budgetary Key Risks</w:t>
            </w:r>
          </w:p>
        </w:tc>
      </w:tr>
    </w:tbl>
    <w:p w:rsidR="00583AFA" w:rsidRDefault="00583AFA" w:rsidP="00B936EB">
      <w:pPr>
        <w:jc w:val="right"/>
        <w:rPr>
          <w:rFonts w:cs="Arial"/>
          <w:b/>
          <w:sz w:val="22"/>
          <w:szCs w:val="22"/>
        </w:rPr>
      </w:pPr>
    </w:p>
    <w:p w:rsidR="00583AFA" w:rsidRDefault="00583AFA" w:rsidP="00B936EB">
      <w:pPr>
        <w:jc w:val="right"/>
        <w:rPr>
          <w:rFonts w:cs="Arial"/>
          <w:b/>
          <w:sz w:val="22"/>
          <w:szCs w:val="22"/>
        </w:rPr>
      </w:pPr>
    </w:p>
    <w:p w:rsidR="00583AFA" w:rsidRDefault="00583AFA" w:rsidP="00B936EB">
      <w:pPr>
        <w:jc w:val="right"/>
        <w:rPr>
          <w:rFonts w:cs="Arial"/>
          <w:b/>
          <w:sz w:val="22"/>
          <w:szCs w:val="22"/>
        </w:rPr>
      </w:pPr>
    </w:p>
    <w:p w:rsidR="00583AFA" w:rsidRDefault="00583AFA" w:rsidP="00B936EB">
      <w:pPr>
        <w:jc w:val="right"/>
        <w:rPr>
          <w:rFonts w:cs="Arial"/>
          <w:b/>
          <w:sz w:val="22"/>
          <w:szCs w:val="22"/>
        </w:rPr>
      </w:pPr>
    </w:p>
    <w:p w:rsidR="00583AFA" w:rsidRDefault="00583AFA" w:rsidP="00B936EB">
      <w:pPr>
        <w:jc w:val="right"/>
        <w:rPr>
          <w:rFonts w:cs="Arial"/>
          <w:b/>
          <w:sz w:val="22"/>
          <w:szCs w:val="22"/>
        </w:rPr>
      </w:pPr>
    </w:p>
    <w:p w:rsidR="00583AFA" w:rsidRDefault="00583AFA" w:rsidP="00B936EB">
      <w:pPr>
        <w:jc w:val="right"/>
        <w:rPr>
          <w:rFonts w:cs="Arial"/>
          <w:b/>
          <w:sz w:val="22"/>
          <w:szCs w:val="22"/>
        </w:rPr>
      </w:pPr>
    </w:p>
    <w:p w:rsidR="00583AFA" w:rsidRDefault="00583AFA" w:rsidP="00B936EB">
      <w:pPr>
        <w:jc w:val="right"/>
        <w:rPr>
          <w:rFonts w:cs="Arial"/>
          <w:b/>
          <w:sz w:val="22"/>
          <w:szCs w:val="22"/>
        </w:rPr>
      </w:pPr>
    </w:p>
    <w:p w:rsidR="00583AFA" w:rsidRDefault="00583AFA" w:rsidP="00B936EB">
      <w:pPr>
        <w:jc w:val="right"/>
        <w:rPr>
          <w:rFonts w:cs="Arial"/>
          <w:b/>
          <w:sz w:val="22"/>
          <w:szCs w:val="22"/>
        </w:rPr>
      </w:pPr>
    </w:p>
    <w:p w:rsidR="00583AFA" w:rsidRDefault="00583AFA" w:rsidP="00B936EB">
      <w:pPr>
        <w:jc w:val="right"/>
        <w:rPr>
          <w:rFonts w:cs="Arial"/>
          <w:b/>
          <w:sz w:val="22"/>
          <w:szCs w:val="22"/>
        </w:rPr>
      </w:pPr>
    </w:p>
    <w:p w:rsidR="00583AFA" w:rsidRDefault="00583AFA" w:rsidP="00B936EB">
      <w:pPr>
        <w:jc w:val="right"/>
        <w:rPr>
          <w:rFonts w:cs="Arial"/>
          <w:b/>
          <w:sz w:val="22"/>
          <w:szCs w:val="22"/>
        </w:rPr>
      </w:pPr>
    </w:p>
    <w:p w:rsidR="00583AFA" w:rsidRDefault="00583AFA" w:rsidP="00B936EB">
      <w:pPr>
        <w:jc w:val="right"/>
        <w:rPr>
          <w:rFonts w:cs="Arial"/>
          <w:b/>
          <w:sz w:val="22"/>
          <w:szCs w:val="22"/>
        </w:rPr>
      </w:pPr>
    </w:p>
    <w:p w:rsidR="00583AFA" w:rsidRDefault="00583AFA" w:rsidP="00B936EB">
      <w:pPr>
        <w:jc w:val="right"/>
        <w:rPr>
          <w:rFonts w:cs="Arial"/>
          <w:b/>
          <w:sz w:val="22"/>
          <w:szCs w:val="22"/>
        </w:rPr>
      </w:pPr>
    </w:p>
    <w:p w:rsidR="00583AFA" w:rsidRDefault="00583AFA" w:rsidP="00B936EB">
      <w:pPr>
        <w:jc w:val="right"/>
        <w:rPr>
          <w:rFonts w:cs="Arial"/>
          <w:b/>
          <w:sz w:val="22"/>
          <w:szCs w:val="22"/>
        </w:rPr>
      </w:pPr>
    </w:p>
    <w:p w:rsidR="00B936EB" w:rsidRPr="00A66EC8" w:rsidRDefault="00B936EB" w:rsidP="00B936EB">
      <w:pPr>
        <w:jc w:val="right"/>
        <w:rPr>
          <w:rFonts w:cs="Arial"/>
          <w:b/>
          <w:sz w:val="22"/>
          <w:szCs w:val="22"/>
        </w:rPr>
      </w:pPr>
      <w:r w:rsidRPr="00A66EC8">
        <w:rPr>
          <w:rFonts w:cs="Arial"/>
          <w:b/>
          <w:sz w:val="22"/>
          <w:szCs w:val="22"/>
        </w:rPr>
        <w:lastRenderedPageBreak/>
        <w:t>APPENDIX 1</w:t>
      </w:r>
    </w:p>
    <w:p w:rsidR="00B936EB" w:rsidRPr="00A66EC8" w:rsidRDefault="00A6727E" w:rsidP="00B936EB">
      <w:pPr>
        <w:tabs>
          <w:tab w:val="left" w:pos="2268"/>
        </w:tabs>
        <w:jc w:val="both"/>
        <w:rPr>
          <w:rFonts w:cs="Arial"/>
          <w:b/>
          <w:sz w:val="22"/>
          <w:szCs w:val="22"/>
        </w:rPr>
      </w:pPr>
      <w:r w:rsidRPr="00A66EC8">
        <w:rPr>
          <w:rFonts w:cs="Arial"/>
          <w:b/>
          <w:sz w:val="22"/>
          <w:szCs w:val="22"/>
        </w:rPr>
        <w:t xml:space="preserve">MEDIUM TERM FINANCIAL </w:t>
      </w:r>
      <w:r w:rsidR="007E01CD" w:rsidRPr="00A66EC8">
        <w:rPr>
          <w:rFonts w:cs="Arial"/>
          <w:b/>
          <w:sz w:val="22"/>
          <w:szCs w:val="22"/>
        </w:rPr>
        <w:t>PLAN</w:t>
      </w:r>
      <w:r w:rsidR="00BD7F27" w:rsidRPr="00A66EC8">
        <w:rPr>
          <w:rFonts w:cs="Arial"/>
          <w:b/>
          <w:sz w:val="22"/>
          <w:szCs w:val="22"/>
        </w:rPr>
        <w:t xml:space="preserve"> </w:t>
      </w:r>
      <w:r w:rsidR="0043290F">
        <w:rPr>
          <w:rFonts w:cs="Arial"/>
          <w:b/>
          <w:sz w:val="22"/>
          <w:szCs w:val="22"/>
        </w:rPr>
        <w:t>2018-2021</w:t>
      </w:r>
    </w:p>
    <w:p w:rsidR="00534318" w:rsidRPr="00CF7499" w:rsidRDefault="00534318" w:rsidP="00B67F70">
      <w:pPr>
        <w:jc w:val="both"/>
        <w:rPr>
          <w:rFonts w:cs="Arial"/>
          <w:color w:val="4F81BD" w:themeColor="accent1"/>
          <w:sz w:val="22"/>
          <w:szCs w:val="22"/>
        </w:rPr>
      </w:pPr>
    </w:p>
    <w:p w:rsidR="00E302B9" w:rsidRDefault="000178C9" w:rsidP="00B67F70">
      <w:pPr>
        <w:jc w:val="both"/>
        <w:rPr>
          <w:rFonts w:cs="Arial"/>
          <w:color w:val="4F81BD" w:themeColor="accent1"/>
          <w:sz w:val="22"/>
          <w:szCs w:val="22"/>
        </w:rPr>
        <w:sectPr w:rsidR="00E302B9" w:rsidSect="00583AFA">
          <w:headerReference w:type="default" r:id="rId13"/>
          <w:footerReference w:type="default" r:id="rId14"/>
          <w:pgSz w:w="11909" w:h="16834" w:code="9"/>
          <w:pgMar w:top="567" w:right="1077" w:bottom="568" w:left="1077" w:header="709" w:footer="709" w:gutter="0"/>
          <w:cols w:space="720"/>
        </w:sectPr>
      </w:pPr>
      <w:r w:rsidRPr="000178C9">
        <w:rPr>
          <w:noProof/>
          <w:lang w:eastAsia="en-GB"/>
        </w:rPr>
        <w:drawing>
          <wp:inline distT="0" distB="0" distL="0" distR="0" wp14:anchorId="3B884383" wp14:editId="7592CB28">
            <wp:extent cx="6192783" cy="8719719"/>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4425" cy="8722030"/>
                    </a:xfrm>
                    <a:prstGeom prst="rect">
                      <a:avLst/>
                    </a:prstGeom>
                    <a:noFill/>
                    <a:ln>
                      <a:noFill/>
                    </a:ln>
                  </pic:spPr>
                </pic:pic>
              </a:graphicData>
            </a:graphic>
          </wp:inline>
        </w:drawing>
      </w:r>
    </w:p>
    <w:p w:rsidR="00B936EB" w:rsidRPr="00A66EC8" w:rsidRDefault="00E302B9" w:rsidP="00B936EB">
      <w:pPr>
        <w:jc w:val="right"/>
        <w:rPr>
          <w:rFonts w:cs="Arial"/>
          <w:b/>
          <w:sz w:val="22"/>
          <w:szCs w:val="22"/>
        </w:rPr>
      </w:pPr>
      <w:r>
        <w:rPr>
          <w:rFonts w:cs="Arial"/>
          <w:b/>
          <w:sz w:val="22"/>
          <w:szCs w:val="22"/>
        </w:rPr>
        <w:lastRenderedPageBreak/>
        <w:t>A</w:t>
      </w:r>
      <w:r w:rsidR="00B936EB" w:rsidRPr="00A66EC8">
        <w:rPr>
          <w:rFonts w:cs="Arial"/>
          <w:b/>
          <w:sz w:val="22"/>
          <w:szCs w:val="22"/>
        </w:rPr>
        <w:t xml:space="preserve">PPENDIX </w:t>
      </w:r>
      <w:r w:rsidR="00DD25AC" w:rsidRPr="00A66EC8">
        <w:rPr>
          <w:rFonts w:cs="Arial"/>
          <w:b/>
          <w:sz w:val="22"/>
          <w:szCs w:val="22"/>
        </w:rPr>
        <w:t>2</w:t>
      </w:r>
    </w:p>
    <w:p w:rsidR="00A6727E" w:rsidRPr="00A66EC8" w:rsidRDefault="007E01CD" w:rsidP="00A6727E">
      <w:pPr>
        <w:rPr>
          <w:rFonts w:cs="Arial"/>
          <w:b/>
          <w:sz w:val="22"/>
          <w:szCs w:val="22"/>
        </w:rPr>
      </w:pPr>
      <w:r w:rsidRPr="00A66EC8">
        <w:rPr>
          <w:rFonts w:cs="Arial"/>
          <w:b/>
          <w:sz w:val="22"/>
          <w:szCs w:val="22"/>
        </w:rPr>
        <w:t>SERVICE COMMITTEES - MEDIUM TERM FINANCIAL PLAN</w:t>
      </w:r>
      <w:r w:rsidR="00A42E4F">
        <w:rPr>
          <w:rFonts w:cs="Arial"/>
          <w:b/>
          <w:sz w:val="22"/>
          <w:szCs w:val="22"/>
        </w:rPr>
        <w:t xml:space="preserve"> 201</w:t>
      </w:r>
      <w:r w:rsidR="0043290F">
        <w:rPr>
          <w:rFonts w:cs="Arial"/>
          <w:b/>
          <w:sz w:val="22"/>
          <w:szCs w:val="22"/>
        </w:rPr>
        <w:t>7</w:t>
      </w:r>
      <w:r w:rsidR="00A42E4F">
        <w:rPr>
          <w:rFonts w:cs="Arial"/>
          <w:b/>
          <w:sz w:val="22"/>
          <w:szCs w:val="22"/>
        </w:rPr>
        <w:t xml:space="preserve"> - 202</w:t>
      </w:r>
      <w:r w:rsidR="0043290F">
        <w:rPr>
          <w:rFonts w:cs="Arial"/>
          <w:b/>
          <w:sz w:val="22"/>
          <w:szCs w:val="22"/>
        </w:rPr>
        <w:t>1</w:t>
      </w:r>
    </w:p>
    <w:p w:rsidR="00DD25AC" w:rsidRPr="00CF7499" w:rsidRDefault="00DD25AC" w:rsidP="00DD25AC">
      <w:pPr>
        <w:rPr>
          <w:rFonts w:cs="Arial"/>
          <w:b/>
          <w:color w:val="4F81BD" w:themeColor="accent1"/>
          <w:sz w:val="22"/>
          <w:szCs w:val="22"/>
        </w:rPr>
      </w:pPr>
    </w:p>
    <w:p w:rsidR="00DD25AC" w:rsidRDefault="00063D17" w:rsidP="00DD25AC">
      <w:pPr>
        <w:rPr>
          <w:noProof/>
          <w:lang w:eastAsia="en-GB"/>
        </w:rPr>
      </w:pPr>
      <w:r w:rsidRPr="00063D17">
        <w:rPr>
          <w:noProof/>
          <w:lang w:eastAsia="en-GB"/>
        </w:rPr>
        <w:drawing>
          <wp:inline distT="0" distB="0" distL="0" distR="0" wp14:anchorId="3764939A" wp14:editId="287F4EF1">
            <wp:extent cx="8953804" cy="5427878"/>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61120" cy="5432313"/>
                    </a:xfrm>
                    <a:prstGeom prst="rect">
                      <a:avLst/>
                    </a:prstGeom>
                    <a:noFill/>
                    <a:ln>
                      <a:noFill/>
                    </a:ln>
                  </pic:spPr>
                </pic:pic>
              </a:graphicData>
            </a:graphic>
          </wp:inline>
        </w:drawing>
      </w:r>
    </w:p>
    <w:p w:rsidR="00063D17" w:rsidRDefault="00063D17" w:rsidP="00DD25AC">
      <w:pPr>
        <w:rPr>
          <w:rFonts w:cs="Arial"/>
          <w:b/>
          <w:color w:val="4F81BD" w:themeColor="accent1"/>
          <w:sz w:val="22"/>
          <w:szCs w:val="22"/>
        </w:rPr>
      </w:pPr>
    </w:p>
    <w:p w:rsidR="00155F6C" w:rsidRDefault="00503C03" w:rsidP="00DD25AC">
      <w:pPr>
        <w:rPr>
          <w:rFonts w:cs="Arial"/>
          <w:b/>
          <w:color w:val="4F81BD" w:themeColor="accent1"/>
          <w:sz w:val="22"/>
          <w:szCs w:val="22"/>
        </w:rPr>
      </w:pPr>
      <w:r w:rsidRPr="00503C03">
        <w:rPr>
          <w:noProof/>
          <w:lang w:eastAsia="en-GB"/>
        </w:rPr>
        <w:drawing>
          <wp:inline distT="0" distB="0" distL="0" distR="0" wp14:anchorId="4E248883" wp14:editId="6A95DA96">
            <wp:extent cx="8957246" cy="3028493"/>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61120" cy="3029803"/>
                    </a:xfrm>
                    <a:prstGeom prst="rect">
                      <a:avLst/>
                    </a:prstGeom>
                    <a:noFill/>
                    <a:ln>
                      <a:noFill/>
                    </a:ln>
                  </pic:spPr>
                </pic:pic>
              </a:graphicData>
            </a:graphic>
          </wp:inline>
        </w:drawing>
      </w:r>
    </w:p>
    <w:p w:rsidR="00155F6C" w:rsidRDefault="00155F6C" w:rsidP="00DD25AC">
      <w:pPr>
        <w:rPr>
          <w:rFonts w:cs="Arial"/>
          <w:b/>
          <w:color w:val="4F81BD" w:themeColor="accent1"/>
          <w:sz w:val="22"/>
          <w:szCs w:val="22"/>
        </w:rPr>
      </w:pPr>
    </w:p>
    <w:p w:rsidR="00155F6C" w:rsidRDefault="00155F6C" w:rsidP="00DD25AC">
      <w:pPr>
        <w:rPr>
          <w:rFonts w:cs="Arial"/>
          <w:b/>
          <w:color w:val="4F81BD" w:themeColor="accent1"/>
          <w:sz w:val="22"/>
          <w:szCs w:val="22"/>
        </w:rPr>
      </w:pPr>
    </w:p>
    <w:p w:rsidR="00155F6C" w:rsidRDefault="00155F6C" w:rsidP="00DD25AC">
      <w:pPr>
        <w:rPr>
          <w:rFonts w:cs="Arial"/>
          <w:b/>
          <w:color w:val="4F81BD" w:themeColor="accent1"/>
          <w:sz w:val="22"/>
          <w:szCs w:val="22"/>
        </w:rPr>
      </w:pPr>
    </w:p>
    <w:p w:rsidR="005A0C9D" w:rsidRDefault="005A0C9D" w:rsidP="00DD25AC">
      <w:pPr>
        <w:rPr>
          <w:rFonts w:cs="Arial"/>
          <w:b/>
          <w:color w:val="4F81BD" w:themeColor="accent1"/>
          <w:sz w:val="22"/>
          <w:szCs w:val="22"/>
        </w:rPr>
      </w:pPr>
    </w:p>
    <w:p w:rsidR="005A0C9D" w:rsidRDefault="005A0C9D" w:rsidP="00DD25AC">
      <w:pPr>
        <w:rPr>
          <w:rFonts w:cs="Arial"/>
          <w:b/>
          <w:color w:val="4F81BD" w:themeColor="accent1"/>
          <w:sz w:val="22"/>
          <w:szCs w:val="22"/>
        </w:rPr>
      </w:pPr>
    </w:p>
    <w:p w:rsidR="005A0C9D" w:rsidRDefault="005A0C9D" w:rsidP="00DD25AC">
      <w:pPr>
        <w:rPr>
          <w:rFonts w:cs="Arial"/>
          <w:b/>
          <w:color w:val="4F81BD" w:themeColor="accent1"/>
          <w:sz w:val="22"/>
          <w:szCs w:val="22"/>
        </w:rPr>
      </w:pPr>
    </w:p>
    <w:p w:rsidR="005A0C9D" w:rsidRDefault="005A0C9D" w:rsidP="00DD25AC">
      <w:pPr>
        <w:rPr>
          <w:rFonts w:cs="Arial"/>
          <w:b/>
          <w:color w:val="4F81BD" w:themeColor="accent1"/>
          <w:sz w:val="22"/>
          <w:szCs w:val="22"/>
        </w:rPr>
      </w:pPr>
    </w:p>
    <w:p w:rsidR="00155F6C" w:rsidRDefault="00155F6C" w:rsidP="00DD25AC">
      <w:pPr>
        <w:rPr>
          <w:noProof/>
          <w:lang w:eastAsia="en-GB"/>
        </w:rPr>
      </w:pPr>
    </w:p>
    <w:p w:rsidR="00C62ED6" w:rsidRDefault="00C62ED6" w:rsidP="00DD25AC">
      <w:pPr>
        <w:rPr>
          <w:noProof/>
          <w:lang w:eastAsia="en-GB"/>
        </w:rPr>
      </w:pPr>
    </w:p>
    <w:p w:rsidR="00155F6C" w:rsidRDefault="00155F6C" w:rsidP="00DD25AC">
      <w:pPr>
        <w:rPr>
          <w:noProof/>
          <w:lang w:eastAsia="en-GB"/>
        </w:rPr>
      </w:pPr>
    </w:p>
    <w:p w:rsidR="0043290F" w:rsidRDefault="0043290F" w:rsidP="00DD25AC">
      <w:pPr>
        <w:rPr>
          <w:noProof/>
          <w:lang w:eastAsia="en-GB"/>
        </w:rPr>
      </w:pPr>
    </w:p>
    <w:p w:rsidR="0043290F" w:rsidRDefault="0043290F" w:rsidP="00DD25AC">
      <w:pPr>
        <w:rPr>
          <w:noProof/>
          <w:lang w:eastAsia="en-GB"/>
        </w:rPr>
      </w:pPr>
    </w:p>
    <w:p w:rsidR="0043290F" w:rsidRDefault="0043290F" w:rsidP="00DD25AC">
      <w:pPr>
        <w:rPr>
          <w:noProof/>
          <w:lang w:eastAsia="en-GB"/>
        </w:rPr>
      </w:pPr>
    </w:p>
    <w:p w:rsidR="0043290F" w:rsidRDefault="0043290F" w:rsidP="00DD25AC">
      <w:pPr>
        <w:rPr>
          <w:noProof/>
          <w:lang w:eastAsia="en-GB"/>
        </w:rPr>
      </w:pPr>
    </w:p>
    <w:p w:rsidR="0043290F" w:rsidRDefault="0043290F" w:rsidP="00DD25AC">
      <w:pPr>
        <w:rPr>
          <w:noProof/>
          <w:lang w:eastAsia="en-GB"/>
        </w:rPr>
      </w:pPr>
    </w:p>
    <w:p w:rsidR="00480C95" w:rsidRDefault="00480C95" w:rsidP="00DD25AC">
      <w:pPr>
        <w:rPr>
          <w:noProof/>
          <w:lang w:eastAsia="en-GB"/>
        </w:rPr>
      </w:pPr>
    </w:p>
    <w:p w:rsidR="00480C95" w:rsidRDefault="00480C95" w:rsidP="00DD25AC">
      <w:pPr>
        <w:rPr>
          <w:noProof/>
          <w:lang w:eastAsia="en-GB"/>
        </w:rPr>
      </w:pPr>
    </w:p>
    <w:p w:rsidR="0043290F" w:rsidRDefault="0043290F" w:rsidP="00DD25AC">
      <w:pPr>
        <w:rPr>
          <w:noProof/>
          <w:lang w:eastAsia="en-GB"/>
        </w:rPr>
      </w:pPr>
    </w:p>
    <w:p w:rsidR="0043290F" w:rsidRDefault="0043290F" w:rsidP="00DD25AC">
      <w:pPr>
        <w:rPr>
          <w:noProof/>
          <w:lang w:eastAsia="en-GB"/>
        </w:rPr>
      </w:pPr>
    </w:p>
    <w:p w:rsidR="0043290F" w:rsidRDefault="00503C03" w:rsidP="00DD25AC">
      <w:pPr>
        <w:rPr>
          <w:noProof/>
          <w:lang w:eastAsia="en-GB"/>
        </w:rPr>
      </w:pPr>
      <w:r w:rsidRPr="00503C03">
        <w:rPr>
          <w:noProof/>
          <w:lang w:eastAsia="en-GB"/>
        </w:rPr>
        <w:drawing>
          <wp:inline distT="0" distB="0" distL="0" distR="0" wp14:anchorId="1EFE152E" wp14:editId="147F3BBD">
            <wp:extent cx="8961118" cy="539130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61120" cy="5391303"/>
                    </a:xfrm>
                    <a:prstGeom prst="rect">
                      <a:avLst/>
                    </a:prstGeom>
                    <a:noFill/>
                    <a:ln>
                      <a:noFill/>
                    </a:ln>
                  </pic:spPr>
                </pic:pic>
              </a:graphicData>
            </a:graphic>
          </wp:inline>
        </w:drawing>
      </w:r>
    </w:p>
    <w:p w:rsidR="0043290F" w:rsidRDefault="0043290F" w:rsidP="00DD25AC">
      <w:pPr>
        <w:rPr>
          <w:noProof/>
          <w:lang w:eastAsia="en-GB"/>
        </w:rPr>
      </w:pPr>
    </w:p>
    <w:p w:rsidR="00480C95" w:rsidRDefault="00480C95" w:rsidP="00DD25AC">
      <w:pPr>
        <w:rPr>
          <w:noProof/>
          <w:lang w:eastAsia="en-GB"/>
        </w:rPr>
      </w:pPr>
    </w:p>
    <w:p w:rsidR="00503C03" w:rsidRDefault="00580188" w:rsidP="00DD25AC">
      <w:pPr>
        <w:rPr>
          <w:noProof/>
          <w:lang w:eastAsia="en-GB"/>
        </w:rPr>
      </w:pPr>
      <w:r w:rsidRPr="00580188">
        <w:rPr>
          <w:noProof/>
          <w:lang w:eastAsia="en-GB"/>
        </w:rPr>
        <w:drawing>
          <wp:inline distT="0" distB="0" distL="0" distR="0" wp14:anchorId="6F97F7D2" wp14:editId="340B3238">
            <wp:extent cx="8960434" cy="48060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61120" cy="4806454"/>
                    </a:xfrm>
                    <a:prstGeom prst="rect">
                      <a:avLst/>
                    </a:prstGeom>
                    <a:noFill/>
                    <a:ln>
                      <a:noFill/>
                    </a:ln>
                  </pic:spPr>
                </pic:pic>
              </a:graphicData>
            </a:graphic>
          </wp:inline>
        </w:drawing>
      </w:r>
    </w:p>
    <w:p w:rsidR="0043290F" w:rsidRDefault="0043290F" w:rsidP="00DD25AC">
      <w:pPr>
        <w:rPr>
          <w:noProof/>
          <w:lang w:eastAsia="en-GB"/>
        </w:rPr>
      </w:pPr>
    </w:p>
    <w:p w:rsidR="005A0C9D" w:rsidRDefault="005A0C9D" w:rsidP="00DD25AC">
      <w:pPr>
        <w:rPr>
          <w:rFonts w:cs="Arial"/>
          <w:b/>
          <w:color w:val="4F81BD" w:themeColor="accent1"/>
          <w:sz w:val="22"/>
          <w:szCs w:val="22"/>
        </w:rPr>
      </w:pPr>
    </w:p>
    <w:p w:rsidR="00E302B9" w:rsidRDefault="00E302B9" w:rsidP="00DD25AC">
      <w:pPr>
        <w:rPr>
          <w:rFonts w:cs="Arial"/>
          <w:b/>
          <w:color w:val="4F81BD" w:themeColor="accent1"/>
          <w:sz w:val="22"/>
          <w:szCs w:val="22"/>
        </w:rPr>
      </w:pPr>
    </w:p>
    <w:p w:rsidR="00503C03" w:rsidRDefault="00657792" w:rsidP="00DD25AC">
      <w:pPr>
        <w:rPr>
          <w:rFonts w:cs="Arial"/>
          <w:b/>
          <w:color w:val="4F81BD" w:themeColor="accent1"/>
          <w:sz w:val="22"/>
          <w:szCs w:val="22"/>
        </w:rPr>
      </w:pPr>
      <w:r w:rsidRPr="00657792">
        <w:rPr>
          <w:noProof/>
          <w:lang w:eastAsia="en-GB"/>
        </w:rPr>
        <w:lastRenderedPageBreak/>
        <w:drawing>
          <wp:inline distT="0" distB="0" distL="0" distR="0" wp14:anchorId="164EFE9F" wp14:editId="6F8ADB9F">
            <wp:extent cx="8953678" cy="56619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61120" cy="5666671"/>
                    </a:xfrm>
                    <a:prstGeom prst="rect">
                      <a:avLst/>
                    </a:prstGeom>
                    <a:noFill/>
                    <a:ln>
                      <a:noFill/>
                    </a:ln>
                  </pic:spPr>
                </pic:pic>
              </a:graphicData>
            </a:graphic>
          </wp:inline>
        </w:drawing>
      </w:r>
    </w:p>
    <w:p w:rsidR="00503C03" w:rsidRDefault="00503C03" w:rsidP="00DD25AC">
      <w:pPr>
        <w:rPr>
          <w:rFonts w:cs="Arial"/>
          <w:b/>
          <w:color w:val="4F81BD" w:themeColor="accent1"/>
          <w:sz w:val="22"/>
          <w:szCs w:val="22"/>
        </w:rPr>
      </w:pPr>
    </w:p>
    <w:p w:rsidR="00503C03" w:rsidRDefault="00503C03" w:rsidP="00DD25AC">
      <w:pPr>
        <w:rPr>
          <w:rFonts w:cs="Arial"/>
          <w:b/>
          <w:color w:val="4F81BD" w:themeColor="accent1"/>
          <w:sz w:val="22"/>
          <w:szCs w:val="22"/>
        </w:rPr>
      </w:pPr>
    </w:p>
    <w:p w:rsidR="00503C03" w:rsidRDefault="00503C03" w:rsidP="00DD25AC">
      <w:pPr>
        <w:rPr>
          <w:rFonts w:cs="Arial"/>
          <w:b/>
          <w:color w:val="4F81BD" w:themeColor="accent1"/>
          <w:sz w:val="22"/>
          <w:szCs w:val="22"/>
        </w:rPr>
      </w:pPr>
      <w:r w:rsidRPr="00503C03">
        <w:rPr>
          <w:noProof/>
          <w:lang w:eastAsia="en-GB"/>
        </w:rPr>
        <w:lastRenderedPageBreak/>
        <w:drawing>
          <wp:inline distT="0" distB="0" distL="0" distR="0" wp14:anchorId="107382E2" wp14:editId="3A70C582">
            <wp:extent cx="8953804" cy="5903366"/>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57552" cy="5905837"/>
                    </a:xfrm>
                    <a:prstGeom prst="rect">
                      <a:avLst/>
                    </a:prstGeom>
                    <a:noFill/>
                    <a:ln>
                      <a:noFill/>
                    </a:ln>
                  </pic:spPr>
                </pic:pic>
              </a:graphicData>
            </a:graphic>
          </wp:inline>
        </w:drawing>
      </w:r>
    </w:p>
    <w:p w:rsidR="00503C03" w:rsidRDefault="00503C03" w:rsidP="00DD25AC">
      <w:pPr>
        <w:rPr>
          <w:rFonts w:cs="Arial"/>
          <w:b/>
          <w:color w:val="4F81BD" w:themeColor="accent1"/>
          <w:sz w:val="22"/>
          <w:szCs w:val="22"/>
        </w:rPr>
        <w:sectPr w:rsidR="00503C03" w:rsidSect="00E302B9">
          <w:pgSz w:w="16834" w:h="11909" w:orient="landscape" w:code="9"/>
          <w:pgMar w:top="1134" w:right="1361" w:bottom="907" w:left="1361" w:header="709" w:footer="709" w:gutter="0"/>
          <w:cols w:space="720"/>
          <w:docGrid w:linePitch="326"/>
        </w:sectPr>
      </w:pPr>
      <w:r w:rsidRPr="00503C03">
        <w:rPr>
          <w:noProof/>
          <w:lang w:eastAsia="en-GB"/>
        </w:rPr>
        <w:lastRenderedPageBreak/>
        <w:drawing>
          <wp:inline distT="0" distB="0" distL="0" distR="0" wp14:anchorId="2AC51D0B" wp14:editId="66F8010A">
            <wp:extent cx="8961119" cy="5998464"/>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61120" cy="5998465"/>
                    </a:xfrm>
                    <a:prstGeom prst="rect">
                      <a:avLst/>
                    </a:prstGeom>
                    <a:noFill/>
                    <a:ln>
                      <a:noFill/>
                    </a:ln>
                  </pic:spPr>
                </pic:pic>
              </a:graphicData>
            </a:graphic>
          </wp:inline>
        </w:drawing>
      </w:r>
    </w:p>
    <w:p w:rsidR="000D374A" w:rsidRPr="00A42E4F" w:rsidRDefault="000D374A" w:rsidP="000D374A">
      <w:pPr>
        <w:ind w:left="851"/>
        <w:jc w:val="right"/>
        <w:rPr>
          <w:rFonts w:cs="Arial"/>
          <w:b/>
          <w:sz w:val="22"/>
          <w:szCs w:val="22"/>
        </w:rPr>
      </w:pPr>
      <w:r w:rsidRPr="00A42E4F">
        <w:rPr>
          <w:rFonts w:cs="Arial"/>
          <w:b/>
          <w:sz w:val="22"/>
          <w:szCs w:val="22"/>
        </w:rPr>
        <w:lastRenderedPageBreak/>
        <w:t>APPENDIX 3</w:t>
      </w:r>
    </w:p>
    <w:p w:rsidR="009C0E83" w:rsidRDefault="000D374A" w:rsidP="000D374A">
      <w:pPr>
        <w:rPr>
          <w:rFonts w:cs="Arial"/>
          <w:b/>
          <w:sz w:val="22"/>
          <w:szCs w:val="22"/>
        </w:rPr>
      </w:pPr>
      <w:r w:rsidRPr="00A42E4F">
        <w:rPr>
          <w:rFonts w:cs="Arial"/>
          <w:b/>
          <w:sz w:val="22"/>
          <w:szCs w:val="22"/>
        </w:rPr>
        <w:t xml:space="preserve">SERVICE COMMITTEES – VARIANCES </w:t>
      </w:r>
    </w:p>
    <w:p w:rsidR="009C0E83" w:rsidRPr="00A42E4F" w:rsidRDefault="009C0E83" w:rsidP="000D374A">
      <w:pPr>
        <w:rPr>
          <w:rFonts w:cs="Arial"/>
          <w:b/>
          <w:sz w:val="22"/>
          <w:szCs w:val="22"/>
        </w:rPr>
      </w:pPr>
    </w:p>
    <w:p w:rsidR="0084298C" w:rsidRDefault="00503C03" w:rsidP="007E01CD">
      <w:pPr>
        <w:rPr>
          <w:rFonts w:cs="Arial"/>
          <w:b/>
          <w:color w:val="4F81BD" w:themeColor="accent1"/>
          <w:sz w:val="22"/>
          <w:szCs w:val="22"/>
        </w:rPr>
      </w:pPr>
      <w:r w:rsidRPr="00503C03">
        <w:rPr>
          <w:noProof/>
          <w:lang w:eastAsia="en-GB"/>
        </w:rPr>
        <w:drawing>
          <wp:inline distT="0" distB="0" distL="0" distR="0" wp14:anchorId="2FFB2DDE" wp14:editId="521B5971">
            <wp:extent cx="6266213" cy="8705088"/>
            <wp:effectExtent l="0" t="0" r="127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66212" cy="8705087"/>
                    </a:xfrm>
                    <a:prstGeom prst="rect">
                      <a:avLst/>
                    </a:prstGeom>
                    <a:noFill/>
                    <a:ln>
                      <a:noFill/>
                    </a:ln>
                  </pic:spPr>
                </pic:pic>
              </a:graphicData>
            </a:graphic>
          </wp:inline>
        </w:drawing>
      </w:r>
    </w:p>
    <w:p w:rsidR="00503C03" w:rsidRDefault="00503C03" w:rsidP="007E01CD">
      <w:pPr>
        <w:rPr>
          <w:rFonts w:cs="Arial"/>
          <w:b/>
          <w:color w:val="4F81BD" w:themeColor="accent1"/>
          <w:sz w:val="22"/>
          <w:szCs w:val="22"/>
        </w:rPr>
      </w:pPr>
      <w:r w:rsidRPr="00503C03">
        <w:rPr>
          <w:noProof/>
          <w:lang w:eastAsia="en-GB"/>
        </w:rPr>
        <w:lastRenderedPageBreak/>
        <w:drawing>
          <wp:inline distT="0" distB="0" distL="0" distR="0" wp14:anchorId="52EBF4DA" wp14:editId="411D33C0">
            <wp:extent cx="6264529" cy="9195207"/>
            <wp:effectExtent l="0" t="0" r="3175"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66180" cy="9197630"/>
                    </a:xfrm>
                    <a:prstGeom prst="rect">
                      <a:avLst/>
                    </a:prstGeom>
                    <a:noFill/>
                    <a:ln>
                      <a:noFill/>
                    </a:ln>
                  </pic:spPr>
                </pic:pic>
              </a:graphicData>
            </a:graphic>
          </wp:inline>
        </w:drawing>
      </w:r>
    </w:p>
    <w:p w:rsidR="00503C03" w:rsidRDefault="00503C03" w:rsidP="007E01CD">
      <w:pPr>
        <w:rPr>
          <w:rFonts w:cs="Arial"/>
          <w:b/>
          <w:color w:val="4F81BD" w:themeColor="accent1"/>
          <w:sz w:val="22"/>
          <w:szCs w:val="22"/>
        </w:rPr>
      </w:pPr>
      <w:r w:rsidRPr="00503C03">
        <w:rPr>
          <w:noProof/>
          <w:lang w:eastAsia="en-GB"/>
        </w:rPr>
        <w:lastRenderedPageBreak/>
        <w:drawing>
          <wp:inline distT="0" distB="0" distL="0" distR="0" wp14:anchorId="70A9320D" wp14:editId="25F2234C">
            <wp:extent cx="6266180" cy="7283594"/>
            <wp:effectExtent l="0" t="0" r="127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66180" cy="7283594"/>
                    </a:xfrm>
                    <a:prstGeom prst="rect">
                      <a:avLst/>
                    </a:prstGeom>
                    <a:noFill/>
                    <a:ln>
                      <a:noFill/>
                    </a:ln>
                  </pic:spPr>
                </pic:pic>
              </a:graphicData>
            </a:graphic>
          </wp:inline>
        </w:drawing>
      </w:r>
    </w:p>
    <w:p w:rsidR="00503C03" w:rsidRDefault="00503C03" w:rsidP="007E01CD">
      <w:pPr>
        <w:rPr>
          <w:rFonts w:cs="Arial"/>
          <w:b/>
          <w:color w:val="4F81BD" w:themeColor="accent1"/>
          <w:sz w:val="22"/>
          <w:szCs w:val="22"/>
        </w:rPr>
      </w:pPr>
    </w:p>
    <w:p w:rsidR="009B06EC" w:rsidRDefault="009B06EC" w:rsidP="007E01CD">
      <w:pPr>
        <w:rPr>
          <w:rFonts w:cs="Arial"/>
          <w:b/>
          <w:color w:val="4F81BD" w:themeColor="accent1"/>
          <w:sz w:val="22"/>
          <w:szCs w:val="22"/>
        </w:rPr>
      </w:pPr>
    </w:p>
    <w:p w:rsidR="00407C66" w:rsidRDefault="00407C66" w:rsidP="007E01CD">
      <w:pPr>
        <w:rPr>
          <w:rFonts w:cs="Arial"/>
          <w:b/>
          <w:color w:val="4F81BD" w:themeColor="accent1"/>
          <w:sz w:val="22"/>
          <w:szCs w:val="22"/>
        </w:rPr>
      </w:pPr>
    </w:p>
    <w:p w:rsidR="00407C66" w:rsidRDefault="00407C66" w:rsidP="007E01CD">
      <w:pPr>
        <w:rPr>
          <w:rFonts w:cs="Arial"/>
          <w:b/>
          <w:color w:val="4F81BD" w:themeColor="accent1"/>
          <w:sz w:val="22"/>
          <w:szCs w:val="22"/>
        </w:rPr>
      </w:pPr>
    </w:p>
    <w:p w:rsidR="00407C66" w:rsidRDefault="00407C66" w:rsidP="007E01CD">
      <w:pPr>
        <w:rPr>
          <w:rFonts w:cs="Arial"/>
          <w:b/>
          <w:color w:val="4F81BD" w:themeColor="accent1"/>
          <w:sz w:val="22"/>
          <w:szCs w:val="22"/>
        </w:rPr>
      </w:pPr>
    </w:p>
    <w:p w:rsidR="00407C66" w:rsidRDefault="00407C66" w:rsidP="007E01CD">
      <w:pPr>
        <w:rPr>
          <w:rFonts w:cs="Arial"/>
          <w:b/>
          <w:color w:val="4F81BD" w:themeColor="accent1"/>
          <w:sz w:val="22"/>
          <w:szCs w:val="22"/>
        </w:rPr>
      </w:pPr>
    </w:p>
    <w:p w:rsidR="00407C66" w:rsidRDefault="00407C66" w:rsidP="007E01CD">
      <w:pPr>
        <w:rPr>
          <w:rFonts w:cs="Arial"/>
          <w:b/>
          <w:color w:val="4F81BD" w:themeColor="accent1"/>
          <w:sz w:val="22"/>
          <w:szCs w:val="22"/>
        </w:rPr>
      </w:pPr>
    </w:p>
    <w:p w:rsidR="00407C66" w:rsidRDefault="00407C66" w:rsidP="007E01CD">
      <w:pPr>
        <w:rPr>
          <w:rFonts w:cs="Arial"/>
          <w:b/>
          <w:color w:val="4F81BD" w:themeColor="accent1"/>
          <w:sz w:val="22"/>
          <w:szCs w:val="22"/>
        </w:rPr>
      </w:pPr>
    </w:p>
    <w:p w:rsidR="00407C66" w:rsidRDefault="00407C66" w:rsidP="007E01CD">
      <w:pPr>
        <w:rPr>
          <w:rFonts w:cs="Arial"/>
          <w:b/>
          <w:color w:val="4F81BD" w:themeColor="accent1"/>
          <w:sz w:val="22"/>
          <w:szCs w:val="22"/>
        </w:rPr>
      </w:pPr>
    </w:p>
    <w:p w:rsidR="00407C66" w:rsidRDefault="00407C66" w:rsidP="007E01CD">
      <w:pPr>
        <w:rPr>
          <w:rFonts w:cs="Arial"/>
          <w:b/>
          <w:color w:val="4F81BD" w:themeColor="accent1"/>
          <w:sz w:val="22"/>
          <w:szCs w:val="22"/>
        </w:rPr>
      </w:pPr>
    </w:p>
    <w:p w:rsidR="00407C66" w:rsidRDefault="00407C66" w:rsidP="007E01CD">
      <w:pPr>
        <w:rPr>
          <w:rFonts w:cs="Arial"/>
          <w:b/>
          <w:color w:val="4F81BD" w:themeColor="accent1"/>
          <w:sz w:val="22"/>
          <w:szCs w:val="22"/>
        </w:rPr>
      </w:pPr>
    </w:p>
    <w:p w:rsidR="00407C66" w:rsidRDefault="006C5A29" w:rsidP="007E01CD">
      <w:pPr>
        <w:rPr>
          <w:rFonts w:cs="Arial"/>
          <w:b/>
          <w:color w:val="4F81BD" w:themeColor="accent1"/>
          <w:sz w:val="22"/>
          <w:szCs w:val="22"/>
        </w:rPr>
      </w:pPr>
      <w:r w:rsidRPr="006C5A29">
        <w:rPr>
          <w:noProof/>
          <w:lang w:eastAsia="en-GB"/>
        </w:rPr>
        <w:lastRenderedPageBreak/>
        <w:drawing>
          <wp:inline distT="0" distB="0" distL="0" distR="0" wp14:anchorId="6BBF500D" wp14:editId="256EFC42">
            <wp:extent cx="6264196" cy="7805319"/>
            <wp:effectExtent l="0" t="0" r="381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66180" cy="7807791"/>
                    </a:xfrm>
                    <a:prstGeom prst="rect">
                      <a:avLst/>
                    </a:prstGeom>
                    <a:noFill/>
                    <a:ln>
                      <a:noFill/>
                    </a:ln>
                  </pic:spPr>
                </pic:pic>
              </a:graphicData>
            </a:graphic>
          </wp:inline>
        </w:drawing>
      </w:r>
    </w:p>
    <w:p w:rsidR="006C5A29" w:rsidRDefault="006C5A29" w:rsidP="007E01CD">
      <w:pPr>
        <w:rPr>
          <w:rFonts w:cs="Arial"/>
          <w:b/>
          <w:color w:val="4F81BD" w:themeColor="accent1"/>
          <w:sz w:val="22"/>
          <w:szCs w:val="22"/>
        </w:rPr>
      </w:pPr>
    </w:p>
    <w:p w:rsidR="006C5A29" w:rsidRDefault="006C5A29" w:rsidP="007E01CD">
      <w:pPr>
        <w:rPr>
          <w:rFonts w:cs="Arial"/>
          <w:b/>
          <w:color w:val="4F81BD" w:themeColor="accent1"/>
          <w:sz w:val="22"/>
          <w:szCs w:val="22"/>
        </w:rPr>
      </w:pPr>
    </w:p>
    <w:p w:rsidR="006C5A29" w:rsidRDefault="006C5A29" w:rsidP="007E01CD">
      <w:pPr>
        <w:rPr>
          <w:rFonts w:cs="Arial"/>
          <w:b/>
          <w:color w:val="4F81BD" w:themeColor="accent1"/>
          <w:sz w:val="22"/>
          <w:szCs w:val="22"/>
        </w:rPr>
      </w:pPr>
    </w:p>
    <w:p w:rsidR="006C5A29" w:rsidRDefault="006C5A29" w:rsidP="007E01CD">
      <w:pPr>
        <w:rPr>
          <w:rFonts w:cs="Arial"/>
          <w:b/>
          <w:color w:val="4F81BD" w:themeColor="accent1"/>
          <w:sz w:val="22"/>
          <w:szCs w:val="22"/>
        </w:rPr>
      </w:pPr>
    </w:p>
    <w:p w:rsidR="006C5A29" w:rsidRDefault="006C5A29" w:rsidP="007E01CD">
      <w:pPr>
        <w:rPr>
          <w:rFonts w:cs="Arial"/>
          <w:b/>
          <w:color w:val="4F81BD" w:themeColor="accent1"/>
          <w:sz w:val="22"/>
          <w:szCs w:val="22"/>
        </w:rPr>
      </w:pPr>
    </w:p>
    <w:p w:rsidR="006C5A29" w:rsidRDefault="006C5A29" w:rsidP="007E01CD">
      <w:pPr>
        <w:rPr>
          <w:rFonts w:cs="Arial"/>
          <w:b/>
          <w:color w:val="4F81BD" w:themeColor="accent1"/>
          <w:sz w:val="22"/>
          <w:szCs w:val="22"/>
        </w:rPr>
      </w:pPr>
    </w:p>
    <w:p w:rsidR="006C5A29" w:rsidRDefault="006C5A29" w:rsidP="007E01CD">
      <w:pPr>
        <w:rPr>
          <w:rFonts w:cs="Arial"/>
          <w:b/>
          <w:color w:val="4F81BD" w:themeColor="accent1"/>
          <w:sz w:val="22"/>
          <w:szCs w:val="22"/>
        </w:rPr>
      </w:pPr>
    </w:p>
    <w:p w:rsidR="006C5A29" w:rsidRDefault="006C5A29" w:rsidP="007E01CD">
      <w:pPr>
        <w:rPr>
          <w:rFonts w:cs="Arial"/>
          <w:b/>
          <w:color w:val="4F81BD" w:themeColor="accent1"/>
          <w:sz w:val="22"/>
          <w:szCs w:val="22"/>
        </w:rPr>
      </w:pPr>
    </w:p>
    <w:p w:rsidR="006C5A29" w:rsidRDefault="006C5A29" w:rsidP="007E01CD">
      <w:pPr>
        <w:rPr>
          <w:rFonts w:cs="Arial"/>
          <w:b/>
          <w:color w:val="4F81BD" w:themeColor="accent1"/>
          <w:sz w:val="22"/>
          <w:szCs w:val="22"/>
        </w:rPr>
      </w:pPr>
      <w:r w:rsidRPr="006C5A29">
        <w:rPr>
          <w:noProof/>
          <w:lang w:eastAsia="en-GB"/>
        </w:rPr>
        <w:lastRenderedPageBreak/>
        <w:drawing>
          <wp:inline distT="0" distB="0" distL="0" distR="0" wp14:anchorId="31BB1340" wp14:editId="70DE5E88">
            <wp:extent cx="6265344" cy="5157216"/>
            <wp:effectExtent l="0" t="0" r="254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66180" cy="5157904"/>
                    </a:xfrm>
                    <a:prstGeom prst="rect">
                      <a:avLst/>
                    </a:prstGeom>
                    <a:noFill/>
                    <a:ln>
                      <a:noFill/>
                    </a:ln>
                  </pic:spPr>
                </pic:pic>
              </a:graphicData>
            </a:graphic>
          </wp:inline>
        </w:drawing>
      </w:r>
    </w:p>
    <w:p w:rsidR="00407C66" w:rsidRDefault="00407C66" w:rsidP="007E01CD">
      <w:pPr>
        <w:rPr>
          <w:rFonts w:cs="Arial"/>
          <w:b/>
          <w:color w:val="4F81BD" w:themeColor="accent1"/>
          <w:sz w:val="22"/>
          <w:szCs w:val="22"/>
        </w:rPr>
      </w:pPr>
    </w:p>
    <w:p w:rsidR="00407C66" w:rsidRDefault="00407C66" w:rsidP="007E01CD">
      <w:pPr>
        <w:rPr>
          <w:rFonts w:cs="Arial"/>
          <w:b/>
          <w:color w:val="4F81BD" w:themeColor="accent1"/>
          <w:sz w:val="22"/>
          <w:szCs w:val="22"/>
        </w:rPr>
      </w:pPr>
    </w:p>
    <w:p w:rsidR="00407C66" w:rsidRDefault="00407C66" w:rsidP="007E01CD">
      <w:pPr>
        <w:rPr>
          <w:rFonts w:cs="Arial"/>
          <w:b/>
          <w:color w:val="4F81BD" w:themeColor="accent1"/>
          <w:sz w:val="22"/>
          <w:szCs w:val="22"/>
        </w:rPr>
      </w:pPr>
    </w:p>
    <w:p w:rsidR="00407C66" w:rsidRDefault="00407C66" w:rsidP="007E01CD">
      <w:pPr>
        <w:rPr>
          <w:rFonts w:cs="Arial"/>
          <w:b/>
          <w:color w:val="4F81BD" w:themeColor="accent1"/>
          <w:sz w:val="22"/>
          <w:szCs w:val="22"/>
        </w:rPr>
      </w:pPr>
    </w:p>
    <w:p w:rsidR="00407C66" w:rsidRDefault="00407C66" w:rsidP="007E01CD">
      <w:pPr>
        <w:rPr>
          <w:rFonts w:cs="Arial"/>
          <w:b/>
          <w:color w:val="4F81BD" w:themeColor="accent1"/>
          <w:sz w:val="22"/>
          <w:szCs w:val="22"/>
        </w:rPr>
      </w:pPr>
    </w:p>
    <w:p w:rsidR="00407C66" w:rsidRDefault="00407C66" w:rsidP="007E01CD">
      <w:pPr>
        <w:rPr>
          <w:rFonts w:cs="Arial"/>
          <w:b/>
          <w:color w:val="4F81BD" w:themeColor="accent1"/>
          <w:sz w:val="22"/>
          <w:szCs w:val="22"/>
        </w:rPr>
      </w:pPr>
    </w:p>
    <w:p w:rsidR="00407C66" w:rsidRDefault="00407C66" w:rsidP="007E01CD">
      <w:pPr>
        <w:rPr>
          <w:rFonts w:cs="Arial"/>
          <w:b/>
          <w:color w:val="4F81BD" w:themeColor="accent1"/>
          <w:sz w:val="22"/>
          <w:szCs w:val="22"/>
        </w:rPr>
      </w:pPr>
    </w:p>
    <w:p w:rsidR="00407C66" w:rsidRDefault="00407C66" w:rsidP="007E01CD">
      <w:pPr>
        <w:rPr>
          <w:rFonts w:cs="Arial"/>
          <w:b/>
          <w:color w:val="4F81BD" w:themeColor="accent1"/>
          <w:sz w:val="22"/>
          <w:szCs w:val="22"/>
        </w:rPr>
      </w:pPr>
    </w:p>
    <w:p w:rsidR="00407C66" w:rsidRDefault="00407C66" w:rsidP="007E01CD">
      <w:pPr>
        <w:rPr>
          <w:rFonts w:cs="Arial"/>
          <w:b/>
          <w:color w:val="4F81BD" w:themeColor="accent1"/>
          <w:sz w:val="22"/>
          <w:szCs w:val="22"/>
        </w:rPr>
      </w:pPr>
    </w:p>
    <w:p w:rsidR="00407C66" w:rsidRDefault="00407C66" w:rsidP="007E01CD">
      <w:pPr>
        <w:rPr>
          <w:rFonts w:cs="Arial"/>
          <w:b/>
          <w:color w:val="4F81BD" w:themeColor="accent1"/>
          <w:sz w:val="22"/>
          <w:szCs w:val="22"/>
        </w:rPr>
      </w:pPr>
    </w:p>
    <w:p w:rsidR="00407C66" w:rsidRDefault="00407C66" w:rsidP="007E01CD">
      <w:pPr>
        <w:rPr>
          <w:rFonts w:cs="Arial"/>
          <w:b/>
          <w:color w:val="4F81BD" w:themeColor="accent1"/>
          <w:sz w:val="22"/>
          <w:szCs w:val="22"/>
        </w:rPr>
      </w:pPr>
    </w:p>
    <w:p w:rsidR="009B06EC" w:rsidRDefault="009B06EC" w:rsidP="007E01CD">
      <w:pPr>
        <w:rPr>
          <w:rFonts w:cs="Arial"/>
          <w:b/>
          <w:color w:val="4F81BD" w:themeColor="accent1"/>
          <w:sz w:val="22"/>
          <w:szCs w:val="22"/>
        </w:rPr>
      </w:pPr>
    </w:p>
    <w:p w:rsidR="00BD5AEC" w:rsidRDefault="00BD5AEC" w:rsidP="007E01CD"/>
    <w:p w:rsidR="00BD5AEC" w:rsidRDefault="00BD5AEC" w:rsidP="007E01CD"/>
    <w:p w:rsidR="00BD5AEC" w:rsidRDefault="00BD5AEC" w:rsidP="007E01CD"/>
    <w:p w:rsidR="00BD5AEC" w:rsidRDefault="00BD5AEC" w:rsidP="007E01CD"/>
    <w:p w:rsidR="009C0E83" w:rsidRDefault="009C0E83" w:rsidP="007E01CD"/>
    <w:p w:rsidR="00BD5AEC" w:rsidRDefault="00BD5AEC" w:rsidP="007E01CD">
      <w:pPr>
        <w:rPr>
          <w:rFonts w:cs="Arial"/>
          <w:b/>
          <w:color w:val="4F81BD" w:themeColor="accent1"/>
          <w:sz w:val="22"/>
          <w:szCs w:val="22"/>
        </w:rPr>
      </w:pPr>
    </w:p>
    <w:p w:rsidR="009B06EC" w:rsidRDefault="009B06EC" w:rsidP="007E01CD">
      <w:pPr>
        <w:rPr>
          <w:rFonts w:cs="Arial"/>
          <w:b/>
          <w:color w:val="4F81BD" w:themeColor="accent1"/>
          <w:sz w:val="22"/>
          <w:szCs w:val="22"/>
        </w:rPr>
      </w:pPr>
    </w:p>
    <w:p w:rsidR="00BD5AEC" w:rsidRDefault="00BD5AEC" w:rsidP="007E01CD">
      <w:pPr>
        <w:rPr>
          <w:rFonts w:cs="Arial"/>
          <w:b/>
          <w:color w:val="4F81BD" w:themeColor="accent1"/>
          <w:sz w:val="22"/>
          <w:szCs w:val="22"/>
        </w:rPr>
      </w:pPr>
    </w:p>
    <w:p w:rsidR="00BD5AEC" w:rsidRDefault="00BD5AEC" w:rsidP="007E01CD">
      <w:pPr>
        <w:rPr>
          <w:rFonts w:cs="Arial"/>
          <w:b/>
          <w:color w:val="4F81BD" w:themeColor="accent1"/>
          <w:sz w:val="22"/>
          <w:szCs w:val="22"/>
        </w:rPr>
      </w:pPr>
    </w:p>
    <w:p w:rsidR="009C0E83" w:rsidRDefault="009C0E83" w:rsidP="007E01CD">
      <w:pPr>
        <w:rPr>
          <w:rFonts w:cs="Arial"/>
          <w:b/>
          <w:color w:val="4F81BD" w:themeColor="accent1"/>
          <w:sz w:val="22"/>
          <w:szCs w:val="22"/>
        </w:rPr>
      </w:pPr>
    </w:p>
    <w:p w:rsidR="00BD5AEC" w:rsidRDefault="00BD5AEC" w:rsidP="007E01CD">
      <w:pPr>
        <w:rPr>
          <w:rFonts w:cs="Arial"/>
          <w:b/>
          <w:color w:val="4F81BD" w:themeColor="accent1"/>
          <w:sz w:val="22"/>
          <w:szCs w:val="22"/>
        </w:rPr>
      </w:pPr>
    </w:p>
    <w:p w:rsidR="00BD5AEC" w:rsidRDefault="00BD5AEC" w:rsidP="007E01CD">
      <w:pPr>
        <w:rPr>
          <w:rFonts w:cs="Arial"/>
          <w:b/>
          <w:color w:val="4F81BD" w:themeColor="accent1"/>
          <w:sz w:val="22"/>
          <w:szCs w:val="22"/>
        </w:rPr>
      </w:pPr>
    </w:p>
    <w:p w:rsidR="00F42922" w:rsidRDefault="00F42922" w:rsidP="007E01CD">
      <w:pPr>
        <w:rPr>
          <w:rFonts w:cs="Arial"/>
          <w:b/>
          <w:color w:val="4F81BD" w:themeColor="accent1"/>
          <w:sz w:val="22"/>
          <w:szCs w:val="22"/>
        </w:rPr>
        <w:sectPr w:rsidR="00F42922" w:rsidSect="00503C03">
          <w:pgSz w:w="11909" w:h="16834" w:code="9"/>
          <w:pgMar w:top="993" w:right="907" w:bottom="1361" w:left="1134" w:header="709" w:footer="709" w:gutter="0"/>
          <w:cols w:space="720"/>
          <w:docGrid w:linePitch="326"/>
        </w:sectPr>
      </w:pPr>
    </w:p>
    <w:p w:rsidR="00B936EB" w:rsidRPr="00F91C8F" w:rsidRDefault="00F42922" w:rsidP="00FE6D5D">
      <w:pPr>
        <w:jc w:val="right"/>
        <w:rPr>
          <w:rFonts w:cs="Arial"/>
          <w:b/>
          <w:sz w:val="22"/>
          <w:szCs w:val="22"/>
        </w:rPr>
      </w:pPr>
      <w:r>
        <w:rPr>
          <w:rFonts w:cs="Arial"/>
          <w:b/>
          <w:sz w:val="22"/>
          <w:szCs w:val="22"/>
        </w:rPr>
        <w:lastRenderedPageBreak/>
        <w:t>A</w:t>
      </w:r>
      <w:r w:rsidR="00FE6D5D" w:rsidRPr="00F91C8F">
        <w:rPr>
          <w:rFonts w:cs="Arial"/>
          <w:b/>
          <w:sz w:val="22"/>
          <w:szCs w:val="22"/>
        </w:rPr>
        <w:t xml:space="preserve">PPENDIX </w:t>
      </w:r>
      <w:r w:rsidR="00A42E4F">
        <w:rPr>
          <w:rFonts w:cs="Arial"/>
          <w:b/>
          <w:sz w:val="22"/>
          <w:szCs w:val="22"/>
        </w:rPr>
        <w:t>4</w:t>
      </w:r>
    </w:p>
    <w:p w:rsidR="00FE6D5D" w:rsidRPr="00F91C8F" w:rsidRDefault="00FE6D5D" w:rsidP="00FE6D5D">
      <w:pPr>
        <w:ind w:left="426"/>
        <w:rPr>
          <w:b/>
          <w:sz w:val="22"/>
          <w:szCs w:val="22"/>
        </w:rPr>
      </w:pPr>
      <w:r w:rsidRPr="00F91C8F">
        <w:rPr>
          <w:b/>
          <w:sz w:val="22"/>
          <w:szCs w:val="22"/>
        </w:rPr>
        <w:t xml:space="preserve">SCHEME FOR PRIORITISING GROWTH </w:t>
      </w:r>
    </w:p>
    <w:p w:rsidR="00FE6D5D" w:rsidRPr="00F91C8F" w:rsidRDefault="00FE6D5D" w:rsidP="00FE6D5D">
      <w:pPr>
        <w:rPr>
          <w:rFonts w:cs="Arial"/>
          <w:sz w:val="22"/>
          <w:szCs w:val="22"/>
        </w:rPr>
      </w:pPr>
    </w:p>
    <w:p w:rsidR="00FE6D5D" w:rsidRPr="00F91C8F" w:rsidRDefault="00FE6D5D" w:rsidP="00FE6D5D">
      <w:pPr>
        <w:jc w:val="center"/>
        <w:rPr>
          <w:b/>
        </w:rPr>
      </w:pPr>
    </w:p>
    <w:tbl>
      <w:tblPr>
        <w:tblW w:w="8897" w:type="dxa"/>
        <w:tblInd w:w="567" w:type="dxa"/>
        <w:tblLayout w:type="fixed"/>
        <w:tblLook w:val="01E0" w:firstRow="1" w:lastRow="1" w:firstColumn="1" w:lastColumn="1" w:noHBand="0" w:noVBand="0"/>
      </w:tblPr>
      <w:tblGrid>
        <w:gridCol w:w="3085"/>
        <w:gridCol w:w="284"/>
        <w:gridCol w:w="850"/>
        <w:gridCol w:w="4678"/>
      </w:tblGrid>
      <w:tr w:rsidR="00CF7499" w:rsidRPr="00F91C8F" w:rsidTr="00FE6D5D">
        <w:trPr>
          <w:trHeight w:val="284"/>
          <w:tblHeader/>
        </w:trPr>
        <w:tc>
          <w:tcPr>
            <w:tcW w:w="3085" w:type="dxa"/>
          </w:tcPr>
          <w:p w:rsidR="00FE6D5D" w:rsidRPr="00F91C8F" w:rsidRDefault="00FE6D5D" w:rsidP="00482DD5">
            <w:pPr>
              <w:spacing w:before="40"/>
              <w:jc w:val="center"/>
              <w:rPr>
                <w:rFonts w:cs="Arial"/>
                <w:sz w:val="22"/>
                <w:szCs w:val="22"/>
              </w:rPr>
            </w:pPr>
            <w:r w:rsidRPr="00F91C8F">
              <w:rPr>
                <w:rFonts w:cs="Arial"/>
                <w:sz w:val="22"/>
                <w:szCs w:val="22"/>
              </w:rPr>
              <w:t>Criteria</w:t>
            </w:r>
          </w:p>
        </w:tc>
        <w:tc>
          <w:tcPr>
            <w:tcW w:w="284" w:type="dxa"/>
          </w:tcPr>
          <w:p w:rsidR="00FE6D5D" w:rsidRPr="00F91C8F" w:rsidRDefault="00FE6D5D" w:rsidP="00482DD5">
            <w:pPr>
              <w:spacing w:before="40"/>
              <w:jc w:val="center"/>
              <w:rPr>
                <w:rFonts w:cs="Arial"/>
                <w:sz w:val="22"/>
                <w:szCs w:val="22"/>
              </w:rPr>
            </w:pPr>
          </w:p>
        </w:tc>
        <w:tc>
          <w:tcPr>
            <w:tcW w:w="5528" w:type="dxa"/>
            <w:gridSpan w:val="2"/>
          </w:tcPr>
          <w:p w:rsidR="00FE6D5D" w:rsidRPr="00F91C8F" w:rsidRDefault="00FE6D5D" w:rsidP="00482DD5">
            <w:pPr>
              <w:spacing w:before="40"/>
              <w:jc w:val="center"/>
              <w:rPr>
                <w:rFonts w:cs="Arial"/>
                <w:sz w:val="22"/>
                <w:szCs w:val="22"/>
              </w:rPr>
            </w:pPr>
            <w:r w:rsidRPr="00F91C8F">
              <w:rPr>
                <w:rFonts w:cs="Arial"/>
                <w:sz w:val="22"/>
                <w:szCs w:val="22"/>
              </w:rPr>
              <w:t>Revenue Growth/Capital Bids</w:t>
            </w:r>
          </w:p>
        </w:tc>
      </w:tr>
      <w:tr w:rsidR="00CF7499" w:rsidRPr="00F91C8F" w:rsidTr="00FE6D5D">
        <w:trPr>
          <w:trHeight w:val="284"/>
          <w:tblHeader/>
        </w:trPr>
        <w:tc>
          <w:tcPr>
            <w:tcW w:w="3085" w:type="dxa"/>
          </w:tcPr>
          <w:p w:rsidR="00FE6D5D" w:rsidRPr="00F91C8F" w:rsidRDefault="00FE6D5D" w:rsidP="00482DD5">
            <w:pPr>
              <w:spacing w:before="40"/>
              <w:rPr>
                <w:rFonts w:cs="Arial"/>
                <w:sz w:val="22"/>
                <w:szCs w:val="22"/>
              </w:rPr>
            </w:pPr>
          </w:p>
        </w:tc>
        <w:tc>
          <w:tcPr>
            <w:tcW w:w="284" w:type="dxa"/>
          </w:tcPr>
          <w:p w:rsidR="00FE6D5D" w:rsidRPr="00F91C8F" w:rsidRDefault="00FE6D5D" w:rsidP="00482DD5">
            <w:pPr>
              <w:spacing w:before="40"/>
              <w:jc w:val="center"/>
              <w:rPr>
                <w:rFonts w:cs="Arial"/>
                <w:sz w:val="22"/>
                <w:szCs w:val="22"/>
              </w:rPr>
            </w:pPr>
          </w:p>
        </w:tc>
        <w:tc>
          <w:tcPr>
            <w:tcW w:w="850" w:type="dxa"/>
          </w:tcPr>
          <w:p w:rsidR="00FE6D5D" w:rsidRPr="00F91C8F" w:rsidRDefault="00FE6D5D" w:rsidP="00482DD5">
            <w:pPr>
              <w:spacing w:before="40"/>
              <w:rPr>
                <w:rFonts w:cs="Arial"/>
                <w:sz w:val="22"/>
                <w:szCs w:val="22"/>
              </w:rPr>
            </w:pPr>
          </w:p>
        </w:tc>
        <w:tc>
          <w:tcPr>
            <w:tcW w:w="4678" w:type="dxa"/>
          </w:tcPr>
          <w:p w:rsidR="00FE6D5D" w:rsidRPr="00F91C8F" w:rsidRDefault="00FE6D5D" w:rsidP="00482DD5">
            <w:pPr>
              <w:spacing w:before="40"/>
              <w:jc w:val="center"/>
              <w:rPr>
                <w:rFonts w:cs="Arial"/>
                <w:sz w:val="22"/>
                <w:szCs w:val="22"/>
              </w:rPr>
            </w:pPr>
          </w:p>
        </w:tc>
      </w:tr>
      <w:tr w:rsidR="00CF7499" w:rsidRPr="00F91C8F" w:rsidTr="00FE6D5D">
        <w:trPr>
          <w:trHeight w:val="284"/>
          <w:tblHeader/>
        </w:trPr>
        <w:tc>
          <w:tcPr>
            <w:tcW w:w="3085" w:type="dxa"/>
          </w:tcPr>
          <w:p w:rsidR="00FE6D5D" w:rsidRPr="00F91C8F" w:rsidRDefault="00FE6D5D" w:rsidP="00482DD5">
            <w:pPr>
              <w:spacing w:before="40"/>
              <w:rPr>
                <w:rFonts w:cs="Arial"/>
                <w:sz w:val="22"/>
                <w:szCs w:val="22"/>
              </w:rPr>
            </w:pPr>
          </w:p>
        </w:tc>
        <w:tc>
          <w:tcPr>
            <w:tcW w:w="284" w:type="dxa"/>
          </w:tcPr>
          <w:p w:rsidR="00FE6D5D" w:rsidRPr="00F91C8F" w:rsidRDefault="00FE6D5D" w:rsidP="00482DD5">
            <w:pPr>
              <w:spacing w:before="40"/>
              <w:jc w:val="center"/>
              <w:rPr>
                <w:rFonts w:cs="Arial"/>
                <w:sz w:val="22"/>
                <w:szCs w:val="22"/>
              </w:rPr>
            </w:pPr>
          </w:p>
        </w:tc>
        <w:tc>
          <w:tcPr>
            <w:tcW w:w="850" w:type="dxa"/>
          </w:tcPr>
          <w:p w:rsidR="00FE6D5D" w:rsidRPr="00F91C8F" w:rsidRDefault="00FE6D5D" w:rsidP="00482DD5">
            <w:pPr>
              <w:spacing w:before="40"/>
              <w:rPr>
                <w:rFonts w:cs="Arial"/>
                <w:sz w:val="22"/>
                <w:szCs w:val="22"/>
              </w:rPr>
            </w:pPr>
            <w:r w:rsidRPr="00F91C8F">
              <w:rPr>
                <w:rFonts w:cs="Arial"/>
                <w:sz w:val="22"/>
                <w:szCs w:val="22"/>
              </w:rPr>
              <w:t>Score</w:t>
            </w:r>
          </w:p>
        </w:tc>
        <w:tc>
          <w:tcPr>
            <w:tcW w:w="4678" w:type="dxa"/>
          </w:tcPr>
          <w:p w:rsidR="00FE6D5D" w:rsidRPr="00F91C8F" w:rsidRDefault="00FE6D5D" w:rsidP="00482DD5">
            <w:pPr>
              <w:spacing w:before="40"/>
              <w:jc w:val="center"/>
              <w:rPr>
                <w:rFonts w:cs="Arial"/>
                <w:sz w:val="22"/>
                <w:szCs w:val="22"/>
              </w:rPr>
            </w:pPr>
            <w:r w:rsidRPr="00F91C8F">
              <w:rPr>
                <w:rFonts w:cs="Arial"/>
                <w:sz w:val="22"/>
                <w:szCs w:val="22"/>
              </w:rPr>
              <w:t>Description</w:t>
            </w:r>
          </w:p>
        </w:tc>
      </w:tr>
      <w:tr w:rsidR="00CF7499" w:rsidRPr="00F91C8F" w:rsidTr="00FE6D5D">
        <w:trPr>
          <w:trHeight w:val="284"/>
        </w:trPr>
        <w:tc>
          <w:tcPr>
            <w:tcW w:w="3085" w:type="dxa"/>
          </w:tcPr>
          <w:p w:rsidR="00FE6D5D" w:rsidRPr="00F91C8F" w:rsidRDefault="00FE6D5D" w:rsidP="00482DD5">
            <w:pPr>
              <w:spacing w:before="40"/>
              <w:rPr>
                <w:rFonts w:cs="Arial"/>
                <w:sz w:val="22"/>
                <w:szCs w:val="22"/>
              </w:rPr>
            </w:pPr>
          </w:p>
        </w:tc>
        <w:tc>
          <w:tcPr>
            <w:tcW w:w="284" w:type="dxa"/>
          </w:tcPr>
          <w:p w:rsidR="00FE6D5D" w:rsidRPr="00F91C8F" w:rsidRDefault="00FE6D5D" w:rsidP="00482DD5">
            <w:pPr>
              <w:spacing w:before="40"/>
              <w:jc w:val="center"/>
              <w:rPr>
                <w:rFonts w:cs="Arial"/>
                <w:sz w:val="22"/>
                <w:szCs w:val="22"/>
              </w:rPr>
            </w:pPr>
          </w:p>
        </w:tc>
        <w:tc>
          <w:tcPr>
            <w:tcW w:w="850" w:type="dxa"/>
          </w:tcPr>
          <w:p w:rsidR="00FE6D5D" w:rsidRPr="00F91C8F" w:rsidRDefault="00FE6D5D" w:rsidP="00482DD5">
            <w:pPr>
              <w:spacing w:before="40"/>
              <w:jc w:val="center"/>
              <w:rPr>
                <w:rFonts w:cs="Arial"/>
                <w:sz w:val="22"/>
                <w:szCs w:val="22"/>
              </w:rPr>
            </w:pPr>
          </w:p>
        </w:tc>
        <w:tc>
          <w:tcPr>
            <w:tcW w:w="4678" w:type="dxa"/>
          </w:tcPr>
          <w:p w:rsidR="00FE6D5D" w:rsidRPr="00F91C8F" w:rsidRDefault="00FE6D5D" w:rsidP="00482DD5">
            <w:pPr>
              <w:spacing w:before="40"/>
              <w:rPr>
                <w:rFonts w:cs="Arial"/>
                <w:sz w:val="22"/>
                <w:szCs w:val="22"/>
              </w:rPr>
            </w:pPr>
          </w:p>
        </w:tc>
      </w:tr>
      <w:tr w:rsidR="00CF7499" w:rsidRPr="00F91C8F" w:rsidTr="00FE6D5D">
        <w:trPr>
          <w:trHeight w:val="284"/>
        </w:trPr>
        <w:tc>
          <w:tcPr>
            <w:tcW w:w="3085" w:type="dxa"/>
          </w:tcPr>
          <w:p w:rsidR="00FE6D5D" w:rsidRPr="00F91C8F" w:rsidRDefault="00FE6D5D" w:rsidP="00482DD5">
            <w:pPr>
              <w:spacing w:before="40"/>
              <w:rPr>
                <w:rFonts w:cs="Arial"/>
                <w:sz w:val="22"/>
                <w:szCs w:val="22"/>
              </w:rPr>
            </w:pPr>
            <w:r w:rsidRPr="00F91C8F">
              <w:rPr>
                <w:rFonts w:cs="Arial"/>
                <w:sz w:val="22"/>
                <w:szCs w:val="22"/>
              </w:rPr>
              <w:t>Measure of Quality of</w:t>
            </w:r>
          </w:p>
        </w:tc>
        <w:tc>
          <w:tcPr>
            <w:tcW w:w="284" w:type="dxa"/>
          </w:tcPr>
          <w:p w:rsidR="00FE6D5D" w:rsidRPr="00F91C8F" w:rsidRDefault="00FE6D5D" w:rsidP="00482DD5">
            <w:pPr>
              <w:spacing w:before="40"/>
              <w:jc w:val="center"/>
              <w:rPr>
                <w:rFonts w:cs="Arial"/>
                <w:sz w:val="22"/>
                <w:szCs w:val="22"/>
              </w:rPr>
            </w:pPr>
            <w:r w:rsidRPr="00F91C8F">
              <w:rPr>
                <w:rFonts w:cs="Arial"/>
                <w:sz w:val="22"/>
                <w:szCs w:val="22"/>
              </w:rPr>
              <w:t>a</w:t>
            </w:r>
          </w:p>
        </w:tc>
        <w:tc>
          <w:tcPr>
            <w:tcW w:w="850" w:type="dxa"/>
          </w:tcPr>
          <w:p w:rsidR="00FE6D5D" w:rsidRPr="00F91C8F" w:rsidRDefault="00FE6D5D" w:rsidP="00482DD5">
            <w:pPr>
              <w:spacing w:before="40"/>
              <w:jc w:val="center"/>
              <w:rPr>
                <w:rFonts w:cs="Arial"/>
                <w:sz w:val="22"/>
                <w:szCs w:val="22"/>
              </w:rPr>
            </w:pPr>
            <w:r w:rsidRPr="00F91C8F">
              <w:rPr>
                <w:rFonts w:cs="Arial"/>
                <w:sz w:val="22"/>
                <w:szCs w:val="22"/>
              </w:rPr>
              <w:t>3</w:t>
            </w:r>
          </w:p>
        </w:tc>
        <w:tc>
          <w:tcPr>
            <w:tcW w:w="4678" w:type="dxa"/>
          </w:tcPr>
          <w:p w:rsidR="00FE6D5D" w:rsidRPr="00F91C8F" w:rsidRDefault="00FE6D5D" w:rsidP="00482DD5">
            <w:pPr>
              <w:spacing w:before="40"/>
              <w:rPr>
                <w:rFonts w:cs="Arial"/>
                <w:sz w:val="22"/>
                <w:szCs w:val="22"/>
              </w:rPr>
            </w:pPr>
            <w:r w:rsidRPr="00F91C8F">
              <w:rPr>
                <w:rFonts w:cs="Arial"/>
                <w:sz w:val="22"/>
                <w:szCs w:val="22"/>
              </w:rPr>
              <w:t>Maintaining Current Service</w:t>
            </w:r>
          </w:p>
        </w:tc>
      </w:tr>
      <w:tr w:rsidR="00CF7499" w:rsidRPr="00F91C8F" w:rsidTr="00FE6D5D">
        <w:trPr>
          <w:trHeight w:val="284"/>
        </w:trPr>
        <w:tc>
          <w:tcPr>
            <w:tcW w:w="3085" w:type="dxa"/>
          </w:tcPr>
          <w:p w:rsidR="00FE6D5D" w:rsidRPr="00F91C8F" w:rsidRDefault="00FE6D5D" w:rsidP="00482DD5">
            <w:pPr>
              <w:spacing w:before="40"/>
              <w:rPr>
                <w:rFonts w:cs="Arial"/>
                <w:sz w:val="22"/>
                <w:szCs w:val="22"/>
              </w:rPr>
            </w:pPr>
            <w:r w:rsidRPr="00F91C8F">
              <w:rPr>
                <w:rFonts w:cs="Arial"/>
                <w:sz w:val="22"/>
                <w:szCs w:val="22"/>
              </w:rPr>
              <w:t>Service</w:t>
            </w:r>
          </w:p>
        </w:tc>
        <w:tc>
          <w:tcPr>
            <w:tcW w:w="284" w:type="dxa"/>
          </w:tcPr>
          <w:p w:rsidR="00FE6D5D" w:rsidRPr="00F91C8F" w:rsidRDefault="00FE6D5D" w:rsidP="00482DD5">
            <w:pPr>
              <w:spacing w:before="40"/>
              <w:jc w:val="center"/>
              <w:rPr>
                <w:rFonts w:cs="Arial"/>
                <w:sz w:val="22"/>
                <w:szCs w:val="22"/>
              </w:rPr>
            </w:pPr>
          </w:p>
        </w:tc>
        <w:tc>
          <w:tcPr>
            <w:tcW w:w="850" w:type="dxa"/>
          </w:tcPr>
          <w:p w:rsidR="00FE6D5D" w:rsidRPr="00F91C8F" w:rsidRDefault="00FE6D5D" w:rsidP="00482DD5">
            <w:pPr>
              <w:spacing w:before="40"/>
              <w:jc w:val="center"/>
              <w:rPr>
                <w:rFonts w:cs="Arial"/>
                <w:sz w:val="22"/>
                <w:szCs w:val="22"/>
              </w:rPr>
            </w:pPr>
            <w:r w:rsidRPr="00F91C8F">
              <w:rPr>
                <w:rFonts w:cs="Arial"/>
                <w:sz w:val="22"/>
                <w:szCs w:val="22"/>
              </w:rPr>
              <w:t>6</w:t>
            </w:r>
          </w:p>
        </w:tc>
        <w:tc>
          <w:tcPr>
            <w:tcW w:w="4678" w:type="dxa"/>
          </w:tcPr>
          <w:p w:rsidR="00FE6D5D" w:rsidRPr="00F91C8F" w:rsidRDefault="00FE6D5D" w:rsidP="00482DD5">
            <w:pPr>
              <w:spacing w:before="40"/>
              <w:rPr>
                <w:rFonts w:cs="Arial"/>
                <w:sz w:val="22"/>
                <w:szCs w:val="22"/>
              </w:rPr>
            </w:pPr>
            <w:r w:rsidRPr="00F91C8F">
              <w:rPr>
                <w:rFonts w:cs="Arial"/>
                <w:sz w:val="22"/>
                <w:szCs w:val="22"/>
              </w:rPr>
              <w:t>Improved Internal Service</w:t>
            </w:r>
          </w:p>
        </w:tc>
      </w:tr>
      <w:tr w:rsidR="00CF7499" w:rsidRPr="00F91C8F" w:rsidTr="00FE6D5D">
        <w:trPr>
          <w:trHeight w:val="284"/>
        </w:trPr>
        <w:tc>
          <w:tcPr>
            <w:tcW w:w="3085" w:type="dxa"/>
          </w:tcPr>
          <w:p w:rsidR="00FE6D5D" w:rsidRPr="00F91C8F" w:rsidRDefault="00FE6D5D" w:rsidP="00482DD5">
            <w:pPr>
              <w:spacing w:before="40"/>
              <w:rPr>
                <w:rFonts w:cs="Arial"/>
                <w:sz w:val="22"/>
                <w:szCs w:val="22"/>
              </w:rPr>
            </w:pPr>
          </w:p>
        </w:tc>
        <w:tc>
          <w:tcPr>
            <w:tcW w:w="284" w:type="dxa"/>
          </w:tcPr>
          <w:p w:rsidR="00FE6D5D" w:rsidRPr="00F91C8F" w:rsidRDefault="00FE6D5D" w:rsidP="00482DD5">
            <w:pPr>
              <w:spacing w:before="40"/>
              <w:jc w:val="center"/>
              <w:rPr>
                <w:rFonts w:cs="Arial"/>
                <w:sz w:val="22"/>
                <w:szCs w:val="22"/>
              </w:rPr>
            </w:pPr>
          </w:p>
        </w:tc>
        <w:tc>
          <w:tcPr>
            <w:tcW w:w="850" w:type="dxa"/>
          </w:tcPr>
          <w:p w:rsidR="00FE6D5D" w:rsidRPr="00F91C8F" w:rsidRDefault="00FE6D5D" w:rsidP="00482DD5">
            <w:pPr>
              <w:spacing w:before="40"/>
              <w:jc w:val="center"/>
              <w:rPr>
                <w:rFonts w:cs="Arial"/>
                <w:sz w:val="22"/>
                <w:szCs w:val="22"/>
              </w:rPr>
            </w:pPr>
            <w:r w:rsidRPr="00F91C8F">
              <w:rPr>
                <w:rFonts w:cs="Arial"/>
                <w:sz w:val="22"/>
                <w:szCs w:val="22"/>
              </w:rPr>
              <w:t>9</w:t>
            </w:r>
          </w:p>
        </w:tc>
        <w:tc>
          <w:tcPr>
            <w:tcW w:w="4678" w:type="dxa"/>
          </w:tcPr>
          <w:p w:rsidR="00FE6D5D" w:rsidRPr="00F91C8F" w:rsidRDefault="00FE6D5D" w:rsidP="00482DD5">
            <w:pPr>
              <w:spacing w:before="40"/>
              <w:rPr>
                <w:rFonts w:cs="Arial"/>
                <w:sz w:val="22"/>
                <w:szCs w:val="22"/>
              </w:rPr>
            </w:pPr>
            <w:r w:rsidRPr="00F91C8F">
              <w:rPr>
                <w:rFonts w:cs="Arial"/>
                <w:sz w:val="22"/>
                <w:szCs w:val="22"/>
              </w:rPr>
              <w:t>Improved External Service</w:t>
            </w:r>
          </w:p>
        </w:tc>
      </w:tr>
      <w:tr w:rsidR="00CF7499" w:rsidRPr="00F91C8F" w:rsidTr="00FE6D5D">
        <w:trPr>
          <w:trHeight w:val="284"/>
        </w:trPr>
        <w:tc>
          <w:tcPr>
            <w:tcW w:w="3085" w:type="dxa"/>
          </w:tcPr>
          <w:p w:rsidR="00FE6D5D" w:rsidRPr="00F91C8F" w:rsidRDefault="00FE6D5D" w:rsidP="00482DD5">
            <w:pPr>
              <w:spacing w:before="40"/>
              <w:rPr>
                <w:rFonts w:cs="Arial"/>
                <w:sz w:val="22"/>
                <w:szCs w:val="22"/>
              </w:rPr>
            </w:pPr>
          </w:p>
        </w:tc>
        <w:tc>
          <w:tcPr>
            <w:tcW w:w="284" w:type="dxa"/>
          </w:tcPr>
          <w:p w:rsidR="00FE6D5D" w:rsidRPr="00F91C8F" w:rsidRDefault="00FE6D5D" w:rsidP="00482DD5">
            <w:pPr>
              <w:spacing w:before="40"/>
              <w:jc w:val="center"/>
              <w:rPr>
                <w:rFonts w:cs="Arial"/>
                <w:sz w:val="22"/>
                <w:szCs w:val="22"/>
              </w:rPr>
            </w:pPr>
          </w:p>
        </w:tc>
        <w:tc>
          <w:tcPr>
            <w:tcW w:w="850" w:type="dxa"/>
          </w:tcPr>
          <w:p w:rsidR="00FE6D5D" w:rsidRPr="00F91C8F" w:rsidRDefault="00FE6D5D" w:rsidP="00482DD5">
            <w:pPr>
              <w:spacing w:before="40"/>
              <w:jc w:val="center"/>
              <w:rPr>
                <w:rFonts w:cs="Arial"/>
                <w:sz w:val="22"/>
                <w:szCs w:val="22"/>
              </w:rPr>
            </w:pPr>
          </w:p>
        </w:tc>
        <w:tc>
          <w:tcPr>
            <w:tcW w:w="4678" w:type="dxa"/>
          </w:tcPr>
          <w:p w:rsidR="00FE6D5D" w:rsidRPr="00F91C8F" w:rsidRDefault="00FE6D5D" w:rsidP="00482DD5">
            <w:pPr>
              <w:spacing w:before="40"/>
              <w:rPr>
                <w:rFonts w:cs="Arial"/>
                <w:sz w:val="22"/>
                <w:szCs w:val="22"/>
              </w:rPr>
            </w:pPr>
          </w:p>
        </w:tc>
      </w:tr>
      <w:tr w:rsidR="00CF7499" w:rsidRPr="00F91C8F" w:rsidTr="00FE6D5D">
        <w:trPr>
          <w:trHeight w:val="284"/>
        </w:trPr>
        <w:tc>
          <w:tcPr>
            <w:tcW w:w="3085" w:type="dxa"/>
          </w:tcPr>
          <w:p w:rsidR="00FE6D5D" w:rsidRPr="00F91C8F" w:rsidRDefault="00FE6D5D" w:rsidP="00482DD5">
            <w:pPr>
              <w:spacing w:before="40"/>
              <w:rPr>
                <w:rFonts w:cs="Arial"/>
                <w:sz w:val="22"/>
                <w:szCs w:val="22"/>
              </w:rPr>
            </w:pPr>
            <w:r w:rsidRPr="00F91C8F">
              <w:rPr>
                <w:rFonts w:cs="Arial"/>
                <w:sz w:val="22"/>
                <w:szCs w:val="22"/>
              </w:rPr>
              <w:t xml:space="preserve">Customer Impact / Quantity </w:t>
            </w:r>
          </w:p>
        </w:tc>
        <w:tc>
          <w:tcPr>
            <w:tcW w:w="284" w:type="dxa"/>
          </w:tcPr>
          <w:p w:rsidR="00FE6D5D" w:rsidRPr="00F91C8F" w:rsidRDefault="00FE6D5D" w:rsidP="00482DD5">
            <w:pPr>
              <w:spacing w:before="40"/>
              <w:jc w:val="center"/>
              <w:rPr>
                <w:rFonts w:cs="Arial"/>
                <w:sz w:val="22"/>
                <w:szCs w:val="22"/>
              </w:rPr>
            </w:pPr>
            <w:r w:rsidRPr="00F91C8F">
              <w:rPr>
                <w:rFonts w:cs="Arial"/>
                <w:sz w:val="22"/>
                <w:szCs w:val="22"/>
              </w:rPr>
              <w:t>b</w:t>
            </w:r>
          </w:p>
        </w:tc>
        <w:tc>
          <w:tcPr>
            <w:tcW w:w="850" w:type="dxa"/>
          </w:tcPr>
          <w:p w:rsidR="00FE6D5D" w:rsidRPr="00F91C8F" w:rsidRDefault="00FE6D5D" w:rsidP="00482DD5">
            <w:pPr>
              <w:spacing w:before="40"/>
              <w:jc w:val="center"/>
              <w:rPr>
                <w:rFonts w:cs="Arial"/>
                <w:sz w:val="22"/>
                <w:szCs w:val="22"/>
              </w:rPr>
            </w:pPr>
            <w:r w:rsidRPr="00F91C8F">
              <w:rPr>
                <w:rFonts w:cs="Arial"/>
                <w:sz w:val="22"/>
                <w:szCs w:val="22"/>
              </w:rPr>
              <w:t>3</w:t>
            </w:r>
          </w:p>
        </w:tc>
        <w:tc>
          <w:tcPr>
            <w:tcW w:w="4678" w:type="dxa"/>
          </w:tcPr>
          <w:p w:rsidR="00FE6D5D" w:rsidRPr="00F91C8F" w:rsidRDefault="00FE6D5D" w:rsidP="00482DD5">
            <w:pPr>
              <w:spacing w:before="40"/>
              <w:rPr>
                <w:rFonts w:cs="Arial"/>
                <w:sz w:val="22"/>
                <w:szCs w:val="22"/>
              </w:rPr>
            </w:pPr>
            <w:r w:rsidRPr="00F91C8F">
              <w:rPr>
                <w:rFonts w:cs="Arial"/>
                <w:sz w:val="22"/>
                <w:szCs w:val="22"/>
              </w:rPr>
              <w:t xml:space="preserve">Affects &lt; 10% of residents </w:t>
            </w:r>
          </w:p>
        </w:tc>
      </w:tr>
      <w:tr w:rsidR="00CF7499" w:rsidRPr="00F91C8F" w:rsidTr="00FE6D5D">
        <w:trPr>
          <w:trHeight w:val="284"/>
        </w:trPr>
        <w:tc>
          <w:tcPr>
            <w:tcW w:w="3085" w:type="dxa"/>
          </w:tcPr>
          <w:p w:rsidR="00FE6D5D" w:rsidRPr="00F91C8F" w:rsidRDefault="00FE6D5D" w:rsidP="00482DD5">
            <w:pPr>
              <w:spacing w:before="40"/>
              <w:rPr>
                <w:rFonts w:cs="Arial"/>
                <w:sz w:val="22"/>
                <w:szCs w:val="22"/>
              </w:rPr>
            </w:pPr>
            <w:r w:rsidRPr="00F91C8F">
              <w:rPr>
                <w:rFonts w:cs="Arial"/>
                <w:sz w:val="22"/>
                <w:szCs w:val="22"/>
              </w:rPr>
              <w:t>of Service</w:t>
            </w:r>
          </w:p>
        </w:tc>
        <w:tc>
          <w:tcPr>
            <w:tcW w:w="284" w:type="dxa"/>
          </w:tcPr>
          <w:p w:rsidR="00FE6D5D" w:rsidRPr="00F91C8F" w:rsidRDefault="00FE6D5D" w:rsidP="00482DD5">
            <w:pPr>
              <w:spacing w:before="40"/>
              <w:jc w:val="center"/>
              <w:rPr>
                <w:rFonts w:cs="Arial"/>
                <w:sz w:val="22"/>
                <w:szCs w:val="22"/>
              </w:rPr>
            </w:pPr>
          </w:p>
        </w:tc>
        <w:tc>
          <w:tcPr>
            <w:tcW w:w="850" w:type="dxa"/>
          </w:tcPr>
          <w:p w:rsidR="00FE6D5D" w:rsidRPr="00F91C8F" w:rsidRDefault="00FE6D5D" w:rsidP="00482DD5">
            <w:pPr>
              <w:spacing w:before="40"/>
              <w:jc w:val="center"/>
              <w:rPr>
                <w:rFonts w:cs="Arial"/>
                <w:sz w:val="22"/>
                <w:szCs w:val="22"/>
              </w:rPr>
            </w:pPr>
            <w:r w:rsidRPr="00F91C8F">
              <w:rPr>
                <w:rFonts w:cs="Arial"/>
                <w:sz w:val="22"/>
                <w:szCs w:val="22"/>
              </w:rPr>
              <w:t>6</w:t>
            </w:r>
          </w:p>
        </w:tc>
        <w:tc>
          <w:tcPr>
            <w:tcW w:w="4678" w:type="dxa"/>
          </w:tcPr>
          <w:p w:rsidR="00FE6D5D" w:rsidRPr="00F91C8F" w:rsidRDefault="00FE6D5D" w:rsidP="00482DD5">
            <w:pPr>
              <w:spacing w:before="40"/>
              <w:rPr>
                <w:rFonts w:cs="Arial"/>
                <w:sz w:val="22"/>
                <w:szCs w:val="22"/>
              </w:rPr>
            </w:pPr>
            <w:r w:rsidRPr="00F91C8F">
              <w:rPr>
                <w:rFonts w:cs="Arial"/>
                <w:sz w:val="22"/>
                <w:szCs w:val="22"/>
              </w:rPr>
              <w:t>Affects &lt; 50% of residents</w:t>
            </w:r>
          </w:p>
        </w:tc>
      </w:tr>
      <w:tr w:rsidR="00CF7499" w:rsidRPr="00F91C8F" w:rsidTr="00FE6D5D">
        <w:trPr>
          <w:trHeight w:val="284"/>
        </w:trPr>
        <w:tc>
          <w:tcPr>
            <w:tcW w:w="3085" w:type="dxa"/>
          </w:tcPr>
          <w:p w:rsidR="00FE6D5D" w:rsidRPr="00F91C8F" w:rsidRDefault="00FE6D5D" w:rsidP="00482DD5">
            <w:pPr>
              <w:spacing w:before="40"/>
              <w:rPr>
                <w:rFonts w:cs="Arial"/>
                <w:sz w:val="22"/>
                <w:szCs w:val="22"/>
              </w:rPr>
            </w:pPr>
          </w:p>
        </w:tc>
        <w:tc>
          <w:tcPr>
            <w:tcW w:w="284" w:type="dxa"/>
          </w:tcPr>
          <w:p w:rsidR="00FE6D5D" w:rsidRPr="00F91C8F" w:rsidRDefault="00FE6D5D" w:rsidP="00482DD5">
            <w:pPr>
              <w:spacing w:before="40"/>
              <w:jc w:val="center"/>
              <w:rPr>
                <w:rFonts w:cs="Arial"/>
                <w:sz w:val="22"/>
                <w:szCs w:val="22"/>
              </w:rPr>
            </w:pPr>
          </w:p>
        </w:tc>
        <w:tc>
          <w:tcPr>
            <w:tcW w:w="850" w:type="dxa"/>
          </w:tcPr>
          <w:p w:rsidR="00FE6D5D" w:rsidRPr="00F91C8F" w:rsidRDefault="00FE6D5D" w:rsidP="00482DD5">
            <w:pPr>
              <w:spacing w:before="40"/>
              <w:jc w:val="center"/>
              <w:rPr>
                <w:rFonts w:cs="Arial"/>
                <w:sz w:val="22"/>
                <w:szCs w:val="22"/>
              </w:rPr>
            </w:pPr>
            <w:r w:rsidRPr="00F91C8F">
              <w:rPr>
                <w:rFonts w:cs="Arial"/>
                <w:sz w:val="22"/>
                <w:szCs w:val="22"/>
              </w:rPr>
              <w:t>9</w:t>
            </w:r>
          </w:p>
        </w:tc>
        <w:tc>
          <w:tcPr>
            <w:tcW w:w="4678" w:type="dxa"/>
          </w:tcPr>
          <w:p w:rsidR="00FE6D5D" w:rsidRPr="00F91C8F" w:rsidRDefault="00FE6D5D" w:rsidP="00482DD5">
            <w:pPr>
              <w:spacing w:before="40"/>
              <w:rPr>
                <w:rFonts w:cs="Arial"/>
                <w:sz w:val="22"/>
                <w:szCs w:val="22"/>
              </w:rPr>
            </w:pPr>
            <w:r w:rsidRPr="00F91C8F">
              <w:rPr>
                <w:rFonts w:cs="Arial"/>
                <w:sz w:val="22"/>
                <w:szCs w:val="22"/>
              </w:rPr>
              <w:t>Affects all residents</w:t>
            </w:r>
          </w:p>
        </w:tc>
      </w:tr>
      <w:tr w:rsidR="00CF7499" w:rsidRPr="00F91C8F" w:rsidTr="00FE6D5D">
        <w:trPr>
          <w:trHeight w:val="284"/>
        </w:trPr>
        <w:tc>
          <w:tcPr>
            <w:tcW w:w="3085" w:type="dxa"/>
          </w:tcPr>
          <w:p w:rsidR="00FE6D5D" w:rsidRPr="00F91C8F" w:rsidRDefault="00FE6D5D" w:rsidP="00482DD5">
            <w:pPr>
              <w:spacing w:before="40"/>
              <w:rPr>
                <w:rFonts w:cs="Arial"/>
                <w:sz w:val="22"/>
                <w:szCs w:val="22"/>
              </w:rPr>
            </w:pPr>
          </w:p>
        </w:tc>
        <w:tc>
          <w:tcPr>
            <w:tcW w:w="284" w:type="dxa"/>
          </w:tcPr>
          <w:p w:rsidR="00FE6D5D" w:rsidRPr="00F91C8F" w:rsidRDefault="00FE6D5D" w:rsidP="00482DD5">
            <w:pPr>
              <w:spacing w:before="40"/>
              <w:jc w:val="center"/>
              <w:rPr>
                <w:rFonts w:cs="Arial"/>
                <w:sz w:val="22"/>
                <w:szCs w:val="22"/>
              </w:rPr>
            </w:pPr>
          </w:p>
        </w:tc>
        <w:tc>
          <w:tcPr>
            <w:tcW w:w="850" w:type="dxa"/>
          </w:tcPr>
          <w:p w:rsidR="00FE6D5D" w:rsidRPr="00F91C8F" w:rsidRDefault="00FE6D5D" w:rsidP="00482DD5">
            <w:pPr>
              <w:spacing w:before="40"/>
              <w:jc w:val="center"/>
              <w:rPr>
                <w:rFonts w:cs="Arial"/>
                <w:sz w:val="22"/>
                <w:szCs w:val="22"/>
              </w:rPr>
            </w:pPr>
          </w:p>
        </w:tc>
        <w:tc>
          <w:tcPr>
            <w:tcW w:w="4678" w:type="dxa"/>
          </w:tcPr>
          <w:p w:rsidR="00FE6D5D" w:rsidRPr="00F91C8F" w:rsidRDefault="00FE6D5D" w:rsidP="00482DD5">
            <w:pPr>
              <w:spacing w:before="40"/>
              <w:rPr>
                <w:rFonts w:cs="Arial"/>
                <w:sz w:val="22"/>
                <w:szCs w:val="22"/>
              </w:rPr>
            </w:pPr>
          </w:p>
        </w:tc>
      </w:tr>
      <w:tr w:rsidR="00CF7499" w:rsidRPr="00F91C8F" w:rsidTr="00FE6D5D">
        <w:trPr>
          <w:trHeight w:val="284"/>
        </w:trPr>
        <w:tc>
          <w:tcPr>
            <w:tcW w:w="3085" w:type="dxa"/>
            <w:tcBorders>
              <w:top w:val="nil"/>
              <w:left w:val="nil"/>
              <w:bottom w:val="nil"/>
              <w:right w:val="nil"/>
            </w:tcBorders>
          </w:tcPr>
          <w:p w:rsidR="00FE6D5D" w:rsidRPr="00F91C8F" w:rsidRDefault="00FE6D5D" w:rsidP="00482DD5">
            <w:pPr>
              <w:spacing w:before="40"/>
              <w:rPr>
                <w:rFonts w:cs="Arial"/>
                <w:sz w:val="22"/>
                <w:szCs w:val="22"/>
              </w:rPr>
            </w:pPr>
            <w:r w:rsidRPr="00F91C8F">
              <w:rPr>
                <w:rFonts w:cs="Arial"/>
                <w:sz w:val="22"/>
                <w:szCs w:val="22"/>
              </w:rPr>
              <w:t>Links to Strategic Plan</w:t>
            </w:r>
          </w:p>
        </w:tc>
        <w:tc>
          <w:tcPr>
            <w:tcW w:w="284" w:type="dxa"/>
            <w:tcBorders>
              <w:top w:val="nil"/>
              <w:left w:val="nil"/>
              <w:bottom w:val="nil"/>
              <w:right w:val="nil"/>
            </w:tcBorders>
          </w:tcPr>
          <w:p w:rsidR="00FE6D5D" w:rsidRPr="00F91C8F" w:rsidRDefault="00FE6D5D" w:rsidP="00482DD5">
            <w:pPr>
              <w:spacing w:before="40"/>
              <w:jc w:val="center"/>
              <w:rPr>
                <w:rFonts w:cs="Arial"/>
                <w:sz w:val="22"/>
                <w:szCs w:val="22"/>
              </w:rPr>
            </w:pPr>
            <w:r w:rsidRPr="00F91C8F">
              <w:rPr>
                <w:rFonts w:cs="Arial"/>
                <w:sz w:val="22"/>
                <w:szCs w:val="22"/>
              </w:rPr>
              <w:t>c</w:t>
            </w:r>
          </w:p>
        </w:tc>
        <w:tc>
          <w:tcPr>
            <w:tcW w:w="850" w:type="dxa"/>
            <w:tcBorders>
              <w:top w:val="nil"/>
              <w:left w:val="nil"/>
              <w:bottom w:val="nil"/>
              <w:right w:val="nil"/>
            </w:tcBorders>
          </w:tcPr>
          <w:p w:rsidR="00FE6D5D" w:rsidRPr="00F91C8F" w:rsidRDefault="00FE6D5D" w:rsidP="00482DD5">
            <w:pPr>
              <w:spacing w:before="40"/>
              <w:jc w:val="center"/>
              <w:rPr>
                <w:rFonts w:cs="Arial"/>
                <w:sz w:val="22"/>
                <w:szCs w:val="22"/>
              </w:rPr>
            </w:pPr>
            <w:r w:rsidRPr="00F91C8F">
              <w:rPr>
                <w:rFonts w:cs="Arial"/>
                <w:sz w:val="22"/>
                <w:szCs w:val="22"/>
              </w:rPr>
              <w:t>2</w:t>
            </w:r>
          </w:p>
        </w:tc>
        <w:tc>
          <w:tcPr>
            <w:tcW w:w="4678" w:type="dxa"/>
            <w:tcBorders>
              <w:top w:val="nil"/>
              <w:left w:val="nil"/>
              <w:bottom w:val="nil"/>
              <w:right w:val="nil"/>
            </w:tcBorders>
          </w:tcPr>
          <w:p w:rsidR="00FE6D5D" w:rsidRPr="00F91C8F" w:rsidRDefault="00FE6D5D" w:rsidP="00482DD5">
            <w:pPr>
              <w:spacing w:before="40"/>
              <w:rPr>
                <w:rFonts w:cs="Arial"/>
                <w:sz w:val="22"/>
                <w:szCs w:val="22"/>
              </w:rPr>
            </w:pPr>
            <w:r w:rsidRPr="00F91C8F">
              <w:rPr>
                <w:rFonts w:cs="Arial"/>
                <w:sz w:val="22"/>
                <w:szCs w:val="22"/>
              </w:rPr>
              <w:t>Contributes to General Theme</w:t>
            </w:r>
          </w:p>
        </w:tc>
      </w:tr>
      <w:tr w:rsidR="00CF7499" w:rsidRPr="00F91C8F" w:rsidTr="00FE6D5D">
        <w:trPr>
          <w:trHeight w:val="284"/>
        </w:trPr>
        <w:tc>
          <w:tcPr>
            <w:tcW w:w="3085" w:type="dxa"/>
            <w:tcBorders>
              <w:top w:val="nil"/>
              <w:left w:val="nil"/>
              <w:bottom w:val="nil"/>
              <w:right w:val="nil"/>
            </w:tcBorders>
          </w:tcPr>
          <w:p w:rsidR="00FE6D5D" w:rsidRPr="00F91C8F" w:rsidRDefault="00FE6D5D" w:rsidP="00482DD5">
            <w:pPr>
              <w:spacing w:before="40"/>
              <w:rPr>
                <w:rFonts w:cs="Arial"/>
                <w:sz w:val="22"/>
                <w:szCs w:val="22"/>
              </w:rPr>
            </w:pPr>
          </w:p>
        </w:tc>
        <w:tc>
          <w:tcPr>
            <w:tcW w:w="284" w:type="dxa"/>
            <w:tcBorders>
              <w:top w:val="nil"/>
              <w:left w:val="nil"/>
              <w:bottom w:val="nil"/>
              <w:right w:val="nil"/>
            </w:tcBorders>
          </w:tcPr>
          <w:p w:rsidR="00FE6D5D" w:rsidRPr="00F91C8F" w:rsidRDefault="00FE6D5D" w:rsidP="00482DD5">
            <w:pPr>
              <w:spacing w:before="40"/>
              <w:jc w:val="center"/>
              <w:rPr>
                <w:rFonts w:cs="Arial"/>
                <w:sz w:val="22"/>
                <w:szCs w:val="22"/>
              </w:rPr>
            </w:pPr>
          </w:p>
        </w:tc>
        <w:tc>
          <w:tcPr>
            <w:tcW w:w="850" w:type="dxa"/>
            <w:tcBorders>
              <w:top w:val="nil"/>
              <w:left w:val="nil"/>
              <w:bottom w:val="nil"/>
              <w:right w:val="nil"/>
            </w:tcBorders>
          </w:tcPr>
          <w:p w:rsidR="00FE6D5D" w:rsidRPr="00F91C8F" w:rsidRDefault="00FE6D5D" w:rsidP="00482DD5">
            <w:pPr>
              <w:spacing w:before="40"/>
              <w:jc w:val="center"/>
              <w:rPr>
                <w:rFonts w:cs="Arial"/>
                <w:sz w:val="22"/>
                <w:szCs w:val="22"/>
              </w:rPr>
            </w:pPr>
            <w:r w:rsidRPr="00F91C8F">
              <w:rPr>
                <w:rFonts w:cs="Arial"/>
                <w:sz w:val="22"/>
                <w:szCs w:val="22"/>
              </w:rPr>
              <w:t>4</w:t>
            </w:r>
          </w:p>
        </w:tc>
        <w:tc>
          <w:tcPr>
            <w:tcW w:w="4678" w:type="dxa"/>
            <w:tcBorders>
              <w:top w:val="nil"/>
              <w:left w:val="nil"/>
              <w:bottom w:val="nil"/>
              <w:right w:val="nil"/>
            </w:tcBorders>
          </w:tcPr>
          <w:p w:rsidR="00FE6D5D" w:rsidRPr="00F91C8F" w:rsidRDefault="00FE6D5D" w:rsidP="00482DD5">
            <w:pPr>
              <w:spacing w:before="40"/>
              <w:rPr>
                <w:rFonts w:cs="Arial"/>
                <w:sz w:val="22"/>
                <w:szCs w:val="22"/>
              </w:rPr>
            </w:pPr>
            <w:r w:rsidRPr="00F91C8F">
              <w:rPr>
                <w:rFonts w:cs="Arial"/>
                <w:sz w:val="22"/>
                <w:szCs w:val="22"/>
              </w:rPr>
              <w:t>Contributes to General Aim</w:t>
            </w:r>
          </w:p>
        </w:tc>
      </w:tr>
      <w:tr w:rsidR="00CF7499" w:rsidRPr="00F91C8F" w:rsidTr="00FE6D5D">
        <w:trPr>
          <w:trHeight w:val="284"/>
        </w:trPr>
        <w:tc>
          <w:tcPr>
            <w:tcW w:w="3085" w:type="dxa"/>
            <w:tcBorders>
              <w:top w:val="nil"/>
              <w:left w:val="nil"/>
              <w:bottom w:val="nil"/>
              <w:right w:val="nil"/>
            </w:tcBorders>
          </w:tcPr>
          <w:p w:rsidR="00FE6D5D" w:rsidRPr="00F91C8F" w:rsidRDefault="00FE6D5D" w:rsidP="00482DD5">
            <w:pPr>
              <w:spacing w:before="40"/>
              <w:rPr>
                <w:rFonts w:cs="Arial"/>
                <w:sz w:val="22"/>
                <w:szCs w:val="22"/>
              </w:rPr>
            </w:pPr>
          </w:p>
        </w:tc>
        <w:tc>
          <w:tcPr>
            <w:tcW w:w="284" w:type="dxa"/>
            <w:tcBorders>
              <w:top w:val="nil"/>
              <w:left w:val="nil"/>
              <w:bottom w:val="nil"/>
              <w:right w:val="nil"/>
            </w:tcBorders>
          </w:tcPr>
          <w:p w:rsidR="00FE6D5D" w:rsidRPr="00F91C8F" w:rsidRDefault="00FE6D5D" w:rsidP="00482DD5">
            <w:pPr>
              <w:spacing w:before="40"/>
              <w:jc w:val="center"/>
              <w:rPr>
                <w:rFonts w:cs="Arial"/>
                <w:sz w:val="22"/>
                <w:szCs w:val="22"/>
              </w:rPr>
            </w:pPr>
          </w:p>
        </w:tc>
        <w:tc>
          <w:tcPr>
            <w:tcW w:w="850" w:type="dxa"/>
            <w:tcBorders>
              <w:top w:val="nil"/>
              <w:left w:val="nil"/>
              <w:bottom w:val="nil"/>
              <w:right w:val="nil"/>
            </w:tcBorders>
          </w:tcPr>
          <w:p w:rsidR="00FE6D5D" w:rsidRPr="00F91C8F" w:rsidRDefault="00FE6D5D" w:rsidP="00482DD5">
            <w:pPr>
              <w:spacing w:before="40"/>
              <w:jc w:val="center"/>
              <w:rPr>
                <w:rFonts w:cs="Arial"/>
                <w:sz w:val="22"/>
                <w:szCs w:val="22"/>
              </w:rPr>
            </w:pPr>
            <w:r w:rsidRPr="00F91C8F">
              <w:rPr>
                <w:rFonts w:cs="Arial"/>
                <w:sz w:val="22"/>
                <w:szCs w:val="22"/>
              </w:rPr>
              <w:t>6</w:t>
            </w:r>
          </w:p>
        </w:tc>
        <w:tc>
          <w:tcPr>
            <w:tcW w:w="4678" w:type="dxa"/>
            <w:tcBorders>
              <w:top w:val="nil"/>
              <w:left w:val="nil"/>
              <w:bottom w:val="nil"/>
              <w:right w:val="nil"/>
            </w:tcBorders>
          </w:tcPr>
          <w:p w:rsidR="00FE6D5D" w:rsidRPr="00F91C8F" w:rsidRDefault="00FE6D5D" w:rsidP="00482DD5">
            <w:pPr>
              <w:spacing w:before="40"/>
              <w:rPr>
                <w:rFonts w:cs="Arial"/>
                <w:sz w:val="22"/>
                <w:szCs w:val="22"/>
              </w:rPr>
            </w:pPr>
            <w:r w:rsidRPr="00F91C8F">
              <w:rPr>
                <w:rFonts w:cs="Arial"/>
                <w:sz w:val="22"/>
                <w:szCs w:val="22"/>
              </w:rPr>
              <w:t>Contributes to Specific Objective</w:t>
            </w:r>
          </w:p>
        </w:tc>
      </w:tr>
      <w:tr w:rsidR="00CF7499" w:rsidRPr="00F91C8F" w:rsidTr="00FE6D5D">
        <w:trPr>
          <w:trHeight w:val="284"/>
        </w:trPr>
        <w:tc>
          <w:tcPr>
            <w:tcW w:w="3085" w:type="dxa"/>
            <w:tcBorders>
              <w:top w:val="nil"/>
              <w:left w:val="nil"/>
              <w:bottom w:val="nil"/>
              <w:right w:val="nil"/>
            </w:tcBorders>
          </w:tcPr>
          <w:p w:rsidR="00FE6D5D" w:rsidRPr="00F91C8F" w:rsidRDefault="00FE6D5D" w:rsidP="00482DD5">
            <w:pPr>
              <w:spacing w:before="40"/>
              <w:rPr>
                <w:rFonts w:cs="Arial"/>
                <w:sz w:val="22"/>
                <w:szCs w:val="22"/>
              </w:rPr>
            </w:pPr>
          </w:p>
        </w:tc>
        <w:tc>
          <w:tcPr>
            <w:tcW w:w="284" w:type="dxa"/>
            <w:tcBorders>
              <w:top w:val="nil"/>
              <w:left w:val="nil"/>
              <w:bottom w:val="nil"/>
              <w:right w:val="nil"/>
            </w:tcBorders>
          </w:tcPr>
          <w:p w:rsidR="00FE6D5D" w:rsidRPr="00F91C8F" w:rsidRDefault="00FE6D5D" w:rsidP="00482DD5">
            <w:pPr>
              <w:spacing w:before="40"/>
              <w:jc w:val="center"/>
              <w:rPr>
                <w:rFonts w:cs="Arial"/>
                <w:sz w:val="22"/>
                <w:szCs w:val="22"/>
              </w:rPr>
            </w:pPr>
          </w:p>
        </w:tc>
        <w:tc>
          <w:tcPr>
            <w:tcW w:w="850" w:type="dxa"/>
            <w:tcBorders>
              <w:top w:val="nil"/>
              <w:left w:val="nil"/>
              <w:bottom w:val="nil"/>
              <w:right w:val="nil"/>
            </w:tcBorders>
          </w:tcPr>
          <w:p w:rsidR="00FE6D5D" w:rsidRPr="00F91C8F" w:rsidRDefault="00FE6D5D" w:rsidP="00482DD5">
            <w:pPr>
              <w:spacing w:before="40"/>
              <w:jc w:val="center"/>
              <w:rPr>
                <w:rFonts w:cs="Arial"/>
                <w:sz w:val="22"/>
                <w:szCs w:val="22"/>
              </w:rPr>
            </w:pPr>
          </w:p>
        </w:tc>
        <w:tc>
          <w:tcPr>
            <w:tcW w:w="4678" w:type="dxa"/>
            <w:tcBorders>
              <w:top w:val="nil"/>
              <w:left w:val="nil"/>
              <w:bottom w:val="nil"/>
              <w:right w:val="nil"/>
            </w:tcBorders>
          </w:tcPr>
          <w:p w:rsidR="00FE6D5D" w:rsidRPr="00F91C8F" w:rsidRDefault="00FE6D5D" w:rsidP="00482DD5">
            <w:pPr>
              <w:spacing w:before="40"/>
              <w:rPr>
                <w:rFonts w:cs="Arial"/>
                <w:sz w:val="22"/>
                <w:szCs w:val="22"/>
              </w:rPr>
            </w:pPr>
          </w:p>
        </w:tc>
      </w:tr>
      <w:tr w:rsidR="00CF7499" w:rsidRPr="00F91C8F" w:rsidTr="00FE6D5D">
        <w:trPr>
          <w:trHeight w:val="284"/>
        </w:trPr>
        <w:tc>
          <w:tcPr>
            <w:tcW w:w="3085" w:type="dxa"/>
          </w:tcPr>
          <w:p w:rsidR="00FE6D5D" w:rsidRPr="00F91C8F" w:rsidRDefault="00FE6D5D" w:rsidP="00482DD5">
            <w:pPr>
              <w:spacing w:before="40"/>
              <w:rPr>
                <w:rFonts w:cs="Arial"/>
                <w:sz w:val="22"/>
                <w:szCs w:val="22"/>
              </w:rPr>
            </w:pPr>
            <w:r w:rsidRPr="00F91C8F">
              <w:rPr>
                <w:rFonts w:cs="Arial"/>
                <w:sz w:val="22"/>
                <w:szCs w:val="22"/>
              </w:rPr>
              <w:t>Impact on Partners</w:t>
            </w:r>
          </w:p>
        </w:tc>
        <w:tc>
          <w:tcPr>
            <w:tcW w:w="284" w:type="dxa"/>
          </w:tcPr>
          <w:p w:rsidR="00FE6D5D" w:rsidRPr="00F91C8F" w:rsidRDefault="00FE6D5D" w:rsidP="00482DD5">
            <w:pPr>
              <w:spacing w:before="40"/>
              <w:jc w:val="center"/>
              <w:rPr>
                <w:rFonts w:cs="Arial"/>
                <w:sz w:val="22"/>
                <w:szCs w:val="22"/>
              </w:rPr>
            </w:pPr>
            <w:r w:rsidRPr="00F91C8F">
              <w:rPr>
                <w:rFonts w:cs="Arial"/>
                <w:sz w:val="22"/>
                <w:szCs w:val="22"/>
              </w:rPr>
              <w:t>d</w:t>
            </w:r>
          </w:p>
        </w:tc>
        <w:tc>
          <w:tcPr>
            <w:tcW w:w="850" w:type="dxa"/>
          </w:tcPr>
          <w:p w:rsidR="00FE6D5D" w:rsidRPr="00F91C8F" w:rsidRDefault="00FE6D5D" w:rsidP="00482DD5">
            <w:pPr>
              <w:spacing w:before="40"/>
              <w:jc w:val="center"/>
              <w:rPr>
                <w:rFonts w:cs="Arial"/>
                <w:sz w:val="22"/>
                <w:szCs w:val="22"/>
              </w:rPr>
            </w:pPr>
            <w:r w:rsidRPr="00F91C8F">
              <w:rPr>
                <w:rFonts w:cs="Arial"/>
                <w:sz w:val="22"/>
                <w:szCs w:val="22"/>
              </w:rPr>
              <w:t>1</w:t>
            </w:r>
          </w:p>
        </w:tc>
        <w:tc>
          <w:tcPr>
            <w:tcW w:w="4678" w:type="dxa"/>
          </w:tcPr>
          <w:p w:rsidR="00FE6D5D" w:rsidRPr="00F91C8F" w:rsidRDefault="00FE6D5D" w:rsidP="00482DD5">
            <w:pPr>
              <w:tabs>
                <w:tab w:val="left" w:pos="0"/>
              </w:tabs>
              <w:spacing w:before="40"/>
              <w:rPr>
                <w:rFonts w:cs="Arial"/>
                <w:sz w:val="22"/>
                <w:szCs w:val="22"/>
              </w:rPr>
            </w:pPr>
            <w:r w:rsidRPr="00F91C8F">
              <w:rPr>
                <w:rFonts w:cs="Arial"/>
                <w:sz w:val="22"/>
                <w:szCs w:val="22"/>
              </w:rPr>
              <w:t>No impact on partner agencies or joint priorities</w:t>
            </w:r>
          </w:p>
        </w:tc>
      </w:tr>
      <w:tr w:rsidR="00CF7499" w:rsidRPr="00F91C8F" w:rsidTr="00FE6D5D">
        <w:trPr>
          <w:trHeight w:val="284"/>
        </w:trPr>
        <w:tc>
          <w:tcPr>
            <w:tcW w:w="3085" w:type="dxa"/>
          </w:tcPr>
          <w:p w:rsidR="00FE6D5D" w:rsidRPr="00F91C8F" w:rsidRDefault="00FE6D5D" w:rsidP="00482DD5">
            <w:pPr>
              <w:spacing w:before="40"/>
              <w:rPr>
                <w:rFonts w:cs="Arial"/>
                <w:sz w:val="22"/>
                <w:szCs w:val="22"/>
              </w:rPr>
            </w:pPr>
            <w:r w:rsidRPr="00F91C8F">
              <w:rPr>
                <w:rFonts w:cs="Arial"/>
                <w:sz w:val="22"/>
                <w:szCs w:val="22"/>
              </w:rPr>
              <w:t>(as defined in the</w:t>
            </w:r>
          </w:p>
        </w:tc>
        <w:tc>
          <w:tcPr>
            <w:tcW w:w="284" w:type="dxa"/>
          </w:tcPr>
          <w:p w:rsidR="00FE6D5D" w:rsidRPr="00F91C8F" w:rsidRDefault="00FE6D5D" w:rsidP="00482DD5">
            <w:pPr>
              <w:spacing w:before="40"/>
              <w:jc w:val="center"/>
              <w:rPr>
                <w:rFonts w:cs="Arial"/>
                <w:sz w:val="22"/>
                <w:szCs w:val="22"/>
              </w:rPr>
            </w:pPr>
          </w:p>
        </w:tc>
        <w:tc>
          <w:tcPr>
            <w:tcW w:w="850" w:type="dxa"/>
          </w:tcPr>
          <w:p w:rsidR="00FE6D5D" w:rsidRPr="00F91C8F" w:rsidRDefault="00FE6D5D" w:rsidP="00482DD5">
            <w:pPr>
              <w:spacing w:before="40"/>
              <w:jc w:val="center"/>
              <w:rPr>
                <w:rFonts w:cs="Arial"/>
                <w:sz w:val="22"/>
                <w:szCs w:val="22"/>
              </w:rPr>
            </w:pPr>
            <w:r w:rsidRPr="00F91C8F">
              <w:rPr>
                <w:rFonts w:cs="Arial"/>
                <w:sz w:val="22"/>
                <w:szCs w:val="22"/>
              </w:rPr>
              <w:t>2</w:t>
            </w:r>
          </w:p>
        </w:tc>
        <w:tc>
          <w:tcPr>
            <w:tcW w:w="4678" w:type="dxa"/>
          </w:tcPr>
          <w:p w:rsidR="00FE6D5D" w:rsidRPr="00F91C8F" w:rsidRDefault="00FE6D5D" w:rsidP="00482DD5">
            <w:pPr>
              <w:tabs>
                <w:tab w:val="left" w:pos="0"/>
              </w:tabs>
              <w:spacing w:before="40"/>
              <w:rPr>
                <w:rFonts w:cs="Arial"/>
                <w:sz w:val="22"/>
                <w:szCs w:val="22"/>
              </w:rPr>
            </w:pPr>
            <w:r w:rsidRPr="00F91C8F">
              <w:rPr>
                <w:rFonts w:cs="Arial"/>
                <w:sz w:val="22"/>
                <w:szCs w:val="22"/>
              </w:rPr>
              <w:t>Impacts on 1 partner agency / priority</w:t>
            </w:r>
          </w:p>
        </w:tc>
      </w:tr>
      <w:tr w:rsidR="00CF7499" w:rsidRPr="00F91C8F" w:rsidTr="00FE6D5D">
        <w:trPr>
          <w:trHeight w:val="284"/>
        </w:trPr>
        <w:tc>
          <w:tcPr>
            <w:tcW w:w="3085" w:type="dxa"/>
          </w:tcPr>
          <w:p w:rsidR="00FE6D5D" w:rsidRPr="00F91C8F" w:rsidRDefault="00FE6D5D" w:rsidP="00482DD5">
            <w:pPr>
              <w:spacing w:before="40"/>
              <w:rPr>
                <w:rFonts w:cs="Arial"/>
                <w:sz w:val="22"/>
                <w:szCs w:val="22"/>
              </w:rPr>
            </w:pPr>
            <w:r w:rsidRPr="00F91C8F">
              <w:rPr>
                <w:rFonts w:cs="Arial"/>
                <w:sz w:val="22"/>
                <w:szCs w:val="22"/>
              </w:rPr>
              <w:t>Community Strategy)</w:t>
            </w:r>
          </w:p>
        </w:tc>
        <w:tc>
          <w:tcPr>
            <w:tcW w:w="284" w:type="dxa"/>
          </w:tcPr>
          <w:p w:rsidR="00FE6D5D" w:rsidRPr="00F91C8F" w:rsidRDefault="00FE6D5D" w:rsidP="00482DD5">
            <w:pPr>
              <w:spacing w:before="40"/>
              <w:jc w:val="center"/>
              <w:rPr>
                <w:rFonts w:cs="Arial"/>
                <w:sz w:val="22"/>
                <w:szCs w:val="22"/>
              </w:rPr>
            </w:pPr>
          </w:p>
        </w:tc>
        <w:tc>
          <w:tcPr>
            <w:tcW w:w="850" w:type="dxa"/>
          </w:tcPr>
          <w:p w:rsidR="00FE6D5D" w:rsidRPr="00F91C8F" w:rsidRDefault="00FE6D5D" w:rsidP="00482DD5">
            <w:pPr>
              <w:spacing w:before="40"/>
              <w:jc w:val="center"/>
              <w:rPr>
                <w:rFonts w:cs="Arial"/>
                <w:sz w:val="22"/>
                <w:szCs w:val="22"/>
              </w:rPr>
            </w:pPr>
            <w:r w:rsidRPr="00F91C8F">
              <w:rPr>
                <w:rFonts w:cs="Arial"/>
                <w:sz w:val="22"/>
                <w:szCs w:val="22"/>
              </w:rPr>
              <w:t>3</w:t>
            </w:r>
          </w:p>
        </w:tc>
        <w:tc>
          <w:tcPr>
            <w:tcW w:w="4678" w:type="dxa"/>
          </w:tcPr>
          <w:p w:rsidR="00FE6D5D" w:rsidRPr="00F91C8F" w:rsidRDefault="00FE6D5D" w:rsidP="00482DD5">
            <w:pPr>
              <w:spacing w:before="40"/>
              <w:rPr>
                <w:rFonts w:cs="Arial"/>
                <w:sz w:val="22"/>
                <w:szCs w:val="22"/>
              </w:rPr>
            </w:pPr>
            <w:r w:rsidRPr="00F91C8F">
              <w:rPr>
                <w:rFonts w:cs="Arial"/>
                <w:sz w:val="22"/>
                <w:szCs w:val="22"/>
              </w:rPr>
              <w:t>Impacts several partners / priorities</w:t>
            </w:r>
          </w:p>
        </w:tc>
      </w:tr>
      <w:tr w:rsidR="00CF7499" w:rsidRPr="00F91C8F" w:rsidTr="00FE6D5D">
        <w:trPr>
          <w:trHeight w:val="284"/>
        </w:trPr>
        <w:tc>
          <w:tcPr>
            <w:tcW w:w="3085" w:type="dxa"/>
          </w:tcPr>
          <w:p w:rsidR="00FE6D5D" w:rsidRPr="00F91C8F" w:rsidRDefault="00FE6D5D" w:rsidP="00482DD5">
            <w:pPr>
              <w:spacing w:before="40"/>
              <w:rPr>
                <w:rFonts w:cs="Arial"/>
                <w:sz w:val="22"/>
                <w:szCs w:val="22"/>
              </w:rPr>
            </w:pPr>
          </w:p>
        </w:tc>
        <w:tc>
          <w:tcPr>
            <w:tcW w:w="284" w:type="dxa"/>
          </w:tcPr>
          <w:p w:rsidR="00FE6D5D" w:rsidRPr="00F91C8F" w:rsidRDefault="00FE6D5D" w:rsidP="00482DD5">
            <w:pPr>
              <w:spacing w:before="40"/>
              <w:jc w:val="center"/>
              <w:rPr>
                <w:rFonts w:cs="Arial"/>
                <w:sz w:val="22"/>
                <w:szCs w:val="22"/>
              </w:rPr>
            </w:pPr>
          </w:p>
        </w:tc>
        <w:tc>
          <w:tcPr>
            <w:tcW w:w="850" w:type="dxa"/>
          </w:tcPr>
          <w:p w:rsidR="00FE6D5D" w:rsidRPr="00F91C8F" w:rsidRDefault="00FE6D5D" w:rsidP="00482DD5">
            <w:pPr>
              <w:spacing w:before="40"/>
              <w:jc w:val="center"/>
              <w:rPr>
                <w:rFonts w:cs="Arial"/>
                <w:sz w:val="22"/>
                <w:szCs w:val="22"/>
              </w:rPr>
            </w:pPr>
          </w:p>
        </w:tc>
        <w:tc>
          <w:tcPr>
            <w:tcW w:w="4678" w:type="dxa"/>
          </w:tcPr>
          <w:p w:rsidR="00FE6D5D" w:rsidRPr="00F91C8F" w:rsidRDefault="00FE6D5D" w:rsidP="00482DD5">
            <w:pPr>
              <w:spacing w:before="40"/>
              <w:rPr>
                <w:rFonts w:cs="Arial"/>
                <w:sz w:val="22"/>
                <w:szCs w:val="22"/>
              </w:rPr>
            </w:pPr>
          </w:p>
        </w:tc>
      </w:tr>
      <w:tr w:rsidR="00CF7499" w:rsidRPr="00F91C8F" w:rsidTr="00FE6D5D">
        <w:trPr>
          <w:trHeight w:val="284"/>
        </w:trPr>
        <w:tc>
          <w:tcPr>
            <w:tcW w:w="3085" w:type="dxa"/>
            <w:tcBorders>
              <w:top w:val="nil"/>
              <w:left w:val="nil"/>
              <w:bottom w:val="nil"/>
              <w:right w:val="nil"/>
            </w:tcBorders>
          </w:tcPr>
          <w:p w:rsidR="00FE6D5D" w:rsidRPr="00F91C8F" w:rsidRDefault="00FE6D5D" w:rsidP="00482DD5">
            <w:pPr>
              <w:spacing w:before="40"/>
              <w:rPr>
                <w:rFonts w:cs="Arial"/>
                <w:sz w:val="22"/>
                <w:szCs w:val="22"/>
              </w:rPr>
            </w:pPr>
            <w:r w:rsidRPr="00F91C8F">
              <w:rPr>
                <w:rFonts w:cs="Arial"/>
                <w:sz w:val="22"/>
                <w:szCs w:val="22"/>
              </w:rPr>
              <w:t>Partnership Funding</w:t>
            </w:r>
          </w:p>
        </w:tc>
        <w:tc>
          <w:tcPr>
            <w:tcW w:w="284" w:type="dxa"/>
            <w:tcBorders>
              <w:top w:val="nil"/>
              <w:left w:val="nil"/>
              <w:bottom w:val="nil"/>
              <w:right w:val="nil"/>
            </w:tcBorders>
          </w:tcPr>
          <w:p w:rsidR="00FE6D5D" w:rsidRPr="00F91C8F" w:rsidRDefault="00FE6D5D" w:rsidP="00482DD5">
            <w:pPr>
              <w:spacing w:before="40"/>
              <w:jc w:val="center"/>
              <w:rPr>
                <w:rFonts w:cs="Arial"/>
                <w:sz w:val="22"/>
                <w:szCs w:val="22"/>
              </w:rPr>
            </w:pPr>
            <w:r w:rsidRPr="00F91C8F">
              <w:rPr>
                <w:rFonts w:cs="Arial"/>
                <w:sz w:val="22"/>
                <w:szCs w:val="22"/>
              </w:rPr>
              <w:t>e</w:t>
            </w:r>
          </w:p>
        </w:tc>
        <w:tc>
          <w:tcPr>
            <w:tcW w:w="850" w:type="dxa"/>
            <w:tcBorders>
              <w:top w:val="nil"/>
              <w:left w:val="nil"/>
              <w:bottom w:val="nil"/>
              <w:right w:val="nil"/>
            </w:tcBorders>
          </w:tcPr>
          <w:p w:rsidR="00FE6D5D" w:rsidRPr="00F91C8F" w:rsidRDefault="00FE6D5D" w:rsidP="00482DD5">
            <w:pPr>
              <w:spacing w:before="40"/>
              <w:jc w:val="center"/>
              <w:rPr>
                <w:rFonts w:cs="Arial"/>
                <w:sz w:val="22"/>
                <w:szCs w:val="22"/>
              </w:rPr>
            </w:pPr>
            <w:r w:rsidRPr="00F91C8F">
              <w:rPr>
                <w:rFonts w:cs="Arial"/>
                <w:sz w:val="22"/>
                <w:szCs w:val="22"/>
              </w:rPr>
              <w:t>1</w:t>
            </w:r>
          </w:p>
        </w:tc>
        <w:tc>
          <w:tcPr>
            <w:tcW w:w="4678" w:type="dxa"/>
            <w:tcBorders>
              <w:top w:val="nil"/>
              <w:left w:val="nil"/>
              <w:bottom w:val="nil"/>
              <w:right w:val="nil"/>
            </w:tcBorders>
          </w:tcPr>
          <w:p w:rsidR="00FE6D5D" w:rsidRPr="00F91C8F" w:rsidRDefault="00FE6D5D" w:rsidP="00482DD5">
            <w:pPr>
              <w:spacing w:before="40"/>
              <w:rPr>
                <w:rFonts w:cs="Arial"/>
                <w:sz w:val="22"/>
                <w:szCs w:val="22"/>
              </w:rPr>
            </w:pPr>
            <w:r w:rsidRPr="00F91C8F">
              <w:rPr>
                <w:rFonts w:cs="Arial"/>
                <w:sz w:val="22"/>
                <w:szCs w:val="22"/>
              </w:rPr>
              <w:t>No Partnership Funding</w:t>
            </w:r>
          </w:p>
        </w:tc>
      </w:tr>
      <w:tr w:rsidR="00CF7499" w:rsidRPr="00F91C8F" w:rsidTr="00FE6D5D">
        <w:trPr>
          <w:trHeight w:val="284"/>
        </w:trPr>
        <w:tc>
          <w:tcPr>
            <w:tcW w:w="3085" w:type="dxa"/>
            <w:tcBorders>
              <w:top w:val="nil"/>
              <w:left w:val="nil"/>
              <w:bottom w:val="nil"/>
              <w:right w:val="nil"/>
            </w:tcBorders>
          </w:tcPr>
          <w:p w:rsidR="00FE6D5D" w:rsidRPr="00F91C8F" w:rsidRDefault="00FE6D5D" w:rsidP="00482DD5">
            <w:pPr>
              <w:spacing w:before="40"/>
              <w:rPr>
                <w:rFonts w:cs="Arial"/>
                <w:sz w:val="22"/>
                <w:szCs w:val="22"/>
              </w:rPr>
            </w:pPr>
          </w:p>
        </w:tc>
        <w:tc>
          <w:tcPr>
            <w:tcW w:w="284" w:type="dxa"/>
            <w:tcBorders>
              <w:top w:val="nil"/>
              <w:left w:val="nil"/>
              <w:bottom w:val="nil"/>
              <w:right w:val="nil"/>
            </w:tcBorders>
          </w:tcPr>
          <w:p w:rsidR="00FE6D5D" w:rsidRPr="00F91C8F" w:rsidRDefault="00FE6D5D" w:rsidP="00482DD5">
            <w:pPr>
              <w:spacing w:before="40"/>
              <w:jc w:val="center"/>
              <w:rPr>
                <w:rFonts w:cs="Arial"/>
                <w:sz w:val="22"/>
                <w:szCs w:val="22"/>
              </w:rPr>
            </w:pPr>
          </w:p>
        </w:tc>
        <w:tc>
          <w:tcPr>
            <w:tcW w:w="850" w:type="dxa"/>
            <w:tcBorders>
              <w:top w:val="nil"/>
              <w:left w:val="nil"/>
              <w:bottom w:val="nil"/>
              <w:right w:val="nil"/>
            </w:tcBorders>
          </w:tcPr>
          <w:p w:rsidR="00FE6D5D" w:rsidRPr="00F91C8F" w:rsidRDefault="00FE6D5D" w:rsidP="00482DD5">
            <w:pPr>
              <w:spacing w:before="40"/>
              <w:jc w:val="center"/>
              <w:rPr>
                <w:rFonts w:cs="Arial"/>
                <w:sz w:val="22"/>
                <w:szCs w:val="22"/>
              </w:rPr>
            </w:pPr>
            <w:r w:rsidRPr="00F91C8F">
              <w:rPr>
                <w:rFonts w:cs="Arial"/>
                <w:sz w:val="22"/>
                <w:szCs w:val="22"/>
              </w:rPr>
              <w:t>2</w:t>
            </w:r>
          </w:p>
        </w:tc>
        <w:tc>
          <w:tcPr>
            <w:tcW w:w="4678" w:type="dxa"/>
            <w:tcBorders>
              <w:top w:val="nil"/>
              <w:left w:val="nil"/>
              <w:bottom w:val="nil"/>
              <w:right w:val="nil"/>
            </w:tcBorders>
          </w:tcPr>
          <w:p w:rsidR="00FE6D5D" w:rsidRPr="00F91C8F" w:rsidRDefault="00FE6D5D" w:rsidP="00482DD5">
            <w:pPr>
              <w:spacing w:before="40"/>
              <w:rPr>
                <w:rFonts w:cs="Arial"/>
                <w:sz w:val="22"/>
                <w:szCs w:val="22"/>
              </w:rPr>
            </w:pPr>
            <w:r w:rsidRPr="00F91C8F">
              <w:rPr>
                <w:rFonts w:cs="Arial"/>
                <w:sz w:val="22"/>
                <w:szCs w:val="22"/>
              </w:rPr>
              <w:t>Partly Funded by Partners</w:t>
            </w:r>
          </w:p>
        </w:tc>
      </w:tr>
      <w:tr w:rsidR="00CF7499" w:rsidRPr="00F91C8F" w:rsidTr="00FE6D5D">
        <w:trPr>
          <w:trHeight w:val="284"/>
        </w:trPr>
        <w:tc>
          <w:tcPr>
            <w:tcW w:w="3085" w:type="dxa"/>
            <w:tcBorders>
              <w:top w:val="nil"/>
              <w:left w:val="nil"/>
              <w:bottom w:val="nil"/>
              <w:right w:val="nil"/>
            </w:tcBorders>
          </w:tcPr>
          <w:p w:rsidR="00FE6D5D" w:rsidRPr="00F91C8F" w:rsidRDefault="00FE6D5D" w:rsidP="00482DD5">
            <w:pPr>
              <w:spacing w:before="40"/>
              <w:rPr>
                <w:rFonts w:cs="Arial"/>
                <w:sz w:val="22"/>
                <w:szCs w:val="22"/>
              </w:rPr>
            </w:pPr>
          </w:p>
        </w:tc>
        <w:tc>
          <w:tcPr>
            <w:tcW w:w="284" w:type="dxa"/>
            <w:tcBorders>
              <w:top w:val="nil"/>
              <w:left w:val="nil"/>
              <w:bottom w:val="nil"/>
              <w:right w:val="nil"/>
            </w:tcBorders>
          </w:tcPr>
          <w:p w:rsidR="00FE6D5D" w:rsidRPr="00F91C8F" w:rsidRDefault="00FE6D5D" w:rsidP="00482DD5">
            <w:pPr>
              <w:spacing w:before="40"/>
              <w:jc w:val="center"/>
              <w:rPr>
                <w:rFonts w:cs="Arial"/>
                <w:sz w:val="22"/>
                <w:szCs w:val="22"/>
              </w:rPr>
            </w:pPr>
          </w:p>
        </w:tc>
        <w:tc>
          <w:tcPr>
            <w:tcW w:w="850" w:type="dxa"/>
            <w:tcBorders>
              <w:top w:val="nil"/>
              <w:left w:val="nil"/>
              <w:bottom w:val="nil"/>
              <w:right w:val="nil"/>
            </w:tcBorders>
          </w:tcPr>
          <w:p w:rsidR="00FE6D5D" w:rsidRPr="00F91C8F" w:rsidRDefault="00FE6D5D" w:rsidP="00482DD5">
            <w:pPr>
              <w:spacing w:before="40"/>
              <w:jc w:val="center"/>
              <w:rPr>
                <w:rFonts w:cs="Arial"/>
                <w:sz w:val="22"/>
                <w:szCs w:val="22"/>
              </w:rPr>
            </w:pPr>
            <w:r w:rsidRPr="00F91C8F">
              <w:rPr>
                <w:rFonts w:cs="Arial"/>
                <w:sz w:val="22"/>
                <w:szCs w:val="22"/>
              </w:rPr>
              <w:t>3</w:t>
            </w:r>
          </w:p>
        </w:tc>
        <w:tc>
          <w:tcPr>
            <w:tcW w:w="4678" w:type="dxa"/>
            <w:tcBorders>
              <w:top w:val="nil"/>
              <w:left w:val="nil"/>
              <w:bottom w:val="nil"/>
              <w:right w:val="nil"/>
            </w:tcBorders>
          </w:tcPr>
          <w:p w:rsidR="00FE6D5D" w:rsidRPr="00F91C8F" w:rsidRDefault="00FE6D5D" w:rsidP="00482DD5">
            <w:pPr>
              <w:spacing w:before="40"/>
              <w:rPr>
                <w:rFonts w:cs="Arial"/>
                <w:sz w:val="22"/>
                <w:szCs w:val="22"/>
              </w:rPr>
            </w:pPr>
            <w:r w:rsidRPr="00F91C8F">
              <w:rPr>
                <w:rFonts w:cs="Arial"/>
                <w:sz w:val="22"/>
                <w:szCs w:val="22"/>
              </w:rPr>
              <w:t>Fully Funded by Partners</w:t>
            </w:r>
          </w:p>
        </w:tc>
      </w:tr>
      <w:tr w:rsidR="00CF7499" w:rsidRPr="00F91C8F" w:rsidTr="00FE6D5D">
        <w:trPr>
          <w:trHeight w:val="284"/>
        </w:trPr>
        <w:tc>
          <w:tcPr>
            <w:tcW w:w="3085" w:type="dxa"/>
            <w:tcBorders>
              <w:top w:val="nil"/>
              <w:left w:val="nil"/>
              <w:bottom w:val="nil"/>
              <w:right w:val="nil"/>
            </w:tcBorders>
          </w:tcPr>
          <w:p w:rsidR="00FE6D5D" w:rsidRPr="00F91C8F" w:rsidRDefault="00FE6D5D" w:rsidP="00482DD5">
            <w:pPr>
              <w:spacing w:before="40"/>
              <w:rPr>
                <w:rFonts w:cs="Arial"/>
                <w:sz w:val="22"/>
                <w:szCs w:val="22"/>
              </w:rPr>
            </w:pPr>
          </w:p>
        </w:tc>
        <w:tc>
          <w:tcPr>
            <w:tcW w:w="284" w:type="dxa"/>
            <w:tcBorders>
              <w:top w:val="nil"/>
              <w:left w:val="nil"/>
              <w:bottom w:val="nil"/>
              <w:right w:val="nil"/>
            </w:tcBorders>
          </w:tcPr>
          <w:p w:rsidR="00FE6D5D" w:rsidRPr="00F91C8F" w:rsidRDefault="00FE6D5D" w:rsidP="00482DD5">
            <w:pPr>
              <w:spacing w:before="40"/>
              <w:jc w:val="center"/>
              <w:rPr>
                <w:rFonts w:cs="Arial"/>
                <w:sz w:val="22"/>
                <w:szCs w:val="22"/>
              </w:rPr>
            </w:pPr>
          </w:p>
        </w:tc>
        <w:tc>
          <w:tcPr>
            <w:tcW w:w="850" w:type="dxa"/>
            <w:tcBorders>
              <w:top w:val="nil"/>
              <w:left w:val="nil"/>
              <w:bottom w:val="nil"/>
              <w:right w:val="nil"/>
            </w:tcBorders>
          </w:tcPr>
          <w:p w:rsidR="00FE6D5D" w:rsidRPr="00F91C8F" w:rsidRDefault="00FE6D5D" w:rsidP="00482DD5">
            <w:pPr>
              <w:spacing w:before="40"/>
              <w:jc w:val="center"/>
              <w:rPr>
                <w:rFonts w:cs="Arial"/>
                <w:sz w:val="22"/>
                <w:szCs w:val="22"/>
              </w:rPr>
            </w:pPr>
          </w:p>
        </w:tc>
        <w:tc>
          <w:tcPr>
            <w:tcW w:w="4678" w:type="dxa"/>
            <w:tcBorders>
              <w:top w:val="nil"/>
              <w:left w:val="nil"/>
              <w:bottom w:val="nil"/>
              <w:right w:val="nil"/>
            </w:tcBorders>
          </w:tcPr>
          <w:p w:rsidR="00FE6D5D" w:rsidRPr="00F91C8F" w:rsidRDefault="00FE6D5D" w:rsidP="00482DD5">
            <w:pPr>
              <w:spacing w:before="40"/>
              <w:rPr>
                <w:rFonts w:cs="Arial"/>
                <w:sz w:val="22"/>
                <w:szCs w:val="22"/>
              </w:rPr>
            </w:pPr>
          </w:p>
        </w:tc>
      </w:tr>
      <w:tr w:rsidR="00CF7499" w:rsidRPr="00F91C8F" w:rsidTr="00FE6D5D">
        <w:trPr>
          <w:trHeight w:val="284"/>
        </w:trPr>
        <w:tc>
          <w:tcPr>
            <w:tcW w:w="3085" w:type="dxa"/>
            <w:tcBorders>
              <w:top w:val="nil"/>
              <w:left w:val="nil"/>
              <w:bottom w:val="nil"/>
              <w:right w:val="nil"/>
            </w:tcBorders>
          </w:tcPr>
          <w:p w:rsidR="00FE6D5D" w:rsidRPr="00F91C8F" w:rsidRDefault="00FE6D5D" w:rsidP="00482DD5">
            <w:pPr>
              <w:spacing w:before="40"/>
              <w:rPr>
                <w:rFonts w:cs="Arial"/>
                <w:sz w:val="22"/>
                <w:szCs w:val="22"/>
              </w:rPr>
            </w:pPr>
            <w:r w:rsidRPr="00F91C8F">
              <w:rPr>
                <w:rFonts w:cs="Arial"/>
                <w:sz w:val="22"/>
                <w:szCs w:val="22"/>
              </w:rPr>
              <w:t>Equalities</w:t>
            </w:r>
          </w:p>
        </w:tc>
        <w:tc>
          <w:tcPr>
            <w:tcW w:w="284" w:type="dxa"/>
            <w:tcBorders>
              <w:top w:val="nil"/>
              <w:left w:val="nil"/>
              <w:bottom w:val="nil"/>
              <w:right w:val="nil"/>
            </w:tcBorders>
          </w:tcPr>
          <w:p w:rsidR="00FE6D5D" w:rsidRPr="00F91C8F" w:rsidRDefault="00FE6D5D" w:rsidP="00482DD5">
            <w:pPr>
              <w:spacing w:before="40"/>
              <w:jc w:val="center"/>
              <w:rPr>
                <w:rFonts w:cs="Arial"/>
                <w:sz w:val="22"/>
                <w:szCs w:val="22"/>
              </w:rPr>
            </w:pPr>
            <w:r w:rsidRPr="00F91C8F">
              <w:rPr>
                <w:rFonts w:cs="Arial"/>
                <w:sz w:val="22"/>
                <w:szCs w:val="22"/>
              </w:rPr>
              <w:t>f</w:t>
            </w:r>
          </w:p>
        </w:tc>
        <w:tc>
          <w:tcPr>
            <w:tcW w:w="850" w:type="dxa"/>
            <w:tcBorders>
              <w:top w:val="nil"/>
              <w:left w:val="nil"/>
              <w:bottom w:val="nil"/>
              <w:right w:val="nil"/>
            </w:tcBorders>
          </w:tcPr>
          <w:p w:rsidR="00FE6D5D" w:rsidRPr="00F91C8F" w:rsidRDefault="00FE6D5D" w:rsidP="00482DD5">
            <w:pPr>
              <w:spacing w:before="40"/>
              <w:jc w:val="center"/>
              <w:rPr>
                <w:rFonts w:cs="Arial"/>
                <w:sz w:val="22"/>
                <w:szCs w:val="22"/>
              </w:rPr>
            </w:pPr>
            <w:r w:rsidRPr="00F91C8F">
              <w:rPr>
                <w:rFonts w:cs="Arial"/>
                <w:sz w:val="22"/>
                <w:szCs w:val="22"/>
              </w:rPr>
              <w:t>1</w:t>
            </w:r>
          </w:p>
        </w:tc>
        <w:tc>
          <w:tcPr>
            <w:tcW w:w="4678" w:type="dxa"/>
            <w:tcBorders>
              <w:top w:val="nil"/>
              <w:left w:val="nil"/>
              <w:bottom w:val="nil"/>
              <w:right w:val="nil"/>
            </w:tcBorders>
          </w:tcPr>
          <w:p w:rsidR="00FE6D5D" w:rsidRPr="00F91C8F" w:rsidRDefault="00FE6D5D" w:rsidP="00482DD5">
            <w:pPr>
              <w:spacing w:before="40"/>
              <w:rPr>
                <w:rFonts w:cs="Arial"/>
                <w:sz w:val="22"/>
                <w:szCs w:val="22"/>
              </w:rPr>
            </w:pPr>
            <w:r w:rsidRPr="00F91C8F">
              <w:rPr>
                <w:rFonts w:cs="Arial"/>
                <w:sz w:val="22"/>
                <w:szCs w:val="22"/>
              </w:rPr>
              <w:t>No impact on vulnerable groups</w:t>
            </w:r>
          </w:p>
        </w:tc>
      </w:tr>
      <w:tr w:rsidR="00CF7499" w:rsidRPr="00F91C8F" w:rsidTr="00FE6D5D">
        <w:trPr>
          <w:trHeight w:val="284"/>
        </w:trPr>
        <w:tc>
          <w:tcPr>
            <w:tcW w:w="3085" w:type="dxa"/>
            <w:tcBorders>
              <w:top w:val="nil"/>
              <w:left w:val="nil"/>
              <w:bottom w:val="nil"/>
              <w:right w:val="nil"/>
            </w:tcBorders>
          </w:tcPr>
          <w:p w:rsidR="00FE6D5D" w:rsidRPr="00F91C8F" w:rsidRDefault="00FE6D5D" w:rsidP="00482DD5">
            <w:pPr>
              <w:spacing w:before="40"/>
              <w:rPr>
                <w:rFonts w:cs="Arial"/>
                <w:sz w:val="22"/>
                <w:szCs w:val="22"/>
              </w:rPr>
            </w:pPr>
          </w:p>
        </w:tc>
        <w:tc>
          <w:tcPr>
            <w:tcW w:w="284" w:type="dxa"/>
            <w:tcBorders>
              <w:top w:val="nil"/>
              <w:left w:val="nil"/>
              <w:bottom w:val="nil"/>
              <w:right w:val="nil"/>
            </w:tcBorders>
          </w:tcPr>
          <w:p w:rsidR="00FE6D5D" w:rsidRPr="00F91C8F" w:rsidRDefault="00FE6D5D" w:rsidP="00482DD5">
            <w:pPr>
              <w:spacing w:before="40"/>
              <w:jc w:val="center"/>
              <w:rPr>
                <w:rFonts w:cs="Arial"/>
                <w:sz w:val="22"/>
                <w:szCs w:val="22"/>
              </w:rPr>
            </w:pPr>
          </w:p>
        </w:tc>
        <w:tc>
          <w:tcPr>
            <w:tcW w:w="850" w:type="dxa"/>
            <w:tcBorders>
              <w:top w:val="nil"/>
              <w:left w:val="nil"/>
              <w:bottom w:val="nil"/>
              <w:right w:val="nil"/>
            </w:tcBorders>
          </w:tcPr>
          <w:p w:rsidR="00FE6D5D" w:rsidRPr="00F91C8F" w:rsidRDefault="00FE6D5D" w:rsidP="00482DD5">
            <w:pPr>
              <w:spacing w:before="40"/>
              <w:jc w:val="center"/>
              <w:rPr>
                <w:rFonts w:cs="Arial"/>
                <w:sz w:val="22"/>
                <w:szCs w:val="22"/>
              </w:rPr>
            </w:pPr>
            <w:r w:rsidRPr="00F91C8F">
              <w:rPr>
                <w:rFonts w:cs="Arial"/>
                <w:sz w:val="22"/>
                <w:szCs w:val="22"/>
              </w:rPr>
              <w:t>2</w:t>
            </w:r>
          </w:p>
        </w:tc>
        <w:tc>
          <w:tcPr>
            <w:tcW w:w="4678" w:type="dxa"/>
            <w:tcBorders>
              <w:top w:val="nil"/>
              <w:left w:val="nil"/>
              <w:bottom w:val="nil"/>
              <w:right w:val="nil"/>
            </w:tcBorders>
          </w:tcPr>
          <w:p w:rsidR="00FE6D5D" w:rsidRPr="00F91C8F" w:rsidRDefault="00FE6D5D" w:rsidP="00482DD5">
            <w:pPr>
              <w:spacing w:before="40"/>
              <w:rPr>
                <w:rFonts w:cs="Arial"/>
                <w:sz w:val="22"/>
                <w:szCs w:val="22"/>
              </w:rPr>
            </w:pPr>
            <w:r w:rsidRPr="00F91C8F">
              <w:rPr>
                <w:rFonts w:cs="Arial"/>
                <w:sz w:val="22"/>
                <w:szCs w:val="22"/>
              </w:rPr>
              <w:t>Impacts on one vulnerable group</w:t>
            </w:r>
          </w:p>
        </w:tc>
      </w:tr>
      <w:tr w:rsidR="00CF7499" w:rsidRPr="00F91C8F" w:rsidTr="00FE6D5D">
        <w:trPr>
          <w:trHeight w:val="284"/>
        </w:trPr>
        <w:tc>
          <w:tcPr>
            <w:tcW w:w="3085" w:type="dxa"/>
            <w:tcBorders>
              <w:top w:val="nil"/>
              <w:left w:val="nil"/>
              <w:bottom w:val="nil"/>
              <w:right w:val="nil"/>
            </w:tcBorders>
          </w:tcPr>
          <w:p w:rsidR="00FE6D5D" w:rsidRPr="00F91C8F" w:rsidRDefault="00FE6D5D" w:rsidP="00482DD5">
            <w:pPr>
              <w:spacing w:before="40"/>
              <w:rPr>
                <w:rFonts w:cs="Arial"/>
                <w:sz w:val="22"/>
                <w:szCs w:val="22"/>
              </w:rPr>
            </w:pPr>
          </w:p>
        </w:tc>
        <w:tc>
          <w:tcPr>
            <w:tcW w:w="284" w:type="dxa"/>
            <w:tcBorders>
              <w:top w:val="nil"/>
              <w:left w:val="nil"/>
              <w:bottom w:val="nil"/>
              <w:right w:val="nil"/>
            </w:tcBorders>
          </w:tcPr>
          <w:p w:rsidR="00FE6D5D" w:rsidRPr="00F91C8F" w:rsidRDefault="00FE6D5D" w:rsidP="00482DD5">
            <w:pPr>
              <w:spacing w:before="40"/>
              <w:jc w:val="center"/>
              <w:rPr>
                <w:rFonts w:cs="Arial"/>
                <w:sz w:val="22"/>
                <w:szCs w:val="22"/>
              </w:rPr>
            </w:pPr>
          </w:p>
        </w:tc>
        <w:tc>
          <w:tcPr>
            <w:tcW w:w="850" w:type="dxa"/>
            <w:tcBorders>
              <w:top w:val="nil"/>
              <w:left w:val="nil"/>
              <w:bottom w:val="nil"/>
              <w:right w:val="nil"/>
            </w:tcBorders>
          </w:tcPr>
          <w:p w:rsidR="00FE6D5D" w:rsidRPr="00F91C8F" w:rsidRDefault="00FE6D5D" w:rsidP="00482DD5">
            <w:pPr>
              <w:spacing w:before="40"/>
              <w:jc w:val="center"/>
              <w:rPr>
                <w:rFonts w:cs="Arial"/>
                <w:sz w:val="22"/>
                <w:szCs w:val="22"/>
              </w:rPr>
            </w:pPr>
            <w:r w:rsidRPr="00F91C8F">
              <w:rPr>
                <w:rFonts w:cs="Arial"/>
                <w:sz w:val="22"/>
                <w:szCs w:val="22"/>
              </w:rPr>
              <w:t>3</w:t>
            </w:r>
          </w:p>
        </w:tc>
        <w:tc>
          <w:tcPr>
            <w:tcW w:w="4678" w:type="dxa"/>
            <w:tcBorders>
              <w:top w:val="nil"/>
              <w:left w:val="nil"/>
              <w:bottom w:val="nil"/>
              <w:right w:val="nil"/>
            </w:tcBorders>
          </w:tcPr>
          <w:p w:rsidR="00FE6D5D" w:rsidRPr="00F91C8F" w:rsidRDefault="00FE6D5D" w:rsidP="00482DD5">
            <w:pPr>
              <w:spacing w:before="40"/>
              <w:rPr>
                <w:rFonts w:cs="Arial"/>
                <w:sz w:val="22"/>
                <w:szCs w:val="22"/>
              </w:rPr>
            </w:pPr>
            <w:r w:rsidRPr="00F91C8F">
              <w:rPr>
                <w:rFonts w:cs="Arial"/>
                <w:sz w:val="22"/>
                <w:szCs w:val="22"/>
              </w:rPr>
              <w:t>Impacts several vulnerable groups</w:t>
            </w:r>
          </w:p>
        </w:tc>
      </w:tr>
      <w:tr w:rsidR="00CF7499" w:rsidRPr="00F91C8F" w:rsidTr="00FE6D5D">
        <w:trPr>
          <w:trHeight w:val="284"/>
        </w:trPr>
        <w:tc>
          <w:tcPr>
            <w:tcW w:w="3085" w:type="dxa"/>
            <w:tcBorders>
              <w:top w:val="nil"/>
              <w:left w:val="nil"/>
              <w:bottom w:val="nil"/>
              <w:right w:val="nil"/>
            </w:tcBorders>
          </w:tcPr>
          <w:p w:rsidR="00FE6D5D" w:rsidRPr="00F91C8F" w:rsidRDefault="00FE6D5D" w:rsidP="00482DD5">
            <w:pPr>
              <w:spacing w:before="40"/>
              <w:rPr>
                <w:rFonts w:cs="Arial"/>
                <w:sz w:val="22"/>
                <w:szCs w:val="22"/>
              </w:rPr>
            </w:pPr>
          </w:p>
        </w:tc>
        <w:tc>
          <w:tcPr>
            <w:tcW w:w="284" w:type="dxa"/>
            <w:tcBorders>
              <w:top w:val="nil"/>
              <w:left w:val="nil"/>
              <w:bottom w:val="nil"/>
              <w:right w:val="nil"/>
            </w:tcBorders>
          </w:tcPr>
          <w:p w:rsidR="00FE6D5D" w:rsidRPr="00F91C8F" w:rsidRDefault="00FE6D5D" w:rsidP="00482DD5">
            <w:pPr>
              <w:spacing w:before="40"/>
              <w:jc w:val="center"/>
              <w:rPr>
                <w:rFonts w:cs="Arial"/>
                <w:sz w:val="22"/>
                <w:szCs w:val="22"/>
              </w:rPr>
            </w:pPr>
          </w:p>
        </w:tc>
        <w:tc>
          <w:tcPr>
            <w:tcW w:w="850" w:type="dxa"/>
            <w:tcBorders>
              <w:top w:val="nil"/>
              <w:left w:val="nil"/>
              <w:bottom w:val="nil"/>
              <w:right w:val="nil"/>
            </w:tcBorders>
          </w:tcPr>
          <w:p w:rsidR="00FE6D5D" w:rsidRPr="00F91C8F" w:rsidRDefault="00FE6D5D" w:rsidP="00482DD5">
            <w:pPr>
              <w:spacing w:before="40"/>
              <w:jc w:val="center"/>
              <w:rPr>
                <w:rFonts w:cs="Arial"/>
                <w:sz w:val="22"/>
                <w:szCs w:val="22"/>
              </w:rPr>
            </w:pPr>
          </w:p>
        </w:tc>
        <w:tc>
          <w:tcPr>
            <w:tcW w:w="4678" w:type="dxa"/>
            <w:tcBorders>
              <w:top w:val="nil"/>
              <w:left w:val="nil"/>
              <w:bottom w:val="nil"/>
              <w:right w:val="nil"/>
            </w:tcBorders>
          </w:tcPr>
          <w:p w:rsidR="00FE6D5D" w:rsidRPr="00F91C8F" w:rsidRDefault="00FE6D5D" w:rsidP="00482DD5">
            <w:pPr>
              <w:spacing w:before="40"/>
              <w:rPr>
                <w:rFonts w:cs="Arial"/>
                <w:sz w:val="22"/>
                <w:szCs w:val="22"/>
              </w:rPr>
            </w:pPr>
          </w:p>
        </w:tc>
      </w:tr>
      <w:tr w:rsidR="00CF7499" w:rsidRPr="00F91C8F" w:rsidTr="00FE6D5D">
        <w:trPr>
          <w:trHeight w:val="284"/>
        </w:trPr>
        <w:tc>
          <w:tcPr>
            <w:tcW w:w="3085" w:type="dxa"/>
          </w:tcPr>
          <w:p w:rsidR="00FE6D5D" w:rsidRPr="00F91C8F" w:rsidRDefault="00FE6D5D" w:rsidP="00482DD5">
            <w:pPr>
              <w:spacing w:before="40"/>
              <w:rPr>
                <w:rFonts w:cs="Arial"/>
                <w:sz w:val="22"/>
                <w:szCs w:val="22"/>
              </w:rPr>
            </w:pPr>
            <w:r w:rsidRPr="00F91C8F">
              <w:rPr>
                <w:rFonts w:cs="Arial"/>
                <w:sz w:val="22"/>
                <w:szCs w:val="22"/>
              </w:rPr>
              <w:t>Asset Management</w:t>
            </w:r>
          </w:p>
        </w:tc>
        <w:tc>
          <w:tcPr>
            <w:tcW w:w="284" w:type="dxa"/>
          </w:tcPr>
          <w:p w:rsidR="00FE6D5D" w:rsidRPr="00F91C8F" w:rsidRDefault="00FE6D5D" w:rsidP="00482DD5">
            <w:pPr>
              <w:spacing w:before="40"/>
              <w:jc w:val="center"/>
              <w:rPr>
                <w:rFonts w:cs="Arial"/>
                <w:sz w:val="22"/>
                <w:szCs w:val="22"/>
              </w:rPr>
            </w:pPr>
            <w:r w:rsidRPr="00F91C8F">
              <w:rPr>
                <w:rFonts w:cs="Arial"/>
                <w:sz w:val="22"/>
                <w:szCs w:val="22"/>
              </w:rPr>
              <w:t>g</w:t>
            </w:r>
          </w:p>
        </w:tc>
        <w:tc>
          <w:tcPr>
            <w:tcW w:w="850" w:type="dxa"/>
          </w:tcPr>
          <w:p w:rsidR="00FE6D5D" w:rsidRPr="00F91C8F" w:rsidRDefault="00FE6D5D" w:rsidP="00482DD5">
            <w:pPr>
              <w:spacing w:before="40"/>
              <w:jc w:val="center"/>
              <w:rPr>
                <w:rFonts w:cs="Arial"/>
                <w:sz w:val="22"/>
                <w:szCs w:val="22"/>
              </w:rPr>
            </w:pPr>
            <w:r w:rsidRPr="00F91C8F">
              <w:rPr>
                <w:rFonts w:cs="Arial"/>
                <w:sz w:val="22"/>
                <w:szCs w:val="22"/>
              </w:rPr>
              <w:t>1</w:t>
            </w:r>
          </w:p>
        </w:tc>
        <w:tc>
          <w:tcPr>
            <w:tcW w:w="4678" w:type="dxa"/>
          </w:tcPr>
          <w:p w:rsidR="00FE6D5D" w:rsidRPr="00F91C8F" w:rsidRDefault="00FE6D5D" w:rsidP="00482DD5">
            <w:pPr>
              <w:spacing w:before="40"/>
              <w:rPr>
                <w:rFonts w:cs="Arial"/>
                <w:sz w:val="22"/>
                <w:szCs w:val="22"/>
              </w:rPr>
            </w:pPr>
            <w:r w:rsidRPr="00F91C8F">
              <w:rPr>
                <w:rFonts w:cs="Arial"/>
                <w:sz w:val="22"/>
                <w:szCs w:val="22"/>
              </w:rPr>
              <w:t>Not related to asset maintenance</w:t>
            </w:r>
          </w:p>
        </w:tc>
      </w:tr>
      <w:tr w:rsidR="00CF7499" w:rsidRPr="00F91C8F" w:rsidTr="00FE6D5D">
        <w:trPr>
          <w:trHeight w:val="284"/>
        </w:trPr>
        <w:tc>
          <w:tcPr>
            <w:tcW w:w="3085" w:type="dxa"/>
          </w:tcPr>
          <w:p w:rsidR="00FE6D5D" w:rsidRPr="00F91C8F" w:rsidRDefault="00FE6D5D" w:rsidP="00482DD5">
            <w:pPr>
              <w:spacing w:before="40"/>
              <w:rPr>
                <w:rFonts w:cs="Arial"/>
                <w:sz w:val="22"/>
                <w:szCs w:val="22"/>
              </w:rPr>
            </w:pPr>
          </w:p>
        </w:tc>
        <w:tc>
          <w:tcPr>
            <w:tcW w:w="284" w:type="dxa"/>
          </w:tcPr>
          <w:p w:rsidR="00FE6D5D" w:rsidRPr="00F91C8F" w:rsidRDefault="00FE6D5D" w:rsidP="00482DD5">
            <w:pPr>
              <w:spacing w:before="40"/>
              <w:jc w:val="center"/>
              <w:rPr>
                <w:rFonts w:cs="Arial"/>
                <w:sz w:val="22"/>
                <w:szCs w:val="22"/>
              </w:rPr>
            </w:pPr>
          </w:p>
        </w:tc>
        <w:tc>
          <w:tcPr>
            <w:tcW w:w="850" w:type="dxa"/>
          </w:tcPr>
          <w:p w:rsidR="00FE6D5D" w:rsidRPr="00F91C8F" w:rsidRDefault="00FE6D5D" w:rsidP="00482DD5">
            <w:pPr>
              <w:spacing w:before="40"/>
              <w:jc w:val="center"/>
              <w:rPr>
                <w:rFonts w:cs="Arial"/>
                <w:sz w:val="22"/>
                <w:szCs w:val="22"/>
              </w:rPr>
            </w:pPr>
            <w:r w:rsidRPr="00F91C8F">
              <w:rPr>
                <w:rFonts w:cs="Arial"/>
                <w:sz w:val="22"/>
                <w:szCs w:val="22"/>
              </w:rPr>
              <w:t>2</w:t>
            </w:r>
          </w:p>
        </w:tc>
        <w:tc>
          <w:tcPr>
            <w:tcW w:w="4678" w:type="dxa"/>
          </w:tcPr>
          <w:p w:rsidR="00FE6D5D" w:rsidRPr="00F91C8F" w:rsidRDefault="00FE6D5D" w:rsidP="00482DD5">
            <w:pPr>
              <w:spacing w:before="40"/>
              <w:rPr>
                <w:rFonts w:cs="Arial"/>
                <w:sz w:val="22"/>
                <w:szCs w:val="22"/>
              </w:rPr>
            </w:pPr>
            <w:r w:rsidRPr="00F91C8F">
              <w:rPr>
                <w:rFonts w:cs="Arial"/>
                <w:sz w:val="22"/>
                <w:szCs w:val="22"/>
              </w:rPr>
              <w:t>Allowing asset to continue in use</w:t>
            </w:r>
          </w:p>
        </w:tc>
      </w:tr>
      <w:tr w:rsidR="00CF7499" w:rsidRPr="00F91C8F" w:rsidTr="00FE6D5D">
        <w:trPr>
          <w:trHeight w:val="284"/>
        </w:trPr>
        <w:tc>
          <w:tcPr>
            <w:tcW w:w="3085" w:type="dxa"/>
          </w:tcPr>
          <w:p w:rsidR="00FE6D5D" w:rsidRPr="00F91C8F" w:rsidRDefault="00FE6D5D" w:rsidP="00482DD5">
            <w:pPr>
              <w:spacing w:before="40"/>
              <w:rPr>
                <w:rFonts w:cs="Arial"/>
                <w:sz w:val="22"/>
                <w:szCs w:val="22"/>
              </w:rPr>
            </w:pPr>
          </w:p>
        </w:tc>
        <w:tc>
          <w:tcPr>
            <w:tcW w:w="284" w:type="dxa"/>
          </w:tcPr>
          <w:p w:rsidR="00FE6D5D" w:rsidRPr="00F91C8F" w:rsidRDefault="00FE6D5D" w:rsidP="00482DD5">
            <w:pPr>
              <w:spacing w:before="40"/>
              <w:jc w:val="center"/>
              <w:rPr>
                <w:rFonts w:cs="Arial"/>
                <w:sz w:val="22"/>
                <w:szCs w:val="22"/>
              </w:rPr>
            </w:pPr>
          </w:p>
        </w:tc>
        <w:tc>
          <w:tcPr>
            <w:tcW w:w="850" w:type="dxa"/>
          </w:tcPr>
          <w:p w:rsidR="00FE6D5D" w:rsidRPr="00F91C8F" w:rsidRDefault="00FE6D5D" w:rsidP="00482DD5">
            <w:pPr>
              <w:spacing w:before="40"/>
              <w:jc w:val="center"/>
              <w:rPr>
                <w:rFonts w:cs="Arial"/>
                <w:sz w:val="22"/>
                <w:szCs w:val="22"/>
              </w:rPr>
            </w:pPr>
            <w:r w:rsidRPr="00F91C8F">
              <w:rPr>
                <w:rFonts w:cs="Arial"/>
                <w:sz w:val="22"/>
                <w:szCs w:val="22"/>
              </w:rPr>
              <w:t>3</w:t>
            </w:r>
          </w:p>
        </w:tc>
        <w:tc>
          <w:tcPr>
            <w:tcW w:w="4678" w:type="dxa"/>
          </w:tcPr>
          <w:p w:rsidR="00FE6D5D" w:rsidRPr="00F91C8F" w:rsidRDefault="00FE6D5D" w:rsidP="00482DD5">
            <w:pPr>
              <w:tabs>
                <w:tab w:val="left" w:pos="0"/>
              </w:tabs>
              <w:spacing w:before="40"/>
              <w:rPr>
                <w:rFonts w:cs="Arial"/>
                <w:sz w:val="22"/>
                <w:szCs w:val="22"/>
              </w:rPr>
            </w:pPr>
            <w:r w:rsidRPr="00F91C8F">
              <w:rPr>
                <w:rFonts w:cs="Arial"/>
                <w:sz w:val="22"/>
                <w:szCs w:val="22"/>
              </w:rPr>
              <w:t>Expenditure required to bring asset up to standard enabling service to continue (i.e. an element of ‘backlog’ repair exists)</w:t>
            </w:r>
          </w:p>
        </w:tc>
      </w:tr>
      <w:tr w:rsidR="00CF7499" w:rsidRPr="00F91C8F" w:rsidTr="00FE6D5D">
        <w:trPr>
          <w:trHeight w:val="284"/>
        </w:trPr>
        <w:tc>
          <w:tcPr>
            <w:tcW w:w="3085" w:type="dxa"/>
          </w:tcPr>
          <w:p w:rsidR="00FE6D5D" w:rsidRPr="00F91C8F" w:rsidRDefault="00FE6D5D" w:rsidP="00482DD5">
            <w:pPr>
              <w:spacing w:before="40"/>
              <w:rPr>
                <w:rFonts w:cs="Arial"/>
                <w:sz w:val="22"/>
                <w:szCs w:val="22"/>
              </w:rPr>
            </w:pPr>
          </w:p>
        </w:tc>
        <w:tc>
          <w:tcPr>
            <w:tcW w:w="284" w:type="dxa"/>
          </w:tcPr>
          <w:p w:rsidR="00FE6D5D" w:rsidRPr="00F91C8F" w:rsidRDefault="00FE6D5D" w:rsidP="00482DD5">
            <w:pPr>
              <w:spacing w:before="40"/>
              <w:jc w:val="center"/>
              <w:rPr>
                <w:rFonts w:cs="Arial"/>
                <w:sz w:val="22"/>
                <w:szCs w:val="22"/>
              </w:rPr>
            </w:pPr>
          </w:p>
        </w:tc>
        <w:tc>
          <w:tcPr>
            <w:tcW w:w="850" w:type="dxa"/>
          </w:tcPr>
          <w:p w:rsidR="00FE6D5D" w:rsidRPr="00F91C8F" w:rsidRDefault="00FE6D5D" w:rsidP="00482DD5">
            <w:pPr>
              <w:spacing w:before="40"/>
              <w:jc w:val="center"/>
              <w:rPr>
                <w:rFonts w:cs="Arial"/>
                <w:sz w:val="22"/>
                <w:szCs w:val="22"/>
              </w:rPr>
            </w:pPr>
          </w:p>
        </w:tc>
        <w:tc>
          <w:tcPr>
            <w:tcW w:w="4678" w:type="dxa"/>
          </w:tcPr>
          <w:p w:rsidR="00FE6D5D" w:rsidRPr="00F91C8F" w:rsidRDefault="00FE6D5D" w:rsidP="00482DD5">
            <w:pPr>
              <w:spacing w:before="40"/>
              <w:rPr>
                <w:rFonts w:cs="Arial"/>
                <w:sz w:val="22"/>
                <w:szCs w:val="22"/>
              </w:rPr>
            </w:pPr>
          </w:p>
        </w:tc>
      </w:tr>
      <w:tr w:rsidR="00CF7499" w:rsidRPr="00F91C8F" w:rsidTr="00FE6D5D">
        <w:trPr>
          <w:trHeight w:val="284"/>
        </w:trPr>
        <w:tc>
          <w:tcPr>
            <w:tcW w:w="3085" w:type="dxa"/>
          </w:tcPr>
          <w:p w:rsidR="00FE6D5D" w:rsidRPr="00F91C8F" w:rsidRDefault="00FE6D5D" w:rsidP="00482DD5">
            <w:pPr>
              <w:spacing w:before="40"/>
              <w:rPr>
                <w:rFonts w:cs="Arial"/>
                <w:sz w:val="22"/>
                <w:szCs w:val="22"/>
              </w:rPr>
            </w:pPr>
            <w:r w:rsidRPr="00F91C8F">
              <w:rPr>
                <w:rFonts w:cs="Arial"/>
                <w:sz w:val="22"/>
                <w:szCs w:val="22"/>
              </w:rPr>
              <w:t>Statutory/Discretionary</w:t>
            </w:r>
          </w:p>
        </w:tc>
        <w:tc>
          <w:tcPr>
            <w:tcW w:w="284" w:type="dxa"/>
          </w:tcPr>
          <w:p w:rsidR="00FE6D5D" w:rsidRPr="00F91C8F" w:rsidRDefault="00FE6D5D" w:rsidP="00482DD5">
            <w:pPr>
              <w:spacing w:before="40"/>
              <w:jc w:val="center"/>
              <w:rPr>
                <w:rFonts w:cs="Arial"/>
                <w:sz w:val="22"/>
                <w:szCs w:val="22"/>
              </w:rPr>
            </w:pPr>
            <w:r w:rsidRPr="00F91C8F">
              <w:rPr>
                <w:rFonts w:cs="Arial"/>
                <w:sz w:val="22"/>
                <w:szCs w:val="22"/>
              </w:rPr>
              <w:t>h</w:t>
            </w:r>
          </w:p>
        </w:tc>
        <w:tc>
          <w:tcPr>
            <w:tcW w:w="850" w:type="dxa"/>
          </w:tcPr>
          <w:p w:rsidR="00FE6D5D" w:rsidRPr="00F91C8F" w:rsidRDefault="00FE6D5D" w:rsidP="00482DD5">
            <w:pPr>
              <w:spacing w:before="40"/>
              <w:jc w:val="center"/>
              <w:rPr>
                <w:rFonts w:cs="Arial"/>
                <w:sz w:val="22"/>
                <w:szCs w:val="22"/>
              </w:rPr>
            </w:pPr>
            <w:r w:rsidRPr="00F91C8F">
              <w:rPr>
                <w:rFonts w:cs="Arial"/>
                <w:sz w:val="22"/>
                <w:szCs w:val="22"/>
              </w:rPr>
              <w:t>1</w:t>
            </w:r>
          </w:p>
        </w:tc>
        <w:tc>
          <w:tcPr>
            <w:tcW w:w="4678" w:type="dxa"/>
          </w:tcPr>
          <w:p w:rsidR="00FE6D5D" w:rsidRPr="00F91C8F" w:rsidRDefault="00FE6D5D" w:rsidP="00482DD5">
            <w:pPr>
              <w:spacing w:before="40"/>
              <w:rPr>
                <w:rFonts w:cs="Arial"/>
                <w:sz w:val="22"/>
                <w:szCs w:val="22"/>
              </w:rPr>
            </w:pPr>
            <w:r w:rsidRPr="00F91C8F">
              <w:rPr>
                <w:rFonts w:cs="Arial"/>
                <w:sz w:val="22"/>
                <w:szCs w:val="22"/>
              </w:rPr>
              <w:t>Entirely Discretionary</w:t>
            </w:r>
          </w:p>
        </w:tc>
      </w:tr>
      <w:tr w:rsidR="00CF7499" w:rsidRPr="00F91C8F" w:rsidTr="00FE6D5D">
        <w:trPr>
          <w:trHeight w:val="284"/>
        </w:trPr>
        <w:tc>
          <w:tcPr>
            <w:tcW w:w="3085" w:type="dxa"/>
          </w:tcPr>
          <w:p w:rsidR="00FE6D5D" w:rsidRPr="00F91C8F" w:rsidRDefault="00FE6D5D" w:rsidP="00482DD5">
            <w:pPr>
              <w:spacing w:before="40"/>
              <w:rPr>
                <w:rFonts w:cs="Arial"/>
                <w:sz w:val="22"/>
                <w:szCs w:val="22"/>
              </w:rPr>
            </w:pPr>
            <w:r w:rsidRPr="00F91C8F">
              <w:rPr>
                <w:rFonts w:cs="Arial"/>
                <w:sz w:val="22"/>
                <w:szCs w:val="22"/>
              </w:rPr>
              <w:t>Service</w:t>
            </w:r>
          </w:p>
        </w:tc>
        <w:tc>
          <w:tcPr>
            <w:tcW w:w="284" w:type="dxa"/>
          </w:tcPr>
          <w:p w:rsidR="00FE6D5D" w:rsidRPr="00F91C8F" w:rsidRDefault="00FE6D5D" w:rsidP="00482DD5">
            <w:pPr>
              <w:spacing w:before="40"/>
              <w:jc w:val="center"/>
              <w:rPr>
                <w:rFonts w:cs="Arial"/>
                <w:sz w:val="22"/>
                <w:szCs w:val="22"/>
              </w:rPr>
            </w:pPr>
          </w:p>
        </w:tc>
        <w:tc>
          <w:tcPr>
            <w:tcW w:w="850" w:type="dxa"/>
          </w:tcPr>
          <w:p w:rsidR="00FE6D5D" w:rsidRPr="00F91C8F" w:rsidRDefault="00FE6D5D" w:rsidP="00482DD5">
            <w:pPr>
              <w:spacing w:before="40"/>
              <w:jc w:val="center"/>
              <w:rPr>
                <w:rFonts w:cs="Arial"/>
                <w:sz w:val="22"/>
                <w:szCs w:val="22"/>
              </w:rPr>
            </w:pPr>
            <w:r w:rsidRPr="00F91C8F">
              <w:rPr>
                <w:rFonts w:cs="Arial"/>
                <w:sz w:val="22"/>
                <w:szCs w:val="22"/>
              </w:rPr>
              <w:t>2</w:t>
            </w:r>
          </w:p>
        </w:tc>
        <w:tc>
          <w:tcPr>
            <w:tcW w:w="4678" w:type="dxa"/>
          </w:tcPr>
          <w:p w:rsidR="00FE6D5D" w:rsidRPr="00F91C8F" w:rsidRDefault="00FE6D5D" w:rsidP="00482DD5">
            <w:pPr>
              <w:spacing w:before="40"/>
              <w:rPr>
                <w:rFonts w:cs="Arial"/>
                <w:sz w:val="22"/>
                <w:szCs w:val="22"/>
              </w:rPr>
            </w:pPr>
            <w:r w:rsidRPr="00F91C8F">
              <w:rPr>
                <w:rFonts w:cs="Arial"/>
                <w:sz w:val="22"/>
                <w:szCs w:val="22"/>
              </w:rPr>
              <w:t>Partly Statutory</w:t>
            </w:r>
          </w:p>
        </w:tc>
      </w:tr>
      <w:tr w:rsidR="00CF7499" w:rsidRPr="00F91C8F" w:rsidTr="00FE6D5D">
        <w:trPr>
          <w:trHeight w:val="284"/>
        </w:trPr>
        <w:tc>
          <w:tcPr>
            <w:tcW w:w="3085" w:type="dxa"/>
          </w:tcPr>
          <w:p w:rsidR="00FE6D5D" w:rsidRPr="00F91C8F" w:rsidRDefault="00FE6D5D" w:rsidP="00482DD5">
            <w:pPr>
              <w:spacing w:before="40"/>
              <w:rPr>
                <w:rFonts w:cs="Arial"/>
                <w:sz w:val="22"/>
                <w:szCs w:val="22"/>
              </w:rPr>
            </w:pPr>
          </w:p>
        </w:tc>
        <w:tc>
          <w:tcPr>
            <w:tcW w:w="284" w:type="dxa"/>
          </w:tcPr>
          <w:p w:rsidR="00FE6D5D" w:rsidRPr="00F91C8F" w:rsidRDefault="00FE6D5D" w:rsidP="00482DD5">
            <w:pPr>
              <w:spacing w:before="40"/>
              <w:jc w:val="center"/>
              <w:rPr>
                <w:rFonts w:cs="Arial"/>
                <w:sz w:val="22"/>
                <w:szCs w:val="22"/>
              </w:rPr>
            </w:pPr>
          </w:p>
        </w:tc>
        <w:tc>
          <w:tcPr>
            <w:tcW w:w="850" w:type="dxa"/>
          </w:tcPr>
          <w:p w:rsidR="00FE6D5D" w:rsidRPr="00F91C8F" w:rsidRDefault="00FE6D5D" w:rsidP="00482DD5">
            <w:pPr>
              <w:spacing w:before="40"/>
              <w:jc w:val="center"/>
              <w:rPr>
                <w:rFonts w:cs="Arial"/>
                <w:sz w:val="22"/>
                <w:szCs w:val="22"/>
              </w:rPr>
            </w:pPr>
            <w:r w:rsidRPr="00F91C8F">
              <w:rPr>
                <w:rFonts w:cs="Arial"/>
                <w:sz w:val="22"/>
                <w:szCs w:val="22"/>
              </w:rPr>
              <w:t>3</w:t>
            </w:r>
          </w:p>
        </w:tc>
        <w:tc>
          <w:tcPr>
            <w:tcW w:w="4678" w:type="dxa"/>
          </w:tcPr>
          <w:p w:rsidR="00FE6D5D" w:rsidRPr="00F91C8F" w:rsidRDefault="00FE6D5D" w:rsidP="00482DD5">
            <w:pPr>
              <w:spacing w:before="40"/>
              <w:rPr>
                <w:rFonts w:cs="Arial"/>
                <w:sz w:val="22"/>
                <w:szCs w:val="22"/>
              </w:rPr>
            </w:pPr>
            <w:r w:rsidRPr="00F91C8F">
              <w:rPr>
                <w:rFonts w:cs="Arial"/>
                <w:sz w:val="22"/>
                <w:szCs w:val="22"/>
              </w:rPr>
              <w:t>Entirely Statutory</w:t>
            </w:r>
          </w:p>
        </w:tc>
      </w:tr>
      <w:tr w:rsidR="00CF7499" w:rsidRPr="00F91C8F" w:rsidTr="00FE6D5D">
        <w:trPr>
          <w:trHeight w:val="284"/>
        </w:trPr>
        <w:tc>
          <w:tcPr>
            <w:tcW w:w="3085" w:type="dxa"/>
          </w:tcPr>
          <w:p w:rsidR="00FE6D5D" w:rsidRPr="00F91C8F" w:rsidRDefault="00FE6D5D" w:rsidP="00482DD5">
            <w:pPr>
              <w:spacing w:before="40"/>
              <w:rPr>
                <w:rFonts w:cs="Arial"/>
                <w:sz w:val="22"/>
                <w:szCs w:val="22"/>
              </w:rPr>
            </w:pPr>
          </w:p>
        </w:tc>
        <w:tc>
          <w:tcPr>
            <w:tcW w:w="284" w:type="dxa"/>
          </w:tcPr>
          <w:p w:rsidR="00FE6D5D" w:rsidRPr="00F91C8F" w:rsidRDefault="00FE6D5D" w:rsidP="00482DD5">
            <w:pPr>
              <w:spacing w:before="40"/>
              <w:jc w:val="center"/>
              <w:rPr>
                <w:rFonts w:cs="Arial"/>
                <w:sz w:val="22"/>
                <w:szCs w:val="22"/>
              </w:rPr>
            </w:pPr>
          </w:p>
        </w:tc>
        <w:tc>
          <w:tcPr>
            <w:tcW w:w="850" w:type="dxa"/>
          </w:tcPr>
          <w:p w:rsidR="00FE6D5D" w:rsidRPr="00F91C8F" w:rsidRDefault="00FE6D5D" w:rsidP="00482DD5">
            <w:pPr>
              <w:spacing w:before="40"/>
              <w:jc w:val="center"/>
              <w:rPr>
                <w:rFonts w:cs="Arial"/>
                <w:sz w:val="22"/>
                <w:szCs w:val="22"/>
              </w:rPr>
            </w:pPr>
          </w:p>
        </w:tc>
        <w:tc>
          <w:tcPr>
            <w:tcW w:w="4678" w:type="dxa"/>
          </w:tcPr>
          <w:p w:rsidR="00FE6D5D" w:rsidRPr="00F91C8F" w:rsidRDefault="00FE6D5D" w:rsidP="00482DD5">
            <w:pPr>
              <w:spacing w:before="40"/>
              <w:rPr>
                <w:rFonts w:cs="Arial"/>
                <w:sz w:val="22"/>
                <w:szCs w:val="22"/>
              </w:rPr>
            </w:pPr>
          </w:p>
        </w:tc>
      </w:tr>
      <w:tr w:rsidR="00CF7499" w:rsidRPr="00F91C8F" w:rsidTr="00FE6D5D">
        <w:trPr>
          <w:trHeight w:val="284"/>
        </w:trPr>
        <w:tc>
          <w:tcPr>
            <w:tcW w:w="3085" w:type="dxa"/>
          </w:tcPr>
          <w:p w:rsidR="00FE6D5D" w:rsidRPr="00F91C8F" w:rsidRDefault="00FE6D5D" w:rsidP="00482DD5">
            <w:pPr>
              <w:spacing w:before="40"/>
              <w:rPr>
                <w:rFonts w:cs="Arial"/>
                <w:sz w:val="22"/>
                <w:szCs w:val="22"/>
              </w:rPr>
            </w:pPr>
          </w:p>
        </w:tc>
        <w:tc>
          <w:tcPr>
            <w:tcW w:w="284" w:type="dxa"/>
          </w:tcPr>
          <w:p w:rsidR="00FE6D5D" w:rsidRPr="00F91C8F" w:rsidRDefault="00FE6D5D" w:rsidP="00482DD5">
            <w:pPr>
              <w:spacing w:before="40"/>
              <w:jc w:val="center"/>
              <w:rPr>
                <w:rFonts w:cs="Arial"/>
                <w:sz w:val="22"/>
                <w:szCs w:val="22"/>
              </w:rPr>
            </w:pPr>
          </w:p>
        </w:tc>
        <w:tc>
          <w:tcPr>
            <w:tcW w:w="850" w:type="dxa"/>
          </w:tcPr>
          <w:p w:rsidR="00FE6D5D" w:rsidRPr="00F91C8F" w:rsidRDefault="00FE6D5D" w:rsidP="00482DD5">
            <w:pPr>
              <w:spacing w:before="40"/>
              <w:jc w:val="center"/>
              <w:rPr>
                <w:rFonts w:cs="Arial"/>
                <w:sz w:val="22"/>
                <w:szCs w:val="22"/>
              </w:rPr>
            </w:pPr>
          </w:p>
        </w:tc>
        <w:tc>
          <w:tcPr>
            <w:tcW w:w="4678" w:type="dxa"/>
          </w:tcPr>
          <w:p w:rsidR="00FE6D5D" w:rsidRPr="00F91C8F" w:rsidRDefault="00FE6D5D" w:rsidP="00482DD5">
            <w:pPr>
              <w:spacing w:before="40"/>
              <w:rPr>
                <w:rFonts w:cs="Arial"/>
                <w:sz w:val="22"/>
                <w:szCs w:val="22"/>
              </w:rPr>
            </w:pPr>
          </w:p>
        </w:tc>
      </w:tr>
      <w:tr w:rsidR="00CF7499" w:rsidRPr="00CF7499" w:rsidTr="00FE6D5D">
        <w:trPr>
          <w:trHeight w:val="284"/>
        </w:trPr>
        <w:tc>
          <w:tcPr>
            <w:tcW w:w="3085" w:type="dxa"/>
          </w:tcPr>
          <w:p w:rsidR="00FE6D5D" w:rsidRPr="00F91C8F" w:rsidRDefault="00FE6D5D" w:rsidP="00482DD5">
            <w:pPr>
              <w:spacing w:before="40"/>
              <w:rPr>
                <w:rFonts w:cs="Arial"/>
                <w:sz w:val="22"/>
                <w:szCs w:val="22"/>
              </w:rPr>
            </w:pPr>
            <w:r w:rsidRPr="00F91C8F">
              <w:rPr>
                <w:rFonts w:cs="Arial"/>
                <w:sz w:val="22"/>
                <w:szCs w:val="22"/>
              </w:rPr>
              <w:t xml:space="preserve">Contractually Committed </w:t>
            </w:r>
          </w:p>
        </w:tc>
        <w:tc>
          <w:tcPr>
            <w:tcW w:w="284" w:type="dxa"/>
          </w:tcPr>
          <w:p w:rsidR="00FE6D5D" w:rsidRPr="00F91C8F" w:rsidRDefault="00FE6D5D" w:rsidP="00482DD5">
            <w:pPr>
              <w:spacing w:before="40"/>
              <w:jc w:val="center"/>
              <w:rPr>
                <w:rFonts w:cs="Arial"/>
                <w:sz w:val="22"/>
                <w:szCs w:val="22"/>
              </w:rPr>
            </w:pPr>
            <w:r w:rsidRPr="00F91C8F">
              <w:rPr>
                <w:rFonts w:cs="Arial"/>
                <w:sz w:val="22"/>
                <w:szCs w:val="22"/>
              </w:rPr>
              <w:t>i</w:t>
            </w:r>
          </w:p>
        </w:tc>
        <w:tc>
          <w:tcPr>
            <w:tcW w:w="850" w:type="dxa"/>
          </w:tcPr>
          <w:p w:rsidR="00FE6D5D" w:rsidRPr="00F91C8F" w:rsidRDefault="00FE6D5D" w:rsidP="00482DD5">
            <w:pPr>
              <w:spacing w:before="40"/>
              <w:jc w:val="center"/>
              <w:rPr>
                <w:rFonts w:cs="Arial"/>
                <w:sz w:val="22"/>
                <w:szCs w:val="22"/>
              </w:rPr>
            </w:pPr>
            <w:r w:rsidRPr="00F91C8F">
              <w:rPr>
                <w:rFonts w:cs="Arial"/>
                <w:sz w:val="22"/>
                <w:szCs w:val="22"/>
              </w:rPr>
              <w:t>1</w:t>
            </w:r>
          </w:p>
        </w:tc>
        <w:tc>
          <w:tcPr>
            <w:tcW w:w="4678" w:type="dxa"/>
          </w:tcPr>
          <w:p w:rsidR="00FE6D5D" w:rsidRPr="00F91C8F" w:rsidRDefault="00FE6D5D" w:rsidP="00482DD5">
            <w:pPr>
              <w:spacing w:before="40"/>
              <w:rPr>
                <w:rFonts w:cs="Arial"/>
                <w:sz w:val="22"/>
                <w:szCs w:val="22"/>
              </w:rPr>
            </w:pPr>
            <w:r w:rsidRPr="00F91C8F">
              <w:rPr>
                <w:rFonts w:cs="Arial"/>
                <w:sz w:val="22"/>
                <w:szCs w:val="22"/>
              </w:rPr>
              <w:t>No Commitment</w:t>
            </w:r>
          </w:p>
        </w:tc>
      </w:tr>
      <w:tr w:rsidR="00CF7499" w:rsidRPr="00CF7499" w:rsidTr="00FE6D5D">
        <w:trPr>
          <w:trHeight w:val="284"/>
        </w:trPr>
        <w:tc>
          <w:tcPr>
            <w:tcW w:w="3085" w:type="dxa"/>
          </w:tcPr>
          <w:p w:rsidR="00FE6D5D" w:rsidRPr="00F91C8F" w:rsidRDefault="00FE6D5D" w:rsidP="00482DD5">
            <w:pPr>
              <w:spacing w:before="40"/>
              <w:rPr>
                <w:rFonts w:cs="Arial"/>
                <w:sz w:val="22"/>
                <w:szCs w:val="22"/>
              </w:rPr>
            </w:pPr>
          </w:p>
        </w:tc>
        <w:tc>
          <w:tcPr>
            <w:tcW w:w="284" w:type="dxa"/>
          </w:tcPr>
          <w:p w:rsidR="00FE6D5D" w:rsidRPr="00F91C8F" w:rsidRDefault="00FE6D5D" w:rsidP="00482DD5">
            <w:pPr>
              <w:spacing w:before="40"/>
              <w:jc w:val="center"/>
              <w:rPr>
                <w:rFonts w:cs="Arial"/>
                <w:sz w:val="22"/>
                <w:szCs w:val="22"/>
              </w:rPr>
            </w:pPr>
          </w:p>
        </w:tc>
        <w:tc>
          <w:tcPr>
            <w:tcW w:w="850" w:type="dxa"/>
          </w:tcPr>
          <w:p w:rsidR="00FE6D5D" w:rsidRPr="00F91C8F" w:rsidRDefault="00FE6D5D" w:rsidP="00482DD5">
            <w:pPr>
              <w:spacing w:before="40"/>
              <w:jc w:val="center"/>
              <w:rPr>
                <w:rFonts w:cs="Arial"/>
                <w:sz w:val="22"/>
                <w:szCs w:val="22"/>
              </w:rPr>
            </w:pPr>
            <w:r w:rsidRPr="00F91C8F">
              <w:rPr>
                <w:rFonts w:cs="Arial"/>
                <w:sz w:val="22"/>
                <w:szCs w:val="22"/>
              </w:rPr>
              <w:t>2</w:t>
            </w:r>
          </w:p>
        </w:tc>
        <w:tc>
          <w:tcPr>
            <w:tcW w:w="4678" w:type="dxa"/>
          </w:tcPr>
          <w:p w:rsidR="00FE6D5D" w:rsidRPr="00F91C8F" w:rsidRDefault="00FE6D5D" w:rsidP="00482DD5">
            <w:pPr>
              <w:spacing w:before="40"/>
              <w:rPr>
                <w:rFonts w:cs="Arial"/>
                <w:sz w:val="22"/>
                <w:szCs w:val="22"/>
              </w:rPr>
            </w:pPr>
            <w:r w:rsidRPr="00F91C8F">
              <w:rPr>
                <w:rFonts w:cs="Arial"/>
                <w:sz w:val="22"/>
                <w:szCs w:val="22"/>
              </w:rPr>
              <w:t>Moral Obligation (e.g. SLA)</w:t>
            </w:r>
          </w:p>
        </w:tc>
      </w:tr>
      <w:tr w:rsidR="00CF7499" w:rsidRPr="00CF7499" w:rsidTr="00FE6D5D">
        <w:trPr>
          <w:trHeight w:val="284"/>
        </w:trPr>
        <w:tc>
          <w:tcPr>
            <w:tcW w:w="3085" w:type="dxa"/>
          </w:tcPr>
          <w:p w:rsidR="00FE6D5D" w:rsidRPr="00F91C8F" w:rsidRDefault="00FE6D5D" w:rsidP="00482DD5">
            <w:pPr>
              <w:spacing w:before="40"/>
              <w:rPr>
                <w:rFonts w:cs="Arial"/>
                <w:sz w:val="22"/>
                <w:szCs w:val="22"/>
              </w:rPr>
            </w:pPr>
          </w:p>
        </w:tc>
        <w:tc>
          <w:tcPr>
            <w:tcW w:w="284" w:type="dxa"/>
          </w:tcPr>
          <w:p w:rsidR="00FE6D5D" w:rsidRPr="00F91C8F" w:rsidRDefault="00FE6D5D" w:rsidP="00482DD5">
            <w:pPr>
              <w:spacing w:before="40"/>
              <w:jc w:val="center"/>
              <w:rPr>
                <w:rFonts w:cs="Arial"/>
                <w:sz w:val="22"/>
                <w:szCs w:val="22"/>
              </w:rPr>
            </w:pPr>
          </w:p>
        </w:tc>
        <w:tc>
          <w:tcPr>
            <w:tcW w:w="850" w:type="dxa"/>
          </w:tcPr>
          <w:p w:rsidR="00FE6D5D" w:rsidRPr="00F91C8F" w:rsidRDefault="00FE6D5D" w:rsidP="00482DD5">
            <w:pPr>
              <w:spacing w:before="40"/>
              <w:jc w:val="center"/>
              <w:rPr>
                <w:rFonts w:cs="Arial"/>
                <w:sz w:val="22"/>
                <w:szCs w:val="22"/>
              </w:rPr>
            </w:pPr>
            <w:r w:rsidRPr="00F91C8F">
              <w:rPr>
                <w:rFonts w:cs="Arial"/>
                <w:sz w:val="22"/>
                <w:szCs w:val="22"/>
              </w:rPr>
              <w:t>3</w:t>
            </w:r>
          </w:p>
        </w:tc>
        <w:tc>
          <w:tcPr>
            <w:tcW w:w="4678" w:type="dxa"/>
          </w:tcPr>
          <w:p w:rsidR="00FE6D5D" w:rsidRPr="00F91C8F" w:rsidRDefault="00FE6D5D" w:rsidP="00482DD5">
            <w:pPr>
              <w:spacing w:before="40"/>
              <w:rPr>
                <w:rFonts w:cs="Arial"/>
                <w:sz w:val="22"/>
                <w:szCs w:val="22"/>
              </w:rPr>
            </w:pPr>
            <w:r w:rsidRPr="00F91C8F">
              <w:rPr>
                <w:rFonts w:cs="Arial"/>
                <w:sz w:val="22"/>
                <w:szCs w:val="22"/>
              </w:rPr>
              <w:t>Contractually Committed</w:t>
            </w:r>
          </w:p>
        </w:tc>
      </w:tr>
      <w:tr w:rsidR="00CF7499" w:rsidRPr="00CF7499" w:rsidTr="00FE6D5D">
        <w:trPr>
          <w:trHeight w:val="284"/>
        </w:trPr>
        <w:tc>
          <w:tcPr>
            <w:tcW w:w="3085" w:type="dxa"/>
          </w:tcPr>
          <w:p w:rsidR="00FE6D5D" w:rsidRPr="00CF7499" w:rsidRDefault="00FE6D5D" w:rsidP="00482DD5">
            <w:pPr>
              <w:spacing w:before="40"/>
              <w:rPr>
                <w:rFonts w:cs="Arial"/>
                <w:color w:val="4F81BD" w:themeColor="accent1"/>
                <w:sz w:val="22"/>
                <w:szCs w:val="22"/>
              </w:rPr>
            </w:pPr>
          </w:p>
        </w:tc>
        <w:tc>
          <w:tcPr>
            <w:tcW w:w="284" w:type="dxa"/>
          </w:tcPr>
          <w:p w:rsidR="00FE6D5D" w:rsidRPr="00CF7499" w:rsidRDefault="00FE6D5D" w:rsidP="00482DD5">
            <w:pPr>
              <w:spacing w:before="40"/>
              <w:jc w:val="center"/>
              <w:rPr>
                <w:rFonts w:cs="Arial"/>
                <w:color w:val="4F81BD" w:themeColor="accent1"/>
                <w:sz w:val="22"/>
                <w:szCs w:val="22"/>
              </w:rPr>
            </w:pPr>
          </w:p>
        </w:tc>
        <w:tc>
          <w:tcPr>
            <w:tcW w:w="850" w:type="dxa"/>
          </w:tcPr>
          <w:p w:rsidR="00FE6D5D" w:rsidRPr="00CF7499" w:rsidRDefault="00FE6D5D" w:rsidP="00482DD5">
            <w:pPr>
              <w:spacing w:before="40"/>
              <w:jc w:val="center"/>
              <w:rPr>
                <w:rFonts w:cs="Arial"/>
                <w:color w:val="4F81BD" w:themeColor="accent1"/>
                <w:sz w:val="22"/>
                <w:szCs w:val="22"/>
              </w:rPr>
            </w:pPr>
          </w:p>
        </w:tc>
        <w:tc>
          <w:tcPr>
            <w:tcW w:w="4678" w:type="dxa"/>
          </w:tcPr>
          <w:p w:rsidR="00FE6D5D" w:rsidRPr="00CF7499" w:rsidRDefault="00FE6D5D" w:rsidP="00482DD5">
            <w:pPr>
              <w:spacing w:before="40"/>
              <w:rPr>
                <w:rFonts w:cs="Arial"/>
                <w:color w:val="4F81BD" w:themeColor="accent1"/>
                <w:sz w:val="22"/>
                <w:szCs w:val="22"/>
              </w:rPr>
            </w:pPr>
          </w:p>
        </w:tc>
      </w:tr>
    </w:tbl>
    <w:p w:rsidR="0043290F" w:rsidRDefault="0043290F" w:rsidP="00FE6D5D">
      <w:pPr>
        <w:rPr>
          <w:color w:val="4F81BD" w:themeColor="accent1"/>
        </w:rPr>
        <w:sectPr w:rsidR="0043290F" w:rsidSect="009F62F0">
          <w:pgSz w:w="11909" w:h="16834" w:code="9"/>
          <w:pgMar w:top="1361" w:right="907" w:bottom="1361" w:left="1134" w:header="709" w:footer="709" w:gutter="0"/>
          <w:cols w:space="720"/>
        </w:sectPr>
      </w:pPr>
    </w:p>
    <w:p w:rsidR="0043290F" w:rsidRPr="00F91C8F" w:rsidRDefault="0043290F" w:rsidP="0043290F">
      <w:pPr>
        <w:jc w:val="right"/>
        <w:rPr>
          <w:rFonts w:cs="Arial"/>
          <w:b/>
          <w:sz w:val="22"/>
          <w:szCs w:val="22"/>
        </w:rPr>
      </w:pPr>
      <w:r w:rsidRPr="00F91C8F">
        <w:rPr>
          <w:rFonts w:cs="Arial"/>
          <w:b/>
          <w:sz w:val="22"/>
          <w:szCs w:val="22"/>
        </w:rPr>
        <w:lastRenderedPageBreak/>
        <w:t xml:space="preserve">APPENDIX </w:t>
      </w:r>
      <w:r>
        <w:rPr>
          <w:rFonts w:cs="Arial"/>
          <w:b/>
          <w:sz w:val="22"/>
          <w:szCs w:val="22"/>
        </w:rPr>
        <w:t>5</w:t>
      </w:r>
    </w:p>
    <w:p w:rsidR="0043290F" w:rsidRPr="00CF7499" w:rsidRDefault="0043290F" w:rsidP="0043290F">
      <w:pPr>
        <w:rPr>
          <w:rFonts w:cs="Arial"/>
          <w:color w:val="4F81BD" w:themeColor="accent1"/>
          <w:sz w:val="22"/>
          <w:szCs w:val="22"/>
        </w:rPr>
      </w:pPr>
      <w:r w:rsidRPr="00CF7499">
        <w:rPr>
          <w:rFonts w:cs="Arial"/>
          <w:b/>
          <w:color w:val="4F81BD" w:themeColor="accent1"/>
          <w:sz w:val="22"/>
          <w:szCs w:val="22"/>
        </w:rPr>
        <w:t xml:space="preserve">           </w:t>
      </w:r>
      <w:r w:rsidRPr="00F91C8F">
        <w:rPr>
          <w:rFonts w:cs="Arial"/>
          <w:b/>
          <w:sz w:val="22"/>
          <w:szCs w:val="22"/>
        </w:rPr>
        <w:t xml:space="preserve">PROPOSALS FOR GROWTH </w:t>
      </w:r>
      <w:r w:rsidRPr="00F91C8F">
        <w:rPr>
          <w:rFonts w:cs="Arial"/>
          <w:sz w:val="22"/>
          <w:szCs w:val="22"/>
        </w:rPr>
        <w:t>(not included in base budgets)</w:t>
      </w:r>
    </w:p>
    <w:p w:rsidR="0043290F" w:rsidRDefault="0043290F" w:rsidP="00F433DA">
      <w:pPr>
        <w:rPr>
          <w:rFonts w:cs="Arial"/>
          <w:sz w:val="22"/>
          <w:szCs w:val="22"/>
        </w:rPr>
      </w:pPr>
      <w:r w:rsidRPr="00CF7499">
        <w:rPr>
          <w:rFonts w:cs="Arial"/>
          <w:b/>
          <w:color w:val="4F81BD" w:themeColor="accent1"/>
          <w:sz w:val="22"/>
          <w:szCs w:val="22"/>
        </w:rPr>
        <w:tab/>
      </w:r>
      <w:r>
        <w:rPr>
          <w:rFonts w:cs="Arial"/>
          <w:sz w:val="22"/>
          <w:szCs w:val="22"/>
        </w:rPr>
        <w:t>T</w:t>
      </w:r>
      <w:r w:rsidRPr="0097182F">
        <w:rPr>
          <w:rFonts w:cs="Arial"/>
          <w:sz w:val="22"/>
          <w:szCs w:val="22"/>
        </w:rPr>
        <w:t xml:space="preserve">he </w:t>
      </w:r>
      <w:r>
        <w:rPr>
          <w:rFonts w:cs="Arial"/>
          <w:sz w:val="22"/>
          <w:szCs w:val="22"/>
        </w:rPr>
        <w:t>growth items below</w:t>
      </w:r>
      <w:r w:rsidRPr="0097182F">
        <w:rPr>
          <w:rFonts w:cs="Arial"/>
          <w:sz w:val="22"/>
          <w:szCs w:val="22"/>
        </w:rPr>
        <w:t xml:space="preserve"> were submitted as PIDs to</w:t>
      </w:r>
      <w:r>
        <w:rPr>
          <w:rFonts w:cs="Arial"/>
          <w:sz w:val="22"/>
          <w:szCs w:val="22"/>
        </w:rPr>
        <w:t xml:space="preserve"> the relevant service Committee in the November</w:t>
      </w:r>
      <w:r w:rsidR="00F433DA">
        <w:rPr>
          <w:rFonts w:cs="Arial"/>
          <w:sz w:val="22"/>
          <w:szCs w:val="22"/>
        </w:rPr>
        <w:t>/ December</w:t>
      </w:r>
      <w:r>
        <w:rPr>
          <w:rFonts w:cs="Arial"/>
          <w:sz w:val="22"/>
          <w:szCs w:val="22"/>
        </w:rPr>
        <w:t xml:space="preserve"> cycle of meetings.</w:t>
      </w:r>
    </w:p>
    <w:p w:rsidR="0043290F" w:rsidRDefault="0043290F" w:rsidP="0043290F">
      <w:pPr>
        <w:ind w:firstLine="720"/>
        <w:jc w:val="both"/>
        <w:rPr>
          <w:rFonts w:cs="Arial"/>
          <w:sz w:val="22"/>
          <w:szCs w:val="22"/>
        </w:rPr>
      </w:pPr>
    </w:p>
    <w:p w:rsidR="0043290F" w:rsidRDefault="0043290F" w:rsidP="0043290F">
      <w:pPr>
        <w:ind w:firstLine="720"/>
        <w:jc w:val="both"/>
        <w:rPr>
          <w:rFonts w:cs="Arial"/>
          <w:sz w:val="22"/>
          <w:szCs w:val="22"/>
        </w:rPr>
      </w:pPr>
      <w:r w:rsidRPr="0043290F">
        <w:rPr>
          <w:noProof/>
          <w:lang w:eastAsia="en-GB"/>
        </w:rPr>
        <w:drawing>
          <wp:inline distT="0" distB="0" distL="0" distR="0" wp14:anchorId="0964FC6D" wp14:editId="02348E1C">
            <wp:extent cx="8960556" cy="532546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61120" cy="5325801"/>
                    </a:xfrm>
                    <a:prstGeom prst="rect">
                      <a:avLst/>
                    </a:prstGeom>
                    <a:noFill/>
                    <a:ln>
                      <a:noFill/>
                    </a:ln>
                  </pic:spPr>
                </pic:pic>
              </a:graphicData>
            </a:graphic>
          </wp:inline>
        </w:drawing>
      </w:r>
    </w:p>
    <w:p w:rsidR="005618B0" w:rsidRPr="00CF7499" w:rsidRDefault="005618B0" w:rsidP="00FE6D5D">
      <w:pPr>
        <w:rPr>
          <w:color w:val="4F81BD" w:themeColor="accent1"/>
        </w:rPr>
        <w:sectPr w:rsidR="005618B0" w:rsidRPr="00CF7499" w:rsidSect="0043290F">
          <w:pgSz w:w="16834" w:h="11909" w:orient="landscape" w:code="9"/>
          <w:pgMar w:top="851" w:right="1077" w:bottom="851" w:left="1077" w:header="709" w:footer="709" w:gutter="0"/>
          <w:cols w:space="720"/>
          <w:docGrid w:linePitch="326"/>
        </w:sectPr>
      </w:pPr>
    </w:p>
    <w:p w:rsidR="00133F7B" w:rsidRPr="005B1505" w:rsidRDefault="00133F7B" w:rsidP="00133F7B">
      <w:pPr>
        <w:jc w:val="right"/>
        <w:rPr>
          <w:rFonts w:cs="Arial"/>
          <w:b/>
          <w:sz w:val="22"/>
          <w:szCs w:val="22"/>
        </w:rPr>
      </w:pPr>
      <w:r w:rsidRPr="005B1505">
        <w:rPr>
          <w:rFonts w:cs="Arial"/>
          <w:b/>
          <w:sz w:val="22"/>
          <w:szCs w:val="22"/>
        </w:rPr>
        <w:lastRenderedPageBreak/>
        <w:t xml:space="preserve">APPENDIX </w:t>
      </w:r>
      <w:r w:rsidR="00A42E4F" w:rsidRPr="005B1505">
        <w:rPr>
          <w:rFonts w:cs="Arial"/>
          <w:b/>
          <w:sz w:val="22"/>
          <w:szCs w:val="22"/>
        </w:rPr>
        <w:t>6</w:t>
      </w:r>
    </w:p>
    <w:p w:rsidR="00133F7B" w:rsidRDefault="00A6727E" w:rsidP="002646B8">
      <w:pPr>
        <w:rPr>
          <w:rFonts w:cs="Arial"/>
          <w:sz w:val="22"/>
          <w:szCs w:val="22"/>
        </w:rPr>
      </w:pPr>
      <w:r w:rsidRPr="00A42E4F">
        <w:rPr>
          <w:rFonts w:cs="Arial"/>
          <w:b/>
          <w:sz w:val="22"/>
          <w:szCs w:val="22"/>
        </w:rPr>
        <w:t xml:space="preserve">PROPOSED FEES &amp; CHARGES </w:t>
      </w:r>
      <w:r w:rsidRPr="00A42E4F">
        <w:rPr>
          <w:rFonts w:cs="Arial"/>
          <w:sz w:val="22"/>
          <w:szCs w:val="22"/>
        </w:rPr>
        <w:t>(included in base budgets)</w:t>
      </w:r>
    </w:p>
    <w:p w:rsidR="00FD629B" w:rsidRPr="00A42E4F" w:rsidRDefault="00FD629B" w:rsidP="002646B8">
      <w:pPr>
        <w:rPr>
          <w:rFonts w:cs="Arial"/>
          <w:b/>
          <w:sz w:val="22"/>
          <w:szCs w:val="22"/>
        </w:rPr>
      </w:pPr>
    </w:p>
    <w:p w:rsidR="00133F7B" w:rsidRPr="00CF7499" w:rsidRDefault="00951193" w:rsidP="00133F7B">
      <w:pPr>
        <w:jc w:val="right"/>
        <w:rPr>
          <w:rFonts w:cs="Arial"/>
          <w:b/>
          <w:color w:val="4F81BD" w:themeColor="accent1"/>
          <w:sz w:val="22"/>
          <w:szCs w:val="22"/>
        </w:rPr>
      </w:pPr>
      <w:r w:rsidRPr="00951193">
        <w:rPr>
          <w:noProof/>
          <w:lang w:eastAsia="en-GB"/>
        </w:rPr>
        <w:drawing>
          <wp:inline distT="0" distB="0" distL="0" distR="0" wp14:anchorId="3FF242D8" wp14:editId="4BFB2891">
            <wp:extent cx="6122035" cy="780378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2035" cy="7803783"/>
                    </a:xfrm>
                    <a:prstGeom prst="rect">
                      <a:avLst/>
                    </a:prstGeom>
                    <a:noFill/>
                    <a:ln>
                      <a:noFill/>
                    </a:ln>
                  </pic:spPr>
                </pic:pic>
              </a:graphicData>
            </a:graphic>
          </wp:inline>
        </w:drawing>
      </w:r>
    </w:p>
    <w:p w:rsidR="00517900" w:rsidRPr="00CF7499" w:rsidRDefault="00517900" w:rsidP="00EB5D04">
      <w:pPr>
        <w:rPr>
          <w:color w:val="4F81BD" w:themeColor="accent1"/>
        </w:rPr>
      </w:pPr>
    </w:p>
    <w:p w:rsidR="00C118BA" w:rsidRDefault="00C118BA" w:rsidP="00517900">
      <w:pPr>
        <w:rPr>
          <w:color w:val="4F81BD" w:themeColor="accent1"/>
        </w:rPr>
      </w:pPr>
    </w:p>
    <w:p w:rsidR="00C118BA" w:rsidRDefault="00C118BA" w:rsidP="00517900">
      <w:pPr>
        <w:rPr>
          <w:color w:val="4F81BD" w:themeColor="accent1"/>
        </w:rPr>
      </w:pPr>
    </w:p>
    <w:p w:rsidR="00A42E4F" w:rsidRDefault="00C118BA" w:rsidP="00517900">
      <w:pPr>
        <w:rPr>
          <w:color w:val="4F81BD" w:themeColor="accent1"/>
        </w:rPr>
      </w:pPr>
      <w:r>
        <w:rPr>
          <w:color w:val="4F81BD" w:themeColor="accent1"/>
        </w:rPr>
        <w:t xml:space="preserve"> </w:t>
      </w:r>
    </w:p>
    <w:p w:rsidR="00C118BA" w:rsidRDefault="00C118BA" w:rsidP="00517900">
      <w:pPr>
        <w:rPr>
          <w:color w:val="4F81BD" w:themeColor="accent1"/>
        </w:rPr>
        <w:sectPr w:rsidR="00C118BA" w:rsidSect="00C118BA">
          <w:pgSz w:w="11909" w:h="16834" w:code="9"/>
          <w:pgMar w:top="624" w:right="1134" w:bottom="1134" w:left="1134" w:header="709" w:footer="709" w:gutter="0"/>
          <w:cols w:space="720"/>
          <w:docGrid w:linePitch="326"/>
        </w:sectPr>
      </w:pPr>
    </w:p>
    <w:p w:rsidR="00133F7B" w:rsidRPr="00A42E4F" w:rsidRDefault="00A42E4F" w:rsidP="0027090C">
      <w:pPr>
        <w:ind w:right="50"/>
        <w:jc w:val="right"/>
        <w:rPr>
          <w:rFonts w:cs="Arial"/>
          <w:b/>
          <w:sz w:val="22"/>
          <w:szCs w:val="22"/>
        </w:rPr>
      </w:pPr>
      <w:r w:rsidRPr="00A42E4F">
        <w:rPr>
          <w:rFonts w:cs="Arial"/>
          <w:b/>
          <w:sz w:val="22"/>
          <w:szCs w:val="22"/>
        </w:rPr>
        <w:lastRenderedPageBreak/>
        <w:t>A</w:t>
      </w:r>
      <w:r w:rsidR="00480BBB" w:rsidRPr="00A42E4F">
        <w:rPr>
          <w:rFonts w:cs="Arial"/>
          <w:b/>
          <w:sz w:val="22"/>
          <w:szCs w:val="22"/>
        </w:rPr>
        <w:t xml:space="preserve">PPENDIX </w:t>
      </w:r>
      <w:r w:rsidR="0046143D">
        <w:rPr>
          <w:rFonts w:cs="Arial"/>
          <w:b/>
          <w:sz w:val="22"/>
          <w:szCs w:val="22"/>
        </w:rPr>
        <w:t>7</w:t>
      </w:r>
    </w:p>
    <w:p w:rsidR="009B16D6" w:rsidRDefault="009B16D6" w:rsidP="009B16D6">
      <w:pPr>
        <w:rPr>
          <w:rFonts w:cs="Arial"/>
          <w:b/>
          <w:sz w:val="22"/>
          <w:szCs w:val="22"/>
        </w:rPr>
      </w:pPr>
      <w:r w:rsidRPr="00A42E4F">
        <w:rPr>
          <w:rFonts w:cs="Arial"/>
          <w:b/>
          <w:sz w:val="22"/>
          <w:szCs w:val="22"/>
        </w:rPr>
        <w:t>FINANCIAL AND BUDGETARY KEY RISKS</w:t>
      </w:r>
    </w:p>
    <w:p w:rsidR="00C80A78" w:rsidRPr="00A42E4F" w:rsidRDefault="00C80A78" w:rsidP="009B16D6">
      <w:pPr>
        <w:rPr>
          <w:rFonts w:cs="Arial"/>
          <w:b/>
          <w:sz w:val="22"/>
          <w:szCs w:val="22"/>
        </w:rPr>
      </w:pPr>
    </w:p>
    <w:tbl>
      <w:tblPr>
        <w:tblW w:w="15108" w:type="dxa"/>
        <w:tblInd w:w="108" w:type="dxa"/>
        <w:tblLook w:val="04A0" w:firstRow="1" w:lastRow="0" w:firstColumn="1" w:lastColumn="0" w:noHBand="0" w:noVBand="1"/>
      </w:tblPr>
      <w:tblGrid>
        <w:gridCol w:w="993"/>
        <w:gridCol w:w="3685"/>
        <w:gridCol w:w="7938"/>
        <w:gridCol w:w="1276"/>
        <w:gridCol w:w="1216"/>
      </w:tblGrid>
      <w:tr w:rsidR="00005BB8" w:rsidRPr="00005BB8" w:rsidTr="00C80A78">
        <w:trPr>
          <w:trHeight w:val="690"/>
          <w:tblHeader/>
        </w:trPr>
        <w:tc>
          <w:tcPr>
            <w:tcW w:w="99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05BB8" w:rsidRPr="00005BB8" w:rsidRDefault="00005BB8" w:rsidP="00005BB8">
            <w:pPr>
              <w:jc w:val="both"/>
              <w:rPr>
                <w:rFonts w:cs="Arial"/>
                <w:b/>
                <w:bCs/>
                <w:sz w:val="22"/>
                <w:szCs w:val="22"/>
                <w:lang w:eastAsia="en-GB"/>
              </w:rPr>
            </w:pPr>
            <w:r w:rsidRPr="00005BB8">
              <w:rPr>
                <w:rFonts w:cs="Arial"/>
                <w:b/>
                <w:bCs/>
                <w:sz w:val="22"/>
                <w:szCs w:val="22"/>
                <w:lang w:eastAsia="en-GB"/>
              </w:rPr>
              <w:t>Risk No.</w:t>
            </w:r>
          </w:p>
        </w:tc>
        <w:tc>
          <w:tcPr>
            <w:tcW w:w="3685" w:type="dxa"/>
            <w:tcBorders>
              <w:top w:val="single" w:sz="8" w:space="0" w:color="auto"/>
              <w:left w:val="nil"/>
              <w:bottom w:val="single" w:sz="4" w:space="0" w:color="auto"/>
              <w:right w:val="single" w:sz="4" w:space="0" w:color="auto"/>
            </w:tcBorders>
            <w:shd w:val="clear" w:color="auto" w:fill="auto"/>
            <w:vAlign w:val="center"/>
            <w:hideMark/>
          </w:tcPr>
          <w:p w:rsidR="00005BB8" w:rsidRPr="00005BB8" w:rsidRDefault="00005BB8" w:rsidP="00005BB8">
            <w:pPr>
              <w:jc w:val="center"/>
              <w:rPr>
                <w:rFonts w:cs="Arial"/>
                <w:b/>
                <w:bCs/>
                <w:sz w:val="22"/>
                <w:szCs w:val="22"/>
                <w:lang w:eastAsia="en-GB"/>
              </w:rPr>
            </w:pPr>
            <w:r w:rsidRPr="00005BB8">
              <w:rPr>
                <w:rFonts w:cs="Arial"/>
                <w:b/>
                <w:bCs/>
                <w:sz w:val="22"/>
                <w:szCs w:val="22"/>
                <w:lang w:eastAsia="en-GB"/>
              </w:rPr>
              <w:t>Type of Risk</w:t>
            </w:r>
          </w:p>
        </w:tc>
        <w:tc>
          <w:tcPr>
            <w:tcW w:w="7938" w:type="dxa"/>
            <w:tcBorders>
              <w:top w:val="single" w:sz="8" w:space="0" w:color="auto"/>
              <w:left w:val="nil"/>
              <w:bottom w:val="single" w:sz="4" w:space="0" w:color="auto"/>
              <w:right w:val="single" w:sz="4" w:space="0" w:color="auto"/>
            </w:tcBorders>
            <w:shd w:val="clear" w:color="auto" w:fill="auto"/>
            <w:noWrap/>
            <w:vAlign w:val="center"/>
            <w:hideMark/>
          </w:tcPr>
          <w:p w:rsidR="00005BB8" w:rsidRPr="00005BB8" w:rsidRDefault="00005BB8" w:rsidP="00005BB8">
            <w:pPr>
              <w:ind w:right="5281"/>
              <w:jc w:val="center"/>
              <w:rPr>
                <w:rFonts w:cs="Arial"/>
                <w:b/>
                <w:bCs/>
                <w:sz w:val="22"/>
                <w:szCs w:val="22"/>
                <w:lang w:eastAsia="en-GB"/>
              </w:rPr>
            </w:pPr>
            <w:r w:rsidRPr="00005BB8">
              <w:rPr>
                <w:rFonts w:cs="Arial"/>
                <w:b/>
                <w:bCs/>
                <w:sz w:val="22"/>
                <w:szCs w:val="22"/>
                <w:lang w:eastAsia="en-GB"/>
              </w:rPr>
              <w:t>Comment</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005BB8" w:rsidRPr="00005BB8" w:rsidRDefault="00005BB8" w:rsidP="00005BB8">
            <w:pPr>
              <w:jc w:val="center"/>
              <w:rPr>
                <w:rFonts w:cs="Arial"/>
                <w:b/>
                <w:bCs/>
                <w:sz w:val="20"/>
                <w:lang w:eastAsia="en-GB"/>
              </w:rPr>
            </w:pPr>
            <w:r w:rsidRPr="00005BB8">
              <w:rPr>
                <w:rFonts w:cs="Arial"/>
                <w:b/>
                <w:bCs/>
                <w:sz w:val="20"/>
                <w:lang w:eastAsia="en-GB"/>
              </w:rPr>
              <w:t>Risk Impact</w:t>
            </w:r>
          </w:p>
        </w:tc>
        <w:tc>
          <w:tcPr>
            <w:tcW w:w="1216" w:type="dxa"/>
            <w:tcBorders>
              <w:top w:val="single" w:sz="8" w:space="0" w:color="auto"/>
              <w:left w:val="nil"/>
              <w:bottom w:val="single" w:sz="4" w:space="0" w:color="auto"/>
              <w:right w:val="single" w:sz="8" w:space="0" w:color="auto"/>
            </w:tcBorders>
            <w:shd w:val="clear" w:color="auto" w:fill="auto"/>
            <w:vAlign w:val="center"/>
            <w:hideMark/>
          </w:tcPr>
          <w:p w:rsidR="00005BB8" w:rsidRPr="00005BB8" w:rsidRDefault="00005BB8" w:rsidP="00005BB8">
            <w:pPr>
              <w:jc w:val="center"/>
              <w:rPr>
                <w:rFonts w:cs="Arial"/>
                <w:b/>
                <w:bCs/>
                <w:sz w:val="20"/>
                <w:lang w:eastAsia="en-GB"/>
              </w:rPr>
            </w:pPr>
            <w:r w:rsidRPr="00005BB8">
              <w:rPr>
                <w:rFonts w:cs="Arial"/>
                <w:b/>
                <w:bCs/>
                <w:sz w:val="20"/>
                <w:lang w:eastAsia="en-GB"/>
              </w:rPr>
              <w:t xml:space="preserve"> Risk Likelihood</w:t>
            </w:r>
          </w:p>
        </w:tc>
      </w:tr>
      <w:tr w:rsidR="00005BB8" w:rsidRPr="00005BB8" w:rsidTr="00C80A78">
        <w:trPr>
          <w:trHeight w:val="1005"/>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005BB8" w:rsidRPr="00005BB8" w:rsidRDefault="00005BB8" w:rsidP="00005BB8">
            <w:pPr>
              <w:jc w:val="center"/>
              <w:rPr>
                <w:rFonts w:cs="Arial"/>
                <w:sz w:val="22"/>
                <w:szCs w:val="22"/>
                <w:lang w:eastAsia="en-GB"/>
              </w:rPr>
            </w:pPr>
            <w:r w:rsidRPr="00005BB8">
              <w:rPr>
                <w:rFonts w:cs="Arial"/>
                <w:sz w:val="22"/>
                <w:szCs w:val="22"/>
                <w:lang w:eastAsia="en-GB"/>
              </w:rPr>
              <w:t>7</w:t>
            </w:r>
          </w:p>
        </w:tc>
        <w:tc>
          <w:tcPr>
            <w:tcW w:w="3685" w:type="dxa"/>
            <w:tcBorders>
              <w:top w:val="nil"/>
              <w:left w:val="nil"/>
              <w:bottom w:val="single" w:sz="4" w:space="0" w:color="auto"/>
              <w:right w:val="single" w:sz="4" w:space="0" w:color="auto"/>
            </w:tcBorders>
            <w:shd w:val="clear" w:color="auto" w:fill="auto"/>
            <w:vAlign w:val="center"/>
            <w:hideMark/>
          </w:tcPr>
          <w:p w:rsidR="00005BB8" w:rsidRPr="00005BB8" w:rsidRDefault="00005BB8" w:rsidP="00005BB8">
            <w:pPr>
              <w:rPr>
                <w:rFonts w:cs="Arial"/>
                <w:sz w:val="22"/>
                <w:szCs w:val="22"/>
                <w:lang w:eastAsia="en-GB"/>
              </w:rPr>
            </w:pPr>
            <w:r w:rsidRPr="00005BB8">
              <w:rPr>
                <w:rFonts w:cs="Arial"/>
                <w:sz w:val="22"/>
                <w:szCs w:val="22"/>
                <w:lang w:eastAsia="en-GB"/>
              </w:rPr>
              <w:t xml:space="preserve">The Medium term financial position worsens. </w:t>
            </w:r>
          </w:p>
        </w:tc>
        <w:tc>
          <w:tcPr>
            <w:tcW w:w="7938" w:type="dxa"/>
            <w:tcBorders>
              <w:top w:val="nil"/>
              <w:left w:val="nil"/>
              <w:bottom w:val="single" w:sz="4" w:space="0" w:color="auto"/>
              <w:right w:val="single" w:sz="4" w:space="0" w:color="auto"/>
            </w:tcBorders>
            <w:shd w:val="clear" w:color="auto" w:fill="auto"/>
            <w:vAlign w:val="center"/>
            <w:hideMark/>
          </w:tcPr>
          <w:p w:rsidR="00005BB8" w:rsidRPr="00005BB8" w:rsidRDefault="00005BB8" w:rsidP="00005BB8">
            <w:pPr>
              <w:tabs>
                <w:tab w:val="left" w:pos="7483"/>
              </w:tabs>
              <w:ind w:right="742"/>
              <w:rPr>
                <w:rFonts w:cs="Arial"/>
                <w:sz w:val="22"/>
                <w:szCs w:val="22"/>
                <w:lang w:eastAsia="en-GB"/>
              </w:rPr>
            </w:pPr>
            <w:r w:rsidRPr="00005BB8">
              <w:rPr>
                <w:rFonts w:cs="Arial"/>
                <w:sz w:val="22"/>
                <w:szCs w:val="22"/>
                <w:lang w:eastAsia="en-GB"/>
              </w:rPr>
              <w:t>In that the general fund balance falls below the minimum prudent threshold and capital funding is insufficient to meet the capital programme. This appears as item no.8 in the Council's strategic risk register.</w:t>
            </w:r>
          </w:p>
        </w:tc>
        <w:tc>
          <w:tcPr>
            <w:tcW w:w="1276" w:type="dxa"/>
            <w:tcBorders>
              <w:top w:val="nil"/>
              <w:left w:val="nil"/>
              <w:bottom w:val="single" w:sz="4" w:space="0" w:color="auto"/>
              <w:right w:val="single" w:sz="4" w:space="0" w:color="auto"/>
            </w:tcBorders>
            <w:shd w:val="clear" w:color="auto" w:fill="auto"/>
            <w:noWrap/>
            <w:vAlign w:val="center"/>
            <w:hideMark/>
          </w:tcPr>
          <w:p w:rsidR="00005BB8" w:rsidRPr="00005BB8" w:rsidRDefault="00005BB8" w:rsidP="00005BB8">
            <w:pPr>
              <w:jc w:val="center"/>
              <w:rPr>
                <w:rFonts w:cs="Arial"/>
                <w:sz w:val="20"/>
                <w:lang w:eastAsia="en-GB"/>
              </w:rPr>
            </w:pPr>
            <w:r w:rsidRPr="00005BB8">
              <w:rPr>
                <w:rFonts w:cs="Arial"/>
                <w:sz w:val="20"/>
                <w:lang w:eastAsia="en-GB"/>
              </w:rPr>
              <w:t>IV</w:t>
            </w:r>
          </w:p>
        </w:tc>
        <w:tc>
          <w:tcPr>
            <w:tcW w:w="1216" w:type="dxa"/>
            <w:tcBorders>
              <w:top w:val="nil"/>
              <w:left w:val="nil"/>
              <w:bottom w:val="single" w:sz="4" w:space="0" w:color="auto"/>
              <w:right w:val="single" w:sz="8" w:space="0" w:color="auto"/>
            </w:tcBorders>
            <w:shd w:val="clear" w:color="auto" w:fill="auto"/>
            <w:noWrap/>
            <w:vAlign w:val="center"/>
            <w:hideMark/>
          </w:tcPr>
          <w:p w:rsidR="00005BB8" w:rsidRPr="00005BB8" w:rsidRDefault="00005BB8" w:rsidP="00005BB8">
            <w:pPr>
              <w:jc w:val="center"/>
              <w:rPr>
                <w:rFonts w:cs="Arial"/>
                <w:sz w:val="22"/>
                <w:szCs w:val="22"/>
                <w:lang w:eastAsia="en-GB"/>
              </w:rPr>
            </w:pPr>
            <w:r w:rsidRPr="00005BB8">
              <w:rPr>
                <w:rFonts w:cs="Arial"/>
                <w:sz w:val="22"/>
                <w:szCs w:val="22"/>
                <w:lang w:eastAsia="en-GB"/>
              </w:rPr>
              <w:t>D</w:t>
            </w:r>
          </w:p>
        </w:tc>
      </w:tr>
      <w:tr w:rsidR="00005BB8" w:rsidRPr="00005BB8" w:rsidTr="00C80A78">
        <w:trPr>
          <w:trHeight w:val="1005"/>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005BB8" w:rsidRPr="00005BB8" w:rsidRDefault="00005BB8" w:rsidP="00005BB8">
            <w:pPr>
              <w:jc w:val="center"/>
              <w:rPr>
                <w:rFonts w:cs="Arial"/>
                <w:sz w:val="22"/>
                <w:szCs w:val="22"/>
                <w:lang w:eastAsia="en-GB"/>
              </w:rPr>
            </w:pPr>
            <w:r w:rsidRPr="00005BB8">
              <w:rPr>
                <w:rFonts w:cs="Arial"/>
                <w:sz w:val="22"/>
                <w:szCs w:val="22"/>
                <w:lang w:eastAsia="en-GB"/>
              </w:rPr>
              <w:t>8</w:t>
            </w:r>
          </w:p>
        </w:tc>
        <w:tc>
          <w:tcPr>
            <w:tcW w:w="3685" w:type="dxa"/>
            <w:tcBorders>
              <w:top w:val="nil"/>
              <w:left w:val="nil"/>
              <w:bottom w:val="single" w:sz="4" w:space="0" w:color="auto"/>
              <w:right w:val="single" w:sz="4" w:space="0" w:color="auto"/>
            </w:tcBorders>
            <w:shd w:val="clear" w:color="auto" w:fill="auto"/>
            <w:vAlign w:val="center"/>
            <w:hideMark/>
          </w:tcPr>
          <w:p w:rsidR="00005BB8" w:rsidRPr="00005BB8" w:rsidRDefault="00005BB8" w:rsidP="00005BB8">
            <w:pPr>
              <w:rPr>
                <w:rFonts w:cs="Arial"/>
                <w:sz w:val="22"/>
                <w:szCs w:val="22"/>
                <w:lang w:eastAsia="en-GB"/>
              </w:rPr>
            </w:pPr>
            <w:r w:rsidRPr="00005BB8">
              <w:rPr>
                <w:rFonts w:cs="Arial"/>
                <w:sz w:val="22"/>
                <w:szCs w:val="22"/>
                <w:lang w:eastAsia="en-GB"/>
              </w:rPr>
              <w:t>Revenue balances insufficient to meet estimate pay award increases</w:t>
            </w:r>
          </w:p>
        </w:tc>
        <w:tc>
          <w:tcPr>
            <w:tcW w:w="7938" w:type="dxa"/>
            <w:tcBorders>
              <w:top w:val="nil"/>
              <w:left w:val="nil"/>
              <w:bottom w:val="single" w:sz="4" w:space="0" w:color="auto"/>
              <w:right w:val="single" w:sz="4" w:space="0" w:color="auto"/>
            </w:tcBorders>
            <w:shd w:val="clear" w:color="auto" w:fill="auto"/>
            <w:vAlign w:val="center"/>
            <w:hideMark/>
          </w:tcPr>
          <w:p w:rsidR="00005BB8" w:rsidRPr="00005BB8" w:rsidRDefault="00005BB8" w:rsidP="00F42922">
            <w:pPr>
              <w:ind w:right="459"/>
              <w:rPr>
                <w:rFonts w:cs="Arial"/>
                <w:sz w:val="22"/>
                <w:szCs w:val="22"/>
                <w:lang w:eastAsia="en-GB"/>
              </w:rPr>
            </w:pPr>
            <w:r w:rsidRPr="00005BB8">
              <w:rPr>
                <w:rFonts w:cs="Arial"/>
                <w:sz w:val="22"/>
                <w:szCs w:val="22"/>
                <w:lang w:eastAsia="en-GB"/>
              </w:rPr>
              <w:t xml:space="preserve">The medium term planning period takes into account a </w:t>
            </w:r>
            <w:r w:rsidR="00F42922">
              <w:rPr>
                <w:rFonts w:cs="Arial"/>
                <w:sz w:val="22"/>
                <w:szCs w:val="22"/>
                <w:lang w:eastAsia="en-GB"/>
              </w:rPr>
              <w:t>2</w:t>
            </w:r>
            <w:r w:rsidRPr="00005BB8">
              <w:rPr>
                <w:rFonts w:cs="Arial"/>
                <w:sz w:val="22"/>
                <w:szCs w:val="22"/>
                <w:lang w:eastAsia="en-GB"/>
              </w:rPr>
              <w:t xml:space="preserve">% increase for the period </w:t>
            </w:r>
            <w:r w:rsidR="00F42922">
              <w:rPr>
                <w:rFonts w:cs="Arial"/>
                <w:sz w:val="22"/>
                <w:szCs w:val="22"/>
                <w:lang w:eastAsia="en-GB"/>
              </w:rPr>
              <w:t xml:space="preserve">2018/19 </w:t>
            </w:r>
            <w:r w:rsidRPr="00005BB8">
              <w:rPr>
                <w:rFonts w:cs="Arial"/>
                <w:sz w:val="22"/>
                <w:szCs w:val="22"/>
                <w:lang w:eastAsia="en-GB"/>
              </w:rPr>
              <w:t xml:space="preserve"> to 2019/</w:t>
            </w:r>
            <w:r w:rsidR="00F42922">
              <w:rPr>
                <w:rFonts w:cs="Arial"/>
                <w:sz w:val="22"/>
                <w:szCs w:val="22"/>
                <w:lang w:eastAsia="en-GB"/>
              </w:rPr>
              <w:t>21</w:t>
            </w:r>
          </w:p>
        </w:tc>
        <w:tc>
          <w:tcPr>
            <w:tcW w:w="1276" w:type="dxa"/>
            <w:tcBorders>
              <w:top w:val="nil"/>
              <w:left w:val="nil"/>
              <w:bottom w:val="single" w:sz="4" w:space="0" w:color="auto"/>
              <w:right w:val="single" w:sz="4" w:space="0" w:color="auto"/>
            </w:tcBorders>
            <w:shd w:val="clear" w:color="auto" w:fill="auto"/>
            <w:noWrap/>
            <w:vAlign w:val="center"/>
            <w:hideMark/>
          </w:tcPr>
          <w:p w:rsidR="00005BB8" w:rsidRPr="00005BB8" w:rsidRDefault="00005BB8" w:rsidP="00005BB8">
            <w:pPr>
              <w:jc w:val="center"/>
              <w:rPr>
                <w:rFonts w:cs="Arial"/>
                <w:sz w:val="22"/>
                <w:szCs w:val="22"/>
                <w:lang w:eastAsia="en-GB"/>
              </w:rPr>
            </w:pPr>
            <w:r w:rsidRPr="00005BB8">
              <w:rPr>
                <w:rFonts w:cs="Arial"/>
                <w:sz w:val="22"/>
                <w:szCs w:val="22"/>
                <w:lang w:eastAsia="en-GB"/>
              </w:rPr>
              <w:t>III</w:t>
            </w:r>
          </w:p>
        </w:tc>
        <w:tc>
          <w:tcPr>
            <w:tcW w:w="1216" w:type="dxa"/>
            <w:tcBorders>
              <w:top w:val="nil"/>
              <w:left w:val="nil"/>
              <w:bottom w:val="single" w:sz="4" w:space="0" w:color="auto"/>
              <w:right w:val="single" w:sz="8" w:space="0" w:color="auto"/>
            </w:tcBorders>
            <w:shd w:val="clear" w:color="auto" w:fill="auto"/>
            <w:noWrap/>
            <w:vAlign w:val="center"/>
            <w:hideMark/>
          </w:tcPr>
          <w:p w:rsidR="00005BB8" w:rsidRPr="00005BB8" w:rsidRDefault="00005BB8" w:rsidP="00005BB8">
            <w:pPr>
              <w:jc w:val="center"/>
              <w:rPr>
                <w:rFonts w:cs="Arial"/>
                <w:sz w:val="22"/>
                <w:szCs w:val="22"/>
                <w:lang w:eastAsia="en-GB"/>
              </w:rPr>
            </w:pPr>
            <w:r w:rsidRPr="00005BB8">
              <w:rPr>
                <w:rFonts w:cs="Arial"/>
                <w:sz w:val="22"/>
                <w:szCs w:val="22"/>
                <w:lang w:eastAsia="en-GB"/>
              </w:rPr>
              <w:t>D</w:t>
            </w:r>
          </w:p>
        </w:tc>
      </w:tr>
      <w:tr w:rsidR="00005BB8" w:rsidRPr="00005BB8" w:rsidTr="00C80A78">
        <w:trPr>
          <w:trHeight w:val="1005"/>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005BB8" w:rsidRPr="00005BB8" w:rsidRDefault="00005BB8" w:rsidP="00005BB8">
            <w:pPr>
              <w:jc w:val="center"/>
              <w:rPr>
                <w:rFonts w:cs="Arial"/>
                <w:sz w:val="22"/>
                <w:szCs w:val="22"/>
                <w:lang w:eastAsia="en-GB"/>
              </w:rPr>
            </w:pPr>
            <w:r w:rsidRPr="00005BB8">
              <w:rPr>
                <w:rFonts w:cs="Arial"/>
                <w:sz w:val="22"/>
                <w:szCs w:val="22"/>
                <w:lang w:eastAsia="en-GB"/>
              </w:rPr>
              <w:t>9</w:t>
            </w:r>
          </w:p>
        </w:tc>
        <w:tc>
          <w:tcPr>
            <w:tcW w:w="3685" w:type="dxa"/>
            <w:tcBorders>
              <w:top w:val="nil"/>
              <w:left w:val="nil"/>
              <w:bottom w:val="single" w:sz="4" w:space="0" w:color="auto"/>
              <w:right w:val="single" w:sz="4" w:space="0" w:color="auto"/>
            </w:tcBorders>
            <w:shd w:val="clear" w:color="auto" w:fill="auto"/>
            <w:vAlign w:val="center"/>
            <w:hideMark/>
          </w:tcPr>
          <w:p w:rsidR="00005BB8" w:rsidRPr="00005BB8" w:rsidRDefault="00005BB8" w:rsidP="00005BB8">
            <w:pPr>
              <w:rPr>
                <w:rFonts w:cs="Arial"/>
                <w:sz w:val="22"/>
                <w:szCs w:val="22"/>
                <w:lang w:eastAsia="en-GB"/>
              </w:rPr>
            </w:pPr>
            <w:r w:rsidRPr="00005BB8">
              <w:rPr>
                <w:rFonts w:cs="Arial"/>
                <w:sz w:val="22"/>
                <w:szCs w:val="22"/>
                <w:lang w:eastAsia="en-GB"/>
              </w:rPr>
              <w:t>Revenue balances insufficient to meet other inflationary increases</w:t>
            </w:r>
          </w:p>
        </w:tc>
        <w:tc>
          <w:tcPr>
            <w:tcW w:w="7938" w:type="dxa"/>
            <w:tcBorders>
              <w:top w:val="nil"/>
              <w:left w:val="nil"/>
              <w:bottom w:val="single" w:sz="4" w:space="0" w:color="auto"/>
              <w:right w:val="single" w:sz="4" w:space="0" w:color="auto"/>
            </w:tcBorders>
            <w:shd w:val="clear" w:color="auto" w:fill="auto"/>
            <w:vAlign w:val="center"/>
            <w:hideMark/>
          </w:tcPr>
          <w:p w:rsidR="00005BB8" w:rsidRPr="00005BB8" w:rsidRDefault="00005BB8" w:rsidP="00005BB8">
            <w:pPr>
              <w:ind w:right="742"/>
              <w:rPr>
                <w:rFonts w:cs="Arial"/>
                <w:sz w:val="22"/>
                <w:szCs w:val="22"/>
                <w:lang w:eastAsia="en-GB"/>
              </w:rPr>
            </w:pPr>
            <w:r w:rsidRPr="00005BB8">
              <w:rPr>
                <w:rFonts w:cs="Arial"/>
                <w:sz w:val="22"/>
                <w:szCs w:val="22"/>
                <w:lang w:eastAsia="en-GB"/>
              </w:rPr>
              <w:t xml:space="preserve">Other than contractual agreements, budgets have been cash limited where possible. </w:t>
            </w:r>
          </w:p>
        </w:tc>
        <w:tc>
          <w:tcPr>
            <w:tcW w:w="1276" w:type="dxa"/>
            <w:tcBorders>
              <w:top w:val="nil"/>
              <w:left w:val="nil"/>
              <w:bottom w:val="single" w:sz="4" w:space="0" w:color="auto"/>
              <w:right w:val="single" w:sz="4" w:space="0" w:color="auto"/>
            </w:tcBorders>
            <w:shd w:val="clear" w:color="auto" w:fill="auto"/>
            <w:noWrap/>
            <w:vAlign w:val="center"/>
            <w:hideMark/>
          </w:tcPr>
          <w:p w:rsidR="00005BB8" w:rsidRPr="00005BB8" w:rsidRDefault="00005BB8" w:rsidP="00005BB8">
            <w:pPr>
              <w:jc w:val="center"/>
              <w:rPr>
                <w:rFonts w:cs="Arial"/>
                <w:sz w:val="20"/>
                <w:lang w:eastAsia="en-GB"/>
              </w:rPr>
            </w:pPr>
            <w:r w:rsidRPr="00005BB8">
              <w:rPr>
                <w:rFonts w:cs="Arial"/>
                <w:sz w:val="20"/>
                <w:lang w:eastAsia="en-GB"/>
              </w:rPr>
              <w:t>II</w:t>
            </w:r>
          </w:p>
        </w:tc>
        <w:tc>
          <w:tcPr>
            <w:tcW w:w="1216" w:type="dxa"/>
            <w:tcBorders>
              <w:top w:val="nil"/>
              <w:left w:val="nil"/>
              <w:bottom w:val="single" w:sz="4" w:space="0" w:color="auto"/>
              <w:right w:val="single" w:sz="8" w:space="0" w:color="auto"/>
            </w:tcBorders>
            <w:shd w:val="clear" w:color="auto" w:fill="auto"/>
            <w:noWrap/>
            <w:vAlign w:val="center"/>
            <w:hideMark/>
          </w:tcPr>
          <w:p w:rsidR="00005BB8" w:rsidRPr="00005BB8" w:rsidRDefault="00005BB8" w:rsidP="00005BB8">
            <w:pPr>
              <w:jc w:val="center"/>
              <w:rPr>
                <w:rFonts w:cs="Arial"/>
                <w:sz w:val="22"/>
                <w:szCs w:val="22"/>
                <w:lang w:eastAsia="en-GB"/>
              </w:rPr>
            </w:pPr>
            <w:r w:rsidRPr="00005BB8">
              <w:rPr>
                <w:rFonts w:cs="Arial"/>
                <w:sz w:val="22"/>
                <w:szCs w:val="22"/>
                <w:lang w:eastAsia="en-GB"/>
              </w:rPr>
              <w:t>D</w:t>
            </w:r>
          </w:p>
        </w:tc>
      </w:tr>
      <w:tr w:rsidR="00005BB8" w:rsidRPr="00005BB8" w:rsidTr="00C80A78">
        <w:trPr>
          <w:trHeight w:val="1005"/>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005BB8" w:rsidRPr="00005BB8" w:rsidRDefault="00005BB8" w:rsidP="00005BB8">
            <w:pPr>
              <w:jc w:val="center"/>
              <w:rPr>
                <w:rFonts w:cs="Arial"/>
                <w:sz w:val="22"/>
                <w:szCs w:val="22"/>
                <w:lang w:eastAsia="en-GB"/>
              </w:rPr>
            </w:pPr>
            <w:r w:rsidRPr="00005BB8">
              <w:rPr>
                <w:rFonts w:cs="Arial"/>
                <w:sz w:val="22"/>
                <w:szCs w:val="22"/>
                <w:lang w:eastAsia="en-GB"/>
              </w:rPr>
              <w:t>10</w:t>
            </w:r>
          </w:p>
        </w:tc>
        <w:tc>
          <w:tcPr>
            <w:tcW w:w="3685" w:type="dxa"/>
            <w:tcBorders>
              <w:top w:val="nil"/>
              <w:left w:val="nil"/>
              <w:bottom w:val="single" w:sz="4" w:space="0" w:color="auto"/>
              <w:right w:val="single" w:sz="4" w:space="0" w:color="auto"/>
            </w:tcBorders>
            <w:shd w:val="clear" w:color="auto" w:fill="auto"/>
            <w:vAlign w:val="center"/>
            <w:hideMark/>
          </w:tcPr>
          <w:p w:rsidR="00005BB8" w:rsidRPr="00005BB8" w:rsidRDefault="00005BB8" w:rsidP="00005BB8">
            <w:pPr>
              <w:rPr>
                <w:rFonts w:cs="Arial"/>
                <w:sz w:val="22"/>
                <w:szCs w:val="22"/>
                <w:lang w:eastAsia="en-GB"/>
              </w:rPr>
            </w:pPr>
            <w:r w:rsidRPr="00005BB8">
              <w:rPr>
                <w:rFonts w:cs="Arial"/>
                <w:sz w:val="22"/>
                <w:szCs w:val="22"/>
                <w:lang w:eastAsia="en-GB"/>
              </w:rPr>
              <w:t>Interest rates resulting in significant variations in estimated interest income</w:t>
            </w:r>
          </w:p>
        </w:tc>
        <w:tc>
          <w:tcPr>
            <w:tcW w:w="7938" w:type="dxa"/>
            <w:tcBorders>
              <w:top w:val="nil"/>
              <w:left w:val="nil"/>
              <w:bottom w:val="single" w:sz="4" w:space="0" w:color="auto"/>
              <w:right w:val="single" w:sz="4" w:space="0" w:color="auto"/>
            </w:tcBorders>
            <w:shd w:val="clear" w:color="auto" w:fill="auto"/>
            <w:vAlign w:val="center"/>
            <w:hideMark/>
          </w:tcPr>
          <w:p w:rsidR="00005BB8" w:rsidRPr="00005BB8" w:rsidRDefault="00005BB8" w:rsidP="00005BB8">
            <w:pPr>
              <w:ind w:right="742"/>
              <w:rPr>
                <w:rFonts w:cs="Arial"/>
                <w:sz w:val="22"/>
                <w:szCs w:val="22"/>
                <w:lang w:eastAsia="en-GB"/>
              </w:rPr>
            </w:pPr>
            <w:r w:rsidRPr="00005BB8">
              <w:rPr>
                <w:rFonts w:cs="Arial"/>
                <w:sz w:val="22"/>
                <w:szCs w:val="22"/>
                <w:lang w:eastAsia="en-GB"/>
              </w:rPr>
              <w:t>The interest rate has a significant impact on the proceeds from capital receipts that are invested in the money market. The volatility of the global economy continues to place uncer</w:t>
            </w:r>
            <w:r w:rsidRPr="00005BB8">
              <w:rPr>
                <w:rFonts w:cs="Arial"/>
                <w:b/>
                <w:sz w:val="22"/>
                <w:szCs w:val="22"/>
                <w:lang w:eastAsia="en-GB"/>
              </w:rPr>
              <w:t>t</w:t>
            </w:r>
            <w:r w:rsidRPr="00005BB8">
              <w:rPr>
                <w:rFonts w:cs="Arial"/>
                <w:sz w:val="22"/>
                <w:szCs w:val="22"/>
                <w:lang w:eastAsia="en-GB"/>
              </w:rPr>
              <w:t xml:space="preserve">ainty on the investment strategy.   </w:t>
            </w:r>
          </w:p>
        </w:tc>
        <w:tc>
          <w:tcPr>
            <w:tcW w:w="1276" w:type="dxa"/>
            <w:tcBorders>
              <w:top w:val="nil"/>
              <w:left w:val="nil"/>
              <w:bottom w:val="single" w:sz="4" w:space="0" w:color="auto"/>
              <w:right w:val="single" w:sz="4" w:space="0" w:color="auto"/>
            </w:tcBorders>
            <w:shd w:val="clear" w:color="auto" w:fill="auto"/>
            <w:noWrap/>
            <w:vAlign w:val="center"/>
            <w:hideMark/>
          </w:tcPr>
          <w:p w:rsidR="00005BB8" w:rsidRPr="00005BB8" w:rsidRDefault="00005BB8" w:rsidP="00005BB8">
            <w:pPr>
              <w:jc w:val="center"/>
              <w:rPr>
                <w:rFonts w:cs="Arial"/>
                <w:sz w:val="20"/>
                <w:lang w:eastAsia="en-GB"/>
              </w:rPr>
            </w:pPr>
            <w:r w:rsidRPr="00005BB8">
              <w:rPr>
                <w:rFonts w:cs="Arial"/>
                <w:sz w:val="20"/>
                <w:lang w:eastAsia="en-GB"/>
              </w:rPr>
              <w:t>III</w:t>
            </w:r>
          </w:p>
        </w:tc>
        <w:tc>
          <w:tcPr>
            <w:tcW w:w="1216" w:type="dxa"/>
            <w:tcBorders>
              <w:top w:val="nil"/>
              <w:left w:val="nil"/>
              <w:bottom w:val="single" w:sz="4" w:space="0" w:color="auto"/>
              <w:right w:val="single" w:sz="8" w:space="0" w:color="auto"/>
            </w:tcBorders>
            <w:shd w:val="clear" w:color="auto" w:fill="auto"/>
            <w:noWrap/>
            <w:vAlign w:val="center"/>
            <w:hideMark/>
          </w:tcPr>
          <w:p w:rsidR="00005BB8" w:rsidRPr="00005BB8" w:rsidRDefault="00005BB8" w:rsidP="00005BB8">
            <w:pPr>
              <w:jc w:val="center"/>
              <w:rPr>
                <w:rFonts w:cs="Arial"/>
                <w:sz w:val="22"/>
                <w:szCs w:val="22"/>
                <w:lang w:eastAsia="en-GB"/>
              </w:rPr>
            </w:pPr>
            <w:r w:rsidRPr="00005BB8">
              <w:rPr>
                <w:rFonts w:cs="Arial"/>
                <w:sz w:val="22"/>
                <w:szCs w:val="22"/>
                <w:lang w:eastAsia="en-GB"/>
              </w:rPr>
              <w:t>C</w:t>
            </w:r>
          </w:p>
        </w:tc>
      </w:tr>
      <w:tr w:rsidR="00005BB8" w:rsidRPr="00005BB8" w:rsidTr="00C80A78">
        <w:trPr>
          <w:trHeight w:val="1005"/>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005BB8" w:rsidRPr="00005BB8" w:rsidRDefault="00005BB8" w:rsidP="00005BB8">
            <w:pPr>
              <w:jc w:val="center"/>
              <w:rPr>
                <w:rFonts w:cs="Arial"/>
                <w:sz w:val="22"/>
                <w:szCs w:val="22"/>
                <w:lang w:eastAsia="en-GB"/>
              </w:rPr>
            </w:pPr>
            <w:r w:rsidRPr="00005BB8">
              <w:rPr>
                <w:rFonts w:cs="Arial"/>
                <w:sz w:val="22"/>
                <w:szCs w:val="22"/>
                <w:lang w:eastAsia="en-GB"/>
              </w:rPr>
              <w:t>11</w:t>
            </w:r>
          </w:p>
        </w:tc>
        <w:tc>
          <w:tcPr>
            <w:tcW w:w="3685" w:type="dxa"/>
            <w:tcBorders>
              <w:top w:val="nil"/>
              <w:left w:val="nil"/>
              <w:bottom w:val="single" w:sz="4" w:space="0" w:color="auto"/>
              <w:right w:val="single" w:sz="4" w:space="0" w:color="auto"/>
            </w:tcBorders>
            <w:shd w:val="clear" w:color="auto" w:fill="auto"/>
            <w:vAlign w:val="center"/>
            <w:hideMark/>
          </w:tcPr>
          <w:p w:rsidR="00005BB8" w:rsidRPr="00005BB8" w:rsidRDefault="00005BB8" w:rsidP="00005BB8">
            <w:pPr>
              <w:rPr>
                <w:rFonts w:cs="Arial"/>
                <w:sz w:val="22"/>
                <w:szCs w:val="22"/>
                <w:lang w:eastAsia="en-GB"/>
              </w:rPr>
            </w:pPr>
            <w:r w:rsidRPr="00005BB8">
              <w:rPr>
                <w:rFonts w:cs="Arial"/>
                <w:sz w:val="22"/>
                <w:szCs w:val="22"/>
                <w:lang w:eastAsia="en-GB"/>
              </w:rPr>
              <w:t>Inaccurate estimates of fees and charges income</w:t>
            </w:r>
          </w:p>
        </w:tc>
        <w:tc>
          <w:tcPr>
            <w:tcW w:w="7938" w:type="dxa"/>
            <w:tcBorders>
              <w:top w:val="nil"/>
              <w:left w:val="nil"/>
              <w:bottom w:val="single" w:sz="4" w:space="0" w:color="auto"/>
              <w:right w:val="single" w:sz="4" w:space="0" w:color="auto"/>
            </w:tcBorders>
            <w:shd w:val="clear" w:color="auto" w:fill="auto"/>
            <w:vAlign w:val="center"/>
            <w:hideMark/>
          </w:tcPr>
          <w:p w:rsidR="00005BB8" w:rsidRPr="00005BB8" w:rsidRDefault="00005BB8" w:rsidP="00005BB8">
            <w:pPr>
              <w:ind w:right="742"/>
              <w:rPr>
                <w:rFonts w:cs="Arial"/>
                <w:sz w:val="22"/>
                <w:szCs w:val="22"/>
                <w:lang w:eastAsia="en-GB"/>
              </w:rPr>
            </w:pPr>
            <w:r w:rsidRPr="00005BB8">
              <w:rPr>
                <w:rFonts w:cs="Arial"/>
                <w:sz w:val="22"/>
                <w:szCs w:val="22"/>
                <w:lang w:eastAsia="en-GB"/>
              </w:rPr>
              <w:t xml:space="preserve">See Key Budget Indicators shown in the latest Budget Monitoring report </w:t>
            </w:r>
          </w:p>
        </w:tc>
        <w:tc>
          <w:tcPr>
            <w:tcW w:w="1276" w:type="dxa"/>
            <w:tcBorders>
              <w:top w:val="nil"/>
              <w:left w:val="nil"/>
              <w:bottom w:val="single" w:sz="4" w:space="0" w:color="auto"/>
              <w:right w:val="single" w:sz="4" w:space="0" w:color="auto"/>
            </w:tcBorders>
            <w:shd w:val="clear" w:color="auto" w:fill="auto"/>
            <w:noWrap/>
            <w:vAlign w:val="center"/>
            <w:hideMark/>
          </w:tcPr>
          <w:p w:rsidR="00005BB8" w:rsidRPr="00005BB8" w:rsidRDefault="00005BB8" w:rsidP="00005BB8">
            <w:pPr>
              <w:jc w:val="center"/>
              <w:rPr>
                <w:rFonts w:cs="Arial"/>
                <w:sz w:val="22"/>
                <w:szCs w:val="22"/>
                <w:lang w:eastAsia="en-GB"/>
              </w:rPr>
            </w:pPr>
            <w:r w:rsidRPr="00005BB8">
              <w:rPr>
                <w:rFonts w:cs="Arial"/>
                <w:sz w:val="22"/>
                <w:szCs w:val="22"/>
                <w:lang w:eastAsia="en-GB"/>
              </w:rPr>
              <w:t>V</w:t>
            </w:r>
          </w:p>
        </w:tc>
        <w:tc>
          <w:tcPr>
            <w:tcW w:w="1216" w:type="dxa"/>
            <w:tcBorders>
              <w:top w:val="nil"/>
              <w:left w:val="nil"/>
              <w:bottom w:val="single" w:sz="4" w:space="0" w:color="auto"/>
              <w:right w:val="single" w:sz="8" w:space="0" w:color="auto"/>
            </w:tcBorders>
            <w:shd w:val="clear" w:color="auto" w:fill="auto"/>
            <w:noWrap/>
            <w:vAlign w:val="center"/>
            <w:hideMark/>
          </w:tcPr>
          <w:p w:rsidR="00005BB8" w:rsidRPr="00005BB8" w:rsidRDefault="00005BB8" w:rsidP="00005BB8">
            <w:pPr>
              <w:jc w:val="center"/>
              <w:rPr>
                <w:rFonts w:cs="Arial"/>
                <w:sz w:val="20"/>
                <w:lang w:eastAsia="en-GB"/>
              </w:rPr>
            </w:pPr>
            <w:r w:rsidRPr="00005BB8">
              <w:rPr>
                <w:rFonts w:cs="Arial"/>
                <w:sz w:val="20"/>
                <w:lang w:eastAsia="en-GB"/>
              </w:rPr>
              <w:t>E</w:t>
            </w:r>
          </w:p>
        </w:tc>
      </w:tr>
      <w:tr w:rsidR="00005BB8" w:rsidRPr="00005BB8" w:rsidTr="00C80A78">
        <w:trPr>
          <w:trHeight w:val="1005"/>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005BB8" w:rsidRPr="00005BB8" w:rsidRDefault="00005BB8" w:rsidP="00005BB8">
            <w:pPr>
              <w:jc w:val="center"/>
              <w:rPr>
                <w:rFonts w:cs="Arial"/>
                <w:sz w:val="22"/>
                <w:szCs w:val="22"/>
                <w:lang w:eastAsia="en-GB"/>
              </w:rPr>
            </w:pPr>
            <w:r w:rsidRPr="00005BB8">
              <w:rPr>
                <w:rFonts w:cs="Arial"/>
                <w:sz w:val="22"/>
                <w:szCs w:val="22"/>
                <w:lang w:eastAsia="en-GB"/>
              </w:rPr>
              <w:t>12</w:t>
            </w:r>
          </w:p>
        </w:tc>
        <w:tc>
          <w:tcPr>
            <w:tcW w:w="3685" w:type="dxa"/>
            <w:tcBorders>
              <w:top w:val="nil"/>
              <w:left w:val="nil"/>
              <w:bottom w:val="single" w:sz="4" w:space="0" w:color="auto"/>
              <w:right w:val="single" w:sz="4" w:space="0" w:color="auto"/>
            </w:tcBorders>
            <w:shd w:val="clear" w:color="auto" w:fill="auto"/>
            <w:vAlign w:val="center"/>
            <w:hideMark/>
          </w:tcPr>
          <w:p w:rsidR="00005BB8" w:rsidRPr="00005BB8" w:rsidRDefault="00005BB8" w:rsidP="00005BB8">
            <w:pPr>
              <w:rPr>
                <w:rFonts w:cs="Arial"/>
                <w:sz w:val="22"/>
                <w:szCs w:val="22"/>
                <w:lang w:eastAsia="en-GB"/>
              </w:rPr>
            </w:pPr>
            <w:r w:rsidRPr="00005BB8">
              <w:rPr>
                <w:rFonts w:cs="Arial"/>
                <w:sz w:val="22"/>
                <w:szCs w:val="22"/>
                <w:lang w:eastAsia="en-GB"/>
              </w:rPr>
              <w:t>Revenue balances insufficient to meet loss of partial exemption for VAT</w:t>
            </w:r>
          </w:p>
        </w:tc>
        <w:tc>
          <w:tcPr>
            <w:tcW w:w="7938" w:type="dxa"/>
            <w:tcBorders>
              <w:top w:val="nil"/>
              <w:left w:val="nil"/>
              <w:bottom w:val="single" w:sz="4" w:space="0" w:color="auto"/>
              <w:right w:val="single" w:sz="4" w:space="0" w:color="auto"/>
            </w:tcBorders>
            <w:shd w:val="clear" w:color="auto" w:fill="auto"/>
            <w:vAlign w:val="center"/>
            <w:hideMark/>
          </w:tcPr>
          <w:p w:rsidR="00005BB8" w:rsidRPr="00005BB8" w:rsidRDefault="00005BB8" w:rsidP="00822B4D">
            <w:pPr>
              <w:ind w:right="742"/>
              <w:rPr>
                <w:rFonts w:cs="Arial"/>
                <w:b/>
                <w:sz w:val="22"/>
                <w:szCs w:val="22"/>
                <w:lang w:eastAsia="en-GB"/>
              </w:rPr>
            </w:pPr>
            <w:r w:rsidRPr="00005BB8">
              <w:rPr>
                <w:rFonts w:cs="Arial"/>
                <w:sz w:val="22"/>
                <w:szCs w:val="22"/>
                <w:lang w:eastAsia="en-GB"/>
              </w:rPr>
              <w:t>If the council's expenditure on functions for which it receives income that is exempt for VAT purposes exceeds 5% of its total vat able expenditure, then the Council may lose its ability to recover VAT on all of its exempt inputs</w:t>
            </w:r>
            <w:r w:rsidRPr="00005BB8">
              <w:rPr>
                <w:rFonts w:cs="Arial"/>
                <w:i/>
                <w:sz w:val="22"/>
                <w:szCs w:val="22"/>
                <w:lang w:eastAsia="en-GB"/>
              </w:rPr>
              <w:t xml:space="preserve">. Three Rivers House has now been given the opt to tax status which reduces this risk and means all lettings are now subject to VAT. </w:t>
            </w:r>
          </w:p>
        </w:tc>
        <w:tc>
          <w:tcPr>
            <w:tcW w:w="1276" w:type="dxa"/>
            <w:tcBorders>
              <w:top w:val="nil"/>
              <w:left w:val="nil"/>
              <w:bottom w:val="single" w:sz="4" w:space="0" w:color="auto"/>
              <w:right w:val="single" w:sz="4" w:space="0" w:color="auto"/>
            </w:tcBorders>
            <w:shd w:val="clear" w:color="auto" w:fill="auto"/>
            <w:noWrap/>
            <w:vAlign w:val="center"/>
            <w:hideMark/>
          </w:tcPr>
          <w:p w:rsidR="00005BB8" w:rsidRPr="00005BB8" w:rsidRDefault="00005BB8" w:rsidP="00005BB8">
            <w:pPr>
              <w:jc w:val="center"/>
              <w:rPr>
                <w:rFonts w:cs="Arial"/>
                <w:sz w:val="20"/>
                <w:lang w:eastAsia="en-GB"/>
              </w:rPr>
            </w:pPr>
            <w:r w:rsidRPr="00005BB8">
              <w:rPr>
                <w:rFonts w:cs="Arial"/>
                <w:sz w:val="20"/>
                <w:lang w:eastAsia="en-GB"/>
              </w:rPr>
              <w:t>II</w:t>
            </w:r>
          </w:p>
        </w:tc>
        <w:tc>
          <w:tcPr>
            <w:tcW w:w="1216" w:type="dxa"/>
            <w:tcBorders>
              <w:top w:val="nil"/>
              <w:left w:val="nil"/>
              <w:bottom w:val="single" w:sz="4" w:space="0" w:color="auto"/>
              <w:right w:val="single" w:sz="8" w:space="0" w:color="auto"/>
            </w:tcBorders>
            <w:shd w:val="clear" w:color="auto" w:fill="auto"/>
            <w:noWrap/>
            <w:vAlign w:val="center"/>
            <w:hideMark/>
          </w:tcPr>
          <w:p w:rsidR="00005BB8" w:rsidRPr="00005BB8" w:rsidRDefault="00005BB8" w:rsidP="00005BB8">
            <w:pPr>
              <w:jc w:val="center"/>
              <w:rPr>
                <w:rFonts w:cs="Arial"/>
                <w:sz w:val="22"/>
                <w:szCs w:val="22"/>
                <w:lang w:eastAsia="en-GB"/>
              </w:rPr>
            </w:pPr>
            <w:r w:rsidRPr="00005BB8">
              <w:rPr>
                <w:rFonts w:cs="Arial"/>
                <w:sz w:val="22"/>
                <w:szCs w:val="22"/>
                <w:lang w:eastAsia="en-GB"/>
              </w:rPr>
              <w:t>E</w:t>
            </w:r>
          </w:p>
        </w:tc>
      </w:tr>
      <w:tr w:rsidR="00005BB8" w:rsidRPr="00005BB8" w:rsidTr="00C80A78">
        <w:trPr>
          <w:trHeight w:val="1005"/>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005BB8" w:rsidRPr="00005BB8" w:rsidRDefault="00005BB8" w:rsidP="00005BB8">
            <w:pPr>
              <w:jc w:val="center"/>
              <w:rPr>
                <w:rFonts w:cs="Arial"/>
                <w:sz w:val="22"/>
                <w:szCs w:val="22"/>
                <w:lang w:eastAsia="en-GB"/>
              </w:rPr>
            </w:pPr>
            <w:r w:rsidRPr="00005BB8">
              <w:rPr>
                <w:rFonts w:cs="Arial"/>
                <w:sz w:val="22"/>
                <w:szCs w:val="22"/>
                <w:lang w:eastAsia="en-GB"/>
              </w:rPr>
              <w:t>13</w:t>
            </w:r>
          </w:p>
        </w:tc>
        <w:tc>
          <w:tcPr>
            <w:tcW w:w="3685" w:type="dxa"/>
            <w:tcBorders>
              <w:top w:val="nil"/>
              <w:left w:val="nil"/>
              <w:bottom w:val="single" w:sz="4" w:space="0" w:color="auto"/>
              <w:right w:val="single" w:sz="4" w:space="0" w:color="auto"/>
            </w:tcBorders>
            <w:shd w:val="clear" w:color="auto" w:fill="auto"/>
            <w:vAlign w:val="center"/>
            <w:hideMark/>
          </w:tcPr>
          <w:p w:rsidR="00005BB8" w:rsidRPr="00005BB8" w:rsidRDefault="00005BB8" w:rsidP="00005BB8">
            <w:pPr>
              <w:rPr>
                <w:rFonts w:cs="Arial"/>
                <w:sz w:val="22"/>
                <w:szCs w:val="22"/>
                <w:lang w:eastAsia="en-GB"/>
              </w:rPr>
            </w:pPr>
            <w:r w:rsidRPr="00005BB8">
              <w:rPr>
                <w:rFonts w:cs="Arial"/>
                <w:sz w:val="22"/>
                <w:szCs w:val="22"/>
                <w:lang w:eastAsia="en-GB"/>
              </w:rPr>
              <w:t>The estimated cost reductions and additional income gains are not achieved</w:t>
            </w:r>
          </w:p>
        </w:tc>
        <w:tc>
          <w:tcPr>
            <w:tcW w:w="7938" w:type="dxa"/>
            <w:tcBorders>
              <w:top w:val="nil"/>
              <w:left w:val="nil"/>
              <w:bottom w:val="single" w:sz="4" w:space="0" w:color="auto"/>
              <w:right w:val="single" w:sz="4" w:space="0" w:color="auto"/>
            </w:tcBorders>
            <w:shd w:val="clear" w:color="auto" w:fill="auto"/>
            <w:vAlign w:val="center"/>
            <w:hideMark/>
          </w:tcPr>
          <w:p w:rsidR="00005BB8" w:rsidRPr="00005BB8" w:rsidRDefault="00005BB8" w:rsidP="00005BB8">
            <w:pPr>
              <w:tabs>
                <w:tab w:val="left" w:pos="6632"/>
                <w:tab w:val="left" w:pos="7341"/>
                <w:tab w:val="left" w:pos="7483"/>
              </w:tabs>
              <w:ind w:right="742"/>
              <w:rPr>
                <w:rFonts w:cs="Arial"/>
                <w:sz w:val="22"/>
                <w:szCs w:val="22"/>
                <w:lang w:eastAsia="en-GB"/>
              </w:rPr>
            </w:pPr>
            <w:r w:rsidRPr="00005BB8">
              <w:rPr>
                <w:rFonts w:cs="Arial"/>
                <w:sz w:val="22"/>
                <w:szCs w:val="22"/>
                <w:lang w:eastAsia="en-GB"/>
              </w:rPr>
              <w:t>Savings identified and included in the budget will be monitored as part of the budget monitoring process</w:t>
            </w:r>
          </w:p>
        </w:tc>
        <w:tc>
          <w:tcPr>
            <w:tcW w:w="1276" w:type="dxa"/>
            <w:tcBorders>
              <w:top w:val="nil"/>
              <w:left w:val="nil"/>
              <w:bottom w:val="single" w:sz="4" w:space="0" w:color="auto"/>
              <w:right w:val="single" w:sz="4" w:space="0" w:color="auto"/>
            </w:tcBorders>
            <w:shd w:val="clear" w:color="auto" w:fill="auto"/>
            <w:noWrap/>
            <w:vAlign w:val="center"/>
            <w:hideMark/>
          </w:tcPr>
          <w:p w:rsidR="00005BB8" w:rsidRPr="00005BB8" w:rsidRDefault="00005BB8" w:rsidP="00005BB8">
            <w:pPr>
              <w:jc w:val="center"/>
              <w:rPr>
                <w:rFonts w:cs="Arial"/>
                <w:sz w:val="22"/>
                <w:szCs w:val="22"/>
                <w:lang w:eastAsia="en-GB"/>
              </w:rPr>
            </w:pPr>
            <w:r w:rsidRPr="00005BB8">
              <w:rPr>
                <w:rFonts w:cs="Arial"/>
                <w:sz w:val="22"/>
                <w:szCs w:val="22"/>
                <w:lang w:eastAsia="en-GB"/>
              </w:rPr>
              <w:t>IV</w:t>
            </w:r>
          </w:p>
        </w:tc>
        <w:tc>
          <w:tcPr>
            <w:tcW w:w="1216" w:type="dxa"/>
            <w:tcBorders>
              <w:top w:val="nil"/>
              <w:left w:val="nil"/>
              <w:bottom w:val="single" w:sz="4" w:space="0" w:color="auto"/>
              <w:right w:val="single" w:sz="8" w:space="0" w:color="auto"/>
            </w:tcBorders>
            <w:shd w:val="clear" w:color="auto" w:fill="auto"/>
            <w:noWrap/>
            <w:vAlign w:val="center"/>
            <w:hideMark/>
          </w:tcPr>
          <w:p w:rsidR="00005BB8" w:rsidRPr="00005BB8" w:rsidRDefault="00005BB8" w:rsidP="00005BB8">
            <w:pPr>
              <w:jc w:val="center"/>
              <w:rPr>
                <w:rFonts w:cs="Arial"/>
                <w:sz w:val="22"/>
                <w:szCs w:val="22"/>
                <w:lang w:eastAsia="en-GB"/>
              </w:rPr>
            </w:pPr>
            <w:r w:rsidRPr="00005BB8">
              <w:rPr>
                <w:rFonts w:cs="Arial"/>
                <w:sz w:val="22"/>
                <w:szCs w:val="22"/>
                <w:lang w:eastAsia="en-GB"/>
              </w:rPr>
              <w:t>E</w:t>
            </w:r>
          </w:p>
        </w:tc>
      </w:tr>
      <w:tr w:rsidR="00005BB8" w:rsidRPr="00005BB8" w:rsidTr="00C80A78">
        <w:trPr>
          <w:trHeight w:val="1005"/>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005BB8" w:rsidRPr="00005BB8" w:rsidRDefault="00005BB8" w:rsidP="00005BB8">
            <w:pPr>
              <w:jc w:val="center"/>
              <w:rPr>
                <w:rFonts w:cs="Arial"/>
                <w:sz w:val="22"/>
                <w:szCs w:val="22"/>
                <w:lang w:eastAsia="en-GB"/>
              </w:rPr>
            </w:pPr>
            <w:r w:rsidRPr="00005BB8">
              <w:rPr>
                <w:rFonts w:cs="Arial"/>
                <w:sz w:val="22"/>
                <w:szCs w:val="22"/>
                <w:lang w:eastAsia="en-GB"/>
              </w:rPr>
              <w:lastRenderedPageBreak/>
              <w:t>14</w:t>
            </w:r>
          </w:p>
        </w:tc>
        <w:tc>
          <w:tcPr>
            <w:tcW w:w="3685" w:type="dxa"/>
            <w:tcBorders>
              <w:top w:val="nil"/>
              <w:left w:val="nil"/>
              <w:bottom w:val="single" w:sz="4" w:space="0" w:color="auto"/>
              <w:right w:val="single" w:sz="4" w:space="0" w:color="auto"/>
            </w:tcBorders>
            <w:shd w:val="clear" w:color="auto" w:fill="auto"/>
            <w:vAlign w:val="center"/>
            <w:hideMark/>
          </w:tcPr>
          <w:p w:rsidR="00005BB8" w:rsidRPr="00005BB8" w:rsidRDefault="00005BB8" w:rsidP="00005BB8">
            <w:pPr>
              <w:rPr>
                <w:rFonts w:cs="Arial"/>
                <w:sz w:val="22"/>
                <w:szCs w:val="22"/>
                <w:lang w:eastAsia="en-GB"/>
              </w:rPr>
            </w:pPr>
            <w:r w:rsidRPr="00005BB8">
              <w:rPr>
                <w:rFonts w:cs="Arial"/>
                <w:sz w:val="22"/>
                <w:szCs w:val="22"/>
                <w:lang w:eastAsia="en-GB"/>
              </w:rPr>
              <w:t>The Council is faced with potential litigation and other employment related risks</w:t>
            </w:r>
          </w:p>
        </w:tc>
        <w:tc>
          <w:tcPr>
            <w:tcW w:w="7938" w:type="dxa"/>
            <w:tcBorders>
              <w:top w:val="nil"/>
              <w:left w:val="nil"/>
              <w:bottom w:val="single" w:sz="4" w:space="0" w:color="auto"/>
              <w:right w:val="single" w:sz="4" w:space="0" w:color="auto"/>
            </w:tcBorders>
            <w:shd w:val="clear" w:color="auto" w:fill="auto"/>
            <w:vAlign w:val="center"/>
            <w:hideMark/>
          </w:tcPr>
          <w:p w:rsidR="00005BB8" w:rsidRPr="00005BB8" w:rsidRDefault="00005BB8" w:rsidP="00005BB8">
            <w:pPr>
              <w:tabs>
                <w:tab w:val="left" w:pos="6632"/>
                <w:tab w:val="left" w:pos="7341"/>
                <w:tab w:val="left" w:pos="7483"/>
              </w:tabs>
              <w:ind w:right="1167"/>
              <w:rPr>
                <w:rFonts w:cs="Arial"/>
                <w:sz w:val="22"/>
                <w:szCs w:val="22"/>
                <w:lang w:eastAsia="en-GB"/>
              </w:rPr>
            </w:pPr>
            <w:r w:rsidRPr="00005BB8">
              <w:rPr>
                <w:rFonts w:cs="Arial"/>
                <w:sz w:val="22"/>
                <w:szCs w:val="22"/>
                <w:lang w:eastAsia="en-GB"/>
              </w:rPr>
              <w:t xml:space="preserve">The Council has no outstanding litigation cases. </w:t>
            </w:r>
          </w:p>
        </w:tc>
        <w:tc>
          <w:tcPr>
            <w:tcW w:w="1276" w:type="dxa"/>
            <w:tcBorders>
              <w:top w:val="nil"/>
              <w:left w:val="nil"/>
              <w:bottom w:val="single" w:sz="4" w:space="0" w:color="auto"/>
              <w:right w:val="single" w:sz="4" w:space="0" w:color="auto"/>
            </w:tcBorders>
            <w:shd w:val="clear" w:color="auto" w:fill="auto"/>
            <w:noWrap/>
            <w:vAlign w:val="center"/>
            <w:hideMark/>
          </w:tcPr>
          <w:p w:rsidR="00005BB8" w:rsidRPr="00005BB8" w:rsidRDefault="00005BB8" w:rsidP="00005BB8">
            <w:pPr>
              <w:jc w:val="center"/>
              <w:rPr>
                <w:rFonts w:cs="Arial"/>
                <w:sz w:val="22"/>
                <w:szCs w:val="22"/>
                <w:lang w:eastAsia="en-GB"/>
              </w:rPr>
            </w:pPr>
            <w:r w:rsidRPr="00005BB8">
              <w:rPr>
                <w:rFonts w:cs="Arial"/>
                <w:sz w:val="22"/>
                <w:szCs w:val="22"/>
                <w:lang w:eastAsia="en-GB"/>
              </w:rPr>
              <w:t>III</w:t>
            </w:r>
          </w:p>
        </w:tc>
        <w:tc>
          <w:tcPr>
            <w:tcW w:w="1216" w:type="dxa"/>
            <w:tcBorders>
              <w:top w:val="nil"/>
              <w:left w:val="nil"/>
              <w:bottom w:val="single" w:sz="4" w:space="0" w:color="auto"/>
              <w:right w:val="single" w:sz="8" w:space="0" w:color="auto"/>
            </w:tcBorders>
            <w:shd w:val="clear" w:color="auto" w:fill="auto"/>
            <w:noWrap/>
            <w:vAlign w:val="center"/>
            <w:hideMark/>
          </w:tcPr>
          <w:p w:rsidR="00005BB8" w:rsidRPr="00005BB8" w:rsidRDefault="00005BB8" w:rsidP="00005BB8">
            <w:pPr>
              <w:jc w:val="center"/>
              <w:rPr>
                <w:rFonts w:cs="Arial"/>
                <w:sz w:val="22"/>
                <w:szCs w:val="22"/>
                <w:lang w:eastAsia="en-GB"/>
              </w:rPr>
            </w:pPr>
            <w:r w:rsidRPr="00005BB8">
              <w:rPr>
                <w:rFonts w:cs="Arial"/>
                <w:sz w:val="22"/>
                <w:szCs w:val="22"/>
                <w:lang w:eastAsia="en-GB"/>
              </w:rPr>
              <w:t>E</w:t>
            </w:r>
          </w:p>
        </w:tc>
      </w:tr>
      <w:tr w:rsidR="00005BB8" w:rsidRPr="00005BB8" w:rsidTr="00C80A78">
        <w:trPr>
          <w:trHeight w:val="1005"/>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005BB8" w:rsidRPr="00005BB8" w:rsidRDefault="00005BB8" w:rsidP="00005BB8">
            <w:pPr>
              <w:jc w:val="center"/>
              <w:rPr>
                <w:rFonts w:cs="Arial"/>
                <w:sz w:val="22"/>
                <w:szCs w:val="22"/>
                <w:lang w:eastAsia="en-GB"/>
              </w:rPr>
            </w:pPr>
            <w:r w:rsidRPr="00005BB8">
              <w:rPr>
                <w:rFonts w:cs="Arial"/>
                <w:sz w:val="22"/>
                <w:szCs w:val="22"/>
                <w:lang w:eastAsia="en-GB"/>
              </w:rPr>
              <w:t>15</w:t>
            </w:r>
          </w:p>
        </w:tc>
        <w:tc>
          <w:tcPr>
            <w:tcW w:w="3685" w:type="dxa"/>
            <w:tcBorders>
              <w:top w:val="nil"/>
              <w:left w:val="nil"/>
              <w:bottom w:val="single" w:sz="4" w:space="0" w:color="auto"/>
              <w:right w:val="single" w:sz="4" w:space="0" w:color="auto"/>
            </w:tcBorders>
            <w:shd w:val="clear" w:color="auto" w:fill="auto"/>
            <w:vAlign w:val="center"/>
            <w:hideMark/>
          </w:tcPr>
          <w:p w:rsidR="00005BB8" w:rsidRPr="00005BB8" w:rsidRDefault="00005BB8" w:rsidP="00005BB8">
            <w:pPr>
              <w:rPr>
                <w:rFonts w:cs="Arial"/>
                <w:sz w:val="22"/>
                <w:szCs w:val="22"/>
                <w:lang w:eastAsia="en-GB"/>
              </w:rPr>
            </w:pPr>
            <w:r w:rsidRPr="00005BB8">
              <w:rPr>
                <w:rFonts w:cs="Arial"/>
                <w:sz w:val="22"/>
                <w:szCs w:val="22"/>
                <w:lang w:eastAsia="en-GB"/>
              </w:rPr>
              <w:t>The amount of government grant is adversely affected</w:t>
            </w:r>
          </w:p>
        </w:tc>
        <w:tc>
          <w:tcPr>
            <w:tcW w:w="7938" w:type="dxa"/>
            <w:tcBorders>
              <w:top w:val="nil"/>
              <w:left w:val="nil"/>
              <w:bottom w:val="single" w:sz="4" w:space="0" w:color="auto"/>
              <w:right w:val="single" w:sz="4" w:space="0" w:color="auto"/>
            </w:tcBorders>
            <w:shd w:val="clear" w:color="auto" w:fill="auto"/>
            <w:noWrap/>
            <w:vAlign w:val="center"/>
            <w:hideMark/>
          </w:tcPr>
          <w:p w:rsidR="00005BB8" w:rsidRPr="00005BB8" w:rsidRDefault="00005BB8" w:rsidP="00F42922">
            <w:pPr>
              <w:tabs>
                <w:tab w:val="left" w:pos="6632"/>
                <w:tab w:val="left" w:pos="7781"/>
                <w:tab w:val="left" w:pos="7923"/>
              </w:tabs>
              <w:ind w:right="302"/>
              <w:rPr>
                <w:rFonts w:cs="Arial"/>
                <w:sz w:val="22"/>
                <w:szCs w:val="22"/>
                <w:lang w:eastAsia="en-GB"/>
              </w:rPr>
            </w:pPr>
            <w:r w:rsidRPr="00005BB8">
              <w:rPr>
                <w:rFonts w:cs="Arial"/>
                <w:sz w:val="22"/>
                <w:szCs w:val="22"/>
                <w:lang w:eastAsia="en-GB"/>
              </w:rPr>
              <w:t xml:space="preserve">The provisional settlements for 2018/19 </w:t>
            </w:r>
            <w:r w:rsidR="00F42922">
              <w:rPr>
                <w:rFonts w:cs="Arial"/>
                <w:sz w:val="22"/>
                <w:szCs w:val="22"/>
                <w:lang w:eastAsia="en-GB"/>
              </w:rPr>
              <w:t>future years</w:t>
            </w:r>
            <w:r w:rsidRPr="00005BB8">
              <w:rPr>
                <w:rFonts w:cs="Arial"/>
                <w:sz w:val="22"/>
                <w:szCs w:val="22"/>
                <w:lang w:eastAsia="en-GB"/>
              </w:rPr>
              <w:t xml:space="preserve"> have been factored into the MTFP. The Council decided to accept the Government’s offer of a four year settlement.</w:t>
            </w:r>
          </w:p>
        </w:tc>
        <w:tc>
          <w:tcPr>
            <w:tcW w:w="1276" w:type="dxa"/>
            <w:tcBorders>
              <w:top w:val="nil"/>
              <w:left w:val="nil"/>
              <w:bottom w:val="single" w:sz="4" w:space="0" w:color="auto"/>
              <w:right w:val="single" w:sz="4" w:space="0" w:color="auto"/>
            </w:tcBorders>
            <w:shd w:val="clear" w:color="auto" w:fill="auto"/>
            <w:noWrap/>
            <w:vAlign w:val="center"/>
            <w:hideMark/>
          </w:tcPr>
          <w:p w:rsidR="00005BB8" w:rsidRPr="00005BB8" w:rsidRDefault="00005BB8" w:rsidP="00005BB8">
            <w:pPr>
              <w:jc w:val="center"/>
              <w:rPr>
                <w:rFonts w:cs="Arial"/>
                <w:sz w:val="22"/>
                <w:szCs w:val="22"/>
                <w:lang w:eastAsia="en-GB"/>
              </w:rPr>
            </w:pPr>
            <w:r w:rsidRPr="00005BB8">
              <w:rPr>
                <w:rFonts w:cs="Arial"/>
                <w:sz w:val="22"/>
                <w:szCs w:val="22"/>
                <w:lang w:eastAsia="en-GB"/>
              </w:rPr>
              <w:t>II</w:t>
            </w:r>
          </w:p>
        </w:tc>
        <w:tc>
          <w:tcPr>
            <w:tcW w:w="1216" w:type="dxa"/>
            <w:tcBorders>
              <w:top w:val="nil"/>
              <w:left w:val="nil"/>
              <w:bottom w:val="single" w:sz="4" w:space="0" w:color="auto"/>
              <w:right w:val="single" w:sz="8" w:space="0" w:color="auto"/>
            </w:tcBorders>
            <w:shd w:val="clear" w:color="auto" w:fill="auto"/>
            <w:noWrap/>
            <w:vAlign w:val="center"/>
            <w:hideMark/>
          </w:tcPr>
          <w:p w:rsidR="00005BB8" w:rsidRPr="00005BB8" w:rsidRDefault="00005BB8" w:rsidP="00005BB8">
            <w:pPr>
              <w:jc w:val="center"/>
              <w:rPr>
                <w:rFonts w:cs="Arial"/>
                <w:sz w:val="22"/>
                <w:szCs w:val="22"/>
                <w:lang w:eastAsia="en-GB"/>
              </w:rPr>
            </w:pPr>
            <w:r w:rsidRPr="00005BB8">
              <w:rPr>
                <w:rFonts w:cs="Arial"/>
                <w:sz w:val="22"/>
                <w:szCs w:val="22"/>
                <w:lang w:eastAsia="en-GB"/>
              </w:rPr>
              <w:t>E</w:t>
            </w:r>
          </w:p>
        </w:tc>
      </w:tr>
      <w:tr w:rsidR="00005BB8" w:rsidRPr="00005BB8" w:rsidTr="00C80A78">
        <w:trPr>
          <w:trHeight w:val="1005"/>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005BB8" w:rsidRPr="00005BB8" w:rsidRDefault="00005BB8" w:rsidP="00005BB8">
            <w:pPr>
              <w:jc w:val="center"/>
              <w:rPr>
                <w:rFonts w:cs="Arial"/>
                <w:sz w:val="22"/>
                <w:szCs w:val="22"/>
                <w:lang w:eastAsia="en-GB"/>
              </w:rPr>
            </w:pPr>
            <w:r w:rsidRPr="00005BB8">
              <w:rPr>
                <w:rFonts w:cs="Arial"/>
                <w:sz w:val="22"/>
                <w:szCs w:val="22"/>
                <w:lang w:eastAsia="en-GB"/>
              </w:rPr>
              <w:t>16</w:t>
            </w:r>
          </w:p>
        </w:tc>
        <w:tc>
          <w:tcPr>
            <w:tcW w:w="3685" w:type="dxa"/>
            <w:tcBorders>
              <w:top w:val="nil"/>
              <w:left w:val="nil"/>
              <w:bottom w:val="single" w:sz="4" w:space="0" w:color="auto"/>
              <w:right w:val="single" w:sz="4" w:space="0" w:color="auto"/>
            </w:tcBorders>
            <w:shd w:val="clear" w:color="auto" w:fill="auto"/>
            <w:vAlign w:val="center"/>
            <w:hideMark/>
          </w:tcPr>
          <w:p w:rsidR="00005BB8" w:rsidRPr="00005BB8" w:rsidRDefault="00005BB8" w:rsidP="00005BB8">
            <w:pPr>
              <w:rPr>
                <w:rFonts w:cs="Arial"/>
                <w:sz w:val="22"/>
                <w:szCs w:val="22"/>
                <w:lang w:eastAsia="en-GB"/>
              </w:rPr>
            </w:pPr>
            <w:r w:rsidRPr="00005BB8">
              <w:rPr>
                <w:rFonts w:cs="Arial"/>
                <w:sz w:val="22"/>
                <w:szCs w:val="22"/>
                <w:lang w:eastAsia="en-GB"/>
              </w:rPr>
              <w:t>Localising support for council tax</w:t>
            </w:r>
          </w:p>
        </w:tc>
        <w:tc>
          <w:tcPr>
            <w:tcW w:w="7938" w:type="dxa"/>
            <w:tcBorders>
              <w:top w:val="nil"/>
              <w:left w:val="nil"/>
              <w:bottom w:val="single" w:sz="4" w:space="0" w:color="auto"/>
              <w:right w:val="single" w:sz="4" w:space="0" w:color="auto"/>
            </w:tcBorders>
            <w:shd w:val="clear" w:color="auto" w:fill="auto"/>
            <w:noWrap/>
            <w:vAlign w:val="center"/>
            <w:hideMark/>
          </w:tcPr>
          <w:p w:rsidR="00005BB8" w:rsidRPr="00005BB8" w:rsidRDefault="00005BB8" w:rsidP="00005BB8">
            <w:pPr>
              <w:tabs>
                <w:tab w:val="left" w:pos="6632"/>
                <w:tab w:val="left" w:pos="7341"/>
                <w:tab w:val="left" w:pos="7483"/>
              </w:tabs>
              <w:ind w:right="742"/>
              <w:jc w:val="both"/>
              <w:rPr>
                <w:rFonts w:cs="Arial"/>
                <w:sz w:val="22"/>
                <w:szCs w:val="22"/>
                <w:lang w:eastAsia="en-GB"/>
              </w:rPr>
            </w:pPr>
            <w:r w:rsidRPr="00005BB8">
              <w:rPr>
                <w:rFonts w:cs="Arial"/>
                <w:sz w:val="22"/>
                <w:szCs w:val="22"/>
                <w:lang w:eastAsia="en-GB"/>
              </w:rPr>
              <w:t>The introduction of universal credits and the localising of support for Council Tax will substantially alter the administering of Housing and Council Tax Benefits</w:t>
            </w:r>
          </w:p>
        </w:tc>
        <w:tc>
          <w:tcPr>
            <w:tcW w:w="1276" w:type="dxa"/>
            <w:tcBorders>
              <w:top w:val="nil"/>
              <w:left w:val="nil"/>
              <w:bottom w:val="single" w:sz="4" w:space="0" w:color="auto"/>
              <w:right w:val="single" w:sz="4" w:space="0" w:color="auto"/>
            </w:tcBorders>
            <w:shd w:val="clear" w:color="auto" w:fill="auto"/>
            <w:noWrap/>
            <w:vAlign w:val="center"/>
            <w:hideMark/>
          </w:tcPr>
          <w:p w:rsidR="00005BB8" w:rsidRPr="00005BB8" w:rsidRDefault="00005BB8" w:rsidP="00005BB8">
            <w:pPr>
              <w:jc w:val="center"/>
              <w:rPr>
                <w:rFonts w:cs="Arial"/>
                <w:sz w:val="22"/>
                <w:szCs w:val="22"/>
                <w:lang w:eastAsia="en-GB"/>
              </w:rPr>
            </w:pPr>
            <w:r w:rsidRPr="00005BB8">
              <w:rPr>
                <w:rFonts w:cs="Arial"/>
                <w:sz w:val="22"/>
                <w:szCs w:val="22"/>
                <w:lang w:eastAsia="en-GB"/>
              </w:rPr>
              <w:t>II</w:t>
            </w:r>
          </w:p>
        </w:tc>
        <w:tc>
          <w:tcPr>
            <w:tcW w:w="1216" w:type="dxa"/>
            <w:tcBorders>
              <w:top w:val="nil"/>
              <w:left w:val="nil"/>
              <w:bottom w:val="single" w:sz="4" w:space="0" w:color="auto"/>
              <w:right w:val="single" w:sz="8" w:space="0" w:color="auto"/>
            </w:tcBorders>
            <w:shd w:val="clear" w:color="auto" w:fill="auto"/>
            <w:noWrap/>
            <w:vAlign w:val="center"/>
            <w:hideMark/>
          </w:tcPr>
          <w:p w:rsidR="00005BB8" w:rsidRPr="00005BB8" w:rsidRDefault="00005BB8" w:rsidP="00005BB8">
            <w:pPr>
              <w:jc w:val="center"/>
              <w:rPr>
                <w:rFonts w:cs="Arial"/>
                <w:sz w:val="22"/>
                <w:szCs w:val="22"/>
                <w:lang w:eastAsia="en-GB"/>
              </w:rPr>
            </w:pPr>
            <w:r w:rsidRPr="00005BB8">
              <w:rPr>
                <w:rFonts w:cs="Arial"/>
                <w:sz w:val="22"/>
                <w:szCs w:val="22"/>
                <w:lang w:eastAsia="en-GB"/>
              </w:rPr>
              <w:t>E</w:t>
            </w:r>
          </w:p>
        </w:tc>
      </w:tr>
      <w:tr w:rsidR="00005BB8" w:rsidRPr="00005BB8" w:rsidTr="00C80A78">
        <w:trPr>
          <w:trHeight w:val="1005"/>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005BB8" w:rsidRPr="00005BB8" w:rsidRDefault="00005BB8" w:rsidP="00005BB8">
            <w:pPr>
              <w:jc w:val="center"/>
              <w:rPr>
                <w:rFonts w:cs="Arial"/>
                <w:sz w:val="22"/>
                <w:szCs w:val="22"/>
                <w:lang w:eastAsia="en-GB"/>
              </w:rPr>
            </w:pPr>
            <w:r w:rsidRPr="00005BB8">
              <w:rPr>
                <w:rFonts w:cs="Arial"/>
                <w:sz w:val="22"/>
                <w:szCs w:val="22"/>
                <w:lang w:eastAsia="en-GB"/>
              </w:rPr>
              <w:t>17</w:t>
            </w:r>
          </w:p>
        </w:tc>
        <w:tc>
          <w:tcPr>
            <w:tcW w:w="3685" w:type="dxa"/>
            <w:tcBorders>
              <w:top w:val="nil"/>
              <w:left w:val="nil"/>
              <w:bottom w:val="single" w:sz="4" w:space="0" w:color="auto"/>
              <w:right w:val="single" w:sz="4" w:space="0" w:color="auto"/>
            </w:tcBorders>
            <w:shd w:val="clear" w:color="auto" w:fill="auto"/>
            <w:vAlign w:val="center"/>
            <w:hideMark/>
          </w:tcPr>
          <w:p w:rsidR="00005BB8" w:rsidRPr="00005BB8" w:rsidRDefault="00005BB8" w:rsidP="00005BB8">
            <w:pPr>
              <w:rPr>
                <w:rFonts w:cs="Arial"/>
                <w:sz w:val="22"/>
                <w:szCs w:val="22"/>
                <w:lang w:eastAsia="en-GB"/>
              </w:rPr>
            </w:pPr>
            <w:r w:rsidRPr="00005BB8">
              <w:rPr>
                <w:rFonts w:cs="Arial"/>
                <w:sz w:val="22"/>
                <w:szCs w:val="22"/>
                <w:lang w:eastAsia="en-GB"/>
              </w:rPr>
              <w:t>Right to Buy Receipts &amp; VAT Shelter Receipts</w:t>
            </w:r>
          </w:p>
        </w:tc>
        <w:tc>
          <w:tcPr>
            <w:tcW w:w="7938" w:type="dxa"/>
            <w:tcBorders>
              <w:top w:val="nil"/>
              <w:left w:val="nil"/>
              <w:bottom w:val="single" w:sz="4" w:space="0" w:color="auto"/>
              <w:right w:val="single" w:sz="4" w:space="0" w:color="auto"/>
            </w:tcBorders>
            <w:shd w:val="clear" w:color="auto" w:fill="auto"/>
            <w:vAlign w:val="center"/>
            <w:hideMark/>
          </w:tcPr>
          <w:p w:rsidR="00005BB8" w:rsidRPr="00005BB8" w:rsidRDefault="00005BB8" w:rsidP="00005BB8">
            <w:pPr>
              <w:tabs>
                <w:tab w:val="left" w:pos="6632"/>
                <w:tab w:val="left" w:pos="7341"/>
                <w:tab w:val="left" w:pos="7483"/>
              </w:tabs>
              <w:ind w:right="742"/>
              <w:rPr>
                <w:rFonts w:cs="Arial"/>
                <w:sz w:val="22"/>
                <w:szCs w:val="22"/>
                <w:lang w:eastAsia="en-GB"/>
              </w:rPr>
            </w:pPr>
            <w:r w:rsidRPr="00005BB8">
              <w:rPr>
                <w:rFonts w:cs="Arial"/>
                <w:sz w:val="22"/>
                <w:szCs w:val="22"/>
                <w:lang w:eastAsia="en-GB"/>
              </w:rPr>
              <w:t xml:space="preserve">Under the housing stock transfer with Thrive Homes Limited (THL) the Council is entitled to use its share of the proceeds to fund the capital programme. The level of activity on these income streams are outside the Council's control. </w:t>
            </w:r>
          </w:p>
        </w:tc>
        <w:tc>
          <w:tcPr>
            <w:tcW w:w="1276" w:type="dxa"/>
            <w:tcBorders>
              <w:top w:val="nil"/>
              <w:left w:val="nil"/>
              <w:bottom w:val="single" w:sz="4" w:space="0" w:color="auto"/>
              <w:right w:val="single" w:sz="4" w:space="0" w:color="auto"/>
            </w:tcBorders>
            <w:shd w:val="clear" w:color="auto" w:fill="auto"/>
            <w:noWrap/>
            <w:vAlign w:val="center"/>
            <w:hideMark/>
          </w:tcPr>
          <w:p w:rsidR="00005BB8" w:rsidRPr="00005BB8" w:rsidRDefault="00005BB8" w:rsidP="00005BB8">
            <w:pPr>
              <w:jc w:val="center"/>
              <w:rPr>
                <w:rFonts w:cs="Arial"/>
                <w:sz w:val="22"/>
                <w:szCs w:val="22"/>
                <w:lang w:eastAsia="en-GB"/>
              </w:rPr>
            </w:pPr>
            <w:r w:rsidRPr="00005BB8">
              <w:rPr>
                <w:rFonts w:cs="Arial"/>
                <w:sz w:val="22"/>
                <w:szCs w:val="22"/>
                <w:lang w:eastAsia="en-GB"/>
              </w:rPr>
              <w:t>IV</w:t>
            </w:r>
          </w:p>
        </w:tc>
        <w:tc>
          <w:tcPr>
            <w:tcW w:w="1216" w:type="dxa"/>
            <w:tcBorders>
              <w:top w:val="nil"/>
              <w:left w:val="nil"/>
              <w:bottom w:val="single" w:sz="4" w:space="0" w:color="auto"/>
              <w:right w:val="single" w:sz="8" w:space="0" w:color="auto"/>
            </w:tcBorders>
            <w:shd w:val="clear" w:color="auto" w:fill="auto"/>
            <w:noWrap/>
            <w:vAlign w:val="center"/>
            <w:hideMark/>
          </w:tcPr>
          <w:p w:rsidR="00005BB8" w:rsidRPr="00005BB8" w:rsidRDefault="00005BB8" w:rsidP="00005BB8">
            <w:pPr>
              <w:jc w:val="center"/>
              <w:rPr>
                <w:rFonts w:cs="Arial"/>
                <w:sz w:val="22"/>
                <w:szCs w:val="22"/>
                <w:lang w:eastAsia="en-GB"/>
              </w:rPr>
            </w:pPr>
            <w:r w:rsidRPr="00005BB8">
              <w:rPr>
                <w:rFonts w:cs="Arial"/>
                <w:sz w:val="22"/>
                <w:szCs w:val="22"/>
                <w:lang w:eastAsia="en-GB"/>
              </w:rPr>
              <w:t>E</w:t>
            </w:r>
          </w:p>
        </w:tc>
      </w:tr>
      <w:tr w:rsidR="00005BB8" w:rsidRPr="00005BB8" w:rsidTr="00C80A78">
        <w:trPr>
          <w:trHeight w:val="936"/>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005BB8" w:rsidRPr="00005BB8" w:rsidRDefault="00005BB8" w:rsidP="00005BB8">
            <w:pPr>
              <w:jc w:val="center"/>
              <w:rPr>
                <w:rFonts w:cs="Arial"/>
                <w:sz w:val="22"/>
                <w:szCs w:val="22"/>
                <w:lang w:eastAsia="en-GB"/>
              </w:rPr>
            </w:pPr>
            <w:r w:rsidRPr="00005BB8">
              <w:rPr>
                <w:rFonts w:cs="Arial"/>
                <w:sz w:val="22"/>
                <w:szCs w:val="22"/>
                <w:lang w:eastAsia="en-GB"/>
              </w:rPr>
              <w:t>18</w:t>
            </w:r>
          </w:p>
        </w:tc>
        <w:tc>
          <w:tcPr>
            <w:tcW w:w="3685" w:type="dxa"/>
            <w:tcBorders>
              <w:top w:val="nil"/>
              <w:left w:val="nil"/>
              <w:bottom w:val="single" w:sz="4" w:space="0" w:color="auto"/>
              <w:right w:val="single" w:sz="4" w:space="0" w:color="auto"/>
            </w:tcBorders>
            <w:shd w:val="clear" w:color="auto" w:fill="auto"/>
            <w:vAlign w:val="center"/>
            <w:hideMark/>
          </w:tcPr>
          <w:p w:rsidR="00005BB8" w:rsidRPr="00005BB8" w:rsidRDefault="00005BB8" w:rsidP="00005BB8">
            <w:pPr>
              <w:rPr>
                <w:rFonts w:cs="Arial"/>
                <w:sz w:val="22"/>
                <w:szCs w:val="22"/>
                <w:lang w:eastAsia="en-GB"/>
              </w:rPr>
            </w:pPr>
            <w:r w:rsidRPr="00005BB8">
              <w:rPr>
                <w:rFonts w:cs="Arial"/>
                <w:sz w:val="22"/>
                <w:szCs w:val="22"/>
                <w:lang w:eastAsia="en-GB"/>
              </w:rPr>
              <w:t>Fluctuations in Business Rates Retention</w:t>
            </w:r>
          </w:p>
        </w:tc>
        <w:tc>
          <w:tcPr>
            <w:tcW w:w="7938" w:type="dxa"/>
            <w:tcBorders>
              <w:top w:val="nil"/>
              <w:left w:val="nil"/>
              <w:bottom w:val="single" w:sz="4" w:space="0" w:color="auto"/>
              <w:right w:val="single" w:sz="4" w:space="0" w:color="auto"/>
            </w:tcBorders>
            <w:shd w:val="clear" w:color="auto" w:fill="auto"/>
            <w:noWrap/>
            <w:vAlign w:val="center"/>
            <w:hideMark/>
          </w:tcPr>
          <w:p w:rsidR="00005BB8" w:rsidRPr="00005BB8" w:rsidRDefault="00005BB8" w:rsidP="00005BB8">
            <w:pPr>
              <w:tabs>
                <w:tab w:val="left" w:pos="7483"/>
                <w:tab w:val="left" w:pos="7766"/>
              </w:tabs>
              <w:ind w:right="459"/>
              <w:rPr>
                <w:rFonts w:cs="Arial"/>
                <w:sz w:val="22"/>
                <w:szCs w:val="22"/>
                <w:lang w:eastAsia="en-GB"/>
              </w:rPr>
            </w:pPr>
            <w:r w:rsidRPr="00005BB8">
              <w:rPr>
                <w:rFonts w:cs="Arial"/>
                <w:sz w:val="22"/>
                <w:szCs w:val="22"/>
                <w:lang w:eastAsia="en-GB"/>
              </w:rPr>
              <w:t xml:space="preserve">The Council is legally obliged to cover the first 7.5% loss on its pre- determined baseline level. </w:t>
            </w:r>
          </w:p>
        </w:tc>
        <w:tc>
          <w:tcPr>
            <w:tcW w:w="1276" w:type="dxa"/>
            <w:tcBorders>
              <w:top w:val="nil"/>
              <w:left w:val="nil"/>
              <w:bottom w:val="single" w:sz="4" w:space="0" w:color="auto"/>
              <w:right w:val="single" w:sz="4" w:space="0" w:color="auto"/>
            </w:tcBorders>
            <w:shd w:val="clear" w:color="auto" w:fill="auto"/>
            <w:noWrap/>
            <w:vAlign w:val="center"/>
            <w:hideMark/>
          </w:tcPr>
          <w:p w:rsidR="00005BB8" w:rsidRPr="00005BB8" w:rsidRDefault="00005BB8" w:rsidP="00005BB8">
            <w:pPr>
              <w:jc w:val="center"/>
              <w:rPr>
                <w:rFonts w:cs="Arial"/>
                <w:sz w:val="22"/>
                <w:szCs w:val="22"/>
                <w:lang w:eastAsia="en-GB"/>
              </w:rPr>
            </w:pPr>
            <w:r w:rsidRPr="00005BB8">
              <w:rPr>
                <w:rFonts w:cs="Arial"/>
                <w:sz w:val="22"/>
                <w:szCs w:val="22"/>
                <w:lang w:eastAsia="en-GB"/>
              </w:rPr>
              <w:t>IV</w:t>
            </w:r>
          </w:p>
        </w:tc>
        <w:tc>
          <w:tcPr>
            <w:tcW w:w="1216" w:type="dxa"/>
            <w:tcBorders>
              <w:top w:val="nil"/>
              <w:left w:val="nil"/>
              <w:bottom w:val="single" w:sz="4" w:space="0" w:color="auto"/>
              <w:right w:val="single" w:sz="8" w:space="0" w:color="auto"/>
            </w:tcBorders>
            <w:shd w:val="clear" w:color="auto" w:fill="auto"/>
            <w:noWrap/>
            <w:vAlign w:val="center"/>
            <w:hideMark/>
          </w:tcPr>
          <w:p w:rsidR="00005BB8" w:rsidRPr="00005BB8" w:rsidRDefault="00005BB8" w:rsidP="00005BB8">
            <w:pPr>
              <w:jc w:val="center"/>
              <w:rPr>
                <w:rFonts w:cs="Arial"/>
                <w:sz w:val="22"/>
                <w:szCs w:val="22"/>
                <w:lang w:eastAsia="en-GB"/>
              </w:rPr>
            </w:pPr>
            <w:r w:rsidRPr="00005BB8">
              <w:rPr>
                <w:rFonts w:cs="Arial"/>
                <w:sz w:val="22"/>
                <w:szCs w:val="22"/>
                <w:lang w:eastAsia="en-GB"/>
              </w:rPr>
              <w:t>C</w:t>
            </w:r>
          </w:p>
        </w:tc>
      </w:tr>
      <w:tr w:rsidR="00005BB8" w:rsidRPr="00005BB8" w:rsidTr="00C80A78">
        <w:trPr>
          <w:trHeight w:val="1005"/>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rsidR="00005BB8" w:rsidRPr="00005BB8" w:rsidRDefault="00005BB8" w:rsidP="00005BB8">
            <w:pPr>
              <w:jc w:val="center"/>
              <w:rPr>
                <w:rFonts w:cs="Arial"/>
                <w:sz w:val="22"/>
                <w:szCs w:val="22"/>
                <w:lang w:eastAsia="en-GB"/>
              </w:rPr>
            </w:pPr>
            <w:r w:rsidRPr="00005BB8">
              <w:rPr>
                <w:rFonts w:cs="Arial"/>
                <w:sz w:val="22"/>
                <w:szCs w:val="22"/>
                <w:lang w:eastAsia="en-GB"/>
              </w:rPr>
              <w:t>19</w:t>
            </w:r>
          </w:p>
        </w:tc>
        <w:tc>
          <w:tcPr>
            <w:tcW w:w="3685" w:type="dxa"/>
            <w:tcBorders>
              <w:top w:val="nil"/>
              <w:left w:val="nil"/>
              <w:bottom w:val="single" w:sz="4" w:space="0" w:color="auto"/>
              <w:right w:val="single" w:sz="4" w:space="0" w:color="auto"/>
            </w:tcBorders>
            <w:shd w:val="clear" w:color="auto" w:fill="auto"/>
            <w:vAlign w:val="center"/>
            <w:hideMark/>
          </w:tcPr>
          <w:p w:rsidR="00005BB8" w:rsidRPr="00005BB8" w:rsidRDefault="00005BB8" w:rsidP="00005BB8">
            <w:pPr>
              <w:rPr>
                <w:rFonts w:cs="Arial"/>
                <w:sz w:val="22"/>
                <w:szCs w:val="22"/>
                <w:lang w:eastAsia="en-GB"/>
              </w:rPr>
            </w:pPr>
            <w:r w:rsidRPr="00005BB8">
              <w:rPr>
                <w:rFonts w:cs="Arial"/>
                <w:sz w:val="22"/>
                <w:szCs w:val="22"/>
                <w:lang w:eastAsia="en-GB"/>
              </w:rPr>
              <w:t>Failure to deliver the South Oxhey Initiative to desired outcomes and objectives</w:t>
            </w:r>
          </w:p>
        </w:tc>
        <w:tc>
          <w:tcPr>
            <w:tcW w:w="7938" w:type="dxa"/>
            <w:tcBorders>
              <w:top w:val="nil"/>
              <w:left w:val="nil"/>
              <w:bottom w:val="single" w:sz="4" w:space="0" w:color="auto"/>
              <w:right w:val="single" w:sz="4" w:space="0" w:color="auto"/>
            </w:tcBorders>
            <w:shd w:val="clear" w:color="auto" w:fill="auto"/>
            <w:noWrap/>
            <w:vAlign w:val="center"/>
            <w:hideMark/>
          </w:tcPr>
          <w:p w:rsidR="00005BB8" w:rsidRPr="00005BB8" w:rsidRDefault="00005BB8" w:rsidP="00005BB8">
            <w:pPr>
              <w:tabs>
                <w:tab w:val="left" w:pos="6632"/>
                <w:tab w:val="left" w:pos="7341"/>
                <w:tab w:val="left" w:pos="7483"/>
              </w:tabs>
              <w:ind w:right="317"/>
              <w:rPr>
                <w:rFonts w:cs="Arial"/>
                <w:sz w:val="22"/>
                <w:szCs w:val="22"/>
                <w:lang w:eastAsia="en-GB"/>
              </w:rPr>
            </w:pPr>
            <w:r w:rsidRPr="00005BB8">
              <w:rPr>
                <w:rFonts w:cs="Arial"/>
                <w:sz w:val="22"/>
                <w:szCs w:val="22"/>
                <w:lang w:eastAsia="en-GB"/>
              </w:rPr>
              <w:t>This is a key project. This appears as item no.7 in the Council's strategic risk register.</w:t>
            </w:r>
          </w:p>
        </w:tc>
        <w:tc>
          <w:tcPr>
            <w:tcW w:w="1276" w:type="dxa"/>
            <w:tcBorders>
              <w:top w:val="nil"/>
              <w:left w:val="nil"/>
              <w:bottom w:val="single" w:sz="4" w:space="0" w:color="auto"/>
              <w:right w:val="single" w:sz="4" w:space="0" w:color="auto"/>
            </w:tcBorders>
            <w:shd w:val="clear" w:color="auto" w:fill="auto"/>
            <w:noWrap/>
            <w:vAlign w:val="center"/>
            <w:hideMark/>
          </w:tcPr>
          <w:p w:rsidR="00005BB8" w:rsidRPr="00005BB8" w:rsidRDefault="00005BB8" w:rsidP="00005BB8">
            <w:pPr>
              <w:jc w:val="center"/>
              <w:rPr>
                <w:rFonts w:cs="Arial"/>
                <w:sz w:val="22"/>
                <w:szCs w:val="22"/>
                <w:lang w:eastAsia="en-GB"/>
              </w:rPr>
            </w:pPr>
            <w:r w:rsidRPr="00005BB8">
              <w:rPr>
                <w:rFonts w:cs="Arial"/>
                <w:sz w:val="22"/>
                <w:szCs w:val="22"/>
                <w:lang w:eastAsia="en-GB"/>
              </w:rPr>
              <w:t>IV</w:t>
            </w:r>
          </w:p>
        </w:tc>
        <w:tc>
          <w:tcPr>
            <w:tcW w:w="1216" w:type="dxa"/>
            <w:tcBorders>
              <w:top w:val="nil"/>
              <w:left w:val="nil"/>
              <w:bottom w:val="single" w:sz="4" w:space="0" w:color="auto"/>
              <w:right w:val="single" w:sz="8" w:space="0" w:color="auto"/>
            </w:tcBorders>
            <w:shd w:val="clear" w:color="auto" w:fill="auto"/>
            <w:noWrap/>
            <w:vAlign w:val="center"/>
            <w:hideMark/>
          </w:tcPr>
          <w:p w:rsidR="00005BB8" w:rsidRPr="00005BB8" w:rsidRDefault="00005BB8" w:rsidP="00005BB8">
            <w:pPr>
              <w:jc w:val="center"/>
              <w:rPr>
                <w:rFonts w:cs="Arial"/>
                <w:sz w:val="22"/>
                <w:szCs w:val="22"/>
                <w:lang w:eastAsia="en-GB"/>
              </w:rPr>
            </w:pPr>
            <w:r w:rsidRPr="00005BB8">
              <w:rPr>
                <w:rFonts w:cs="Arial"/>
                <w:sz w:val="22"/>
                <w:szCs w:val="22"/>
                <w:lang w:eastAsia="en-GB"/>
              </w:rPr>
              <w:t>D</w:t>
            </w:r>
          </w:p>
        </w:tc>
      </w:tr>
      <w:tr w:rsidR="00005BB8" w:rsidRPr="00005BB8" w:rsidTr="00C80A78">
        <w:trPr>
          <w:trHeight w:val="1005"/>
        </w:trPr>
        <w:tc>
          <w:tcPr>
            <w:tcW w:w="993" w:type="dxa"/>
            <w:tcBorders>
              <w:top w:val="nil"/>
              <w:left w:val="single" w:sz="8" w:space="0" w:color="auto"/>
              <w:bottom w:val="single" w:sz="8" w:space="0" w:color="auto"/>
              <w:right w:val="single" w:sz="4" w:space="0" w:color="auto"/>
            </w:tcBorders>
            <w:shd w:val="clear" w:color="auto" w:fill="auto"/>
            <w:noWrap/>
            <w:vAlign w:val="center"/>
            <w:hideMark/>
          </w:tcPr>
          <w:p w:rsidR="00005BB8" w:rsidRPr="00005BB8" w:rsidRDefault="00005BB8" w:rsidP="00005BB8">
            <w:pPr>
              <w:jc w:val="center"/>
              <w:rPr>
                <w:rFonts w:cs="Arial"/>
                <w:sz w:val="22"/>
                <w:szCs w:val="22"/>
                <w:lang w:eastAsia="en-GB"/>
              </w:rPr>
            </w:pPr>
            <w:r w:rsidRPr="00005BB8">
              <w:rPr>
                <w:rFonts w:cs="Arial"/>
                <w:sz w:val="22"/>
                <w:szCs w:val="22"/>
                <w:lang w:eastAsia="en-GB"/>
              </w:rPr>
              <w:t>20</w:t>
            </w:r>
          </w:p>
        </w:tc>
        <w:tc>
          <w:tcPr>
            <w:tcW w:w="3685" w:type="dxa"/>
            <w:tcBorders>
              <w:top w:val="nil"/>
              <w:left w:val="nil"/>
              <w:bottom w:val="single" w:sz="8" w:space="0" w:color="auto"/>
              <w:right w:val="single" w:sz="4" w:space="0" w:color="auto"/>
            </w:tcBorders>
            <w:shd w:val="clear" w:color="auto" w:fill="auto"/>
            <w:vAlign w:val="center"/>
            <w:hideMark/>
          </w:tcPr>
          <w:p w:rsidR="00005BB8" w:rsidRPr="00005BB8" w:rsidRDefault="00005BB8" w:rsidP="00005BB8">
            <w:pPr>
              <w:rPr>
                <w:rFonts w:cs="Arial"/>
                <w:sz w:val="22"/>
                <w:szCs w:val="22"/>
                <w:lang w:eastAsia="en-GB"/>
              </w:rPr>
            </w:pPr>
            <w:r w:rsidRPr="00005BB8">
              <w:rPr>
                <w:rFonts w:cs="Arial"/>
                <w:sz w:val="22"/>
                <w:szCs w:val="22"/>
                <w:lang w:eastAsia="en-GB"/>
              </w:rPr>
              <w:t>Failure of ICT systems</w:t>
            </w:r>
          </w:p>
        </w:tc>
        <w:tc>
          <w:tcPr>
            <w:tcW w:w="7938" w:type="dxa"/>
            <w:tcBorders>
              <w:top w:val="nil"/>
              <w:left w:val="nil"/>
              <w:bottom w:val="single" w:sz="8" w:space="0" w:color="auto"/>
              <w:right w:val="single" w:sz="4" w:space="0" w:color="auto"/>
            </w:tcBorders>
            <w:shd w:val="clear" w:color="auto" w:fill="auto"/>
            <w:vAlign w:val="center"/>
            <w:hideMark/>
          </w:tcPr>
          <w:p w:rsidR="00005BB8" w:rsidRPr="00005BB8" w:rsidRDefault="00005BB8" w:rsidP="00005BB8">
            <w:pPr>
              <w:tabs>
                <w:tab w:val="left" w:pos="6632"/>
                <w:tab w:val="left" w:pos="7341"/>
                <w:tab w:val="left" w:pos="7483"/>
              </w:tabs>
              <w:ind w:right="459"/>
              <w:rPr>
                <w:rFonts w:cs="Arial"/>
                <w:sz w:val="22"/>
                <w:szCs w:val="22"/>
                <w:lang w:eastAsia="en-GB"/>
              </w:rPr>
            </w:pPr>
            <w:r w:rsidRPr="00005BB8">
              <w:rPr>
                <w:rFonts w:cs="Arial"/>
                <w:sz w:val="22"/>
                <w:szCs w:val="22"/>
                <w:lang w:eastAsia="en-GB"/>
              </w:rPr>
              <w:t xml:space="preserve">The Council's integrated Financial Management System (FMS) is held on an ICT platform. If this were to fail then potentially there will be a loss of functionality occurring during any downtime. </w:t>
            </w:r>
          </w:p>
        </w:tc>
        <w:tc>
          <w:tcPr>
            <w:tcW w:w="1276" w:type="dxa"/>
            <w:tcBorders>
              <w:top w:val="nil"/>
              <w:left w:val="nil"/>
              <w:bottom w:val="single" w:sz="8" w:space="0" w:color="auto"/>
              <w:right w:val="single" w:sz="4" w:space="0" w:color="auto"/>
            </w:tcBorders>
            <w:shd w:val="clear" w:color="auto" w:fill="auto"/>
            <w:noWrap/>
            <w:vAlign w:val="center"/>
            <w:hideMark/>
          </w:tcPr>
          <w:p w:rsidR="00005BB8" w:rsidRPr="00005BB8" w:rsidRDefault="00005BB8" w:rsidP="00005BB8">
            <w:pPr>
              <w:jc w:val="center"/>
              <w:rPr>
                <w:rFonts w:cs="Arial"/>
                <w:sz w:val="22"/>
                <w:szCs w:val="22"/>
                <w:lang w:eastAsia="en-GB"/>
              </w:rPr>
            </w:pPr>
            <w:r w:rsidRPr="00005BB8">
              <w:rPr>
                <w:rFonts w:cs="Arial"/>
                <w:sz w:val="22"/>
                <w:szCs w:val="22"/>
                <w:lang w:eastAsia="en-GB"/>
              </w:rPr>
              <w:t>III</w:t>
            </w:r>
          </w:p>
        </w:tc>
        <w:tc>
          <w:tcPr>
            <w:tcW w:w="1216" w:type="dxa"/>
            <w:tcBorders>
              <w:top w:val="nil"/>
              <w:left w:val="nil"/>
              <w:bottom w:val="single" w:sz="8" w:space="0" w:color="auto"/>
              <w:right w:val="single" w:sz="8" w:space="0" w:color="auto"/>
            </w:tcBorders>
            <w:shd w:val="clear" w:color="auto" w:fill="auto"/>
            <w:noWrap/>
            <w:vAlign w:val="center"/>
            <w:hideMark/>
          </w:tcPr>
          <w:p w:rsidR="00005BB8" w:rsidRPr="00005BB8" w:rsidRDefault="00005BB8" w:rsidP="00005BB8">
            <w:pPr>
              <w:jc w:val="center"/>
              <w:rPr>
                <w:rFonts w:cs="Arial"/>
                <w:sz w:val="22"/>
                <w:szCs w:val="22"/>
                <w:lang w:eastAsia="en-GB"/>
              </w:rPr>
            </w:pPr>
            <w:r w:rsidRPr="00005BB8">
              <w:rPr>
                <w:rFonts w:cs="Arial"/>
                <w:sz w:val="22"/>
                <w:szCs w:val="22"/>
                <w:lang w:eastAsia="en-GB"/>
              </w:rPr>
              <w:t>E</w:t>
            </w:r>
          </w:p>
        </w:tc>
      </w:tr>
    </w:tbl>
    <w:p w:rsidR="00005BB8" w:rsidRPr="00005BB8" w:rsidRDefault="00005BB8" w:rsidP="00005BB8">
      <w:pPr>
        <w:spacing w:after="200" w:line="276" w:lineRule="auto"/>
        <w:rPr>
          <w:rFonts w:ascii="Calibri" w:eastAsia="Calibri" w:hAnsi="Calibri"/>
          <w:sz w:val="22"/>
          <w:szCs w:val="22"/>
        </w:rPr>
      </w:pPr>
    </w:p>
    <w:p w:rsidR="00005BB8" w:rsidRPr="00005BB8" w:rsidRDefault="00005BB8" w:rsidP="00005BB8">
      <w:pPr>
        <w:spacing w:after="200" w:line="276" w:lineRule="auto"/>
        <w:rPr>
          <w:rFonts w:eastAsia="Calibri" w:cs="Arial"/>
          <w:sz w:val="22"/>
          <w:szCs w:val="22"/>
        </w:rPr>
      </w:pPr>
      <w:r w:rsidRPr="00005BB8">
        <w:rPr>
          <w:rFonts w:eastAsia="Calibri" w:cs="Arial"/>
          <w:sz w:val="22"/>
          <w:szCs w:val="22"/>
        </w:rPr>
        <w:t>Note:  The risk numbers relate to the Council’s risk register. Risk numbers 1-6 do not relate to finance or budgetary risks.</w:t>
      </w:r>
    </w:p>
    <w:p w:rsidR="00005BB8" w:rsidRPr="00005BB8" w:rsidRDefault="00005BB8" w:rsidP="00005BB8">
      <w:pPr>
        <w:spacing w:after="200" w:line="276" w:lineRule="auto"/>
        <w:rPr>
          <w:rFonts w:ascii="Calibri" w:eastAsia="Calibri" w:hAnsi="Calibri"/>
          <w:sz w:val="22"/>
          <w:szCs w:val="22"/>
        </w:rPr>
      </w:pPr>
    </w:p>
    <w:p w:rsidR="00005BB8" w:rsidRPr="00005BB8" w:rsidRDefault="00005BB8" w:rsidP="00005BB8">
      <w:pPr>
        <w:spacing w:after="200" w:line="276" w:lineRule="auto"/>
        <w:ind w:left="567"/>
        <w:rPr>
          <w:rFonts w:ascii="Calibri" w:eastAsia="Calibri" w:hAnsi="Calibri"/>
          <w:sz w:val="22"/>
          <w:szCs w:val="22"/>
        </w:rPr>
      </w:pPr>
    </w:p>
    <w:p w:rsidR="00005BB8" w:rsidRPr="00655799" w:rsidRDefault="00005BB8" w:rsidP="00005BB8">
      <w:pPr>
        <w:tabs>
          <w:tab w:val="left" w:pos="567"/>
        </w:tabs>
        <w:spacing w:after="200" w:line="276" w:lineRule="auto"/>
        <w:ind w:left="567"/>
        <w:rPr>
          <w:rFonts w:eastAsia="Calibri" w:cs="Arial"/>
          <w:b/>
          <w:sz w:val="22"/>
          <w:szCs w:val="22"/>
          <w:u w:val="single"/>
        </w:rPr>
      </w:pPr>
      <w:r w:rsidRPr="00655799">
        <w:rPr>
          <w:rFonts w:eastAsia="Calibri" w:cs="Arial"/>
          <w:b/>
          <w:sz w:val="22"/>
          <w:szCs w:val="22"/>
          <w:u w:val="single"/>
        </w:rPr>
        <w:t>Matrix Key</w:t>
      </w:r>
    </w:p>
    <w:tbl>
      <w:tblPr>
        <w:tblW w:w="9532" w:type="dxa"/>
        <w:tblInd w:w="1526" w:type="dxa"/>
        <w:tblLook w:val="04A0" w:firstRow="1" w:lastRow="0" w:firstColumn="1" w:lastColumn="0" w:noHBand="0" w:noVBand="1"/>
      </w:tblPr>
      <w:tblGrid>
        <w:gridCol w:w="797"/>
        <w:gridCol w:w="479"/>
        <w:gridCol w:w="976"/>
        <w:gridCol w:w="1080"/>
        <w:gridCol w:w="1204"/>
        <w:gridCol w:w="956"/>
        <w:gridCol w:w="1080"/>
        <w:gridCol w:w="1420"/>
        <w:gridCol w:w="1540"/>
      </w:tblGrid>
      <w:tr w:rsidR="00005BB8" w:rsidRPr="00655799" w:rsidTr="00422FFA">
        <w:trPr>
          <w:trHeight w:val="690"/>
        </w:trPr>
        <w:tc>
          <w:tcPr>
            <w:tcW w:w="797" w:type="dxa"/>
            <w:tcBorders>
              <w:top w:val="nil"/>
              <w:left w:val="nil"/>
              <w:bottom w:val="nil"/>
              <w:right w:val="nil"/>
            </w:tcBorders>
            <w:shd w:val="clear" w:color="auto" w:fill="auto"/>
            <w:noWrap/>
            <w:vAlign w:val="bottom"/>
            <w:hideMark/>
          </w:tcPr>
          <w:p w:rsidR="00005BB8" w:rsidRPr="00655799" w:rsidRDefault="00005BB8" w:rsidP="00005BB8">
            <w:pPr>
              <w:jc w:val="center"/>
              <w:rPr>
                <w:rFonts w:cs="Arial"/>
                <w:sz w:val="22"/>
                <w:szCs w:val="22"/>
                <w:lang w:eastAsia="en-GB"/>
              </w:rPr>
            </w:pPr>
          </w:p>
        </w:tc>
        <w:tc>
          <w:tcPr>
            <w:tcW w:w="479" w:type="dxa"/>
            <w:tcBorders>
              <w:top w:val="nil"/>
              <w:left w:val="nil"/>
              <w:bottom w:val="nil"/>
              <w:right w:val="nil"/>
            </w:tcBorders>
            <w:shd w:val="clear" w:color="auto" w:fill="auto"/>
            <w:noWrap/>
            <w:vAlign w:val="bottom"/>
            <w:hideMark/>
          </w:tcPr>
          <w:p w:rsidR="00005BB8" w:rsidRPr="00655799" w:rsidRDefault="00005BB8" w:rsidP="00005BB8">
            <w:pPr>
              <w:jc w:val="center"/>
              <w:rPr>
                <w:rFonts w:cs="Arial"/>
                <w:sz w:val="22"/>
                <w:szCs w:val="22"/>
                <w:lang w:eastAsia="en-GB"/>
              </w:rPr>
            </w:pPr>
          </w:p>
        </w:tc>
        <w:tc>
          <w:tcPr>
            <w:tcW w:w="5296"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05BB8" w:rsidRPr="00655799" w:rsidRDefault="00005BB8" w:rsidP="00005BB8">
            <w:pPr>
              <w:jc w:val="center"/>
              <w:rPr>
                <w:rFonts w:cs="Arial"/>
                <w:b/>
                <w:bCs/>
                <w:sz w:val="22"/>
                <w:szCs w:val="22"/>
                <w:lang w:eastAsia="en-GB"/>
              </w:rPr>
            </w:pPr>
            <w:r w:rsidRPr="00655799">
              <w:rPr>
                <w:rFonts w:cs="Arial"/>
                <w:b/>
                <w:bCs/>
                <w:sz w:val="22"/>
                <w:szCs w:val="22"/>
                <w:lang w:eastAsia="en-GB"/>
              </w:rPr>
              <w:t>Impact</w:t>
            </w:r>
          </w:p>
        </w:tc>
        <w:tc>
          <w:tcPr>
            <w:tcW w:w="1420" w:type="dxa"/>
            <w:tcBorders>
              <w:top w:val="nil"/>
              <w:left w:val="nil"/>
              <w:bottom w:val="nil"/>
              <w:right w:val="nil"/>
            </w:tcBorders>
            <w:shd w:val="clear" w:color="auto" w:fill="auto"/>
            <w:noWrap/>
            <w:vAlign w:val="bottom"/>
            <w:hideMark/>
          </w:tcPr>
          <w:p w:rsidR="00005BB8" w:rsidRPr="00655799" w:rsidRDefault="00005BB8" w:rsidP="00005BB8">
            <w:pPr>
              <w:jc w:val="center"/>
              <w:rPr>
                <w:rFonts w:cs="Arial"/>
                <w:sz w:val="22"/>
                <w:szCs w:val="22"/>
                <w:lang w:eastAsia="en-GB"/>
              </w:rPr>
            </w:pPr>
          </w:p>
        </w:tc>
        <w:tc>
          <w:tcPr>
            <w:tcW w:w="1540" w:type="dxa"/>
            <w:tcBorders>
              <w:top w:val="nil"/>
              <w:left w:val="nil"/>
              <w:bottom w:val="nil"/>
              <w:right w:val="nil"/>
            </w:tcBorders>
            <w:shd w:val="clear" w:color="auto" w:fill="auto"/>
            <w:noWrap/>
            <w:vAlign w:val="bottom"/>
            <w:hideMark/>
          </w:tcPr>
          <w:p w:rsidR="00005BB8" w:rsidRPr="00655799" w:rsidRDefault="00005BB8" w:rsidP="00005BB8">
            <w:pPr>
              <w:jc w:val="center"/>
              <w:rPr>
                <w:rFonts w:cs="Arial"/>
                <w:sz w:val="22"/>
                <w:szCs w:val="22"/>
                <w:lang w:eastAsia="en-GB"/>
              </w:rPr>
            </w:pPr>
          </w:p>
        </w:tc>
      </w:tr>
      <w:tr w:rsidR="00005BB8" w:rsidRPr="00655799" w:rsidTr="00422FFA">
        <w:trPr>
          <w:trHeight w:val="1005"/>
        </w:trPr>
        <w:tc>
          <w:tcPr>
            <w:tcW w:w="797" w:type="dxa"/>
            <w:tcBorders>
              <w:top w:val="nil"/>
              <w:left w:val="nil"/>
              <w:bottom w:val="nil"/>
              <w:right w:val="nil"/>
            </w:tcBorders>
            <w:shd w:val="clear" w:color="auto" w:fill="auto"/>
            <w:noWrap/>
            <w:vAlign w:val="bottom"/>
            <w:hideMark/>
          </w:tcPr>
          <w:p w:rsidR="00005BB8" w:rsidRPr="00655799" w:rsidRDefault="00005BB8" w:rsidP="00005BB8">
            <w:pPr>
              <w:jc w:val="center"/>
              <w:rPr>
                <w:rFonts w:cs="Arial"/>
                <w:sz w:val="22"/>
                <w:szCs w:val="22"/>
                <w:lang w:eastAsia="en-GB"/>
              </w:rPr>
            </w:pPr>
          </w:p>
        </w:tc>
        <w:tc>
          <w:tcPr>
            <w:tcW w:w="479"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005BB8" w:rsidRPr="00655799" w:rsidRDefault="00005BB8" w:rsidP="00005BB8">
            <w:pPr>
              <w:jc w:val="center"/>
              <w:rPr>
                <w:rFonts w:cs="Arial"/>
                <w:b/>
                <w:bCs/>
                <w:sz w:val="22"/>
                <w:szCs w:val="22"/>
                <w:lang w:eastAsia="en-GB"/>
              </w:rPr>
            </w:pPr>
          </w:p>
        </w:tc>
        <w:tc>
          <w:tcPr>
            <w:tcW w:w="976" w:type="dxa"/>
            <w:tcBorders>
              <w:top w:val="nil"/>
              <w:left w:val="nil"/>
              <w:bottom w:val="single" w:sz="8" w:space="0" w:color="auto"/>
              <w:right w:val="single" w:sz="8" w:space="0" w:color="auto"/>
            </w:tcBorders>
            <w:shd w:val="clear" w:color="auto" w:fill="auto"/>
            <w:noWrap/>
            <w:vAlign w:val="center"/>
            <w:hideMark/>
          </w:tcPr>
          <w:p w:rsidR="00005BB8" w:rsidRPr="00655799" w:rsidRDefault="00005BB8" w:rsidP="00005BB8">
            <w:pPr>
              <w:jc w:val="center"/>
              <w:rPr>
                <w:rFonts w:cs="Arial"/>
                <w:b/>
                <w:bCs/>
                <w:sz w:val="22"/>
                <w:szCs w:val="22"/>
                <w:lang w:eastAsia="en-GB"/>
              </w:rPr>
            </w:pPr>
            <w:r w:rsidRPr="00655799">
              <w:rPr>
                <w:rFonts w:cs="Arial"/>
                <w:b/>
                <w:bCs/>
                <w:sz w:val="22"/>
                <w:szCs w:val="22"/>
                <w:lang w:eastAsia="en-GB"/>
              </w:rPr>
              <w:t>I</w:t>
            </w:r>
          </w:p>
        </w:tc>
        <w:tc>
          <w:tcPr>
            <w:tcW w:w="1080" w:type="dxa"/>
            <w:tcBorders>
              <w:top w:val="nil"/>
              <w:left w:val="nil"/>
              <w:bottom w:val="single" w:sz="8" w:space="0" w:color="auto"/>
              <w:right w:val="single" w:sz="8" w:space="0" w:color="auto"/>
            </w:tcBorders>
            <w:shd w:val="clear" w:color="auto" w:fill="auto"/>
            <w:noWrap/>
            <w:vAlign w:val="center"/>
            <w:hideMark/>
          </w:tcPr>
          <w:p w:rsidR="00005BB8" w:rsidRPr="00655799" w:rsidRDefault="00005BB8" w:rsidP="00005BB8">
            <w:pPr>
              <w:jc w:val="center"/>
              <w:rPr>
                <w:rFonts w:cs="Arial"/>
                <w:b/>
                <w:bCs/>
                <w:sz w:val="22"/>
                <w:szCs w:val="22"/>
                <w:lang w:eastAsia="en-GB"/>
              </w:rPr>
            </w:pPr>
            <w:r w:rsidRPr="00655799">
              <w:rPr>
                <w:rFonts w:cs="Arial"/>
                <w:b/>
                <w:bCs/>
                <w:sz w:val="22"/>
                <w:szCs w:val="22"/>
                <w:lang w:eastAsia="en-GB"/>
              </w:rPr>
              <w:t>II</w:t>
            </w:r>
          </w:p>
        </w:tc>
        <w:tc>
          <w:tcPr>
            <w:tcW w:w="1204" w:type="dxa"/>
            <w:tcBorders>
              <w:top w:val="nil"/>
              <w:left w:val="nil"/>
              <w:bottom w:val="single" w:sz="8" w:space="0" w:color="auto"/>
              <w:right w:val="single" w:sz="8" w:space="0" w:color="auto"/>
            </w:tcBorders>
            <w:shd w:val="clear" w:color="auto" w:fill="auto"/>
            <w:noWrap/>
            <w:vAlign w:val="center"/>
            <w:hideMark/>
          </w:tcPr>
          <w:p w:rsidR="00005BB8" w:rsidRPr="00655799" w:rsidRDefault="00005BB8" w:rsidP="00005BB8">
            <w:pPr>
              <w:jc w:val="center"/>
              <w:rPr>
                <w:rFonts w:cs="Arial"/>
                <w:b/>
                <w:bCs/>
                <w:sz w:val="22"/>
                <w:szCs w:val="22"/>
                <w:lang w:eastAsia="en-GB"/>
              </w:rPr>
            </w:pPr>
            <w:r w:rsidRPr="00655799">
              <w:rPr>
                <w:rFonts w:cs="Arial"/>
                <w:b/>
                <w:bCs/>
                <w:sz w:val="22"/>
                <w:szCs w:val="22"/>
                <w:lang w:eastAsia="en-GB"/>
              </w:rPr>
              <w:t>III</w:t>
            </w:r>
          </w:p>
        </w:tc>
        <w:tc>
          <w:tcPr>
            <w:tcW w:w="956" w:type="dxa"/>
            <w:tcBorders>
              <w:top w:val="nil"/>
              <w:left w:val="nil"/>
              <w:bottom w:val="single" w:sz="8" w:space="0" w:color="auto"/>
              <w:right w:val="single" w:sz="8" w:space="0" w:color="auto"/>
            </w:tcBorders>
            <w:shd w:val="clear" w:color="auto" w:fill="auto"/>
            <w:noWrap/>
            <w:vAlign w:val="center"/>
            <w:hideMark/>
          </w:tcPr>
          <w:p w:rsidR="00005BB8" w:rsidRPr="00655799" w:rsidRDefault="00005BB8" w:rsidP="00005BB8">
            <w:pPr>
              <w:jc w:val="center"/>
              <w:rPr>
                <w:rFonts w:cs="Arial"/>
                <w:b/>
                <w:bCs/>
                <w:sz w:val="22"/>
                <w:szCs w:val="22"/>
                <w:lang w:eastAsia="en-GB"/>
              </w:rPr>
            </w:pPr>
            <w:r w:rsidRPr="00655799">
              <w:rPr>
                <w:rFonts w:cs="Arial"/>
                <w:b/>
                <w:bCs/>
                <w:sz w:val="22"/>
                <w:szCs w:val="22"/>
                <w:lang w:eastAsia="en-GB"/>
              </w:rPr>
              <w:t>IV</w:t>
            </w:r>
          </w:p>
        </w:tc>
        <w:tc>
          <w:tcPr>
            <w:tcW w:w="1080" w:type="dxa"/>
            <w:tcBorders>
              <w:top w:val="nil"/>
              <w:left w:val="nil"/>
              <w:bottom w:val="single" w:sz="8" w:space="0" w:color="auto"/>
              <w:right w:val="single" w:sz="8" w:space="0" w:color="auto"/>
            </w:tcBorders>
            <w:shd w:val="clear" w:color="auto" w:fill="auto"/>
            <w:noWrap/>
            <w:vAlign w:val="center"/>
            <w:hideMark/>
          </w:tcPr>
          <w:p w:rsidR="00005BB8" w:rsidRPr="00655799" w:rsidRDefault="00005BB8" w:rsidP="00005BB8">
            <w:pPr>
              <w:jc w:val="center"/>
              <w:rPr>
                <w:rFonts w:cs="Arial"/>
                <w:b/>
                <w:bCs/>
                <w:sz w:val="22"/>
                <w:szCs w:val="22"/>
                <w:lang w:eastAsia="en-GB"/>
              </w:rPr>
            </w:pPr>
            <w:r w:rsidRPr="00655799">
              <w:rPr>
                <w:rFonts w:cs="Arial"/>
                <w:b/>
                <w:bCs/>
                <w:sz w:val="22"/>
                <w:szCs w:val="22"/>
                <w:lang w:eastAsia="en-GB"/>
              </w:rPr>
              <w:t>V</w:t>
            </w:r>
          </w:p>
        </w:tc>
        <w:tc>
          <w:tcPr>
            <w:tcW w:w="1420" w:type="dxa"/>
            <w:tcBorders>
              <w:top w:val="single" w:sz="8" w:space="0" w:color="auto"/>
              <w:left w:val="nil"/>
              <w:bottom w:val="single" w:sz="8" w:space="0" w:color="auto"/>
              <w:right w:val="single" w:sz="8" w:space="0" w:color="auto"/>
            </w:tcBorders>
            <w:shd w:val="clear" w:color="auto" w:fill="auto"/>
            <w:hideMark/>
          </w:tcPr>
          <w:p w:rsidR="00005BB8" w:rsidRPr="00655799" w:rsidRDefault="00005BB8" w:rsidP="00005BB8">
            <w:pPr>
              <w:jc w:val="center"/>
              <w:rPr>
                <w:rFonts w:cs="Arial"/>
                <w:b/>
                <w:bCs/>
                <w:sz w:val="22"/>
                <w:szCs w:val="22"/>
                <w:lang w:eastAsia="en-GB"/>
              </w:rPr>
            </w:pPr>
            <w:r w:rsidRPr="00655799">
              <w:rPr>
                <w:rFonts w:cs="Arial"/>
                <w:b/>
                <w:bCs/>
                <w:sz w:val="22"/>
                <w:szCs w:val="22"/>
                <w:lang w:eastAsia="en-GB"/>
              </w:rPr>
              <w:t>Likelihood</w:t>
            </w:r>
          </w:p>
        </w:tc>
        <w:tc>
          <w:tcPr>
            <w:tcW w:w="1540" w:type="dxa"/>
            <w:tcBorders>
              <w:top w:val="single" w:sz="8" w:space="0" w:color="auto"/>
              <w:left w:val="nil"/>
              <w:bottom w:val="single" w:sz="8" w:space="0" w:color="auto"/>
              <w:right w:val="single" w:sz="8" w:space="0" w:color="auto"/>
            </w:tcBorders>
            <w:shd w:val="clear" w:color="auto" w:fill="auto"/>
            <w:hideMark/>
          </w:tcPr>
          <w:p w:rsidR="00005BB8" w:rsidRPr="00655799" w:rsidRDefault="00005BB8" w:rsidP="00005BB8">
            <w:pPr>
              <w:jc w:val="center"/>
              <w:rPr>
                <w:rFonts w:cs="Arial"/>
                <w:b/>
                <w:bCs/>
                <w:sz w:val="22"/>
                <w:szCs w:val="22"/>
                <w:lang w:eastAsia="en-GB"/>
              </w:rPr>
            </w:pPr>
            <w:r w:rsidRPr="00655799">
              <w:rPr>
                <w:rFonts w:cs="Arial"/>
                <w:b/>
                <w:bCs/>
                <w:sz w:val="22"/>
                <w:szCs w:val="22"/>
                <w:lang w:eastAsia="en-GB"/>
              </w:rPr>
              <w:t>Impact</w:t>
            </w:r>
          </w:p>
        </w:tc>
      </w:tr>
      <w:tr w:rsidR="00005BB8" w:rsidRPr="00655799" w:rsidTr="00422FFA">
        <w:trPr>
          <w:trHeight w:val="656"/>
        </w:trPr>
        <w:tc>
          <w:tcPr>
            <w:tcW w:w="79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005BB8" w:rsidRPr="00655799" w:rsidRDefault="00005BB8" w:rsidP="00005BB8">
            <w:pPr>
              <w:jc w:val="center"/>
              <w:rPr>
                <w:rFonts w:cs="Arial"/>
                <w:b/>
                <w:bCs/>
                <w:sz w:val="22"/>
                <w:szCs w:val="22"/>
                <w:lang w:eastAsia="en-GB"/>
              </w:rPr>
            </w:pPr>
            <w:r w:rsidRPr="00655799">
              <w:rPr>
                <w:rFonts w:cs="Arial"/>
                <w:b/>
                <w:bCs/>
                <w:sz w:val="22"/>
                <w:szCs w:val="22"/>
                <w:lang w:eastAsia="en-GB"/>
              </w:rPr>
              <w:t>Likelihood</w:t>
            </w:r>
          </w:p>
        </w:tc>
        <w:tc>
          <w:tcPr>
            <w:tcW w:w="479" w:type="dxa"/>
            <w:tcBorders>
              <w:top w:val="nil"/>
              <w:left w:val="nil"/>
              <w:bottom w:val="single" w:sz="8" w:space="0" w:color="auto"/>
              <w:right w:val="single" w:sz="8" w:space="0" w:color="auto"/>
            </w:tcBorders>
            <w:shd w:val="clear" w:color="auto" w:fill="auto"/>
            <w:vAlign w:val="center"/>
            <w:hideMark/>
          </w:tcPr>
          <w:p w:rsidR="00005BB8" w:rsidRPr="00655799" w:rsidRDefault="00005BB8" w:rsidP="00005BB8">
            <w:pPr>
              <w:jc w:val="center"/>
              <w:rPr>
                <w:rFonts w:cs="Arial"/>
                <w:b/>
                <w:bCs/>
                <w:sz w:val="22"/>
                <w:szCs w:val="22"/>
                <w:lang w:eastAsia="en-GB"/>
              </w:rPr>
            </w:pPr>
            <w:r w:rsidRPr="00655799">
              <w:rPr>
                <w:rFonts w:cs="Arial"/>
                <w:b/>
                <w:bCs/>
                <w:sz w:val="22"/>
                <w:szCs w:val="22"/>
                <w:lang w:eastAsia="en-GB"/>
              </w:rPr>
              <w:t>A</w:t>
            </w:r>
          </w:p>
        </w:tc>
        <w:tc>
          <w:tcPr>
            <w:tcW w:w="976" w:type="dxa"/>
            <w:tcBorders>
              <w:top w:val="nil"/>
              <w:left w:val="nil"/>
              <w:bottom w:val="single" w:sz="8" w:space="0" w:color="auto"/>
              <w:right w:val="single" w:sz="8" w:space="0" w:color="auto"/>
            </w:tcBorders>
            <w:shd w:val="pct12" w:color="000000" w:fill="F2F2F2"/>
            <w:vAlign w:val="center"/>
            <w:hideMark/>
          </w:tcPr>
          <w:p w:rsidR="00005BB8" w:rsidRPr="00655799" w:rsidRDefault="00005BB8" w:rsidP="00005BB8">
            <w:pPr>
              <w:jc w:val="center"/>
              <w:rPr>
                <w:rFonts w:cs="Arial"/>
                <w:sz w:val="22"/>
                <w:szCs w:val="22"/>
                <w:lang w:eastAsia="en-GB"/>
              </w:rPr>
            </w:pPr>
          </w:p>
        </w:tc>
        <w:tc>
          <w:tcPr>
            <w:tcW w:w="1080" w:type="dxa"/>
            <w:tcBorders>
              <w:top w:val="nil"/>
              <w:left w:val="nil"/>
              <w:bottom w:val="single" w:sz="8" w:space="0" w:color="auto"/>
              <w:right w:val="single" w:sz="8" w:space="0" w:color="auto"/>
            </w:tcBorders>
            <w:shd w:val="clear" w:color="auto" w:fill="auto"/>
            <w:vAlign w:val="center"/>
            <w:hideMark/>
          </w:tcPr>
          <w:p w:rsidR="00005BB8" w:rsidRPr="00655799" w:rsidRDefault="00005BB8" w:rsidP="00005BB8">
            <w:pPr>
              <w:jc w:val="center"/>
              <w:rPr>
                <w:rFonts w:cs="Arial"/>
                <w:sz w:val="22"/>
                <w:szCs w:val="22"/>
                <w:lang w:eastAsia="en-GB"/>
              </w:rPr>
            </w:pPr>
          </w:p>
        </w:tc>
        <w:tc>
          <w:tcPr>
            <w:tcW w:w="1204" w:type="dxa"/>
            <w:tcBorders>
              <w:top w:val="nil"/>
              <w:left w:val="nil"/>
              <w:bottom w:val="single" w:sz="8" w:space="0" w:color="auto"/>
              <w:right w:val="single" w:sz="8" w:space="0" w:color="auto"/>
            </w:tcBorders>
            <w:shd w:val="clear" w:color="auto" w:fill="auto"/>
            <w:vAlign w:val="center"/>
            <w:hideMark/>
          </w:tcPr>
          <w:p w:rsidR="00005BB8" w:rsidRPr="00655799" w:rsidRDefault="00005BB8" w:rsidP="00005BB8">
            <w:pPr>
              <w:jc w:val="center"/>
              <w:rPr>
                <w:rFonts w:cs="Arial"/>
                <w:sz w:val="22"/>
                <w:szCs w:val="22"/>
                <w:lang w:eastAsia="en-GB"/>
              </w:rPr>
            </w:pPr>
          </w:p>
        </w:tc>
        <w:tc>
          <w:tcPr>
            <w:tcW w:w="956" w:type="dxa"/>
            <w:tcBorders>
              <w:top w:val="nil"/>
              <w:left w:val="nil"/>
              <w:bottom w:val="single" w:sz="8" w:space="0" w:color="auto"/>
              <w:right w:val="single" w:sz="8" w:space="0" w:color="auto"/>
            </w:tcBorders>
            <w:shd w:val="clear" w:color="auto" w:fill="auto"/>
            <w:vAlign w:val="center"/>
            <w:hideMark/>
          </w:tcPr>
          <w:p w:rsidR="00005BB8" w:rsidRPr="00655799" w:rsidRDefault="00005BB8" w:rsidP="00005BB8">
            <w:pPr>
              <w:jc w:val="center"/>
              <w:rPr>
                <w:rFonts w:cs="Arial"/>
                <w:sz w:val="22"/>
                <w:szCs w:val="22"/>
                <w:lang w:eastAsia="en-GB"/>
              </w:rPr>
            </w:pPr>
          </w:p>
        </w:tc>
        <w:tc>
          <w:tcPr>
            <w:tcW w:w="1080" w:type="dxa"/>
            <w:tcBorders>
              <w:top w:val="nil"/>
              <w:left w:val="nil"/>
              <w:bottom w:val="single" w:sz="8" w:space="0" w:color="auto"/>
              <w:right w:val="single" w:sz="8" w:space="0" w:color="auto"/>
            </w:tcBorders>
            <w:shd w:val="clear" w:color="auto" w:fill="auto"/>
            <w:vAlign w:val="center"/>
            <w:hideMark/>
          </w:tcPr>
          <w:p w:rsidR="00005BB8" w:rsidRPr="00655799" w:rsidRDefault="00005BB8" w:rsidP="00005BB8">
            <w:pPr>
              <w:jc w:val="center"/>
              <w:rPr>
                <w:rFonts w:cs="Arial"/>
                <w:sz w:val="22"/>
                <w:szCs w:val="22"/>
                <w:lang w:eastAsia="en-GB"/>
              </w:rPr>
            </w:pPr>
          </w:p>
        </w:tc>
        <w:tc>
          <w:tcPr>
            <w:tcW w:w="1420" w:type="dxa"/>
            <w:tcBorders>
              <w:top w:val="nil"/>
              <w:left w:val="nil"/>
              <w:bottom w:val="single" w:sz="8" w:space="0" w:color="auto"/>
              <w:right w:val="single" w:sz="8" w:space="0" w:color="auto"/>
            </w:tcBorders>
            <w:shd w:val="clear" w:color="auto" w:fill="auto"/>
            <w:hideMark/>
          </w:tcPr>
          <w:p w:rsidR="00005BB8" w:rsidRPr="00655799" w:rsidRDefault="00005BB8" w:rsidP="00005BB8">
            <w:pPr>
              <w:jc w:val="center"/>
              <w:rPr>
                <w:rFonts w:cs="Arial"/>
                <w:sz w:val="22"/>
                <w:szCs w:val="22"/>
                <w:lang w:eastAsia="en-GB"/>
              </w:rPr>
            </w:pPr>
            <w:r w:rsidRPr="00655799">
              <w:rPr>
                <w:rFonts w:cs="Arial"/>
                <w:sz w:val="22"/>
                <w:szCs w:val="22"/>
                <w:lang w:eastAsia="en-GB"/>
              </w:rPr>
              <w:t>A equal to/or &gt; 98%</w:t>
            </w:r>
          </w:p>
        </w:tc>
        <w:tc>
          <w:tcPr>
            <w:tcW w:w="1540" w:type="dxa"/>
            <w:tcBorders>
              <w:top w:val="nil"/>
              <w:left w:val="nil"/>
              <w:bottom w:val="single" w:sz="8" w:space="0" w:color="auto"/>
              <w:right w:val="single" w:sz="8" w:space="0" w:color="auto"/>
            </w:tcBorders>
            <w:shd w:val="clear" w:color="auto" w:fill="auto"/>
            <w:hideMark/>
          </w:tcPr>
          <w:p w:rsidR="00005BB8" w:rsidRPr="00655799" w:rsidRDefault="00005BB8" w:rsidP="00005BB8">
            <w:pPr>
              <w:jc w:val="center"/>
              <w:rPr>
                <w:rFonts w:cs="Arial"/>
                <w:sz w:val="22"/>
                <w:szCs w:val="22"/>
                <w:lang w:eastAsia="en-GB"/>
              </w:rPr>
            </w:pPr>
            <w:r w:rsidRPr="00655799">
              <w:rPr>
                <w:rFonts w:cs="Arial"/>
                <w:sz w:val="22"/>
                <w:szCs w:val="22"/>
                <w:lang w:eastAsia="en-GB"/>
              </w:rPr>
              <w:t>V - Catastrophic</w:t>
            </w:r>
          </w:p>
        </w:tc>
      </w:tr>
      <w:tr w:rsidR="00005BB8" w:rsidRPr="00655799" w:rsidTr="00422FFA">
        <w:trPr>
          <w:trHeight w:val="770"/>
        </w:trPr>
        <w:tc>
          <w:tcPr>
            <w:tcW w:w="797" w:type="dxa"/>
            <w:vMerge/>
            <w:tcBorders>
              <w:top w:val="single" w:sz="8" w:space="0" w:color="auto"/>
              <w:left w:val="single" w:sz="8" w:space="0" w:color="auto"/>
              <w:bottom w:val="single" w:sz="8" w:space="0" w:color="000000"/>
              <w:right w:val="single" w:sz="8" w:space="0" w:color="auto"/>
            </w:tcBorders>
            <w:vAlign w:val="center"/>
            <w:hideMark/>
          </w:tcPr>
          <w:p w:rsidR="00005BB8" w:rsidRPr="00655799" w:rsidRDefault="00005BB8" w:rsidP="00005BB8">
            <w:pPr>
              <w:jc w:val="center"/>
              <w:rPr>
                <w:rFonts w:cs="Arial"/>
                <w:b/>
                <w:bCs/>
                <w:sz w:val="22"/>
                <w:szCs w:val="22"/>
                <w:lang w:eastAsia="en-GB"/>
              </w:rPr>
            </w:pPr>
          </w:p>
        </w:tc>
        <w:tc>
          <w:tcPr>
            <w:tcW w:w="479" w:type="dxa"/>
            <w:tcBorders>
              <w:top w:val="nil"/>
              <w:left w:val="nil"/>
              <w:bottom w:val="single" w:sz="8" w:space="0" w:color="auto"/>
              <w:right w:val="single" w:sz="8" w:space="0" w:color="auto"/>
            </w:tcBorders>
            <w:shd w:val="clear" w:color="auto" w:fill="auto"/>
            <w:vAlign w:val="center"/>
            <w:hideMark/>
          </w:tcPr>
          <w:p w:rsidR="00005BB8" w:rsidRPr="00655799" w:rsidRDefault="00005BB8" w:rsidP="00005BB8">
            <w:pPr>
              <w:jc w:val="center"/>
              <w:rPr>
                <w:rFonts w:cs="Arial"/>
                <w:b/>
                <w:bCs/>
                <w:sz w:val="22"/>
                <w:szCs w:val="22"/>
                <w:lang w:eastAsia="en-GB"/>
              </w:rPr>
            </w:pPr>
            <w:r w:rsidRPr="00655799">
              <w:rPr>
                <w:rFonts w:cs="Arial"/>
                <w:b/>
                <w:bCs/>
                <w:sz w:val="22"/>
                <w:szCs w:val="22"/>
                <w:lang w:eastAsia="en-GB"/>
              </w:rPr>
              <w:t>B</w:t>
            </w:r>
          </w:p>
        </w:tc>
        <w:tc>
          <w:tcPr>
            <w:tcW w:w="976" w:type="dxa"/>
            <w:tcBorders>
              <w:top w:val="nil"/>
              <w:left w:val="nil"/>
              <w:bottom w:val="single" w:sz="8" w:space="0" w:color="auto"/>
              <w:right w:val="single" w:sz="8" w:space="0" w:color="auto"/>
            </w:tcBorders>
            <w:shd w:val="pct12" w:color="000000" w:fill="F2F2F2"/>
            <w:vAlign w:val="center"/>
            <w:hideMark/>
          </w:tcPr>
          <w:p w:rsidR="00005BB8" w:rsidRPr="00655799" w:rsidRDefault="00005BB8" w:rsidP="00005BB8">
            <w:pPr>
              <w:jc w:val="center"/>
              <w:rPr>
                <w:rFonts w:cs="Arial"/>
                <w:sz w:val="22"/>
                <w:szCs w:val="22"/>
                <w:lang w:eastAsia="en-GB"/>
              </w:rPr>
            </w:pPr>
          </w:p>
        </w:tc>
        <w:tc>
          <w:tcPr>
            <w:tcW w:w="1080" w:type="dxa"/>
            <w:tcBorders>
              <w:top w:val="nil"/>
              <w:left w:val="nil"/>
              <w:bottom w:val="single" w:sz="8" w:space="0" w:color="auto"/>
              <w:right w:val="single" w:sz="8" w:space="0" w:color="auto"/>
            </w:tcBorders>
            <w:shd w:val="clear" w:color="auto" w:fill="auto"/>
            <w:vAlign w:val="center"/>
            <w:hideMark/>
          </w:tcPr>
          <w:p w:rsidR="00005BB8" w:rsidRPr="00655799" w:rsidRDefault="00005BB8" w:rsidP="00005BB8">
            <w:pPr>
              <w:jc w:val="center"/>
              <w:rPr>
                <w:rFonts w:cs="Arial"/>
                <w:b/>
                <w:bCs/>
                <w:sz w:val="22"/>
                <w:szCs w:val="22"/>
                <w:lang w:eastAsia="en-GB"/>
              </w:rPr>
            </w:pPr>
          </w:p>
        </w:tc>
        <w:tc>
          <w:tcPr>
            <w:tcW w:w="1204" w:type="dxa"/>
            <w:tcBorders>
              <w:top w:val="nil"/>
              <w:left w:val="nil"/>
              <w:bottom w:val="single" w:sz="8" w:space="0" w:color="auto"/>
              <w:right w:val="single" w:sz="8" w:space="0" w:color="auto"/>
            </w:tcBorders>
            <w:shd w:val="clear" w:color="auto" w:fill="auto"/>
            <w:vAlign w:val="center"/>
            <w:hideMark/>
          </w:tcPr>
          <w:p w:rsidR="00005BB8" w:rsidRPr="00655799" w:rsidRDefault="00005BB8" w:rsidP="00005BB8">
            <w:pPr>
              <w:jc w:val="center"/>
              <w:rPr>
                <w:rFonts w:cs="Arial"/>
                <w:b/>
                <w:bCs/>
                <w:sz w:val="22"/>
                <w:szCs w:val="22"/>
                <w:lang w:eastAsia="en-GB"/>
              </w:rPr>
            </w:pPr>
          </w:p>
        </w:tc>
        <w:tc>
          <w:tcPr>
            <w:tcW w:w="956" w:type="dxa"/>
            <w:tcBorders>
              <w:top w:val="nil"/>
              <w:left w:val="nil"/>
              <w:bottom w:val="single" w:sz="8" w:space="0" w:color="auto"/>
              <w:right w:val="single" w:sz="8" w:space="0" w:color="auto"/>
            </w:tcBorders>
            <w:shd w:val="clear" w:color="auto" w:fill="auto"/>
            <w:vAlign w:val="center"/>
            <w:hideMark/>
          </w:tcPr>
          <w:p w:rsidR="00005BB8" w:rsidRPr="00655799" w:rsidRDefault="00005BB8" w:rsidP="00005BB8">
            <w:pPr>
              <w:jc w:val="center"/>
              <w:rPr>
                <w:rFonts w:cs="Arial"/>
                <w:b/>
                <w:bCs/>
                <w:sz w:val="22"/>
                <w:szCs w:val="22"/>
                <w:lang w:eastAsia="en-GB"/>
              </w:rPr>
            </w:pPr>
          </w:p>
        </w:tc>
        <w:tc>
          <w:tcPr>
            <w:tcW w:w="1080" w:type="dxa"/>
            <w:tcBorders>
              <w:top w:val="nil"/>
              <w:left w:val="nil"/>
              <w:bottom w:val="single" w:sz="8" w:space="0" w:color="auto"/>
              <w:right w:val="single" w:sz="8" w:space="0" w:color="auto"/>
            </w:tcBorders>
            <w:shd w:val="clear" w:color="auto" w:fill="auto"/>
            <w:vAlign w:val="center"/>
            <w:hideMark/>
          </w:tcPr>
          <w:p w:rsidR="00005BB8" w:rsidRPr="00655799" w:rsidRDefault="00005BB8" w:rsidP="00005BB8">
            <w:pPr>
              <w:jc w:val="center"/>
              <w:rPr>
                <w:rFonts w:cs="Arial"/>
                <w:b/>
                <w:bCs/>
                <w:sz w:val="22"/>
                <w:szCs w:val="22"/>
                <w:lang w:eastAsia="en-GB"/>
              </w:rPr>
            </w:pPr>
          </w:p>
        </w:tc>
        <w:tc>
          <w:tcPr>
            <w:tcW w:w="1420" w:type="dxa"/>
            <w:tcBorders>
              <w:top w:val="nil"/>
              <w:left w:val="nil"/>
              <w:bottom w:val="single" w:sz="8" w:space="0" w:color="auto"/>
              <w:right w:val="single" w:sz="8" w:space="0" w:color="auto"/>
            </w:tcBorders>
            <w:shd w:val="clear" w:color="auto" w:fill="auto"/>
            <w:hideMark/>
          </w:tcPr>
          <w:p w:rsidR="00005BB8" w:rsidRPr="00655799" w:rsidRDefault="00005BB8" w:rsidP="00005BB8">
            <w:pPr>
              <w:jc w:val="center"/>
              <w:rPr>
                <w:rFonts w:cs="Arial"/>
                <w:sz w:val="22"/>
                <w:szCs w:val="22"/>
                <w:lang w:eastAsia="en-GB"/>
              </w:rPr>
            </w:pPr>
            <w:r w:rsidRPr="00655799">
              <w:rPr>
                <w:rFonts w:cs="Arial"/>
                <w:sz w:val="22"/>
                <w:szCs w:val="22"/>
                <w:lang w:eastAsia="en-GB"/>
              </w:rPr>
              <w:t>B = 75% - 97%</w:t>
            </w:r>
          </w:p>
        </w:tc>
        <w:tc>
          <w:tcPr>
            <w:tcW w:w="1540" w:type="dxa"/>
            <w:tcBorders>
              <w:top w:val="nil"/>
              <w:left w:val="nil"/>
              <w:bottom w:val="single" w:sz="8" w:space="0" w:color="auto"/>
              <w:right w:val="single" w:sz="8" w:space="0" w:color="auto"/>
            </w:tcBorders>
            <w:shd w:val="clear" w:color="auto" w:fill="auto"/>
            <w:hideMark/>
          </w:tcPr>
          <w:p w:rsidR="00005BB8" w:rsidRPr="00655799" w:rsidRDefault="00005BB8" w:rsidP="00005BB8">
            <w:pPr>
              <w:jc w:val="center"/>
              <w:rPr>
                <w:rFonts w:cs="Arial"/>
                <w:sz w:val="22"/>
                <w:szCs w:val="22"/>
                <w:lang w:eastAsia="en-GB"/>
              </w:rPr>
            </w:pPr>
            <w:r w:rsidRPr="00655799">
              <w:rPr>
                <w:rFonts w:cs="Arial"/>
                <w:sz w:val="22"/>
                <w:szCs w:val="22"/>
                <w:lang w:eastAsia="en-GB"/>
              </w:rPr>
              <w:t>IV = Critical</w:t>
            </w:r>
          </w:p>
        </w:tc>
      </w:tr>
      <w:tr w:rsidR="00005BB8" w:rsidRPr="00655799" w:rsidTr="00422FFA">
        <w:trPr>
          <w:trHeight w:val="743"/>
        </w:trPr>
        <w:tc>
          <w:tcPr>
            <w:tcW w:w="797" w:type="dxa"/>
            <w:vMerge/>
            <w:tcBorders>
              <w:top w:val="single" w:sz="8" w:space="0" w:color="auto"/>
              <w:left w:val="single" w:sz="8" w:space="0" w:color="auto"/>
              <w:bottom w:val="single" w:sz="8" w:space="0" w:color="000000"/>
              <w:right w:val="single" w:sz="8" w:space="0" w:color="auto"/>
            </w:tcBorders>
            <w:vAlign w:val="center"/>
            <w:hideMark/>
          </w:tcPr>
          <w:p w:rsidR="00005BB8" w:rsidRPr="00655799" w:rsidRDefault="00005BB8" w:rsidP="00005BB8">
            <w:pPr>
              <w:jc w:val="center"/>
              <w:rPr>
                <w:rFonts w:cs="Arial"/>
                <w:b/>
                <w:bCs/>
                <w:sz w:val="22"/>
                <w:szCs w:val="22"/>
                <w:lang w:eastAsia="en-GB"/>
              </w:rPr>
            </w:pPr>
          </w:p>
        </w:tc>
        <w:tc>
          <w:tcPr>
            <w:tcW w:w="479" w:type="dxa"/>
            <w:tcBorders>
              <w:top w:val="nil"/>
              <w:left w:val="nil"/>
              <w:bottom w:val="single" w:sz="8" w:space="0" w:color="auto"/>
              <w:right w:val="single" w:sz="8" w:space="0" w:color="auto"/>
            </w:tcBorders>
            <w:shd w:val="clear" w:color="auto" w:fill="auto"/>
            <w:vAlign w:val="center"/>
            <w:hideMark/>
          </w:tcPr>
          <w:p w:rsidR="00005BB8" w:rsidRPr="00655799" w:rsidRDefault="00005BB8" w:rsidP="00005BB8">
            <w:pPr>
              <w:jc w:val="center"/>
              <w:rPr>
                <w:rFonts w:cs="Arial"/>
                <w:b/>
                <w:bCs/>
                <w:sz w:val="22"/>
                <w:szCs w:val="22"/>
                <w:lang w:eastAsia="en-GB"/>
              </w:rPr>
            </w:pPr>
            <w:r w:rsidRPr="00655799">
              <w:rPr>
                <w:rFonts w:cs="Arial"/>
                <w:b/>
                <w:bCs/>
                <w:sz w:val="22"/>
                <w:szCs w:val="22"/>
                <w:lang w:eastAsia="en-GB"/>
              </w:rPr>
              <w:t>C</w:t>
            </w:r>
          </w:p>
        </w:tc>
        <w:tc>
          <w:tcPr>
            <w:tcW w:w="976" w:type="dxa"/>
            <w:tcBorders>
              <w:top w:val="nil"/>
              <w:left w:val="nil"/>
              <w:bottom w:val="single" w:sz="8" w:space="0" w:color="auto"/>
              <w:right w:val="single" w:sz="8" w:space="0" w:color="auto"/>
            </w:tcBorders>
            <w:shd w:val="pct12" w:color="000000" w:fill="F2F2F2"/>
            <w:vAlign w:val="center"/>
            <w:hideMark/>
          </w:tcPr>
          <w:p w:rsidR="00005BB8" w:rsidRPr="00655799" w:rsidRDefault="00005BB8" w:rsidP="00005BB8">
            <w:pPr>
              <w:jc w:val="center"/>
              <w:rPr>
                <w:rFonts w:cs="Arial"/>
                <w:sz w:val="22"/>
                <w:szCs w:val="22"/>
                <w:lang w:eastAsia="en-GB"/>
              </w:rPr>
            </w:pPr>
          </w:p>
        </w:tc>
        <w:tc>
          <w:tcPr>
            <w:tcW w:w="1080" w:type="dxa"/>
            <w:tcBorders>
              <w:top w:val="nil"/>
              <w:left w:val="nil"/>
              <w:bottom w:val="single" w:sz="8" w:space="0" w:color="auto"/>
              <w:right w:val="single" w:sz="8" w:space="0" w:color="auto"/>
            </w:tcBorders>
            <w:shd w:val="pct12" w:color="000000" w:fill="F2F2F2"/>
            <w:vAlign w:val="center"/>
            <w:hideMark/>
          </w:tcPr>
          <w:p w:rsidR="00005BB8" w:rsidRPr="00655799" w:rsidRDefault="00005BB8" w:rsidP="00005BB8">
            <w:pPr>
              <w:jc w:val="center"/>
              <w:rPr>
                <w:rFonts w:cs="Arial"/>
                <w:b/>
                <w:bCs/>
                <w:sz w:val="22"/>
                <w:szCs w:val="22"/>
                <w:lang w:eastAsia="en-GB"/>
              </w:rPr>
            </w:pPr>
          </w:p>
        </w:tc>
        <w:tc>
          <w:tcPr>
            <w:tcW w:w="1204" w:type="dxa"/>
            <w:tcBorders>
              <w:top w:val="nil"/>
              <w:left w:val="nil"/>
              <w:bottom w:val="single" w:sz="8" w:space="0" w:color="auto"/>
              <w:right w:val="single" w:sz="8" w:space="0" w:color="auto"/>
            </w:tcBorders>
            <w:shd w:val="clear" w:color="auto" w:fill="auto"/>
            <w:vAlign w:val="center"/>
            <w:hideMark/>
          </w:tcPr>
          <w:p w:rsidR="00005BB8" w:rsidRPr="00655799" w:rsidRDefault="00005BB8" w:rsidP="00005BB8">
            <w:pPr>
              <w:jc w:val="center"/>
              <w:rPr>
                <w:rFonts w:cs="Arial"/>
                <w:b/>
                <w:bCs/>
                <w:sz w:val="22"/>
                <w:szCs w:val="22"/>
                <w:lang w:eastAsia="en-GB"/>
              </w:rPr>
            </w:pPr>
            <w:r w:rsidRPr="00655799">
              <w:rPr>
                <w:rFonts w:cs="Arial"/>
                <w:b/>
                <w:bCs/>
                <w:sz w:val="22"/>
                <w:szCs w:val="22"/>
                <w:lang w:eastAsia="en-GB"/>
              </w:rPr>
              <w:t>10</w:t>
            </w:r>
          </w:p>
        </w:tc>
        <w:tc>
          <w:tcPr>
            <w:tcW w:w="956" w:type="dxa"/>
            <w:tcBorders>
              <w:top w:val="nil"/>
              <w:left w:val="nil"/>
              <w:bottom w:val="single" w:sz="8" w:space="0" w:color="auto"/>
              <w:right w:val="single" w:sz="8" w:space="0" w:color="auto"/>
            </w:tcBorders>
            <w:shd w:val="clear" w:color="auto" w:fill="auto"/>
            <w:vAlign w:val="center"/>
            <w:hideMark/>
          </w:tcPr>
          <w:p w:rsidR="00005BB8" w:rsidRPr="00655799" w:rsidRDefault="00005BB8" w:rsidP="00005BB8">
            <w:pPr>
              <w:jc w:val="center"/>
              <w:rPr>
                <w:rFonts w:cs="Arial"/>
                <w:b/>
                <w:bCs/>
                <w:sz w:val="22"/>
                <w:szCs w:val="22"/>
                <w:lang w:eastAsia="en-GB"/>
              </w:rPr>
            </w:pPr>
            <w:r w:rsidRPr="00655799">
              <w:rPr>
                <w:rFonts w:cs="Arial"/>
                <w:b/>
                <w:bCs/>
                <w:sz w:val="22"/>
                <w:szCs w:val="22"/>
                <w:lang w:eastAsia="en-GB"/>
              </w:rPr>
              <w:t>18</w:t>
            </w:r>
          </w:p>
        </w:tc>
        <w:tc>
          <w:tcPr>
            <w:tcW w:w="1080" w:type="dxa"/>
            <w:tcBorders>
              <w:top w:val="nil"/>
              <w:left w:val="nil"/>
              <w:bottom w:val="single" w:sz="8" w:space="0" w:color="auto"/>
              <w:right w:val="single" w:sz="8" w:space="0" w:color="auto"/>
            </w:tcBorders>
            <w:shd w:val="clear" w:color="auto" w:fill="auto"/>
            <w:vAlign w:val="center"/>
            <w:hideMark/>
          </w:tcPr>
          <w:p w:rsidR="00005BB8" w:rsidRPr="00655799" w:rsidRDefault="00005BB8" w:rsidP="00005BB8">
            <w:pPr>
              <w:jc w:val="center"/>
              <w:rPr>
                <w:rFonts w:cs="Arial"/>
                <w:b/>
                <w:bCs/>
                <w:sz w:val="22"/>
                <w:szCs w:val="22"/>
                <w:lang w:eastAsia="en-GB"/>
              </w:rPr>
            </w:pPr>
          </w:p>
        </w:tc>
        <w:tc>
          <w:tcPr>
            <w:tcW w:w="1420" w:type="dxa"/>
            <w:tcBorders>
              <w:top w:val="nil"/>
              <w:left w:val="nil"/>
              <w:bottom w:val="single" w:sz="8" w:space="0" w:color="auto"/>
              <w:right w:val="single" w:sz="8" w:space="0" w:color="auto"/>
            </w:tcBorders>
            <w:shd w:val="clear" w:color="auto" w:fill="auto"/>
            <w:hideMark/>
          </w:tcPr>
          <w:p w:rsidR="00005BB8" w:rsidRPr="00655799" w:rsidRDefault="00005BB8" w:rsidP="00005BB8">
            <w:pPr>
              <w:jc w:val="center"/>
              <w:rPr>
                <w:rFonts w:cs="Arial"/>
                <w:sz w:val="22"/>
                <w:szCs w:val="22"/>
                <w:lang w:eastAsia="en-GB"/>
              </w:rPr>
            </w:pPr>
            <w:r w:rsidRPr="00655799">
              <w:rPr>
                <w:rFonts w:cs="Arial"/>
                <w:sz w:val="22"/>
                <w:szCs w:val="22"/>
                <w:lang w:eastAsia="en-GB"/>
              </w:rPr>
              <w:t>C = 50% - 74%</w:t>
            </w:r>
          </w:p>
        </w:tc>
        <w:tc>
          <w:tcPr>
            <w:tcW w:w="1540" w:type="dxa"/>
            <w:tcBorders>
              <w:top w:val="nil"/>
              <w:left w:val="nil"/>
              <w:bottom w:val="single" w:sz="8" w:space="0" w:color="auto"/>
              <w:right w:val="single" w:sz="8" w:space="0" w:color="auto"/>
            </w:tcBorders>
            <w:shd w:val="clear" w:color="auto" w:fill="auto"/>
            <w:hideMark/>
          </w:tcPr>
          <w:p w:rsidR="00005BB8" w:rsidRPr="00655799" w:rsidRDefault="00005BB8" w:rsidP="00005BB8">
            <w:pPr>
              <w:jc w:val="center"/>
              <w:rPr>
                <w:rFonts w:cs="Arial"/>
                <w:sz w:val="22"/>
                <w:szCs w:val="22"/>
                <w:lang w:eastAsia="en-GB"/>
              </w:rPr>
            </w:pPr>
            <w:r w:rsidRPr="00655799">
              <w:rPr>
                <w:rFonts w:cs="Arial"/>
                <w:sz w:val="22"/>
                <w:szCs w:val="22"/>
                <w:lang w:eastAsia="en-GB"/>
              </w:rPr>
              <w:t>III = Significant</w:t>
            </w:r>
          </w:p>
        </w:tc>
      </w:tr>
      <w:tr w:rsidR="00005BB8" w:rsidRPr="00655799" w:rsidTr="00422FFA">
        <w:trPr>
          <w:trHeight w:val="700"/>
        </w:trPr>
        <w:tc>
          <w:tcPr>
            <w:tcW w:w="797" w:type="dxa"/>
            <w:vMerge/>
            <w:tcBorders>
              <w:top w:val="single" w:sz="8" w:space="0" w:color="auto"/>
              <w:left w:val="single" w:sz="8" w:space="0" w:color="auto"/>
              <w:bottom w:val="single" w:sz="8" w:space="0" w:color="000000"/>
              <w:right w:val="single" w:sz="8" w:space="0" w:color="auto"/>
            </w:tcBorders>
            <w:vAlign w:val="center"/>
            <w:hideMark/>
          </w:tcPr>
          <w:p w:rsidR="00005BB8" w:rsidRPr="00655799" w:rsidRDefault="00005BB8" w:rsidP="00005BB8">
            <w:pPr>
              <w:jc w:val="center"/>
              <w:rPr>
                <w:rFonts w:cs="Arial"/>
                <w:b/>
                <w:bCs/>
                <w:sz w:val="22"/>
                <w:szCs w:val="22"/>
                <w:lang w:eastAsia="en-GB"/>
              </w:rPr>
            </w:pPr>
          </w:p>
        </w:tc>
        <w:tc>
          <w:tcPr>
            <w:tcW w:w="479" w:type="dxa"/>
            <w:tcBorders>
              <w:top w:val="nil"/>
              <w:left w:val="nil"/>
              <w:bottom w:val="single" w:sz="8" w:space="0" w:color="auto"/>
              <w:right w:val="single" w:sz="8" w:space="0" w:color="auto"/>
            </w:tcBorders>
            <w:shd w:val="clear" w:color="auto" w:fill="auto"/>
            <w:vAlign w:val="center"/>
            <w:hideMark/>
          </w:tcPr>
          <w:p w:rsidR="00005BB8" w:rsidRPr="00655799" w:rsidRDefault="00005BB8" w:rsidP="00005BB8">
            <w:pPr>
              <w:jc w:val="center"/>
              <w:rPr>
                <w:rFonts w:cs="Arial"/>
                <w:b/>
                <w:bCs/>
                <w:sz w:val="22"/>
                <w:szCs w:val="22"/>
                <w:lang w:eastAsia="en-GB"/>
              </w:rPr>
            </w:pPr>
            <w:r w:rsidRPr="00655799">
              <w:rPr>
                <w:rFonts w:cs="Arial"/>
                <w:b/>
                <w:bCs/>
                <w:sz w:val="22"/>
                <w:szCs w:val="22"/>
                <w:lang w:eastAsia="en-GB"/>
              </w:rPr>
              <w:t>D</w:t>
            </w:r>
          </w:p>
        </w:tc>
        <w:tc>
          <w:tcPr>
            <w:tcW w:w="976" w:type="dxa"/>
            <w:tcBorders>
              <w:top w:val="nil"/>
              <w:left w:val="nil"/>
              <w:bottom w:val="single" w:sz="8" w:space="0" w:color="auto"/>
              <w:right w:val="single" w:sz="8" w:space="0" w:color="auto"/>
            </w:tcBorders>
            <w:shd w:val="pct12" w:color="000000" w:fill="F2F2F2"/>
            <w:vAlign w:val="center"/>
            <w:hideMark/>
          </w:tcPr>
          <w:p w:rsidR="00005BB8" w:rsidRPr="00655799" w:rsidRDefault="00005BB8" w:rsidP="00005BB8">
            <w:pPr>
              <w:jc w:val="center"/>
              <w:rPr>
                <w:rFonts w:cs="Arial"/>
                <w:sz w:val="22"/>
                <w:szCs w:val="22"/>
                <w:lang w:eastAsia="en-GB"/>
              </w:rPr>
            </w:pPr>
          </w:p>
        </w:tc>
        <w:tc>
          <w:tcPr>
            <w:tcW w:w="1080" w:type="dxa"/>
            <w:tcBorders>
              <w:top w:val="nil"/>
              <w:left w:val="nil"/>
              <w:bottom w:val="single" w:sz="8" w:space="0" w:color="auto"/>
              <w:right w:val="single" w:sz="8" w:space="0" w:color="auto"/>
            </w:tcBorders>
            <w:shd w:val="pct12" w:color="000000" w:fill="F2F2F2"/>
            <w:vAlign w:val="center"/>
            <w:hideMark/>
          </w:tcPr>
          <w:p w:rsidR="00005BB8" w:rsidRPr="00655799" w:rsidRDefault="00005BB8" w:rsidP="00005BB8">
            <w:pPr>
              <w:jc w:val="center"/>
              <w:rPr>
                <w:rFonts w:cs="Arial"/>
                <w:b/>
                <w:bCs/>
                <w:sz w:val="22"/>
                <w:szCs w:val="22"/>
                <w:lang w:eastAsia="en-GB"/>
              </w:rPr>
            </w:pPr>
            <w:r w:rsidRPr="00655799">
              <w:rPr>
                <w:rFonts w:cs="Arial"/>
                <w:b/>
                <w:bCs/>
                <w:sz w:val="22"/>
                <w:szCs w:val="22"/>
                <w:lang w:eastAsia="en-GB"/>
              </w:rPr>
              <w:t>9</w:t>
            </w:r>
          </w:p>
        </w:tc>
        <w:tc>
          <w:tcPr>
            <w:tcW w:w="1204" w:type="dxa"/>
            <w:tcBorders>
              <w:top w:val="nil"/>
              <w:left w:val="nil"/>
              <w:bottom w:val="single" w:sz="8" w:space="0" w:color="auto"/>
              <w:right w:val="single" w:sz="8" w:space="0" w:color="auto"/>
            </w:tcBorders>
            <w:shd w:val="clear" w:color="auto" w:fill="auto"/>
            <w:vAlign w:val="center"/>
            <w:hideMark/>
          </w:tcPr>
          <w:p w:rsidR="00005BB8" w:rsidRPr="00655799" w:rsidRDefault="00005BB8" w:rsidP="00005BB8">
            <w:pPr>
              <w:jc w:val="center"/>
              <w:rPr>
                <w:rFonts w:cs="Arial"/>
                <w:b/>
                <w:bCs/>
                <w:sz w:val="22"/>
                <w:szCs w:val="22"/>
                <w:lang w:eastAsia="en-GB"/>
              </w:rPr>
            </w:pPr>
            <w:r w:rsidRPr="00655799">
              <w:rPr>
                <w:rFonts w:cs="Arial"/>
                <w:b/>
                <w:bCs/>
                <w:sz w:val="22"/>
                <w:szCs w:val="22"/>
                <w:lang w:eastAsia="en-GB"/>
              </w:rPr>
              <w:t>8</w:t>
            </w:r>
          </w:p>
        </w:tc>
        <w:tc>
          <w:tcPr>
            <w:tcW w:w="956" w:type="dxa"/>
            <w:tcBorders>
              <w:top w:val="nil"/>
              <w:left w:val="nil"/>
              <w:bottom w:val="single" w:sz="8" w:space="0" w:color="auto"/>
              <w:right w:val="single" w:sz="8" w:space="0" w:color="auto"/>
            </w:tcBorders>
            <w:shd w:val="clear" w:color="auto" w:fill="auto"/>
            <w:vAlign w:val="center"/>
            <w:hideMark/>
          </w:tcPr>
          <w:p w:rsidR="00005BB8" w:rsidRPr="00655799" w:rsidRDefault="00005BB8" w:rsidP="00005BB8">
            <w:pPr>
              <w:jc w:val="center"/>
              <w:rPr>
                <w:rFonts w:cs="Arial"/>
                <w:b/>
                <w:bCs/>
                <w:sz w:val="22"/>
                <w:szCs w:val="22"/>
                <w:lang w:eastAsia="en-GB"/>
              </w:rPr>
            </w:pPr>
            <w:r w:rsidRPr="00655799">
              <w:rPr>
                <w:rFonts w:cs="Arial"/>
                <w:b/>
                <w:bCs/>
                <w:sz w:val="22"/>
                <w:szCs w:val="22"/>
                <w:lang w:eastAsia="en-GB"/>
              </w:rPr>
              <w:t>7,19</w:t>
            </w:r>
          </w:p>
        </w:tc>
        <w:tc>
          <w:tcPr>
            <w:tcW w:w="1080" w:type="dxa"/>
            <w:tcBorders>
              <w:top w:val="nil"/>
              <w:left w:val="nil"/>
              <w:bottom w:val="single" w:sz="8" w:space="0" w:color="auto"/>
              <w:right w:val="single" w:sz="8" w:space="0" w:color="auto"/>
            </w:tcBorders>
            <w:shd w:val="clear" w:color="auto" w:fill="auto"/>
            <w:vAlign w:val="center"/>
            <w:hideMark/>
          </w:tcPr>
          <w:p w:rsidR="00005BB8" w:rsidRPr="00655799" w:rsidRDefault="00005BB8" w:rsidP="00005BB8">
            <w:pPr>
              <w:jc w:val="center"/>
              <w:rPr>
                <w:rFonts w:cs="Arial"/>
                <w:b/>
                <w:bCs/>
                <w:sz w:val="22"/>
                <w:szCs w:val="22"/>
                <w:lang w:eastAsia="en-GB"/>
              </w:rPr>
            </w:pPr>
          </w:p>
        </w:tc>
        <w:tc>
          <w:tcPr>
            <w:tcW w:w="1420" w:type="dxa"/>
            <w:tcBorders>
              <w:top w:val="nil"/>
              <w:left w:val="nil"/>
              <w:bottom w:val="single" w:sz="8" w:space="0" w:color="auto"/>
              <w:right w:val="single" w:sz="8" w:space="0" w:color="auto"/>
            </w:tcBorders>
            <w:shd w:val="clear" w:color="auto" w:fill="auto"/>
            <w:hideMark/>
          </w:tcPr>
          <w:p w:rsidR="00005BB8" w:rsidRPr="00655799" w:rsidRDefault="00005BB8" w:rsidP="00005BB8">
            <w:pPr>
              <w:jc w:val="center"/>
              <w:rPr>
                <w:rFonts w:cs="Arial"/>
                <w:sz w:val="22"/>
                <w:szCs w:val="22"/>
                <w:lang w:eastAsia="en-GB"/>
              </w:rPr>
            </w:pPr>
            <w:r w:rsidRPr="00655799">
              <w:rPr>
                <w:rFonts w:cs="Arial"/>
                <w:sz w:val="22"/>
                <w:szCs w:val="22"/>
                <w:lang w:eastAsia="en-GB"/>
              </w:rPr>
              <w:t>D = 25% - 49%</w:t>
            </w:r>
          </w:p>
        </w:tc>
        <w:tc>
          <w:tcPr>
            <w:tcW w:w="1540" w:type="dxa"/>
            <w:tcBorders>
              <w:top w:val="nil"/>
              <w:left w:val="nil"/>
              <w:bottom w:val="single" w:sz="8" w:space="0" w:color="auto"/>
              <w:right w:val="single" w:sz="8" w:space="0" w:color="auto"/>
            </w:tcBorders>
            <w:shd w:val="clear" w:color="auto" w:fill="auto"/>
            <w:hideMark/>
          </w:tcPr>
          <w:p w:rsidR="00005BB8" w:rsidRPr="00655799" w:rsidRDefault="00005BB8" w:rsidP="00005BB8">
            <w:pPr>
              <w:jc w:val="center"/>
              <w:rPr>
                <w:rFonts w:cs="Arial"/>
                <w:sz w:val="22"/>
                <w:szCs w:val="22"/>
                <w:lang w:eastAsia="en-GB"/>
              </w:rPr>
            </w:pPr>
            <w:r w:rsidRPr="00655799">
              <w:rPr>
                <w:rFonts w:cs="Arial"/>
                <w:sz w:val="22"/>
                <w:szCs w:val="22"/>
                <w:lang w:eastAsia="en-GB"/>
              </w:rPr>
              <w:t>II = Marginal</w:t>
            </w:r>
          </w:p>
        </w:tc>
      </w:tr>
      <w:tr w:rsidR="00005BB8" w:rsidRPr="00655799" w:rsidTr="00422FFA">
        <w:trPr>
          <w:trHeight w:val="672"/>
        </w:trPr>
        <w:tc>
          <w:tcPr>
            <w:tcW w:w="797" w:type="dxa"/>
            <w:vMerge/>
            <w:tcBorders>
              <w:top w:val="single" w:sz="8" w:space="0" w:color="auto"/>
              <w:left w:val="single" w:sz="8" w:space="0" w:color="auto"/>
              <w:bottom w:val="single" w:sz="8" w:space="0" w:color="000000"/>
              <w:right w:val="single" w:sz="8" w:space="0" w:color="auto"/>
            </w:tcBorders>
            <w:vAlign w:val="center"/>
            <w:hideMark/>
          </w:tcPr>
          <w:p w:rsidR="00005BB8" w:rsidRPr="00655799" w:rsidRDefault="00005BB8" w:rsidP="00005BB8">
            <w:pPr>
              <w:jc w:val="center"/>
              <w:rPr>
                <w:rFonts w:cs="Arial"/>
                <w:b/>
                <w:bCs/>
                <w:sz w:val="22"/>
                <w:szCs w:val="22"/>
                <w:lang w:eastAsia="en-GB"/>
              </w:rPr>
            </w:pPr>
          </w:p>
        </w:tc>
        <w:tc>
          <w:tcPr>
            <w:tcW w:w="479" w:type="dxa"/>
            <w:tcBorders>
              <w:top w:val="nil"/>
              <w:left w:val="nil"/>
              <w:bottom w:val="single" w:sz="8" w:space="0" w:color="auto"/>
              <w:right w:val="single" w:sz="8" w:space="0" w:color="auto"/>
            </w:tcBorders>
            <w:shd w:val="clear" w:color="auto" w:fill="auto"/>
            <w:vAlign w:val="center"/>
            <w:hideMark/>
          </w:tcPr>
          <w:p w:rsidR="00005BB8" w:rsidRPr="00655799" w:rsidRDefault="00005BB8" w:rsidP="00005BB8">
            <w:pPr>
              <w:jc w:val="center"/>
              <w:rPr>
                <w:rFonts w:cs="Arial"/>
                <w:b/>
                <w:bCs/>
                <w:sz w:val="22"/>
                <w:szCs w:val="22"/>
                <w:lang w:eastAsia="en-GB"/>
              </w:rPr>
            </w:pPr>
            <w:r w:rsidRPr="00655799">
              <w:rPr>
                <w:rFonts w:cs="Arial"/>
                <w:b/>
                <w:bCs/>
                <w:sz w:val="22"/>
                <w:szCs w:val="22"/>
                <w:lang w:eastAsia="en-GB"/>
              </w:rPr>
              <w:t>E</w:t>
            </w:r>
          </w:p>
        </w:tc>
        <w:tc>
          <w:tcPr>
            <w:tcW w:w="976" w:type="dxa"/>
            <w:tcBorders>
              <w:top w:val="nil"/>
              <w:left w:val="nil"/>
              <w:bottom w:val="single" w:sz="8" w:space="0" w:color="auto"/>
              <w:right w:val="single" w:sz="8" w:space="0" w:color="auto"/>
            </w:tcBorders>
            <w:shd w:val="pct12" w:color="000000" w:fill="F2F2F2"/>
            <w:vAlign w:val="center"/>
            <w:hideMark/>
          </w:tcPr>
          <w:p w:rsidR="00005BB8" w:rsidRPr="00655799" w:rsidRDefault="00005BB8" w:rsidP="00005BB8">
            <w:pPr>
              <w:jc w:val="center"/>
              <w:rPr>
                <w:rFonts w:cs="Arial"/>
                <w:sz w:val="22"/>
                <w:szCs w:val="22"/>
                <w:lang w:eastAsia="en-GB"/>
              </w:rPr>
            </w:pPr>
          </w:p>
        </w:tc>
        <w:tc>
          <w:tcPr>
            <w:tcW w:w="1080" w:type="dxa"/>
            <w:tcBorders>
              <w:top w:val="nil"/>
              <w:left w:val="nil"/>
              <w:bottom w:val="single" w:sz="8" w:space="0" w:color="auto"/>
              <w:right w:val="single" w:sz="8" w:space="0" w:color="auto"/>
            </w:tcBorders>
            <w:shd w:val="pct12" w:color="000000" w:fill="F2F2F2"/>
            <w:vAlign w:val="center"/>
            <w:hideMark/>
          </w:tcPr>
          <w:p w:rsidR="00005BB8" w:rsidRPr="00655799" w:rsidRDefault="00005BB8" w:rsidP="00005BB8">
            <w:pPr>
              <w:jc w:val="center"/>
              <w:rPr>
                <w:rFonts w:cs="Arial"/>
                <w:b/>
                <w:bCs/>
                <w:sz w:val="22"/>
                <w:szCs w:val="22"/>
                <w:lang w:eastAsia="en-GB"/>
              </w:rPr>
            </w:pPr>
            <w:r w:rsidRPr="00655799">
              <w:rPr>
                <w:rFonts w:cs="Arial"/>
                <w:b/>
                <w:bCs/>
                <w:sz w:val="22"/>
                <w:szCs w:val="22"/>
                <w:lang w:eastAsia="en-GB"/>
              </w:rPr>
              <w:t>12,15,16</w:t>
            </w:r>
          </w:p>
        </w:tc>
        <w:tc>
          <w:tcPr>
            <w:tcW w:w="1204" w:type="dxa"/>
            <w:tcBorders>
              <w:top w:val="nil"/>
              <w:left w:val="nil"/>
              <w:bottom w:val="single" w:sz="8" w:space="0" w:color="auto"/>
              <w:right w:val="single" w:sz="8" w:space="0" w:color="auto"/>
            </w:tcBorders>
            <w:shd w:val="pct12" w:color="000000" w:fill="F2F2F2"/>
            <w:vAlign w:val="center"/>
            <w:hideMark/>
          </w:tcPr>
          <w:p w:rsidR="00005BB8" w:rsidRPr="00655799" w:rsidRDefault="00005BB8" w:rsidP="00005BB8">
            <w:pPr>
              <w:jc w:val="center"/>
              <w:rPr>
                <w:rFonts w:cs="Arial"/>
                <w:b/>
                <w:bCs/>
                <w:sz w:val="22"/>
                <w:szCs w:val="22"/>
                <w:lang w:eastAsia="en-GB"/>
              </w:rPr>
            </w:pPr>
            <w:r w:rsidRPr="00655799">
              <w:rPr>
                <w:rFonts w:cs="Arial"/>
                <w:b/>
                <w:bCs/>
                <w:sz w:val="22"/>
                <w:szCs w:val="22"/>
                <w:lang w:eastAsia="en-GB"/>
              </w:rPr>
              <w:t xml:space="preserve"> 14, 20</w:t>
            </w:r>
          </w:p>
        </w:tc>
        <w:tc>
          <w:tcPr>
            <w:tcW w:w="956" w:type="dxa"/>
            <w:tcBorders>
              <w:top w:val="nil"/>
              <w:left w:val="nil"/>
              <w:bottom w:val="single" w:sz="8" w:space="0" w:color="auto"/>
              <w:right w:val="single" w:sz="8" w:space="0" w:color="auto"/>
            </w:tcBorders>
            <w:shd w:val="clear" w:color="auto" w:fill="auto"/>
            <w:vAlign w:val="center"/>
            <w:hideMark/>
          </w:tcPr>
          <w:p w:rsidR="00005BB8" w:rsidRPr="00655799" w:rsidRDefault="00005BB8" w:rsidP="00005BB8">
            <w:pPr>
              <w:jc w:val="center"/>
              <w:rPr>
                <w:rFonts w:cs="Arial"/>
                <w:b/>
                <w:bCs/>
                <w:sz w:val="22"/>
                <w:szCs w:val="22"/>
                <w:lang w:eastAsia="en-GB"/>
              </w:rPr>
            </w:pPr>
            <w:r w:rsidRPr="00655799">
              <w:rPr>
                <w:rFonts w:cs="Arial"/>
                <w:b/>
                <w:bCs/>
                <w:sz w:val="22"/>
                <w:szCs w:val="22"/>
                <w:lang w:eastAsia="en-GB"/>
              </w:rPr>
              <w:t>13,17</w:t>
            </w:r>
          </w:p>
        </w:tc>
        <w:tc>
          <w:tcPr>
            <w:tcW w:w="1080" w:type="dxa"/>
            <w:tcBorders>
              <w:top w:val="nil"/>
              <w:left w:val="nil"/>
              <w:bottom w:val="single" w:sz="8" w:space="0" w:color="auto"/>
              <w:right w:val="single" w:sz="8" w:space="0" w:color="auto"/>
            </w:tcBorders>
            <w:shd w:val="clear" w:color="auto" w:fill="auto"/>
            <w:vAlign w:val="center"/>
            <w:hideMark/>
          </w:tcPr>
          <w:p w:rsidR="00005BB8" w:rsidRPr="00655799" w:rsidRDefault="00005BB8" w:rsidP="00005BB8">
            <w:pPr>
              <w:jc w:val="center"/>
              <w:rPr>
                <w:rFonts w:cs="Arial"/>
                <w:b/>
                <w:bCs/>
                <w:sz w:val="22"/>
                <w:szCs w:val="22"/>
                <w:lang w:eastAsia="en-GB"/>
              </w:rPr>
            </w:pPr>
            <w:r w:rsidRPr="00655799">
              <w:rPr>
                <w:rFonts w:cs="Arial"/>
                <w:b/>
                <w:bCs/>
                <w:sz w:val="22"/>
                <w:szCs w:val="22"/>
                <w:lang w:eastAsia="en-GB"/>
              </w:rPr>
              <w:t>11</w:t>
            </w:r>
          </w:p>
        </w:tc>
        <w:tc>
          <w:tcPr>
            <w:tcW w:w="1420" w:type="dxa"/>
            <w:tcBorders>
              <w:top w:val="nil"/>
              <w:left w:val="nil"/>
              <w:bottom w:val="single" w:sz="8" w:space="0" w:color="auto"/>
              <w:right w:val="single" w:sz="8" w:space="0" w:color="auto"/>
            </w:tcBorders>
            <w:shd w:val="clear" w:color="auto" w:fill="auto"/>
            <w:hideMark/>
          </w:tcPr>
          <w:p w:rsidR="00005BB8" w:rsidRPr="00655799" w:rsidRDefault="00005BB8" w:rsidP="00005BB8">
            <w:pPr>
              <w:jc w:val="center"/>
              <w:rPr>
                <w:rFonts w:cs="Arial"/>
                <w:sz w:val="22"/>
                <w:szCs w:val="22"/>
                <w:lang w:eastAsia="en-GB"/>
              </w:rPr>
            </w:pPr>
            <w:r w:rsidRPr="00655799">
              <w:rPr>
                <w:rFonts w:cs="Arial"/>
                <w:sz w:val="22"/>
                <w:szCs w:val="22"/>
                <w:lang w:eastAsia="en-GB"/>
              </w:rPr>
              <w:t>E = 3% - 24%</w:t>
            </w:r>
          </w:p>
        </w:tc>
        <w:tc>
          <w:tcPr>
            <w:tcW w:w="1540" w:type="dxa"/>
            <w:tcBorders>
              <w:top w:val="nil"/>
              <w:left w:val="nil"/>
              <w:bottom w:val="single" w:sz="8" w:space="0" w:color="auto"/>
              <w:right w:val="single" w:sz="8" w:space="0" w:color="auto"/>
            </w:tcBorders>
            <w:shd w:val="clear" w:color="auto" w:fill="auto"/>
            <w:hideMark/>
          </w:tcPr>
          <w:p w:rsidR="00005BB8" w:rsidRPr="00655799" w:rsidRDefault="00005BB8" w:rsidP="00005BB8">
            <w:pPr>
              <w:jc w:val="center"/>
              <w:rPr>
                <w:rFonts w:cs="Arial"/>
                <w:sz w:val="22"/>
                <w:szCs w:val="22"/>
                <w:lang w:eastAsia="en-GB"/>
              </w:rPr>
            </w:pPr>
            <w:r w:rsidRPr="00655799">
              <w:rPr>
                <w:rFonts w:cs="Arial"/>
                <w:sz w:val="22"/>
                <w:szCs w:val="22"/>
                <w:lang w:eastAsia="en-GB"/>
              </w:rPr>
              <w:t>I = Negligible</w:t>
            </w:r>
          </w:p>
        </w:tc>
      </w:tr>
      <w:tr w:rsidR="00005BB8" w:rsidRPr="00655799" w:rsidTr="00422FFA">
        <w:trPr>
          <w:trHeight w:val="219"/>
        </w:trPr>
        <w:tc>
          <w:tcPr>
            <w:tcW w:w="797" w:type="dxa"/>
            <w:vMerge/>
            <w:tcBorders>
              <w:top w:val="single" w:sz="8" w:space="0" w:color="auto"/>
              <w:left w:val="single" w:sz="8" w:space="0" w:color="auto"/>
              <w:bottom w:val="single" w:sz="8" w:space="0" w:color="000000"/>
              <w:right w:val="single" w:sz="8" w:space="0" w:color="auto"/>
            </w:tcBorders>
            <w:vAlign w:val="center"/>
            <w:hideMark/>
          </w:tcPr>
          <w:p w:rsidR="00005BB8" w:rsidRPr="00655799" w:rsidRDefault="00005BB8" w:rsidP="00005BB8">
            <w:pPr>
              <w:jc w:val="center"/>
              <w:rPr>
                <w:rFonts w:cs="Arial"/>
                <w:b/>
                <w:bCs/>
                <w:sz w:val="22"/>
                <w:szCs w:val="22"/>
                <w:lang w:eastAsia="en-GB"/>
              </w:rPr>
            </w:pPr>
          </w:p>
        </w:tc>
        <w:tc>
          <w:tcPr>
            <w:tcW w:w="5775" w:type="dxa"/>
            <w:gridSpan w:val="6"/>
            <w:tcBorders>
              <w:top w:val="nil"/>
              <w:left w:val="nil"/>
              <w:bottom w:val="single" w:sz="8" w:space="0" w:color="auto"/>
              <w:right w:val="single" w:sz="8" w:space="0" w:color="000000"/>
            </w:tcBorders>
            <w:shd w:val="clear" w:color="auto" w:fill="auto"/>
            <w:hideMark/>
          </w:tcPr>
          <w:p w:rsidR="00005BB8" w:rsidRPr="00655799" w:rsidRDefault="00005BB8" w:rsidP="00005BB8">
            <w:pPr>
              <w:jc w:val="center"/>
              <w:rPr>
                <w:rFonts w:cs="Arial"/>
                <w:b/>
                <w:bCs/>
                <w:sz w:val="22"/>
                <w:szCs w:val="22"/>
                <w:lang w:eastAsia="en-GB"/>
              </w:rPr>
            </w:pPr>
          </w:p>
        </w:tc>
        <w:tc>
          <w:tcPr>
            <w:tcW w:w="1420" w:type="dxa"/>
            <w:tcBorders>
              <w:top w:val="nil"/>
              <w:left w:val="nil"/>
              <w:bottom w:val="single" w:sz="8" w:space="0" w:color="auto"/>
              <w:right w:val="single" w:sz="8" w:space="0" w:color="auto"/>
            </w:tcBorders>
            <w:shd w:val="clear" w:color="auto" w:fill="auto"/>
            <w:hideMark/>
          </w:tcPr>
          <w:p w:rsidR="00005BB8" w:rsidRPr="00655799" w:rsidRDefault="00005BB8" w:rsidP="00005BB8">
            <w:pPr>
              <w:jc w:val="center"/>
              <w:rPr>
                <w:rFonts w:cs="Arial"/>
                <w:sz w:val="22"/>
                <w:szCs w:val="22"/>
                <w:lang w:eastAsia="en-GB"/>
              </w:rPr>
            </w:pPr>
          </w:p>
        </w:tc>
        <w:tc>
          <w:tcPr>
            <w:tcW w:w="1540" w:type="dxa"/>
            <w:tcBorders>
              <w:top w:val="nil"/>
              <w:left w:val="nil"/>
              <w:bottom w:val="single" w:sz="8" w:space="0" w:color="auto"/>
              <w:right w:val="single" w:sz="8" w:space="0" w:color="auto"/>
            </w:tcBorders>
            <w:shd w:val="clear" w:color="auto" w:fill="auto"/>
            <w:hideMark/>
          </w:tcPr>
          <w:p w:rsidR="00005BB8" w:rsidRPr="00655799" w:rsidRDefault="00005BB8" w:rsidP="00005BB8">
            <w:pPr>
              <w:jc w:val="center"/>
              <w:rPr>
                <w:rFonts w:cs="Arial"/>
                <w:sz w:val="22"/>
                <w:szCs w:val="22"/>
                <w:lang w:eastAsia="en-GB"/>
              </w:rPr>
            </w:pPr>
          </w:p>
        </w:tc>
      </w:tr>
    </w:tbl>
    <w:p w:rsidR="00005BB8" w:rsidRPr="00655799" w:rsidRDefault="00005BB8" w:rsidP="00005BB8">
      <w:pPr>
        <w:tabs>
          <w:tab w:val="left" w:pos="1260"/>
          <w:tab w:val="left" w:pos="1980"/>
          <w:tab w:val="left" w:pos="2700"/>
          <w:tab w:val="left" w:pos="3420"/>
        </w:tabs>
        <w:ind w:left="1276" w:hanging="1276"/>
        <w:rPr>
          <w:rFonts w:cs="Arial"/>
          <w:sz w:val="22"/>
          <w:szCs w:val="22"/>
          <w:lang w:eastAsia="en-GB"/>
        </w:rPr>
      </w:pPr>
      <w:r w:rsidRPr="00655799">
        <w:rPr>
          <w:rFonts w:cs="Arial"/>
          <w:sz w:val="22"/>
          <w:szCs w:val="22"/>
          <w:lang w:eastAsia="en-GB"/>
        </w:rPr>
        <w:fldChar w:fldCharType="begin"/>
      </w:r>
      <w:r w:rsidRPr="00655799">
        <w:rPr>
          <w:rFonts w:cs="Arial"/>
          <w:sz w:val="22"/>
          <w:szCs w:val="22"/>
          <w:lang w:eastAsia="en-GB"/>
        </w:rPr>
        <w:instrText xml:space="preserve">  </w:instrText>
      </w:r>
      <w:r w:rsidRPr="00655799">
        <w:rPr>
          <w:rFonts w:cs="Arial"/>
          <w:sz w:val="22"/>
          <w:szCs w:val="22"/>
          <w:lang w:eastAsia="en-GB"/>
        </w:rPr>
        <w:fldChar w:fldCharType="end"/>
      </w:r>
    </w:p>
    <w:p w:rsidR="00480BBB" w:rsidRPr="00CF7499" w:rsidRDefault="00480BBB" w:rsidP="00480BBB">
      <w:pPr>
        <w:jc w:val="right"/>
        <w:rPr>
          <w:rFonts w:cs="Arial"/>
          <w:b/>
          <w:color w:val="4F81BD" w:themeColor="accent1"/>
          <w:sz w:val="22"/>
          <w:szCs w:val="22"/>
        </w:rPr>
      </w:pPr>
    </w:p>
    <w:p w:rsidR="00480BBB" w:rsidRDefault="00480BBB" w:rsidP="00480BBB">
      <w:pPr>
        <w:rPr>
          <w:rFonts w:cs="Arial"/>
          <w:b/>
          <w:color w:val="4F81BD" w:themeColor="accent1"/>
          <w:sz w:val="22"/>
          <w:szCs w:val="22"/>
        </w:rPr>
      </w:pPr>
    </w:p>
    <w:p w:rsidR="009B4A63" w:rsidRDefault="009B4A63" w:rsidP="00480BBB">
      <w:pPr>
        <w:rPr>
          <w:rFonts w:cs="Arial"/>
          <w:b/>
          <w:color w:val="4F81BD" w:themeColor="accent1"/>
          <w:sz w:val="22"/>
          <w:szCs w:val="22"/>
        </w:rPr>
      </w:pPr>
    </w:p>
    <w:p w:rsidR="009B4A63" w:rsidRPr="00CF7499" w:rsidRDefault="009B4A63" w:rsidP="00480BBB">
      <w:pPr>
        <w:rPr>
          <w:rFonts w:cs="Arial"/>
          <w:b/>
          <w:color w:val="4F81BD" w:themeColor="accent1"/>
          <w:sz w:val="22"/>
          <w:szCs w:val="22"/>
        </w:rPr>
      </w:pPr>
    </w:p>
    <w:p w:rsidR="0046143D" w:rsidRPr="00CF7499" w:rsidRDefault="0046143D" w:rsidP="00480BBB">
      <w:pPr>
        <w:rPr>
          <w:color w:val="4F81BD" w:themeColor="accent1"/>
        </w:rPr>
      </w:pPr>
    </w:p>
    <w:sectPr w:rsidR="0046143D" w:rsidRPr="00CF7499" w:rsidSect="00C118BA">
      <w:pgSz w:w="16834" w:h="11909" w:orient="landscape" w:code="9"/>
      <w:pgMar w:top="1134" w:right="624" w:bottom="1134"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FB8" w:rsidRDefault="00145FB8">
      <w:r>
        <w:separator/>
      </w:r>
    </w:p>
  </w:endnote>
  <w:endnote w:type="continuationSeparator" w:id="0">
    <w:p w:rsidR="00145FB8" w:rsidRDefault="0014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oundryFormSans-Book">
    <w:altName w:val="BlissFractions Light"/>
    <w:panose1 w:val="00000000000000000000"/>
    <w:charset w:val="00"/>
    <w:family w:val="auto"/>
    <w:notTrueType/>
    <w:pitch w:val="variable"/>
    <w:sig w:usb0="00000003" w:usb1="00000000" w:usb2="00000000" w:usb3="00000000" w:csb0="00000001" w:csb1="00000000"/>
  </w:font>
  <w:font w:name="RotisSansSerifExtraBold">
    <w:charset w:val="00"/>
    <w:family w:val="auto"/>
    <w:pitch w:val="variable"/>
    <w:sig w:usb0="00000003" w:usb1="00000000" w:usb2="00000000" w:usb3="00000000" w:csb0="00000001" w:csb1="00000000"/>
  </w:font>
  <w:font w:name="Novarese Medium">
    <w:panose1 w:val="00000000000000000000"/>
    <w:charset w:val="00"/>
    <w:family w:val="roman"/>
    <w:notTrueType/>
    <w:pitch w:val="variable"/>
    <w:sig w:usb0="00000003" w:usb1="00000000" w:usb2="00000000" w:usb3="00000000" w:csb0="00000001" w:csb1="00000000"/>
  </w:font>
  <w:font w:name="Bliss 2 Regular">
    <w:altName w:val="Franklin Gothic Medium Cond"/>
    <w:panose1 w:val="00000000000000000000"/>
    <w:charset w:val="00"/>
    <w:family w:val="modern"/>
    <w:notTrueType/>
    <w:pitch w:val="variable"/>
    <w:sig w:usb0="00000087" w:usb1="00000000"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283317"/>
      <w:docPartObj>
        <w:docPartGallery w:val="Page Numbers (Bottom of Page)"/>
        <w:docPartUnique/>
      </w:docPartObj>
    </w:sdtPr>
    <w:sdtEndPr>
      <w:rPr>
        <w:noProof/>
      </w:rPr>
    </w:sdtEndPr>
    <w:sdtContent>
      <w:p w:rsidR="00512EF1" w:rsidRDefault="00512EF1">
        <w:pPr>
          <w:pStyle w:val="Footer"/>
          <w:jc w:val="center"/>
        </w:pPr>
        <w:r>
          <w:fldChar w:fldCharType="begin"/>
        </w:r>
        <w:r>
          <w:instrText xml:space="preserve"> PAGE   \* MERGEFORMAT </w:instrText>
        </w:r>
        <w:r>
          <w:fldChar w:fldCharType="separate"/>
        </w:r>
        <w:r w:rsidR="004618D7">
          <w:rPr>
            <w:noProof/>
          </w:rPr>
          <w:t>27</w:t>
        </w:r>
        <w:r>
          <w:rPr>
            <w:noProof/>
          </w:rPr>
          <w:fldChar w:fldCharType="end"/>
        </w:r>
      </w:p>
    </w:sdtContent>
  </w:sdt>
  <w:p w:rsidR="00512EF1" w:rsidRDefault="00512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FB8" w:rsidRPr="001313AE" w:rsidRDefault="00145FB8" w:rsidP="001313AE">
      <w:pPr>
        <w:pStyle w:val="Footer"/>
      </w:pPr>
    </w:p>
  </w:footnote>
  <w:footnote w:type="continuationSeparator" w:id="0">
    <w:p w:rsidR="00145FB8" w:rsidRDefault="00145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FB8" w:rsidRPr="006E7DEB" w:rsidRDefault="00145FB8" w:rsidP="00BA3CD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9"/>
    <w:lvl w:ilvl="0">
      <w:start w:val="1"/>
      <w:numFmt w:val="bullet"/>
      <w:lvlText w:val=""/>
      <w:lvlJc w:val="left"/>
      <w:pPr>
        <w:tabs>
          <w:tab w:val="num" w:pos="720"/>
        </w:tabs>
        <w:ind w:left="720" w:hanging="360"/>
      </w:pPr>
      <w:rPr>
        <w:rFonts w:ascii="Symbol" w:hAnsi="Symbol" w:cs="Wingdings" w:hint="default"/>
      </w:rPr>
    </w:lvl>
    <w:lvl w:ilvl="1">
      <w:start w:val="1"/>
      <w:numFmt w:val="bullet"/>
      <w:lvlText w:val="◦"/>
      <w:lvlJc w:val="left"/>
      <w:pPr>
        <w:tabs>
          <w:tab w:val="num" w:pos="1080"/>
        </w:tabs>
        <w:ind w:left="1080" w:hanging="360"/>
      </w:pPr>
      <w:rPr>
        <w:rFonts w:ascii="OpenSymbol" w:eastAsia="Times New Roman" w:hAnsi="OpenSymbol" w:cs="Courier New" w:hint="default"/>
      </w:rPr>
    </w:lvl>
    <w:lvl w:ilvl="2">
      <w:start w:val="1"/>
      <w:numFmt w:val="bullet"/>
      <w:lvlText w:val="▪"/>
      <w:lvlJc w:val="left"/>
      <w:pPr>
        <w:tabs>
          <w:tab w:val="num" w:pos="1440"/>
        </w:tabs>
        <w:ind w:left="1440" w:hanging="360"/>
      </w:pPr>
      <w:rPr>
        <w:rFonts w:ascii="OpenSymbol" w:eastAsia="Times New Roman" w:hAnsi="OpenSymbol" w:cs="Courier New" w:hint="default"/>
      </w:rPr>
    </w:lvl>
    <w:lvl w:ilvl="3">
      <w:start w:val="1"/>
      <w:numFmt w:val="bullet"/>
      <w:lvlText w:val=""/>
      <w:lvlJc w:val="left"/>
      <w:pPr>
        <w:tabs>
          <w:tab w:val="num" w:pos="1800"/>
        </w:tabs>
        <w:ind w:left="1800" w:hanging="360"/>
      </w:pPr>
      <w:rPr>
        <w:rFonts w:ascii="Symbol" w:hAnsi="Symbol" w:cs="Wingdings" w:hint="default"/>
      </w:rPr>
    </w:lvl>
    <w:lvl w:ilvl="4">
      <w:start w:val="1"/>
      <w:numFmt w:val="bullet"/>
      <w:lvlText w:val="◦"/>
      <w:lvlJc w:val="left"/>
      <w:pPr>
        <w:tabs>
          <w:tab w:val="num" w:pos="2160"/>
        </w:tabs>
        <w:ind w:left="2160" w:hanging="360"/>
      </w:pPr>
      <w:rPr>
        <w:rFonts w:ascii="OpenSymbol" w:eastAsia="Times New Roman" w:hAnsi="OpenSymbol" w:cs="Courier New" w:hint="default"/>
      </w:rPr>
    </w:lvl>
    <w:lvl w:ilvl="5">
      <w:start w:val="1"/>
      <w:numFmt w:val="bullet"/>
      <w:lvlText w:val="▪"/>
      <w:lvlJc w:val="left"/>
      <w:pPr>
        <w:tabs>
          <w:tab w:val="num" w:pos="2520"/>
        </w:tabs>
        <w:ind w:left="2520" w:hanging="360"/>
      </w:pPr>
      <w:rPr>
        <w:rFonts w:ascii="OpenSymbol" w:eastAsia="Times New Roman" w:hAnsi="OpenSymbol" w:cs="Courier New" w:hint="default"/>
      </w:rPr>
    </w:lvl>
    <w:lvl w:ilvl="6">
      <w:start w:val="1"/>
      <w:numFmt w:val="bullet"/>
      <w:lvlText w:val=""/>
      <w:lvlJc w:val="left"/>
      <w:pPr>
        <w:tabs>
          <w:tab w:val="num" w:pos="2880"/>
        </w:tabs>
        <w:ind w:left="2880" w:hanging="360"/>
      </w:pPr>
      <w:rPr>
        <w:rFonts w:ascii="Symbol" w:hAnsi="Symbol" w:cs="Wingdings" w:hint="default"/>
      </w:rPr>
    </w:lvl>
    <w:lvl w:ilvl="7">
      <w:start w:val="1"/>
      <w:numFmt w:val="bullet"/>
      <w:lvlText w:val="◦"/>
      <w:lvlJc w:val="left"/>
      <w:pPr>
        <w:tabs>
          <w:tab w:val="num" w:pos="3240"/>
        </w:tabs>
        <w:ind w:left="3240" w:hanging="360"/>
      </w:pPr>
      <w:rPr>
        <w:rFonts w:ascii="OpenSymbol" w:eastAsia="Times New Roman" w:hAnsi="OpenSymbol" w:cs="Courier New" w:hint="default"/>
      </w:rPr>
    </w:lvl>
    <w:lvl w:ilvl="8">
      <w:start w:val="1"/>
      <w:numFmt w:val="bullet"/>
      <w:lvlText w:val="▪"/>
      <w:lvlJc w:val="left"/>
      <w:pPr>
        <w:tabs>
          <w:tab w:val="num" w:pos="3600"/>
        </w:tabs>
        <w:ind w:left="3600" w:hanging="360"/>
      </w:pPr>
      <w:rPr>
        <w:rFonts w:ascii="OpenSymbol" w:eastAsia="Times New Roman" w:hAnsi="OpenSymbol" w:cs="Courier New" w:hint="default"/>
      </w:rPr>
    </w:lvl>
  </w:abstractNum>
  <w:abstractNum w:abstractNumId="1">
    <w:nsid w:val="07556966"/>
    <w:multiLevelType w:val="hybridMultilevel"/>
    <w:tmpl w:val="697C221E"/>
    <w:lvl w:ilvl="0" w:tplc="08090001">
      <w:start w:val="1"/>
      <w:numFmt w:val="bullet"/>
      <w:lvlText w:val=""/>
      <w:lvlJc w:val="left"/>
      <w:pPr>
        <w:ind w:left="3376" w:hanging="360"/>
      </w:pPr>
      <w:rPr>
        <w:rFonts w:ascii="Symbol" w:hAnsi="Symbol" w:hint="default"/>
      </w:rPr>
    </w:lvl>
    <w:lvl w:ilvl="1" w:tplc="08090003" w:tentative="1">
      <w:start w:val="1"/>
      <w:numFmt w:val="bullet"/>
      <w:lvlText w:val="o"/>
      <w:lvlJc w:val="left"/>
      <w:pPr>
        <w:ind w:left="4096" w:hanging="360"/>
      </w:pPr>
      <w:rPr>
        <w:rFonts w:ascii="Courier New" w:hAnsi="Courier New" w:cs="Courier New" w:hint="default"/>
      </w:rPr>
    </w:lvl>
    <w:lvl w:ilvl="2" w:tplc="08090005" w:tentative="1">
      <w:start w:val="1"/>
      <w:numFmt w:val="bullet"/>
      <w:lvlText w:val=""/>
      <w:lvlJc w:val="left"/>
      <w:pPr>
        <w:ind w:left="4816" w:hanging="360"/>
      </w:pPr>
      <w:rPr>
        <w:rFonts w:ascii="Wingdings" w:hAnsi="Wingdings" w:hint="default"/>
      </w:rPr>
    </w:lvl>
    <w:lvl w:ilvl="3" w:tplc="08090001" w:tentative="1">
      <w:start w:val="1"/>
      <w:numFmt w:val="bullet"/>
      <w:lvlText w:val=""/>
      <w:lvlJc w:val="left"/>
      <w:pPr>
        <w:ind w:left="5536" w:hanging="360"/>
      </w:pPr>
      <w:rPr>
        <w:rFonts w:ascii="Symbol" w:hAnsi="Symbol" w:hint="default"/>
      </w:rPr>
    </w:lvl>
    <w:lvl w:ilvl="4" w:tplc="08090003" w:tentative="1">
      <w:start w:val="1"/>
      <w:numFmt w:val="bullet"/>
      <w:lvlText w:val="o"/>
      <w:lvlJc w:val="left"/>
      <w:pPr>
        <w:ind w:left="6256" w:hanging="360"/>
      </w:pPr>
      <w:rPr>
        <w:rFonts w:ascii="Courier New" w:hAnsi="Courier New" w:cs="Courier New" w:hint="default"/>
      </w:rPr>
    </w:lvl>
    <w:lvl w:ilvl="5" w:tplc="08090005" w:tentative="1">
      <w:start w:val="1"/>
      <w:numFmt w:val="bullet"/>
      <w:lvlText w:val=""/>
      <w:lvlJc w:val="left"/>
      <w:pPr>
        <w:ind w:left="6976" w:hanging="360"/>
      </w:pPr>
      <w:rPr>
        <w:rFonts w:ascii="Wingdings" w:hAnsi="Wingdings" w:hint="default"/>
      </w:rPr>
    </w:lvl>
    <w:lvl w:ilvl="6" w:tplc="08090001" w:tentative="1">
      <w:start w:val="1"/>
      <w:numFmt w:val="bullet"/>
      <w:lvlText w:val=""/>
      <w:lvlJc w:val="left"/>
      <w:pPr>
        <w:ind w:left="7696" w:hanging="360"/>
      </w:pPr>
      <w:rPr>
        <w:rFonts w:ascii="Symbol" w:hAnsi="Symbol" w:hint="default"/>
      </w:rPr>
    </w:lvl>
    <w:lvl w:ilvl="7" w:tplc="08090003" w:tentative="1">
      <w:start w:val="1"/>
      <w:numFmt w:val="bullet"/>
      <w:lvlText w:val="o"/>
      <w:lvlJc w:val="left"/>
      <w:pPr>
        <w:ind w:left="8416" w:hanging="360"/>
      </w:pPr>
      <w:rPr>
        <w:rFonts w:ascii="Courier New" w:hAnsi="Courier New" w:cs="Courier New" w:hint="default"/>
      </w:rPr>
    </w:lvl>
    <w:lvl w:ilvl="8" w:tplc="08090005" w:tentative="1">
      <w:start w:val="1"/>
      <w:numFmt w:val="bullet"/>
      <w:lvlText w:val=""/>
      <w:lvlJc w:val="left"/>
      <w:pPr>
        <w:ind w:left="9136" w:hanging="360"/>
      </w:pPr>
      <w:rPr>
        <w:rFonts w:ascii="Wingdings" w:hAnsi="Wingdings" w:hint="default"/>
      </w:rPr>
    </w:lvl>
  </w:abstractNum>
  <w:abstractNum w:abstractNumId="2">
    <w:nsid w:val="0A8D6F73"/>
    <w:multiLevelType w:val="hybridMultilevel"/>
    <w:tmpl w:val="C6321BD8"/>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0E1F7BDD"/>
    <w:multiLevelType w:val="multilevel"/>
    <w:tmpl w:val="F288FEE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574"/>
        </w:tabs>
        <w:ind w:left="574"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4D90FAD"/>
    <w:multiLevelType w:val="multilevel"/>
    <w:tmpl w:val="A29A88D4"/>
    <w:lvl w:ilvl="0">
      <w:start w:val="1"/>
      <w:numFmt w:val="decimal"/>
      <w:pStyle w:val="ReportHeader"/>
      <w:lvlText w:val="%1."/>
      <w:lvlJc w:val="left"/>
      <w:pPr>
        <w:tabs>
          <w:tab w:val="num" w:pos="840"/>
        </w:tabs>
        <w:ind w:left="840" w:hanging="720"/>
      </w:pPr>
      <w:rPr>
        <w:rFonts w:hint="default"/>
      </w:rPr>
    </w:lvl>
    <w:lvl w:ilvl="1">
      <w:start w:val="1"/>
      <w:numFmt w:val="decimal"/>
      <w:pStyle w:val="ReportText"/>
      <w:isLgl/>
      <w:lvlText w:val="%1.%2"/>
      <w:lvlJc w:val="left"/>
      <w:pPr>
        <w:tabs>
          <w:tab w:val="num" w:pos="1080"/>
        </w:tabs>
        <w:ind w:left="1080" w:hanging="720"/>
      </w:pPr>
      <w:rPr>
        <w:rFonts w:ascii="Arial" w:hAnsi="Arial" w:hint="default"/>
        <w:b w:val="0"/>
        <w:i w:val="0"/>
        <w:sz w:val="24"/>
        <w:szCs w:val="24"/>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1200"/>
        </w:tabs>
        <w:ind w:left="1200" w:hanging="1080"/>
      </w:pPr>
      <w:rPr>
        <w:rFonts w:hint="default"/>
      </w:rPr>
    </w:lvl>
    <w:lvl w:ilvl="4">
      <w:start w:val="1"/>
      <w:numFmt w:val="decimal"/>
      <w:isLgl/>
      <w:lvlText w:val="%1.%2.%3.%4.%5"/>
      <w:lvlJc w:val="left"/>
      <w:pPr>
        <w:tabs>
          <w:tab w:val="num" w:pos="1200"/>
        </w:tabs>
        <w:ind w:left="1200" w:hanging="1080"/>
      </w:pPr>
      <w:rPr>
        <w:rFonts w:hint="default"/>
      </w:rPr>
    </w:lvl>
    <w:lvl w:ilvl="5">
      <w:start w:val="1"/>
      <w:numFmt w:val="decimal"/>
      <w:isLgl/>
      <w:lvlText w:val="%1.%2.%3.%4.%5.%6"/>
      <w:lvlJc w:val="left"/>
      <w:pPr>
        <w:tabs>
          <w:tab w:val="num" w:pos="1560"/>
        </w:tabs>
        <w:ind w:left="1560" w:hanging="1440"/>
      </w:pPr>
      <w:rPr>
        <w:rFonts w:hint="default"/>
      </w:rPr>
    </w:lvl>
    <w:lvl w:ilvl="6">
      <w:start w:val="1"/>
      <w:numFmt w:val="decimal"/>
      <w:isLgl/>
      <w:lvlText w:val="%1.%2.%3.%4.%5.%6.%7"/>
      <w:lvlJc w:val="left"/>
      <w:pPr>
        <w:tabs>
          <w:tab w:val="num" w:pos="1560"/>
        </w:tabs>
        <w:ind w:left="1560" w:hanging="1440"/>
      </w:pPr>
      <w:rPr>
        <w:rFonts w:hint="default"/>
      </w:rPr>
    </w:lvl>
    <w:lvl w:ilvl="7">
      <w:start w:val="1"/>
      <w:numFmt w:val="decimal"/>
      <w:isLgl/>
      <w:lvlText w:val="%1.%2.%3.%4.%5.%6.%7.%8"/>
      <w:lvlJc w:val="left"/>
      <w:pPr>
        <w:tabs>
          <w:tab w:val="num" w:pos="1920"/>
        </w:tabs>
        <w:ind w:left="1920" w:hanging="1800"/>
      </w:pPr>
      <w:rPr>
        <w:rFonts w:hint="default"/>
      </w:rPr>
    </w:lvl>
    <w:lvl w:ilvl="8">
      <w:start w:val="1"/>
      <w:numFmt w:val="decimal"/>
      <w:isLgl/>
      <w:lvlText w:val="%1.%2.%3.%4.%5.%6.%7.%8.%9"/>
      <w:lvlJc w:val="left"/>
      <w:pPr>
        <w:tabs>
          <w:tab w:val="num" w:pos="2280"/>
        </w:tabs>
        <w:ind w:left="2280" w:hanging="2160"/>
      </w:pPr>
      <w:rPr>
        <w:rFonts w:hint="default"/>
      </w:rPr>
    </w:lvl>
  </w:abstractNum>
  <w:abstractNum w:abstractNumId="5">
    <w:nsid w:val="14E7043E"/>
    <w:multiLevelType w:val="hybridMultilevel"/>
    <w:tmpl w:val="3F867B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D05D9B"/>
    <w:multiLevelType w:val="hybridMultilevel"/>
    <w:tmpl w:val="BEF41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BDD12DF"/>
    <w:multiLevelType w:val="hybridMultilevel"/>
    <w:tmpl w:val="662C1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E71B42"/>
    <w:multiLevelType w:val="hybridMultilevel"/>
    <w:tmpl w:val="C2BC476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CEA5982"/>
    <w:multiLevelType w:val="hybridMultilevel"/>
    <w:tmpl w:val="39501960"/>
    <w:lvl w:ilvl="0" w:tplc="81507B6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DC0607D"/>
    <w:multiLevelType w:val="hybridMultilevel"/>
    <w:tmpl w:val="E9527F8C"/>
    <w:lvl w:ilvl="0" w:tplc="A5D099DA">
      <w:start w:val="1"/>
      <w:numFmt w:val="bullet"/>
      <w:lvlText w:val=""/>
      <w:lvlJc w:val="left"/>
      <w:pPr>
        <w:tabs>
          <w:tab w:val="num" w:pos="1980"/>
        </w:tabs>
        <w:ind w:left="198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2143CC2"/>
    <w:multiLevelType w:val="hybridMultilevel"/>
    <w:tmpl w:val="B0FC3F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AF4D90"/>
    <w:multiLevelType w:val="hybridMultilevel"/>
    <w:tmpl w:val="956A693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4B7749F"/>
    <w:multiLevelType w:val="hybridMultilevel"/>
    <w:tmpl w:val="92E4A7B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5E11ACA"/>
    <w:multiLevelType w:val="hybridMultilevel"/>
    <w:tmpl w:val="E6EC773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BB061E9"/>
    <w:multiLevelType w:val="hybridMultilevel"/>
    <w:tmpl w:val="FC62DD0E"/>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51626229"/>
    <w:multiLevelType w:val="hybridMultilevel"/>
    <w:tmpl w:val="0F7A05B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nsid w:val="547300B1"/>
    <w:multiLevelType w:val="hybridMultilevel"/>
    <w:tmpl w:val="8242B2DC"/>
    <w:lvl w:ilvl="0" w:tplc="DF82FD6E">
      <w:start w:val="1"/>
      <w:numFmt w:val="bullet"/>
      <w:lvlText w:val=""/>
      <w:lvlJc w:val="left"/>
      <w:pPr>
        <w:tabs>
          <w:tab w:val="num" w:pos="2160"/>
        </w:tabs>
        <w:ind w:left="216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49F214B"/>
    <w:multiLevelType w:val="multilevel"/>
    <w:tmpl w:val="E8328104"/>
    <w:lvl w:ilvl="0">
      <w:start w:val="1"/>
      <w:numFmt w:val="decimal"/>
      <w:lvlText w:val="%1."/>
      <w:lvlJc w:val="left"/>
      <w:pPr>
        <w:ind w:left="360" w:hanging="360"/>
      </w:pPr>
      <w:rPr>
        <w:rFonts w:hint="default"/>
      </w:rPr>
    </w:lvl>
    <w:lvl w:ilvl="1">
      <w:start w:val="1"/>
      <w:numFmt w:val="decimal"/>
      <w:pStyle w:val="abody"/>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58782AA5"/>
    <w:multiLevelType w:val="hybridMultilevel"/>
    <w:tmpl w:val="765877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B936450"/>
    <w:multiLevelType w:val="hybridMultilevel"/>
    <w:tmpl w:val="109C7FE6"/>
    <w:lvl w:ilvl="0" w:tplc="0CA2060A">
      <w:start w:val="1"/>
      <w:numFmt w:val="bullet"/>
      <w:pStyle w:val="Style4"/>
      <w:lvlText w:val=""/>
      <w:lvlJc w:val="left"/>
      <w:pPr>
        <w:ind w:left="1854" w:hanging="360"/>
      </w:pPr>
      <w:rPr>
        <w:rFonts w:ascii="Wingdings" w:hAnsi="Wingdings" w:hint="default"/>
        <w:color w:val="00B0F0"/>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nsid w:val="60E045A1"/>
    <w:multiLevelType w:val="hybridMultilevel"/>
    <w:tmpl w:val="AC7A4990"/>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22">
    <w:nsid w:val="65CC1FCA"/>
    <w:multiLevelType w:val="hybridMultilevel"/>
    <w:tmpl w:val="3CA4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4F3F7B"/>
    <w:multiLevelType w:val="multilevel"/>
    <w:tmpl w:val="7FE0380E"/>
    <w:lvl w:ilvl="0">
      <w:start w:val="2"/>
      <w:numFmt w:val="decimal"/>
      <w:lvlText w:val="%1."/>
      <w:lvlJc w:val="left"/>
      <w:pPr>
        <w:tabs>
          <w:tab w:val="num" w:pos="1260"/>
        </w:tabs>
        <w:ind w:left="1260" w:hanging="1260"/>
      </w:pPr>
      <w:rPr>
        <w:rFonts w:hint="default"/>
        <w:b w:val="0"/>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695110B2"/>
    <w:multiLevelType w:val="hybridMultilevel"/>
    <w:tmpl w:val="65E2FFF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38C0516"/>
    <w:multiLevelType w:val="hybridMultilevel"/>
    <w:tmpl w:val="28E89FB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CE82DC3"/>
    <w:multiLevelType w:val="hybridMultilevel"/>
    <w:tmpl w:val="B320505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18"/>
  </w:num>
  <w:num w:numId="2">
    <w:abstractNumId w:val="20"/>
  </w:num>
  <w:num w:numId="3">
    <w:abstractNumId w:val="4"/>
  </w:num>
  <w:num w:numId="4">
    <w:abstractNumId w:val="12"/>
  </w:num>
  <w:num w:numId="5">
    <w:abstractNumId w:val="14"/>
  </w:num>
  <w:num w:numId="6">
    <w:abstractNumId w:val="2"/>
  </w:num>
  <w:num w:numId="7">
    <w:abstractNumId w:val="13"/>
  </w:num>
  <w:num w:numId="8">
    <w:abstractNumId w:val="24"/>
  </w:num>
  <w:num w:numId="9">
    <w:abstractNumId w:val="9"/>
  </w:num>
  <w:num w:numId="10">
    <w:abstractNumId w:val="10"/>
  </w:num>
  <w:num w:numId="11">
    <w:abstractNumId w:val="25"/>
  </w:num>
  <w:num w:numId="12">
    <w:abstractNumId w:val="3"/>
  </w:num>
  <w:num w:numId="13">
    <w:abstractNumId w:val="17"/>
  </w:num>
  <w:num w:numId="14">
    <w:abstractNumId w:val="15"/>
  </w:num>
  <w:num w:numId="15">
    <w:abstractNumId w:val="8"/>
  </w:num>
  <w:num w:numId="16">
    <w:abstractNumId w:val="26"/>
  </w:num>
  <w:num w:numId="17">
    <w:abstractNumId w:val="16"/>
  </w:num>
  <w:num w:numId="18">
    <w:abstractNumId w:val="7"/>
  </w:num>
  <w:num w:numId="19">
    <w:abstractNumId w:val="23"/>
  </w:num>
  <w:num w:numId="20">
    <w:abstractNumId w:val="21"/>
  </w:num>
  <w:num w:numId="21">
    <w:abstractNumId w:val="1"/>
  </w:num>
  <w:num w:numId="22">
    <w:abstractNumId w:val="22"/>
  </w:num>
  <w:num w:numId="23">
    <w:abstractNumId w:val="0"/>
  </w:num>
  <w:num w:numId="24">
    <w:abstractNumId w:val="6"/>
  </w:num>
  <w:num w:numId="25">
    <w:abstractNumId w:val="19"/>
  </w:num>
  <w:num w:numId="26">
    <w:abstractNumId w:val="5"/>
  </w:num>
  <w:num w:numId="27">
    <w:abstractNumId w:val="1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3B"/>
    <w:rsid w:val="00000C37"/>
    <w:rsid w:val="00001020"/>
    <w:rsid w:val="00001E53"/>
    <w:rsid w:val="000027F6"/>
    <w:rsid w:val="00002B09"/>
    <w:rsid w:val="000034A9"/>
    <w:rsid w:val="000034EE"/>
    <w:rsid w:val="00003E76"/>
    <w:rsid w:val="00004054"/>
    <w:rsid w:val="0000479E"/>
    <w:rsid w:val="0000532E"/>
    <w:rsid w:val="00005BB8"/>
    <w:rsid w:val="0000742E"/>
    <w:rsid w:val="00007FA9"/>
    <w:rsid w:val="0001026E"/>
    <w:rsid w:val="00010AB8"/>
    <w:rsid w:val="00010ABC"/>
    <w:rsid w:val="000112A5"/>
    <w:rsid w:val="000112D5"/>
    <w:rsid w:val="000113A0"/>
    <w:rsid w:val="00011690"/>
    <w:rsid w:val="00011712"/>
    <w:rsid w:val="00011B4C"/>
    <w:rsid w:val="00011BC4"/>
    <w:rsid w:val="00011F12"/>
    <w:rsid w:val="000126D9"/>
    <w:rsid w:val="00012D81"/>
    <w:rsid w:val="0001412B"/>
    <w:rsid w:val="000145D5"/>
    <w:rsid w:val="00014653"/>
    <w:rsid w:val="00014D99"/>
    <w:rsid w:val="00015A1B"/>
    <w:rsid w:val="00015C5C"/>
    <w:rsid w:val="00017062"/>
    <w:rsid w:val="000176D7"/>
    <w:rsid w:val="000178C9"/>
    <w:rsid w:val="000200B6"/>
    <w:rsid w:val="00021B52"/>
    <w:rsid w:val="00021F02"/>
    <w:rsid w:val="0002237A"/>
    <w:rsid w:val="000223C5"/>
    <w:rsid w:val="00023069"/>
    <w:rsid w:val="000232F0"/>
    <w:rsid w:val="000242C2"/>
    <w:rsid w:val="000248B4"/>
    <w:rsid w:val="00025704"/>
    <w:rsid w:val="00025783"/>
    <w:rsid w:val="0002592E"/>
    <w:rsid w:val="000259ED"/>
    <w:rsid w:val="00025B66"/>
    <w:rsid w:val="000265E6"/>
    <w:rsid w:val="00026DC0"/>
    <w:rsid w:val="00027C15"/>
    <w:rsid w:val="00027DE3"/>
    <w:rsid w:val="00030003"/>
    <w:rsid w:val="00030574"/>
    <w:rsid w:val="0003158B"/>
    <w:rsid w:val="00031692"/>
    <w:rsid w:val="00031F34"/>
    <w:rsid w:val="00032800"/>
    <w:rsid w:val="00033326"/>
    <w:rsid w:val="0003359C"/>
    <w:rsid w:val="00033A75"/>
    <w:rsid w:val="00033B8A"/>
    <w:rsid w:val="00033B8B"/>
    <w:rsid w:val="000344EC"/>
    <w:rsid w:val="00035042"/>
    <w:rsid w:val="0003517D"/>
    <w:rsid w:val="00035A40"/>
    <w:rsid w:val="00037D3D"/>
    <w:rsid w:val="00037EC1"/>
    <w:rsid w:val="000404D5"/>
    <w:rsid w:val="00041613"/>
    <w:rsid w:val="00041CC9"/>
    <w:rsid w:val="000424B0"/>
    <w:rsid w:val="00043329"/>
    <w:rsid w:val="000436AB"/>
    <w:rsid w:val="0004378F"/>
    <w:rsid w:val="0004422C"/>
    <w:rsid w:val="000459EF"/>
    <w:rsid w:val="00045F62"/>
    <w:rsid w:val="000462DC"/>
    <w:rsid w:val="00046D07"/>
    <w:rsid w:val="00047926"/>
    <w:rsid w:val="00047D8E"/>
    <w:rsid w:val="00050343"/>
    <w:rsid w:val="000503D4"/>
    <w:rsid w:val="00050D6F"/>
    <w:rsid w:val="00051C6B"/>
    <w:rsid w:val="00052080"/>
    <w:rsid w:val="00052884"/>
    <w:rsid w:val="00053074"/>
    <w:rsid w:val="000538A6"/>
    <w:rsid w:val="0005404A"/>
    <w:rsid w:val="00054844"/>
    <w:rsid w:val="00055FA1"/>
    <w:rsid w:val="000560B2"/>
    <w:rsid w:val="00056241"/>
    <w:rsid w:val="000570EA"/>
    <w:rsid w:val="00057F39"/>
    <w:rsid w:val="000617DA"/>
    <w:rsid w:val="00061FDB"/>
    <w:rsid w:val="000620A7"/>
    <w:rsid w:val="0006233E"/>
    <w:rsid w:val="000635D2"/>
    <w:rsid w:val="0006397C"/>
    <w:rsid w:val="00063D17"/>
    <w:rsid w:val="00064EEF"/>
    <w:rsid w:val="00065503"/>
    <w:rsid w:val="000655FB"/>
    <w:rsid w:val="00065920"/>
    <w:rsid w:val="00065AC0"/>
    <w:rsid w:val="000666FE"/>
    <w:rsid w:val="00066A9F"/>
    <w:rsid w:val="00067304"/>
    <w:rsid w:val="00067778"/>
    <w:rsid w:val="000678FA"/>
    <w:rsid w:val="00067F24"/>
    <w:rsid w:val="000704C9"/>
    <w:rsid w:val="00070ABB"/>
    <w:rsid w:val="00070DCC"/>
    <w:rsid w:val="00071E57"/>
    <w:rsid w:val="000720E1"/>
    <w:rsid w:val="0007228D"/>
    <w:rsid w:val="000724E4"/>
    <w:rsid w:val="000725AE"/>
    <w:rsid w:val="00072AD0"/>
    <w:rsid w:val="00072FDD"/>
    <w:rsid w:val="00073845"/>
    <w:rsid w:val="000738B4"/>
    <w:rsid w:val="00074086"/>
    <w:rsid w:val="00074384"/>
    <w:rsid w:val="00075668"/>
    <w:rsid w:val="00076110"/>
    <w:rsid w:val="00077253"/>
    <w:rsid w:val="00080397"/>
    <w:rsid w:val="000804ED"/>
    <w:rsid w:val="00080B28"/>
    <w:rsid w:val="0008133A"/>
    <w:rsid w:val="00081425"/>
    <w:rsid w:val="00081751"/>
    <w:rsid w:val="00081EB3"/>
    <w:rsid w:val="000821D9"/>
    <w:rsid w:val="00082BE7"/>
    <w:rsid w:val="0008390C"/>
    <w:rsid w:val="000842E1"/>
    <w:rsid w:val="0008439E"/>
    <w:rsid w:val="0008517C"/>
    <w:rsid w:val="000851FE"/>
    <w:rsid w:val="000867E6"/>
    <w:rsid w:val="00086B35"/>
    <w:rsid w:val="00086E62"/>
    <w:rsid w:val="00087045"/>
    <w:rsid w:val="00087068"/>
    <w:rsid w:val="000905D5"/>
    <w:rsid w:val="00090B7A"/>
    <w:rsid w:val="000912AD"/>
    <w:rsid w:val="00091604"/>
    <w:rsid w:val="00091F72"/>
    <w:rsid w:val="00092376"/>
    <w:rsid w:val="000929C0"/>
    <w:rsid w:val="00092C1A"/>
    <w:rsid w:val="0009392F"/>
    <w:rsid w:val="00093C9F"/>
    <w:rsid w:val="00093F3C"/>
    <w:rsid w:val="0009481D"/>
    <w:rsid w:val="000958F8"/>
    <w:rsid w:val="000A1269"/>
    <w:rsid w:val="000A19C6"/>
    <w:rsid w:val="000A2058"/>
    <w:rsid w:val="000A234B"/>
    <w:rsid w:val="000A2526"/>
    <w:rsid w:val="000A2A65"/>
    <w:rsid w:val="000A37B1"/>
    <w:rsid w:val="000A3C54"/>
    <w:rsid w:val="000A3DE2"/>
    <w:rsid w:val="000A48C7"/>
    <w:rsid w:val="000A503F"/>
    <w:rsid w:val="000A5315"/>
    <w:rsid w:val="000A5543"/>
    <w:rsid w:val="000A6634"/>
    <w:rsid w:val="000A66A2"/>
    <w:rsid w:val="000A6EBC"/>
    <w:rsid w:val="000A6F58"/>
    <w:rsid w:val="000A7D94"/>
    <w:rsid w:val="000A7DEF"/>
    <w:rsid w:val="000B0040"/>
    <w:rsid w:val="000B0523"/>
    <w:rsid w:val="000B21CA"/>
    <w:rsid w:val="000B2666"/>
    <w:rsid w:val="000B3585"/>
    <w:rsid w:val="000B4D94"/>
    <w:rsid w:val="000B4E2B"/>
    <w:rsid w:val="000B505F"/>
    <w:rsid w:val="000B523B"/>
    <w:rsid w:val="000B5BF5"/>
    <w:rsid w:val="000B5D66"/>
    <w:rsid w:val="000B6E0E"/>
    <w:rsid w:val="000B6EBE"/>
    <w:rsid w:val="000B7546"/>
    <w:rsid w:val="000B787E"/>
    <w:rsid w:val="000C0300"/>
    <w:rsid w:val="000C0572"/>
    <w:rsid w:val="000C07E2"/>
    <w:rsid w:val="000C0C69"/>
    <w:rsid w:val="000C1138"/>
    <w:rsid w:val="000C1321"/>
    <w:rsid w:val="000C14E2"/>
    <w:rsid w:val="000C1A5C"/>
    <w:rsid w:val="000C24D5"/>
    <w:rsid w:val="000C4693"/>
    <w:rsid w:val="000C4876"/>
    <w:rsid w:val="000C4C3A"/>
    <w:rsid w:val="000C4E57"/>
    <w:rsid w:val="000C529D"/>
    <w:rsid w:val="000C5FC8"/>
    <w:rsid w:val="000C62D9"/>
    <w:rsid w:val="000C69ED"/>
    <w:rsid w:val="000C6B5A"/>
    <w:rsid w:val="000C7058"/>
    <w:rsid w:val="000C7665"/>
    <w:rsid w:val="000D0106"/>
    <w:rsid w:val="000D08CA"/>
    <w:rsid w:val="000D1EEA"/>
    <w:rsid w:val="000D206E"/>
    <w:rsid w:val="000D2D66"/>
    <w:rsid w:val="000D374A"/>
    <w:rsid w:val="000D470F"/>
    <w:rsid w:val="000D4908"/>
    <w:rsid w:val="000D4D6C"/>
    <w:rsid w:val="000D4EF4"/>
    <w:rsid w:val="000D5350"/>
    <w:rsid w:val="000D543E"/>
    <w:rsid w:val="000D5532"/>
    <w:rsid w:val="000D6195"/>
    <w:rsid w:val="000D6376"/>
    <w:rsid w:val="000D666D"/>
    <w:rsid w:val="000D667A"/>
    <w:rsid w:val="000D7571"/>
    <w:rsid w:val="000D77F9"/>
    <w:rsid w:val="000D7B0B"/>
    <w:rsid w:val="000D7D90"/>
    <w:rsid w:val="000E16D5"/>
    <w:rsid w:val="000E24C3"/>
    <w:rsid w:val="000E2FF5"/>
    <w:rsid w:val="000E3808"/>
    <w:rsid w:val="000E417F"/>
    <w:rsid w:val="000E438B"/>
    <w:rsid w:val="000E46E2"/>
    <w:rsid w:val="000E4D16"/>
    <w:rsid w:val="000E4D31"/>
    <w:rsid w:val="000E5775"/>
    <w:rsid w:val="000E5D46"/>
    <w:rsid w:val="000E6826"/>
    <w:rsid w:val="000E6A69"/>
    <w:rsid w:val="000E7142"/>
    <w:rsid w:val="000E7557"/>
    <w:rsid w:val="000E7B56"/>
    <w:rsid w:val="000F1080"/>
    <w:rsid w:val="000F130E"/>
    <w:rsid w:val="000F138C"/>
    <w:rsid w:val="000F1785"/>
    <w:rsid w:val="000F2A0F"/>
    <w:rsid w:val="000F2C05"/>
    <w:rsid w:val="000F3040"/>
    <w:rsid w:val="000F3576"/>
    <w:rsid w:val="000F369B"/>
    <w:rsid w:val="000F42B8"/>
    <w:rsid w:val="000F45A3"/>
    <w:rsid w:val="000F4776"/>
    <w:rsid w:val="000F4790"/>
    <w:rsid w:val="000F530A"/>
    <w:rsid w:val="000F6AB4"/>
    <w:rsid w:val="000F6E03"/>
    <w:rsid w:val="000F7371"/>
    <w:rsid w:val="000F7729"/>
    <w:rsid w:val="001001FE"/>
    <w:rsid w:val="00100A9B"/>
    <w:rsid w:val="00100BC8"/>
    <w:rsid w:val="00100DD2"/>
    <w:rsid w:val="0010156C"/>
    <w:rsid w:val="00101F5A"/>
    <w:rsid w:val="001020C6"/>
    <w:rsid w:val="00102165"/>
    <w:rsid w:val="0010371B"/>
    <w:rsid w:val="0010390B"/>
    <w:rsid w:val="0010425C"/>
    <w:rsid w:val="001047D5"/>
    <w:rsid w:val="00105181"/>
    <w:rsid w:val="001058EF"/>
    <w:rsid w:val="00105973"/>
    <w:rsid w:val="00105C50"/>
    <w:rsid w:val="0010607B"/>
    <w:rsid w:val="001066DA"/>
    <w:rsid w:val="00106A8D"/>
    <w:rsid w:val="001070D5"/>
    <w:rsid w:val="00107AEB"/>
    <w:rsid w:val="0011004D"/>
    <w:rsid w:val="00110DA0"/>
    <w:rsid w:val="00111259"/>
    <w:rsid w:val="0011226D"/>
    <w:rsid w:val="001125C0"/>
    <w:rsid w:val="0011293C"/>
    <w:rsid w:val="00113E79"/>
    <w:rsid w:val="00115700"/>
    <w:rsid w:val="00115E77"/>
    <w:rsid w:val="00116BEA"/>
    <w:rsid w:val="001176A8"/>
    <w:rsid w:val="001176F5"/>
    <w:rsid w:val="00117E6A"/>
    <w:rsid w:val="001200BA"/>
    <w:rsid w:val="00120940"/>
    <w:rsid w:val="00120ADC"/>
    <w:rsid w:val="00120CDB"/>
    <w:rsid w:val="00121638"/>
    <w:rsid w:val="00121B4F"/>
    <w:rsid w:val="00121EF2"/>
    <w:rsid w:val="0012351B"/>
    <w:rsid w:val="0012389B"/>
    <w:rsid w:val="00123FBA"/>
    <w:rsid w:val="00124236"/>
    <w:rsid w:val="00124CC4"/>
    <w:rsid w:val="00125151"/>
    <w:rsid w:val="0012574D"/>
    <w:rsid w:val="001257E1"/>
    <w:rsid w:val="001263B8"/>
    <w:rsid w:val="00126857"/>
    <w:rsid w:val="00126942"/>
    <w:rsid w:val="00126AFB"/>
    <w:rsid w:val="00126DE3"/>
    <w:rsid w:val="001271B7"/>
    <w:rsid w:val="001275B8"/>
    <w:rsid w:val="00127F8B"/>
    <w:rsid w:val="001313AE"/>
    <w:rsid w:val="00131957"/>
    <w:rsid w:val="00131A71"/>
    <w:rsid w:val="00131CEC"/>
    <w:rsid w:val="00132520"/>
    <w:rsid w:val="00132A64"/>
    <w:rsid w:val="00132B31"/>
    <w:rsid w:val="00132F2A"/>
    <w:rsid w:val="001334CE"/>
    <w:rsid w:val="00133F7B"/>
    <w:rsid w:val="00136891"/>
    <w:rsid w:val="001369EF"/>
    <w:rsid w:val="00137125"/>
    <w:rsid w:val="00141037"/>
    <w:rsid w:val="00141080"/>
    <w:rsid w:val="0014117C"/>
    <w:rsid w:val="00141E58"/>
    <w:rsid w:val="001425B1"/>
    <w:rsid w:val="00143695"/>
    <w:rsid w:val="00143A79"/>
    <w:rsid w:val="00143B7E"/>
    <w:rsid w:val="001445A3"/>
    <w:rsid w:val="00144769"/>
    <w:rsid w:val="00144A6B"/>
    <w:rsid w:val="00144BE3"/>
    <w:rsid w:val="00144EAE"/>
    <w:rsid w:val="0014554F"/>
    <w:rsid w:val="00145AD9"/>
    <w:rsid w:val="00145FB8"/>
    <w:rsid w:val="00146100"/>
    <w:rsid w:val="001465E7"/>
    <w:rsid w:val="00146B87"/>
    <w:rsid w:val="00146F25"/>
    <w:rsid w:val="00146F8D"/>
    <w:rsid w:val="00150BE5"/>
    <w:rsid w:val="001525B2"/>
    <w:rsid w:val="00152EE3"/>
    <w:rsid w:val="00153361"/>
    <w:rsid w:val="001533EE"/>
    <w:rsid w:val="00153753"/>
    <w:rsid w:val="00153A24"/>
    <w:rsid w:val="00153B77"/>
    <w:rsid w:val="00154A76"/>
    <w:rsid w:val="0015503E"/>
    <w:rsid w:val="00155319"/>
    <w:rsid w:val="00155F6C"/>
    <w:rsid w:val="00156429"/>
    <w:rsid w:val="001565E4"/>
    <w:rsid w:val="001576B8"/>
    <w:rsid w:val="0015790F"/>
    <w:rsid w:val="001600A3"/>
    <w:rsid w:val="00160415"/>
    <w:rsid w:val="00160676"/>
    <w:rsid w:val="001609C3"/>
    <w:rsid w:val="00160A68"/>
    <w:rsid w:val="00160FF1"/>
    <w:rsid w:val="00161CDF"/>
    <w:rsid w:val="001621D8"/>
    <w:rsid w:val="00162CA4"/>
    <w:rsid w:val="00163663"/>
    <w:rsid w:val="00163DB7"/>
    <w:rsid w:val="00164030"/>
    <w:rsid w:val="001643FF"/>
    <w:rsid w:val="00164D57"/>
    <w:rsid w:val="00164F84"/>
    <w:rsid w:val="00165853"/>
    <w:rsid w:val="00165AFC"/>
    <w:rsid w:val="00167177"/>
    <w:rsid w:val="001716FD"/>
    <w:rsid w:val="00171A7C"/>
    <w:rsid w:val="00172DC5"/>
    <w:rsid w:val="00173A0B"/>
    <w:rsid w:val="00174883"/>
    <w:rsid w:val="001749D1"/>
    <w:rsid w:val="00175A65"/>
    <w:rsid w:val="00176748"/>
    <w:rsid w:val="00176EED"/>
    <w:rsid w:val="00177590"/>
    <w:rsid w:val="00177AB2"/>
    <w:rsid w:val="00177F59"/>
    <w:rsid w:val="00181214"/>
    <w:rsid w:val="001817A0"/>
    <w:rsid w:val="00181F7F"/>
    <w:rsid w:val="00182E6B"/>
    <w:rsid w:val="00183150"/>
    <w:rsid w:val="001831F7"/>
    <w:rsid w:val="00183222"/>
    <w:rsid w:val="00183EE9"/>
    <w:rsid w:val="001845AB"/>
    <w:rsid w:val="00184D4E"/>
    <w:rsid w:val="00185961"/>
    <w:rsid w:val="001861C7"/>
    <w:rsid w:val="0018651D"/>
    <w:rsid w:val="00186D3A"/>
    <w:rsid w:val="00187699"/>
    <w:rsid w:val="00187C8D"/>
    <w:rsid w:val="00190288"/>
    <w:rsid w:val="0019034C"/>
    <w:rsid w:val="00190428"/>
    <w:rsid w:val="00190E24"/>
    <w:rsid w:val="00190EA3"/>
    <w:rsid w:val="00190FE0"/>
    <w:rsid w:val="001913DD"/>
    <w:rsid w:val="001932FF"/>
    <w:rsid w:val="00193397"/>
    <w:rsid w:val="001937D9"/>
    <w:rsid w:val="00193866"/>
    <w:rsid w:val="00193CB6"/>
    <w:rsid w:val="00194A04"/>
    <w:rsid w:val="0019557F"/>
    <w:rsid w:val="00196894"/>
    <w:rsid w:val="00197218"/>
    <w:rsid w:val="001972C5"/>
    <w:rsid w:val="001976B9"/>
    <w:rsid w:val="001A0590"/>
    <w:rsid w:val="001A065F"/>
    <w:rsid w:val="001A0C71"/>
    <w:rsid w:val="001A0D54"/>
    <w:rsid w:val="001A0F71"/>
    <w:rsid w:val="001A12EB"/>
    <w:rsid w:val="001A1D06"/>
    <w:rsid w:val="001A1FDD"/>
    <w:rsid w:val="001A20A3"/>
    <w:rsid w:val="001A2265"/>
    <w:rsid w:val="001A27D2"/>
    <w:rsid w:val="001A3D0D"/>
    <w:rsid w:val="001A4453"/>
    <w:rsid w:val="001A4E2D"/>
    <w:rsid w:val="001A5401"/>
    <w:rsid w:val="001A684A"/>
    <w:rsid w:val="001A6F9F"/>
    <w:rsid w:val="001B06FF"/>
    <w:rsid w:val="001B13C0"/>
    <w:rsid w:val="001B2B13"/>
    <w:rsid w:val="001B33A6"/>
    <w:rsid w:val="001B37BD"/>
    <w:rsid w:val="001B3C24"/>
    <w:rsid w:val="001B3D97"/>
    <w:rsid w:val="001B3E12"/>
    <w:rsid w:val="001B4204"/>
    <w:rsid w:val="001B4289"/>
    <w:rsid w:val="001B49B0"/>
    <w:rsid w:val="001B4E71"/>
    <w:rsid w:val="001B58DD"/>
    <w:rsid w:val="001B59CB"/>
    <w:rsid w:val="001B6245"/>
    <w:rsid w:val="001B648E"/>
    <w:rsid w:val="001B65E7"/>
    <w:rsid w:val="001B7F96"/>
    <w:rsid w:val="001C047B"/>
    <w:rsid w:val="001C0818"/>
    <w:rsid w:val="001C0A2A"/>
    <w:rsid w:val="001C1442"/>
    <w:rsid w:val="001C26D8"/>
    <w:rsid w:val="001C3DB3"/>
    <w:rsid w:val="001C431E"/>
    <w:rsid w:val="001C4427"/>
    <w:rsid w:val="001C5A19"/>
    <w:rsid w:val="001C7065"/>
    <w:rsid w:val="001D0712"/>
    <w:rsid w:val="001D072E"/>
    <w:rsid w:val="001D0B65"/>
    <w:rsid w:val="001D10DC"/>
    <w:rsid w:val="001D16F5"/>
    <w:rsid w:val="001D175E"/>
    <w:rsid w:val="001D1CBC"/>
    <w:rsid w:val="001D26DE"/>
    <w:rsid w:val="001D291A"/>
    <w:rsid w:val="001D31AF"/>
    <w:rsid w:val="001D3836"/>
    <w:rsid w:val="001D39AC"/>
    <w:rsid w:val="001D3DFC"/>
    <w:rsid w:val="001D4879"/>
    <w:rsid w:val="001D541C"/>
    <w:rsid w:val="001D6807"/>
    <w:rsid w:val="001D6815"/>
    <w:rsid w:val="001D693D"/>
    <w:rsid w:val="001D6C8E"/>
    <w:rsid w:val="001D6F37"/>
    <w:rsid w:val="001D7288"/>
    <w:rsid w:val="001E019A"/>
    <w:rsid w:val="001E0F67"/>
    <w:rsid w:val="001E10C1"/>
    <w:rsid w:val="001E1E64"/>
    <w:rsid w:val="001E2241"/>
    <w:rsid w:val="001E2618"/>
    <w:rsid w:val="001E27E1"/>
    <w:rsid w:val="001E2955"/>
    <w:rsid w:val="001E29DF"/>
    <w:rsid w:val="001E2DF6"/>
    <w:rsid w:val="001E47F0"/>
    <w:rsid w:val="001E4B79"/>
    <w:rsid w:val="001E5834"/>
    <w:rsid w:val="001E5A52"/>
    <w:rsid w:val="001E5B00"/>
    <w:rsid w:val="001E5BA7"/>
    <w:rsid w:val="001E60A0"/>
    <w:rsid w:val="001E65A2"/>
    <w:rsid w:val="001E76D7"/>
    <w:rsid w:val="001E7ACA"/>
    <w:rsid w:val="001F31A3"/>
    <w:rsid w:val="001F3446"/>
    <w:rsid w:val="001F3D5B"/>
    <w:rsid w:val="001F3FE5"/>
    <w:rsid w:val="001F5767"/>
    <w:rsid w:val="001F5D3A"/>
    <w:rsid w:val="001F5DF0"/>
    <w:rsid w:val="001F65E6"/>
    <w:rsid w:val="001F703D"/>
    <w:rsid w:val="001F7094"/>
    <w:rsid w:val="001F711D"/>
    <w:rsid w:val="001F7A6A"/>
    <w:rsid w:val="0020045C"/>
    <w:rsid w:val="002006C9"/>
    <w:rsid w:val="00200BB6"/>
    <w:rsid w:val="002014BB"/>
    <w:rsid w:val="00201A18"/>
    <w:rsid w:val="00201B7B"/>
    <w:rsid w:val="00201C67"/>
    <w:rsid w:val="00202A9B"/>
    <w:rsid w:val="00202D4D"/>
    <w:rsid w:val="002033C7"/>
    <w:rsid w:val="0020398F"/>
    <w:rsid w:val="00203FBE"/>
    <w:rsid w:val="0020432B"/>
    <w:rsid w:val="002045A6"/>
    <w:rsid w:val="00204B1D"/>
    <w:rsid w:val="002050A7"/>
    <w:rsid w:val="00205805"/>
    <w:rsid w:val="00205831"/>
    <w:rsid w:val="002061B0"/>
    <w:rsid w:val="002063C0"/>
    <w:rsid w:val="00206536"/>
    <w:rsid w:val="002066D5"/>
    <w:rsid w:val="00206909"/>
    <w:rsid w:val="00210510"/>
    <w:rsid w:val="00210C59"/>
    <w:rsid w:val="00210E5D"/>
    <w:rsid w:val="0021100C"/>
    <w:rsid w:val="00211351"/>
    <w:rsid w:val="00212446"/>
    <w:rsid w:val="002124F8"/>
    <w:rsid w:val="00212A7E"/>
    <w:rsid w:val="00212BA2"/>
    <w:rsid w:val="002135D4"/>
    <w:rsid w:val="002138A1"/>
    <w:rsid w:val="00213ABB"/>
    <w:rsid w:val="00213CFF"/>
    <w:rsid w:val="00214195"/>
    <w:rsid w:val="00214AD8"/>
    <w:rsid w:val="00214E09"/>
    <w:rsid w:val="0021500D"/>
    <w:rsid w:val="002150D2"/>
    <w:rsid w:val="00215BD1"/>
    <w:rsid w:val="00215C96"/>
    <w:rsid w:val="00215E88"/>
    <w:rsid w:val="00216030"/>
    <w:rsid w:val="0021713A"/>
    <w:rsid w:val="0021737C"/>
    <w:rsid w:val="0022044C"/>
    <w:rsid w:val="0022159C"/>
    <w:rsid w:val="00221B6B"/>
    <w:rsid w:val="00222061"/>
    <w:rsid w:val="002225FB"/>
    <w:rsid w:val="002229E6"/>
    <w:rsid w:val="00222F65"/>
    <w:rsid w:val="00222FFD"/>
    <w:rsid w:val="00223EFD"/>
    <w:rsid w:val="00223F62"/>
    <w:rsid w:val="00224CAD"/>
    <w:rsid w:val="00225059"/>
    <w:rsid w:val="0022521B"/>
    <w:rsid w:val="00225384"/>
    <w:rsid w:val="0022595A"/>
    <w:rsid w:val="00225D21"/>
    <w:rsid w:val="00225F1D"/>
    <w:rsid w:val="00226A44"/>
    <w:rsid w:val="00226E22"/>
    <w:rsid w:val="002270AB"/>
    <w:rsid w:val="00227167"/>
    <w:rsid w:val="0022760A"/>
    <w:rsid w:val="0022797E"/>
    <w:rsid w:val="00227B9B"/>
    <w:rsid w:val="00227CA9"/>
    <w:rsid w:val="002302EC"/>
    <w:rsid w:val="00230345"/>
    <w:rsid w:val="00230440"/>
    <w:rsid w:val="002304A4"/>
    <w:rsid w:val="00230796"/>
    <w:rsid w:val="00230D12"/>
    <w:rsid w:val="00230D1B"/>
    <w:rsid w:val="00231F44"/>
    <w:rsid w:val="00232628"/>
    <w:rsid w:val="00232F44"/>
    <w:rsid w:val="00233C14"/>
    <w:rsid w:val="00234B2D"/>
    <w:rsid w:val="00235703"/>
    <w:rsid w:val="002357BB"/>
    <w:rsid w:val="00235A8C"/>
    <w:rsid w:val="0023732C"/>
    <w:rsid w:val="00237489"/>
    <w:rsid w:val="00237C2F"/>
    <w:rsid w:val="002406F5"/>
    <w:rsid w:val="00240EB8"/>
    <w:rsid w:val="00241080"/>
    <w:rsid w:val="0024131F"/>
    <w:rsid w:val="0024139E"/>
    <w:rsid w:val="002415D6"/>
    <w:rsid w:val="00241972"/>
    <w:rsid w:val="00241DBE"/>
    <w:rsid w:val="00241DFA"/>
    <w:rsid w:val="00243511"/>
    <w:rsid w:val="002436D9"/>
    <w:rsid w:val="00244494"/>
    <w:rsid w:val="0024522C"/>
    <w:rsid w:val="0024522F"/>
    <w:rsid w:val="00245495"/>
    <w:rsid w:val="00245E85"/>
    <w:rsid w:val="00246007"/>
    <w:rsid w:val="0024651B"/>
    <w:rsid w:val="002502B1"/>
    <w:rsid w:val="00250548"/>
    <w:rsid w:val="00250F28"/>
    <w:rsid w:val="00251D8F"/>
    <w:rsid w:val="002529BA"/>
    <w:rsid w:val="0025300F"/>
    <w:rsid w:val="002538D9"/>
    <w:rsid w:val="002540C2"/>
    <w:rsid w:val="002563B5"/>
    <w:rsid w:val="002568DA"/>
    <w:rsid w:val="0025703D"/>
    <w:rsid w:val="002603D5"/>
    <w:rsid w:val="002606D7"/>
    <w:rsid w:val="00260912"/>
    <w:rsid w:val="00261019"/>
    <w:rsid w:val="00262621"/>
    <w:rsid w:val="00262935"/>
    <w:rsid w:val="0026305C"/>
    <w:rsid w:val="00263454"/>
    <w:rsid w:val="00263A67"/>
    <w:rsid w:val="00263DB6"/>
    <w:rsid w:val="002646B8"/>
    <w:rsid w:val="00265944"/>
    <w:rsid w:val="00265CFE"/>
    <w:rsid w:val="002671C8"/>
    <w:rsid w:val="00267615"/>
    <w:rsid w:val="0027090C"/>
    <w:rsid w:val="00270BA3"/>
    <w:rsid w:val="002712EB"/>
    <w:rsid w:val="0027393F"/>
    <w:rsid w:val="00274089"/>
    <w:rsid w:val="00274155"/>
    <w:rsid w:val="00274445"/>
    <w:rsid w:val="00276D3B"/>
    <w:rsid w:val="00276E40"/>
    <w:rsid w:val="00276E4F"/>
    <w:rsid w:val="00277131"/>
    <w:rsid w:val="00277417"/>
    <w:rsid w:val="002778FA"/>
    <w:rsid w:val="002805BD"/>
    <w:rsid w:val="0028076B"/>
    <w:rsid w:val="00281153"/>
    <w:rsid w:val="00281605"/>
    <w:rsid w:val="00281AFF"/>
    <w:rsid w:val="00282340"/>
    <w:rsid w:val="002824EB"/>
    <w:rsid w:val="0028281E"/>
    <w:rsid w:val="0028337D"/>
    <w:rsid w:val="00284E3D"/>
    <w:rsid w:val="00285560"/>
    <w:rsid w:val="00286D19"/>
    <w:rsid w:val="00286E63"/>
    <w:rsid w:val="00286E9D"/>
    <w:rsid w:val="00287634"/>
    <w:rsid w:val="00287E69"/>
    <w:rsid w:val="00290757"/>
    <w:rsid w:val="00290C2F"/>
    <w:rsid w:val="00290C7D"/>
    <w:rsid w:val="00292228"/>
    <w:rsid w:val="002931CC"/>
    <w:rsid w:val="002935AF"/>
    <w:rsid w:val="00294600"/>
    <w:rsid w:val="00295270"/>
    <w:rsid w:val="002965AE"/>
    <w:rsid w:val="00296B23"/>
    <w:rsid w:val="00296BF1"/>
    <w:rsid w:val="00296F85"/>
    <w:rsid w:val="002A0DCF"/>
    <w:rsid w:val="002A115C"/>
    <w:rsid w:val="002A1193"/>
    <w:rsid w:val="002A13FD"/>
    <w:rsid w:val="002A18DA"/>
    <w:rsid w:val="002A18F3"/>
    <w:rsid w:val="002A2788"/>
    <w:rsid w:val="002A3C8F"/>
    <w:rsid w:val="002A4F7D"/>
    <w:rsid w:val="002A5A2B"/>
    <w:rsid w:val="002A614C"/>
    <w:rsid w:val="002A6878"/>
    <w:rsid w:val="002A77C2"/>
    <w:rsid w:val="002A794E"/>
    <w:rsid w:val="002B0838"/>
    <w:rsid w:val="002B107A"/>
    <w:rsid w:val="002B11AA"/>
    <w:rsid w:val="002B126D"/>
    <w:rsid w:val="002B14E7"/>
    <w:rsid w:val="002B16DE"/>
    <w:rsid w:val="002B6116"/>
    <w:rsid w:val="002B65D9"/>
    <w:rsid w:val="002B70BE"/>
    <w:rsid w:val="002B71CC"/>
    <w:rsid w:val="002B7508"/>
    <w:rsid w:val="002C1461"/>
    <w:rsid w:val="002C15C1"/>
    <w:rsid w:val="002C1A89"/>
    <w:rsid w:val="002C1BA2"/>
    <w:rsid w:val="002C2196"/>
    <w:rsid w:val="002C2210"/>
    <w:rsid w:val="002C235D"/>
    <w:rsid w:val="002C3056"/>
    <w:rsid w:val="002C331F"/>
    <w:rsid w:val="002C3587"/>
    <w:rsid w:val="002C3E30"/>
    <w:rsid w:val="002C4E98"/>
    <w:rsid w:val="002C5882"/>
    <w:rsid w:val="002C5AC8"/>
    <w:rsid w:val="002C6710"/>
    <w:rsid w:val="002C698B"/>
    <w:rsid w:val="002C7BB6"/>
    <w:rsid w:val="002C7E99"/>
    <w:rsid w:val="002D0082"/>
    <w:rsid w:val="002D0637"/>
    <w:rsid w:val="002D0BA1"/>
    <w:rsid w:val="002D0E5D"/>
    <w:rsid w:val="002D1169"/>
    <w:rsid w:val="002D1346"/>
    <w:rsid w:val="002D171E"/>
    <w:rsid w:val="002D18A3"/>
    <w:rsid w:val="002D26E5"/>
    <w:rsid w:val="002D2EC7"/>
    <w:rsid w:val="002D3F5A"/>
    <w:rsid w:val="002D4968"/>
    <w:rsid w:val="002D5453"/>
    <w:rsid w:val="002D54C9"/>
    <w:rsid w:val="002D71CB"/>
    <w:rsid w:val="002D7EA1"/>
    <w:rsid w:val="002E0357"/>
    <w:rsid w:val="002E189B"/>
    <w:rsid w:val="002E3383"/>
    <w:rsid w:val="002E5CEC"/>
    <w:rsid w:val="002E5F8B"/>
    <w:rsid w:val="002E6C30"/>
    <w:rsid w:val="002F011D"/>
    <w:rsid w:val="002F06CA"/>
    <w:rsid w:val="002F1A94"/>
    <w:rsid w:val="002F21DD"/>
    <w:rsid w:val="002F23C6"/>
    <w:rsid w:val="002F24E8"/>
    <w:rsid w:val="002F2928"/>
    <w:rsid w:val="002F2D9C"/>
    <w:rsid w:val="002F318D"/>
    <w:rsid w:val="002F3BDA"/>
    <w:rsid w:val="002F3CB3"/>
    <w:rsid w:val="002F44D2"/>
    <w:rsid w:val="002F4BA8"/>
    <w:rsid w:val="002F54B1"/>
    <w:rsid w:val="002F5848"/>
    <w:rsid w:val="002F5DD4"/>
    <w:rsid w:val="002F5E89"/>
    <w:rsid w:val="002F62D9"/>
    <w:rsid w:val="002F70B8"/>
    <w:rsid w:val="002F7281"/>
    <w:rsid w:val="002F7DC6"/>
    <w:rsid w:val="00301B55"/>
    <w:rsid w:val="0030237C"/>
    <w:rsid w:val="003032C9"/>
    <w:rsid w:val="00303D01"/>
    <w:rsid w:val="00303E2E"/>
    <w:rsid w:val="00305E03"/>
    <w:rsid w:val="003062A1"/>
    <w:rsid w:val="00306430"/>
    <w:rsid w:val="0030684E"/>
    <w:rsid w:val="003068DB"/>
    <w:rsid w:val="003068F4"/>
    <w:rsid w:val="00306BE1"/>
    <w:rsid w:val="003073A9"/>
    <w:rsid w:val="003075AD"/>
    <w:rsid w:val="00307718"/>
    <w:rsid w:val="00307B6B"/>
    <w:rsid w:val="003106EA"/>
    <w:rsid w:val="00310748"/>
    <w:rsid w:val="00310D84"/>
    <w:rsid w:val="003118B5"/>
    <w:rsid w:val="003118C6"/>
    <w:rsid w:val="00312711"/>
    <w:rsid w:val="00313F57"/>
    <w:rsid w:val="0031697C"/>
    <w:rsid w:val="003170F3"/>
    <w:rsid w:val="00320DE8"/>
    <w:rsid w:val="003211E7"/>
    <w:rsid w:val="00321417"/>
    <w:rsid w:val="00321883"/>
    <w:rsid w:val="0032239B"/>
    <w:rsid w:val="00322A3D"/>
    <w:rsid w:val="00322CAA"/>
    <w:rsid w:val="00323B2B"/>
    <w:rsid w:val="00323EA2"/>
    <w:rsid w:val="0032420D"/>
    <w:rsid w:val="0032447F"/>
    <w:rsid w:val="00324CC5"/>
    <w:rsid w:val="0032541C"/>
    <w:rsid w:val="00325DDA"/>
    <w:rsid w:val="00325E59"/>
    <w:rsid w:val="0032617F"/>
    <w:rsid w:val="0032648A"/>
    <w:rsid w:val="0032649D"/>
    <w:rsid w:val="00326C4F"/>
    <w:rsid w:val="0032766A"/>
    <w:rsid w:val="00327CDA"/>
    <w:rsid w:val="003303F2"/>
    <w:rsid w:val="00331012"/>
    <w:rsid w:val="003313D6"/>
    <w:rsid w:val="00331BD6"/>
    <w:rsid w:val="00332AD3"/>
    <w:rsid w:val="00332B92"/>
    <w:rsid w:val="00332CF8"/>
    <w:rsid w:val="00332FEB"/>
    <w:rsid w:val="0033336C"/>
    <w:rsid w:val="00333671"/>
    <w:rsid w:val="00333C45"/>
    <w:rsid w:val="0033477E"/>
    <w:rsid w:val="00334B1D"/>
    <w:rsid w:val="00334E0C"/>
    <w:rsid w:val="00335195"/>
    <w:rsid w:val="003357EF"/>
    <w:rsid w:val="00335B61"/>
    <w:rsid w:val="00336AE7"/>
    <w:rsid w:val="00336EE3"/>
    <w:rsid w:val="00336FF0"/>
    <w:rsid w:val="0033744A"/>
    <w:rsid w:val="003379D5"/>
    <w:rsid w:val="00337B20"/>
    <w:rsid w:val="00337EC4"/>
    <w:rsid w:val="003417FA"/>
    <w:rsid w:val="00342246"/>
    <w:rsid w:val="0034286F"/>
    <w:rsid w:val="00343642"/>
    <w:rsid w:val="00343AE3"/>
    <w:rsid w:val="00343F0D"/>
    <w:rsid w:val="00343FFB"/>
    <w:rsid w:val="003445F9"/>
    <w:rsid w:val="00344B30"/>
    <w:rsid w:val="00344FB6"/>
    <w:rsid w:val="00346002"/>
    <w:rsid w:val="00346D39"/>
    <w:rsid w:val="00346E61"/>
    <w:rsid w:val="003470E9"/>
    <w:rsid w:val="0034720A"/>
    <w:rsid w:val="00347408"/>
    <w:rsid w:val="00347ACB"/>
    <w:rsid w:val="00350EC6"/>
    <w:rsid w:val="00351A77"/>
    <w:rsid w:val="00352DC0"/>
    <w:rsid w:val="00352EBB"/>
    <w:rsid w:val="00353A81"/>
    <w:rsid w:val="00353FEC"/>
    <w:rsid w:val="0035473B"/>
    <w:rsid w:val="00354C31"/>
    <w:rsid w:val="00354FD7"/>
    <w:rsid w:val="003550E7"/>
    <w:rsid w:val="00355136"/>
    <w:rsid w:val="00355D14"/>
    <w:rsid w:val="00356198"/>
    <w:rsid w:val="0035619C"/>
    <w:rsid w:val="003563C9"/>
    <w:rsid w:val="0035644C"/>
    <w:rsid w:val="00356560"/>
    <w:rsid w:val="00357228"/>
    <w:rsid w:val="00357DA9"/>
    <w:rsid w:val="003627A0"/>
    <w:rsid w:val="003632DA"/>
    <w:rsid w:val="00363864"/>
    <w:rsid w:val="003638D2"/>
    <w:rsid w:val="00363DD0"/>
    <w:rsid w:val="00364351"/>
    <w:rsid w:val="00364C72"/>
    <w:rsid w:val="0036763A"/>
    <w:rsid w:val="00367C9D"/>
    <w:rsid w:val="00370508"/>
    <w:rsid w:val="00370674"/>
    <w:rsid w:val="00371F82"/>
    <w:rsid w:val="00372AF2"/>
    <w:rsid w:val="00373055"/>
    <w:rsid w:val="003731A1"/>
    <w:rsid w:val="00373677"/>
    <w:rsid w:val="003737B6"/>
    <w:rsid w:val="00373A82"/>
    <w:rsid w:val="00373B76"/>
    <w:rsid w:val="00373CE6"/>
    <w:rsid w:val="0037448E"/>
    <w:rsid w:val="003746CA"/>
    <w:rsid w:val="00374B72"/>
    <w:rsid w:val="003751B9"/>
    <w:rsid w:val="00375E0A"/>
    <w:rsid w:val="00376257"/>
    <w:rsid w:val="00376A85"/>
    <w:rsid w:val="00376DA4"/>
    <w:rsid w:val="003774A2"/>
    <w:rsid w:val="003800F2"/>
    <w:rsid w:val="00380216"/>
    <w:rsid w:val="00380CFA"/>
    <w:rsid w:val="0038113A"/>
    <w:rsid w:val="003813D3"/>
    <w:rsid w:val="00381678"/>
    <w:rsid w:val="003820D9"/>
    <w:rsid w:val="0038328B"/>
    <w:rsid w:val="003838E3"/>
    <w:rsid w:val="00383A13"/>
    <w:rsid w:val="00383D3C"/>
    <w:rsid w:val="00384C2A"/>
    <w:rsid w:val="00384ED8"/>
    <w:rsid w:val="003856F9"/>
    <w:rsid w:val="0038599D"/>
    <w:rsid w:val="00385A30"/>
    <w:rsid w:val="00386491"/>
    <w:rsid w:val="003868F7"/>
    <w:rsid w:val="003871AE"/>
    <w:rsid w:val="00387963"/>
    <w:rsid w:val="00387C7F"/>
    <w:rsid w:val="003920A6"/>
    <w:rsid w:val="00392657"/>
    <w:rsid w:val="003929FA"/>
    <w:rsid w:val="0039390E"/>
    <w:rsid w:val="00393F07"/>
    <w:rsid w:val="00394B40"/>
    <w:rsid w:val="00394C64"/>
    <w:rsid w:val="0039529D"/>
    <w:rsid w:val="00396412"/>
    <w:rsid w:val="0039680D"/>
    <w:rsid w:val="0039755D"/>
    <w:rsid w:val="003A0091"/>
    <w:rsid w:val="003A09A7"/>
    <w:rsid w:val="003A0B27"/>
    <w:rsid w:val="003A0DDA"/>
    <w:rsid w:val="003A11F0"/>
    <w:rsid w:val="003A13FD"/>
    <w:rsid w:val="003A22CE"/>
    <w:rsid w:val="003A244A"/>
    <w:rsid w:val="003A27DC"/>
    <w:rsid w:val="003A2A6A"/>
    <w:rsid w:val="003A2AFD"/>
    <w:rsid w:val="003A3552"/>
    <w:rsid w:val="003A3837"/>
    <w:rsid w:val="003A5513"/>
    <w:rsid w:val="003A6ED6"/>
    <w:rsid w:val="003A72B4"/>
    <w:rsid w:val="003A791A"/>
    <w:rsid w:val="003A79EB"/>
    <w:rsid w:val="003B1B3C"/>
    <w:rsid w:val="003B4978"/>
    <w:rsid w:val="003B4AD6"/>
    <w:rsid w:val="003B4B57"/>
    <w:rsid w:val="003B4C65"/>
    <w:rsid w:val="003B513F"/>
    <w:rsid w:val="003B5ECC"/>
    <w:rsid w:val="003B6E9D"/>
    <w:rsid w:val="003B7BEE"/>
    <w:rsid w:val="003B7E6E"/>
    <w:rsid w:val="003B7F7E"/>
    <w:rsid w:val="003C084A"/>
    <w:rsid w:val="003C1070"/>
    <w:rsid w:val="003C11A1"/>
    <w:rsid w:val="003C148C"/>
    <w:rsid w:val="003C3402"/>
    <w:rsid w:val="003C36F1"/>
    <w:rsid w:val="003C3A3C"/>
    <w:rsid w:val="003C3FA6"/>
    <w:rsid w:val="003C3FF6"/>
    <w:rsid w:val="003C44E5"/>
    <w:rsid w:val="003C5E5B"/>
    <w:rsid w:val="003C5EF9"/>
    <w:rsid w:val="003C6527"/>
    <w:rsid w:val="003C6AB0"/>
    <w:rsid w:val="003C7032"/>
    <w:rsid w:val="003C7159"/>
    <w:rsid w:val="003C7356"/>
    <w:rsid w:val="003C7858"/>
    <w:rsid w:val="003C7D70"/>
    <w:rsid w:val="003D0163"/>
    <w:rsid w:val="003D0D7A"/>
    <w:rsid w:val="003D1DA3"/>
    <w:rsid w:val="003D2597"/>
    <w:rsid w:val="003D3047"/>
    <w:rsid w:val="003D4236"/>
    <w:rsid w:val="003D4698"/>
    <w:rsid w:val="003D48B6"/>
    <w:rsid w:val="003D4D13"/>
    <w:rsid w:val="003D65F5"/>
    <w:rsid w:val="003D6D2D"/>
    <w:rsid w:val="003E010E"/>
    <w:rsid w:val="003E0D20"/>
    <w:rsid w:val="003E185C"/>
    <w:rsid w:val="003E19A0"/>
    <w:rsid w:val="003E1C1C"/>
    <w:rsid w:val="003E2C64"/>
    <w:rsid w:val="003E3821"/>
    <w:rsid w:val="003E3F75"/>
    <w:rsid w:val="003E41C2"/>
    <w:rsid w:val="003E4275"/>
    <w:rsid w:val="003E4413"/>
    <w:rsid w:val="003E4AC6"/>
    <w:rsid w:val="003E53DC"/>
    <w:rsid w:val="003E57DA"/>
    <w:rsid w:val="003E586C"/>
    <w:rsid w:val="003E5D1C"/>
    <w:rsid w:val="003E6427"/>
    <w:rsid w:val="003E6CE5"/>
    <w:rsid w:val="003E73AF"/>
    <w:rsid w:val="003E751A"/>
    <w:rsid w:val="003E7B3A"/>
    <w:rsid w:val="003E7E69"/>
    <w:rsid w:val="003F019B"/>
    <w:rsid w:val="003F201E"/>
    <w:rsid w:val="003F2429"/>
    <w:rsid w:val="003F2C87"/>
    <w:rsid w:val="003F2C88"/>
    <w:rsid w:val="003F2F93"/>
    <w:rsid w:val="003F2FF9"/>
    <w:rsid w:val="003F3315"/>
    <w:rsid w:val="003F454D"/>
    <w:rsid w:val="003F55A0"/>
    <w:rsid w:val="003F60D8"/>
    <w:rsid w:val="003F6AE7"/>
    <w:rsid w:val="003F6ECA"/>
    <w:rsid w:val="003F70D5"/>
    <w:rsid w:val="003F7458"/>
    <w:rsid w:val="003F7A1A"/>
    <w:rsid w:val="003F7CC5"/>
    <w:rsid w:val="0040091B"/>
    <w:rsid w:val="00400F19"/>
    <w:rsid w:val="00401277"/>
    <w:rsid w:val="0040133D"/>
    <w:rsid w:val="004016A6"/>
    <w:rsid w:val="00402628"/>
    <w:rsid w:val="00402AED"/>
    <w:rsid w:val="00404AF7"/>
    <w:rsid w:val="00404CD9"/>
    <w:rsid w:val="004053B9"/>
    <w:rsid w:val="004057B7"/>
    <w:rsid w:val="004060E1"/>
    <w:rsid w:val="00406225"/>
    <w:rsid w:val="00406A5C"/>
    <w:rsid w:val="00407049"/>
    <w:rsid w:val="00407C66"/>
    <w:rsid w:val="00411143"/>
    <w:rsid w:val="004117D2"/>
    <w:rsid w:val="00412286"/>
    <w:rsid w:val="00412DF6"/>
    <w:rsid w:val="00412F22"/>
    <w:rsid w:val="00413873"/>
    <w:rsid w:val="004138D8"/>
    <w:rsid w:val="00414D75"/>
    <w:rsid w:val="00417CE2"/>
    <w:rsid w:val="00417D99"/>
    <w:rsid w:val="0042011E"/>
    <w:rsid w:val="004206B5"/>
    <w:rsid w:val="0042164C"/>
    <w:rsid w:val="00421890"/>
    <w:rsid w:val="004218FD"/>
    <w:rsid w:val="00422E86"/>
    <w:rsid w:val="00422FFA"/>
    <w:rsid w:val="004239AE"/>
    <w:rsid w:val="0042564F"/>
    <w:rsid w:val="004261EB"/>
    <w:rsid w:val="004262AB"/>
    <w:rsid w:val="004263ED"/>
    <w:rsid w:val="0042776E"/>
    <w:rsid w:val="00427B9C"/>
    <w:rsid w:val="0043054D"/>
    <w:rsid w:val="004315A9"/>
    <w:rsid w:val="00431A46"/>
    <w:rsid w:val="00431AFC"/>
    <w:rsid w:val="00431F88"/>
    <w:rsid w:val="0043265F"/>
    <w:rsid w:val="0043290F"/>
    <w:rsid w:val="00432A40"/>
    <w:rsid w:val="00432BA7"/>
    <w:rsid w:val="00432D40"/>
    <w:rsid w:val="00433277"/>
    <w:rsid w:val="0043391D"/>
    <w:rsid w:val="00433ED4"/>
    <w:rsid w:val="00433EEB"/>
    <w:rsid w:val="0043415D"/>
    <w:rsid w:val="0043438C"/>
    <w:rsid w:val="00434C84"/>
    <w:rsid w:val="00434FF5"/>
    <w:rsid w:val="0043601C"/>
    <w:rsid w:val="004369C3"/>
    <w:rsid w:val="00437EE1"/>
    <w:rsid w:val="0044032A"/>
    <w:rsid w:val="00440DE3"/>
    <w:rsid w:val="00441679"/>
    <w:rsid w:val="00442B82"/>
    <w:rsid w:val="00443573"/>
    <w:rsid w:val="0044383D"/>
    <w:rsid w:val="00444086"/>
    <w:rsid w:val="004440EB"/>
    <w:rsid w:val="00444116"/>
    <w:rsid w:val="00445B8F"/>
    <w:rsid w:val="004467E3"/>
    <w:rsid w:val="00446C97"/>
    <w:rsid w:val="00446FDD"/>
    <w:rsid w:val="00450601"/>
    <w:rsid w:val="00450888"/>
    <w:rsid w:val="00450947"/>
    <w:rsid w:val="00452006"/>
    <w:rsid w:val="00453260"/>
    <w:rsid w:val="00453C4A"/>
    <w:rsid w:val="00453C69"/>
    <w:rsid w:val="00453C77"/>
    <w:rsid w:val="004558C5"/>
    <w:rsid w:val="00455CB2"/>
    <w:rsid w:val="004568B5"/>
    <w:rsid w:val="00456CEF"/>
    <w:rsid w:val="004600A3"/>
    <w:rsid w:val="00460208"/>
    <w:rsid w:val="00460B80"/>
    <w:rsid w:val="0046143D"/>
    <w:rsid w:val="004618D7"/>
    <w:rsid w:val="00461F83"/>
    <w:rsid w:val="00462114"/>
    <w:rsid w:val="0046285E"/>
    <w:rsid w:val="00463D49"/>
    <w:rsid w:val="00463E0D"/>
    <w:rsid w:val="00464AAA"/>
    <w:rsid w:val="00465360"/>
    <w:rsid w:val="0046538E"/>
    <w:rsid w:val="00465D4E"/>
    <w:rsid w:val="004665A2"/>
    <w:rsid w:val="00467044"/>
    <w:rsid w:val="0046769D"/>
    <w:rsid w:val="00467787"/>
    <w:rsid w:val="00470339"/>
    <w:rsid w:val="00470C93"/>
    <w:rsid w:val="00470ED1"/>
    <w:rsid w:val="00471BC0"/>
    <w:rsid w:val="00472259"/>
    <w:rsid w:val="00472777"/>
    <w:rsid w:val="00473444"/>
    <w:rsid w:val="00473544"/>
    <w:rsid w:val="00473566"/>
    <w:rsid w:val="00474621"/>
    <w:rsid w:val="00474762"/>
    <w:rsid w:val="00474CBC"/>
    <w:rsid w:val="00475657"/>
    <w:rsid w:val="0047650D"/>
    <w:rsid w:val="004771E7"/>
    <w:rsid w:val="004776AF"/>
    <w:rsid w:val="00477AEF"/>
    <w:rsid w:val="0048028B"/>
    <w:rsid w:val="00480BBB"/>
    <w:rsid w:val="00480C71"/>
    <w:rsid w:val="00480C95"/>
    <w:rsid w:val="00482DD5"/>
    <w:rsid w:val="00483278"/>
    <w:rsid w:val="004844E7"/>
    <w:rsid w:val="00485661"/>
    <w:rsid w:val="0048589C"/>
    <w:rsid w:val="004859EC"/>
    <w:rsid w:val="00485F08"/>
    <w:rsid w:val="00486391"/>
    <w:rsid w:val="004868B6"/>
    <w:rsid w:val="004877EE"/>
    <w:rsid w:val="00490457"/>
    <w:rsid w:val="004905E4"/>
    <w:rsid w:val="004914F6"/>
    <w:rsid w:val="00491525"/>
    <w:rsid w:val="0049256D"/>
    <w:rsid w:val="00492CFB"/>
    <w:rsid w:val="00492DE0"/>
    <w:rsid w:val="0049348E"/>
    <w:rsid w:val="004955EE"/>
    <w:rsid w:val="004962E4"/>
    <w:rsid w:val="00496821"/>
    <w:rsid w:val="00496E21"/>
    <w:rsid w:val="00497770"/>
    <w:rsid w:val="004A0286"/>
    <w:rsid w:val="004A0A0D"/>
    <w:rsid w:val="004A2288"/>
    <w:rsid w:val="004A2450"/>
    <w:rsid w:val="004A2FF1"/>
    <w:rsid w:val="004A3048"/>
    <w:rsid w:val="004A3A09"/>
    <w:rsid w:val="004A46B9"/>
    <w:rsid w:val="004A47CF"/>
    <w:rsid w:val="004A4AD7"/>
    <w:rsid w:val="004A4C3F"/>
    <w:rsid w:val="004A4C7C"/>
    <w:rsid w:val="004A5627"/>
    <w:rsid w:val="004A5E69"/>
    <w:rsid w:val="004A6107"/>
    <w:rsid w:val="004A65A6"/>
    <w:rsid w:val="004A663D"/>
    <w:rsid w:val="004A77A0"/>
    <w:rsid w:val="004B01BB"/>
    <w:rsid w:val="004B0841"/>
    <w:rsid w:val="004B0EBE"/>
    <w:rsid w:val="004B1324"/>
    <w:rsid w:val="004B1989"/>
    <w:rsid w:val="004B2279"/>
    <w:rsid w:val="004B2AB2"/>
    <w:rsid w:val="004B3256"/>
    <w:rsid w:val="004B4BED"/>
    <w:rsid w:val="004B50CA"/>
    <w:rsid w:val="004B536F"/>
    <w:rsid w:val="004B5670"/>
    <w:rsid w:val="004B5CB9"/>
    <w:rsid w:val="004B6C8F"/>
    <w:rsid w:val="004B76A9"/>
    <w:rsid w:val="004C0ABF"/>
    <w:rsid w:val="004C1374"/>
    <w:rsid w:val="004C2987"/>
    <w:rsid w:val="004C329B"/>
    <w:rsid w:val="004C364D"/>
    <w:rsid w:val="004C3A28"/>
    <w:rsid w:val="004C528C"/>
    <w:rsid w:val="004C6514"/>
    <w:rsid w:val="004C6593"/>
    <w:rsid w:val="004C65D5"/>
    <w:rsid w:val="004C6DAA"/>
    <w:rsid w:val="004C6E85"/>
    <w:rsid w:val="004D058C"/>
    <w:rsid w:val="004D0627"/>
    <w:rsid w:val="004D0CFA"/>
    <w:rsid w:val="004D0D8D"/>
    <w:rsid w:val="004D109B"/>
    <w:rsid w:val="004D11A0"/>
    <w:rsid w:val="004D1B9D"/>
    <w:rsid w:val="004D30CE"/>
    <w:rsid w:val="004D30E8"/>
    <w:rsid w:val="004D362A"/>
    <w:rsid w:val="004D36D2"/>
    <w:rsid w:val="004D3973"/>
    <w:rsid w:val="004D4F91"/>
    <w:rsid w:val="004D608F"/>
    <w:rsid w:val="004D6544"/>
    <w:rsid w:val="004D6E45"/>
    <w:rsid w:val="004D739A"/>
    <w:rsid w:val="004E0205"/>
    <w:rsid w:val="004E141B"/>
    <w:rsid w:val="004E14DF"/>
    <w:rsid w:val="004E298D"/>
    <w:rsid w:val="004E32BF"/>
    <w:rsid w:val="004E41A9"/>
    <w:rsid w:val="004E4C84"/>
    <w:rsid w:val="004E5DE8"/>
    <w:rsid w:val="004E6416"/>
    <w:rsid w:val="004E7380"/>
    <w:rsid w:val="004E764F"/>
    <w:rsid w:val="004F022E"/>
    <w:rsid w:val="004F1A2D"/>
    <w:rsid w:val="004F2ADF"/>
    <w:rsid w:val="004F2DA1"/>
    <w:rsid w:val="004F352B"/>
    <w:rsid w:val="004F4DAA"/>
    <w:rsid w:val="004F52DE"/>
    <w:rsid w:val="004F607E"/>
    <w:rsid w:val="004F666A"/>
    <w:rsid w:val="004F6C39"/>
    <w:rsid w:val="004F6C6A"/>
    <w:rsid w:val="004F7E68"/>
    <w:rsid w:val="00500831"/>
    <w:rsid w:val="0050128C"/>
    <w:rsid w:val="005023A1"/>
    <w:rsid w:val="00502AD1"/>
    <w:rsid w:val="00502BE6"/>
    <w:rsid w:val="00502F76"/>
    <w:rsid w:val="0050309C"/>
    <w:rsid w:val="005037BD"/>
    <w:rsid w:val="005037EF"/>
    <w:rsid w:val="00503A73"/>
    <w:rsid w:val="00503C03"/>
    <w:rsid w:val="0050415F"/>
    <w:rsid w:val="005044B1"/>
    <w:rsid w:val="00504C3A"/>
    <w:rsid w:val="00504E93"/>
    <w:rsid w:val="00505C92"/>
    <w:rsid w:val="00505DC1"/>
    <w:rsid w:val="00506179"/>
    <w:rsid w:val="0050622B"/>
    <w:rsid w:val="00506F89"/>
    <w:rsid w:val="005071C7"/>
    <w:rsid w:val="005074C7"/>
    <w:rsid w:val="00507BE2"/>
    <w:rsid w:val="00510C5A"/>
    <w:rsid w:val="005118A7"/>
    <w:rsid w:val="00511BBB"/>
    <w:rsid w:val="0051224D"/>
    <w:rsid w:val="00512716"/>
    <w:rsid w:val="00512844"/>
    <w:rsid w:val="00512D49"/>
    <w:rsid w:val="00512EF1"/>
    <w:rsid w:val="005137E5"/>
    <w:rsid w:val="00514058"/>
    <w:rsid w:val="00514213"/>
    <w:rsid w:val="0051447B"/>
    <w:rsid w:val="005146BC"/>
    <w:rsid w:val="005163F2"/>
    <w:rsid w:val="00517900"/>
    <w:rsid w:val="00517EB8"/>
    <w:rsid w:val="00517F4B"/>
    <w:rsid w:val="0052135C"/>
    <w:rsid w:val="00521506"/>
    <w:rsid w:val="00521F4E"/>
    <w:rsid w:val="0052259B"/>
    <w:rsid w:val="00522A9C"/>
    <w:rsid w:val="00522F56"/>
    <w:rsid w:val="0052317E"/>
    <w:rsid w:val="005236DF"/>
    <w:rsid w:val="00523A84"/>
    <w:rsid w:val="005247DA"/>
    <w:rsid w:val="00524ACD"/>
    <w:rsid w:val="00525B71"/>
    <w:rsid w:val="00525D79"/>
    <w:rsid w:val="00526D1A"/>
    <w:rsid w:val="00527608"/>
    <w:rsid w:val="00527BBC"/>
    <w:rsid w:val="00527CCC"/>
    <w:rsid w:val="00527FC3"/>
    <w:rsid w:val="005301F1"/>
    <w:rsid w:val="0053161F"/>
    <w:rsid w:val="00531E95"/>
    <w:rsid w:val="005334B3"/>
    <w:rsid w:val="00534318"/>
    <w:rsid w:val="005346D8"/>
    <w:rsid w:val="00534E17"/>
    <w:rsid w:val="005355C3"/>
    <w:rsid w:val="0053567A"/>
    <w:rsid w:val="00537B02"/>
    <w:rsid w:val="005404FA"/>
    <w:rsid w:val="00542B4C"/>
    <w:rsid w:val="00542FC5"/>
    <w:rsid w:val="0054307A"/>
    <w:rsid w:val="005441FE"/>
    <w:rsid w:val="005446E1"/>
    <w:rsid w:val="00544E16"/>
    <w:rsid w:val="00544F9D"/>
    <w:rsid w:val="00545EED"/>
    <w:rsid w:val="005470EF"/>
    <w:rsid w:val="00547311"/>
    <w:rsid w:val="0055041A"/>
    <w:rsid w:val="0055081F"/>
    <w:rsid w:val="005508E1"/>
    <w:rsid w:val="00550ADB"/>
    <w:rsid w:val="005552A5"/>
    <w:rsid w:val="00556E66"/>
    <w:rsid w:val="00557CCC"/>
    <w:rsid w:val="00557CD6"/>
    <w:rsid w:val="00560452"/>
    <w:rsid w:val="005610D6"/>
    <w:rsid w:val="005613C3"/>
    <w:rsid w:val="005618B0"/>
    <w:rsid w:val="00562D61"/>
    <w:rsid w:val="0056300A"/>
    <w:rsid w:val="00564056"/>
    <w:rsid w:val="005640FC"/>
    <w:rsid w:val="005645CB"/>
    <w:rsid w:val="0056528C"/>
    <w:rsid w:val="0056550D"/>
    <w:rsid w:val="00565691"/>
    <w:rsid w:val="00565D2B"/>
    <w:rsid w:val="00565DC1"/>
    <w:rsid w:val="00566184"/>
    <w:rsid w:val="0056686A"/>
    <w:rsid w:val="00566DEC"/>
    <w:rsid w:val="00567FB1"/>
    <w:rsid w:val="0057046C"/>
    <w:rsid w:val="00570807"/>
    <w:rsid w:val="005708B2"/>
    <w:rsid w:val="005718E1"/>
    <w:rsid w:val="00571E31"/>
    <w:rsid w:val="005720E0"/>
    <w:rsid w:val="00572526"/>
    <w:rsid w:val="00572B7E"/>
    <w:rsid w:val="00572EAA"/>
    <w:rsid w:val="00572FA5"/>
    <w:rsid w:val="00573339"/>
    <w:rsid w:val="005739C1"/>
    <w:rsid w:val="00573ECF"/>
    <w:rsid w:val="00574218"/>
    <w:rsid w:val="005756B1"/>
    <w:rsid w:val="005770BA"/>
    <w:rsid w:val="00577388"/>
    <w:rsid w:val="00577AE4"/>
    <w:rsid w:val="00577EE1"/>
    <w:rsid w:val="00580188"/>
    <w:rsid w:val="00581026"/>
    <w:rsid w:val="00581661"/>
    <w:rsid w:val="00581EE5"/>
    <w:rsid w:val="0058281C"/>
    <w:rsid w:val="00583AFA"/>
    <w:rsid w:val="00584D3D"/>
    <w:rsid w:val="00584E13"/>
    <w:rsid w:val="00585FAD"/>
    <w:rsid w:val="005870F0"/>
    <w:rsid w:val="00590967"/>
    <w:rsid w:val="00590AB4"/>
    <w:rsid w:val="00590CB0"/>
    <w:rsid w:val="005912C3"/>
    <w:rsid w:val="005916DF"/>
    <w:rsid w:val="00591C4F"/>
    <w:rsid w:val="005924EF"/>
    <w:rsid w:val="00592810"/>
    <w:rsid w:val="005936AC"/>
    <w:rsid w:val="005940EC"/>
    <w:rsid w:val="00594250"/>
    <w:rsid w:val="00594696"/>
    <w:rsid w:val="005955FE"/>
    <w:rsid w:val="0059609D"/>
    <w:rsid w:val="005963E3"/>
    <w:rsid w:val="005A085B"/>
    <w:rsid w:val="005A0C4B"/>
    <w:rsid w:val="005A0C9D"/>
    <w:rsid w:val="005A10A9"/>
    <w:rsid w:val="005A1F19"/>
    <w:rsid w:val="005A2286"/>
    <w:rsid w:val="005A25BA"/>
    <w:rsid w:val="005A2993"/>
    <w:rsid w:val="005A2A58"/>
    <w:rsid w:val="005A2F05"/>
    <w:rsid w:val="005A30BB"/>
    <w:rsid w:val="005A3E6F"/>
    <w:rsid w:val="005A44A3"/>
    <w:rsid w:val="005A4AF2"/>
    <w:rsid w:val="005A559A"/>
    <w:rsid w:val="005A5B0F"/>
    <w:rsid w:val="005A6166"/>
    <w:rsid w:val="005A6925"/>
    <w:rsid w:val="005A6CBC"/>
    <w:rsid w:val="005A6D43"/>
    <w:rsid w:val="005A7B6B"/>
    <w:rsid w:val="005B0E76"/>
    <w:rsid w:val="005B10AA"/>
    <w:rsid w:val="005B1505"/>
    <w:rsid w:val="005B1723"/>
    <w:rsid w:val="005B1B88"/>
    <w:rsid w:val="005B37D1"/>
    <w:rsid w:val="005B3AA0"/>
    <w:rsid w:val="005B3FE6"/>
    <w:rsid w:val="005B3FF1"/>
    <w:rsid w:val="005B42F1"/>
    <w:rsid w:val="005B481D"/>
    <w:rsid w:val="005B4B60"/>
    <w:rsid w:val="005B6070"/>
    <w:rsid w:val="005B6358"/>
    <w:rsid w:val="005B6D64"/>
    <w:rsid w:val="005B7B3D"/>
    <w:rsid w:val="005C05CE"/>
    <w:rsid w:val="005C0D76"/>
    <w:rsid w:val="005C1FB6"/>
    <w:rsid w:val="005C2F79"/>
    <w:rsid w:val="005C3072"/>
    <w:rsid w:val="005C308A"/>
    <w:rsid w:val="005C38D9"/>
    <w:rsid w:val="005C3B98"/>
    <w:rsid w:val="005C452B"/>
    <w:rsid w:val="005C4AE4"/>
    <w:rsid w:val="005C4F54"/>
    <w:rsid w:val="005C6740"/>
    <w:rsid w:val="005C6A71"/>
    <w:rsid w:val="005C6AA5"/>
    <w:rsid w:val="005C6C60"/>
    <w:rsid w:val="005C7938"/>
    <w:rsid w:val="005D00AE"/>
    <w:rsid w:val="005D0B8A"/>
    <w:rsid w:val="005D12DC"/>
    <w:rsid w:val="005D1CBD"/>
    <w:rsid w:val="005D1CFD"/>
    <w:rsid w:val="005D1EB8"/>
    <w:rsid w:val="005D28CE"/>
    <w:rsid w:val="005D3441"/>
    <w:rsid w:val="005D3A41"/>
    <w:rsid w:val="005D449C"/>
    <w:rsid w:val="005D4FEF"/>
    <w:rsid w:val="005D5966"/>
    <w:rsid w:val="005D5F35"/>
    <w:rsid w:val="005D6604"/>
    <w:rsid w:val="005D705F"/>
    <w:rsid w:val="005D72E9"/>
    <w:rsid w:val="005E02D4"/>
    <w:rsid w:val="005E0BE5"/>
    <w:rsid w:val="005E1342"/>
    <w:rsid w:val="005E16FB"/>
    <w:rsid w:val="005E1BE2"/>
    <w:rsid w:val="005E1C10"/>
    <w:rsid w:val="005E27DE"/>
    <w:rsid w:val="005E2E3F"/>
    <w:rsid w:val="005E334A"/>
    <w:rsid w:val="005E378B"/>
    <w:rsid w:val="005E3C35"/>
    <w:rsid w:val="005E4A20"/>
    <w:rsid w:val="005E538B"/>
    <w:rsid w:val="005E62BC"/>
    <w:rsid w:val="005E6525"/>
    <w:rsid w:val="005E6727"/>
    <w:rsid w:val="005E71AE"/>
    <w:rsid w:val="005E72FF"/>
    <w:rsid w:val="005F11E3"/>
    <w:rsid w:val="005F1296"/>
    <w:rsid w:val="005F12C9"/>
    <w:rsid w:val="005F1536"/>
    <w:rsid w:val="005F158C"/>
    <w:rsid w:val="005F1F28"/>
    <w:rsid w:val="005F20CC"/>
    <w:rsid w:val="005F236C"/>
    <w:rsid w:val="005F3045"/>
    <w:rsid w:val="005F34A9"/>
    <w:rsid w:val="005F36B4"/>
    <w:rsid w:val="005F3AAA"/>
    <w:rsid w:val="005F3ADE"/>
    <w:rsid w:val="005F4600"/>
    <w:rsid w:val="005F530A"/>
    <w:rsid w:val="005F5439"/>
    <w:rsid w:val="005F54F9"/>
    <w:rsid w:val="005F653E"/>
    <w:rsid w:val="005F65E4"/>
    <w:rsid w:val="005F67DB"/>
    <w:rsid w:val="00602A5C"/>
    <w:rsid w:val="00602BFC"/>
    <w:rsid w:val="0060338C"/>
    <w:rsid w:val="00603BB0"/>
    <w:rsid w:val="00603F09"/>
    <w:rsid w:val="006040E2"/>
    <w:rsid w:val="0060498C"/>
    <w:rsid w:val="006053A9"/>
    <w:rsid w:val="00606394"/>
    <w:rsid w:val="00607B5E"/>
    <w:rsid w:val="0061063F"/>
    <w:rsid w:val="0061167C"/>
    <w:rsid w:val="00611AA8"/>
    <w:rsid w:val="006122FC"/>
    <w:rsid w:val="006123FA"/>
    <w:rsid w:val="006139EF"/>
    <w:rsid w:val="00613A3E"/>
    <w:rsid w:val="00613CFD"/>
    <w:rsid w:val="00613F6D"/>
    <w:rsid w:val="00614789"/>
    <w:rsid w:val="0061514F"/>
    <w:rsid w:val="00615850"/>
    <w:rsid w:val="00616477"/>
    <w:rsid w:val="0061664D"/>
    <w:rsid w:val="00617569"/>
    <w:rsid w:val="00617C62"/>
    <w:rsid w:val="00617D60"/>
    <w:rsid w:val="00620BE5"/>
    <w:rsid w:val="006213D4"/>
    <w:rsid w:val="00621785"/>
    <w:rsid w:val="00621CC0"/>
    <w:rsid w:val="00621D45"/>
    <w:rsid w:val="00622229"/>
    <w:rsid w:val="00622338"/>
    <w:rsid w:val="006224AD"/>
    <w:rsid w:val="006225C8"/>
    <w:rsid w:val="00622F8B"/>
    <w:rsid w:val="0062334B"/>
    <w:rsid w:val="0062386C"/>
    <w:rsid w:val="00624EB3"/>
    <w:rsid w:val="00625A58"/>
    <w:rsid w:val="006263F3"/>
    <w:rsid w:val="00627807"/>
    <w:rsid w:val="00627D30"/>
    <w:rsid w:val="00627D6F"/>
    <w:rsid w:val="00627EF4"/>
    <w:rsid w:val="00630311"/>
    <w:rsid w:val="00630B92"/>
    <w:rsid w:val="00631028"/>
    <w:rsid w:val="00631236"/>
    <w:rsid w:val="0063194F"/>
    <w:rsid w:val="006321F2"/>
    <w:rsid w:val="00632483"/>
    <w:rsid w:val="00632BBB"/>
    <w:rsid w:val="006336FF"/>
    <w:rsid w:val="00634237"/>
    <w:rsid w:val="00635376"/>
    <w:rsid w:val="006357F7"/>
    <w:rsid w:val="00635801"/>
    <w:rsid w:val="00635989"/>
    <w:rsid w:val="00635FBE"/>
    <w:rsid w:val="006362EC"/>
    <w:rsid w:val="00636494"/>
    <w:rsid w:val="00637BD9"/>
    <w:rsid w:val="006402CD"/>
    <w:rsid w:val="00640A69"/>
    <w:rsid w:val="00640DA5"/>
    <w:rsid w:val="00641818"/>
    <w:rsid w:val="006424BC"/>
    <w:rsid w:val="00642608"/>
    <w:rsid w:val="00642DB4"/>
    <w:rsid w:val="006436AE"/>
    <w:rsid w:val="00644D2E"/>
    <w:rsid w:val="00644DBA"/>
    <w:rsid w:val="00644E56"/>
    <w:rsid w:val="00645BF0"/>
    <w:rsid w:val="00645E65"/>
    <w:rsid w:val="00646199"/>
    <w:rsid w:val="00646414"/>
    <w:rsid w:val="0064687C"/>
    <w:rsid w:val="00646ED0"/>
    <w:rsid w:val="00647AFE"/>
    <w:rsid w:val="00650186"/>
    <w:rsid w:val="006508C9"/>
    <w:rsid w:val="00651BCB"/>
    <w:rsid w:val="00651BD7"/>
    <w:rsid w:val="00652A0C"/>
    <w:rsid w:val="00653953"/>
    <w:rsid w:val="00653F43"/>
    <w:rsid w:val="00655287"/>
    <w:rsid w:val="006556C4"/>
    <w:rsid w:val="00655799"/>
    <w:rsid w:val="006557CB"/>
    <w:rsid w:val="00655EFE"/>
    <w:rsid w:val="0065702A"/>
    <w:rsid w:val="006570B2"/>
    <w:rsid w:val="00657792"/>
    <w:rsid w:val="00660E12"/>
    <w:rsid w:val="00661033"/>
    <w:rsid w:val="00661057"/>
    <w:rsid w:val="0066249D"/>
    <w:rsid w:val="006626B8"/>
    <w:rsid w:val="006656BB"/>
    <w:rsid w:val="00665D53"/>
    <w:rsid w:val="00666693"/>
    <w:rsid w:val="006666EE"/>
    <w:rsid w:val="006679F4"/>
    <w:rsid w:val="00667FF6"/>
    <w:rsid w:val="00670570"/>
    <w:rsid w:val="00670E93"/>
    <w:rsid w:val="006710AC"/>
    <w:rsid w:val="006711B0"/>
    <w:rsid w:val="006713E6"/>
    <w:rsid w:val="0067187B"/>
    <w:rsid w:val="00672594"/>
    <w:rsid w:val="00672FC3"/>
    <w:rsid w:val="006747D3"/>
    <w:rsid w:val="006748E9"/>
    <w:rsid w:val="00675178"/>
    <w:rsid w:val="006751C1"/>
    <w:rsid w:val="0067556E"/>
    <w:rsid w:val="00675902"/>
    <w:rsid w:val="00675CE2"/>
    <w:rsid w:val="00676540"/>
    <w:rsid w:val="006767F3"/>
    <w:rsid w:val="006771DB"/>
    <w:rsid w:val="006773B6"/>
    <w:rsid w:val="006809E3"/>
    <w:rsid w:val="0068151C"/>
    <w:rsid w:val="00681C50"/>
    <w:rsid w:val="00681FEB"/>
    <w:rsid w:val="006833D0"/>
    <w:rsid w:val="00684E21"/>
    <w:rsid w:val="00685CB6"/>
    <w:rsid w:val="00685F1F"/>
    <w:rsid w:val="00686B6C"/>
    <w:rsid w:val="006870A5"/>
    <w:rsid w:val="00687E79"/>
    <w:rsid w:val="00690069"/>
    <w:rsid w:val="006904D2"/>
    <w:rsid w:val="006904FE"/>
    <w:rsid w:val="0069051E"/>
    <w:rsid w:val="0069055D"/>
    <w:rsid w:val="00690782"/>
    <w:rsid w:val="00690FBA"/>
    <w:rsid w:val="00692113"/>
    <w:rsid w:val="00692DE2"/>
    <w:rsid w:val="0069369A"/>
    <w:rsid w:val="0069369B"/>
    <w:rsid w:val="00694134"/>
    <w:rsid w:val="00694AF4"/>
    <w:rsid w:val="00694D85"/>
    <w:rsid w:val="00695120"/>
    <w:rsid w:val="0069535D"/>
    <w:rsid w:val="006953A5"/>
    <w:rsid w:val="006963F7"/>
    <w:rsid w:val="00696BCC"/>
    <w:rsid w:val="00696F65"/>
    <w:rsid w:val="00697368"/>
    <w:rsid w:val="006A0811"/>
    <w:rsid w:val="006A0AF1"/>
    <w:rsid w:val="006A1082"/>
    <w:rsid w:val="006A1A17"/>
    <w:rsid w:val="006A1B03"/>
    <w:rsid w:val="006A256F"/>
    <w:rsid w:val="006A3E3A"/>
    <w:rsid w:val="006A4C89"/>
    <w:rsid w:val="006A54B2"/>
    <w:rsid w:val="006A5BD4"/>
    <w:rsid w:val="006A5E56"/>
    <w:rsid w:val="006A64B5"/>
    <w:rsid w:val="006A687E"/>
    <w:rsid w:val="006A6DCA"/>
    <w:rsid w:val="006A6FE2"/>
    <w:rsid w:val="006A720D"/>
    <w:rsid w:val="006A73EE"/>
    <w:rsid w:val="006A7CC3"/>
    <w:rsid w:val="006B033D"/>
    <w:rsid w:val="006B09B4"/>
    <w:rsid w:val="006B128E"/>
    <w:rsid w:val="006B1329"/>
    <w:rsid w:val="006B1A9D"/>
    <w:rsid w:val="006B2385"/>
    <w:rsid w:val="006B4166"/>
    <w:rsid w:val="006B4192"/>
    <w:rsid w:val="006B41F4"/>
    <w:rsid w:val="006B4E6C"/>
    <w:rsid w:val="006B5B45"/>
    <w:rsid w:val="006B65D3"/>
    <w:rsid w:val="006B66B6"/>
    <w:rsid w:val="006B696E"/>
    <w:rsid w:val="006B7EE7"/>
    <w:rsid w:val="006B7F25"/>
    <w:rsid w:val="006C0269"/>
    <w:rsid w:val="006C1261"/>
    <w:rsid w:val="006C1324"/>
    <w:rsid w:val="006C18DE"/>
    <w:rsid w:val="006C1B38"/>
    <w:rsid w:val="006C2C1B"/>
    <w:rsid w:val="006C2C5C"/>
    <w:rsid w:val="006C2DA9"/>
    <w:rsid w:val="006C34AD"/>
    <w:rsid w:val="006C3D01"/>
    <w:rsid w:val="006C538A"/>
    <w:rsid w:val="006C58B4"/>
    <w:rsid w:val="006C5A29"/>
    <w:rsid w:val="006C5BF7"/>
    <w:rsid w:val="006C6F61"/>
    <w:rsid w:val="006C76AC"/>
    <w:rsid w:val="006C76ED"/>
    <w:rsid w:val="006D02C5"/>
    <w:rsid w:val="006D09DE"/>
    <w:rsid w:val="006D22AC"/>
    <w:rsid w:val="006D28F2"/>
    <w:rsid w:val="006D3EB8"/>
    <w:rsid w:val="006D4761"/>
    <w:rsid w:val="006D4810"/>
    <w:rsid w:val="006D4F42"/>
    <w:rsid w:val="006D4F73"/>
    <w:rsid w:val="006D51E4"/>
    <w:rsid w:val="006D53C3"/>
    <w:rsid w:val="006D58BC"/>
    <w:rsid w:val="006D616B"/>
    <w:rsid w:val="006D62AD"/>
    <w:rsid w:val="006D68EE"/>
    <w:rsid w:val="006D6BF0"/>
    <w:rsid w:val="006D7A82"/>
    <w:rsid w:val="006E0957"/>
    <w:rsid w:val="006E0D42"/>
    <w:rsid w:val="006E0DAE"/>
    <w:rsid w:val="006E17A3"/>
    <w:rsid w:val="006E2315"/>
    <w:rsid w:val="006E2F75"/>
    <w:rsid w:val="006E3F4D"/>
    <w:rsid w:val="006E3FB5"/>
    <w:rsid w:val="006E5226"/>
    <w:rsid w:val="006E541D"/>
    <w:rsid w:val="006E56FB"/>
    <w:rsid w:val="006E5718"/>
    <w:rsid w:val="006E6F54"/>
    <w:rsid w:val="006E707A"/>
    <w:rsid w:val="006E74D8"/>
    <w:rsid w:val="006F09CD"/>
    <w:rsid w:val="006F09F3"/>
    <w:rsid w:val="006F0F8C"/>
    <w:rsid w:val="006F1314"/>
    <w:rsid w:val="006F17E1"/>
    <w:rsid w:val="006F1E3D"/>
    <w:rsid w:val="006F1EEE"/>
    <w:rsid w:val="006F3473"/>
    <w:rsid w:val="006F3B66"/>
    <w:rsid w:val="006F4052"/>
    <w:rsid w:val="006F40B5"/>
    <w:rsid w:val="006F4102"/>
    <w:rsid w:val="006F4E27"/>
    <w:rsid w:val="006F4F55"/>
    <w:rsid w:val="006F579C"/>
    <w:rsid w:val="006F5921"/>
    <w:rsid w:val="006F5E2F"/>
    <w:rsid w:val="006F60B4"/>
    <w:rsid w:val="006F67A4"/>
    <w:rsid w:val="006F68C4"/>
    <w:rsid w:val="006F6C80"/>
    <w:rsid w:val="006F6DDD"/>
    <w:rsid w:val="006F6E02"/>
    <w:rsid w:val="006F7138"/>
    <w:rsid w:val="00701DAC"/>
    <w:rsid w:val="007023A7"/>
    <w:rsid w:val="0070302E"/>
    <w:rsid w:val="0070515D"/>
    <w:rsid w:val="007051C3"/>
    <w:rsid w:val="00705658"/>
    <w:rsid w:val="0070655C"/>
    <w:rsid w:val="00706D70"/>
    <w:rsid w:val="00706F27"/>
    <w:rsid w:val="007079D8"/>
    <w:rsid w:val="00707CFF"/>
    <w:rsid w:val="00710307"/>
    <w:rsid w:val="00710981"/>
    <w:rsid w:val="00710BC1"/>
    <w:rsid w:val="00711125"/>
    <w:rsid w:val="007117E0"/>
    <w:rsid w:val="0071192F"/>
    <w:rsid w:val="00711A5E"/>
    <w:rsid w:val="00712407"/>
    <w:rsid w:val="007127DB"/>
    <w:rsid w:val="007128E1"/>
    <w:rsid w:val="00712E52"/>
    <w:rsid w:val="00713501"/>
    <w:rsid w:val="00714487"/>
    <w:rsid w:val="007145F5"/>
    <w:rsid w:val="007165E0"/>
    <w:rsid w:val="007174D1"/>
    <w:rsid w:val="0071793B"/>
    <w:rsid w:val="0072006A"/>
    <w:rsid w:val="007201FF"/>
    <w:rsid w:val="007221FC"/>
    <w:rsid w:val="00722AC6"/>
    <w:rsid w:val="00723769"/>
    <w:rsid w:val="00723BD5"/>
    <w:rsid w:val="00723C4F"/>
    <w:rsid w:val="00723D22"/>
    <w:rsid w:val="007244F6"/>
    <w:rsid w:val="00725A8E"/>
    <w:rsid w:val="00725DC2"/>
    <w:rsid w:val="00726D5B"/>
    <w:rsid w:val="00727698"/>
    <w:rsid w:val="007276B1"/>
    <w:rsid w:val="007277B6"/>
    <w:rsid w:val="00727A30"/>
    <w:rsid w:val="00730BE2"/>
    <w:rsid w:val="00731B40"/>
    <w:rsid w:val="007330BC"/>
    <w:rsid w:val="00733296"/>
    <w:rsid w:val="00733960"/>
    <w:rsid w:val="00734134"/>
    <w:rsid w:val="00734524"/>
    <w:rsid w:val="00734C59"/>
    <w:rsid w:val="00735104"/>
    <w:rsid w:val="007352EF"/>
    <w:rsid w:val="00735A12"/>
    <w:rsid w:val="00735ECE"/>
    <w:rsid w:val="00736512"/>
    <w:rsid w:val="00736B7C"/>
    <w:rsid w:val="00736FC9"/>
    <w:rsid w:val="00740610"/>
    <w:rsid w:val="007411A3"/>
    <w:rsid w:val="007418F1"/>
    <w:rsid w:val="00741B86"/>
    <w:rsid w:val="00741C24"/>
    <w:rsid w:val="00741ED0"/>
    <w:rsid w:val="007429A5"/>
    <w:rsid w:val="00744593"/>
    <w:rsid w:val="007448E8"/>
    <w:rsid w:val="0074504B"/>
    <w:rsid w:val="00745405"/>
    <w:rsid w:val="00745E79"/>
    <w:rsid w:val="00746564"/>
    <w:rsid w:val="007469DC"/>
    <w:rsid w:val="00746D97"/>
    <w:rsid w:val="00750122"/>
    <w:rsid w:val="0075018D"/>
    <w:rsid w:val="00750875"/>
    <w:rsid w:val="007508AE"/>
    <w:rsid w:val="00751A53"/>
    <w:rsid w:val="00751FE0"/>
    <w:rsid w:val="00752E40"/>
    <w:rsid w:val="00753578"/>
    <w:rsid w:val="00753856"/>
    <w:rsid w:val="00753D76"/>
    <w:rsid w:val="007542A8"/>
    <w:rsid w:val="007552EF"/>
    <w:rsid w:val="007557C6"/>
    <w:rsid w:val="0075639F"/>
    <w:rsid w:val="007565AE"/>
    <w:rsid w:val="00756D25"/>
    <w:rsid w:val="00756DFD"/>
    <w:rsid w:val="0075794E"/>
    <w:rsid w:val="00757A42"/>
    <w:rsid w:val="00757CCA"/>
    <w:rsid w:val="00757D95"/>
    <w:rsid w:val="00760075"/>
    <w:rsid w:val="007601F6"/>
    <w:rsid w:val="007615CB"/>
    <w:rsid w:val="00761C2F"/>
    <w:rsid w:val="00761E6E"/>
    <w:rsid w:val="00762705"/>
    <w:rsid w:val="00765713"/>
    <w:rsid w:val="0076599B"/>
    <w:rsid w:val="00766542"/>
    <w:rsid w:val="007672E2"/>
    <w:rsid w:val="00767694"/>
    <w:rsid w:val="007714C7"/>
    <w:rsid w:val="007717AA"/>
    <w:rsid w:val="007722BF"/>
    <w:rsid w:val="00772F47"/>
    <w:rsid w:val="007741C4"/>
    <w:rsid w:val="00775208"/>
    <w:rsid w:val="0077567D"/>
    <w:rsid w:val="00775B4C"/>
    <w:rsid w:val="007769DD"/>
    <w:rsid w:val="00780A04"/>
    <w:rsid w:val="00780CAA"/>
    <w:rsid w:val="007812D9"/>
    <w:rsid w:val="00781711"/>
    <w:rsid w:val="00781B31"/>
    <w:rsid w:val="00781D05"/>
    <w:rsid w:val="00781DF6"/>
    <w:rsid w:val="00781E1A"/>
    <w:rsid w:val="007825C7"/>
    <w:rsid w:val="00782BD8"/>
    <w:rsid w:val="00782CC2"/>
    <w:rsid w:val="00782D3E"/>
    <w:rsid w:val="00782D55"/>
    <w:rsid w:val="00782D95"/>
    <w:rsid w:val="00783606"/>
    <w:rsid w:val="007837D7"/>
    <w:rsid w:val="00784580"/>
    <w:rsid w:val="0078465D"/>
    <w:rsid w:val="007848DA"/>
    <w:rsid w:val="00786754"/>
    <w:rsid w:val="00786988"/>
    <w:rsid w:val="00786E0A"/>
    <w:rsid w:val="00786F75"/>
    <w:rsid w:val="00787415"/>
    <w:rsid w:val="0078761E"/>
    <w:rsid w:val="00787D45"/>
    <w:rsid w:val="00790662"/>
    <w:rsid w:val="00790704"/>
    <w:rsid w:val="00791288"/>
    <w:rsid w:val="007918F8"/>
    <w:rsid w:val="00791C1B"/>
    <w:rsid w:val="00791E62"/>
    <w:rsid w:val="0079236A"/>
    <w:rsid w:val="0079304A"/>
    <w:rsid w:val="0079383D"/>
    <w:rsid w:val="00793A67"/>
    <w:rsid w:val="007941B8"/>
    <w:rsid w:val="00794816"/>
    <w:rsid w:val="00794D13"/>
    <w:rsid w:val="00794EC8"/>
    <w:rsid w:val="0079607D"/>
    <w:rsid w:val="00796243"/>
    <w:rsid w:val="0079640F"/>
    <w:rsid w:val="0079651E"/>
    <w:rsid w:val="007978D2"/>
    <w:rsid w:val="007A01FD"/>
    <w:rsid w:val="007A082D"/>
    <w:rsid w:val="007A0F29"/>
    <w:rsid w:val="007A0F67"/>
    <w:rsid w:val="007A1173"/>
    <w:rsid w:val="007A1FB4"/>
    <w:rsid w:val="007A216A"/>
    <w:rsid w:val="007A2569"/>
    <w:rsid w:val="007A2D91"/>
    <w:rsid w:val="007A2FC8"/>
    <w:rsid w:val="007A3A2E"/>
    <w:rsid w:val="007A4F5A"/>
    <w:rsid w:val="007A5440"/>
    <w:rsid w:val="007A5BD1"/>
    <w:rsid w:val="007A64B0"/>
    <w:rsid w:val="007A71F2"/>
    <w:rsid w:val="007A7CE8"/>
    <w:rsid w:val="007B0D5B"/>
    <w:rsid w:val="007B0DA3"/>
    <w:rsid w:val="007B0F89"/>
    <w:rsid w:val="007B1527"/>
    <w:rsid w:val="007B1B98"/>
    <w:rsid w:val="007B2857"/>
    <w:rsid w:val="007B3012"/>
    <w:rsid w:val="007B3629"/>
    <w:rsid w:val="007B3E33"/>
    <w:rsid w:val="007B4350"/>
    <w:rsid w:val="007B45DA"/>
    <w:rsid w:val="007B5ACF"/>
    <w:rsid w:val="007B5BE8"/>
    <w:rsid w:val="007B62E2"/>
    <w:rsid w:val="007B67F0"/>
    <w:rsid w:val="007B6F69"/>
    <w:rsid w:val="007B78F2"/>
    <w:rsid w:val="007C030C"/>
    <w:rsid w:val="007C0C11"/>
    <w:rsid w:val="007C113D"/>
    <w:rsid w:val="007C1C6B"/>
    <w:rsid w:val="007C227D"/>
    <w:rsid w:val="007C22A8"/>
    <w:rsid w:val="007C25B7"/>
    <w:rsid w:val="007C2B64"/>
    <w:rsid w:val="007C33FF"/>
    <w:rsid w:val="007C3A4A"/>
    <w:rsid w:val="007C3CDA"/>
    <w:rsid w:val="007C451E"/>
    <w:rsid w:val="007C4B7D"/>
    <w:rsid w:val="007C4CE0"/>
    <w:rsid w:val="007C6015"/>
    <w:rsid w:val="007C62FF"/>
    <w:rsid w:val="007C6318"/>
    <w:rsid w:val="007C6A57"/>
    <w:rsid w:val="007C6BD5"/>
    <w:rsid w:val="007C6F79"/>
    <w:rsid w:val="007D004D"/>
    <w:rsid w:val="007D1A71"/>
    <w:rsid w:val="007D25AB"/>
    <w:rsid w:val="007D3427"/>
    <w:rsid w:val="007D39E0"/>
    <w:rsid w:val="007D3DD0"/>
    <w:rsid w:val="007D4907"/>
    <w:rsid w:val="007D4A60"/>
    <w:rsid w:val="007D51AE"/>
    <w:rsid w:val="007D523F"/>
    <w:rsid w:val="007D5BA7"/>
    <w:rsid w:val="007D6196"/>
    <w:rsid w:val="007D6DF7"/>
    <w:rsid w:val="007D72C0"/>
    <w:rsid w:val="007D7AE7"/>
    <w:rsid w:val="007D7AF7"/>
    <w:rsid w:val="007E01CD"/>
    <w:rsid w:val="007E020A"/>
    <w:rsid w:val="007E02C2"/>
    <w:rsid w:val="007E0352"/>
    <w:rsid w:val="007E191E"/>
    <w:rsid w:val="007E1C0A"/>
    <w:rsid w:val="007E2EC9"/>
    <w:rsid w:val="007E3274"/>
    <w:rsid w:val="007E417E"/>
    <w:rsid w:val="007E59B8"/>
    <w:rsid w:val="007E5B24"/>
    <w:rsid w:val="007E5EB3"/>
    <w:rsid w:val="007E6F03"/>
    <w:rsid w:val="007E6F8D"/>
    <w:rsid w:val="007E76BF"/>
    <w:rsid w:val="007E77CE"/>
    <w:rsid w:val="007E7DB0"/>
    <w:rsid w:val="007F02A6"/>
    <w:rsid w:val="007F0CFA"/>
    <w:rsid w:val="007F3460"/>
    <w:rsid w:val="007F37D9"/>
    <w:rsid w:val="007F431D"/>
    <w:rsid w:val="007F47C7"/>
    <w:rsid w:val="007F53BB"/>
    <w:rsid w:val="007F5C62"/>
    <w:rsid w:val="007F6248"/>
    <w:rsid w:val="0080045B"/>
    <w:rsid w:val="00800E0A"/>
    <w:rsid w:val="00801681"/>
    <w:rsid w:val="00801EE3"/>
    <w:rsid w:val="00802D46"/>
    <w:rsid w:val="008030FB"/>
    <w:rsid w:val="00803A40"/>
    <w:rsid w:val="00803C27"/>
    <w:rsid w:val="0080452C"/>
    <w:rsid w:val="00804BA8"/>
    <w:rsid w:val="00804FE3"/>
    <w:rsid w:val="008059D7"/>
    <w:rsid w:val="00806959"/>
    <w:rsid w:val="00806ACE"/>
    <w:rsid w:val="00806CE4"/>
    <w:rsid w:val="008073A2"/>
    <w:rsid w:val="00807B68"/>
    <w:rsid w:val="008103A2"/>
    <w:rsid w:val="008110B0"/>
    <w:rsid w:val="0081147F"/>
    <w:rsid w:val="00811732"/>
    <w:rsid w:val="00811896"/>
    <w:rsid w:val="008119FC"/>
    <w:rsid w:val="00812652"/>
    <w:rsid w:val="00812CF6"/>
    <w:rsid w:val="00812E12"/>
    <w:rsid w:val="008130DD"/>
    <w:rsid w:val="0081335B"/>
    <w:rsid w:val="00813AB8"/>
    <w:rsid w:val="00813BA2"/>
    <w:rsid w:val="00813BFB"/>
    <w:rsid w:val="00813EDE"/>
    <w:rsid w:val="00814518"/>
    <w:rsid w:val="0081517E"/>
    <w:rsid w:val="008158AD"/>
    <w:rsid w:val="00816510"/>
    <w:rsid w:val="008178CA"/>
    <w:rsid w:val="00817A94"/>
    <w:rsid w:val="00820A58"/>
    <w:rsid w:val="00820DF5"/>
    <w:rsid w:val="00821C3A"/>
    <w:rsid w:val="00821E6F"/>
    <w:rsid w:val="008229BB"/>
    <w:rsid w:val="00822B14"/>
    <w:rsid w:val="00822B4D"/>
    <w:rsid w:val="00823164"/>
    <w:rsid w:val="00823563"/>
    <w:rsid w:val="0082496B"/>
    <w:rsid w:val="00824A5E"/>
    <w:rsid w:val="00824D09"/>
    <w:rsid w:val="008258DA"/>
    <w:rsid w:val="008258E9"/>
    <w:rsid w:val="00825DAB"/>
    <w:rsid w:val="00825FD8"/>
    <w:rsid w:val="0082663B"/>
    <w:rsid w:val="00826C70"/>
    <w:rsid w:val="00827642"/>
    <w:rsid w:val="00827C7C"/>
    <w:rsid w:val="00827E29"/>
    <w:rsid w:val="008300BE"/>
    <w:rsid w:val="00830B8A"/>
    <w:rsid w:val="00830FE8"/>
    <w:rsid w:val="00831AA7"/>
    <w:rsid w:val="00831CA1"/>
    <w:rsid w:val="00832F0F"/>
    <w:rsid w:val="008335F2"/>
    <w:rsid w:val="0083402D"/>
    <w:rsid w:val="008345A5"/>
    <w:rsid w:val="0083483D"/>
    <w:rsid w:val="00835709"/>
    <w:rsid w:val="0083599F"/>
    <w:rsid w:val="00835ACA"/>
    <w:rsid w:val="0083620E"/>
    <w:rsid w:val="0083633A"/>
    <w:rsid w:val="00836A8D"/>
    <w:rsid w:val="00836EAF"/>
    <w:rsid w:val="008376ED"/>
    <w:rsid w:val="00841327"/>
    <w:rsid w:val="00841B63"/>
    <w:rsid w:val="00842252"/>
    <w:rsid w:val="00842789"/>
    <w:rsid w:val="0084298C"/>
    <w:rsid w:val="008438C7"/>
    <w:rsid w:val="00843904"/>
    <w:rsid w:val="00843E71"/>
    <w:rsid w:val="00844009"/>
    <w:rsid w:val="008469AF"/>
    <w:rsid w:val="00846B02"/>
    <w:rsid w:val="00846B27"/>
    <w:rsid w:val="00846F3F"/>
    <w:rsid w:val="00846FAC"/>
    <w:rsid w:val="00847089"/>
    <w:rsid w:val="008470D0"/>
    <w:rsid w:val="008471AE"/>
    <w:rsid w:val="0084776B"/>
    <w:rsid w:val="00847F5C"/>
    <w:rsid w:val="008500FC"/>
    <w:rsid w:val="00850418"/>
    <w:rsid w:val="00850797"/>
    <w:rsid w:val="00850A19"/>
    <w:rsid w:val="00851447"/>
    <w:rsid w:val="008518BC"/>
    <w:rsid w:val="00851DBF"/>
    <w:rsid w:val="00851DCD"/>
    <w:rsid w:val="00851FD5"/>
    <w:rsid w:val="00852017"/>
    <w:rsid w:val="00853861"/>
    <w:rsid w:val="00853EF3"/>
    <w:rsid w:val="0085403B"/>
    <w:rsid w:val="008545DF"/>
    <w:rsid w:val="00854870"/>
    <w:rsid w:val="008550DE"/>
    <w:rsid w:val="008552DD"/>
    <w:rsid w:val="0085532D"/>
    <w:rsid w:val="0085672F"/>
    <w:rsid w:val="00856AE5"/>
    <w:rsid w:val="0085762C"/>
    <w:rsid w:val="00857A38"/>
    <w:rsid w:val="00857E7A"/>
    <w:rsid w:val="008603EB"/>
    <w:rsid w:val="0086049E"/>
    <w:rsid w:val="00860A56"/>
    <w:rsid w:val="0086191B"/>
    <w:rsid w:val="0086257A"/>
    <w:rsid w:val="00862AB0"/>
    <w:rsid w:val="00863634"/>
    <w:rsid w:val="00863FD1"/>
    <w:rsid w:val="008640AE"/>
    <w:rsid w:val="00864DA5"/>
    <w:rsid w:val="0086554C"/>
    <w:rsid w:val="0086652D"/>
    <w:rsid w:val="008665CF"/>
    <w:rsid w:val="00866838"/>
    <w:rsid w:val="00866E19"/>
    <w:rsid w:val="00870859"/>
    <w:rsid w:val="0087094E"/>
    <w:rsid w:val="0087422B"/>
    <w:rsid w:val="00874910"/>
    <w:rsid w:val="00874EA9"/>
    <w:rsid w:val="00874FD2"/>
    <w:rsid w:val="00874FF7"/>
    <w:rsid w:val="00875896"/>
    <w:rsid w:val="0087633A"/>
    <w:rsid w:val="0087634B"/>
    <w:rsid w:val="00876C48"/>
    <w:rsid w:val="00876CB3"/>
    <w:rsid w:val="00876ED1"/>
    <w:rsid w:val="00876FC4"/>
    <w:rsid w:val="0087734D"/>
    <w:rsid w:val="00880160"/>
    <w:rsid w:val="008817DC"/>
    <w:rsid w:val="0088361F"/>
    <w:rsid w:val="008838C4"/>
    <w:rsid w:val="008839D6"/>
    <w:rsid w:val="00883A7F"/>
    <w:rsid w:val="0088489E"/>
    <w:rsid w:val="00884AB9"/>
    <w:rsid w:val="00884E76"/>
    <w:rsid w:val="0088561D"/>
    <w:rsid w:val="00885B76"/>
    <w:rsid w:val="00886325"/>
    <w:rsid w:val="00886D5D"/>
    <w:rsid w:val="00887A4F"/>
    <w:rsid w:val="00887C1C"/>
    <w:rsid w:val="00887DD6"/>
    <w:rsid w:val="00890554"/>
    <w:rsid w:val="00890FAE"/>
    <w:rsid w:val="00892029"/>
    <w:rsid w:val="008925C6"/>
    <w:rsid w:val="008938EA"/>
    <w:rsid w:val="00894662"/>
    <w:rsid w:val="00894EA8"/>
    <w:rsid w:val="00894F65"/>
    <w:rsid w:val="00896082"/>
    <w:rsid w:val="008969CB"/>
    <w:rsid w:val="00896D36"/>
    <w:rsid w:val="008972AD"/>
    <w:rsid w:val="0089730F"/>
    <w:rsid w:val="008A2057"/>
    <w:rsid w:val="008A238C"/>
    <w:rsid w:val="008A345A"/>
    <w:rsid w:val="008A4EDF"/>
    <w:rsid w:val="008A4F43"/>
    <w:rsid w:val="008A564A"/>
    <w:rsid w:val="008A708F"/>
    <w:rsid w:val="008A735F"/>
    <w:rsid w:val="008B0042"/>
    <w:rsid w:val="008B069D"/>
    <w:rsid w:val="008B0870"/>
    <w:rsid w:val="008B0D31"/>
    <w:rsid w:val="008B0DD5"/>
    <w:rsid w:val="008B209F"/>
    <w:rsid w:val="008B3E98"/>
    <w:rsid w:val="008B42A1"/>
    <w:rsid w:val="008B43C2"/>
    <w:rsid w:val="008B5A98"/>
    <w:rsid w:val="008B6237"/>
    <w:rsid w:val="008B64EA"/>
    <w:rsid w:val="008B6BC9"/>
    <w:rsid w:val="008B6F8C"/>
    <w:rsid w:val="008B7E4C"/>
    <w:rsid w:val="008B7F5C"/>
    <w:rsid w:val="008C1B22"/>
    <w:rsid w:val="008C21D9"/>
    <w:rsid w:val="008C2808"/>
    <w:rsid w:val="008C284F"/>
    <w:rsid w:val="008C3286"/>
    <w:rsid w:val="008C392E"/>
    <w:rsid w:val="008C4157"/>
    <w:rsid w:val="008C436D"/>
    <w:rsid w:val="008C5AAC"/>
    <w:rsid w:val="008C5DF7"/>
    <w:rsid w:val="008C5ED7"/>
    <w:rsid w:val="008C62B6"/>
    <w:rsid w:val="008C784E"/>
    <w:rsid w:val="008C7C00"/>
    <w:rsid w:val="008C7D41"/>
    <w:rsid w:val="008C7DA6"/>
    <w:rsid w:val="008C7E32"/>
    <w:rsid w:val="008C7ED9"/>
    <w:rsid w:val="008D020F"/>
    <w:rsid w:val="008D046B"/>
    <w:rsid w:val="008D1209"/>
    <w:rsid w:val="008D1475"/>
    <w:rsid w:val="008D1A23"/>
    <w:rsid w:val="008D1B37"/>
    <w:rsid w:val="008D3526"/>
    <w:rsid w:val="008D3CE7"/>
    <w:rsid w:val="008D42C0"/>
    <w:rsid w:val="008D436C"/>
    <w:rsid w:val="008D44C9"/>
    <w:rsid w:val="008D4959"/>
    <w:rsid w:val="008D601E"/>
    <w:rsid w:val="008D6220"/>
    <w:rsid w:val="008D6D80"/>
    <w:rsid w:val="008D7335"/>
    <w:rsid w:val="008D74A8"/>
    <w:rsid w:val="008E06D7"/>
    <w:rsid w:val="008E1A8C"/>
    <w:rsid w:val="008E20D2"/>
    <w:rsid w:val="008E238F"/>
    <w:rsid w:val="008E2505"/>
    <w:rsid w:val="008E287B"/>
    <w:rsid w:val="008E2AC3"/>
    <w:rsid w:val="008E2FCE"/>
    <w:rsid w:val="008E3095"/>
    <w:rsid w:val="008E3200"/>
    <w:rsid w:val="008E44E6"/>
    <w:rsid w:val="008E4993"/>
    <w:rsid w:val="008E4B0A"/>
    <w:rsid w:val="008E6700"/>
    <w:rsid w:val="008E6E0F"/>
    <w:rsid w:val="008E71E4"/>
    <w:rsid w:val="008E7AED"/>
    <w:rsid w:val="008F0946"/>
    <w:rsid w:val="008F1D7D"/>
    <w:rsid w:val="008F1F6F"/>
    <w:rsid w:val="008F2500"/>
    <w:rsid w:val="008F2FE8"/>
    <w:rsid w:val="008F39A7"/>
    <w:rsid w:val="008F4735"/>
    <w:rsid w:val="008F4DF4"/>
    <w:rsid w:val="008F4F0F"/>
    <w:rsid w:val="008F5409"/>
    <w:rsid w:val="008F594E"/>
    <w:rsid w:val="008F685C"/>
    <w:rsid w:val="008F7541"/>
    <w:rsid w:val="008F79F0"/>
    <w:rsid w:val="008F7CD3"/>
    <w:rsid w:val="00900030"/>
    <w:rsid w:val="009002C6"/>
    <w:rsid w:val="009004AE"/>
    <w:rsid w:val="00901B2E"/>
    <w:rsid w:val="0090237D"/>
    <w:rsid w:val="00903527"/>
    <w:rsid w:val="009036DD"/>
    <w:rsid w:val="009040E0"/>
    <w:rsid w:val="00904EFE"/>
    <w:rsid w:val="00906232"/>
    <w:rsid w:val="0090721D"/>
    <w:rsid w:val="00907664"/>
    <w:rsid w:val="00907A5A"/>
    <w:rsid w:val="00907EFE"/>
    <w:rsid w:val="009118C8"/>
    <w:rsid w:val="00911A04"/>
    <w:rsid w:val="00911CE2"/>
    <w:rsid w:val="009120C4"/>
    <w:rsid w:val="0091394E"/>
    <w:rsid w:val="00913D1F"/>
    <w:rsid w:val="00914360"/>
    <w:rsid w:val="0091556B"/>
    <w:rsid w:val="0091565E"/>
    <w:rsid w:val="00915F38"/>
    <w:rsid w:val="00915F7C"/>
    <w:rsid w:val="009160BB"/>
    <w:rsid w:val="00916BAE"/>
    <w:rsid w:val="00916EE9"/>
    <w:rsid w:val="009172F9"/>
    <w:rsid w:val="0091739F"/>
    <w:rsid w:val="0091761E"/>
    <w:rsid w:val="009179AD"/>
    <w:rsid w:val="00917A84"/>
    <w:rsid w:val="00920477"/>
    <w:rsid w:val="00920958"/>
    <w:rsid w:val="00920A18"/>
    <w:rsid w:val="00921244"/>
    <w:rsid w:val="00921B62"/>
    <w:rsid w:val="00922F33"/>
    <w:rsid w:val="00923714"/>
    <w:rsid w:val="00923B8D"/>
    <w:rsid w:val="00923DBA"/>
    <w:rsid w:val="009251D5"/>
    <w:rsid w:val="00926417"/>
    <w:rsid w:val="0092734E"/>
    <w:rsid w:val="009275DA"/>
    <w:rsid w:val="0093058A"/>
    <w:rsid w:val="00931353"/>
    <w:rsid w:val="00931569"/>
    <w:rsid w:val="009329B6"/>
    <w:rsid w:val="00932AC2"/>
    <w:rsid w:val="00932D95"/>
    <w:rsid w:val="0093326C"/>
    <w:rsid w:val="0093349A"/>
    <w:rsid w:val="0093372A"/>
    <w:rsid w:val="00934252"/>
    <w:rsid w:val="00934D83"/>
    <w:rsid w:val="00934FC4"/>
    <w:rsid w:val="00936448"/>
    <w:rsid w:val="00936E16"/>
    <w:rsid w:val="009409E7"/>
    <w:rsid w:val="0094189B"/>
    <w:rsid w:val="009424B0"/>
    <w:rsid w:val="00943472"/>
    <w:rsid w:val="00943716"/>
    <w:rsid w:val="00944691"/>
    <w:rsid w:val="00944B7C"/>
    <w:rsid w:val="00945345"/>
    <w:rsid w:val="00945BE7"/>
    <w:rsid w:val="00945C04"/>
    <w:rsid w:val="00946013"/>
    <w:rsid w:val="0094694F"/>
    <w:rsid w:val="00946D8C"/>
    <w:rsid w:val="00947FE9"/>
    <w:rsid w:val="00947FF9"/>
    <w:rsid w:val="0095001F"/>
    <w:rsid w:val="00951193"/>
    <w:rsid w:val="009514F8"/>
    <w:rsid w:val="0095182A"/>
    <w:rsid w:val="009532B3"/>
    <w:rsid w:val="009532FB"/>
    <w:rsid w:val="00953625"/>
    <w:rsid w:val="00953AA9"/>
    <w:rsid w:val="00954110"/>
    <w:rsid w:val="009541FB"/>
    <w:rsid w:val="00955177"/>
    <w:rsid w:val="00955A4A"/>
    <w:rsid w:val="0095613F"/>
    <w:rsid w:val="00957175"/>
    <w:rsid w:val="00957902"/>
    <w:rsid w:val="00957C3D"/>
    <w:rsid w:val="009602BF"/>
    <w:rsid w:val="00960DA0"/>
    <w:rsid w:val="009612C0"/>
    <w:rsid w:val="009615F6"/>
    <w:rsid w:val="009625E4"/>
    <w:rsid w:val="0096286C"/>
    <w:rsid w:val="00962897"/>
    <w:rsid w:val="00962AA0"/>
    <w:rsid w:val="00962B75"/>
    <w:rsid w:val="00962CBC"/>
    <w:rsid w:val="00963713"/>
    <w:rsid w:val="00963C3F"/>
    <w:rsid w:val="0096417F"/>
    <w:rsid w:val="00964435"/>
    <w:rsid w:val="009660F3"/>
    <w:rsid w:val="00966399"/>
    <w:rsid w:val="0096756D"/>
    <w:rsid w:val="0097182F"/>
    <w:rsid w:val="00971AD3"/>
    <w:rsid w:val="00971B9E"/>
    <w:rsid w:val="00971D9B"/>
    <w:rsid w:val="0097353C"/>
    <w:rsid w:val="0097387B"/>
    <w:rsid w:val="00974F45"/>
    <w:rsid w:val="00975E93"/>
    <w:rsid w:val="009760F6"/>
    <w:rsid w:val="00977773"/>
    <w:rsid w:val="00977A9F"/>
    <w:rsid w:val="00977C11"/>
    <w:rsid w:val="00980085"/>
    <w:rsid w:val="009809E3"/>
    <w:rsid w:val="00980AC9"/>
    <w:rsid w:val="009820C4"/>
    <w:rsid w:val="00982FB1"/>
    <w:rsid w:val="00982FD6"/>
    <w:rsid w:val="00984803"/>
    <w:rsid w:val="00984867"/>
    <w:rsid w:val="009848BB"/>
    <w:rsid w:val="009849F9"/>
    <w:rsid w:val="00984B2B"/>
    <w:rsid w:val="009852AA"/>
    <w:rsid w:val="00985D7A"/>
    <w:rsid w:val="009861D0"/>
    <w:rsid w:val="009864F0"/>
    <w:rsid w:val="0098743A"/>
    <w:rsid w:val="0098753B"/>
    <w:rsid w:val="00987B39"/>
    <w:rsid w:val="00987CF6"/>
    <w:rsid w:val="00991112"/>
    <w:rsid w:val="009914BF"/>
    <w:rsid w:val="00991501"/>
    <w:rsid w:val="00991EFC"/>
    <w:rsid w:val="00992884"/>
    <w:rsid w:val="00993603"/>
    <w:rsid w:val="00993FBD"/>
    <w:rsid w:val="0099434D"/>
    <w:rsid w:val="00994A21"/>
    <w:rsid w:val="009975CD"/>
    <w:rsid w:val="009A0C78"/>
    <w:rsid w:val="009A1622"/>
    <w:rsid w:val="009A174A"/>
    <w:rsid w:val="009A297D"/>
    <w:rsid w:val="009A2E23"/>
    <w:rsid w:val="009A3024"/>
    <w:rsid w:val="009A5065"/>
    <w:rsid w:val="009A532A"/>
    <w:rsid w:val="009A5570"/>
    <w:rsid w:val="009A686C"/>
    <w:rsid w:val="009A7434"/>
    <w:rsid w:val="009A7768"/>
    <w:rsid w:val="009A7AA5"/>
    <w:rsid w:val="009A7DD4"/>
    <w:rsid w:val="009B06EC"/>
    <w:rsid w:val="009B0A46"/>
    <w:rsid w:val="009B0F76"/>
    <w:rsid w:val="009B1513"/>
    <w:rsid w:val="009B16D6"/>
    <w:rsid w:val="009B1E66"/>
    <w:rsid w:val="009B2036"/>
    <w:rsid w:val="009B2AD6"/>
    <w:rsid w:val="009B2D6E"/>
    <w:rsid w:val="009B375D"/>
    <w:rsid w:val="009B431F"/>
    <w:rsid w:val="009B432A"/>
    <w:rsid w:val="009B48C0"/>
    <w:rsid w:val="009B4A63"/>
    <w:rsid w:val="009B5B0D"/>
    <w:rsid w:val="009B5C2A"/>
    <w:rsid w:val="009B6657"/>
    <w:rsid w:val="009B6CFC"/>
    <w:rsid w:val="009B77BC"/>
    <w:rsid w:val="009C0E83"/>
    <w:rsid w:val="009C11B5"/>
    <w:rsid w:val="009C153E"/>
    <w:rsid w:val="009C1EFE"/>
    <w:rsid w:val="009C303B"/>
    <w:rsid w:val="009C3B39"/>
    <w:rsid w:val="009C3F7D"/>
    <w:rsid w:val="009C43EC"/>
    <w:rsid w:val="009C48F7"/>
    <w:rsid w:val="009C53E9"/>
    <w:rsid w:val="009C699B"/>
    <w:rsid w:val="009C70F2"/>
    <w:rsid w:val="009C7B50"/>
    <w:rsid w:val="009C7CC0"/>
    <w:rsid w:val="009D299C"/>
    <w:rsid w:val="009D2CD2"/>
    <w:rsid w:val="009D3018"/>
    <w:rsid w:val="009D3259"/>
    <w:rsid w:val="009D3A54"/>
    <w:rsid w:val="009D3FCB"/>
    <w:rsid w:val="009D5131"/>
    <w:rsid w:val="009D6B49"/>
    <w:rsid w:val="009D6C0F"/>
    <w:rsid w:val="009D6E5F"/>
    <w:rsid w:val="009D7833"/>
    <w:rsid w:val="009D789B"/>
    <w:rsid w:val="009E083A"/>
    <w:rsid w:val="009E13B5"/>
    <w:rsid w:val="009E19BB"/>
    <w:rsid w:val="009E1A8F"/>
    <w:rsid w:val="009E1D29"/>
    <w:rsid w:val="009E46F0"/>
    <w:rsid w:val="009E4DD5"/>
    <w:rsid w:val="009E4E05"/>
    <w:rsid w:val="009E53B2"/>
    <w:rsid w:val="009E57A3"/>
    <w:rsid w:val="009E695B"/>
    <w:rsid w:val="009E6BA1"/>
    <w:rsid w:val="009E6CE5"/>
    <w:rsid w:val="009E78CD"/>
    <w:rsid w:val="009E7D2D"/>
    <w:rsid w:val="009F0C5C"/>
    <w:rsid w:val="009F0E80"/>
    <w:rsid w:val="009F12CD"/>
    <w:rsid w:val="009F1663"/>
    <w:rsid w:val="009F2AD2"/>
    <w:rsid w:val="009F318A"/>
    <w:rsid w:val="009F38D5"/>
    <w:rsid w:val="009F3C0B"/>
    <w:rsid w:val="009F4174"/>
    <w:rsid w:val="009F4872"/>
    <w:rsid w:val="009F5759"/>
    <w:rsid w:val="009F58D1"/>
    <w:rsid w:val="009F59E5"/>
    <w:rsid w:val="009F59F6"/>
    <w:rsid w:val="009F61EA"/>
    <w:rsid w:val="009F6252"/>
    <w:rsid w:val="009F62F0"/>
    <w:rsid w:val="009F63D9"/>
    <w:rsid w:val="009F65C4"/>
    <w:rsid w:val="009F6BE0"/>
    <w:rsid w:val="009F7195"/>
    <w:rsid w:val="00A00011"/>
    <w:rsid w:val="00A00942"/>
    <w:rsid w:val="00A012ED"/>
    <w:rsid w:val="00A01C4C"/>
    <w:rsid w:val="00A020BB"/>
    <w:rsid w:val="00A02691"/>
    <w:rsid w:val="00A04BCE"/>
    <w:rsid w:val="00A05137"/>
    <w:rsid w:val="00A05282"/>
    <w:rsid w:val="00A0569E"/>
    <w:rsid w:val="00A100EA"/>
    <w:rsid w:val="00A106D1"/>
    <w:rsid w:val="00A106E2"/>
    <w:rsid w:val="00A10DEE"/>
    <w:rsid w:val="00A10EA9"/>
    <w:rsid w:val="00A10F4F"/>
    <w:rsid w:val="00A116D3"/>
    <w:rsid w:val="00A119AD"/>
    <w:rsid w:val="00A119F9"/>
    <w:rsid w:val="00A12C49"/>
    <w:rsid w:val="00A140E6"/>
    <w:rsid w:val="00A14FD2"/>
    <w:rsid w:val="00A15C70"/>
    <w:rsid w:val="00A15F30"/>
    <w:rsid w:val="00A16C2B"/>
    <w:rsid w:val="00A17410"/>
    <w:rsid w:val="00A17900"/>
    <w:rsid w:val="00A203DF"/>
    <w:rsid w:val="00A21187"/>
    <w:rsid w:val="00A213F4"/>
    <w:rsid w:val="00A21C9F"/>
    <w:rsid w:val="00A21CAA"/>
    <w:rsid w:val="00A2292D"/>
    <w:rsid w:val="00A23CD1"/>
    <w:rsid w:val="00A243E7"/>
    <w:rsid w:val="00A24CF1"/>
    <w:rsid w:val="00A25183"/>
    <w:rsid w:val="00A2580C"/>
    <w:rsid w:val="00A25C02"/>
    <w:rsid w:val="00A25C91"/>
    <w:rsid w:val="00A25D3A"/>
    <w:rsid w:val="00A25DE0"/>
    <w:rsid w:val="00A2644D"/>
    <w:rsid w:val="00A27707"/>
    <w:rsid w:val="00A277A6"/>
    <w:rsid w:val="00A30E49"/>
    <w:rsid w:val="00A30FD1"/>
    <w:rsid w:val="00A31244"/>
    <w:rsid w:val="00A317CD"/>
    <w:rsid w:val="00A32B5E"/>
    <w:rsid w:val="00A34367"/>
    <w:rsid w:val="00A34393"/>
    <w:rsid w:val="00A34D82"/>
    <w:rsid w:val="00A35A50"/>
    <w:rsid w:val="00A35B88"/>
    <w:rsid w:val="00A364EE"/>
    <w:rsid w:val="00A36C0C"/>
    <w:rsid w:val="00A3728B"/>
    <w:rsid w:val="00A37C29"/>
    <w:rsid w:val="00A403E3"/>
    <w:rsid w:val="00A40FF5"/>
    <w:rsid w:val="00A41873"/>
    <w:rsid w:val="00A41D99"/>
    <w:rsid w:val="00A41E54"/>
    <w:rsid w:val="00A42B5C"/>
    <w:rsid w:val="00A42DAE"/>
    <w:rsid w:val="00A42E4F"/>
    <w:rsid w:val="00A42F54"/>
    <w:rsid w:val="00A431EC"/>
    <w:rsid w:val="00A44C15"/>
    <w:rsid w:val="00A44D86"/>
    <w:rsid w:val="00A45534"/>
    <w:rsid w:val="00A458BD"/>
    <w:rsid w:val="00A45B9E"/>
    <w:rsid w:val="00A46045"/>
    <w:rsid w:val="00A478F1"/>
    <w:rsid w:val="00A501D4"/>
    <w:rsid w:val="00A50648"/>
    <w:rsid w:val="00A50A15"/>
    <w:rsid w:val="00A50BC2"/>
    <w:rsid w:val="00A52030"/>
    <w:rsid w:val="00A5299C"/>
    <w:rsid w:val="00A54362"/>
    <w:rsid w:val="00A5447A"/>
    <w:rsid w:val="00A55072"/>
    <w:rsid w:val="00A55E2D"/>
    <w:rsid w:val="00A57223"/>
    <w:rsid w:val="00A57A70"/>
    <w:rsid w:val="00A57D05"/>
    <w:rsid w:val="00A60AF3"/>
    <w:rsid w:val="00A60B82"/>
    <w:rsid w:val="00A62D97"/>
    <w:rsid w:val="00A6329A"/>
    <w:rsid w:val="00A63753"/>
    <w:rsid w:val="00A6546E"/>
    <w:rsid w:val="00A65D6B"/>
    <w:rsid w:val="00A66D02"/>
    <w:rsid w:val="00A66EC8"/>
    <w:rsid w:val="00A67140"/>
    <w:rsid w:val="00A671E6"/>
    <w:rsid w:val="00A6727E"/>
    <w:rsid w:val="00A67463"/>
    <w:rsid w:val="00A67752"/>
    <w:rsid w:val="00A67D0D"/>
    <w:rsid w:val="00A70D80"/>
    <w:rsid w:val="00A71670"/>
    <w:rsid w:val="00A72A0E"/>
    <w:rsid w:val="00A72E5D"/>
    <w:rsid w:val="00A73627"/>
    <w:rsid w:val="00A73C28"/>
    <w:rsid w:val="00A73D59"/>
    <w:rsid w:val="00A73EA6"/>
    <w:rsid w:val="00A73EBE"/>
    <w:rsid w:val="00A74BF8"/>
    <w:rsid w:val="00A756FD"/>
    <w:rsid w:val="00A75C59"/>
    <w:rsid w:val="00A75D15"/>
    <w:rsid w:val="00A76366"/>
    <w:rsid w:val="00A76A1D"/>
    <w:rsid w:val="00A76AA3"/>
    <w:rsid w:val="00A76C89"/>
    <w:rsid w:val="00A77692"/>
    <w:rsid w:val="00A77DF6"/>
    <w:rsid w:val="00A8027B"/>
    <w:rsid w:val="00A80341"/>
    <w:rsid w:val="00A81027"/>
    <w:rsid w:val="00A811B0"/>
    <w:rsid w:val="00A81A9B"/>
    <w:rsid w:val="00A83DF0"/>
    <w:rsid w:val="00A8553A"/>
    <w:rsid w:val="00A857C6"/>
    <w:rsid w:val="00A86558"/>
    <w:rsid w:val="00A86BFC"/>
    <w:rsid w:val="00A86E3C"/>
    <w:rsid w:val="00A87CD7"/>
    <w:rsid w:val="00A9010D"/>
    <w:rsid w:val="00A90113"/>
    <w:rsid w:val="00A92552"/>
    <w:rsid w:val="00A925A8"/>
    <w:rsid w:val="00A93992"/>
    <w:rsid w:val="00A93EA2"/>
    <w:rsid w:val="00A943CB"/>
    <w:rsid w:val="00A94543"/>
    <w:rsid w:val="00A948C8"/>
    <w:rsid w:val="00A94FD8"/>
    <w:rsid w:val="00A95830"/>
    <w:rsid w:val="00A95F1C"/>
    <w:rsid w:val="00A9625E"/>
    <w:rsid w:val="00A96713"/>
    <w:rsid w:val="00A96719"/>
    <w:rsid w:val="00A9676B"/>
    <w:rsid w:val="00A968E1"/>
    <w:rsid w:val="00A96B40"/>
    <w:rsid w:val="00A9736C"/>
    <w:rsid w:val="00A97B24"/>
    <w:rsid w:val="00AA0D6E"/>
    <w:rsid w:val="00AA104D"/>
    <w:rsid w:val="00AA14F2"/>
    <w:rsid w:val="00AA1ECA"/>
    <w:rsid w:val="00AA1FB6"/>
    <w:rsid w:val="00AA40E3"/>
    <w:rsid w:val="00AA5918"/>
    <w:rsid w:val="00AA6873"/>
    <w:rsid w:val="00AA6DFD"/>
    <w:rsid w:val="00AA6ED0"/>
    <w:rsid w:val="00AA7426"/>
    <w:rsid w:val="00AA7840"/>
    <w:rsid w:val="00AB002E"/>
    <w:rsid w:val="00AB1368"/>
    <w:rsid w:val="00AB1BB3"/>
    <w:rsid w:val="00AB1CD9"/>
    <w:rsid w:val="00AB1DDD"/>
    <w:rsid w:val="00AB20DE"/>
    <w:rsid w:val="00AB3EA4"/>
    <w:rsid w:val="00AB4A1C"/>
    <w:rsid w:val="00AB60B5"/>
    <w:rsid w:val="00AB640E"/>
    <w:rsid w:val="00AB7495"/>
    <w:rsid w:val="00AB74CD"/>
    <w:rsid w:val="00AC11FF"/>
    <w:rsid w:val="00AC199A"/>
    <w:rsid w:val="00AC1B05"/>
    <w:rsid w:val="00AC25B8"/>
    <w:rsid w:val="00AC3309"/>
    <w:rsid w:val="00AC331B"/>
    <w:rsid w:val="00AC3AF3"/>
    <w:rsid w:val="00AC44F2"/>
    <w:rsid w:val="00AC5246"/>
    <w:rsid w:val="00AC5C20"/>
    <w:rsid w:val="00AC5E64"/>
    <w:rsid w:val="00AC6524"/>
    <w:rsid w:val="00AC6689"/>
    <w:rsid w:val="00AC763F"/>
    <w:rsid w:val="00AC7D9C"/>
    <w:rsid w:val="00AD098F"/>
    <w:rsid w:val="00AD11B5"/>
    <w:rsid w:val="00AD1249"/>
    <w:rsid w:val="00AD237C"/>
    <w:rsid w:val="00AD2ADB"/>
    <w:rsid w:val="00AD3E35"/>
    <w:rsid w:val="00AD49C6"/>
    <w:rsid w:val="00AD5FD0"/>
    <w:rsid w:val="00AD6BA5"/>
    <w:rsid w:val="00AD6C4C"/>
    <w:rsid w:val="00AD7D5A"/>
    <w:rsid w:val="00AD7E62"/>
    <w:rsid w:val="00AE0732"/>
    <w:rsid w:val="00AE0C9C"/>
    <w:rsid w:val="00AE0F4B"/>
    <w:rsid w:val="00AE1615"/>
    <w:rsid w:val="00AE30C8"/>
    <w:rsid w:val="00AE3FF3"/>
    <w:rsid w:val="00AE5399"/>
    <w:rsid w:val="00AE54D8"/>
    <w:rsid w:val="00AE5702"/>
    <w:rsid w:val="00AE5A63"/>
    <w:rsid w:val="00AE70E4"/>
    <w:rsid w:val="00AE7271"/>
    <w:rsid w:val="00AE7493"/>
    <w:rsid w:val="00AE7962"/>
    <w:rsid w:val="00AE7C52"/>
    <w:rsid w:val="00AE7DE7"/>
    <w:rsid w:val="00AF0064"/>
    <w:rsid w:val="00AF00E3"/>
    <w:rsid w:val="00AF0E9C"/>
    <w:rsid w:val="00AF0EF6"/>
    <w:rsid w:val="00AF1AE4"/>
    <w:rsid w:val="00AF3D0E"/>
    <w:rsid w:val="00AF3DF7"/>
    <w:rsid w:val="00AF4193"/>
    <w:rsid w:val="00AF4378"/>
    <w:rsid w:val="00AF46AB"/>
    <w:rsid w:val="00AF4DD1"/>
    <w:rsid w:val="00AF6180"/>
    <w:rsid w:val="00AF79C7"/>
    <w:rsid w:val="00B001C3"/>
    <w:rsid w:val="00B00721"/>
    <w:rsid w:val="00B0198A"/>
    <w:rsid w:val="00B02C18"/>
    <w:rsid w:val="00B03A89"/>
    <w:rsid w:val="00B0412B"/>
    <w:rsid w:val="00B04A85"/>
    <w:rsid w:val="00B04D3B"/>
    <w:rsid w:val="00B05EAC"/>
    <w:rsid w:val="00B06219"/>
    <w:rsid w:val="00B0629D"/>
    <w:rsid w:val="00B0732F"/>
    <w:rsid w:val="00B114D1"/>
    <w:rsid w:val="00B11B92"/>
    <w:rsid w:val="00B11DE1"/>
    <w:rsid w:val="00B128B9"/>
    <w:rsid w:val="00B132A4"/>
    <w:rsid w:val="00B13B57"/>
    <w:rsid w:val="00B13CC9"/>
    <w:rsid w:val="00B13E10"/>
    <w:rsid w:val="00B13FB8"/>
    <w:rsid w:val="00B141E1"/>
    <w:rsid w:val="00B14CA4"/>
    <w:rsid w:val="00B14E5A"/>
    <w:rsid w:val="00B154B9"/>
    <w:rsid w:val="00B16041"/>
    <w:rsid w:val="00B16173"/>
    <w:rsid w:val="00B166FE"/>
    <w:rsid w:val="00B167B8"/>
    <w:rsid w:val="00B16F41"/>
    <w:rsid w:val="00B203CA"/>
    <w:rsid w:val="00B21575"/>
    <w:rsid w:val="00B21612"/>
    <w:rsid w:val="00B21DAB"/>
    <w:rsid w:val="00B22442"/>
    <w:rsid w:val="00B226EF"/>
    <w:rsid w:val="00B22BAB"/>
    <w:rsid w:val="00B23263"/>
    <w:rsid w:val="00B2382E"/>
    <w:rsid w:val="00B23D0B"/>
    <w:rsid w:val="00B249D2"/>
    <w:rsid w:val="00B24A2B"/>
    <w:rsid w:val="00B24EA1"/>
    <w:rsid w:val="00B253AA"/>
    <w:rsid w:val="00B253C7"/>
    <w:rsid w:val="00B25600"/>
    <w:rsid w:val="00B257E3"/>
    <w:rsid w:val="00B25809"/>
    <w:rsid w:val="00B25905"/>
    <w:rsid w:val="00B26E1C"/>
    <w:rsid w:val="00B30673"/>
    <w:rsid w:val="00B306EA"/>
    <w:rsid w:val="00B307FD"/>
    <w:rsid w:val="00B315E8"/>
    <w:rsid w:val="00B31734"/>
    <w:rsid w:val="00B3320C"/>
    <w:rsid w:val="00B338D6"/>
    <w:rsid w:val="00B33AB3"/>
    <w:rsid w:val="00B34370"/>
    <w:rsid w:val="00B35118"/>
    <w:rsid w:val="00B362BC"/>
    <w:rsid w:val="00B36385"/>
    <w:rsid w:val="00B36B49"/>
    <w:rsid w:val="00B36DA4"/>
    <w:rsid w:val="00B373E3"/>
    <w:rsid w:val="00B40D43"/>
    <w:rsid w:val="00B41CDA"/>
    <w:rsid w:val="00B43413"/>
    <w:rsid w:val="00B44091"/>
    <w:rsid w:val="00B446C3"/>
    <w:rsid w:val="00B44905"/>
    <w:rsid w:val="00B4491B"/>
    <w:rsid w:val="00B44FA5"/>
    <w:rsid w:val="00B468DC"/>
    <w:rsid w:val="00B46FFE"/>
    <w:rsid w:val="00B47566"/>
    <w:rsid w:val="00B504E1"/>
    <w:rsid w:val="00B50B32"/>
    <w:rsid w:val="00B51255"/>
    <w:rsid w:val="00B52193"/>
    <w:rsid w:val="00B52589"/>
    <w:rsid w:val="00B53D27"/>
    <w:rsid w:val="00B5402E"/>
    <w:rsid w:val="00B559BA"/>
    <w:rsid w:val="00B55A12"/>
    <w:rsid w:val="00B55BEA"/>
    <w:rsid w:val="00B566DE"/>
    <w:rsid w:val="00B570BD"/>
    <w:rsid w:val="00B57438"/>
    <w:rsid w:val="00B57BB9"/>
    <w:rsid w:val="00B604D0"/>
    <w:rsid w:val="00B612C9"/>
    <w:rsid w:val="00B6380D"/>
    <w:rsid w:val="00B63F45"/>
    <w:rsid w:val="00B6414C"/>
    <w:rsid w:val="00B641D0"/>
    <w:rsid w:val="00B646EF"/>
    <w:rsid w:val="00B6498F"/>
    <w:rsid w:val="00B654BC"/>
    <w:rsid w:val="00B66045"/>
    <w:rsid w:val="00B673E5"/>
    <w:rsid w:val="00B677AC"/>
    <w:rsid w:val="00B678BA"/>
    <w:rsid w:val="00B67F70"/>
    <w:rsid w:val="00B7006E"/>
    <w:rsid w:val="00B70579"/>
    <w:rsid w:val="00B7074B"/>
    <w:rsid w:val="00B70EF8"/>
    <w:rsid w:val="00B714F0"/>
    <w:rsid w:val="00B7322F"/>
    <w:rsid w:val="00B73793"/>
    <w:rsid w:val="00B73B5B"/>
    <w:rsid w:val="00B746C4"/>
    <w:rsid w:val="00B75C8F"/>
    <w:rsid w:val="00B76D83"/>
    <w:rsid w:val="00B770B1"/>
    <w:rsid w:val="00B77CF8"/>
    <w:rsid w:val="00B809D2"/>
    <w:rsid w:val="00B80D88"/>
    <w:rsid w:val="00B815F0"/>
    <w:rsid w:val="00B8162F"/>
    <w:rsid w:val="00B81ACE"/>
    <w:rsid w:val="00B8306D"/>
    <w:rsid w:val="00B835FD"/>
    <w:rsid w:val="00B8668F"/>
    <w:rsid w:val="00B86C75"/>
    <w:rsid w:val="00B875DD"/>
    <w:rsid w:val="00B87B31"/>
    <w:rsid w:val="00B87B99"/>
    <w:rsid w:val="00B90323"/>
    <w:rsid w:val="00B911F9"/>
    <w:rsid w:val="00B91B87"/>
    <w:rsid w:val="00B91C6F"/>
    <w:rsid w:val="00B91EF4"/>
    <w:rsid w:val="00B92399"/>
    <w:rsid w:val="00B924F4"/>
    <w:rsid w:val="00B92CC3"/>
    <w:rsid w:val="00B92D05"/>
    <w:rsid w:val="00B92E88"/>
    <w:rsid w:val="00B93031"/>
    <w:rsid w:val="00B936EB"/>
    <w:rsid w:val="00B9370D"/>
    <w:rsid w:val="00B937C7"/>
    <w:rsid w:val="00B93A95"/>
    <w:rsid w:val="00B941DE"/>
    <w:rsid w:val="00B9422C"/>
    <w:rsid w:val="00B94E96"/>
    <w:rsid w:val="00B9573A"/>
    <w:rsid w:val="00B958FD"/>
    <w:rsid w:val="00B96D85"/>
    <w:rsid w:val="00B9716A"/>
    <w:rsid w:val="00B971AB"/>
    <w:rsid w:val="00B975AB"/>
    <w:rsid w:val="00BA0376"/>
    <w:rsid w:val="00BA08D9"/>
    <w:rsid w:val="00BA09E1"/>
    <w:rsid w:val="00BA10EC"/>
    <w:rsid w:val="00BA2231"/>
    <w:rsid w:val="00BA2665"/>
    <w:rsid w:val="00BA26AF"/>
    <w:rsid w:val="00BA3C09"/>
    <w:rsid w:val="00BA3CD7"/>
    <w:rsid w:val="00BA3DEF"/>
    <w:rsid w:val="00BA4244"/>
    <w:rsid w:val="00BA4500"/>
    <w:rsid w:val="00BA4869"/>
    <w:rsid w:val="00BA523E"/>
    <w:rsid w:val="00BA6F78"/>
    <w:rsid w:val="00BA76D5"/>
    <w:rsid w:val="00BB083D"/>
    <w:rsid w:val="00BB0E1E"/>
    <w:rsid w:val="00BB1BE5"/>
    <w:rsid w:val="00BB21E0"/>
    <w:rsid w:val="00BB298A"/>
    <w:rsid w:val="00BB29C8"/>
    <w:rsid w:val="00BB29F3"/>
    <w:rsid w:val="00BB39C7"/>
    <w:rsid w:val="00BB3B37"/>
    <w:rsid w:val="00BB3C94"/>
    <w:rsid w:val="00BB43DA"/>
    <w:rsid w:val="00BB46FD"/>
    <w:rsid w:val="00BB4D76"/>
    <w:rsid w:val="00BB4FBB"/>
    <w:rsid w:val="00BB5929"/>
    <w:rsid w:val="00BB5F0C"/>
    <w:rsid w:val="00BB63AE"/>
    <w:rsid w:val="00BB6AD9"/>
    <w:rsid w:val="00BB7487"/>
    <w:rsid w:val="00BB7A9B"/>
    <w:rsid w:val="00BC0A55"/>
    <w:rsid w:val="00BC1362"/>
    <w:rsid w:val="00BC1CFA"/>
    <w:rsid w:val="00BC1F9F"/>
    <w:rsid w:val="00BC31D4"/>
    <w:rsid w:val="00BC3E6D"/>
    <w:rsid w:val="00BC3FF3"/>
    <w:rsid w:val="00BC411A"/>
    <w:rsid w:val="00BC4B9E"/>
    <w:rsid w:val="00BC5AC4"/>
    <w:rsid w:val="00BC6029"/>
    <w:rsid w:val="00BC620D"/>
    <w:rsid w:val="00BC6CA8"/>
    <w:rsid w:val="00BC78EA"/>
    <w:rsid w:val="00BC7BCE"/>
    <w:rsid w:val="00BC7E45"/>
    <w:rsid w:val="00BD2896"/>
    <w:rsid w:val="00BD2996"/>
    <w:rsid w:val="00BD2F8E"/>
    <w:rsid w:val="00BD3AFD"/>
    <w:rsid w:val="00BD4528"/>
    <w:rsid w:val="00BD4626"/>
    <w:rsid w:val="00BD4C64"/>
    <w:rsid w:val="00BD5AEC"/>
    <w:rsid w:val="00BD5C8E"/>
    <w:rsid w:val="00BD6AE4"/>
    <w:rsid w:val="00BD7656"/>
    <w:rsid w:val="00BD7F27"/>
    <w:rsid w:val="00BE025B"/>
    <w:rsid w:val="00BE07C0"/>
    <w:rsid w:val="00BE0DB7"/>
    <w:rsid w:val="00BE129E"/>
    <w:rsid w:val="00BE204E"/>
    <w:rsid w:val="00BE2A06"/>
    <w:rsid w:val="00BE2F5C"/>
    <w:rsid w:val="00BE2FB5"/>
    <w:rsid w:val="00BE375B"/>
    <w:rsid w:val="00BE566A"/>
    <w:rsid w:val="00BE5771"/>
    <w:rsid w:val="00BE5DFD"/>
    <w:rsid w:val="00BE5F44"/>
    <w:rsid w:val="00BE6586"/>
    <w:rsid w:val="00BE6E2A"/>
    <w:rsid w:val="00BE75D0"/>
    <w:rsid w:val="00BE78C4"/>
    <w:rsid w:val="00BE79C5"/>
    <w:rsid w:val="00BE7AD4"/>
    <w:rsid w:val="00BE7D1E"/>
    <w:rsid w:val="00BF159E"/>
    <w:rsid w:val="00BF21DB"/>
    <w:rsid w:val="00BF2492"/>
    <w:rsid w:val="00BF40B4"/>
    <w:rsid w:val="00BF4B6E"/>
    <w:rsid w:val="00BF4BEF"/>
    <w:rsid w:val="00BF537D"/>
    <w:rsid w:val="00BF5788"/>
    <w:rsid w:val="00BF61DE"/>
    <w:rsid w:val="00BF714C"/>
    <w:rsid w:val="00BF74A3"/>
    <w:rsid w:val="00C000B3"/>
    <w:rsid w:val="00C00181"/>
    <w:rsid w:val="00C02B05"/>
    <w:rsid w:val="00C03DDF"/>
    <w:rsid w:val="00C04141"/>
    <w:rsid w:val="00C04D24"/>
    <w:rsid w:val="00C04E25"/>
    <w:rsid w:val="00C05368"/>
    <w:rsid w:val="00C05E59"/>
    <w:rsid w:val="00C0674A"/>
    <w:rsid w:val="00C06E5E"/>
    <w:rsid w:val="00C06ED8"/>
    <w:rsid w:val="00C10664"/>
    <w:rsid w:val="00C10910"/>
    <w:rsid w:val="00C110BC"/>
    <w:rsid w:val="00C113E4"/>
    <w:rsid w:val="00C11475"/>
    <w:rsid w:val="00C117F1"/>
    <w:rsid w:val="00C118BA"/>
    <w:rsid w:val="00C11F38"/>
    <w:rsid w:val="00C13460"/>
    <w:rsid w:val="00C13C52"/>
    <w:rsid w:val="00C13D88"/>
    <w:rsid w:val="00C14227"/>
    <w:rsid w:val="00C14656"/>
    <w:rsid w:val="00C14B3D"/>
    <w:rsid w:val="00C14C9E"/>
    <w:rsid w:val="00C14F1B"/>
    <w:rsid w:val="00C15435"/>
    <w:rsid w:val="00C16867"/>
    <w:rsid w:val="00C16C0C"/>
    <w:rsid w:val="00C20246"/>
    <w:rsid w:val="00C2036C"/>
    <w:rsid w:val="00C207E8"/>
    <w:rsid w:val="00C2184C"/>
    <w:rsid w:val="00C22031"/>
    <w:rsid w:val="00C2211D"/>
    <w:rsid w:val="00C221AD"/>
    <w:rsid w:val="00C22225"/>
    <w:rsid w:val="00C22852"/>
    <w:rsid w:val="00C2326F"/>
    <w:rsid w:val="00C23601"/>
    <w:rsid w:val="00C23789"/>
    <w:rsid w:val="00C254A7"/>
    <w:rsid w:val="00C26E80"/>
    <w:rsid w:val="00C2712E"/>
    <w:rsid w:val="00C27188"/>
    <w:rsid w:val="00C27CCA"/>
    <w:rsid w:val="00C302C8"/>
    <w:rsid w:val="00C3075C"/>
    <w:rsid w:val="00C30E0A"/>
    <w:rsid w:val="00C31CEA"/>
    <w:rsid w:val="00C31D9B"/>
    <w:rsid w:val="00C31F9C"/>
    <w:rsid w:val="00C32A6D"/>
    <w:rsid w:val="00C32C65"/>
    <w:rsid w:val="00C3311F"/>
    <w:rsid w:val="00C3352C"/>
    <w:rsid w:val="00C34C9F"/>
    <w:rsid w:val="00C354FD"/>
    <w:rsid w:val="00C35ADF"/>
    <w:rsid w:val="00C36852"/>
    <w:rsid w:val="00C36947"/>
    <w:rsid w:val="00C37371"/>
    <w:rsid w:val="00C375F6"/>
    <w:rsid w:val="00C376A6"/>
    <w:rsid w:val="00C40134"/>
    <w:rsid w:val="00C408F9"/>
    <w:rsid w:val="00C40A7F"/>
    <w:rsid w:val="00C41F2E"/>
    <w:rsid w:val="00C42384"/>
    <w:rsid w:val="00C4325C"/>
    <w:rsid w:val="00C442FA"/>
    <w:rsid w:val="00C44AFD"/>
    <w:rsid w:val="00C44DD9"/>
    <w:rsid w:val="00C44DF8"/>
    <w:rsid w:val="00C452BF"/>
    <w:rsid w:val="00C455EA"/>
    <w:rsid w:val="00C4595B"/>
    <w:rsid w:val="00C475B7"/>
    <w:rsid w:val="00C47B08"/>
    <w:rsid w:val="00C47EE0"/>
    <w:rsid w:val="00C50D44"/>
    <w:rsid w:val="00C51E35"/>
    <w:rsid w:val="00C55299"/>
    <w:rsid w:val="00C55E12"/>
    <w:rsid w:val="00C55FF3"/>
    <w:rsid w:val="00C560F2"/>
    <w:rsid w:val="00C57627"/>
    <w:rsid w:val="00C57B75"/>
    <w:rsid w:val="00C57D4A"/>
    <w:rsid w:val="00C6059B"/>
    <w:rsid w:val="00C60CA6"/>
    <w:rsid w:val="00C61B94"/>
    <w:rsid w:val="00C62B6F"/>
    <w:rsid w:val="00C62ED6"/>
    <w:rsid w:val="00C631E6"/>
    <w:rsid w:val="00C63304"/>
    <w:rsid w:val="00C64617"/>
    <w:rsid w:val="00C65FCF"/>
    <w:rsid w:val="00C671AD"/>
    <w:rsid w:val="00C671FC"/>
    <w:rsid w:val="00C676A6"/>
    <w:rsid w:val="00C67757"/>
    <w:rsid w:val="00C702A7"/>
    <w:rsid w:val="00C703E1"/>
    <w:rsid w:val="00C70A90"/>
    <w:rsid w:val="00C71E49"/>
    <w:rsid w:val="00C720E5"/>
    <w:rsid w:val="00C72CF5"/>
    <w:rsid w:val="00C72D2C"/>
    <w:rsid w:val="00C73A68"/>
    <w:rsid w:val="00C73BBD"/>
    <w:rsid w:val="00C748FC"/>
    <w:rsid w:val="00C75040"/>
    <w:rsid w:val="00C75B1F"/>
    <w:rsid w:val="00C75B91"/>
    <w:rsid w:val="00C75FDB"/>
    <w:rsid w:val="00C763B1"/>
    <w:rsid w:val="00C7786B"/>
    <w:rsid w:val="00C802A7"/>
    <w:rsid w:val="00C80371"/>
    <w:rsid w:val="00C804D4"/>
    <w:rsid w:val="00C80A78"/>
    <w:rsid w:val="00C80E97"/>
    <w:rsid w:val="00C812CD"/>
    <w:rsid w:val="00C813AA"/>
    <w:rsid w:val="00C81586"/>
    <w:rsid w:val="00C81A9A"/>
    <w:rsid w:val="00C8267A"/>
    <w:rsid w:val="00C83000"/>
    <w:rsid w:val="00C83511"/>
    <w:rsid w:val="00C8415B"/>
    <w:rsid w:val="00C848D7"/>
    <w:rsid w:val="00C84B35"/>
    <w:rsid w:val="00C86595"/>
    <w:rsid w:val="00C8767B"/>
    <w:rsid w:val="00C90750"/>
    <w:rsid w:val="00C9195A"/>
    <w:rsid w:val="00C920A4"/>
    <w:rsid w:val="00C93C64"/>
    <w:rsid w:val="00C94F78"/>
    <w:rsid w:val="00C9505A"/>
    <w:rsid w:val="00C95C36"/>
    <w:rsid w:val="00C95E39"/>
    <w:rsid w:val="00C962C5"/>
    <w:rsid w:val="00C96CCC"/>
    <w:rsid w:val="00C96CF9"/>
    <w:rsid w:val="00C97512"/>
    <w:rsid w:val="00CA0584"/>
    <w:rsid w:val="00CA0769"/>
    <w:rsid w:val="00CA0C45"/>
    <w:rsid w:val="00CA1023"/>
    <w:rsid w:val="00CA123E"/>
    <w:rsid w:val="00CA1B01"/>
    <w:rsid w:val="00CA1BD2"/>
    <w:rsid w:val="00CA2104"/>
    <w:rsid w:val="00CA37A2"/>
    <w:rsid w:val="00CA3E9A"/>
    <w:rsid w:val="00CA41A4"/>
    <w:rsid w:val="00CA472B"/>
    <w:rsid w:val="00CA4793"/>
    <w:rsid w:val="00CA4E51"/>
    <w:rsid w:val="00CA4F61"/>
    <w:rsid w:val="00CA6399"/>
    <w:rsid w:val="00CA677B"/>
    <w:rsid w:val="00CA73CD"/>
    <w:rsid w:val="00CA7DCE"/>
    <w:rsid w:val="00CB0672"/>
    <w:rsid w:val="00CB0F0E"/>
    <w:rsid w:val="00CB1234"/>
    <w:rsid w:val="00CB1370"/>
    <w:rsid w:val="00CB20C2"/>
    <w:rsid w:val="00CB248B"/>
    <w:rsid w:val="00CB25B4"/>
    <w:rsid w:val="00CB28C9"/>
    <w:rsid w:val="00CB2E16"/>
    <w:rsid w:val="00CB3ADA"/>
    <w:rsid w:val="00CB3B38"/>
    <w:rsid w:val="00CB4AD5"/>
    <w:rsid w:val="00CB4DDE"/>
    <w:rsid w:val="00CB4E37"/>
    <w:rsid w:val="00CB4ED2"/>
    <w:rsid w:val="00CB5BFE"/>
    <w:rsid w:val="00CB7244"/>
    <w:rsid w:val="00CC02E8"/>
    <w:rsid w:val="00CC11EC"/>
    <w:rsid w:val="00CC14AC"/>
    <w:rsid w:val="00CC15AC"/>
    <w:rsid w:val="00CC17D2"/>
    <w:rsid w:val="00CC1F66"/>
    <w:rsid w:val="00CC28AF"/>
    <w:rsid w:val="00CC28F1"/>
    <w:rsid w:val="00CC2C16"/>
    <w:rsid w:val="00CC3636"/>
    <w:rsid w:val="00CC3AC4"/>
    <w:rsid w:val="00CC48A3"/>
    <w:rsid w:val="00CC4995"/>
    <w:rsid w:val="00CC4F6C"/>
    <w:rsid w:val="00CC5134"/>
    <w:rsid w:val="00CC52E0"/>
    <w:rsid w:val="00CC58BC"/>
    <w:rsid w:val="00CC58CB"/>
    <w:rsid w:val="00CC6064"/>
    <w:rsid w:val="00CC6C75"/>
    <w:rsid w:val="00CC70D0"/>
    <w:rsid w:val="00CC7C5C"/>
    <w:rsid w:val="00CC7CD6"/>
    <w:rsid w:val="00CD03B2"/>
    <w:rsid w:val="00CD06FE"/>
    <w:rsid w:val="00CD117B"/>
    <w:rsid w:val="00CD1AE8"/>
    <w:rsid w:val="00CD1B54"/>
    <w:rsid w:val="00CD1F8B"/>
    <w:rsid w:val="00CD2D18"/>
    <w:rsid w:val="00CD32EB"/>
    <w:rsid w:val="00CD380B"/>
    <w:rsid w:val="00CD3FCC"/>
    <w:rsid w:val="00CD49BD"/>
    <w:rsid w:val="00CD5FBC"/>
    <w:rsid w:val="00CD6152"/>
    <w:rsid w:val="00CD680D"/>
    <w:rsid w:val="00CD6CF3"/>
    <w:rsid w:val="00CD7091"/>
    <w:rsid w:val="00CD716C"/>
    <w:rsid w:val="00CD7F16"/>
    <w:rsid w:val="00CE05D4"/>
    <w:rsid w:val="00CE0E6F"/>
    <w:rsid w:val="00CE0F5E"/>
    <w:rsid w:val="00CE1B70"/>
    <w:rsid w:val="00CE3349"/>
    <w:rsid w:val="00CE3480"/>
    <w:rsid w:val="00CE3D3B"/>
    <w:rsid w:val="00CE48F7"/>
    <w:rsid w:val="00CE5251"/>
    <w:rsid w:val="00CE5310"/>
    <w:rsid w:val="00CE6033"/>
    <w:rsid w:val="00CE67F6"/>
    <w:rsid w:val="00CE7C4E"/>
    <w:rsid w:val="00CF0381"/>
    <w:rsid w:val="00CF060B"/>
    <w:rsid w:val="00CF2B52"/>
    <w:rsid w:val="00CF2BCB"/>
    <w:rsid w:val="00CF2ECD"/>
    <w:rsid w:val="00CF33C6"/>
    <w:rsid w:val="00CF3596"/>
    <w:rsid w:val="00CF4256"/>
    <w:rsid w:val="00CF47A4"/>
    <w:rsid w:val="00CF4AC8"/>
    <w:rsid w:val="00CF525C"/>
    <w:rsid w:val="00CF5C74"/>
    <w:rsid w:val="00CF636A"/>
    <w:rsid w:val="00CF67F2"/>
    <w:rsid w:val="00CF7499"/>
    <w:rsid w:val="00CF7951"/>
    <w:rsid w:val="00D00AE6"/>
    <w:rsid w:val="00D01409"/>
    <w:rsid w:val="00D0182D"/>
    <w:rsid w:val="00D01AC7"/>
    <w:rsid w:val="00D03A09"/>
    <w:rsid w:val="00D03C4D"/>
    <w:rsid w:val="00D0465C"/>
    <w:rsid w:val="00D05D60"/>
    <w:rsid w:val="00D067E7"/>
    <w:rsid w:val="00D07055"/>
    <w:rsid w:val="00D072D4"/>
    <w:rsid w:val="00D076F6"/>
    <w:rsid w:val="00D1089D"/>
    <w:rsid w:val="00D108E0"/>
    <w:rsid w:val="00D10E31"/>
    <w:rsid w:val="00D1118D"/>
    <w:rsid w:val="00D11594"/>
    <w:rsid w:val="00D11A06"/>
    <w:rsid w:val="00D11F62"/>
    <w:rsid w:val="00D13157"/>
    <w:rsid w:val="00D14022"/>
    <w:rsid w:val="00D1428E"/>
    <w:rsid w:val="00D148C6"/>
    <w:rsid w:val="00D14911"/>
    <w:rsid w:val="00D14F0F"/>
    <w:rsid w:val="00D159A5"/>
    <w:rsid w:val="00D15CBC"/>
    <w:rsid w:val="00D16AE0"/>
    <w:rsid w:val="00D16CBC"/>
    <w:rsid w:val="00D16DD2"/>
    <w:rsid w:val="00D16F2A"/>
    <w:rsid w:val="00D17406"/>
    <w:rsid w:val="00D17CEA"/>
    <w:rsid w:val="00D17EA4"/>
    <w:rsid w:val="00D2000A"/>
    <w:rsid w:val="00D21FC1"/>
    <w:rsid w:val="00D23424"/>
    <w:rsid w:val="00D25B5E"/>
    <w:rsid w:val="00D26031"/>
    <w:rsid w:val="00D261BD"/>
    <w:rsid w:val="00D269F6"/>
    <w:rsid w:val="00D26B4F"/>
    <w:rsid w:val="00D273F8"/>
    <w:rsid w:val="00D30963"/>
    <w:rsid w:val="00D3115E"/>
    <w:rsid w:val="00D31214"/>
    <w:rsid w:val="00D31367"/>
    <w:rsid w:val="00D31FE9"/>
    <w:rsid w:val="00D32939"/>
    <w:rsid w:val="00D329D7"/>
    <w:rsid w:val="00D3331B"/>
    <w:rsid w:val="00D34170"/>
    <w:rsid w:val="00D34EC6"/>
    <w:rsid w:val="00D3503C"/>
    <w:rsid w:val="00D350A4"/>
    <w:rsid w:val="00D35D92"/>
    <w:rsid w:val="00D37315"/>
    <w:rsid w:val="00D40CEF"/>
    <w:rsid w:val="00D4156C"/>
    <w:rsid w:val="00D416AA"/>
    <w:rsid w:val="00D43784"/>
    <w:rsid w:val="00D43E67"/>
    <w:rsid w:val="00D447B9"/>
    <w:rsid w:val="00D4501C"/>
    <w:rsid w:val="00D45FD4"/>
    <w:rsid w:val="00D4605A"/>
    <w:rsid w:val="00D50F9B"/>
    <w:rsid w:val="00D52462"/>
    <w:rsid w:val="00D5361C"/>
    <w:rsid w:val="00D53F80"/>
    <w:rsid w:val="00D548C8"/>
    <w:rsid w:val="00D54C95"/>
    <w:rsid w:val="00D55273"/>
    <w:rsid w:val="00D5570C"/>
    <w:rsid w:val="00D55733"/>
    <w:rsid w:val="00D56414"/>
    <w:rsid w:val="00D5709D"/>
    <w:rsid w:val="00D57B41"/>
    <w:rsid w:val="00D57E2E"/>
    <w:rsid w:val="00D6007E"/>
    <w:rsid w:val="00D60585"/>
    <w:rsid w:val="00D60CA4"/>
    <w:rsid w:val="00D615A5"/>
    <w:rsid w:val="00D6173D"/>
    <w:rsid w:val="00D61AE2"/>
    <w:rsid w:val="00D61D14"/>
    <w:rsid w:val="00D62446"/>
    <w:rsid w:val="00D62780"/>
    <w:rsid w:val="00D62BEB"/>
    <w:rsid w:val="00D62C7D"/>
    <w:rsid w:val="00D638D3"/>
    <w:rsid w:val="00D64330"/>
    <w:rsid w:val="00D6546E"/>
    <w:rsid w:val="00D65FE9"/>
    <w:rsid w:val="00D66111"/>
    <w:rsid w:val="00D66A31"/>
    <w:rsid w:val="00D66F53"/>
    <w:rsid w:val="00D67134"/>
    <w:rsid w:val="00D67638"/>
    <w:rsid w:val="00D67CD8"/>
    <w:rsid w:val="00D71226"/>
    <w:rsid w:val="00D7142F"/>
    <w:rsid w:val="00D71E16"/>
    <w:rsid w:val="00D722D8"/>
    <w:rsid w:val="00D726EE"/>
    <w:rsid w:val="00D72C69"/>
    <w:rsid w:val="00D72DAE"/>
    <w:rsid w:val="00D735F5"/>
    <w:rsid w:val="00D745F3"/>
    <w:rsid w:val="00D75877"/>
    <w:rsid w:val="00D75AD1"/>
    <w:rsid w:val="00D75F14"/>
    <w:rsid w:val="00D761E4"/>
    <w:rsid w:val="00D76D6B"/>
    <w:rsid w:val="00D77797"/>
    <w:rsid w:val="00D8095D"/>
    <w:rsid w:val="00D822ED"/>
    <w:rsid w:val="00D85904"/>
    <w:rsid w:val="00D8688B"/>
    <w:rsid w:val="00D9012A"/>
    <w:rsid w:val="00D90522"/>
    <w:rsid w:val="00D90F58"/>
    <w:rsid w:val="00D915E6"/>
    <w:rsid w:val="00D9191D"/>
    <w:rsid w:val="00D9198D"/>
    <w:rsid w:val="00D91CC1"/>
    <w:rsid w:val="00D91D9B"/>
    <w:rsid w:val="00D91F09"/>
    <w:rsid w:val="00D928F7"/>
    <w:rsid w:val="00D929EC"/>
    <w:rsid w:val="00D92D45"/>
    <w:rsid w:val="00D93543"/>
    <w:rsid w:val="00D94650"/>
    <w:rsid w:val="00D959C3"/>
    <w:rsid w:val="00D971F3"/>
    <w:rsid w:val="00D97AFD"/>
    <w:rsid w:val="00D97DA5"/>
    <w:rsid w:val="00D97F0E"/>
    <w:rsid w:val="00DA1FA7"/>
    <w:rsid w:val="00DA2F18"/>
    <w:rsid w:val="00DA2FDF"/>
    <w:rsid w:val="00DA3224"/>
    <w:rsid w:val="00DA34FF"/>
    <w:rsid w:val="00DA3F52"/>
    <w:rsid w:val="00DA427B"/>
    <w:rsid w:val="00DA439C"/>
    <w:rsid w:val="00DA4D0D"/>
    <w:rsid w:val="00DA5B42"/>
    <w:rsid w:val="00DA75FE"/>
    <w:rsid w:val="00DB00E6"/>
    <w:rsid w:val="00DB01B8"/>
    <w:rsid w:val="00DB0916"/>
    <w:rsid w:val="00DB183E"/>
    <w:rsid w:val="00DB184E"/>
    <w:rsid w:val="00DB27A8"/>
    <w:rsid w:val="00DB29E7"/>
    <w:rsid w:val="00DB2AB6"/>
    <w:rsid w:val="00DB3A3E"/>
    <w:rsid w:val="00DB4775"/>
    <w:rsid w:val="00DB4E11"/>
    <w:rsid w:val="00DB5248"/>
    <w:rsid w:val="00DB7442"/>
    <w:rsid w:val="00DB767F"/>
    <w:rsid w:val="00DB7DD8"/>
    <w:rsid w:val="00DB7EB4"/>
    <w:rsid w:val="00DB7F12"/>
    <w:rsid w:val="00DC00F5"/>
    <w:rsid w:val="00DC05A4"/>
    <w:rsid w:val="00DC13BE"/>
    <w:rsid w:val="00DC1C5C"/>
    <w:rsid w:val="00DC1D05"/>
    <w:rsid w:val="00DC2C0D"/>
    <w:rsid w:val="00DC37B9"/>
    <w:rsid w:val="00DC3F29"/>
    <w:rsid w:val="00DC4440"/>
    <w:rsid w:val="00DC46C7"/>
    <w:rsid w:val="00DC4FD5"/>
    <w:rsid w:val="00DC77AC"/>
    <w:rsid w:val="00DC7F9D"/>
    <w:rsid w:val="00DD027D"/>
    <w:rsid w:val="00DD1678"/>
    <w:rsid w:val="00DD1F50"/>
    <w:rsid w:val="00DD2447"/>
    <w:rsid w:val="00DD25AC"/>
    <w:rsid w:val="00DD29BA"/>
    <w:rsid w:val="00DD30B8"/>
    <w:rsid w:val="00DD36AC"/>
    <w:rsid w:val="00DD49E2"/>
    <w:rsid w:val="00DD4BE8"/>
    <w:rsid w:val="00DD6620"/>
    <w:rsid w:val="00DD67CF"/>
    <w:rsid w:val="00DD6E29"/>
    <w:rsid w:val="00DD7174"/>
    <w:rsid w:val="00DD7537"/>
    <w:rsid w:val="00DD754D"/>
    <w:rsid w:val="00DD7B7F"/>
    <w:rsid w:val="00DD7F4E"/>
    <w:rsid w:val="00DE046D"/>
    <w:rsid w:val="00DE0912"/>
    <w:rsid w:val="00DE14B3"/>
    <w:rsid w:val="00DE48F3"/>
    <w:rsid w:val="00DE4D46"/>
    <w:rsid w:val="00DE5897"/>
    <w:rsid w:val="00DE5DF0"/>
    <w:rsid w:val="00DE6063"/>
    <w:rsid w:val="00DE68FC"/>
    <w:rsid w:val="00DE69E3"/>
    <w:rsid w:val="00DE7AE1"/>
    <w:rsid w:val="00DF017E"/>
    <w:rsid w:val="00DF043B"/>
    <w:rsid w:val="00DF1B2D"/>
    <w:rsid w:val="00DF2139"/>
    <w:rsid w:val="00DF283C"/>
    <w:rsid w:val="00DF2A8D"/>
    <w:rsid w:val="00DF332A"/>
    <w:rsid w:val="00DF373C"/>
    <w:rsid w:val="00DF409D"/>
    <w:rsid w:val="00DF4651"/>
    <w:rsid w:val="00DF4DEC"/>
    <w:rsid w:val="00DF510B"/>
    <w:rsid w:val="00DF511D"/>
    <w:rsid w:val="00DF5A2B"/>
    <w:rsid w:val="00DF5EC6"/>
    <w:rsid w:val="00DF604C"/>
    <w:rsid w:val="00DF6735"/>
    <w:rsid w:val="00DF6C0F"/>
    <w:rsid w:val="00DF7097"/>
    <w:rsid w:val="00DF7A38"/>
    <w:rsid w:val="00DF7FB2"/>
    <w:rsid w:val="00E0004D"/>
    <w:rsid w:val="00E01966"/>
    <w:rsid w:val="00E0261D"/>
    <w:rsid w:val="00E03450"/>
    <w:rsid w:val="00E038A0"/>
    <w:rsid w:val="00E03D1A"/>
    <w:rsid w:val="00E03E3D"/>
    <w:rsid w:val="00E03F3F"/>
    <w:rsid w:val="00E0416A"/>
    <w:rsid w:val="00E04F91"/>
    <w:rsid w:val="00E06011"/>
    <w:rsid w:val="00E066AB"/>
    <w:rsid w:val="00E069D8"/>
    <w:rsid w:val="00E1023E"/>
    <w:rsid w:val="00E10570"/>
    <w:rsid w:val="00E11192"/>
    <w:rsid w:val="00E11A36"/>
    <w:rsid w:val="00E11C21"/>
    <w:rsid w:val="00E1231D"/>
    <w:rsid w:val="00E1235C"/>
    <w:rsid w:val="00E130FB"/>
    <w:rsid w:val="00E14047"/>
    <w:rsid w:val="00E14378"/>
    <w:rsid w:val="00E143F2"/>
    <w:rsid w:val="00E14632"/>
    <w:rsid w:val="00E150C1"/>
    <w:rsid w:val="00E1570F"/>
    <w:rsid w:val="00E16230"/>
    <w:rsid w:val="00E16A84"/>
    <w:rsid w:val="00E2028B"/>
    <w:rsid w:val="00E20556"/>
    <w:rsid w:val="00E2077E"/>
    <w:rsid w:val="00E208A9"/>
    <w:rsid w:val="00E20B66"/>
    <w:rsid w:val="00E2132F"/>
    <w:rsid w:val="00E213F0"/>
    <w:rsid w:val="00E21703"/>
    <w:rsid w:val="00E2227C"/>
    <w:rsid w:val="00E22624"/>
    <w:rsid w:val="00E22783"/>
    <w:rsid w:val="00E22D0E"/>
    <w:rsid w:val="00E236AD"/>
    <w:rsid w:val="00E23C71"/>
    <w:rsid w:val="00E25038"/>
    <w:rsid w:val="00E25BC0"/>
    <w:rsid w:val="00E26278"/>
    <w:rsid w:val="00E26955"/>
    <w:rsid w:val="00E276F6"/>
    <w:rsid w:val="00E302B9"/>
    <w:rsid w:val="00E303AF"/>
    <w:rsid w:val="00E30FA1"/>
    <w:rsid w:val="00E314ED"/>
    <w:rsid w:val="00E32257"/>
    <w:rsid w:val="00E32308"/>
    <w:rsid w:val="00E32F70"/>
    <w:rsid w:val="00E33811"/>
    <w:rsid w:val="00E343F1"/>
    <w:rsid w:val="00E34E59"/>
    <w:rsid w:val="00E35119"/>
    <w:rsid w:val="00E351F8"/>
    <w:rsid w:val="00E353B7"/>
    <w:rsid w:val="00E36849"/>
    <w:rsid w:val="00E37455"/>
    <w:rsid w:val="00E378F9"/>
    <w:rsid w:val="00E409A2"/>
    <w:rsid w:val="00E40AAB"/>
    <w:rsid w:val="00E41A02"/>
    <w:rsid w:val="00E41F89"/>
    <w:rsid w:val="00E421CD"/>
    <w:rsid w:val="00E43411"/>
    <w:rsid w:val="00E43629"/>
    <w:rsid w:val="00E43C05"/>
    <w:rsid w:val="00E4430E"/>
    <w:rsid w:val="00E44A33"/>
    <w:rsid w:val="00E4591A"/>
    <w:rsid w:val="00E45947"/>
    <w:rsid w:val="00E45C12"/>
    <w:rsid w:val="00E45C38"/>
    <w:rsid w:val="00E469C7"/>
    <w:rsid w:val="00E46C31"/>
    <w:rsid w:val="00E47169"/>
    <w:rsid w:val="00E47645"/>
    <w:rsid w:val="00E47FDE"/>
    <w:rsid w:val="00E50022"/>
    <w:rsid w:val="00E50202"/>
    <w:rsid w:val="00E50784"/>
    <w:rsid w:val="00E509AD"/>
    <w:rsid w:val="00E50C12"/>
    <w:rsid w:val="00E51171"/>
    <w:rsid w:val="00E52219"/>
    <w:rsid w:val="00E524C3"/>
    <w:rsid w:val="00E527DF"/>
    <w:rsid w:val="00E52905"/>
    <w:rsid w:val="00E52CDC"/>
    <w:rsid w:val="00E52E05"/>
    <w:rsid w:val="00E52E1E"/>
    <w:rsid w:val="00E52F74"/>
    <w:rsid w:val="00E53991"/>
    <w:rsid w:val="00E53A05"/>
    <w:rsid w:val="00E541DD"/>
    <w:rsid w:val="00E55035"/>
    <w:rsid w:val="00E551E1"/>
    <w:rsid w:val="00E552A4"/>
    <w:rsid w:val="00E56600"/>
    <w:rsid w:val="00E567FB"/>
    <w:rsid w:val="00E568EC"/>
    <w:rsid w:val="00E56B83"/>
    <w:rsid w:val="00E57D61"/>
    <w:rsid w:val="00E6003D"/>
    <w:rsid w:val="00E6066A"/>
    <w:rsid w:val="00E613BB"/>
    <w:rsid w:val="00E622BD"/>
    <w:rsid w:val="00E62355"/>
    <w:rsid w:val="00E62439"/>
    <w:rsid w:val="00E62E0B"/>
    <w:rsid w:val="00E62F19"/>
    <w:rsid w:val="00E6307F"/>
    <w:rsid w:val="00E64F01"/>
    <w:rsid w:val="00E650B2"/>
    <w:rsid w:val="00E6514C"/>
    <w:rsid w:val="00E65240"/>
    <w:rsid w:val="00E6524C"/>
    <w:rsid w:val="00E65511"/>
    <w:rsid w:val="00E65CD6"/>
    <w:rsid w:val="00E65D17"/>
    <w:rsid w:val="00E65D66"/>
    <w:rsid w:val="00E67339"/>
    <w:rsid w:val="00E675BC"/>
    <w:rsid w:val="00E702F9"/>
    <w:rsid w:val="00E70A94"/>
    <w:rsid w:val="00E71A66"/>
    <w:rsid w:val="00E71A73"/>
    <w:rsid w:val="00E71C47"/>
    <w:rsid w:val="00E730AB"/>
    <w:rsid w:val="00E7382C"/>
    <w:rsid w:val="00E73ECD"/>
    <w:rsid w:val="00E741A6"/>
    <w:rsid w:val="00E74DB3"/>
    <w:rsid w:val="00E75218"/>
    <w:rsid w:val="00E77E22"/>
    <w:rsid w:val="00E80BF8"/>
    <w:rsid w:val="00E813F0"/>
    <w:rsid w:val="00E814A6"/>
    <w:rsid w:val="00E84688"/>
    <w:rsid w:val="00E84958"/>
    <w:rsid w:val="00E85296"/>
    <w:rsid w:val="00E8556F"/>
    <w:rsid w:val="00E85D80"/>
    <w:rsid w:val="00E878C9"/>
    <w:rsid w:val="00E8791E"/>
    <w:rsid w:val="00E9000F"/>
    <w:rsid w:val="00E900CB"/>
    <w:rsid w:val="00E9090D"/>
    <w:rsid w:val="00E91F88"/>
    <w:rsid w:val="00E921F9"/>
    <w:rsid w:val="00E92602"/>
    <w:rsid w:val="00E928B4"/>
    <w:rsid w:val="00E9296F"/>
    <w:rsid w:val="00E92E2C"/>
    <w:rsid w:val="00E9342D"/>
    <w:rsid w:val="00E935A4"/>
    <w:rsid w:val="00E9591C"/>
    <w:rsid w:val="00E970DC"/>
    <w:rsid w:val="00EA00B3"/>
    <w:rsid w:val="00EA0555"/>
    <w:rsid w:val="00EA0BBA"/>
    <w:rsid w:val="00EA3827"/>
    <w:rsid w:val="00EA3C21"/>
    <w:rsid w:val="00EA47AA"/>
    <w:rsid w:val="00EA4AE9"/>
    <w:rsid w:val="00EA5152"/>
    <w:rsid w:val="00EA57CA"/>
    <w:rsid w:val="00EA5913"/>
    <w:rsid w:val="00EA5928"/>
    <w:rsid w:val="00EA5A2F"/>
    <w:rsid w:val="00EA5E50"/>
    <w:rsid w:val="00EA6A59"/>
    <w:rsid w:val="00EA7350"/>
    <w:rsid w:val="00EA75A0"/>
    <w:rsid w:val="00EA77AF"/>
    <w:rsid w:val="00EA7BD1"/>
    <w:rsid w:val="00EB00C9"/>
    <w:rsid w:val="00EB03AA"/>
    <w:rsid w:val="00EB11B8"/>
    <w:rsid w:val="00EB2837"/>
    <w:rsid w:val="00EB30C0"/>
    <w:rsid w:val="00EB3661"/>
    <w:rsid w:val="00EB407F"/>
    <w:rsid w:val="00EB424A"/>
    <w:rsid w:val="00EB4509"/>
    <w:rsid w:val="00EB4557"/>
    <w:rsid w:val="00EB4AED"/>
    <w:rsid w:val="00EB5229"/>
    <w:rsid w:val="00EB5D04"/>
    <w:rsid w:val="00EB5D84"/>
    <w:rsid w:val="00EB5DD9"/>
    <w:rsid w:val="00EB6226"/>
    <w:rsid w:val="00EB6278"/>
    <w:rsid w:val="00EB660F"/>
    <w:rsid w:val="00EB662A"/>
    <w:rsid w:val="00EB670D"/>
    <w:rsid w:val="00EB6DEA"/>
    <w:rsid w:val="00EB7BFD"/>
    <w:rsid w:val="00EC04CE"/>
    <w:rsid w:val="00EC057E"/>
    <w:rsid w:val="00EC0E79"/>
    <w:rsid w:val="00EC12D6"/>
    <w:rsid w:val="00EC236D"/>
    <w:rsid w:val="00EC2545"/>
    <w:rsid w:val="00EC3828"/>
    <w:rsid w:val="00EC41C7"/>
    <w:rsid w:val="00EC4258"/>
    <w:rsid w:val="00EC4ADD"/>
    <w:rsid w:val="00EC5AF7"/>
    <w:rsid w:val="00EC5E8D"/>
    <w:rsid w:val="00EC5F1E"/>
    <w:rsid w:val="00ED0D0C"/>
    <w:rsid w:val="00ED10D5"/>
    <w:rsid w:val="00ED1426"/>
    <w:rsid w:val="00ED15F1"/>
    <w:rsid w:val="00ED2058"/>
    <w:rsid w:val="00ED33A4"/>
    <w:rsid w:val="00ED34AD"/>
    <w:rsid w:val="00ED38EF"/>
    <w:rsid w:val="00ED38FC"/>
    <w:rsid w:val="00ED3BC3"/>
    <w:rsid w:val="00ED41DE"/>
    <w:rsid w:val="00ED4316"/>
    <w:rsid w:val="00ED4A6D"/>
    <w:rsid w:val="00ED5A12"/>
    <w:rsid w:val="00ED5BB6"/>
    <w:rsid w:val="00ED5E97"/>
    <w:rsid w:val="00ED6408"/>
    <w:rsid w:val="00ED6823"/>
    <w:rsid w:val="00ED68A2"/>
    <w:rsid w:val="00EE046F"/>
    <w:rsid w:val="00EE0916"/>
    <w:rsid w:val="00EE0BF5"/>
    <w:rsid w:val="00EE16C6"/>
    <w:rsid w:val="00EE1A1E"/>
    <w:rsid w:val="00EE2490"/>
    <w:rsid w:val="00EE254A"/>
    <w:rsid w:val="00EE2BB3"/>
    <w:rsid w:val="00EE2EC1"/>
    <w:rsid w:val="00EE56FF"/>
    <w:rsid w:val="00EE5A12"/>
    <w:rsid w:val="00EE5B11"/>
    <w:rsid w:val="00EE66CF"/>
    <w:rsid w:val="00EE681F"/>
    <w:rsid w:val="00EE6AA8"/>
    <w:rsid w:val="00EE6D76"/>
    <w:rsid w:val="00EF05B9"/>
    <w:rsid w:val="00EF08DE"/>
    <w:rsid w:val="00EF0D5B"/>
    <w:rsid w:val="00EF137B"/>
    <w:rsid w:val="00EF1775"/>
    <w:rsid w:val="00EF267C"/>
    <w:rsid w:val="00EF2810"/>
    <w:rsid w:val="00EF2C27"/>
    <w:rsid w:val="00EF31F7"/>
    <w:rsid w:val="00EF5C64"/>
    <w:rsid w:val="00EF70D9"/>
    <w:rsid w:val="00EF755F"/>
    <w:rsid w:val="00EF77CC"/>
    <w:rsid w:val="00EF7B00"/>
    <w:rsid w:val="00F00DB5"/>
    <w:rsid w:val="00F00F92"/>
    <w:rsid w:val="00F02109"/>
    <w:rsid w:val="00F0308E"/>
    <w:rsid w:val="00F03D32"/>
    <w:rsid w:val="00F03DED"/>
    <w:rsid w:val="00F04A0A"/>
    <w:rsid w:val="00F05063"/>
    <w:rsid w:val="00F055D7"/>
    <w:rsid w:val="00F05CFF"/>
    <w:rsid w:val="00F05F0D"/>
    <w:rsid w:val="00F0675E"/>
    <w:rsid w:val="00F071A2"/>
    <w:rsid w:val="00F07F9E"/>
    <w:rsid w:val="00F1085B"/>
    <w:rsid w:val="00F12926"/>
    <w:rsid w:val="00F13364"/>
    <w:rsid w:val="00F13423"/>
    <w:rsid w:val="00F1343F"/>
    <w:rsid w:val="00F1346F"/>
    <w:rsid w:val="00F1384B"/>
    <w:rsid w:val="00F13D41"/>
    <w:rsid w:val="00F144ED"/>
    <w:rsid w:val="00F15501"/>
    <w:rsid w:val="00F15EFB"/>
    <w:rsid w:val="00F163EB"/>
    <w:rsid w:val="00F16A4A"/>
    <w:rsid w:val="00F17E35"/>
    <w:rsid w:val="00F2037B"/>
    <w:rsid w:val="00F20CA5"/>
    <w:rsid w:val="00F20DF0"/>
    <w:rsid w:val="00F21AE3"/>
    <w:rsid w:val="00F22411"/>
    <w:rsid w:val="00F22499"/>
    <w:rsid w:val="00F22735"/>
    <w:rsid w:val="00F22A14"/>
    <w:rsid w:val="00F22D44"/>
    <w:rsid w:val="00F233C2"/>
    <w:rsid w:val="00F23D09"/>
    <w:rsid w:val="00F23E7A"/>
    <w:rsid w:val="00F24177"/>
    <w:rsid w:val="00F2428D"/>
    <w:rsid w:val="00F24CDC"/>
    <w:rsid w:val="00F25650"/>
    <w:rsid w:val="00F25DAE"/>
    <w:rsid w:val="00F262E5"/>
    <w:rsid w:val="00F265EA"/>
    <w:rsid w:val="00F26687"/>
    <w:rsid w:val="00F27718"/>
    <w:rsid w:val="00F315C6"/>
    <w:rsid w:val="00F31801"/>
    <w:rsid w:val="00F32A76"/>
    <w:rsid w:val="00F33006"/>
    <w:rsid w:val="00F3316E"/>
    <w:rsid w:val="00F3390E"/>
    <w:rsid w:val="00F33EA4"/>
    <w:rsid w:val="00F3529C"/>
    <w:rsid w:val="00F35B50"/>
    <w:rsid w:val="00F35D14"/>
    <w:rsid w:val="00F36C4C"/>
    <w:rsid w:val="00F37233"/>
    <w:rsid w:val="00F375E8"/>
    <w:rsid w:val="00F378B7"/>
    <w:rsid w:val="00F40074"/>
    <w:rsid w:val="00F41B91"/>
    <w:rsid w:val="00F42922"/>
    <w:rsid w:val="00F43041"/>
    <w:rsid w:val="00F430E8"/>
    <w:rsid w:val="00F433DA"/>
    <w:rsid w:val="00F43B0A"/>
    <w:rsid w:val="00F43D12"/>
    <w:rsid w:val="00F44671"/>
    <w:rsid w:val="00F44FA4"/>
    <w:rsid w:val="00F457C6"/>
    <w:rsid w:val="00F45BD7"/>
    <w:rsid w:val="00F466F5"/>
    <w:rsid w:val="00F47108"/>
    <w:rsid w:val="00F47932"/>
    <w:rsid w:val="00F47AF2"/>
    <w:rsid w:val="00F47B48"/>
    <w:rsid w:val="00F47F0C"/>
    <w:rsid w:val="00F50749"/>
    <w:rsid w:val="00F50B71"/>
    <w:rsid w:val="00F51223"/>
    <w:rsid w:val="00F51405"/>
    <w:rsid w:val="00F5157F"/>
    <w:rsid w:val="00F519A1"/>
    <w:rsid w:val="00F5222E"/>
    <w:rsid w:val="00F529BB"/>
    <w:rsid w:val="00F53454"/>
    <w:rsid w:val="00F53EA6"/>
    <w:rsid w:val="00F5478C"/>
    <w:rsid w:val="00F54855"/>
    <w:rsid w:val="00F548D0"/>
    <w:rsid w:val="00F54B5C"/>
    <w:rsid w:val="00F55289"/>
    <w:rsid w:val="00F556C4"/>
    <w:rsid w:val="00F55AF5"/>
    <w:rsid w:val="00F56165"/>
    <w:rsid w:val="00F56632"/>
    <w:rsid w:val="00F575C6"/>
    <w:rsid w:val="00F57CF6"/>
    <w:rsid w:val="00F57ECE"/>
    <w:rsid w:val="00F57F7F"/>
    <w:rsid w:val="00F609D4"/>
    <w:rsid w:val="00F60D41"/>
    <w:rsid w:val="00F6222A"/>
    <w:rsid w:val="00F627B2"/>
    <w:rsid w:val="00F62908"/>
    <w:rsid w:val="00F62ECE"/>
    <w:rsid w:val="00F6413E"/>
    <w:rsid w:val="00F6547E"/>
    <w:rsid w:val="00F6586D"/>
    <w:rsid w:val="00F6600E"/>
    <w:rsid w:val="00F66034"/>
    <w:rsid w:val="00F66514"/>
    <w:rsid w:val="00F66809"/>
    <w:rsid w:val="00F6779E"/>
    <w:rsid w:val="00F70043"/>
    <w:rsid w:val="00F70683"/>
    <w:rsid w:val="00F70AF0"/>
    <w:rsid w:val="00F7157C"/>
    <w:rsid w:val="00F72613"/>
    <w:rsid w:val="00F74497"/>
    <w:rsid w:val="00F7500B"/>
    <w:rsid w:val="00F752C5"/>
    <w:rsid w:val="00F752FF"/>
    <w:rsid w:val="00F757E9"/>
    <w:rsid w:val="00F75E91"/>
    <w:rsid w:val="00F76427"/>
    <w:rsid w:val="00F77861"/>
    <w:rsid w:val="00F77E4C"/>
    <w:rsid w:val="00F80DAA"/>
    <w:rsid w:val="00F8311D"/>
    <w:rsid w:val="00F83758"/>
    <w:rsid w:val="00F83AC0"/>
    <w:rsid w:val="00F85A50"/>
    <w:rsid w:val="00F865FB"/>
    <w:rsid w:val="00F867C3"/>
    <w:rsid w:val="00F86A44"/>
    <w:rsid w:val="00F86AA0"/>
    <w:rsid w:val="00F86DE5"/>
    <w:rsid w:val="00F900D2"/>
    <w:rsid w:val="00F90F45"/>
    <w:rsid w:val="00F91C8F"/>
    <w:rsid w:val="00F9257E"/>
    <w:rsid w:val="00F92932"/>
    <w:rsid w:val="00F93101"/>
    <w:rsid w:val="00F933B6"/>
    <w:rsid w:val="00F9399E"/>
    <w:rsid w:val="00F94103"/>
    <w:rsid w:val="00F94E9E"/>
    <w:rsid w:val="00F95823"/>
    <w:rsid w:val="00F95B7B"/>
    <w:rsid w:val="00F96D72"/>
    <w:rsid w:val="00FA121D"/>
    <w:rsid w:val="00FA14B3"/>
    <w:rsid w:val="00FA152F"/>
    <w:rsid w:val="00FA173E"/>
    <w:rsid w:val="00FA1821"/>
    <w:rsid w:val="00FA1B1D"/>
    <w:rsid w:val="00FA1D36"/>
    <w:rsid w:val="00FA225C"/>
    <w:rsid w:val="00FA2A0D"/>
    <w:rsid w:val="00FA2E7E"/>
    <w:rsid w:val="00FA35AC"/>
    <w:rsid w:val="00FA3B49"/>
    <w:rsid w:val="00FA48F4"/>
    <w:rsid w:val="00FA55DF"/>
    <w:rsid w:val="00FA56D9"/>
    <w:rsid w:val="00FA5984"/>
    <w:rsid w:val="00FA6D5C"/>
    <w:rsid w:val="00FA7D57"/>
    <w:rsid w:val="00FB2088"/>
    <w:rsid w:val="00FB2739"/>
    <w:rsid w:val="00FB37CF"/>
    <w:rsid w:val="00FB3C85"/>
    <w:rsid w:val="00FB4B42"/>
    <w:rsid w:val="00FB5133"/>
    <w:rsid w:val="00FB583E"/>
    <w:rsid w:val="00FB67C4"/>
    <w:rsid w:val="00FB6D62"/>
    <w:rsid w:val="00FC08A5"/>
    <w:rsid w:val="00FC0CA4"/>
    <w:rsid w:val="00FC101F"/>
    <w:rsid w:val="00FC1C5C"/>
    <w:rsid w:val="00FC1CC2"/>
    <w:rsid w:val="00FC200B"/>
    <w:rsid w:val="00FC31A9"/>
    <w:rsid w:val="00FC3463"/>
    <w:rsid w:val="00FC3847"/>
    <w:rsid w:val="00FC3FC5"/>
    <w:rsid w:val="00FC40D9"/>
    <w:rsid w:val="00FC48FA"/>
    <w:rsid w:val="00FC5284"/>
    <w:rsid w:val="00FC595F"/>
    <w:rsid w:val="00FC5B2E"/>
    <w:rsid w:val="00FC603F"/>
    <w:rsid w:val="00FC6745"/>
    <w:rsid w:val="00FC6C60"/>
    <w:rsid w:val="00FD01A4"/>
    <w:rsid w:val="00FD086D"/>
    <w:rsid w:val="00FD0B61"/>
    <w:rsid w:val="00FD0DFE"/>
    <w:rsid w:val="00FD19F0"/>
    <w:rsid w:val="00FD1A26"/>
    <w:rsid w:val="00FD1FFC"/>
    <w:rsid w:val="00FD261A"/>
    <w:rsid w:val="00FD294D"/>
    <w:rsid w:val="00FD35AA"/>
    <w:rsid w:val="00FD3624"/>
    <w:rsid w:val="00FD3C60"/>
    <w:rsid w:val="00FD3D9C"/>
    <w:rsid w:val="00FD3DBA"/>
    <w:rsid w:val="00FD41B7"/>
    <w:rsid w:val="00FD5734"/>
    <w:rsid w:val="00FD629B"/>
    <w:rsid w:val="00FD73C3"/>
    <w:rsid w:val="00FD7EDA"/>
    <w:rsid w:val="00FD7FD9"/>
    <w:rsid w:val="00FE04E2"/>
    <w:rsid w:val="00FE05EF"/>
    <w:rsid w:val="00FE2643"/>
    <w:rsid w:val="00FE26A7"/>
    <w:rsid w:val="00FE27BC"/>
    <w:rsid w:val="00FE3746"/>
    <w:rsid w:val="00FE3C1A"/>
    <w:rsid w:val="00FE40AB"/>
    <w:rsid w:val="00FE498E"/>
    <w:rsid w:val="00FE49E9"/>
    <w:rsid w:val="00FE5FA7"/>
    <w:rsid w:val="00FE6A4D"/>
    <w:rsid w:val="00FE6D5D"/>
    <w:rsid w:val="00FE715D"/>
    <w:rsid w:val="00FE7CEB"/>
    <w:rsid w:val="00FF05EB"/>
    <w:rsid w:val="00FF0908"/>
    <w:rsid w:val="00FF192D"/>
    <w:rsid w:val="00FF1F7B"/>
    <w:rsid w:val="00FF2C3B"/>
    <w:rsid w:val="00FF37FF"/>
    <w:rsid w:val="00FF3811"/>
    <w:rsid w:val="00FF3855"/>
    <w:rsid w:val="00FF4351"/>
    <w:rsid w:val="00FF48D6"/>
    <w:rsid w:val="00FF4CE5"/>
    <w:rsid w:val="00FF4FCE"/>
    <w:rsid w:val="00FF6573"/>
    <w:rsid w:val="00FF662A"/>
    <w:rsid w:val="00FF6BB1"/>
    <w:rsid w:val="00FF6F95"/>
    <w:rsid w:val="00FF7081"/>
    <w:rsid w:val="00FF7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A4C7C"/>
    <w:rPr>
      <w:rFonts w:ascii="Arial" w:hAnsi="Arial"/>
      <w:sz w:val="24"/>
      <w:lang w:eastAsia="en-US"/>
    </w:rPr>
  </w:style>
  <w:style w:type="paragraph" w:styleId="Heading1">
    <w:name w:val="heading 1"/>
    <w:aliases w:val="Section Heading"/>
    <w:basedOn w:val="Normal"/>
    <w:next w:val="Normal"/>
    <w:link w:val="Heading1Char"/>
    <w:qFormat/>
    <w:pPr>
      <w:keepNext/>
      <w:ind w:left="720" w:hanging="720"/>
      <w:jc w:val="center"/>
      <w:outlineLvl w:val="0"/>
    </w:pPr>
    <w:rPr>
      <w:b/>
      <w:sz w:val="22"/>
    </w:rPr>
  </w:style>
  <w:style w:type="paragraph" w:styleId="Heading2">
    <w:name w:val="heading 2"/>
    <w:aliases w:val="2,Level 2 Heading"/>
    <w:basedOn w:val="Normal"/>
    <w:next w:val="Normal"/>
    <w:link w:val="Heading2Char1"/>
    <w:qFormat/>
    <w:pPr>
      <w:keepNext/>
      <w:jc w:val="center"/>
      <w:outlineLvl w:val="1"/>
    </w:pPr>
    <w:rPr>
      <w:b/>
      <w:color w:val="000000"/>
      <w:sz w:val="20"/>
    </w:rPr>
  </w:style>
  <w:style w:type="paragraph" w:styleId="Heading3">
    <w:name w:val="heading 3"/>
    <w:basedOn w:val="Normal"/>
    <w:next w:val="Normal"/>
    <w:link w:val="Heading3Char"/>
    <w:qFormat/>
    <w:pPr>
      <w:keepNext/>
      <w:ind w:left="720" w:hanging="720"/>
      <w:outlineLvl w:val="2"/>
    </w:pPr>
    <w:rPr>
      <w:b/>
      <w:i/>
      <w:sz w:val="22"/>
    </w:rPr>
  </w:style>
  <w:style w:type="paragraph" w:styleId="Heading4">
    <w:name w:val="heading 4"/>
    <w:basedOn w:val="Normal"/>
    <w:next w:val="Normal"/>
    <w:qFormat/>
    <w:pPr>
      <w:keepNext/>
      <w:ind w:left="720"/>
      <w:outlineLvl w:val="3"/>
    </w:pPr>
    <w:rPr>
      <w:b/>
      <w:i/>
      <w:sz w:val="22"/>
    </w:rPr>
  </w:style>
  <w:style w:type="paragraph" w:styleId="Heading5">
    <w:name w:val="heading 5"/>
    <w:basedOn w:val="Normal"/>
    <w:next w:val="Normal"/>
    <w:qFormat/>
    <w:pPr>
      <w:keepNext/>
      <w:ind w:left="720"/>
      <w:outlineLvl w:val="4"/>
    </w:pPr>
    <w:rPr>
      <w:b/>
      <w:i/>
    </w:rPr>
  </w:style>
  <w:style w:type="paragraph" w:styleId="Heading6">
    <w:name w:val="heading 6"/>
    <w:basedOn w:val="Normal"/>
    <w:next w:val="Normal"/>
    <w:qFormat/>
    <w:pPr>
      <w:keepNext/>
      <w:jc w:val="center"/>
      <w:outlineLvl w:val="5"/>
    </w:pPr>
    <w:rPr>
      <w:b/>
      <w:color w:val="000000"/>
      <w:sz w:val="22"/>
    </w:rPr>
  </w:style>
  <w:style w:type="paragraph" w:styleId="Heading7">
    <w:name w:val="heading 7"/>
    <w:basedOn w:val="Normal"/>
    <w:next w:val="Normal"/>
    <w:qFormat/>
    <w:pPr>
      <w:keepNext/>
      <w:jc w:val="right"/>
      <w:outlineLvl w:val="6"/>
    </w:pPr>
    <w:rPr>
      <w:b/>
      <w:sz w:val="22"/>
    </w:rPr>
  </w:style>
  <w:style w:type="paragraph" w:styleId="Heading8">
    <w:name w:val="heading 8"/>
    <w:basedOn w:val="Normal"/>
    <w:next w:val="Normal"/>
    <w:link w:val="Heading8Char"/>
    <w:qFormat/>
    <w:pPr>
      <w:keepNext/>
      <w:outlineLvl w:val="7"/>
    </w:pPr>
    <w:rPr>
      <w:b/>
      <w:sz w:val="22"/>
    </w:rPr>
  </w:style>
  <w:style w:type="paragraph" w:styleId="Heading9">
    <w:name w:val="heading 9"/>
    <w:basedOn w:val="Normal"/>
    <w:next w:val="Normal"/>
    <w:qFormat/>
    <w:pPr>
      <w:keepNext/>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locked/>
    <w:rsid w:val="00281AFF"/>
    <w:rPr>
      <w:rFonts w:ascii="Arial" w:hAnsi="Arial"/>
      <w:b/>
      <w:sz w:val="22"/>
      <w:lang w:val="en-GB" w:eastAsia="en-US" w:bidi="ar-SA"/>
    </w:rPr>
  </w:style>
  <w:style w:type="character" w:customStyle="1" w:styleId="Heading2Char1">
    <w:name w:val="Heading 2 Char1"/>
    <w:aliases w:val="2 Char1,Level 2 Heading Char1"/>
    <w:basedOn w:val="DefaultParagraphFont"/>
    <w:link w:val="Heading2"/>
    <w:rsid w:val="002C3056"/>
    <w:rPr>
      <w:rFonts w:ascii="Arial" w:hAnsi="Arial"/>
      <w:b/>
      <w:color w:val="000000"/>
      <w:lang w:val="en-GB" w:eastAsia="en-US" w:bidi="ar-SA"/>
    </w:rPr>
  </w:style>
  <w:style w:type="character" w:customStyle="1" w:styleId="Heading3Char">
    <w:name w:val="Heading 3 Char"/>
    <w:basedOn w:val="DefaultParagraphFont"/>
    <w:link w:val="Heading3"/>
    <w:locked/>
    <w:rsid w:val="00281AFF"/>
    <w:rPr>
      <w:rFonts w:ascii="Arial" w:hAnsi="Arial"/>
      <w:b/>
      <w:i/>
      <w:sz w:val="22"/>
      <w:lang w:val="en-GB" w:eastAsia="en-US" w:bidi="ar-SA"/>
    </w:rPr>
  </w:style>
  <w:style w:type="character" w:customStyle="1" w:styleId="Heading8Char">
    <w:name w:val="Heading 8 Char"/>
    <w:basedOn w:val="DefaultParagraphFont"/>
    <w:link w:val="Heading8"/>
    <w:locked/>
    <w:rsid w:val="00281AFF"/>
    <w:rPr>
      <w:rFonts w:ascii="Arial" w:hAnsi="Arial"/>
      <w:b/>
      <w:sz w:val="22"/>
      <w:lang w:val="en-GB" w:eastAsia="en-US" w:bidi="ar-SA"/>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locked/>
    <w:rsid w:val="005B7B3D"/>
    <w:rPr>
      <w:rFonts w:ascii="Arial" w:hAnsi="Arial"/>
      <w:sz w:val="24"/>
      <w:lang w:val="en-GB" w:eastAsia="en-US" w:bidi="ar-SA"/>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5B7B3D"/>
    <w:rPr>
      <w:rFonts w:ascii="Arial" w:hAnsi="Arial"/>
      <w:sz w:val="24"/>
      <w:lang w:val="en-GB" w:eastAsia="en-US" w:bidi="ar-SA"/>
    </w:rPr>
  </w:style>
  <w:style w:type="paragraph" w:styleId="BodyTextIndent">
    <w:name w:val="Body Text Indent"/>
    <w:basedOn w:val="Normal"/>
    <w:pPr>
      <w:ind w:left="720" w:hanging="720"/>
    </w:pPr>
    <w:rPr>
      <w:b/>
      <w:sz w:val="22"/>
    </w:rPr>
  </w:style>
  <w:style w:type="paragraph" w:styleId="BodyTextIndent2">
    <w:name w:val="Body Text Indent 2"/>
    <w:basedOn w:val="Normal"/>
    <w:link w:val="BodyTextIndent2Char"/>
    <w:pPr>
      <w:ind w:left="720" w:hanging="720"/>
    </w:pPr>
    <w:rPr>
      <w:sz w:val="22"/>
    </w:rPr>
  </w:style>
  <w:style w:type="character" w:customStyle="1" w:styleId="BodyTextIndent2Char">
    <w:name w:val="Body Text Indent 2 Char"/>
    <w:basedOn w:val="DefaultParagraphFont"/>
    <w:link w:val="BodyTextIndent2"/>
    <w:locked/>
    <w:rsid w:val="00281AFF"/>
    <w:rPr>
      <w:rFonts w:ascii="Arial" w:hAnsi="Arial"/>
      <w:sz w:val="22"/>
      <w:lang w:val="en-GB" w:eastAsia="en-US" w:bidi="ar-SA"/>
    </w:rPr>
  </w:style>
  <w:style w:type="paragraph" w:styleId="BodyTextIndent3">
    <w:name w:val="Body Text Indent 3"/>
    <w:basedOn w:val="Normal"/>
    <w:pPr>
      <w:ind w:left="1418" w:hanging="709"/>
    </w:pPr>
    <w:rPr>
      <w:sz w:val="22"/>
    </w:rPr>
  </w:style>
  <w:style w:type="paragraph" w:styleId="Title">
    <w:name w:val="Title"/>
    <w:basedOn w:val="Normal"/>
    <w:qFormat/>
    <w:pPr>
      <w:jc w:val="center"/>
    </w:pPr>
    <w:rPr>
      <w:b/>
      <w:sz w:val="22"/>
    </w:rPr>
  </w:style>
  <w:style w:type="paragraph" w:styleId="Subtitle">
    <w:name w:val="Subtitle"/>
    <w:basedOn w:val="Normal"/>
    <w:link w:val="SubtitleChar"/>
    <w:qFormat/>
    <w:pPr>
      <w:jc w:val="center"/>
    </w:pPr>
    <w:rPr>
      <w:b/>
      <w:sz w:val="22"/>
    </w:rPr>
  </w:style>
  <w:style w:type="character" w:customStyle="1" w:styleId="SubtitleChar">
    <w:name w:val="Subtitle Char"/>
    <w:basedOn w:val="DefaultParagraphFont"/>
    <w:link w:val="Subtitle"/>
    <w:locked/>
    <w:rsid w:val="00281AFF"/>
    <w:rPr>
      <w:rFonts w:ascii="Arial" w:hAnsi="Arial"/>
      <w:b/>
      <w:sz w:val="22"/>
      <w:lang w:val="en-GB" w:eastAsia="en-US" w:bidi="ar-SA"/>
    </w:rPr>
  </w:style>
  <w:style w:type="paragraph" w:styleId="BodyText">
    <w:name w:val="Body Text"/>
    <w:basedOn w:val="Normal"/>
    <w:link w:val="BodyTextChar"/>
    <w:rPr>
      <w:sz w:val="22"/>
    </w:rPr>
  </w:style>
  <w:style w:type="character" w:customStyle="1" w:styleId="BodyTextChar">
    <w:name w:val="Body Text Char"/>
    <w:basedOn w:val="DefaultParagraphFont"/>
    <w:link w:val="BodyText"/>
    <w:semiHidden/>
    <w:locked/>
    <w:rsid w:val="00281AFF"/>
    <w:rPr>
      <w:rFonts w:ascii="Arial" w:hAnsi="Arial"/>
      <w:sz w:val="22"/>
      <w:lang w:val="en-GB" w:eastAsia="en-US" w:bidi="ar-SA"/>
    </w:rPr>
  </w:style>
  <w:style w:type="paragraph" w:styleId="BodyText2">
    <w:name w:val="Body Text 2"/>
    <w:basedOn w:val="Normal"/>
    <w:link w:val="BodyText2Char"/>
    <w:rPr>
      <w:sz w:val="18"/>
    </w:rPr>
  </w:style>
  <w:style w:type="character" w:customStyle="1" w:styleId="BodyText2Char">
    <w:name w:val="Body Text 2 Char"/>
    <w:basedOn w:val="DefaultParagraphFont"/>
    <w:link w:val="BodyText2"/>
    <w:locked/>
    <w:rsid w:val="00281AFF"/>
    <w:rPr>
      <w:rFonts w:ascii="Arial" w:hAnsi="Arial"/>
      <w:sz w:val="18"/>
      <w:lang w:val="en-GB" w:eastAsia="en-US" w:bidi="ar-SA"/>
    </w:rPr>
  </w:style>
  <w:style w:type="paragraph" w:styleId="BodyText3">
    <w:name w:val="Body Text 3"/>
    <w:basedOn w:val="Normal"/>
    <w:rPr>
      <w:b/>
      <w:sz w:val="18"/>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basedOn w:val="DefaultParagraphFont"/>
    <w:link w:val="DocumentMap"/>
    <w:semiHidden/>
    <w:locked/>
    <w:rsid w:val="00281AFF"/>
    <w:rPr>
      <w:rFonts w:ascii="Tahoma" w:hAnsi="Tahoma"/>
      <w:sz w:val="24"/>
      <w:lang w:val="en-GB" w:eastAsia="en-US" w:bidi="ar-SA"/>
    </w:rPr>
  </w:style>
  <w:style w:type="character" w:styleId="PageNumber">
    <w:name w:val="page number"/>
    <w:basedOn w:val="DefaultParagraphFont"/>
  </w:style>
  <w:style w:type="paragraph" w:customStyle="1" w:styleId="Address">
    <w:name w:val="Address"/>
    <w:basedOn w:val="Normal"/>
    <w:pPr>
      <w:keepLines/>
      <w:jc w:val="both"/>
    </w:pPr>
    <w:rPr>
      <w:rFonts w:ascii="Times New Roman" w:hAnsi="Times New Roman"/>
      <w:noProof/>
    </w:rPr>
  </w:style>
  <w:style w:type="character" w:styleId="Hyperlink">
    <w:name w:val="Hyperlink"/>
    <w:basedOn w:val="DefaultParagraphFont"/>
    <w:rPr>
      <w:color w:val="0000FF"/>
      <w:u w:val="single"/>
    </w:rPr>
  </w:style>
  <w:style w:type="paragraph" w:styleId="BlockText">
    <w:name w:val="Block Text"/>
    <w:basedOn w:val="Normal"/>
    <w:pPr>
      <w:ind w:left="113" w:right="113"/>
    </w:pPr>
    <w:rPr>
      <w:snapToGrid w:val="0"/>
      <w:color w:val="000000"/>
      <w:sz w:val="22"/>
    </w:rPr>
  </w:style>
  <w:style w:type="paragraph" w:customStyle="1" w:styleId="questionnaire">
    <w:name w:val="questionnaire"/>
    <w:pPr>
      <w:widowControl w:val="0"/>
      <w:tabs>
        <w:tab w:val="right" w:pos="680"/>
        <w:tab w:val="left" w:pos="794"/>
        <w:tab w:val="right" w:pos="7513"/>
        <w:tab w:val="left" w:pos="7853"/>
        <w:tab w:val="left" w:pos="8222"/>
        <w:tab w:val="right" w:pos="11057"/>
      </w:tabs>
      <w:suppressAutoHyphens/>
    </w:pPr>
    <w:rPr>
      <w:rFonts w:ascii="Helvetica" w:hAnsi="Helvetica"/>
      <w:lang w:val="en-US" w:eastAsia="en-US"/>
    </w:rPr>
  </w:style>
  <w:style w:type="paragraph" w:customStyle="1" w:styleId="Style2">
    <w:name w:val="Style2"/>
    <w:basedOn w:val="Normal"/>
    <w:autoRedefine/>
    <w:rsid w:val="002C5882"/>
    <w:pPr>
      <w:ind w:left="1026" w:hanging="1026"/>
      <w:outlineLvl w:val="0"/>
    </w:pPr>
    <w:rPr>
      <w:sz w:val="22"/>
    </w:rPr>
  </w:style>
  <w:style w:type="paragraph" w:styleId="Caption">
    <w:name w:val="caption"/>
    <w:basedOn w:val="Normal"/>
    <w:next w:val="Normal"/>
    <w:qFormat/>
    <w:pPr>
      <w:jc w:val="right"/>
    </w:pPr>
    <w:rPr>
      <w:b/>
      <w:sz w:val="22"/>
    </w:rPr>
  </w:style>
  <w:style w:type="paragraph" w:styleId="ListBullet">
    <w:name w:val="List Bullet"/>
    <w:basedOn w:val="Normal"/>
    <w:autoRedefine/>
    <w:rPr>
      <w:sz w:val="20"/>
    </w:rPr>
  </w:style>
  <w:style w:type="paragraph" w:styleId="BalloonText">
    <w:name w:val="Balloon Text"/>
    <w:basedOn w:val="Normal"/>
    <w:link w:val="BalloonTextChar"/>
    <w:semiHidden/>
    <w:rPr>
      <w:rFonts w:ascii="Tahoma" w:hAnsi="Tahoma"/>
      <w:sz w:val="16"/>
    </w:rPr>
  </w:style>
  <w:style w:type="character" w:customStyle="1" w:styleId="BalloonTextChar">
    <w:name w:val="Balloon Text Char"/>
    <w:basedOn w:val="DefaultParagraphFont"/>
    <w:link w:val="BalloonText"/>
    <w:semiHidden/>
    <w:locked/>
    <w:rsid w:val="00281AFF"/>
    <w:rPr>
      <w:rFonts w:ascii="Tahoma" w:hAnsi="Tahoma"/>
      <w:sz w:val="16"/>
      <w:lang w:val="en-GB" w:eastAsia="en-US" w:bidi="ar-SA"/>
    </w:rPr>
  </w:style>
  <w:style w:type="table" w:styleId="TableGrid">
    <w:name w:val="Table Grid"/>
    <w:basedOn w:val="TableNormal"/>
    <w:rsid w:val="002E6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24B0"/>
    <w:pPr>
      <w:tabs>
        <w:tab w:val="left" w:pos="1260"/>
        <w:tab w:val="left" w:pos="1980"/>
        <w:tab w:val="left" w:pos="2700"/>
        <w:tab w:val="left" w:pos="3420"/>
      </w:tabs>
      <w:jc w:val="both"/>
    </w:pPr>
    <w:rPr>
      <w:sz w:val="20"/>
      <w:lang w:eastAsia="en-GB"/>
    </w:rPr>
  </w:style>
  <w:style w:type="character" w:customStyle="1" w:styleId="FootnoteTextChar">
    <w:name w:val="Footnote Text Char"/>
    <w:basedOn w:val="DefaultParagraphFont"/>
    <w:link w:val="FootnoteText"/>
    <w:semiHidden/>
    <w:locked/>
    <w:rsid w:val="00281AFF"/>
    <w:rPr>
      <w:rFonts w:ascii="Arial" w:hAnsi="Arial"/>
      <w:lang w:val="en-GB" w:eastAsia="en-GB" w:bidi="ar-SA"/>
    </w:rPr>
  </w:style>
  <w:style w:type="character" w:styleId="FootnoteReference">
    <w:name w:val="footnote reference"/>
    <w:basedOn w:val="DefaultParagraphFont"/>
    <w:semiHidden/>
    <w:rsid w:val="009424B0"/>
    <w:rPr>
      <w:vertAlign w:val="superscript"/>
    </w:rPr>
  </w:style>
  <w:style w:type="paragraph" w:customStyle="1" w:styleId="Default">
    <w:name w:val="Default"/>
    <w:link w:val="DefaultChar"/>
    <w:rsid w:val="00033A75"/>
    <w:pPr>
      <w:autoSpaceDE w:val="0"/>
      <w:autoSpaceDN w:val="0"/>
      <w:adjustRightInd w:val="0"/>
    </w:pPr>
    <w:rPr>
      <w:rFonts w:ascii="Arial" w:hAnsi="Arial" w:cs="Arial"/>
      <w:color w:val="000000"/>
      <w:sz w:val="24"/>
      <w:szCs w:val="24"/>
    </w:rPr>
  </w:style>
  <w:style w:type="character" w:customStyle="1" w:styleId="DefaultChar">
    <w:name w:val="Default Char"/>
    <w:basedOn w:val="DefaultParagraphFont"/>
    <w:link w:val="Default"/>
    <w:locked/>
    <w:rsid w:val="00A10EA9"/>
    <w:rPr>
      <w:rFonts w:ascii="Arial" w:hAnsi="Arial" w:cs="Arial"/>
      <w:color w:val="000000"/>
      <w:sz w:val="24"/>
      <w:szCs w:val="24"/>
      <w:lang w:val="en-GB" w:eastAsia="en-GB" w:bidi="ar-SA"/>
    </w:rPr>
  </w:style>
  <w:style w:type="paragraph" w:customStyle="1" w:styleId="Text">
    <w:name w:val="Text"/>
    <w:basedOn w:val="Normal"/>
    <w:rsid w:val="001058EF"/>
    <w:pPr>
      <w:overflowPunct w:val="0"/>
      <w:autoSpaceDE w:val="0"/>
      <w:autoSpaceDN w:val="0"/>
      <w:adjustRightInd w:val="0"/>
      <w:spacing w:after="220"/>
      <w:jc w:val="both"/>
      <w:textAlignment w:val="baseline"/>
    </w:pPr>
    <w:rPr>
      <w:sz w:val="22"/>
      <w:lang w:eastAsia="en-GB"/>
    </w:rPr>
  </w:style>
  <w:style w:type="paragraph" w:customStyle="1" w:styleId="bullet">
    <w:name w:val="bullet"/>
    <w:basedOn w:val="Normal"/>
    <w:rsid w:val="001058EF"/>
    <w:pPr>
      <w:tabs>
        <w:tab w:val="num" w:pos="360"/>
      </w:tabs>
      <w:ind w:left="360" w:hanging="360"/>
    </w:pPr>
    <w:rPr>
      <w:sz w:val="22"/>
      <w:lang w:eastAsia="en-GB"/>
    </w:rPr>
  </w:style>
  <w:style w:type="paragraph" w:customStyle="1" w:styleId="Cover-Title">
    <w:name w:val="Cover - Title"/>
    <w:basedOn w:val="Normal"/>
    <w:rsid w:val="002C3056"/>
    <w:pPr>
      <w:spacing w:after="240"/>
    </w:pPr>
    <w:rPr>
      <w:rFonts w:cs="Arial"/>
      <w:sz w:val="44"/>
      <w:szCs w:val="44"/>
    </w:rPr>
  </w:style>
  <w:style w:type="paragraph" w:styleId="TOC1">
    <w:name w:val="toc 1"/>
    <w:aliases w:val="Toc 1"/>
    <w:basedOn w:val="Normal"/>
    <w:next w:val="Normal"/>
    <w:autoRedefine/>
    <w:semiHidden/>
    <w:rsid w:val="002C3056"/>
    <w:pPr>
      <w:tabs>
        <w:tab w:val="right" w:leader="dot" w:pos="8636"/>
      </w:tabs>
      <w:spacing w:after="240"/>
    </w:pPr>
    <w:rPr>
      <w:rFonts w:cs="Arial"/>
      <w:szCs w:val="24"/>
    </w:rPr>
  </w:style>
  <w:style w:type="paragraph" w:styleId="TOC2">
    <w:name w:val="toc 2"/>
    <w:basedOn w:val="Normal"/>
    <w:next w:val="Normal"/>
    <w:autoRedefine/>
    <w:semiHidden/>
    <w:rsid w:val="002C3056"/>
    <w:pPr>
      <w:spacing w:after="240"/>
      <w:ind w:left="240"/>
    </w:pPr>
    <w:rPr>
      <w:rFonts w:cs="Arial"/>
      <w:szCs w:val="24"/>
    </w:rPr>
  </w:style>
  <w:style w:type="paragraph" w:styleId="TableofFigures">
    <w:name w:val="table of figures"/>
    <w:basedOn w:val="Normal"/>
    <w:next w:val="Normal"/>
    <w:semiHidden/>
    <w:rsid w:val="002C3056"/>
    <w:pPr>
      <w:spacing w:after="240"/>
      <w:ind w:left="480" w:hanging="480"/>
    </w:pPr>
    <w:rPr>
      <w:rFonts w:cs="Arial"/>
      <w:szCs w:val="24"/>
    </w:rPr>
  </w:style>
  <w:style w:type="character" w:styleId="FollowedHyperlink">
    <w:name w:val="FollowedHyperlink"/>
    <w:basedOn w:val="DefaultParagraphFont"/>
    <w:rsid w:val="003A13FD"/>
    <w:rPr>
      <w:color w:val="800080"/>
      <w:u w:val="single"/>
    </w:rPr>
  </w:style>
  <w:style w:type="paragraph" w:customStyle="1" w:styleId="xl22">
    <w:name w:val="xl22"/>
    <w:basedOn w:val="Normal"/>
    <w:rsid w:val="003A13FD"/>
    <w:pPr>
      <w:spacing w:before="100" w:beforeAutospacing="1" w:after="100" w:afterAutospacing="1"/>
    </w:pPr>
    <w:rPr>
      <w:rFonts w:ascii="Times New Roman" w:hAnsi="Times New Roman"/>
      <w:sz w:val="16"/>
      <w:szCs w:val="16"/>
      <w:lang w:eastAsia="en-GB"/>
    </w:rPr>
  </w:style>
  <w:style w:type="paragraph" w:customStyle="1" w:styleId="xl23">
    <w:name w:val="xl23"/>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eastAsia="en-GB"/>
    </w:rPr>
  </w:style>
  <w:style w:type="paragraph" w:customStyle="1" w:styleId="xl24">
    <w:name w:val="xl24"/>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6"/>
      <w:szCs w:val="16"/>
      <w:lang w:eastAsia="en-GB"/>
    </w:rPr>
  </w:style>
  <w:style w:type="paragraph" w:customStyle="1" w:styleId="xl25">
    <w:name w:val="xl25"/>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eastAsia="en-GB"/>
    </w:rPr>
  </w:style>
  <w:style w:type="paragraph" w:customStyle="1" w:styleId="xl26">
    <w:name w:val="xl26"/>
    <w:basedOn w:val="Normal"/>
    <w:rsid w:val="003A13FD"/>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eastAsia="en-GB"/>
    </w:rPr>
  </w:style>
  <w:style w:type="paragraph" w:customStyle="1" w:styleId="xl27">
    <w:name w:val="xl27"/>
    <w:basedOn w:val="Normal"/>
    <w:rsid w:val="003A13FD"/>
    <w:pPr>
      <w:spacing w:before="100" w:beforeAutospacing="1" w:after="100" w:afterAutospacing="1"/>
      <w:jc w:val="right"/>
    </w:pPr>
    <w:rPr>
      <w:rFonts w:ascii="Times New Roman" w:hAnsi="Times New Roman"/>
      <w:sz w:val="16"/>
      <w:szCs w:val="16"/>
      <w:lang w:eastAsia="en-GB"/>
    </w:rPr>
  </w:style>
  <w:style w:type="paragraph" w:customStyle="1" w:styleId="xl28">
    <w:name w:val="xl28"/>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16"/>
      <w:szCs w:val="16"/>
      <w:lang w:eastAsia="en-GB"/>
    </w:rPr>
  </w:style>
  <w:style w:type="paragraph" w:customStyle="1" w:styleId="xl29">
    <w:name w:val="xl29"/>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lang w:eastAsia="en-GB"/>
    </w:rPr>
  </w:style>
  <w:style w:type="paragraph" w:customStyle="1" w:styleId="xl30">
    <w:name w:val="xl30"/>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lang w:eastAsia="en-GB"/>
    </w:rPr>
  </w:style>
  <w:style w:type="paragraph" w:customStyle="1" w:styleId="xl31">
    <w:name w:val="xl31"/>
    <w:basedOn w:val="Normal"/>
    <w:rsid w:val="003A13FD"/>
    <w:pPr>
      <w:spacing w:before="100" w:beforeAutospacing="1" w:after="100" w:afterAutospacing="1"/>
      <w:jc w:val="right"/>
    </w:pPr>
    <w:rPr>
      <w:rFonts w:ascii="Times New Roman" w:hAnsi="Times New Roman"/>
      <w:b/>
      <w:bCs/>
      <w:sz w:val="16"/>
      <w:szCs w:val="16"/>
      <w:lang w:eastAsia="en-GB"/>
    </w:rPr>
  </w:style>
  <w:style w:type="paragraph" w:customStyle="1" w:styleId="xl32">
    <w:name w:val="xl32"/>
    <w:basedOn w:val="Normal"/>
    <w:rsid w:val="003A13FD"/>
    <w:pPr>
      <w:spacing w:before="100" w:beforeAutospacing="1" w:after="100" w:afterAutospacing="1"/>
    </w:pPr>
    <w:rPr>
      <w:rFonts w:ascii="Times New Roman" w:hAnsi="Times New Roman"/>
      <w:b/>
      <w:bCs/>
      <w:sz w:val="16"/>
      <w:szCs w:val="16"/>
      <w:lang w:eastAsia="en-GB"/>
    </w:rPr>
  </w:style>
  <w:style w:type="paragraph" w:customStyle="1" w:styleId="xl33">
    <w:name w:val="xl33"/>
    <w:basedOn w:val="Normal"/>
    <w:rsid w:val="003A13FD"/>
    <w:pPr>
      <w:spacing w:before="100" w:beforeAutospacing="1" w:after="100" w:afterAutospacing="1"/>
      <w:jc w:val="center"/>
    </w:pPr>
    <w:rPr>
      <w:rFonts w:ascii="Times New Roman" w:hAnsi="Times New Roman"/>
      <w:b/>
      <w:bCs/>
      <w:sz w:val="16"/>
      <w:szCs w:val="16"/>
      <w:lang w:eastAsia="en-GB"/>
    </w:rPr>
  </w:style>
  <w:style w:type="paragraph" w:customStyle="1" w:styleId="xl34">
    <w:name w:val="xl34"/>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6"/>
      <w:szCs w:val="16"/>
      <w:lang w:eastAsia="en-GB"/>
    </w:rPr>
  </w:style>
  <w:style w:type="paragraph" w:customStyle="1" w:styleId="xl35">
    <w:name w:val="xl35"/>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6"/>
      <w:szCs w:val="16"/>
      <w:lang w:eastAsia="en-GB"/>
    </w:rPr>
  </w:style>
  <w:style w:type="paragraph" w:customStyle="1" w:styleId="xl36">
    <w:name w:val="xl36"/>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lang w:eastAsia="en-GB"/>
    </w:rPr>
  </w:style>
  <w:style w:type="paragraph" w:customStyle="1" w:styleId="xl37">
    <w:name w:val="xl37"/>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6"/>
      <w:szCs w:val="16"/>
      <w:lang w:eastAsia="en-GB"/>
    </w:rPr>
  </w:style>
  <w:style w:type="paragraph" w:customStyle="1" w:styleId="xl38">
    <w:name w:val="xl38"/>
    <w:basedOn w:val="Normal"/>
    <w:rsid w:val="003A13FD"/>
    <w:pPr>
      <w:spacing w:before="100" w:beforeAutospacing="1" w:after="100" w:afterAutospacing="1"/>
    </w:pPr>
    <w:rPr>
      <w:rFonts w:cs="Arial"/>
      <w:b/>
      <w:bCs/>
      <w:sz w:val="16"/>
      <w:szCs w:val="16"/>
      <w:lang w:eastAsia="en-GB"/>
    </w:rPr>
  </w:style>
  <w:style w:type="paragraph" w:customStyle="1" w:styleId="xl39">
    <w:name w:val="xl39"/>
    <w:basedOn w:val="Normal"/>
    <w:rsid w:val="003A13FD"/>
    <w:pPr>
      <w:pBdr>
        <w:left w:val="single" w:sz="4" w:space="0" w:color="auto"/>
        <w:bottom w:val="single" w:sz="4" w:space="0" w:color="auto"/>
        <w:right w:val="single" w:sz="4" w:space="0" w:color="auto"/>
      </w:pBdr>
      <w:spacing w:before="100" w:beforeAutospacing="1" w:after="100" w:afterAutospacing="1"/>
    </w:pPr>
    <w:rPr>
      <w:rFonts w:cs="Arial"/>
      <w:b/>
      <w:bCs/>
      <w:sz w:val="16"/>
      <w:szCs w:val="16"/>
      <w:lang w:eastAsia="en-GB"/>
    </w:rPr>
  </w:style>
  <w:style w:type="paragraph" w:customStyle="1" w:styleId="xl40">
    <w:name w:val="xl40"/>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6"/>
      <w:szCs w:val="16"/>
      <w:lang w:eastAsia="en-GB"/>
    </w:rPr>
  </w:style>
  <w:style w:type="paragraph" w:customStyle="1" w:styleId="xl41">
    <w:name w:val="xl41"/>
    <w:basedOn w:val="Normal"/>
    <w:rsid w:val="003A13FD"/>
    <w:pPr>
      <w:spacing w:before="100" w:beforeAutospacing="1" w:after="100" w:afterAutospacing="1"/>
    </w:pPr>
    <w:rPr>
      <w:rFonts w:ascii="Times New Roman" w:hAnsi="Times New Roman"/>
      <w:b/>
      <w:bCs/>
      <w:szCs w:val="24"/>
      <w:u w:val="single"/>
      <w:lang w:eastAsia="en-GB"/>
    </w:rPr>
  </w:style>
  <w:style w:type="paragraph" w:customStyle="1" w:styleId="xl42">
    <w:name w:val="xl42"/>
    <w:basedOn w:val="Normal"/>
    <w:rsid w:val="003A13F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sz w:val="16"/>
      <w:szCs w:val="16"/>
      <w:lang w:eastAsia="en-GB"/>
    </w:rPr>
  </w:style>
  <w:style w:type="character" w:customStyle="1" w:styleId="2Char">
    <w:name w:val="2 Char"/>
    <w:aliases w:val="Level 2 Heading Char"/>
    <w:basedOn w:val="DefaultParagraphFont"/>
    <w:rsid w:val="00FD1FFC"/>
    <w:rPr>
      <w:rFonts w:ascii="Arial" w:hAnsi="Arial"/>
      <w:b/>
      <w:color w:val="000000"/>
      <w:sz w:val="24"/>
      <w:lang w:val="en-GB" w:eastAsia="en-US" w:bidi="ar-SA"/>
    </w:rPr>
  </w:style>
  <w:style w:type="paragraph" w:customStyle="1" w:styleId="font0">
    <w:name w:val="font0"/>
    <w:basedOn w:val="Normal"/>
    <w:rsid w:val="00801681"/>
    <w:pPr>
      <w:spacing w:before="100" w:beforeAutospacing="1" w:after="100" w:afterAutospacing="1"/>
    </w:pPr>
    <w:rPr>
      <w:rFonts w:cs="Arial"/>
      <w:sz w:val="20"/>
      <w:lang w:eastAsia="en-GB"/>
    </w:rPr>
  </w:style>
  <w:style w:type="paragraph" w:customStyle="1" w:styleId="font5">
    <w:name w:val="font5"/>
    <w:basedOn w:val="Normal"/>
    <w:rsid w:val="00801681"/>
    <w:pPr>
      <w:spacing w:before="100" w:beforeAutospacing="1" w:after="100" w:afterAutospacing="1"/>
    </w:pPr>
    <w:rPr>
      <w:rFonts w:cs="Arial"/>
      <w:sz w:val="20"/>
      <w:lang w:eastAsia="en-GB"/>
    </w:rPr>
  </w:style>
  <w:style w:type="paragraph" w:customStyle="1" w:styleId="xl43">
    <w:name w:val="xl43"/>
    <w:basedOn w:val="Normal"/>
    <w:rsid w:val="00801681"/>
    <w:pPr>
      <w:pBdr>
        <w:left w:val="single" w:sz="4" w:space="0" w:color="auto"/>
        <w:right w:val="single" w:sz="4" w:space="0" w:color="auto"/>
      </w:pBdr>
      <w:spacing w:before="100" w:beforeAutospacing="1" w:after="100" w:afterAutospacing="1"/>
      <w:jc w:val="center"/>
    </w:pPr>
    <w:rPr>
      <w:rFonts w:cs="Arial"/>
      <w:b/>
      <w:bCs/>
      <w:szCs w:val="24"/>
      <w:lang w:eastAsia="en-GB"/>
    </w:rPr>
  </w:style>
  <w:style w:type="paragraph" w:customStyle="1" w:styleId="xl44">
    <w:name w:val="xl44"/>
    <w:basedOn w:val="Normal"/>
    <w:rsid w:val="00801681"/>
    <w:pPr>
      <w:pBdr>
        <w:right w:val="single" w:sz="4" w:space="0" w:color="auto"/>
      </w:pBdr>
      <w:spacing w:before="100" w:beforeAutospacing="1" w:after="100" w:afterAutospacing="1"/>
      <w:jc w:val="center"/>
    </w:pPr>
    <w:rPr>
      <w:rFonts w:cs="Arial"/>
      <w:b/>
      <w:bCs/>
      <w:szCs w:val="24"/>
      <w:lang w:eastAsia="en-GB"/>
    </w:rPr>
  </w:style>
  <w:style w:type="paragraph" w:customStyle="1" w:styleId="xl45">
    <w:name w:val="xl45"/>
    <w:basedOn w:val="Normal"/>
    <w:rsid w:val="00801681"/>
    <w:pPr>
      <w:shd w:val="clear" w:color="auto" w:fill="C0C0C0"/>
      <w:spacing w:before="100" w:beforeAutospacing="1" w:after="100" w:afterAutospacing="1"/>
    </w:pPr>
    <w:rPr>
      <w:rFonts w:ascii="Times New Roman" w:hAnsi="Times New Roman"/>
      <w:szCs w:val="24"/>
      <w:lang w:eastAsia="en-GB"/>
    </w:rPr>
  </w:style>
  <w:style w:type="paragraph" w:customStyle="1" w:styleId="xl47">
    <w:name w:val="xl47"/>
    <w:basedOn w:val="Normal"/>
    <w:rsid w:val="00801681"/>
    <w:pPr>
      <w:spacing w:before="100" w:beforeAutospacing="1" w:after="100" w:afterAutospacing="1"/>
    </w:pPr>
    <w:rPr>
      <w:rFonts w:ascii="Monotype Sorts" w:hAnsi="Monotype Sorts"/>
      <w:szCs w:val="24"/>
      <w:lang w:eastAsia="en-GB"/>
    </w:rPr>
  </w:style>
  <w:style w:type="paragraph" w:customStyle="1" w:styleId="xl48">
    <w:name w:val="xl48"/>
    <w:basedOn w:val="Normal"/>
    <w:rsid w:val="00801681"/>
    <w:pPr>
      <w:spacing w:before="100" w:beforeAutospacing="1" w:after="100" w:afterAutospacing="1"/>
    </w:pPr>
    <w:rPr>
      <w:rFonts w:ascii="Times New Roman" w:hAnsi="Times New Roman"/>
      <w:szCs w:val="24"/>
      <w:lang w:eastAsia="en-GB"/>
    </w:rPr>
  </w:style>
  <w:style w:type="paragraph" w:customStyle="1" w:styleId="xl49">
    <w:name w:val="xl49"/>
    <w:basedOn w:val="Normal"/>
    <w:rsid w:val="00801681"/>
    <w:pPr>
      <w:pBdr>
        <w:top w:val="single" w:sz="8" w:space="0" w:color="auto"/>
        <w:left w:val="single" w:sz="8" w:space="0" w:color="auto"/>
        <w:right w:val="single" w:sz="4" w:space="0" w:color="auto"/>
      </w:pBdr>
      <w:spacing w:before="100" w:beforeAutospacing="1" w:after="100" w:afterAutospacing="1"/>
    </w:pPr>
    <w:rPr>
      <w:rFonts w:cs="Arial"/>
      <w:b/>
      <w:bCs/>
      <w:szCs w:val="24"/>
      <w:lang w:eastAsia="en-GB"/>
    </w:rPr>
  </w:style>
  <w:style w:type="paragraph" w:customStyle="1" w:styleId="xl50">
    <w:name w:val="xl50"/>
    <w:basedOn w:val="Normal"/>
    <w:rsid w:val="00801681"/>
    <w:pPr>
      <w:pBdr>
        <w:left w:val="single" w:sz="8" w:space="0" w:color="auto"/>
        <w:right w:val="single" w:sz="4" w:space="0" w:color="auto"/>
      </w:pBdr>
      <w:spacing w:before="100" w:beforeAutospacing="1" w:after="100" w:afterAutospacing="1"/>
      <w:jc w:val="center"/>
    </w:pPr>
    <w:rPr>
      <w:rFonts w:cs="Arial"/>
      <w:b/>
      <w:bCs/>
      <w:szCs w:val="24"/>
      <w:lang w:eastAsia="en-GB"/>
    </w:rPr>
  </w:style>
  <w:style w:type="paragraph" w:customStyle="1" w:styleId="xl51">
    <w:name w:val="xl51"/>
    <w:basedOn w:val="Normal"/>
    <w:rsid w:val="00801681"/>
    <w:pPr>
      <w:spacing w:before="100" w:beforeAutospacing="1" w:after="100" w:afterAutospacing="1"/>
    </w:pPr>
    <w:rPr>
      <w:rFonts w:cs="Arial"/>
      <w:szCs w:val="24"/>
      <w:lang w:eastAsia="en-GB"/>
    </w:rPr>
  </w:style>
  <w:style w:type="paragraph" w:customStyle="1" w:styleId="xl52">
    <w:name w:val="xl52"/>
    <w:basedOn w:val="Normal"/>
    <w:rsid w:val="00801681"/>
    <w:pPr>
      <w:spacing w:before="100" w:beforeAutospacing="1" w:after="100" w:afterAutospacing="1"/>
    </w:pPr>
    <w:rPr>
      <w:rFonts w:cs="Arial"/>
      <w:szCs w:val="24"/>
      <w:lang w:eastAsia="en-GB"/>
    </w:rPr>
  </w:style>
  <w:style w:type="paragraph" w:customStyle="1" w:styleId="xl53">
    <w:name w:val="xl53"/>
    <w:basedOn w:val="Normal"/>
    <w:rsid w:val="00801681"/>
    <w:pPr>
      <w:spacing w:before="100" w:beforeAutospacing="1" w:after="100" w:afterAutospacing="1"/>
      <w:textAlignment w:val="top"/>
    </w:pPr>
    <w:rPr>
      <w:rFonts w:cs="Arial"/>
      <w:szCs w:val="24"/>
      <w:lang w:eastAsia="en-GB"/>
    </w:rPr>
  </w:style>
  <w:style w:type="paragraph" w:customStyle="1" w:styleId="xl54">
    <w:name w:val="xl54"/>
    <w:basedOn w:val="Normal"/>
    <w:rsid w:val="00801681"/>
    <w:pPr>
      <w:spacing w:before="100" w:beforeAutospacing="1" w:after="100" w:afterAutospacing="1"/>
      <w:jc w:val="center"/>
    </w:pPr>
    <w:rPr>
      <w:rFonts w:ascii="Times New Roman" w:hAnsi="Times New Roman"/>
      <w:szCs w:val="24"/>
      <w:lang w:eastAsia="en-GB"/>
    </w:rPr>
  </w:style>
  <w:style w:type="paragraph" w:customStyle="1" w:styleId="xl55">
    <w:name w:val="xl55"/>
    <w:basedOn w:val="Normal"/>
    <w:rsid w:val="00801681"/>
    <w:pPr>
      <w:spacing w:before="100" w:beforeAutospacing="1" w:after="100" w:afterAutospacing="1"/>
    </w:pPr>
    <w:rPr>
      <w:rFonts w:cs="Arial"/>
      <w:szCs w:val="24"/>
      <w:lang w:eastAsia="en-GB"/>
    </w:rPr>
  </w:style>
  <w:style w:type="paragraph" w:customStyle="1" w:styleId="xl56">
    <w:name w:val="xl56"/>
    <w:basedOn w:val="Normal"/>
    <w:rsid w:val="00801681"/>
    <w:pPr>
      <w:spacing w:before="100" w:beforeAutospacing="1" w:after="100" w:afterAutospacing="1"/>
    </w:pPr>
    <w:rPr>
      <w:rFonts w:cs="Arial"/>
      <w:szCs w:val="24"/>
      <w:lang w:eastAsia="en-GB"/>
    </w:rPr>
  </w:style>
  <w:style w:type="paragraph" w:customStyle="1" w:styleId="xl57">
    <w:name w:val="xl57"/>
    <w:basedOn w:val="Normal"/>
    <w:rsid w:val="00801681"/>
    <w:pPr>
      <w:spacing w:before="100" w:beforeAutospacing="1" w:after="100" w:afterAutospacing="1"/>
      <w:textAlignment w:val="center"/>
    </w:pPr>
    <w:rPr>
      <w:rFonts w:cs="Arial"/>
      <w:szCs w:val="24"/>
      <w:lang w:eastAsia="en-GB"/>
    </w:rPr>
  </w:style>
  <w:style w:type="paragraph" w:customStyle="1" w:styleId="xl58">
    <w:name w:val="xl58"/>
    <w:basedOn w:val="Normal"/>
    <w:rsid w:val="00801681"/>
    <w:pPr>
      <w:spacing w:before="100" w:beforeAutospacing="1" w:after="100" w:afterAutospacing="1"/>
      <w:textAlignment w:val="center"/>
    </w:pPr>
    <w:rPr>
      <w:rFonts w:cs="Arial"/>
      <w:szCs w:val="24"/>
      <w:lang w:eastAsia="en-GB"/>
    </w:rPr>
  </w:style>
  <w:style w:type="paragraph" w:customStyle="1" w:styleId="xl59">
    <w:name w:val="xl59"/>
    <w:basedOn w:val="Normal"/>
    <w:rsid w:val="00801681"/>
    <w:pPr>
      <w:spacing w:before="100" w:beforeAutospacing="1" w:after="100" w:afterAutospacing="1"/>
      <w:textAlignment w:val="center"/>
    </w:pPr>
    <w:rPr>
      <w:rFonts w:cs="Arial"/>
      <w:szCs w:val="24"/>
      <w:lang w:eastAsia="en-GB"/>
    </w:rPr>
  </w:style>
  <w:style w:type="paragraph" w:customStyle="1" w:styleId="xl60">
    <w:name w:val="xl60"/>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61">
    <w:name w:val="xl61"/>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62">
    <w:name w:val="xl62"/>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63">
    <w:name w:val="xl63"/>
    <w:basedOn w:val="Normal"/>
    <w:rsid w:val="00801681"/>
    <w:pPr>
      <w:spacing w:before="100" w:beforeAutospacing="1" w:after="100" w:afterAutospacing="1"/>
      <w:jc w:val="center"/>
      <w:textAlignment w:val="center"/>
    </w:pPr>
    <w:rPr>
      <w:rFonts w:ascii="Times New Roman" w:hAnsi="Times New Roman"/>
      <w:szCs w:val="24"/>
      <w:lang w:eastAsia="en-GB"/>
    </w:rPr>
  </w:style>
  <w:style w:type="paragraph" w:customStyle="1" w:styleId="xl64">
    <w:name w:val="xl64"/>
    <w:basedOn w:val="Normal"/>
    <w:rsid w:val="00801681"/>
    <w:pPr>
      <w:spacing w:before="100" w:beforeAutospacing="1" w:after="100" w:afterAutospacing="1"/>
      <w:textAlignment w:val="center"/>
    </w:pPr>
    <w:rPr>
      <w:rFonts w:ascii="Monotype Sorts" w:hAnsi="Monotype Sorts"/>
      <w:szCs w:val="24"/>
      <w:lang w:eastAsia="en-GB"/>
    </w:rPr>
  </w:style>
  <w:style w:type="paragraph" w:customStyle="1" w:styleId="xl65">
    <w:name w:val="xl65"/>
    <w:basedOn w:val="Normal"/>
    <w:rsid w:val="00801681"/>
    <w:pPr>
      <w:spacing w:before="100" w:beforeAutospacing="1" w:after="100" w:afterAutospacing="1"/>
    </w:pPr>
    <w:rPr>
      <w:rFonts w:ascii="Times New Roman" w:hAnsi="Times New Roman"/>
      <w:szCs w:val="24"/>
      <w:lang w:eastAsia="en-GB"/>
    </w:rPr>
  </w:style>
  <w:style w:type="paragraph" w:customStyle="1" w:styleId="xl66">
    <w:name w:val="xl66"/>
    <w:basedOn w:val="Normal"/>
    <w:rsid w:val="00801681"/>
    <w:pPr>
      <w:spacing w:before="100" w:beforeAutospacing="1" w:after="100" w:afterAutospacing="1"/>
    </w:pPr>
    <w:rPr>
      <w:rFonts w:ascii="Times New Roman" w:hAnsi="Times New Roman"/>
      <w:color w:val="C0C0C0"/>
      <w:szCs w:val="24"/>
      <w:lang w:eastAsia="en-GB"/>
    </w:rPr>
  </w:style>
  <w:style w:type="paragraph" w:customStyle="1" w:styleId="xl67">
    <w:name w:val="xl67"/>
    <w:basedOn w:val="Normal"/>
    <w:rsid w:val="00801681"/>
    <w:pPr>
      <w:spacing w:before="100" w:beforeAutospacing="1" w:after="100" w:afterAutospacing="1"/>
    </w:pPr>
    <w:rPr>
      <w:rFonts w:ascii="Wingdings 2" w:hAnsi="Wingdings 2"/>
      <w:szCs w:val="24"/>
      <w:lang w:eastAsia="en-GB"/>
    </w:rPr>
  </w:style>
  <w:style w:type="paragraph" w:customStyle="1" w:styleId="xl68">
    <w:name w:val="xl68"/>
    <w:basedOn w:val="Normal"/>
    <w:rsid w:val="00801681"/>
    <w:pPr>
      <w:spacing w:before="100" w:beforeAutospacing="1" w:after="100" w:afterAutospacing="1"/>
      <w:textAlignment w:val="top"/>
    </w:pPr>
    <w:rPr>
      <w:rFonts w:ascii="Times New Roman" w:hAnsi="Times New Roman"/>
      <w:szCs w:val="24"/>
      <w:lang w:eastAsia="en-GB"/>
    </w:rPr>
  </w:style>
  <w:style w:type="paragraph" w:customStyle="1" w:styleId="xl69">
    <w:name w:val="xl69"/>
    <w:basedOn w:val="Normal"/>
    <w:rsid w:val="00801681"/>
    <w:pPr>
      <w:spacing w:before="100" w:beforeAutospacing="1" w:after="100" w:afterAutospacing="1"/>
      <w:textAlignment w:val="center"/>
    </w:pPr>
    <w:rPr>
      <w:rFonts w:ascii="Wingdings 2" w:hAnsi="Wingdings 2"/>
      <w:szCs w:val="24"/>
      <w:lang w:eastAsia="en-GB"/>
    </w:rPr>
  </w:style>
  <w:style w:type="paragraph" w:customStyle="1" w:styleId="xl70">
    <w:name w:val="xl70"/>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71">
    <w:name w:val="xl71"/>
    <w:basedOn w:val="Normal"/>
    <w:rsid w:val="00801681"/>
    <w:pPr>
      <w:spacing w:before="100" w:beforeAutospacing="1" w:after="100" w:afterAutospacing="1"/>
      <w:jc w:val="center"/>
      <w:textAlignment w:val="center"/>
    </w:pPr>
    <w:rPr>
      <w:rFonts w:ascii="Times New Roman" w:hAnsi="Times New Roman"/>
      <w:szCs w:val="24"/>
      <w:lang w:eastAsia="en-GB"/>
    </w:rPr>
  </w:style>
  <w:style w:type="paragraph" w:customStyle="1" w:styleId="xl72">
    <w:name w:val="xl72"/>
    <w:basedOn w:val="Normal"/>
    <w:rsid w:val="00801681"/>
    <w:pPr>
      <w:spacing w:before="100" w:beforeAutospacing="1" w:after="100" w:afterAutospacing="1"/>
      <w:jc w:val="right"/>
    </w:pPr>
    <w:rPr>
      <w:rFonts w:ascii="Times New Roman" w:hAnsi="Times New Roman"/>
      <w:szCs w:val="24"/>
      <w:lang w:eastAsia="en-GB"/>
    </w:rPr>
  </w:style>
  <w:style w:type="paragraph" w:customStyle="1" w:styleId="xl73">
    <w:name w:val="xl73"/>
    <w:basedOn w:val="Normal"/>
    <w:rsid w:val="00801681"/>
    <w:pPr>
      <w:spacing w:before="100" w:beforeAutospacing="1" w:after="100" w:afterAutospacing="1"/>
    </w:pPr>
    <w:rPr>
      <w:rFonts w:ascii="Times New Roman" w:hAnsi="Times New Roman"/>
      <w:color w:val="0000FF"/>
      <w:szCs w:val="24"/>
      <w:lang w:eastAsia="en-GB"/>
    </w:rPr>
  </w:style>
  <w:style w:type="paragraph" w:customStyle="1" w:styleId="xl74">
    <w:name w:val="xl74"/>
    <w:basedOn w:val="Normal"/>
    <w:rsid w:val="00801681"/>
    <w:pPr>
      <w:spacing w:before="100" w:beforeAutospacing="1" w:after="100" w:afterAutospacing="1"/>
    </w:pPr>
    <w:rPr>
      <w:rFonts w:ascii="Times New Roman" w:hAnsi="Times New Roman"/>
      <w:szCs w:val="24"/>
      <w:lang w:eastAsia="en-GB"/>
    </w:rPr>
  </w:style>
  <w:style w:type="paragraph" w:customStyle="1" w:styleId="xl75">
    <w:name w:val="xl75"/>
    <w:basedOn w:val="Normal"/>
    <w:rsid w:val="00801681"/>
    <w:pPr>
      <w:spacing w:before="100" w:beforeAutospacing="1" w:after="100" w:afterAutospacing="1"/>
    </w:pPr>
    <w:rPr>
      <w:rFonts w:ascii="Wingdings" w:hAnsi="Wingdings"/>
      <w:szCs w:val="24"/>
      <w:lang w:eastAsia="en-GB"/>
    </w:rPr>
  </w:style>
  <w:style w:type="paragraph" w:customStyle="1" w:styleId="xl76">
    <w:name w:val="xl76"/>
    <w:basedOn w:val="Normal"/>
    <w:rsid w:val="00801681"/>
    <w:pPr>
      <w:spacing w:before="100" w:beforeAutospacing="1" w:after="100" w:afterAutospacing="1"/>
    </w:pPr>
    <w:rPr>
      <w:rFonts w:cs="Arial"/>
      <w:szCs w:val="24"/>
      <w:lang w:eastAsia="en-GB"/>
    </w:rPr>
  </w:style>
  <w:style w:type="paragraph" w:customStyle="1" w:styleId="xl77">
    <w:name w:val="xl77"/>
    <w:basedOn w:val="Normal"/>
    <w:rsid w:val="00801681"/>
    <w:pPr>
      <w:shd w:val="clear" w:color="auto" w:fill="C0C0C0"/>
      <w:spacing w:before="100" w:beforeAutospacing="1" w:after="100" w:afterAutospacing="1"/>
    </w:pPr>
    <w:rPr>
      <w:rFonts w:ascii="Wingdings" w:hAnsi="Wingdings"/>
      <w:szCs w:val="24"/>
      <w:lang w:eastAsia="en-GB"/>
    </w:rPr>
  </w:style>
  <w:style w:type="paragraph" w:customStyle="1" w:styleId="xl78">
    <w:name w:val="xl78"/>
    <w:basedOn w:val="Normal"/>
    <w:rsid w:val="00801681"/>
    <w:pPr>
      <w:shd w:val="clear" w:color="auto" w:fill="C0C0C0"/>
      <w:spacing w:before="100" w:beforeAutospacing="1" w:after="100" w:afterAutospacing="1"/>
    </w:pPr>
    <w:rPr>
      <w:rFonts w:ascii="Times New Roman" w:hAnsi="Times New Roman"/>
      <w:szCs w:val="24"/>
      <w:lang w:eastAsia="en-GB"/>
    </w:rPr>
  </w:style>
  <w:style w:type="paragraph" w:customStyle="1" w:styleId="xl79">
    <w:name w:val="xl79"/>
    <w:basedOn w:val="Normal"/>
    <w:rsid w:val="00801681"/>
    <w:pPr>
      <w:shd w:val="clear" w:color="auto" w:fill="C0C0C0"/>
      <w:spacing w:before="100" w:beforeAutospacing="1" w:after="100" w:afterAutospacing="1"/>
    </w:pPr>
    <w:rPr>
      <w:rFonts w:cs="Arial"/>
      <w:szCs w:val="24"/>
      <w:lang w:eastAsia="en-GB"/>
    </w:rPr>
  </w:style>
  <w:style w:type="paragraph" w:customStyle="1" w:styleId="xl80">
    <w:name w:val="xl80"/>
    <w:basedOn w:val="Normal"/>
    <w:rsid w:val="00801681"/>
    <w:pPr>
      <w:spacing w:before="100" w:beforeAutospacing="1" w:after="100" w:afterAutospacing="1"/>
      <w:textAlignment w:val="center"/>
    </w:pPr>
    <w:rPr>
      <w:rFonts w:cs="Arial"/>
      <w:sz w:val="22"/>
      <w:szCs w:val="22"/>
      <w:lang w:eastAsia="en-GB"/>
    </w:rPr>
  </w:style>
  <w:style w:type="paragraph" w:customStyle="1" w:styleId="xl81">
    <w:name w:val="xl81"/>
    <w:basedOn w:val="Normal"/>
    <w:rsid w:val="00801681"/>
    <w:pPr>
      <w:spacing w:before="100" w:beforeAutospacing="1" w:after="100" w:afterAutospacing="1"/>
    </w:pPr>
    <w:rPr>
      <w:rFonts w:cs="Arial"/>
      <w:sz w:val="22"/>
      <w:szCs w:val="22"/>
      <w:lang w:eastAsia="en-GB"/>
    </w:rPr>
  </w:style>
  <w:style w:type="paragraph" w:customStyle="1" w:styleId="xl82">
    <w:name w:val="xl82"/>
    <w:basedOn w:val="Normal"/>
    <w:rsid w:val="00801681"/>
    <w:pPr>
      <w:spacing w:before="100" w:beforeAutospacing="1" w:after="100" w:afterAutospacing="1"/>
    </w:pPr>
    <w:rPr>
      <w:rFonts w:ascii="Times New Roman" w:hAnsi="Times New Roman"/>
      <w:szCs w:val="24"/>
      <w:lang w:eastAsia="en-GB"/>
    </w:rPr>
  </w:style>
  <w:style w:type="paragraph" w:customStyle="1" w:styleId="xl83">
    <w:name w:val="xl83"/>
    <w:basedOn w:val="Normal"/>
    <w:rsid w:val="00801681"/>
    <w:pPr>
      <w:spacing w:before="100" w:beforeAutospacing="1" w:after="100" w:afterAutospacing="1"/>
      <w:jc w:val="center"/>
    </w:pPr>
    <w:rPr>
      <w:rFonts w:ascii="Times New Roman" w:hAnsi="Times New Roman"/>
      <w:szCs w:val="24"/>
      <w:lang w:eastAsia="en-GB"/>
    </w:rPr>
  </w:style>
  <w:style w:type="paragraph" w:styleId="NormalWeb">
    <w:name w:val="Normal (Web)"/>
    <w:basedOn w:val="Normal"/>
    <w:rsid w:val="00F8311D"/>
    <w:pPr>
      <w:spacing w:before="100" w:beforeAutospacing="1" w:after="100" w:afterAutospacing="1"/>
    </w:pPr>
    <w:rPr>
      <w:rFonts w:ascii="Times New Roman" w:hAnsi="Times New Roman"/>
      <w:szCs w:val="24"/>
      <w:lang w:eastAsia="en-GB"/>
    </w:rPr>
  </w:style>
  <w:style w:type="character" w:styleId="Emphasis">
    <w:name w:val="Emphasis"/>
    <w:basedOn w:val="DefaultParagraphFont"/>
    <w:qFormat/>
    <w:rsid w:val="00F8311D"/>
    <w:rPr>
      <w:i/>
      <w:iCs/>
    </w:rPr>
  </w:style>
  <w:style w:type="paragraph" w:customStyle="1" w:styleId="Body">
    <w:name w:val="Body"/>
    <w:basedOn w:val="Normal"/>
    <w:rsid w:val="00F33006"/>
    <w:pPr>
      <w:spacing w:after="160"/>
      <w:ind w:left="720" w:right="720"/>
      <w:jc w:val="both"/>
    </w:pPr>
    <w:rPr>
      <w:rFonts w:ascii="Century Schoolbook" w:hAnsi="Century Schoolbook"/>
      <w:lang w:eastAsia="en-GB"/>
    </w:rPr>
  </w:style>
  <w:style w:type="paragraph" w:customStyle="1" w:styleId="Body3">
    <w:name w:val="Body 3"/>
    <w:basedOn w:val="Body"/>
    <w:rsid w:val="00F33006"/>
    <w:pPr>
      <w:spacing w:after="240"/>
      <w:ind w:left="1701" w:right="0"/>
    </w:pPr>
    <w:rPr>
      <w:rFonts w:ascii="Arial" w:hAnsi="Arial" w:cs="Arial"/>
      <w:sz w:val="20"/>
    </w:rPr>
  </w:style>
  <w:style w:type="paragraph" w:customStyle="1" w:styleId="Body0">
    <w:name w:val="Body*"/>
    <w:rsid w:val="00DF604C"/>
    <w:pPr>
      <w:keepLines/>
      <w:spacing w:line="320" w:lineRule="exact"/>
      <w:ind w:right="850"/>
      <w:jc w:val="both"/>
    </w:pPr>
    <w:rPr>
      <w:rFonts w:ascii="Perpetua" w:hAnsi="Perpetua"/>
      <w:noProof/>
      <w:sz w:val="26"/>
    </w:rPr>
  </w:style>
  <w:style w:type="paragraph" w:customStyle="1" w:styleId="Bullet1">
    <w:name w:val="Bullet 1"/>
    <w:basedOn w:val="Normal"/>
    <w:link w:val="Bullet1Char"/>
    <w:rsid w:val="006E5226"/>
    <w:pPr>
      <w:keepLines/>
      <w:tabs>
        <w:tab w:val="num" w:pos="794"/>
      </w:tabs>
      <w:spacing w:before="100"/>
      <w:ind w:left="794" w:hanging="397"/>
    </w:pPr>
    <w:rPr>
      <w:szCs w:val="24"/>
      <w:lang w:eastAsia="en-GB"/>
    </w:rPr>
  </w:style>
  <w:style w:type="character" w:customStyle="1" w:styleId="Bullet1Char">
    <w:name w:val="Bullet 1 Char"/>
    <w:basedOn w:val="DefaultParagraphFont"/>
    <w:link w:val="Bullet1"/>
    <w:rsid w:val="006E5226"/>
    <w:rPr>
      <w:rFonts w:ascii="Arial" w:hAnsi="Arial"/>
      <w:sz w:val="24"/>
      <w:szCs w:val="24"/>
      <w:lang w:val="en-GB" w:eastAsia="en-GB" w:bidi="ar-SA"/>
    </w:rPr>
  </w:style>
  <w:style w:type="paragraph" w:styleId="TOC3">
    <w:name w:val="toc 3"/>
    <w:basedOn w:val="Normal"/>
    <w:next w:val="Normal"/>
    <w:autoRedefine/>
    <w:semiHidden/>
    <w:rsid w:val="005B7B3D"/>
    <w:pPr>
      <w:ind w:left="480"/>
    </w:pPr>
  </w:style>
  <w:style w:type="paragraph" w:styleId="ListParagraph">
    <w:name w:val="List Paragraph"/>
    <w:basedOn w:val="Normal"/>
    <w:uiPriority w:val="34"/>
    <w:qFormat/>
    <w:rsid w:val="005B7B3D"/>
    <w:pPr>
      <w:ind w:left="720"/>
      <w:contextualSpacing/>
    </w:pPr>
    <w:rPr>
      <w:rFonts w:ascii="Times New Roman" w:eastAsia="Calibri" w:hAnsi="Times New Roman"/>
      <w:szCs w:val="24"/>
      <w:lang w:eastAsia="en-GB"/>
    </w:rPr>
  </w:style>
  <w:style w:type="paragraph" w:styleId="NoSpacing">
    <w:name w:val="No Spacing"/>
    <w:link w:val="NoSpacingChar"/>
    <w:qFormat/>
    <w:rsid w:val="005B7B3D"/>
    <w:rPr>
      <w:rFonts w:ascii="Calibri" w:eastAsia="Calibri" w:hAnsi="Calibri"/>
      <w:sz w:val="22"/>
      <w:szCs w:val="22"/>
      <w:lang w:val="en-US" w:eastAsia="en-US"/>
    </w:rPr>
  </w:style>
  <w:style w:type="character" w:customStyle="1" w:styleId="NoSpacingChar">
    <w:name w:val="No Spacing Char"/>
    <w:basedOn w:val="DefaultParagraphFont"/>
    <w:link w:val="NoSpacing"/>
    <w:locked/>
    <w:rsid w:val="005B7B3D"/>
    <w:rPr>
      <w:rFonts w:ascii="Calibri" w:eastAsia="Calibri" w:hAnsi="Calibri"/>
      <w:sz w:val="22"/>
      <w:szCs w:val="22"/>
      <w:lang w:val="en-US" w:eastAsia="en-US" w:bidi="ar-SA"/>
    </w:rPr>
  </w:style>
  <w:style w:type="paragraph" w:styleId="TOCHeading">
    <w:name w:val="TOC Heading"/>
    <w:basedOn w:val="Heading1"/>
    <w:next w:val="Normal"/>
    <w:qFormat/>
    <w:rsid w:val="005B7B3D"/>
    <w:pPr>
      <w:keepLines/>
      <w:spacing w:before="480" w:line="276" w:lineRule="auto"/>
      <w:ind w:left="0" w:firstLine="0"/>
      <w:jc w:val="left"/>
      <w:outlineLvl w:val="9"/>
    </w:pPr>
    <w:rPr>
      <w:rFonts w:ascii="Cambria" w:eastAsia="Calibri" w:hAnsi="Cambria"/>
      <w:bCs/>
      <w:color w:val="365F91"/>
      <w:sz w:val="28"/>
      <w:szCs w:val="28"/>
      <w:lang w:val="en-US"/>
    </w:rPr>
  </w:style>
  <w:style w:type="paragraph" w:customStyle="1" w:styleId="Bullets">
    <w:name w:val="Bullets"/>
    <w:basedOn w:val="BodyText"/>
    <w:rsid w:val="005B7B3D"/>
    <w:pPr>
      <w:tabs>
        <w:tab w:val="left" w:pos="648"/>
        <w:tab w:val="left" w:pos="936"/>
      </w:tabs>
      <w:spacing w:after="360"/>
      <w:jc w:val="both"/>
    </w:pPr>
    <w:rPr>
      <w:rFonts w:ascii="Garamond" w:eastAsia="Calibri" w:hAnsi="Garamond"/>
      <w:sz w:val="24"/>
      <w:lang w:eastAsia="en-GB"/>
    </w:rPr>
  </w:style>
  <w:style w:type="paragraph" w:styleId="CommentText">
    <w:name w:val="annotation text"/>
    <w:basedOn w:val="Normal"/>
    <w:semiHidden/>
    <w:rsid w:val="005334B3"/>
    <w:rPr>
      <w:sz w:val="20"/>
    </w:rPr>
  </w:style>
  <w:style w:type="character" w:customStyle="1" w:styleId="Heading2Char">
    <w:name w:val="Heading 2 Char"/>
    <w:basedOn w:val="DefaultParagraphFont"/>
    <w:locked/>
    <w:rsid w:val="00281AFF"/>
    <w:rPr>
      <w:rFonts w:ascii="Arial" w:hAnsi="Arial" w:cs="Arial"/>
      <w:b/>
      <w:bCs/>
      <w:i/>
      <w:iCs/>
      <w:sz w:val="28"/>
      <w:szCs w:val="28"/>
      <w:lang w:eastAsia="en-GB"/>
    </w:rPr>
  </w:style>
  <w:style w:type="table" w:customStyle="1" w:styleId="ColorfulShading-Accent41">
    <w:name w:val="Colorful Shading - Accent 41"/>
    <w:rsid w:val="00281AFF"/>
    <w:rPr>
      <w:rFonts w:ascii="Calibri" w:hAnsi="Calibri"/>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customStyle="1" w:styleId="ColorfulGrid-Accent41">
    <w:name w:val="Colorful Grid - Accent 41"/>
    <w:rsid w:val="00281AFF"/>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customStyle="1" w:styleId="ColorfulList-Accent11">
    <w:name w:val="Colorful List - Accent 11"/>
    <w:rsid w:val="00281AFF"/>
    <w:rPr>
      <w:rFonts w:ascii="Calibri"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customStyle="1" w:styleId="MediumShading2-Accent21">
    <w:name w:val="Medium Shading 2 - Accent 21"/>
    <w:rsid w:val="00281AFF"/>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Grid-Accent11">
    <w:name w:val="Colorful Grid - Accent 11"/>
    <w:rsid w:val="00281AFF"/>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maf">
    <w:name w:val="maf"/>
    <w:basedOn w:val="Default"/>
    <w:next w:val="Default"/>
    <w:rsid w:val="00281AFF"/>
    <w:rPr>
      <w:rFonts w:ascii="Times New Roman" w:eastAsia="Calibri" w:hAnsi="Times New Roman" w:cs="Times New Roman"/>
      <w:color w:val="auto"/>
      <w:lang w:val="en-US" w:eastAsia="en-US"/>
    </w:rPr>
  </w:style>
  <w:style w:type="character" w:customStyle="1" w:styleId="Hyperlink8">
    <w:name w:val="Hyperlink8"/>
    <w:basedOn w:val="DefaultParagraphFont"/>
    <w:rsid w:val="00281AFF"/>
    <w:rPr>
      <w:rFonts w:cs="Times New Roman"/>
      <w:b/>
      <w:bCs/>
      <w:color w:val="336699"/>
      <w:u w:val="none"/>
      <w:effect w:val="none"/>
    </w:rPr>
  </w:style>
  <w:style w:type="paragraph" w:customStyle="1" w:styleId="Question">
    <w:name w:val="Question"/>
    <w:basedOn w:val="Normal"/>
    <w:rsid w:val="00281AFF"/>
    <w:pPr>
      <w:tabs>
        <w:tab w:val="num" w:pos="709"/>
      </w:tabs>
      <w:spacing w:before="160" w:after="100"/>
      <w:ind w:left="709" w:hanging="567"/>
    </w:pPr>
    <w:rPr>
      <w:rFonts w:eastAsia="Calibri"/>
      <w:b/>
      <w:sz w:val="21"/>
    </w:rPr>
  </w:style>
  <w:style w:type="paragraph" w:customStyle="1" w:styleId="Section">
    <w:name w:val="Section"/>
    <w:basedOn w:val="Question"/>
    <w:rsid w:val="00281AFF"/>
    <w:pPr>
      <w:tabs>
        <w:tab w:val="clear" w:pos="709"/>
        <w:tab w:val="num" w:pos="567"/>
      </w:tabs>
      <w:spacing w:before="360" w:after="0"/>
      <w:ind w:left="567"/>
    </w:pPr>
    <w:rPr>
      <w:caps/>
      <w:sz w:val="25"/>
    </w:rPr>
  </w:style>
  <w:style w:type="paragraph" w:customStyle="1" w:styleId="QuestionFollowup">
    <w:name w:val="Question Followup"/>
    <w:basedOn w:val="Question"/>
    <w:rsid w:val="00281AFF"/>
    <w:pPr>
      <w:tabs>
        <w:tab w:val="clear" w:pos="709"/>
        <w:tab w:val="num" w:pos="567"/>
      </w:tabs>
      <w:ind w:left="567"/>
    </w:pPr>
  </w:style>
  <w:style w:type="paragraph" w:customStyle="1" w:styleId="Appendixhead">
    <w:name w:val="Appendix head"/>
    <w:basedOn w:val="Heading1"/>
    <w:next w:val="Normal"/>
    <w:rsid w:val="00281AFF"/>
    <w:pPr>
      <w:keepNext w:val="0"/>
      <w:pageBreakBefore/>
      <w:tabs>
        <w:tab w:val="left" w:pos="1021"/>
        <w:tab w:val="num" w:pos="1800"/>
      </w:tabs>
      <w:spacing w:after="1080"/>
      <w:ind w:left="431" w:hanging="431"/>
      <w:jc w:val="both"/>
      <w:outlineLvl w:val="9"/>
    </w:pPr>
    <w:rPr>
      <w:rFonts w:ascii="Verdana" w:eastAsia="Calibri" w:hAnsi="Verdana"/>
      <w:kern w:val="28"/>
      <w:sz w:val="32"/>
      <w:szCs w:val="24"/>
    </w:rPr>
  </w:style>
  <w:style w:type="paragraph" w:customStyle="1" w:styleId="Appendixtext">
    <w:name w:val="Appendix text"/>
    <w:basedOn w:val="Heading2"/>
    <w:rsid w:val="00281AFF"/>
    <w:pPr>
      <w:keepNext w:val="0"/>
      <w:keepLines/>
      <w:tabs>
        <w:tab w:val="num" w:pos="576"/>
        <w:tab w:val="left" w:pos="1021"/>
        <w:tab w:val="num" w:pos="1152"/>
      </w:tabs>
      <w:spacing w:before="240" w:after="60"/>
      <w:ind w:left="578" w:hanging="578"/>
      <w:jc w:val="both"/>
    </w:pPr>
    <w:rPr>
      <w:rFonts w:ascii="Verdana" w:eastAsia="Calibri" w:hAnsi="Verdana" w:cs="Arial"/>
      <w:b w:val="0"/>
      <w:bCs/>
      <w:iCs/>
      <w:color w:val="auto"/>
      <w:sz w:val="22"/>
      <w:szCs w:val="28"/>
      <w:lang w:val="en-US"/>
    </w:rPr>
  </w:style>
  <w:style w:type="paragraph" w:customStyle="1" w:styleId="bulletscs1">
    <w:name w:val="bullet scs1"/>
    <w:basedOn w:val="Normal"/>
    <w:rsid w:val="00281AFF"/>
    <w:pPr>
      <w:tabs>
        <w:tab w:val="left" w:pos="907"/>
      </w:tabs>
      <w:spacing w:after="120"/>
      <w:ind w:right="658"/>
    </w:pPr>
    <w:rPr>
      <w:rFonts w:eastAsia="Calibri"/>
      <w:sz w:val="22"/>
      <w:szCs w:val="24"/>
    </w:rPr>
  </w:style>
  <w:style w:type="paragraph" w:customStyle="1" w:styleId="wfxRecipient">
    <w:name w:val="wfxRecipient"/>
    <w:basedOn w:val="Normal"/>
    <w:rsid w:val="00281AFF"/>
    <w:rPr>
      <w:rFonts w:ascii="Times New Roman" w:eastAsia="Calibri" w:hAnsi="Times New Roman"/>
      <w:szCs w:val="24"/>
    </w:rPr>
  </w:style>
  <w:style w:type="paragraph" w:customStyle="1" w:styleId="Tabledata">
    <w:name w:val="Table data"/>
    <w:basedOn w:val="Normal"/>
    <w:rsid w:val="00281AFF"/>
    <w:pPr>
      <w:ind w:right="113"/>
      <w:jc w:val="right"/>
    </w:pPr>
    <w:rPr>
      <w:rFonts w:eastAsia="Calibri"/>
      <w:color w:val="000000"/>
      <w:sz w:val="22"/>
      <w:szCs w:val="24"/>
    </w:rPr>
  </w:style>
  <w:style w:type="paragraph" w:customStyle="1" w:styleId="Appendixhead2">
    <w:name w:val="Appendixhead2"/>
    <w:basedOn w:val="Heading2"/>
    <w:rsid w:val="00281AFF"/>
    <w:pPr>
      <w:keepNext w:val="0"/>
      <w:keepLines/>
      <w:tabs>
        <w:tab w:val="left" w:pos="1021"/>
      </w:tabs>
      <w:spacing w:before="120" w:after="120"/>
      <w:ind w:left="142" w:hanging="708"/>
      <w:jc w:val="both"/>
      <w:outlineLvl w:val="9"/>
    </w:pPr>
    <w:rPr>
      <w:rFonts w:ascii="Verdana" w:eastAsia="Calibri" w:hAnsi="Verdana"/>
      <w:b w:val="0"/>
      <w:i/>
      <w:noProof/>
      <w:color w:val="auto"/>
      <w:sz w:val="24"/>
      <w:szCs w:val="24"/>
      <w:u w:val="single"/>
      <w:lang w:val="en-US"/>
    </w:rPr>
  </w:style>
  <w:style w:type="paragraph" w:customStyle="1" w:styleId="TABLEHEADING">
    <w:name w:val="TABLE HEADING"/>
    <w:basedOn w:val="Normal"/>
    <w:rsid w:val="00281AFF"/>
    <w:rPr>
      <w:rFonts w:ascii="Times New Roman" w:eastAsia="Calibri" w:hAnsi="Times New Roman"/>
      <w:b/>
      <w:szCs w:val="24"/>
    </w:rPr>
  </w:style>
  <w:style w:type="paragraph" w:customStyle="1" w:styleId="cncont">
    <w:name w:val="cn_cont"/>
    <w:basedOn w:val="Normal"/>
    <w:rsid w:val="00281AFF"/>
    <w:pPr>
      <w:spacing w:before="100" w:beforeAutospacing="1" w:after="100" w:afterAutospacing="1"/>
    </w:pPr>
    <w:rPr>
      <w:rFonts w:ascii="Verdana" w:eastAsia="Calibri" w:hAnsi="Verdana"/>
      <w:color w:val="000066"/>
      <w:sz w:val="18"/>
      <w:szCs w:val="18"/>
      <w:lang w:val="en-US"/>
    </w:rPr>
  </w:style>
  <w:style w:type="paragraph" w:styleId="TOC4">
    <w:name w:val="toc 4"/>
    <w:basedOn w:val="Normal"/>
    <w:next w:val="Normal"/>
    <w:autoRedefine/>
    <w:rsid w:val="00281AFF"/>
    <w:pPr>
      <w:spacing w:after="100" w:line="276" w:lineRule="auto"/>
      <w:ind w:left="660"/>
    </w:pPr>
    <w:rPr>
      <w:rFonts w:ascii="Calibri" w:eastAsia="Calibri" w:hAnsi="Calibri"/>
      <w:sz w:val="22"/>
      <w:szCs w:val="22"/>
      <w:lang w:eastAsia="en-GB"/>
    </w:rPr>
  </w:style>
  <w:style w:type="paragraph" w:styleId="TOC5">
    <w:name w:val="toc 5"/>
    <w:basedOn w:val="Normal"/>
    <w:next w:val="Normal"/>
    <w:autoRedefine/>
    <w:rsid w:val="00281AFF"/>
    <w:pPr>
      <w:spacing w:after="100" w:line="276" w:lineRule="auto"/>
      <w:ind w:left="880"/>
    </w:pPr>
    <w:rPr>
      <w:rFonts w:ascii="Calibri" w:eastAsia="Calibri" w:hAnsi="Calibri"/>
      <w:sz w:val="22"/>
      <w:szCs w:val="22"/>
      <w:lang w:eastAsia="en-GB"/>
    </w:rPr>
  </w:style>
  <w:style w:type="paragraph" w:styleId="TOC6">
    <w:name w:val="toc 6"/>
    <w:basedOn w:val="Normal"/>
    <w:next w:val="Normal"/>
    <w:autoRedefine/>
    <w:rsid w:val="00281AFF"/>
    <w:pPr>
      <w:spacing w:after="100" w:line="276" w:lineRule="auto"/>
      <w:ind w:left="1100"/>
    </w:pPr>
    <w:rPr>
      <w:rFonts w:ascii="Calibri" w:eastAsia="Calibri" w:hAnsi="Calibri"/>
      <w:sz w:val="22"/>
      <w:szCs w:val="22"/>
      <w:lang w:eastAsia="en-GB"/>
    </w:rPr>
  </w:style>
  <w:style w:type="paragraph" w:styleId="TOC7">
    <w:name w:val="toc 7"/>
    <w:basedOn w:val="Normal"/>
    <w:next w:val="Normal"/>
    <w:autoRedefine/>
    <w:rsid w:val="00281AFF"/>
    <w:pPr>
      <w:spacing w:after="100" w:line="276" w:lineRule="auto"/>
      <w:ind w:left="1320"/>
    </w:pPr>
    <w:rPr>
      <w:rFonts w:ascii="Calibri" w:eastAsia="Calibri" w:hAnsi="Calibri"/>
      <w:sz w:val="22"/>
      <w:szCs w:val="22"/>
      <w:lang w:eastAsia="en-GB"/>
    </w:rPr>
  </w:style>
  <w:style w:type="paragraph" w:styleId="TOC8">
    <w:name w:val="toc 8"/>
    <w:basedOn w:val="Normal"/>
    <w:next w:val="Normal"/>
    <w:autoRedefine/>
    <w:rsid w:val="00281AFF"/>
    <w:pPr>
      <w:spacing w:after="100" w:line="276" w:lineRule="auto"/>
      <w:ind w:left="1540"/>
    </w:pPr>
    <w:rPr>
      <w:rFonts w:ascii="Calibri" w:eastAsia="Calibri" w:hAnsi="Calibri"/>
      <w:sz w:val="22"/>
      <w:szCs w:val="22"/>
      <w:lang w:eastAsia="en-GB"/>
    </w:rPr>
  </w:style>
  <w:style w:type="paragraph" w:styleId="TOC9">
    <w:name w:val="toc 9"/>
    <w:basedOn w:val="Normal"/>
    <w:next w:val="Normal"/>
    <w:autoRedefine/>
    <w:rsid w:val="00281AFF"/>
    <w:pPr>
      <w:spacing w:after="100" w:line="276" w:lineRule="auto"/>
      <w:ind w:left="1760"/>
    </w:pPr>
    <w:rPr>
      <w:rFonts w:ascii="Calibri" w:eastAsia="Calibri" w:hAnsi="Calibri"/>
      <w:sz w:val="22"/>
      <w:szCs w:val="22"/>
      <w:lang w:eastAsia="en-GB"/>
    </w:rPr>
  </w:style>
  <w:style w:type="character" w:customStyle="1" w:styleId="subhead21">
    <w:name w:val="subhead21"/>
    <w:basedOn w:val="DefaultParagraphFont"/>
    <w:rsid w:val="00281AFF"/>
    <w:rPr>
      <w:rFonts w:ascii="Arial" w:hAnsi="Arial" w:cs="Arial"/>
      <w:b/>
      <w:bCs/>
      <w:color w:val="559EDA"/>
      <w:sz w:val="22"/>
      <w:szCs w:val="22"/>
    </w:rPr>
  </w:style>
  <w:style w:type="paragraph" w:customStyle="1" w:styleId="Style1">
    <w:name w:val="Style1"/>
    <w:basedOn w:val="Heading1"/>
    <w:rsid w:val="00281AFF"/>
    <w:pPr>
      <w:spacing w:before="240" w:after="60"/>
      <w:ind w:left="0" w:firstLine="0"/>
      <w:jc w:val="left"/>
    </w:pPr>
    <w:rPr>
      <w:rFonts w:ascii="FoundryFormSans-Book" w:eastAsia="Calibri" w:hAnsi="FoundryFormSans-Book" w:cs="FoundryFormSans-Book"/>
      <w:bCs/>
      <w:color w:val="008000"/>
      <w:kern w:val="32"/>
      <w:sz w:val="40"/>
      <w:szCs w:val="40"/>
      <w:lang w:val="en-US"/>
    </w:rPr>
  </w:style>
  <w:style w:type="table" w:customStyle="1" w:styleId="MediumList2-Accent11">
    <w:name w:val="Medium List 2 - Accent 11"/>
    <w:rsid w:val="00281AFF"/>
    <w:rPr>
      <w:rFonts w:ascii="Cambria" w:eastAsia="Calibri" w:hAnsi="Cambria"/>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tabs">
    <w:name w:val="tabs"/>
    <w:basedOn w:val="Normal"/>
    <w:next w:val="Normal"/>
    <w:rsid w:val="00281AFF"/>
    <w:rPr>
      <w:rFonts w:ascii="Garamond" w:eastAsia="Calibri" w:hAnsi="Garamond"/>
      <w:sz w:val="22"/>
      <w:lang w:eastAsia="en-GB"/>
    </w:rPr>
  </w:style>
  <w:style w:type="paragraph" w:customStyle="1" w:styleId="Heading2NonTOC">
    <w:name w:val="Heading 2 Non TOC"/>
    <w:basedOn w:val="BodyText"/>
    <w:next w:val="BodyText"/>
    <w:rsid w:val="00281AFF"/>
    <w:pPr>
      <w:keepNext/>
      <w:spacing w:after="120"/>
    </w:pPr>
    <w:rPr>
      <w:rFonts w:ascii="RotisSansSerifExtraBold" w:eastAsia="Calibri" w:hAnsi="RotisSansSerifExtraBold"/>
      <w:sz w:val="32"/>
      <w:lang w:eastAsia="en-GB"/>
    </w:rPr>
  </w:style>
  <w:style w:type="table" w:customStyle="1" w:styleId="LightList1">
    <w:name w:val="Light List1"/>
    <w:rsid w:val="00281AFF"/>
    <w:rPr>
      <w:rFonts w:ascii="Calibri" w:eastAsia="Calibri" w:hAnsi="Calibri"/>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harChar11">
    <w:name w:val="Char Char11"/>
    <w:basedOn w:val="DefaultParagraphFont"/>
    <w:rsid w:val="009F6BE0"/>
    <w:rPr>
      <w:rFonts w:ascii="Arial" w:eastAsia="Times New Roman" w:hAnsi="Arial" w:cs="Arial"/>
      <w:b/>
      <w:bCs/>
      <w:i/>
      <w:iCs/>
      <w:sz w:val="28"/>
      <w:szCs w:val="28"/>
      <w:lang w:eastAsia="en-GB"/>
    </w:rPr>
  </w:style>
  <w:style w:type="character" w:customStyle="1" w:styleId="CharChar7">
    <w:name w:val="Char Char7"/>
    <w:basedOn w:val="DefaultParagraphFont"/>
    <w:rsid w:val="009F6BE0"/>
    <w:rPr>
      <w:rFonts w:ascii="Novarese Medium" w:eastAsia="Times New Roman" w:hAnsi="Novarese Medium" w:cs="Tahoma"/>
      <w:b/>
      <w:bCs/>
      <w:spacing w:val="-3"/>
      <w:sz w:val="24"/>
      <w:szCs w:val="24"/>
    </w:rPr>
  </w:style>
  <w:style w:type="character" w:customStyle="1" w:styleId="CharChar6">
    <w:name w:val="Char Char6"/>
    <w:basedOn w:val="DefaultParagraphFont"/>
    <w:rsid w:val="009F6BE0"/>
    <w:rPr>
      <w:rFonts w:ascii="Times New Roman" w:eastAsia="Times New Roman" w:hAnsi="Times New Roman" w:cs="Times New Roman"/>
      <w:sz w:val="24"/>
      <w:szCs w:val="24"/>
      <w:lang w:eastAsia="en-GB"/>
    </w:rPr>
  </w:style>
  <w:style w:type="character" w:customStyle="1" w:styleId="CharChar4">
    <w:name w:val="Char Char4"/>
    <w:basedOn w:val="DefaultParagraphFont"/>
    <w:rsid w:val="009F6BE0"/>
    <w:rPr>
      <w:rFonts w:ascii="Times New Roman" w:eastAsia="Times New Roman" w:hAnsi="Times New Roman" w:cs="Times New Roman"/>
      <w:sz w:val="24"/>
      <w:szCs w:val="24"/>
      <w:lang w:eastAsia="en-GB"/>
    </w:rPr>
  </w:style>
  <w:style w:type="character" w:customStyle="1" w:styleId="CharChar12">
    <w:name w:val="Char Char12"/>
    <w:basedOn w:val="DefaultParagraphFont"/>
    <w:rsid w:val="009F6BE0"/>
    <w:rPr>
      <w:rFonts w:ascii="Cambria" w:eastAsia="Times New Roman" w:hAnsi="Cambria" w:cs="Times New Roman"/>
      <w:b/>
      <w:bCs/>
      <w:color w:val="365F91"/>
      <w:sz w:val="28"/>
      <w:szCs w:val="28"/>
      <w:lang w:eastAsia="en-GB"/>
    </w:rPr>
  </w:style>
  <w:style w:type="character" w:customStyle="1" w:styleId="CharChar10">
    <w:name w:val="Char Char10"/>
    <w:basedOn w:val="DefaultParagraphFont"/>
    <w:rsid w:val="009F6BE0"/>
    <w:rPr>
      <w:rFonts w:ascii="Arial" w:eastAsia="Times New Roman" w:hAnsi="Arial" w:cs="Arial"/>
      <w:b/>
      <w:bCs/>
      <w:sz w:val="26"/>
      <w:szCs w:val="26"/>
      <w:lang w:eastAsia="en-GB"/>
    </w:rPr>
  </w:style>
  <w:style w:type="character" w:customStyle="1" w:styleId="CharChar9">
    <w:name w:val="Char Char9"/>
    <w:basedOn w:val="DefaultParagraphFont"/>
    <w:rsid w:val="009F6BE0"/>
    <w:rPr>
      <w:rFonts w:ascii="Times New Roman" w:eastAsia="Times New Roman" w:hAnsi="Times New Roman" w:cs="Times New Roman"/>
      <w:i/>
      <w:iCs/>
      <w:sz w:val="24"/>
      <w:szCs w:val="24"/>
      <w:lang w:eastAsia="en-GB"/>
    </w:rPr>
  </w:style>
  <w:style w:type="character" w:customStyle="1" w:styleId="CharChar2">
    <w:name w:val="Char Char2"/>
    <w:basedOn w:val="DefaultParagraphFont"/>
    <w:rsid w:val="009F6BE0"/>
    <w:rPr>
      <w:rFonts w:ascii="Arial" w:eastAsia="Times New Roman" w:hAnsi="Arial" w:cs="Times New Roman"/>
      <w:sz w:val="24"/>
      <w:szCs w:val="20"/>
    </w:rPr>
  </w:style>
  <w:style w:type="character" w:customStyle="1" w:styleId="CharChar">
    <w:name w:val="Char Char"/>
    <w:basedOn w:val="DefaultParagraphFont"/>
    <w:rsid w:val="009F6BE0"/>
    <w:rPr>
      <w:rFonts w:ascii="Times New Roman" w:eastAsia="Times New Roman" w:hAnsi="Times New Roman" w:cs="Times New Roman"/>
      <w:b/>
      <w:bCs/>
      <w:sz w:val="24"/>
      <w:szCs w:val="24"/>
    </w:rPr>
  </w:style>
  <w:style w:type="character" w:styleId="CommentReference">
    <w:name w:val="annotation reference"/>
    <w:basedOn w:val="DefaultParagraphFont"/>
    <w:semiHidden/>
    <w:rsid w:val="004206B5"/>
    <w:rPr>
      <w:sz w:val="16"/>
      <w:szCs w:val="16"/>
    </w:rPr>
  </w:style>
  <w:style w:type="paragraph" w:customStyle="1" w:styleId="intro">
    <w:name w:val="intro"/>
    <w:basedOn w:val="Normal"/>
    <w:rsid w:val="00344FB6"/>
    <w:pPr>
      <w:spacing w:before="100" w:beforeAutospacing="1" w:after="100" w:afterAutospacing="1"/>
    </w:pPr>
    <w:rPr>
      <w:rFonts w:ascii="Times New Roman" w:hAnsi="Times New Roman"/>
      <w:color w:val="003366"/>
      <w:sz w:val="29"/>
      <w:szCs w:val="29"/>
      <w:lang w:eastAsia="en-GB"/>
    </w:rPr>
  </w:style>
  <w:style w:type="paragraph" w:styleId="Index1">
    <w:name w:val="index 1"/>
    <w:basedOn w:val="Normal"/>
    <w:next w:val="Normal"/>
    <w:autoRedefine/>
    <w:semiHidden/>
    <w:rsid w:val="00BA3CD7"/>
    <w:pPr>
      <w:ind w:left="240" w:hanging="240"/>
    </w:pPr>
    <w:rPr>
      <w:rFonts w:ascii="Times New Roman" w:hAnsi="Times New Roman"/>
      <w:szCs w:val="24"/>
      <w:lang w:eastAsia="en-GB"/>
    </w:rPr>
  </w:style>
  <w:style w:type="paragraph" w:customStyle="1" w:styleId="FooterAssetFinanceflyers">
    <w:name w:val="Footer (Asset Finance flyers)"/>
    <w:basedOn w:val="Normal"/>
    <w:rsid w:val="00BA3CD7"/>
    <w:pPr>
      <w:suppressAutoHyphens/>
      <w:autoSpaceDE w:val="0"/>
      <w:autoSpaceDN w:val="0"/>
      <w:adjustRightInd w:val="0"/>
      <w:spacing w:line="200" w:lineRule="atLeast"/>
      <w:jc w:val="both"/>
      <w:textAlignment w:val="center"/>
    </w:pPr>
    <w:rPr>
      <w:rFonts w:ascii="Bliss 2 Regular" w:hAnsi="Bliss 2 Regular" w:cs="Bliss 2 Regular"/>
      <w:color w:val="006792"/>
      <w:spacing w:val="-5"/>
      <w:sz w:val="16"/>
      <w:szCs w:val="16"/>
    </w:rPr>
  </w:style>
  <w:style w:type="character" w:customStyle="1" w:styleId="normaltext1">
    <w:name w:val="normaltext1"/>
    <w:basedOn w:val="DefaultParagraphFont"/>
    <w:rsid w:val="00BA3CD7"/>
    <w:rPr>
      <w:rFonts w:ascii="Arial" w:hAnsi="Arial" w:cs="Arial" w:hint="default"/>
      <w:i w:val="0"/>
      <w:iCs w:val="0"/>
      <w:color w:val="666666"/>
      <w:sz w:val="13"/>
      <w:szCs w:val="13"/>
    </w:rPr>
  </w:style>
  <w:style w:type="character" w:customStyle="1" w:styleId="enquiry1">
    <w:name w:val="enquiry1"/>
    <w:basedOn w:val="DefaultParagraphFont"/>
    <w:rsid w:val="00BA3CD7"/>
    <w:rPr>
      <w:rFonts w:ascii="Verdana" w:hAnsi="Verdana" w:hint="default"/>
      <w:b w:val="0"/>
      <w:bCs w:val="0"/>
      <w:i w:val="0"/>
      <w:iCs w:val="0"/>
      <w:strike w:val="0"/>
      <w:dstrike w:val="0"/>
      <w:color w:val="333366"/>
      <w:sz w:val="15"/>
      <w:szCs w:val="15"/>
      <w:u w:val="none"/>
      <w:effect w:val="none"/>
    </w:rPr>
  </w:style>
  <w:style w:type="character" w:customStyle="1" w:styleId="StyleComplexArialComplex11pt">
    <w:name w:val="Style (Complex) Arial (Complex) 11 pt"/>
    <w:basedOn w:val="DefaultParagraphFont"/>
    <w:rsid w:val="001313AE"/>
    <w:rPr>
      <w:rFonts w:cs="Arial"/>
      <w:sz w:val="22"/>
      <w:szCs w:val="22"/>
    </w:rPr>
  </w:style>
  <w:style w:type="paragraph" w:customStyle="1" w:styleId="ecxmsonormal">
    <w:name w:val="ecxmsonormal"/>
    <w:basedOn w:val="Normal"/>
    <w:rsid w:val="007B6F69"/>
    <w:pPr>
      <w:spacing w:after="324"/>
    </w:pPr>
    <w:rPr>
      <w:rFonts w:ascii="Times New Roman" w:hAnsi="Times New Roman"/>
      <w:szCs w:val="24"/>
      <w:lang w:val="en-US"/>
    </w:rPr>
  </w:style>
  <w:style w:type="character" w:customStyle="1" w:styleId="SectionHeadingCharChar">
    <w:name w:val="Section Heading Char Char"/>
    <w:basedOn w:val="DefaultParagraphFont"/>
    <w:locked/>
    <w:rsid w:val="00CA4E51"/>
    <w:rPr>
      <w:rFonts w:ascii="Arial" w:hAnsi="Arial"/>
      <w:b/>
      <w:sz w:val="22"/>
      <w:lang w:val="en-GB" w:eastAsia="en-US" w:bidi="ar-SA"/>
    </w:rPr>
  </w:style>
  <w:style w:type="character" w:customStyle="1" w:styleId="CharChar19">
    <w:name w:val="Char Char19"/>
    <w:basedOn w:val="DefaultParagraphFont"/>
    <w:locked/>
    <w:rsid w:val="00CA4E51"/>
    <w:rPr>
      <w:rFonts w:ascii="Arial" w:hAnsi="Arial"/>
      <w:b/>
      <w:i/>
      <w:sz w:val="22"/>
      <w:lang w:val="en-GB" w:eastAsia="en-US" w:bidi="ar-SA"/>
    </w:rPr>
  </w:style>
  <w:style w:type="character" w:customStyle="1" w:styleId="CharChar18">
    <w:name w:val="Char Char18"/>
    <w:basedOn w:val="DefaultParagraphFont"/>
    <w:locked/>
    <w:rsid w:val="00CA4E51"/>
    <w:rPr>
      <w:rFonts w:ascii="Arial" w:hAnsi="Arial"/>
      <w:b/>
      <w:sz w:val="22"/>
      <w:lang w:val="en-GB" w:eastAsia="en-US" w:bidi="ar-SA"/>
    </w:rPr>
  </w:style>
  <w:style w:type="character" w:customStyle="1" w:styleId="CharChar17">
    <w:name w:val="Char Char17"/>
    <w:basedOn w:val="DefaultParagraphFont"/>
    <w:locked/>
    <w:rsid w:val="00CA4E51"/>
    <w:rPr>
      <w:rFonts w:ascii="Arial" w:hAnsi="Arial"/>
      <w:sz w:val="24"/>
      <w:lang w:val="en-GB" w:eastAsia="en-US" w:bidi="ar-SA"/>
    </w:rPr>
  </w:style>
  <w:style w:type="character" w:customStyle="1" w:styleId="CharChar16">
    <w:name w:val="Char Char16"/>
    <w:basedOn w:val="DefaultParagraphFont"/>
    <w:locked/>
    <w:rsid w:val="00CA4E51"/>
    <w:rPr>
      <w:rFonts w:ascii="Arial" w:hAnsi="Arial"/>
      <w:sz w:val="24"/>
      <w:lang w:val="en-GB" w:eastAsia="en-US" w:bidi="ar-SA"/>
    </w:rPr>
  </w:style>
  <w:style w:type="character" w:customStyle="1" w:styleId="CharChar15">
    <w:name w:val="Char Char15"/>
    <w:basedOn w:val="DefaultParagraphFont"/>
    <w:locked/>
    <w:rsid w:val="00CA4E51"/>
    <w:rPr>
      <w:rFonts w:ascii="Arial" w:hAnsi="Arial"/>
      <w:sz w:val="22"/>
      <w:lang w:val="en-GB" w:eastAsia="en-US" w:bidi="ar-SA"/>
    </w:rPr>
  </w:style>
  <w:style w:type="character" w:customStyle="1" w:styleId="CharChar14">
    <w:name w:val="Char Char14"/>
    <w:basedOn w:val="DefaultParagraphFont"/>
    <w:locked/>
    <w:rsid w:val="00CA4E51"/>
    <w:rPr>
      <w:rFonts w:ascii="Arial" w:hAnsi="Arial"/>
      <w:b/>
      <w:sz w:val="22"/>
      <w:lang w:val="en-GB" w:eastAsia="en-US" w:bidi="ar-SA"/>
    </w:rPr>
  </w:style>
  <w:style w:type="character" w:customStyle="1" w:styleId="CharChar8">
    <w:name w:val="Char Char8"/>
    <w:basedOn w:val="DefaultParagraphFont"/>
    <w:locked/>
    <w:rsid w:val="00CA4E51"/>
    <w:rPr>
      <w:rFonts w:ascii="Arial" w:hAnsi="Arial"/>
      <w:sz w:val="18"/>
      <w:lang w:val="en-GB" w:eastAsia="en-US" w:bidi="ar-SA"/>
    </w:rPr>
  </w:style>
  <w:style w:type="paragraph" w:customStyle="1" w:styleId="abody">
    <w:name w:val="a body"/>
    <w:basedOn w:val="Normal"/>
    <w:link w:val="abodyChar"/>
    <w:qFormat/>
    <w:rsid w:val="00D62C7D"/>
    <w:pPr>
      <w:numPr>
        <w:ilvl w:val="1"/>
        <w:numId w:val="1"/>
      </w:numPr>
      <w:spacing w:before="120" w:after="240" w:line="300" w:lineRule="exact"/>
      <w:jc w:val="both"/>
    </w:pPr>
    <w:rPr>
      <w:color w:val="323232"/>
      <w:sz w:val="22"/>
      <w:szCs w:val="28"/>
    </w:rPr>
  </w:style>
  <w:style w:type="character" w:customStyle="1" w:styleId="abodyChar">
    <w:name w:val="a body Char"/>
    <w:link w:val="abody"/>
    <w:rsid w:val="00D62C7D"/>
    <w:rPr>
      <w:rFonts w:ascii="Arial" w:hAnsi="Arial"/>
      <w:color w:val="323232"/>
      <w:sz w:val="22"/>
      <w:szCs w:val="28"/>
      <w:lang w:eastAsia="en-US" w:bidi="ar-SA"/>
    </w:rPr>
  </w:style>
  <w:style w:type="paragraph" w:customStyle="1" w:styleId="Style4">
    <w:name w:val="Style4"/>
    <w:basedOn w:val="abody"/>
    <w:link w:val="Style4Char"/>
    <w:qFormat/>
    <w:rsid w:val="00D62C7D"/>
    <w:pPr>
      <w:numPr>
        <w:ilvl w:val="0"/>
        <w:numId w:val="2"/>
      </w:numPr>
    </w:pPr>
  </w:style>
  <w:style w:type="character" w:customStyle="1" w:styleId="Style4Char">
    <w:name w:val="Style4 Char"/>
    <w:basedOn w:val="abodyChar"/>
    <w:link w:val="Style4"/>
    <w:rsid w:val="00D62C7D"/>
    <w:rPr>
      <w:rFonts w:ascii="Arial" w:hAnsi="Arial"/>
      <w:color w:val="323232"/>
      <w:sz w:val="22"/>
      <w:szCs w:val="28"/>
      <w:lang w:val="en-GB" w:eastAsia="en-US" w:bidi="ar-SA"/>
    </w:rPr>
  </w:style>
  <w:style w:type="paragraph" w:customStyle="1" w:styleId="ReportHeader">
    <w:name w:val="Report Header"/>
    <w:basedOn w:val="Normal"/>
    <w:rsid w:val="00817A94"/>
    <w:pPr>
      <w:numPr>
        <w:numId w:val="3"/>
      </w:numPr>
      <w:spacing w:after="240"/>
      <w:jc w:val="both"/>
    </w:pPr>
    <w:rPr>
      <w:rFonts w:cs="Arial"/>
      <w:b/>
      <w:sz w:val="22"/>
      <w:szCs w:val="24"/>
    </w:rPr>
  </w:style>
  <w:style w:type="paragraph" w:customStyle="1" w:styleId="ReportText">
    <w:name w:val="Report Text"/>
    <w:basedOn w:val="Normal"/>
    <w:rsid w:val="00817A94"/>
    <w:pPr>
      <w:numPr>
        <w:ilvl w:val="1"/>
        <w:numId w:val="3"/>
      </w:numPr>
      <w:spacing w:after="240"/>
      <w:jc w:val="both"/>
    </w:pPr>
    <w:rPr>
      <w:rFonts w:cs="Arial"/>
      <w:sz w:val="22"/>
      <w:szCs w:val="24"/>
    </w:rPr>
  </w:style>
  <w:style w:type="paragraph" w:customStyle="1" w:styleId="ReportBody">
    <w:name w:val="Report Body"/>
    <w:basedOn w:val="Heading1"/>
    <w:rsid w:val="00817A94"/>
    <w:pPr>
      <w:keepNext w:val="0"/>
      <w:tabs>
        <w:tab w:val="num" w:pos="720"/>
        <w:tab w:val="right" w:pos="9000"/>
      </w:tabs>
      <w:spacing w:after="240"/>
      <w:jc w:val="left"/>
    </w:pPr>
    <w:rPr>
      <w:iCs/>
      <w:sz w:val="24"/>
      <w:szCs w:val="24"/>
      <w:u w:val="single"/>
    </w:rPr>
  </w:style>
  <w:style w:type="paragraph" w:styleId="PlainText">
    <w:name w:val="Plain Text"/>
    <w:basedOn w:val="Normal"/>
    <w:rsid w:val="00F23D09"/>
    <w:pPr>
      <w:spacing w:before="100" w:beforeAutospacing="1" w:after="100" w:afterAutospacing="1"/>
    </w:pPr>
    <w:rPr>
      <w:rFonts w:ascii="Times New Roman" w:hAnsi="Times New Roman"/>
      <w:szCs w:val="24"/>
      <w:lang w:eastAsia="en-GB"/>
    </w:rPr>
  </w:style>
  <w:style w:type="table" w:styleId="TableColumns3">
    <w:name w:val="Table Columns 3"/>
    <w:basedOn w:val="TableNormal"/>
    <w:rsid w:val="005A559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A4C7C"/>
    <w:rPr>
      <w:rFonts w:ascii="Arial" w:hAnsi="Arial"/>
      <w:sz w:val="24"/>
      <w:lang w:eastAsia="en-US"/>
    </w:rPr>
  </w:style>
  <w:style w:type="paragraph" w:styleId="Heading1">
    <w:name w:val="heading 1"/>
    <w:aliases w:val="Section Heading"/>
    <w:basedOn w:val="Normal"/>
    <w:next w:val="Normal"/>
    <w:link w:val="Heading1Char"/>
    <w:qFormat/>
    <w:pPr>
      <w:keepNext/>
      <w:ind w:left="720" w:hanging="720"/>
      <w:jc w:val="center"/>
      <w:outlineLvl w:val="0"/>
    </w:pPr>
    <w:rPr>
      <w:b/>
      <w:sz w:val="22"/>
    </w:rPr>
  </w:style>
  <w:style w:type="paragraph" w:styleId="Heading2">
    <w:name w:val="heading 2"/>
    <w:aliases w:val="2,Level 2 Heading"/>
    <w:basedOn w:val="Normal"/>
    <w:next w:val="Normal"/>
    <w:link w:val="Heading2Char1"/>
    <w:qFormat/>
    <w:pPr>
      <w:keepNext/>
      <w:jc w:val="center"/>
      <w:outlineLvl w:val="1"/>
    </w:pPr>
    <w:rPr>
      <w:b/>
      <w:color w:val="000000"/>
      <w:sz w:val="20"/>
    </w:rPr>
  </w:style>
  <w:style w:type="paragraph" w:styleId="Heading3">
    <w:name w:val="heading 3"/>
    <w:basedOn w:val="Normal"/>
    <w:next w:val="Normal"/>
    <w:link w:val="Heading3Char"/>
    <w:qFormat/>
    <w:pPr>
      <w:keepNext/>
      <w:ind w:left="720" w:hanging="720"/>
      <w:outlineLvl w:val="2"/>
    </w:pPr>
    <w:rPr>
      <w:b/>
      <w:i/>
      <w:sz w:val="22"/>
    </w:rPr>
  </w:style>
  <w:style w:type="paragraph" w:styleId="Heading4">
    <w:name w:val="heading 4"/>
    <w:basedOn w:val="Normal"/>
    <w:next w:val="Normal"/>
    <w:qFormat/>
    <w:pPr>
      <w:keepNext/>
      <w:ind w:left="720"/>
      <w:outlineLvl w:val="3"/>
    </w:pPr>
    <w:rPr>
      <w:b/>
      <w:i/>
      <w:sz w:val="22"/>
    </w:rPr>
  </w:style>
  <w:style w:type="paragraph" w:styleId="Heading5">
    <w:name w:val="heading 5"/>
    <w:basedOn w:val="Normal"/>
    <w:next w:val="Normal"/>
    <w:qFormat/>
    <w:pPr>
      <w:keepNext/>
      <w:ind w:left="720"/>
      <w:outlineLvl w:val="4"/>
    </w:pPr>
    <w:rPr>
      <w:b/>
      <w:i/>
    </w:rPr>
  </w:style>
  <w:style w:type="paragraph" w:styleId="Heading6">
    <w:name w:val="heading 6"/>
    <w:basedOn w:val="Normal"/>
    <w:next w:val="Normal"/>
    <w:qFormat/>
    <w:pPr>
      <w:keepNext/>
      <w:jc w:val="center"/>
      <w:outlineLvl w:val="5"/>
    </w:pPr>
    <w:rPr>
      <w:b/>
      <w:color w:val="000000"/>
      <w:sz w:val="22"/>
    </w:rPr>
  </w:style>
  <w:style w:type="paragraph" w:styleId="Heading7">
    <w:name w:val="heading 7"/>
    <w:basedOn w:val="Normal"/>
    <w:next w:val="Normal"/>
    <w:qFormat/>
    <w:pPr>
      <w:keepNext/>
      <w:jc w:val="right"/>
      <w:outlineLvl w:val="6"/>
    </w:pPr>
    <w:rPr>
      <w:b/>
      <w:sz w:val="22"/>
    </w:rPr>
  </w:style>
  <w:style w:type="paragraph" w:styleId="Heading8">
    <w:name w:val="heading 8"/>
    <w:basedOn w:val="Normal"/>
    <w:next w:val="Normal"/>
    <w:link w:val="Heading8Char"/>
    <w:qFormat/>
    <w:pPr>
      <w:keepNext/>
      <w:outlineLvl w:val="7"/>
    </w:pPr>
    <w:rPr>
      <w:b/>
      <w:sz w:val="22"/>
    </w:rPr>
  </w:style>
  <w:style w:type="paragraph" w:styleId="Heading9">
    <w:name w:val="heading 9"/>
    <w:basedOn w:val="Normal"/>
    <w:next w:val="Normal"/>
    <w:qFormat/>
    <w:pPr>
      <w:keepNext/>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locked/>
    <w:rsid w:val="00281AFF"/>
    <w:rPr>
      <w:rFonts w:ascii="Arial" w:hAnsi="Arial"/>
      <w:b/>
      <w:sz w:val="22"/>
      <w:lang w:val="en-GB" w:eastAsia="en-US" w:bidi="ar-SA"/>
    </w:rPr>
  </w:style>
  <w:style w:type="character" w:customStyle="1" w:styleId="Heading2Char1">
    <w:name w:val="Heading 2 Char1"/>
    <w:aliases w:val="2 Char1,Level 2 Heading Char1"/>
    <w:basedOn w:val="DefaultParagraphFont"/>
    <w:link w:val="Heading2"/>
    <w:rsid w:val="002C3056"/>
    <w:rPr>
      <w:rFonts w:ascii="Arial" w:hAnsi="Arial"/>
      <w:b/>
      <w:color w:val="000000"/>
      <w:lang w:val="en-GB" w:eastAsia="en-US" w:bidi="ar-SA"/>
    </w:rPr>
  </w:style>
  <w:style w:type="character" w:customStyle="1" w:styleId="Heading3Char">
    <w:name w:val="Heading 3 Char"/>
    <w:basedOn w:val="DefaultParagraphFont"/>
    <w:link w:val="Heading3"/>
    <w:locked/>
    <w:rsid w:val="00281AFF"/>
    <w:rPr>
      <w:rFonts w:ascii="Arial" w:hAnsi="Arial"/>
      <w:b/>
      <w:i/>
      <w:sz w:val="22"/>
      <w:lang w:val="en-GB" w:eastAsia="en-US" w:bidi="ar-SA"/>
    </w:rPr>
  </w:style>
  <w:style w:type="character" w:customStyle="1" w:styleId="Heading8Char">
    <w:name w:val="Heading 8 Char"/>
    <w:basedOn w:val="DefaultParagraphFont"/>
    <w:link w:val="Heading8"/>
    <w:locked/>
    <w:rsid w:val="00281AFF"/>
    <w:rPr>
      <w:rFonts w:ascii="Arial" w:hAnsi="Arial"/>
      <w:b/>
      <w:sz w:val="22"/>
      <w:lang w:val="en-GB" w:eastAsia="en-US" w:bidi="ar-SA"/>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locked/>
    <w:rsid w:val="005B7B3D"/>
    <w:rPr>
      <w:rFonts w:ascii="Arial" w:hAnsi="Arial"/>
      <w:sz w:val="24"/>
      <w:lang w:val="en-GB" w:eastAsia="en-US" w:bidi="ar-SA"/>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5B7B3D"/>
    <w:rPr>
      <w:rFonts w:ascii="Arial" w:hAnsi="Arial"/>
      <w:sz w:val="24"/>
      <w:lang w:val="en-GB" w:eastAsia="en-US" w:bidi="ar-SA"/>
    </w:rPr>
  </w:style>
  <w:style w:type="paragraph" w:styleId="BodyTextIndent">
    <w:name w:val="Body Text Indent"/>
    <w:basedOn w:val="Normal"/>
    <w:pPr>
      <w:ind w:left="720" w:hanging="720"/>
    </w:pPr>
    <w:rPr>
      <w:b/>
      <w:sz w:val="22"/>
    </w:rPr>
  </w:style>
  <w:style w:type="paragraph" w:styleId="BodyTextIndent2">
    <w:name w:val="Body Text Indent 2"/>
    <w:basedOn w:val="Normal"/>
    <w:link w:val="BodyTextIndent2Char"/>
    <w:pPr>
      <w:ind w:left="720" w:hanging="720"/>
    </w:pPr>
    <w:rPr>
      <w:sz w:val="22"/>
    </w:rPr>
  </w:style>
  <w:style w:type="character" w:customStyle="1" w:styleId="BodyTextIndent2Char">
    <w:name w:val="Body Text Indent 2 Char"/>
    <w:basedOn w:val="DefaultParagraphFont"/>
    <w:link w:val="BodyTextIndent2"/>
    <w:locked/>
    <w:rsid w:val="00281AFF"/>
    <w:rPr>
      <w:rFonts w:ascii="Arial" w:hAnsi="Arial"/>
      <w:sz w:val="22"/>
      <w:lang w:val="en-GB" w:eastAsia="en-US" w:bidi="ar-SA"/>
    </w:rPr>
  </w:style>
  <w:style w:type="paragraph" w:styleId="BodyTextIndent3">
    <w:name w:val="Body Text Indent 3"/>
    <w:basedOn w:val="Normal"/>
    <w:pPr>
      <w:ind w:left="1418" w:hanging="709"/>
    </w:pPr>
    <w:rPr>
      <w:sz w:val="22"/>
    </w:rPr>
  </w:style>
  <w:style w:type="paragraph" w:styleId="Title">
    <w:name w:val="Title"/>
    <w:basedOn w:val="Normal"/>
    <w:qFormat/>
    <w:pPr>
      <w:jc w:val="center"/>
    </w:pPr>
    <w:rPr>
      <w:b/>
      <w:sz w:val="22"/>
    </w:rPr>
  </w:style>
  <w:style w:type="paragraph" w:styleId="Subtitle">
    <w:name w:val="Subtitle"/>
    <w:basedOn w:val="Normal"/>
    <w:link w:val="SubtitleChar"/>
    <w:qFormat/>
    <w:pPr>
      <w:jc w:val="center"/>
    </w:pPr>
    <w:rPr>
      <w:b/>
      <w:sz w:val="22"/>
    </w:rPr>
  </w:style>
  <w:style w:type="character" w:customStyle="1" w:styleId="SubtitleChar">
    <w:name w:val="Subtitle Char"/>
    <w:basedOn w:val="DefaultParagraphFont"/>
    <w:link w:val="Subtitle"/>
    <w:locked/>
    <w:rsid w:val="00281AFF"/>
    <w:rPr>
      <w:rFonts w:ascii="Arial" w:hAnsi="Arial"/>
      <w:b/>
      <w:sz w:val="22"/>
      <w:lang w:val="en-GB" w:eastAsia="en-US" w:bidi="ar-SA"/>
    </w:rPr>
  </w:style>
  <w:style w:type="paragraph" w:styleId="BodyText">
    <w:name w:val="Body Text"/>
    <w:basedOn w:val="Normal"/>
    <w:link w:val="BodyTextChar"/>
    <w:rPr>
      <w:sz w:val="22"/>
    </w:rPr>
  </w:style>
  <w:style w:type="character" w:customStyle="1" w:styleId="BodyTextChar">
    <w:name w:val="Body Text Char"/>
    <w:basedOn w:val="DefaultParagraphFont"/>
    <w:link w:val="BodyText"/>
    <w:semiHidden/>
    <w:locked/>
    <w:rsid w:val="00281AFF"/>
    <w:rPr>
      <w:rFonts w:ascii="Arial" w:hAnsi="Arial"/>
      <w:sz w:val="22"/>
      <w:lang w:val="en-GB" w:eastAsia="en-US" w:bidi="ar-SA"/>
    </w:rPr>
  </w:style>
  <w:style w:type="paragraph" w:styleId="BodyText2">
    <w:name w:val="Body Text 2"/>
    <w:basedOn w:val="Normal"/>
    <w:link w:val="BodyText2Char"/>
    <w:rPr>
      <w:sz w:val="18"/>
    </w:rPr>
  </w:style>
  <w:style w:type="character" w:customStyle="1" w:styleId="BodyText2Char">
    <w:name w:val="Body Text 2 Char"/>
    <w:basedOn w:val="DefaultParagraphFont"/>
    <w:link w:val="BodyText2"/>
    <w:locked/>
    <w:rsid w:val="00281AFF"/>
    <w:rPr>
      <w:rFonts w:ascii="Arial" w:hAnsi="Arial"/>
      <w:sz w:val="18"/>
      <w:lang w:val="en-GB" w:eastAsia="en-US" w:bidi="ar-SA"/>
    </w:rPr>
  </w:style>
  <w:style w:type="paragraph" w:styleId="BodyText3">
    <w:name w:val="Body Text 3"/>
    <w:basedOn w:val="Normal"/>
    <w:rPr>
      <w:b/>
      <w:sz w:val="18"/>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basedOn w:val="DefaultParagraphFont"/>
    <w:link w:val="DocumentMap"/>
    <w:semiHidden/>
    <w:locked/>
    <w:rsid w:val="00281AFF"/>
    <w:rPr>
      <w:rFonts w:ascii="Tahoma" w:hAnsi="Tahoma"/>
      <w:sz w:val="24"/>
      <w:lang w:val="en-GB" w:eastAsia="en-US" w:bidi="ar-SA"/>
    </w:rPr>
  </w:style>
  <w:style w:type="character" w:styleId="PageNumber">
    <w:name w:val="page number"/>
    <w:basedOn w:val="DefaultParagraphFont"/>
  </w:style>
  <w:style w:type="paragraph" w:customStyle="1" w:styleId="Address">
    <w:name w:val="Address"/>
    <w:basedOn w:val="Normal"/>
    <w:pPr>
      <w:keepLines/>
      <w:jc w:val="both"/>
    </w:pPr>
    <w:rPr>
      <w:rFonts w:ascii="Times New Roman" w:hAnsi="Times New Roman"/>
      <w:noProof/>
    </w:rPr>
  </w:style>
  <w:style w:type="character" w:styleId="Hyperlink">
    <w:name w:val="Hyperlink"/>
    <w:basedOn w:val="DefaultParagraphFont"/>
    <w:rPr>
      <w:color w:val="0000FF"/>
      <w:u w:val="single"/>
    </w:rPr>
  </w:style>
  <w:style w:type="paragraph" w:styleId="BlockText">
    <w:name w:val="Block Text"/>
    <w:basedOn w:val="Normal"/>
    <w:pPr>
      <w:ind w:left="113" w:right="113"/>
    </w:pPr>
    <w:rPr>
      <w:snapToGrid w:val="0"/>
      <w:color w:val="000000"/>
      <w:sz w:val="22"/>
    </w:rPr>
  </w:style>
  <w:style w:type="paragraph" w:customStyle="1" w:styleId="questionnaire">
    <w:name w:val="questionnaire"/>
    <w:pPr>
      <w:widowControl w:val="0"/>
      <w:tabs>
        <w:tab w:val="right" w:pos="680"/>
        <w:tab w:val="left" w:pos="794"/>
        <w:tab w:val="right" w:pos="7513"/>
        <w:tab w:val="left" w:pos="7853"/>
        <w:tab w:val="left" w:pos="8222"/>
        <w:tab w:val="right" w:pos="11057"/>
      </w:tabs>
      <w:suppressAutoHyphens/>
    </w:pPr>
    <w:rPr>
      <w:rFonts w:ascii="Helvetica" w:hAnsi="Helvetica"/>
      <w:lang w:val="en-US" w:eastAsia="en-US"/>
    </w:rPr>
  </w:style>
  <w:style w:type="paragraph" w:customStyle="1" w:styleId="Style2">
    <w:name w:val="Style2"/>
    <w:basedOn w:val="Normal"/>
    <w:autoRedefine/>
    <w:rsid w:val="002C5882"/>
    <w:pPr>
      <w:ind w:left="1026" w:hanging="1026"/>
      <w:outlineLvl w:val="0"/>
    </w:pPr>
    <w:rPr>
      <w:sz w:val="22"/>
    </w:rPr>
  </w:style>
  <w:style w:type="paragraph" w:styleId="Caption">
    <w:name w:val="caption"/>
    <w:basedOn w:val="Normal"/>
    <w:next w:val="Normal"/>
    <w:qFormat/>
    <w:pPr>
      <w:jc w:val="right"/>
    </w:pPr>
    <w:rPr>
      <w:b/>
      <w:sz w:val="22"/>
    </w:rPr>
  </w:style>
  <w:style w:type="paragraph" w:styleId="ListBullet">
    <w:name w:val="List Bullet"/>
    <w:basedOn w:val="Normal"/>
    <w:autoRedefine/>
    <w:rPr>
      <w:sz w:val="20"/>
    </w:rPr>
  </w:style>
  <w:style w:type="paragraph" w:styleId="BalloonText">
    <w:name w:val="Balloon Text"/>
    <w:basedOn w:val="Normal"/>
    <w:link w:val="BalloonTextChar"/>
    <w:semiHidden/>
    <w:rPr>
      <w:rFonts w:ascii="Tahoma" w:hAnsi="Tahoma"/>
      <w:sz w:val="16"/>
    </w:rPr>
  </w:style>
  <w:style w:type="character" w:customStyle="1" w:styleId="BalloonTextChar">
    <w:name w:val="Balloon Text Char"/>
    <w:basedOn w:val="DefaultParagraphFont"/>
    <w:link w:val="BalloonText"/>
    <w:semiHidden/>
    <w:locked/>
    <w:rsid w:val="00281AFF"/>
    <w:rPr>
      <w:rFonts w:ascii="Tahoma" w:hAnsi="Tahoma"/>
      <w:sz w:val="16"/>
      <w:lang w:val="en-GB" w:eastAsia="en-US" w:bidi="ar-SA"/>
    </w:rPr>
  </w:style>
  <w:style w:type="table" w:styleId="TableGrid">
    <w:name w:val="Table Grid"/>
    <w:basedOn w:val="TableNormal"/>
    <w:rsid w:val="002E6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24B0"/>
    <w:pPr>
      <w:tabs>
        <w:tab w:val="left" w:pos="1260"/>
        <w:tab w:val="left" w:pos="1980"/>
        <w:tab w:val="left" w:pos="2700"/>
        <w:tab w:val="left" w:pos="3420"/>
      </w:tabs>
      <w:jc w:val="both"/>
    </w:pPr>
    <w:rPr>
      <w:sz w:val="20"/>
      <w:lang w:eastAsia="en-GB"/>
    </w:rPr>
  </w:style>
  <w:style w:type="character" w:customStyle="1" w:styleId="FootnoteTextChar">
    <w:name w:val="Footnote Text Char"/>
    <w:basedOn w:val="DefaultParagraphFont"/>
    <w:link w:val="FootnoteText"/>
    <w:semiHidden/>
    <w:locked/>
    <w:rsid w:val="00281AFF"/>
    <w:rPr>
      <w:rFonts w:ascii="Arial" w:hAnsi="Arial"/>
      <w:lang w:val="en-GB" w:eastAsia="en-GB" w:bidi="ar-SA"/>
    </w:rPr>
  </w:style>
  <w:style w:type="character" w:styleId="FootnoteReference">
    <w:name w:val="footnote reference"/>
    <w:basedOn w:val="DefaultParagraphFont"/>
    <w:semiHidden/>
    <w:rsid w:val="009424B0"/>
    <w:rPr>
      <w:vertAlign w:val="superscript"/>
    </w:rPr>
  </w:style>
  <w:style w:type="paragraph" w:customStyle="1" w:styleId="Default">
    <w:name w:val="Default"/>
    <w:link w:val="DefaultChar"/>
    <w:rsid w:val="00033A75"/>
    <w:pPr>
      <w:autoSpaceDE w:val="0"/>
      <w:autoSpaceDN w:val="0"/>
      <w:adjustRightInd w:val="0"/>
    </w:pPr>
    <w:rPr>
      <w:rFonts w:ascii="Arial" w:hAnsi="Arial" w:cs="Arial"/>
      <w:color w:val="000000"/>
      <w:sz w:val="24"/>
      <w:szCs w:val="24"/>
    </w:rPr>
  </w:style>
  <w:style w:type="character" w:customStyle="1" w:styleId="DefaultChar">
    <w:name w:val="Default Char"/>
    <w:basedOn w:val="DefaultParagraphFont"/>
    <w:link w:val="Default"/>
    <w:locked/>
    <w:rsid w:val="00A10EA9"/>
    <w:rPr>
      <w:rFonts w:ascii="Arial" w:hAnsi="Arial" w:cs="Arial"/>
      <w:color w:val="000000"/>
      <w:sz w:val="24"/>
      <w:szCs w:val="24"/>
      <w:lang w:val="en-GB" w:eastAsia="en-GB" w:bidi="ar-SA"/>
    </w:rPr>
  </w:style>
  <w:style w:type="paragraph" w:customStyle="1" w:styleId="Text">
    <w:name w:val="Text"/>
    <w:basedOn w:val="Normal"/>
    <w:rsid w:val="001058EF"/>
    <w:pPr>
      <w:overflowPunct w:val="0"/>
      <w:autoSpaceDE w:val="0"/>
      <w:autoSpaceDN w:val="0"/>
      <w:adjustRightInd w:val="0"/>
      <w:spacing w:after="220"/>
      <w:jc w:val="both"/>
      <w:textAlignment w:val="baseline"/>
    </w:pPr>
    <w:rPr>
      <w:sz w:val="22"/>
      <w:lang w:eastAsia="en-GB"/>
    </w:rPr>
  </w:style>
  <w:style w:type="paragraph" w:customStyle="1" w:styleId="bullet">
    <w:name w:val="bullet"/>
    <w:basedOn w:val="Normal"/>
    <w:rsid w:val="001058EF"/>
    <w:pPr>
      <w:tabs>
        <w:tab w:val="num" w:pos="360"/>
      </w:tabs>
      <w:ind w:left="360" w:hanging="360"/>
    </w:pPr>
    <w:rPr>
      <w:sz w:val="22"/>
      <w:lang w:eastAsia="en-GB"/>
    </w:rPr>
  </w:style>
  <w:style w:type="paragraph" w:customStyle="1" w:styleId="Cover-Title">
    <w:name w:val="Cover - Title"/>
    <w:basedOn w:val="Normal"/>
    <w:rsid w:val="002C3056"/>
    <w:pPr>
      <w:spacing w:after="240"/>
    </w:pPr>
    <w:rPr>
      <w:rFonts w:cs="Arial"/>
      <w:sz w:val="44"/>
      <w:szCs w:val="44"/>
    </w:rPr>
  </w:style>
  <w:style w:type="paragraph" w:styleId="TOC1">
    <w:name w:val="toc 1"/>
    <w:aliases w:val="Toc 1"/>
    <w:basedOn w:val="Normal"/>
    <w:next w:val="Normal"/>
    <w:autoRedefine/>
    <w:semiHidden/>
    <w:rsid w:val="002C3056"/>
    <w:pPr>
      <w:tabs>
        <w:tab w:val="right" w:leader="dot" w:pos="8636"/>
      </w:tabs>
      <w:spacing w:after="240"/>
    </w:pPr>
    <w:rPr>
      <w:rFonts w:cs="Arial"/>
      <w:szCs w:val="24"/>
    </w:rPr>
  </w:style>
  <w:style w:type="paragraph" w:styleId="TOC2">
    <w:name w:val="toc 2"/>
    <w:basedOn w:val="Normal"/>
    <w:next w:val="Normal"/>
    <w:autoRedefine/>
    <w:semiHidden/>
    <w:rsid w:val="002C3056"/>
    <w:pPr>
      <w:spacing w:after="240"/>
      <w:ind w:left="240"/>
    </w:pPr>
    <w:rPr>
      <w:rFonts w:cs="Arial"/>
      <w:szCs w:val="24"/>
    </w:rPr>
  </w:style>
  <w:style w:type="paragraph" w:styleId="TableofFigures">
    <w:name w:val="table of figures"/>
    <w:basedOn w:val="Normal"/>
    <w:next w:val="Normal"/>
    <w:semiHidden/>
    <w:rsid w:val="002C3056"/>
    <w:pPr>
      <w:spacing w:after="240"/>
      <w:ind w:left="480" w:hanging="480"/>
    </w:pPr>
    <w:rPr>
      <w:rFonts w:cs="Arial"/>
      <w:szCs w:val="24"/>
    </w:rPr>
  </w:style>
  <w:style w:type="character" w:styleId="FollowedHyperlink">
    <w:name w:val="FollowedHyperlink"/>
    <w:basedOn w:val="DefaultParagraphFont"/>
    <w:rsid w:val="003A13FD"/>
    <w:rPr>
      <w:color w:val="800080"/>
      <w:u w:val="single"/>
    </w:rPr>
  </w:style>
  <w:style w:type="paragraph" w:customStyle="1" w:styleId="xl22">
    <w:name w:val="xl22"/>
    <w:basedOn w:val="Normal"/>
    <w:rsid w:val="003A13FD"/>
    <w:pPr>
      <w:spacing w:before="100" w:beforeAutospacing="1" w:after="100" w:afterAutospacing="1"/>
    </w:pPr>
    <w:rPr>
      <w:rFonts w:ascii="Times New Roman" w:hAnsi="Times New Roman"/>
      <w:sz w:val="16"/>
      <w:szCs w:val="16"/>
      <w:lang w:eastAsia="en-GB"/>
    </w:rPr>
  </w:style>
  <w:style w:type="paragraph" w:customStyle="1" w:styleId="xl23">
    <w:name w:val="xl23"/>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eastAsia="en-GB"/>
    </w:rPr>
  </w:style>
  <w:style w:type="paragraph" w:customStyle="1" w:styleId="xl24">
    <w:name w:val="xl24"/>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6"/>
      <w:szCs w:val="16"/>
      <w:lang w:eastAsia="en-GB"/>
    </w:rPr>
  </w:style>
  <w:style w:type="paragraph" w:customStyle="1" w:styleId="xl25">
    <w:name w:val="xl25"/>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eastAsia="en-GB"/>
    </w:rPr>
  </w:style>
  <w:style w:type="paragraph" w:customStyle="1" w:styleId="xl26">
    <w:name w:val="xl26"/>
    <w:basedOn w:val="Normal"/>
    <w:rsid w:val="003A13FD"/>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eastAsia="en-GB"/>
    </w:rPr>
  </w:style>
  <w:style w:type="paragraph" w:customStyle="1" w:styleId="xl27">
    <w:name w:val="xl27"/>
    <w:basedOn w:val="Normal"/>
    <w:rsid w:val="003A13FD"/>
    <w:pPr>
      <w:spacing w:before="100" w:beforeAutospacing="1" w:after="100" w:afterAutospacing="1"/>
      <w:jc w:val="right"/>
    </w:pPr>
    <w:rPr>
      <w:rFonts w:ascii="Times New Roman" w:hAnsi="Times New Roman"/>
      <w:sz w:val="16"/>
      <w:szCs w:val="16"/>
      <w:lang w:eastAsia="en-GB"/>
    </w:rPr>
  </w:style>
  <w:style w:type="paragraph" w:customStyle="1" w:styleId="xl28">
    <w:name w:val="xl28"/>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16"/>
      <w:szCs w:val="16"/>
      <w:lang w:eastAsia="en-GB"/>
    </w:rPr>
  </w:style>
  <w:style w:type="paragraph" w:customStyle="1" w:styleId="xl29">
    <w:name w:val="xl29"/>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lang w:eastAsia="en-GB"/>
    </w:rPr>
  </w:style>
  <w:style w:type="paragraph" w:customStyle="1" w:styleId="xl30">
    <w:name w:val="xl30"/>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lang w:eastAsia="en-GB"/>
    </w:rPr>
  </w:style>
  <w:style w:type="paragraph" w:customStyle="1" w:styleId="xl31">
    <w:name w:val="xl31"/>
    <w:basedOn w:val="Normal"/>
    <w:rsid w:val="003A13FD"/>
    <w:pPr>
      <w:spacing w:before="100" w:beforeAutospacing="1" w:after="100" w:afterAutospacing="1"/>
      <w:jc w:val="right"/>
    </w:pPr>
    <w:rPr>
      <w:rFonts w:ascii="Times New Roman" w:hAnsi="Times New Roman"/>
      <w:b/>
      <w:bCs/>
      <w:sz w:val="16"/>
      <w:szCs w:val="16"/>
      <w:lang w:eastAsia="en-GB"/>
    </w:rPr>
  </w:style>
  <w:style w:type="paragraph" w:customStyle="1" w:styleId="xl32">
    <w:name w:val="xl32"/>
    <w:basedOn w:val="Normal"/>
    <w:rsid w:val="003A13FD"/>
    <w:pPr>
      <w:spacing w:before="100" w:beforeAutospacing="1" w:after="100" w:afterAutospacing="1"/>
    </w:pPr>
    <w:rPr>
      <w:rFonts w:ascii="Times New Roman" w:hAnsi="Times New Roman"/>
      <w:b/>
      <w:bCs/>
      <w:sz w:val="16"/>
      <w:szCs w:val="16"/>
      <w:lang w:eastAsia="en-GB"/>
    </w:rPr>
  </w:style>
  <w:style w:type="paragraph" w:customStyle="1" w:styleId="xl33">
    <w:name w:val="xl33"/>
    <w:basedOn w:val="Normal"/>
    <w:rsid w:val="003A13FD"/>
    <w:pPr>
      <w:spacing w:before="100" w:beforeAutospacing="1" w:after="100" w:afterAutospacing="1"/>
      <w:jc w:val="center"/>
    </w:pPr>
    <w:rPr>
      <w:rFonts w:ascii="Times New Roman" w:hAnsi="Times New Roman"/>
      <w:b/>
      <w:bCs/>
      <w:sz w:val="16"/>
      <w:szCs w:val="16"/>
      <w:lang w:eastAsia="en-GB"/>
    </w:rPr>
  </w:style>
  <w:style w:type="paragraph" w:customStyle="1" w:styleId="xl34">
    <w:name w:val="xl34"/>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6"/>
      <w:szCs w:val="16"/>
      <w:lang w:eastAsia="en-GB"/>
    </w:rPr>
  </w:style>
  <w:style w:type="paragraph" w:customStyle="1" w:styleId="xl35">
    <w:name w:val="xl35"/>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6"/>
      <w:szCs w:val="16"/>
      <w:lang w:eastAsia="en-GB"/>
    </w:rPr>
  </w:style>
  <w:style w:type="paragraph" w:customStyle="1" w:styleId="xl36">
    <w:name w:val="xl36"/>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lang w:eastAsia="en-GB"/>
    </w:rPr>
  </w:style>
  <w:style w:type="paragraph" w:customStyle="1" w:styleId="xl37">
    <w:name w:val="xl37"/>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6"/>
      <w:szCs w:val="16"/>
      <w:lang w:eastAsia="en-GB"/>
    </w:rPr>
  </w:style>
  <w:style w:type="paragraph" w:customStyle="1" w:styleId="xl38">
    <w:name w:val="xl38"/>
    <w:basedOn w:val="Normal"/>
    <w:rsid w:val="003A13FD"/>
    <w:pPr>
      <w:spacing w:before="100" w:beforeAutospacing="1" w:after="100" w:afterAutospacing="1"/>
    </w:pPr>
    <w:rPr>
      <w:rFonts w:cs="Arial"/>
      <w:b/>
      <w:bCs/>
      <w:sz w:val="16"/>
      <w:szCs w:val="16"/>
      <w:lang w:eastAsia="en-GB"/>
    </w:rPr>
  </w:style>
  <w:style w:type="paragraph" w:customStyle="1" w:styleId="xl39">
    <w:name w:val="xl39"/>
    <w:basedOn w:val="Normal"/>
    <w:rsid w:val="003A13FD"/>
    <w:pPr>
      <w:pBdr>
        <w:left w:val="single" w:sz="4" w:space="0" w:color="auto"/>
        <w:bottom w:val="single" w:sz="4" w:space="0" w:color="auto"/>
        <w:right w:val="single" w:sz="4" w:space="0" w:color="auto"/>
      </w:pBdr>
      <w:spacing w:before="100" w:beforeAutospacing="1" w:after="100" w:afterAutospacing="1"/>
    </w:pPr>
    <w:rPr>
      <w:rFonts w:cs="Arial"/>
      <w:b/>
      <w:bCs/>
      <w:sz w:val="16"/>
      <w:szCs w:val="16"/>
      <w:lang w:eastAsia="en-GB"/>
    </w:rPr>
  </w:style>
  <w:style w:type="paragraph" w:customStyle="1" w:styleId="xl40">
    <w:name w:val="xl40"/>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6"/>
      <w:szCs w:val="16"/>
      <w:lang w:eastAsia="en-GB"/>
    </w:rPr>
  </w:style>
  <w:style w:type="paragraph" w:customStyle="1" w:styleId="xl41">
    <w:name w:val="xl41"/>
    <w:basedOn w:val="Normal"/>
    <w:rsid w:val="003A13FD"/>
    <w:pPr>
      <w:spacing w:before="100" w:beforeAutospacing="1" w:after="100" w:afterAutospacing="1"/>
    </w:pPr>
    <w:rPr>
      <w:rFonts w:ascii="Times New Roman" w:hAnsi="Times New Roman"/>
      <w:b/>
      <w:bCs/>
      <w:szCs w:val="24"/>
      <w:u w:val="single"/>
      <w:lang w:eastAsia="en-GB"/>
    </w:rPr>
  </w:style>
  <w:style w:type="paragraph" w:customStyle="1" w:styleId="xl42">
    <w:name w:val="xl42"/>
    <w:basedOn w:val="Normal"/>
    <w:rsid w:val="003A13F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sz w:val="16"/>
      <w:szCs w:val="16"/>
      <w:lang w:eastAsia="en-GB"/>
    </w:rPr>
  </w:style>
  <w:style w:type="character" w:customStyle="1" w:styleId="2Char">
    <w:name w:val="2 Char"/>
    <w:aliases w:val="Level 2 Heading Char"/>
    <w:basedOn w:val="DefaultParagraphFont"/>
    <w:rsid w:val="00FD1FFC"/>
    <w:rPr>
      <w:rFonts w:ascii="Arial" w:hAnsi="Arial"/>
      <w:b/>
      <w:color w:val="000000"/>
      <w:sz w:val="24"/>
      <w:lang w:val="en-GB" w:eastAsia="en-US" w:bidi="ar-SA"/>
    </w:rPr>
  </w:style>
  <w:style w:type="paragraph" w:customStyle="1" w:styleId="font0">
    <w:name w:val="font0"/>
    <w:basedOn w:val="Normal"/>
    <w:rsid w:val="00801681"/>
    <w:pPr>
      <w:spacing w:before="100" w:beforeAutospacing="1" w:after="100" w:afterAutospacing="1"/>
    </w:pPr>
    <w:rPr>
      <w:rFonts w:cs="Arial"/>
      <w:sz w:val="20"/>
      <w:lang w:eastAsia="en-GB"/>
    </w:rPr>
  </w:style>
  <w:style w:type="paragraph" w:customStyle="1" w:styleId="font5">
    <w:name w:val="font5"/>
    <w:basedOn w:val="Normal"/>
    <w:rsid w:val="00801681"/>
    <w:pPr>
      <w:spacing w:before="100" w:beforeAutospacing="1" w:after="100" w:afterAutospacing="1"/>
    </w:pPr>
    <w:rPr>
      <w:rFonts w:cs="Arial"/>
      <w:sz w:val="20"/>
      <w:lang w:eastAsia="en-GB"/>
    </w:rPr>
  </w:style>
  <w:style w:type="paragraph" w:customStyle="1" w:styleId="xl43">
    <w:name w:val="xl43"/>
    <w:basedOn w:val="Normal"/>
    <w:rsid w:val="00801681"/>
    <w:pPr>
      <w:pBdr>
        <w:left w:val="single" w:sz="4" w:space="0" w:color="auto"/>
        <w:right w:val="single" w:sz="4" w:space="0" w:color="auto"/>
      </w:pBdr>
      <w:spacing w:before="100" w:beforeAutospacing="1" w:after="100" w:afterAutospacing="1"/>
      <w:jc w:val="center"/>
    </w:pPr>
    <w:rPr>
      <w:rFonts w:cs="Arial"/>
      <w:b/>
      <w:bCs/>
      <w:szCs w:val="24"/>
      <w:lang w:eastAsia="en-GB"/>
    </w:rPr>
  </w:style>
  <w:style w:type="paragraph" w:customStyle="1" w:styleId="xl44">
    <w:name w:val="xl44"/>
    <w:basedOn w:val="Normal"/>
    <w:rsid w:val="00801681"/>
    <w:pPr>
      <w:pBdr>
        <w:right w:val="single" w:sz="4" w:space="0" w:color="auto"/>
      </w:pBdr>
      <w:spacing w:before="100" w:beforeAutospacing="1" w:after="100" w:afterAutospacing="1"/>
      <w:jc w:val="center"/>
    </w:pPr>
    <w:rPr>
      <w:rFonts w:cs="Arial"/>
      <w:b/>
      <w:bCs/>
      <w:szCs w:val="24"/>
      <w:lang w:eastAsia="en-GB"/>
    </w:rPr>
  </w:style>
  <w:style w:type="paragraph" w:customStyle="1" w:styleId="xl45">
    <w:name w:val="xl45"/>
    <w:basedOn w:val="Normal"/>
    <w:rsid w:val="00801681"/>
    <w:pPr>
      <w:shd w:val="clear" w:color="auto" w:fill="C0C0C0"/>
      <w:spacing w:before="100" w:beforeAutospacing="1" w:after="100" w:afterAutospacing="1"/>
    </w:pPr>
    <w:rPr>
      <w:rFonts w:ascii="Times New Roman" w:hAnsi="Times New Roman"/>
      <w:szCs w:val="24"/>
      <w:lang w:eastAsia="en-GB"/>
    </w:rPr>
  </w:style>
  <w:style w:type="paragraph" w:customStyle="1" w:styleId="xl47">
    <w:name w:val="xl47"/>
    <w:basedOn w:val="Normal"/>
    <w:rsid w:val="00801681"/>
    <w:pPr>
      <w:spacing w:before="100" w:beforeAutospacing="1" w:after="100" w:afterAutospacing="1"/>
    </w:pPr>
    <w:rPr>
      <w:rFonts w:ascii="Monotype Sorts" w:hAnsi="Monotype Sorts"/>
      <w:szCs w:val="24"/>
      <w:lang w:eastAsia="en-GB"/>
    </w:rPr>
  </w:style>
  <w:style w:type="paragraph" w:customStyle="1" w:styleId="xl48">
    <w:name w:val="xl48"/>
    <w:basedOn w:val="Normal"/>
    <w:rsid w:val="00801681"/>
    <w:pPr>
      <w:spacing w:before="100" w:beforeAutospacing="1" w:after="100" w:afterAutospacing="1"/>
    </w:pPr>
    <w:rPr>
      <w:rFonts w:ascii="Times New Roman" w:hAnsi="Times New Roman"/>
      <w:szCs w:val="24"/>
      <w:lang w:eastAsia="en-GB"/>
    </w:rPr>
  </w:style>
  <w:style w:type="paragraph" w:customStyle="1" w:styleId="xl49">
    <w:name w:val="xl49"/>
    <w:basedOn w:val="Normal"/>
    <w:rsid w:val="00801681"/>
    <w:pPr>
      <w:pBdr>
        <w:top w:val="single" w:sz="8" w:space="0" w:color="auto"/>
        <w:left w:val="single" w:sz="8" w:space="0" w:color="auto"/>
        <w:right w:val="single" w:sz="4" w:space="0" w:color="auto"/>
      </w:pBdr>
      <w:spacing w:before="100" w:beforeAutospacing="1" w:after="100" w:afterAutospacing="1"/>
    </w:pPr>
    <w:rPr>
      <w:rFonts w:cs="Arial"/>
      <w:b/>
      <w:bCs/>
      <w:szCs w:val="24"/>
      <w:lang w:eastAsia="en-GB"/>
    </w:rPr>
  </w:style>
  <w:style w:type="paragraph" w:customStyle="1" w:styleId="xl50">
    <w:name w:val="xl50"/>
    <w:basedOn w:val="Normal"/>
    <w:rsid w:val="00801681"/>
    <w:pPr>
      <w:pBdr>
        <w:left w:val="single" w:sz="8" w:space="0" w:color="auto"/>
        <w:right w:val="single" w:sz="4" w:space="0" w:color="auto"/>
      </w:pBdr>
      <w:spacing w:before="100" w:beforeAutospacing="1" w:after="100" w:afterAutospacing="1"/>
      <w:jc w:val="center"/>
    </w:pPr>
    <w:rPr>
      <w:rFonts w:cs="Arial"/>
      <w:b/>
      <w:bCs/>
      <w:szCs w:val="24"/>
      <w:lang w:eastAsia="en-GB"/>
    </w:rPr>
  </w:style>
  <w:style w:type="paragraph" w:customStyle="1" w:styleId="xl51">
    <w:name w:val="xl51"/>
    <w:basedOn w:val="Normal"/>
    <w:rsid w:val="00801681"/>
    <w:pPr>
      <w:spacing w:before="100" w:beforeAutospacing="1" w:after="100" w:afterAutospacing="1"/>
    </w:pPr>
    <w:rPr>
      <w:rFonts w:cs="Arial"/>
      <w:szCs w:val="24"/>
      <w:lang w:eastAsia="en-GB"/>
    </w:rPr>
  </w:style>
  <w:style w:type="paragraph" w:customStyle="1" w:styleId="xl52">
    <w:name w:val="xl52"/>
    <w:basedOn w:val="Normal"/>
    <w:rsid w:val="00801681"/>
    <w:pPr>
      <w:spacing w:before="100" w:beforeAutospacing="1" w:after="100" w:afterAutospacing="1"/>
    </w:pPr>
    <w:rPr>
      <w:rFonts w:cs="Arial"/>
      <w:szCs w:val="24"/>
      <w:lang w:eastAsia="en-GB"/>
    </w:rPr>
  </w:style>
  <w:style w:type="paragraph" w:customStyle="1" w:styleId="xl53">
    <w:name w:val="xl53"/>
    <w:basedOn w:val="Normal"/>
    <w:rsid w:val="00801681"/>
    <w:pPr>
      <w:spacing w:before="100" w:beforeAutospacing="1" w:after="100" w:afterAutospacing="1"/>
      <w:textAlignment w:val="top"/>
    </w:pPr>
    <w:rPr>
      <w:rFonts w:cs="Arial"/>
      <w:szCs w:val="24"/>
      <w:lang w:eastAsia="en-GB"/>
    </w:rPr>
  </w:style>
  <w:style w:type="paragraph" w:customStyle="1" w:styleId="xl54">
    <w:name w:val="xl54"/>
    <w:basedOn w:val="Normal"/>
    <w:rsid w:val="00801681"/>
    <w:pPr>
      <w:spacing w:before="100" w:beforeAutospacing="1" w:after="100" w:afterAutospacing="1"/>
      <w:jc w:val="center"/>
    </w:pPr>
    <w:rPr>
      <w:rFonts w:ascii="Times New Roman" w:hAnsi="Times New Roman"/>
      <w:szCs w:val="24"/>
      <w:lang w:eastAsia="en-GB"/>
    </w:rPr>
  </w:style>
  <w:style w:type="paragraph" w:customStyle="1" w:styleId="xl55">
    <w:name w:val="xl55"/>
    <w:basedOn w:val="Normal"/>
    <w:rsid w:val="00801681"/>
    <w:pPr>
      <w:spacing w:before="100" w:beforeAutospacing="1" w:after="100" w:afterAutospacing="1"/>
    </w:pPr>
    <w:rPr>
      <w:rFonts w:cs="Arial"/>
      <w:szCs w:val="24"/>
      <w:lang w:eastAsia="en-GB"/>
    </w:rPr>
  </w:style>
  <w:style w:type="paragraph" w:customStyle="1" w:styleId="xl56">
    <w:name w:val="xl56"/>
    <w:basedOn w:val="Normal"/>
    <w:rsid w:val="00801681"/>
    <w:pPr>
      <w:spacing w:before="100" w:beforeAutospacing="1" w:after="100" w:afterAutospacing="1"/>
    </w:pPr>
    <w:rPr>
      <w:rFonts w:cs="Arial"/>
      <w:szCs w:val="24"/>
      <w:lang w:eastAsia="en-GB"/>
    </w:rPr>
  </w:style>
  <w:style w:type="paragraph" w:customStyle="1" w:styleId="xl57">
    <w:name w:val="xl57"/>
    <w:basedOn w:val="Normal"/>
    <w:rsid w:val="00801681"/>
    <w:pPr>
      <w:spacing w:before="100" w:beforeAutospacing="1" w:after="100" w:afterAutospacing="1"/>
      <w:textAlignment w:val="center"/>
    </w:pPr>
    <w:rPr>
      <w:rFonts w:cs="Arial"/>
      <w:szCs w:val="24"/>
      <w:lang w:eastAsia="en-GB"/>
    </w:rPr>
  </w:style>
  <w:style w:type="paragraph" w:customStyle="1" w:styleId="xl58">
    <w:name w:val="xl58"/>
    <w:basedOn w:val="Normal"/>
    <w:rsid w:val="00801681"/>
    <w:pPr>
      <w:spacing w:before="100" w:beforeAutospacing="1" w:after="100" w:afterAutospacing="1"/>
      <w:textAlignment w:val="center"/>
    </w:pPr>
    <w:rPr>
      <w:rFonts w:cs="Arial"/>
      <w:szCs w:val="24"/>
      <w:lang w:eastAsia="en-GB"/>
    </w:rPr>
  </w:style>
  <w:style w:type="paragraph" w:customStyle="1" w:styleId="xl59">
    <w:name w:val="xl59"/>
    <w:basedOn w:val="Normal"/>
    <w:rsid w:val="00801681"/>
    <w:pPr>
      <w:spacing w:before="100" w:beforeAutospacing="1" w:after="100" w:afterAutospacing="1"/>
      <w:textAlignment w:val="center"/>
    </w:pPr>
    <w:rPr>
      <w:rFonts w:cs="Arial"/>
      <w:szCs w:val="24"/>
      <w:lang w:eastAsia="en-GB"/>
    </w:rPr>
  </w:style>
  <w:style w:type="paragraph" w:customStyle="1" w:styleId="xl60">
    <w:name w:val="xl60"/>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61">
    <w:name w:val="xl61"/>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62">
    <w:name w:val="xl62"/>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63">
    <w:name w:val="xl63"/>
    <w:basedOn w:val="Normal"/>
    <w:rsid w:val="00801681"/>
    <w:pPr>
      <w:spacing w:before="100" w:beforeAutospacing="1" w:after="100" w:afterAutospacing="1"/>
      <w:jc w:val="center"/>
      <w:textAlignment w:val="center"/>
    </w:pPr>
    <w:rPr>
      <w:rFonts w:ascii="Times New Roman" w:hAnsi="Times New Roman"/>
      <w:szCs w:val="24"/>
      <w:lang w:eastAsia="en-GB"/>
    </w:rPr>
  </w:style>
  <w:style w:type="paragraph" w:customStyle="1" w:styleId="xl64">
    <w:name w:val="xl64"/>
    <w:basedOn w:val="Normal"/>
    <w:rsid w:val="00801681"/>
    <w:pPr>
      <w:spacing w:before="100" w:beforeAutospacing="1" w:after="100" w:afterAutospacing="1"/>
      <w:textAlignment w:val="center"/>
    </w:pPr>
    <w:rPr>
      <w:rFonts w:ascii="Monotype Sorts" w:hAnsi="Monotype Sorts"/>
      <w:szCs w:val="24"/>
      <w:lang w:eastAsia="en-GB"/>
    </w:rPr>
  </w:style>
  <w:style w:type="paragraph" w:customStyle="1" w:styleId="xl65">
    <w:name w:val="xl65"/>
    <w:basedOn w:val="Normal"/>
    <w:rsid w:val="00801681"/>
    <w:pPr>
      <w:spacing w:before="100" w:beforeAutospacing="1" w:after="100" w:afterAutospacing="1"/>
    </w:pPr>
    <w:rPr>
      <w:rFonts w:ascii="Times New Roman" w:hAnsi="Times New Roman"/>
      <w:szCs w:val="24"/>
      <w:lang w:eastAsia="en-GB"/>
    </w:rPr>
  </w:style>
  <w:style w:type="paragraph" w:customStyle="1" w:styleId="xl66">
    <w:name w:val="xl66"/>
    <w:basedOn w:val="Normal"/>
    <w:rsid w:val="00801681"/>
    <w:pPr>
      <w:spacing w:before="100" w:beforeAutospacing="1" w:after="100" w:afterAutospacing="1"/>
    </w:pPr>
    <w:rPr>
      <w:rFonts w:ascii="Times New Roman" w:hAnsi="Times New Roman"/>
      <w:color w:val="C0C0C0"/>
      <w:szCs w:val="24"/>
      <w:lang w:eastAsia="en-GB"/>
    </w:rPr>
  </w:style>
  <w:style w:type="paragraph" w:customStyle="1" w:styleId="xl67">
    <w:name w:val="xl67"/>
    <w:basedOn w:val="Normal"/>
    <w:rsid w:val="00801681"/>
    <w:pPr>
      <w:spacing w:before="100" w:beforeAutospacing="1" w:after="100" w:afterAutospacing="1"/>
    </w:pPr>
    <w:rPr>
      <w:rFonts w:ascii="Wingdings 2" w:hAnsi="Wingdings 2"/>
      <w:szCs w:val="24"/>
      <w:lang w:eastAsia="en-GB"/>
    </w:rPr>
  </w:style>
  <w:style w:type="paragraph" w:customStyle="1" w:styleId="xl68">
    <w:name w:val="xl68"/>
    <w:basedOn w:val="Normal"/>
    <w:rsid w:val="00801681"/>
    <w:pPr>
      <w:spacing w:before="100" w:beforeAutospacing="1" w:after="100" w:afterAutospacing="1"/>
      <w:textAlignment w:val="top"/>
    </w:pPr>
    <w:rPr>
      <w:rFonts w:ascii="Times New Roman" w:hAnsi="Times New Roman"/>
      <w:szCs w:val="24"/>
      <w:lang w:eastAsia="en-GB"/>
    </w:rPr>
  </w:style>
  <w:style w:type="paragraph" w:customStyle="1" w:styleId="xl69">
    <w:name w:val="xl69"/>
    <w:basedOn w:val="Normal"/>
    <w:rsid w:val="00801681"/>
    <w:pPr>
      <w:spacing w:before="100" w:beforeAutospacing="1" w:after="100" w:afterAutospacing="1"/>
      <w:textAlignment w:val="center"/>
    </w:pPr>
    <w:rPr>
      <w:rFonts w:ascii="Wingdings 2" w:hAnsi="Wingdings 2"/>
      <w:szCs w:val="24"/>
      <w:lang w:eastAsia="en-GB"/>
    </w:rPr>
  </w:style>
  <w:style w:type="paragraph" w:customStyle="1" w:styleId="xl70">
    <w:name w:val="xl70"/>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71">
    <w:name w:val="xl71"/>
    <w:basedOn w:val="Normal"/>
    <w:rsid w:val="00801681"/>
    <w:pPr>
      <w:spacing w:before="100" w:beforeAutospacing="1" w:after="100" w:afterAutospacing="1"/>
      <w:jc w:val="center"/>
      <w:textAlignment w:val="center"/>
    </w:pPr>
    <w:rPr>
      <w:rFonts w:ascii="Times New Roman" w:hAnsi="Times New Roman"/>
      <w:szCs w:val="24"/>
      <w:lang w:eastAsia="en-GB"/>
    </w:rPr>
  </w:style>
  <w:style w:type="paragraph" w:customStyle="1" w:styleId="xl72">
    <w:name w:val="xl72"/>
    <w:basedOn w:val="Normal"/>
    <w:rsid w:val="00801681"/>
    <w:pPr>
      <w:spacing w:before="100" w:beforeAutospacing="1" w:after="100" w:afterAutospacing="1"/>
      <w:jc w:val="right"/>
    </w:pPr>
    <w:rPr>
      <w:rFonts w:ascii="Times New Roman" w:hAnsi="Times New Roman"/>
      <w:szCs w:val="24"/>
      <w:lang w:eastAsia="en-GB"/>
    </w:rPr>
  </w:style>
  <w:style w:type="paragraph" w:customStyle="1" w:styleId="xl73">
    <w:name w:val="xl73"/>
    <w:basedOn w:val="Normal"/>
    <w:rsid w:val="00801681"/>
    <w:pPr>
      <w:spacing w:before="100" w:beforeAutospacing="1" w:after="100" w:afterAutospacing="1"/>
    </w:pPr>
    <w:rPr>
      <w:rFonts w:ascii="Times New Roman" w:hAnsi="Times New Roman"/>
      <w:color w:val="0000FF"/>
      <w:szCs w:val="24"/>
      <w:lang w:eastAsia="en-GB"/>
    </w:rPr>
  </w:style>
  <w:style w:type="paragraph" w:customStyle="1" w:styleId="xl74">
    <w:name w:val="xl74"/>
    <w:basedOn w:val="Normal"/>
    <w:rsid w:val="00801681"/>
    <w:pPr>
      <w:spacing w:before="100" w:beforeAutospacing="1" w:after="100" w:afterAutospacing="1"/>
    </w:pPr>
    <w:rPr>
      <w:rFonts w:ascii="Times New Roman" w:hAnsi="Times New Roman"/>
      <w:szCs w:val="24"/>
      <w:lang w:eastAsia="en-GB"/>
    </w:rPr>
  </w:style>
  <w:style w:type="paragraph" w:customStyle="1" w:styleId="xl75">
    <w:name w:val="xl75"/>
    <w:basedOn w:val="Normal"/>
    <w:rsid w:val="00801681"/>
    <w:pPr>
      <w:spacing w:before="100" w:beforeAutospacing="1" w:after="100" w:afterAutospacing="1"/>
    </w:pPr>
    <w:rPr>
      <w:rFonts w:ascii="Wingdings" w:hAnsi="Wingdings"/>
      <w:szCs w:val="24"/>
      <w:lang w:eastAsia="en-GB"/>
    </w:rPr>
  </w:style>
  <w:style w:type="paragraph" w:customStyle="1" w:styleId="xl76">
    <w:name w:val="xl76"/>
    <w:basedOn w:val="Normal"/>
    <w:rsid w:val="00801681"/>
    <w:pPr>
      <w:spacing w:before="100" w:beforeAutospacing="1" w:after="100" w:afterAutospacing="1"/>
    </w:pPr>
    <w:rPr>
      <w:rFonts w:cs="Arial"/>
      <w:szCs w:val="24"/>
      <w:lang w:eastAsia="en-GB"/>
    </w:rPr>
  </w:style>
  <w:style w:type="paragraph" w:customStyle="1" w:styleId="xl77">
    <w:name w:val="xl77"/>
    <w:basedOn w:val="Normal"/>
    <w:rsid w:val="00801681"/>
    <w:pPr>
      <w:shd w:val="clear" w:color="auto" w:fill="C0C0C0"/>
      <w:spacing w:before="100" w:beforeAutospacing="1" w:after="100" w:afterAutospacing="1"/>
    </w:pPr>
    <w:rPr>
      <w:rFonts w:ascii="Wingdings" w:hAnsi="Wingdings"/>
      <w:szCs w:val="24"/>
      <w:lang w:eastAsia="en-GB"/>
    </w:rPr>
  </w:style>
  <w:style w:type="paragraph" w:customStyle="1" w:styleId="xl78">
    <w:name w:val="xl78"/>
    <w:basedOn w:val="Normal"/>
    <w:rsid w:val="00801681"/>
    <w:pPr>
      <w:shd w:val="clear" w:color="auto" w:fill="C0C0C0"/>
      <w:spacing w:before="100" w:beforeAutospacing="1" w:after="100" w:afterAutospacing="1"/>
    </w:pPr>
    <w:rPr>
      <w:rFonts w:ascii="Times New Roman" w:hAnsi="Times New Roman"/>
      <w:szCs w:val="24"/>
      <w:lang w:eastAsia="en-GB"/>
    </w:rPr>
  </w:style>
  <w:style w:type="paragraph" w:customStyle="1" w:styleId="xl79">
    <w:name w:val="xl79"/>
    <w:basedOn w:val="Normal"/>
    <w:rsid w:val="00801681"/>
    <w:pPr>
      <w:shd w:val="clear" w:color="auto" w:fill="C0C0C0"/>
      <w:spacing w:before="100" w:beforeAutospacing="1" w:after="100" w:afterAutospacing="1"/>
    </w:pPr>
    <w:rPr>
      <w:rFonts w:cs="Arial"/>
      <w:szCs w:val="24"/>
      <w:lang w:eastAsia="en-GB"/>
    </w:rPr>
  </w:style>
  <w:style w:type="paragraph" w:customStyle="1" w:styleId="xl80">
    <w:name w:val="xl80"/>
    <w:basedOn w:val="Normal"/>
    <w:rsid w:val="00801681"/>
    <w:pPr>
      <w:spacing w:before="100" w:beforeAutospacing="1" w:after="100" w:afterAutospacing="1"/>
      <w:textAlignment w:val="center"/>
    </w:pPr>
    <w:rPr>
      <w:rFonts w:cs="Arial"/>
      <w:sz w:val="22"/>
      <w:szCs w:val="22"/>
      <w:lang w:eastAsia="en-GB"/>
    </w:rPr>
  </w:style>
  <w:style w:type="paragraph" w:customStyle="1" w:styleId="xl81">
    <w:name w:val="xl81"/>
    <w:basedOn w:val="Normal"/>
    <w:rsid w:val="00801681"/>
    <w:pPr>
      <w:spacing w:before="100" w:beforeAutospacing="1" w:after="100" w:afterAutospacing="1"/>
    </w:pPr>
    <w:rPr>
      <w:rFonts w:cs="Arial"/>
      <w:sz w:val="22"/>
      <w:szCs w:val="22"/>
      <w:lang w:eastAsia="en-GB"/>
    </w:rPr>
  </w:style>
  <w:style w:type="paragraph" w:customStyle="1" w:styleId="xl82">
    <w:name w:val="xl82"/>
    <w:basedOn w:val="Normal"/>
    <w:rsid w:val="00801681"/>
    <w:pPr>
      <w:spacing w:before="100" w:beforeAutospacing="1" w:after="100" w:afterAutospacing="1"/>
    </w:pPr>
    <w:rPr>
      <w:rFonts w:ascii="Times New Roman" w:hAnsi="Times New Roman"/>
      <w:szCs w:val="24"/>
      <w:lang w:eastAsia="en-GB"/>
    </w:rPr>
  </w:style>
  <w:style w:type="paragraph" w:customStyle="1" w:styleId="xl83">
    <w:name w:val="xl83"/>
    <w:basedOn w:val="Normal"/>
    <w:rsid w:val="00801681"/>
    <w:pPr>
      <w:spacing w:before="100" w:beforeAutospacing="1" w:after="100" w:afterAutospacing="1"/>
      <w:jc w:val="center"/>
    </w:pPr>
    <w:rPr>
      <w:rFonts w:ascii="Times New Roman" w:hAnsi="Times New Roman"/>
      <w:szCs w:val="24"/>
      <w:lang w:eastAsia="en-GB"/>
    </w:rPr>
  </w:style>
  <w:style w:type="paragraph" w:styleId="NormalWeb">
    <w:name w:val="Normal (Web)"/>
    <w:basedOn w:val="Normal"/>
    <w:rsid w:val="00F8311D"/>
    <w:pPr>
      <w:spacing w:before="100" w:beforeAutospacing="1" w:after="100" w:afterAutospacing="1"/>
    </w:pPr>
    <w:rPr>
      <w:rFonts w:ascii="Times New Roman" w:hAnsi="Times New Roman"/>
      <w:szCs w:val="24"/>
      <w:lang w:eastAsia="en-GB"/>
    </w:rPr>
  </w:style>
  <w:style w:type="character" w:styleId="Emphasis">
    <w:name w:val="Emphasis"/>
    <w:basedOn w:val="DefaultParagraphFont"/>
    <w:qFormat/>
    <w:rsid w:val="00F8311D"/>
    <w:rPr>
      <w:i/>
      <w:iCs/>
    </w:rPr>
  </w:style>
  <w:style w:type="paragraph" w:customStyle="1" w:styleId="Body">
    <w:name w:val="Body"/>
    <w:basedOn w:val="Normal"/>
    <w:rsid w:val="00F33006"/>
    <w:pPr>
      <w:spacing w:after="160"/>
      <w:ind w:left="720" w:right="720"/>
      <w:jc w:val="both"/>
    </w:pPr>
    <w:rPr>
      <w:rFonts w:ascii="Century Schoolbook" w:hAnsi="Century Schoolbook"/>
      <w:lang w:eastAsia="en-GB"/>
    </w:rPr>
  </w:style>
  <w:style w:type="paragraph" w:customStyle="1" w:styleId="Body3">
    <w:name w:val="Body 3"/>
    <w:basedOn w:val="Body"/>
    <w:rsid w:val="00F33006"/>
    <w:pPr>
      <w:spacing w:after="240"/>
      <w:ind w:left="1701" w:right="0"/>
    </w:pPr>
    <w:rPr>
      <w:rFonts w:ascii="Arial" w:hAnsi="Arial" w:cs="Arial"/>
      <w:sz w:val="20"/>
    </w:rPr>
  </w:style>
  <w:style w:type="paragraph" w:customStyle="1" w:styleId="Body0">
    <w:name w:val="Body*"/>
    <w:rsid w:val="00DF604C"/>
    <w:pPr>
      <w:keepLines/>
      <w:spacing w:line="320" w:lineRule="exact"/>
      <w:ind w:right="850"/>
      <w:jc w:val="both"/>
    </w:pPr>
    <w:rPr>
      <w:rFonts w:ascii="Perpetua" w:hAnsi="Perpetua"/>
      <w:noProof/>
      <w:sz w:val="26"/>
    </w:rPr>
  </w:style>
  <w:style w:type="paragraph" w:customStyle="1" w:styleId="Bullet1">
    <w:name w:val="Bullet 1"/>
    <w:basedOn w:val="Normal"/>
    <w:link w:val="Bullet1Char"/>
    <w:rsid w:val="006E5226"/>
    <w:pPr>
      <w:keepLines/>
      <w:tabs>
        <w:tab w:val="num" w:pos="794"/>
      </w:tabs>
      <w:spacing w:before="100"/>
      <w:ind w:left="794" w:hanging="397"/>
    </w:pPr>
    <w:rPr>
      <w:szCs w:val="24"/>
      <w:lang w:eastAsia="en-GB"/>
    </w:rPr>
  </w:style>
  <w:style w:type="character" w:customStyle="1" w:styleId="Bullet1Char">
    <w:name w:val="Bullet 1 Char"/>
    <w:basedOn w:val="DefaultParagraphFont"/>
    <w:link w:val="Bullet1"/>
    <w:rsid w:val="006E5226"/>
    <w:rPr>
      <w:rFonts w:ascii="Arial" w:hAnsi="Arial"/>
      <w:sz w:val="24"/>
      <w:szCs w:val="24"/>
      <w:lang w:val="en-GB" w:eastAsia="en-GB" w:bidi="ar-SA"/>
    </w:rPr>
  </w:style>
  <w:style w:type="paragraph" w:styleId="TOC3">
    <w:name w:val="toc 3"/>
    <w:basedOn w:val="Normal"/>
    <w:next w:val="Normal"/>
    <w:autoRedefine/>
    <w:semiHidden/>
    <w:rsid w:val="005B7B3D"/>
    <w:pPr>
      <w:ind w:left="480"/>
    </w:pPr>
  </w:style>
  <w:style w:type="paragraph" w:styleId="ListParagraph">
    <w:name w:val="List Paragraph"/>
    <w:basedOn w:val="Normal"/>
    <w:uiPriority w:val="34"/>
    <w:qFormat/>
    <w:rsid w:val="005B7B3D"/>
    <w:pPr>
      <w:ind w:left="720"/>
      <w:contextualSpacing/>
    </w:pPr>
    <w:rPr>
      <w:rFonts w:ascii="Times New Roman" w:eastAsia="Calibri" w:hAnsi="Times New Roman"/>
      <w:szCs w:val="24"/>
      <w:lang w:eastAsia="en-GB"/>
    </w:rPr>
  </w:style>
  <w:style w:type="paragraph" w:styleId="NoSpacing">
    <w:name w:val="No Spacing"/>
    <w:link w:val="NoSpacingChar"/>
    <w:qFormat/>
    <w:rsid w:val="005B7B3D"/>
    <w:rPr>
      <w:rFonts w:ascii="Calibri" w:eastAsia="Calibri" w:hAnsi="Calibri"/>
      <w:sz w:val="22"/>
      <w:szCs w:val="22"/>
      <w:lang w:val="en-US" w:eastAsia="en-US"/>
    </w:rPr>
  </w:style>
  <w:style w:type="character" w:customStyle="1" w:styleId="NoSpacingChar">
    <w:name w:val="No Spacing Char"/>
    <w:basedOn w:val="DefaultParagraphFont"/>
    <w:link w:val="NoSpacing"/>
    <w:locked/>
    <w:rsid w:val="005B7B3D"/>
    <w:rPr>
      <w:rFonts w:ascii="Calibri" w:eastAsia="Calibri" w:hAnsi="Calibri"/>
      <w:sz w:val="22"/>
      <w:szCs w:val="22"/>
      <w:lang w:val="en-US" w:eastAsia="en-US" w:bidi="ar-SA"/>
    </w:rPr>
  </w:style>
  <w:style w:type="paragraph" w:styleId="TOCHeading">
    <w:name w:val="TOC Heading"/>
    <w:basedOn w:val="Heading1"/>
    <w:next w:val="Normal"/>
    <w:qFormat/>
    <w:rsid w:val="005B7B3D"/>
    <w:pPr>
      <w:keepLines/>
      <w:spacing w:before="480" w:line="276" w:lineRule="auto"/>
      <w:ind w:left="0" w:firstLine="0"/>
      <w:jc w:val="left"/>
      <w:outlineLvl w:val="9"/>
    </w:pPr>
    <w:rPr>
      <w:rFonts w:ascii="Cambria" w:eastAsia="Calibri" w:hAnsi="Cambria"/>
      <w:bCs/>
      <w:color w:val="365F91"/>
      <w:sz w:val="28"/>
      <w:szCs w:val="28"/>
      <w:lang w:val="en-US"/>
    </w:rPr>
  </w:style>
  <w:style w:type="paragraph" w:customStyle="1" w:styleId="Bullets">
    <w:name w:val="Bullets"/>
    <w:basedOn w:val="BodyText"/>
    <w:rsid w:val="005B7B3D"/>
    <w:pPr>
      <w:tabs>
        <w:tab w:val="left" w:pos="648"/>
        <w:tab w:val="left" w:pos="936"/>
      </w:tabs>
      <w:spacing w:after="360"/>
      <w:jc w:val="both"/>
    </w:pPr>
    <w:rPr>
      <w:rFonts w:ascii="Garamond" w:eastAsia="Calibri" w:hAnsi="Garamond"/>
      <w:sz w:val="24"/>
      <w:lang w:eastAsia="en-GB"/>
    </w:rPr>
  </w:style>
  <w:style w:type="paragraph" w:styleId="CommentText">
    <w:name w:val="annotation text"/>
    <w:basedOn w:val="Normal"/>
    <w:semiHidden/>
    <w:rsid w:val="005334B3"/>
    <w:rPr>
      <w:sz w:val="20"/>
    </w:rPr>
  </w:style>
  <w:style w:type="character" w:customStyle="1" w:styleId="Heading2Char">
    <w:name w:val="Heading 2 Char"/>
    <w:basedOn w:val="DefaultParagraphFont"/>
    <w:locked/>
    <w:rsid w:val="00281AFF"/>
    <w:rPr>
      <w:rFonts w:ascii="Arial" w:hAnsi="Arial" w:cs="Arial"/>
      <w:b/>
      <w:bCs/>
      <w:i/>
      <w:iCs/>
      <w:sz w:val="28"/>
      <w:szCs w:val="28"/>
      <w:lang w:eastAsia="en-GB"/>
    </w:rPr>
  </w:style>
  <w:style w:type="table" w:customStyle="1" w:styleId="ColorfulShading-Accent41">
    <w:name w:val="Colorful Shading - Accent 41"/>
    <w:rsid w:val="00281AFF"/>
    <w:rPr>
      <w:rFonts w:ascii="Calibri" w:hAnsi="Calibri"/>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customStyle="1" w:styleId="ColorfulGrid-Accent41">
    <w:name w:val="Colorful Grid - Accent 41"/>
    <w:rsid w:val="00281AFF"/>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customStyle="1" w:styleId="ColorfulList-Accent11">
    <w:name w:val="Colorful List - Accent 11"/>
    <w:rsid w:val="00281AFF"/>
    <w:rPr>
      <w:rFonts w:ascii="Calibri"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customStyle="1" w:styleId="MediumShading2-Accent21">
    <w:name w:val="Medium Shading 2 - Accent 21"/>
    <w:rsid w:val="00281AFF"/>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Grid-Accent11">
    <w:name w:val="Colorful Grid - Accent 11"/>
    <w:rsid w:val="00281AFF"/>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maf">
    <w:name w:val="maf"/>
    <w:basedOn w:val="Default"/>
    <w:next w:val="Default"/>
    <w:rsid w:val="00281AFF"/>
    <w:rPr>
      <w:rFonts w:ascii="Times New Roman" w:eastAsia="Calibri" w:hAnsi="Times New Roman" w:cs="Times New Roman"/>
      <w:color w:val="auto"/>
      <w:lang w:val="en-US" w:eastAsia="en-US"/>
    </w:rPr>
  </w:style>
  <w:style w:type="character" w:customStyle="1" w:styleId="Hyperlink8">
    <w:name w:val="Hyperlink8"/>
    <w:basedOn w:val="DefaultParagraphFont"/>
    <w:rsid w:val="00281AFF"/>
    <w:rPr>
      <w:rFonts w:cs="Times New Roman"/>
      <w:b/>
      <w:bCs/>
      <w:color w:val="336699"/>
      <w:u w:val="none"/>
      <w:effect w:val="none"/>
    </w:rPr>
  </w:style>
  <w:style w:type="paragraph" w:customStyle="1" w:styleId="Question">
    <w:name w:val="Question"/>
    <w:basedOn w:val="Normal"/>
    <w:rsid w:val="00281AFF"/>
    <w:pPr>
      <w:tabs>
        <w:tab w:val="num" w:pos="709"/>
      </w:tabs>
      <w:spacing w:before="160" w:after="100"/>
      <w:ind w:left="709" w:hanging="567"/>
    </w:pPr>
    <w:rPr>
      <w:rFonts w:eastAsia="Calibri"/>
      <w:b/>
      <w:sz w:val="21"/>
    </w:rPr>
  </w:style>
  <w:style w:type="paragraph" w:customStyle="1" w:styleId="Section">
    <w:name w:val="Section"/>
    <w:basedOn w:val="Question"/>
    <w:rsid w:val="00281AFF"/>
    <w:pPr>
      <w:tabs>
        <w:tab w:val="clear" w:pos="709"/>
        <w:tab w:val="num" w:pos="567"/>
      </w:tabs>
      <w:spacing w:before="360" w:after="0"/>
      <w:ind w:left="567"/>
    </w:pPr>
    <w:rPr>
      <w:caps/>
      <w:sz w:val="25"/>
    </w:rPr>
  </w:style>
  <w:style w:type="paragraph" w:customStyle="1" w:styleId="QuestionFollowup">
    <w:name w:val="Question Followup"/>
    <w:basedOn w:val="Question"/>
    <w:rsid w:val="00281AFF"/>
    <w:pPr>
      <w:tabs>
        <w:tab w:val="clear" w:pos="709"/>
        <w:tab w:val="num" w:pos="567"/>
      </w:tabs>
      <w:ind w:left="567"/>
    </w:pPr>
  </w:style>
  <w:style w:type="paragraph" w:customStyle="1" w:styleId="Appendixhead">
    <w:name w:val="Appendix head"/>
    <w:basedOn w:val="Heading1"/>
    <w:next w:val="Normal"/>
    <w:rsid w:val="00281AFF"/>
    <w:pPr>
      <w:keepNext w:val="0"/>
      <w:pageBreakBefore/>
      <w:tabs>
        <w:tab w:val="left" w:pos="1021"/>
        <w:tab w:val="num" w:pos="1800"/>
      </w:tabs>
      <w:spacing w:after="1080"/>
      <w:ind w:left="431" w:hanging="431"/>
      <w:jc w:val="both"/>
      <w:outlineLvl w:val="9"/>
    </w:pPr>
    <w:rPr>
      <w:rFonts w:ascii="Verdana" w:eastAsia="Calibri" w:hAnsi="Verdana"/>
      <w:kern w:val="28"/>
      <w:sz w:val="32"/>
      <w:szCs w:val="24"/>
    </w:rPr>
  </w:style>
  <w:style w:type="paragraph" w:customStyle="1" w:styleId="Appendixtext">
    <w:name w:val="Appendix text"/>
    <w:basedOn w:val="Heading2"/>
    <w:rsid w:val="00281AFF"/>
    <w:pPr>
      <w:keepNext w:val="0"/>
      <w:keepLines/>
      <w:tabs>
        <w:tab w:val="num" w:pos="576"/>
        <w:tab w:val="left" w:pos="1021"/>
        <w:tab w:val="num" w:pos="1152"/>
      </w:tabs>
      <w:spacing w:before="240" w:after="60"/>
      <w:ind w:left="578" w:hanging="578"/>
      <w:jc w:val="both"/>
    </w:pPr>
    <w:rPr>
      <w:rFonts w:ascii="Verdana" w:eastAsia="Calibri" w:hAnsi="Verdana" w:cs="Arial"/>
      <w:b w:val="0"/>
      <w:bCs/>
      <w:iCs/>
      <w:color w:val="auto"/>
      <w:sz w:val="22"/>
      <w:szCs w:val="28"/>
      <w:lang w:val="en-US"/>
    </w:rPr>
  </w:style>
  <w:style w:type="paragraph" w:customStyle="1" w:styleId="bulletscs1">
    <w:name w:val="bullet scs1"/>
    <w:basedOn w:val="Normal"/>
    <w:rsid w:val="00281AFF"/>
    <w:pPr>
      <w:tabs>
        <w:tab w:val="left" w:pos="907"/>
      </w:tabs>
      <w:spacing w:after="120"/>
      <w:ind w:right="658"/>
    </w:pPr>
    <w:rPr>
      <w:rFonts w:eastAsia="Calibri"/>
      <w:sz w:val="22"/>
      <w:szCs w:val="24"/>
    </w:rPr>
  </w:style>
  <w:style w:type="paragraph" w:customStyle="1" w:styleId="wfxRecipient">
    <w:name w:val="wfxRecipient"/>
    <w:basedOn w:val="Normal"/>
    <w:rsid w:val="00281AFF"/>
    <w:rPr>
      <w:rFonts w:ascii="Times New Roman" w:eastAsia="Calibri" w:hAnsi="Times New Roman"/>
      <w:szCs w:val="24"/>
    </w:rPr>
  </w:style>
  <w:style w:type="paragraph" w:customStyle="1" w:styleId="Tabledata">
    <w:name w:val="Table data"/>
    <w:basedOn w:val="Normal"/>
    <w:rsid w:val="00281AFF"/>
    <w:pPr>
      <w:ind w:right="113"/>
      <w:jc w:val="right"/>
    </w:pPr>
    <w:rPr>
      <w:rFonts w:eastAsia="Calibri"/>
      <w:color w:val="000000"/>
      <w:sz w:val="22"/>
      <w:szCs w:val="24"/>
    </w:rPr>
  </w:style>
  <w:style w:type="paragraph" w:customStyle="1" w:styleId="Appendixhead2">
    <w:name w:val="Appendixhead2"/>
    <w:basedOn w:val="Heading2"/>
    <w:rsid w:val="00281AFF"/>
    <w:pPr>
      <w:keepNext w:val="0"/>
      <w:keepLines/>
      <w:tabs>
        <w:tab w:val="left" w:pos="1021"/>
      </w:tabs>
      <w:spacing w:before="120" w:after="120"/>
      <w:ind w:left="142" w:hanging="708"/>
      <w:jc w:val="both"/>
      <w:outlineLvl w:val="9"/>
    </w:pPr>
    <w:rPr>
      <w:rFonts w:ascii="Verdana" w:eastAsia="Calibri" w:hAnsi="Verdana"/>
      <w:b w:val="0"/>
      <w:i/>
      <w:noProof/>
      <w:color w:val="auto"/>
      <w:sz w:val="24"/>
      <w:szCs w:val="24"/>
      <w:u w:val="single"/>
      <w:lang w:val="en-US"/>
    </w:rPr>
  </w:style>
  <w:style w:type="paragraph" w:customStyle="1" w:styleId="TABLEHEADING">
    <w:name w:val="TABLE HEADING"/>
    <w:basedOn w:val="Normal"/>
    <w:rsid w:val="00281AFF"/>
    <w:rPr>
      <w:rFonts w:ascii="Times New Roman" w:eastAsia="Calibri" w:hAnsi="Times New Roman"/>
      <w:b/>
      <w:szCs w:val="24"/>
    </w:rPr>
  </w:style>
  <w:style w:type="paragraph" w:customStyle="1" w:styleId="cncont">
    <w:name w:val="cn_cont"/>
    <w:basedOn w:val="Normal"/>
    <w:rsid w:val="00281AFF"/>
    <w:pPr>
      <w:spacing w:before="100" w:beforeAutospacing="1" w:after="100" w:afterAutospacing="1"/>
    </w:pPr>
    <w:rPr>
      <w:rFonts w:ascii="Verdana" w:eastAsia="Calibri" w:hAnsi="Verdana"/>
      <w:color w:val="000066"/>
      <w:sz w:val="18"/>
      <w:szCs w:val="18"/>
      <w:lang w:val="en-US"/>
    </w:rPr>
  </w:style>
  <w:style w:type="paragraph" w:styleId="TOC4">
    <w:name w:val="toc 4"/>
    <w:basedOn w:val="Normal"/>
    <w:next w:val="Normal"/>
    <w:autoRedefine/>
    <w:rsid w:val="00281AFF"/>
    <w:pPr>
      <w:spacing w:after="100" w:line="276" w:lineRule="auto"/>
      <w:ind w:left="660"/>
    </w:pPr>
    <w:rPr>
      <w:rFonts w:ascii="Calibri" w:eastAsia="Calibri" w:hAnsi="Calibri"/>
      <w:sz w:val="22"/>
      <w:szCs w:val="22"/>
      <w:lang w:eastAsia="en-GB"/>
    </w:rPr>
  </w:style>
  <w:style w:type="paragraph" w:styleId="TOC5">
    <w:name w:val="toc 5"/>
    <w:basedOn w:val="Normal"/>
    <w:next w:val="Normal"/>
    <w:autoRedefine/>
    <w:rsid w:val="00281AFF"/>
    <w:pPr>
      <w:spacing w:after="100" w:line="276" w:lineRule="auto"/>
      <w:ind w:left="880"/>
    </w:pPr>
    <w:rPr>
      <w:rFonts w:ascii="Calibri" w:eastAsia="Calibri" w:hAnsi="Calibri"/>
      <w:sz w:val="22"/>
      <w:szCs w:val="22"/>
      <w:lang w:eastAsia="en-GB"/>
    </w:rPr>
  </w:style>
  <w:style w:type="paragraph" w:styleId="TOC6">
    <w:name w:val="toc 6"/>
    <w:basedOn w:val="Normal"/>
    <w:next w:val="Normal"/>
    <w:autoRedefine/>
    <w:rsid w:val="00281AFF"/>
    <w:pPr>
      <w:spacing w:after="100" w:line="276" w:lineRule="auto"/>
      <w:ind w:left="1100"/>
    </w:pPr>
    <w:rPr>
      <w:rFonts w:ascii="Calibri" w:eastAsia="Calibri" w:hAnsi="Calibri"/>
      <w:sz w:val="22"/>
      <w:szCs w:val="22"/>
      <w:lang w:eastAsia="en-GB"/>
    </w:rPr>
  </w:style>
  <w:style w:type="paragraph" w:styleId="TOC7">
    <w:name w:val="toc 7"/>
    <w:basedOn w:val="Normal"/>
    <w:next w:val="Normal"/>
    <w:autoRedefine/>
    <w:rsid w:val="00281AFF"/>
    <w:pPr>
      <w:spacing w:after="100" w:line="276" w:lineRule="auto"/>
      <w:ind w:left="1320"/>
    </w:pPr>
    <w:rPr>
      <w:rFonts w:ascii="Calibri" w:eastAsia="Calibri" w:hAnsi="Calibri"/>
      <w:sz w:val="22"/>
      <w:szCs w:val="22"/>
      <w:lang w:eastAsia="en-GB"/>
    </w:rPr>
  </w:style>
  <w:style w:type="paragraph" w:styleId="TOC8">
    <w:name w:val="toc 8"/>
    <w:basedOn w:val="Normal"/>
    <w:next w:val="Normal"/>
    <w:autoRedefine/>
    <w:rsid w:val="00281AFF"/>
    <w:pPr>
      <w:spacing w:after="100" w:line="276" w:lineRule="auto"/>
      <w:ind w:left="1540"/>
    </w:pPr>
    <w:rPr>
      <w:rFonts w:ascii="Calibri" w:eastAsia="Calibri" w:hAnsi="Calibri"/>
      <w:sz w:val="22"/>
      <w:szCs w:val="22"/>
      <w:lang w:eastAsia="en-GB"/>
    </w:rPr>
  </w:style>
  <w:style w:type="paragraph" w:styleId="TOC9">
    <w:name w:val="toc 9"/>
    <w:basedOn w:val="Normal"/>
    <w:next w:val="Normal"/>
    <w:autoRedefine/>
    <w:rsid w:val="00281AFF"/>
    <w:pPr>
      <w:spacing w:after="100" w:line="276" w:lineRule="auto"/>
      <w:ind w:left="1760"/>
    </w:pPr>
    <w:rPr>
      <w:rFonts w:ascii="Calibri" w:eastAsia="Calibri" w:hAnsi="Calibri"/>
      <w:sz w:val="22"/>
      <w:szCs w:val="22"/>
      <w:lang w:eastAsia="en-GB"/>
    </w:rPr>
  </w:style>
  <w:style w:type="character" w:customStyle="1" w:styleId="subhead21">
    <w:name w:val="subhead21"/>
    <w:basedOn w:val="DefaultParagraphFont"/>
    <w:rsid w:val="00281AFF"/>
    <w:rPr>
      <w:rFonts w:ascii="Arial" w:hAnsi="Arial" w:cs="Arial"/>
      <w:b/>
      <w:bCs/>
      <w:color w:val="559EDA"/>
      <w:sz w:val="22"/>
      <w:szCs w:val="22"/>
    </w:rPr>
  </w:style>
  <w:style w:type="paragraph" w:customStyle="1" w:styleId="Style1">
    <w:name w:val="Style1"/>
    <w:basedOn w:val="Heading1"/>
    <w:rsid w:val="00281AFF"/>
    <w:pPr>
      <w:spacing w:before="240" w:after="60"/>
      <w:ind w:left="0" w:firstLine="0"/>
      <w:jc w:val="left"/>
    </w:pPr>
    <w:rPr>
      <w:rFonts w:ascii="FoundryFormSans-Book" w:eastAsia="Calibri" w:hAnsi="FoundryFormSans-Book" w:cs="FoundryFormSans-Book"/>
      <w:bCs/>
      <w:color w:val="008000"/>
      <w:kern w:val="32"/>
      <w:sz w:val="40"/>
      <w:szCs w:val="40"/>
      <w:lang w:val="en-US"/>
    </w:rPr>
  </w:style>
  <w:style w:type="table" w:customStyle="1" w:styleId="MediumList2-Accent11">
    <w:name w:val="Medium List 2 - Accent 11"/>
    <w:rsid w:val="00281AFF"/>
    <w:rPr>
      <w:rFonts w:ascii="Cambria" w:eastAsia="Calibri" w:hAnsi="Cambria"/>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tabs">
    <w:name w:val="tabs"/>
    <w:basedOn w:val="Normal"/>
    <w:next w:val="Normal"/>
    <w:rsid w:val="00281AFF"/>
    <w:rPr>
      <w:rFonts w:ascii="Garamond" w:eastAsia="Calibri" w:hAnsi="Garamond"/>
      <w:sz w:val="22"/>
      <w:lang w:eastAsia="en-GB"/>
    </w:rPr>
  </w:style>
  <w:style w:type="paragraph" w:customStyle="1" w:styleId="Heading2NonTOC">
    <w:name w:val="Heading 2 Non TOC"/>
    <w:basedOn w:val="BodyText"/>
    <w:next w:val="BodyText"/>
    <w:rsid w:val="00281AFF"/>
    <w:pPr>
      <w:keepNext/>
      <w:spacing w:after="120"/>
    </w:pPr>
    <w:rPr>
      <w:rFonts w:ascii="RotisSansSerifExtraBold" w:eastAsia="Calibri" w:hAnsi="RotisSansSerifExtraBold"/>
      <w:sz w:val="32"/>
      <w:lang w:eastAsia="en-GB"/>
    </w:rPr>
  </w:style>
  <w:style w:type="table" w:customStyle="1" w:styleId="LightList1">
    <w:name w:val="Light List1"/>
    <w:rsid w:val="00281AFF"/>
    <w:rPr>
      <w:rFonts w:ascii="Calibri" w:eastAsia="Calibri" w:hAnsi="Calibri"/>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harChar11">
    <w:name w:val="Char Char11"/>
    <w:basedOn w:val="DefaultParagraphFont"/>
    <w:rsid w:val="009F6BE0"/>
    <w:rPr>
      <w:rFonts w:ascii="Arial" w:eastAsia="Times New Roman" w:hAnsi="Arial" w:cs="Arial"/>
      <w:b/>
      <w:bCs/>
      <w:i/>
      <w:iCs/>
      <w:sz w:val="28"/>
      <w:szCs w:val="28"/>
      <w:lang w:eastAsia="en-GB"/>
    </w:rPr>
  </w:style>
  <w:style w:type="character" w:customStyle="1" w:styleId="CharChar7">
    <w:name w:val="Char Char7"/>
    <w:basedOn w:val="DefaultParagraphFont"/>
    <w:rsid w:val="009F6BE0"/>
    <w:rPr>
      <w:rFonts w:ascii="Novarese Medium" w:eastAsia="Times New Roman" w:hAnsi="Novarese Medium" w:cs="Tahoma"/>
      <w:b/>
      <w:bCs/>
      <w:spacing w:val="-3"/>
      <w:sz w:val="24"/>
      <w:szCs w:val="24"/>
    </w:rPr>
  </w:style>
  <w:style w:type="character" w:customStyle="1" w:styleId="CharChar6">
    <w:name w:val="Char Char6"/>
    <w:basedOn w:val="DefaultParagraphFont"/>
    <w:rsid w:val="009F6BE0"/>
    <w:rPr>
      <w:rFonts w:ascii="Times New Roman" w:eastAsia="Times New Roman" w:hAnsi="Times New Roman" w:cs="Times New Roman"/>
      <w:sz w:val="24"/>
      <w:szCs w:val="24"/>
      <w:lang w:eastAsia="en-GB"/>
    </w:rPr>
  </w:style>
  <w:style w:type="character" w:customStyle="1" w:styleId="CharChar4">
    <w:name w:val="Char Char4"/>
    <w:basedOn w:val="DefaultParagraphFont"/>
    <w:rsid w:val="009F6BE0"/>
    <w:rPr>
      <w:rFonts w:ascii="Times New Roman" w:eastAsia="Times New Roman" w:hAnsi="Times New Roman" w:cs="Times New Roman"/>
      <w:sz w:val="24"/>
      <w:szCs w:val="24"/>
      <w:lang w:eastAsia="en-GB"/>
    </w:rPr>
  </w:style>
  <w:style w:type="character" w:customStyle="1" w:styleId="CharChar12">
    <w:name w:val="Char Char12"/>
    <w:basedOn w:val="DefaultParagraphFont"/>
    <w:rsid w:val="009F6BE0"/>
    <w:rPr>
      <w:rFonts w:ascii="Cambria" w:eastAsia="Times New Roman" w:hAnsi="Cambria" w:cs="Times New Roman"/>
      <w:b/>
      <w:bCs/>
      <w:color w:val="365F91"/>
      <w:sz w:val="28"/>
      <w:szCs w:val="28"/>
      <w:lang w:eastAsia="en-GB"/>
    </w:rPr>
  </w:style>
  <w:style w:type="character" w:customStyle="1" w:styleId="CharChar10">
    <w:name w:val="Char Char10"/>
    <w:basedOn w:val="DefaultParagraphFont"/>
    <w:rsid w:val="009F6BE0"/>
    <w:rPr>
      <w:rFonts w:ascii="Arial" w:eastAsia="Times New Roman" w:hAnsi="Arial" w:cs="Arial"/>
      <w:b/>
      <w:bCs/>
      <w:sz w:val="26"/>
      <w:szCs w:val="26"/>
      <w:lang w:eastAsia="en-GB"/>
    </w:rPr>
  </w:style>
  <w:style w:type="character" w:customStyle="1" w:styleId="CharChar9">
    <w:name w:val="Char Char9"/>
    <w:basedOn w:val="DefaultParagraphFont"/>
    <w:rsid w:val="009F6BE0"/>
    <w:rPr>
      <w:rFonts w:ascii="Times New Roman" w:eastAsia="Times New Roman" w:hAnsi="Times New Roman" w:cs="Times New Roman"/>
      <w:i/>
      <w:iCs/>
      <w:sz w:val="24"/>
      <w:szCs w:val="24"/>
      <w:lang w:eastAsia="en-GB"/>
    </w:rPr>
  </w:style>
  <w:style w:type="character" w:customStyle="1" w:styleId="CharChar2">
    <w:name w:val="Char Char2"/>
    <w:basedOn w:val="DefaultParagraphFont"/>
    <w:rsid w:val="009F6BE0"/>
    <w:rPr>
      <w:rFonts w:ascii="Arial" w:eastAsia="Times New Roman" w:hAnsi="Arial" w:cs="Times New Roman"/>
      <w:sz w:val="24"/>
      <w:szCs w:val="20"/>
    </w:rPr>
  </w:style>
  <w:style w:type="character" w:customStyle="1" w:styleId="CharChar">
    <w:name w:val="Char Char"/>
    <w:basedOn w:val="DefaultParagraphFont"/>
    <w:rsid w:val="009F6BE0"/>
    <w:rPr>
      <w:rFonts w:ascii="Times New Roman" w:eastAsia="Times New Roman" w:hAnsi="Times New Roman" w:cs="Times New Roman"/>
      <w:b/>
      <w:bCs/>
      <w:sz w:val="24"/>
      <w:szCs w:val="24"/>
    </w:rPr>
  </w:style>
  <w:style w:type="character" w:styleId="CommentReference">
    <w:name w:val="annotation reference"/>
    <w:basedOn w:val="DefaultParagraphFont"/>
    <w:semiHidden/>
    <w:rsid w:val="004206B5"/>
    <w:rPr>
      <w:sz w:val="16"/>
      <w:szCs w:val="16"/>
    </w:rPr>
  </w:style>
  <w:style w:type="paragraph" w:customStyle="1" w:styleId="intro">
    <w:name w:val="intro"/>
    <w:basedOn w:val="Normal"/>
    <w:rsid w:val="00344FB6"/>
    <w:pPr>
      <w:spacing w:before="100" w:beforeAutospacing="1" w:after="100" w:afterAutospacing="1"/>
    </w:pPr>
    <w:rPr>
      <w:rFonts w:ascii="Times New Roman" w:hAnsi="Times New Roman"/>
      <w:color w:val="003366"/>
      <w:sz w:val="29"/>
      <w:szCs w:val="29"/>
      <w:lang w:eastAsia="en-GB"/>
    </w:rPr>
  </w:style>
  <w:style w:type="paragraph" w:styleId="Index1">
    <w:name w:val="index 1"/>
    <w:basedOn w:val="Normal"/>
    <w:next w:val="Normal"/>
    <w:autoRedefine/>
    <w:semiHidden/>
    <w:rsid w:val="00BA3CD7"/>
    <w:pPr>
      <w:ind w:left="240" w:hanging="240"/>
    </w:pPr>
    <w:rPr>
      <w:rFonts w:ascii="Times New Roman" w:hAnsi="Times New Roman"/>
      <w:szCs w:val="24"/>
      <w:lang w:eastAsia="en-GB"/>
    </w:rPr>
  </w:style>
  <w:style w:type="paragraph" w:customStyle="1" w:styleId="FooterAssetFinanceflyers">
    <w:name w:val="Footer (Asset Finance flyers)"/>
    <w:basedOn w:val="Normal"/>
    <w:rsid w:val="00BA3CD7"/>
    <w:pPr>
      <w:suppressAutoHyphens/>
      <w:autoSpaceDE w:val="0"/>
      <w:autoSpaceDN w:val="0"/>
      <w:adjustRightInd w:val="0"/>
      <w:spacing w:line="200" w:lineRule="atLeast"/>
      <w:jc w:val="both"/>
      <w:textAlignment w:val="center"/>
    </w:pPr>
    <w:rPr>
      <w:rFonts w:ascii="Bliss 2 Regular" w:hAnsi="Bliss 2 Regular" w:cs="Bliss 2 Regular"/>
      <w:color w:val="006792"/>
      <w:spacing w:val="-5"/>
      <w:sz w:val="16"/>
      <w:szCs w:val="16"/>
    </w:rPr>
  </w:style>
  <w:style w:type="character" w:customStyle="1" w:styleId="normaltext1">
    <w:name w:val="normaltext1"/>
    <w:basedOn w:val="DefaultParagraphFont"/>
    <w:rsid w:val="00BA3CD7"/>
    <w:rPr>
      <w:rFonts w:ascii="Arial" w:hAnsi="Arial" w:cs="Arial" w:hint="default"/>
      <w:i w:val="0"/>
      <w:iCs w:val="0"/>
      <w:color w:val="666666"/>
      <w:sz w:val="13"/>
      <w:szCs w:val="13"/>
    </w:rPr>
  </w:style>
  <w:style w:type="character" w:customStyle="1" w:styleId="enquiry1">
    <w:name w:val="enquiry1"/>
    <w:basedOn w:val="DefaultParagraphFont"/>
    <w:rsid w:val="00BA3CD7"/>
    <w:rPr>
      <w:rFonts w:ascii="Verdana" w:hAnsi="Verdana" w:hint="default"/>
      <w:b w:val="0"/>
      <w:bCs w:val="0"/>
      <w:i w:val="0"/>
      <w:iCs w:val="0"/>
      <w:strike w:val="0"/>
      <w:dstrike w:val="0"/>
      <w:color w:val="333366"/>
      <w:sz w:val="15"/>
      <w:szCs w:val="15"/>
      <w:u w:val="none"/>
      <w:effect w:val="none"/>
    </w:rPr>
  </w:style>
  <w:style w:type="character" w:customStyle="1" w:styleId="StyleComplexArialComplex11pt">
    <w:name w:val="Style (Complex) Arial (Complex) 11 pt"/>
    <w:basedOn w:val="DefaultParagraphFont"/>
    <w:rsid w:val="001313AE"/>
    <w:rPr>
      <w:rFonts w:cs="Arial"/>
      <w:sz w:val="22"/>
      <w:szCs w:val="22"/>
    </w:rPr>
  </w:style>
  <w:style w:type="paragraph" w:customStyle="1" w:styleId="ecxmsonormal">
    <w:name w:val="ecxmsonormal"/>
    <w:basedOn w:val="Normal"/>
    <w:rsid w:val="007B6F69"/>
    <w:pPr>
      <w:spacing w:after="324"/>
    </w:pPr>
    <w:rPr>
      <w:rFonts w:ascii="Times New Roman" w:hAnsi="Times New Roman"/>
      <w:szCs w:val="24"/>
      <w:lang w:val="en-US"/>
    </w:rPr>
  </w:style>
  <w:style w:type="character" w:customStyle="1" w:styleId="SectionHeadingCharChar">
    <w:name w:val="Section Heading Char Char"/>
    <w:basedOn w:val="DefaultParagraphFont"/>
    <w:locked/>
    <w:rsid w:val="00CA4E51"/>
    <w:rPr>
      <w:rFonts w:ascii="Arial" w:hAnsi="Arial"/>
      <w:b/>
      <w:sz w:val="22"/>
      <w:lang w:val="en-GB" w:eastAsia="en-US" w:bidi="ar-SA"/>
    </w:rPr>
  </w:style>
  <w:style w:type="character" w:customStyle="1" w:styleId="CharChar19">
    <w:name w:val="Char Char19"/>
    <w:basedOn w:val="DefaultParagraphFont"/>
    <w:locked/>
    <w:rsid w:val="00CA4E51"/>
    <w:rPr>
      <w:rFonts w:ascii="Arial" w:hAnsi="Arial"/>
      <w:b/>
      <w:i/>
      <w:sz w:val="22"/>
      <w:lang w:val="en-GB" w:eastAsia="en-US" w:bidi="ar-SA"/>
    </w:rPr>
  </w:style>
  <w:style w:type="character" w:customStyle="1" w:styleId="CharChar18">
    <w:name w:val="Char Char18"/>
    <w:basedOn w:val="DefaultParagraphFont"/>
    <w:locked/>
    <w:rsid w:val="00CA4E51"/>
    <w:rPr>
      <w:rFonts w:ascii="Arial" w:hAnsi="Arial"/>
      <w:b/>
      <w:sz w:val="22"/>
      <w:lang w:val="en-GB" w:eastAsia="en-US" w:bidi="ar-SA"/>
    </w:rPr>
  </w:style>
  <w:style w:type="character" w:customStyle="1" w:styleId="CharChar17">
    <w:name w:val="Char Char17"/>
    <w:basedOn w:val="DefaultParagraphFont"/>
    <w:locked/>
    <w:rsid w:val="00CA4E51"/>
    <w:rPr>
      <w:rFonts w:ascii="Arial" w:hAnsi="Arial"/>
      <w:sz w:val="24"/>
      <w:lang w:val="en-GB" w:eastAsia="en-US" w:bidi="ar-SA"/>
    </w:rPr>
  </w:style>
  <w:style w:type="character" w:customStyle="1" w:styleId="CharChar16">
    <w:name w:val="Char Char16"/>
    <w:basedOn w:val="DefaultParagraphFont"/>
    <w:locked/>
    <w:rsid w:val="00CA4E51"/>
    <w:rPr>
      <w:rFonts w:ascii="Arial" w:hAnsi="Arial"/>
      <w:sz w:val="24"/>
      <w:lang w:val="en-GB" w:eastAsia="en-US" w:bidi="ar-SA"/>
    </w:rPr>
  </w:style>
  <w:style w:type="character" w:customStyle="1" w:styleId="CharChar15">
    <w:name w:val="Char Char15"/>
    <w:basedOn w:val="DefaultParagraphFont"/>
    <w:locked/>
    <w:rsid w:val="00CA4E51"/>
    <w:rPr>
      <w:rFonts w:ascii="Arial" w:hAnsi="Arial"/>
      <w:sz w:val="22"/>
      <w:lang w:val="en-GB" w:eastAsia="en-US" w:bidi="ar-SA"/>
    </w:rPr>
  </w:style>
  <w:style w:type="character" w:customStyle="1" w:styleId="CharChar14">
    <w:name w:val="Char Char14"/>
    <w:basedOn w:val="DefaultParagraphFont"/>
    <w:locked/>
    <w:rsid w:val="00CA4E51"/>
    <w:rPr>
      <w:rFonts w:ascii="Arial" w:hAnsi="Arial"/>
      <w:b/>
      <w:sz w:val="22"/>
      <w:lang w:val="en-GB" w:eastAsia="en-US" w:bidi="ar-SA"/>
    </w:rPr>
  </w:style>
  <w:style w:type="character" w:customStyle="1" w:styleId="CharChar8">
    <w:name w:val="Char Char8"/>
    <w:basedOn w:val="DefaultParagraphFont"/>
    <w:locked/>
    <w:rsid w:val="00CA4E51"/>
    <w:rPr>
      <w:rFonts w:ascii="Arial" w:hAnsi="Arial"/>
      <w:sz w:val="18"/>
      <w:lang w:val="en-GB" w:eastAsia="en-US" w:bidi="ar-SA"/>
    </w:rPr>
  </w:style>
  <w:style w:type="paragraph" w:customStyle="1" w:styleId="abody">
    <w:name w:val="a body"/>
    <w:basedOn w:val="Normal"/>
    <w:link w:val="abodyChar"/>
    <w:qFormat/>
    <w:rsid w:val="00D62C7D"/>
    <w:pPr>
      <w:numPr>
        <w:ilvl w:val="1"/>
        <w:numId w:val="1"/>
      </w:numPr>
      <w:spacing w:before="120" w:after="240" w:line="300" w:lineRule="exact"/>
      <w:jc w:val="both"/>
    </w:pPr>
    <w:rPr>
      <w:color w:val="323232"/>
      <w:sz w:val="22"/>
      <w:szCs w:val="28"/>
    </w:rPr>
  </w:style>
  <w:style w:type="character" w:customStyle="1" w:styleId="abodyChar">
    <w:name w:val="a body Char"/>
    <w:link w:val="abody"/>
    <w:rsid w:val="00D62C7D"/>
    <w:rPr>
      <w:rFonts w:ascii="Arial" w:hAnsi="Arial"/>
      <w:color w:val="323232"/>
      <w:sz w:val="22"/>
      <w:szCs w:val="28"/>
      <w:lang w:eastAsia="en-US" w:bidi="ar-SA"/>
    </w:rPr>
  </w:style>
  <w:style w:type="paragraph" w:customStyle="1" w:styleId="Style4">
    <w:name w:val="Style4"/>
    <w:basedOn w:val="abody"/>
    <w:link w:val="Style4Char"/>
    <w:qFormat/>
    <w:rsid w:val="00D62C7D"/>
    <w:pPr>
      <w:numPr>
        <w:ilvl w:val="0"/>
        <w:numId w:val="2"/>
      </w:numPr>
    </w:pPr>
  </w:style>
  <w:style w:type="character" w:customStyle="1" w:styleId="Style4Char">
    <w:name w:val="Style4 Char"/>
    <w:basedOn w:val="abodyChar"/>
    <w:link w:val="Style4"/>
    <w:rsid w:val="00D62C7D"/>
    <w:rPr>
      <w:rFonts w:ascii="Arial" w:hAnsi="Arial"/>
      <w:color w:val="323232"/>
      <w:sz w:val="22"/>
      <w:szCs w:val="28"/>
      <w:lang w:val="en-GB" w:eastAsia="en-US" w:bidi="ar-SA"/>
    </w:rPr>
  </w:style>
  <w:style w:type="paragraph" w:customStyle="1" w:styleId="ReportHeader">
    <w:name w:val="Report Header"/>
    <w:basedOn w:val="Normal"/>
    <w:rsid w:val="00817A94"/>
    <w:pPr>
      <w:numPr>
        <w:numId w:val="3"/>
      </w:numPr>
      <w:spacing w:after="240"/>
      <w:jc w:val="both"/>
    </w:pPr>
    <w:rPr>
      <w:rFonts w:cs="Arial"/>
      <w:b/>
      <w:sz w:val="22"/>
      <w:szCs w:val="24"/>
    </w:rPr>
  </w:style>
  <w:style w:type="paragraph" w:customStyle="1" w:styleId="ReportText">
    <w:name w:val="Report Text"/>
    <w:basedOn w:val="Normal"/>
    <w:rsid w:val="00817A94"/>
    <w:pPr>
      <w:numPr>
        <w:ilvl w:val="1"/>
        <w:numId w:val="3"/>
      </w:numPr>
      <w:spacing w:after="240"/>
      <w:jc w:val="both"/>
    </w:pPr>
    <w:rPr>
      <w:rFonts w:cs="Arial"/>
      <w:sz w:val="22"/>
      <w:szCs w:val="24"/>
    </w:rPr>
  </w:style>
  <w:style w:type="paragraph" w:customStyle="1" w:styleId="ReportBody">
    <w:name w:val="Report Body"/>
    <w:basedOn w:val="Heading1"/>
    <w:rsid w:val="00817A94"/>
    <w:pPr>
      <w:keepNext w:val="0"/>
      <w:tabs>
        <w:tab w:val="num" w:pos="720"/>
        <w:tab w:val="right" w:pos="9000"/>
      </w:tabs>
      <w:spacing w:after="240"/>
      <w:jc w:val="left"/>
    </w:pPr>
    <w:rPr>
      <w:iCs/>
      <w:sz w:val="24"/>
      <w:szCs w:val="24"/>
      <w:u w:val="single"/>
    </w:rPr>
  </w:style>
  <w:style w:type="paragraph" w:styleId="PlainText">
    <w:name w:val="Plain Text"/>
    <w:basedOn w:val="Normal"/>
    <w:rsid w:val="00F23D09"/>
    <w:pPr>
      <w:spacing w:before="100" w:beforeAutospacing="1" w:after="100" w:afterAutospacing="1"/>
    </w:pPr>
    <w:rPr>
      <w:rFonts w:ascii="Times New Roman" w:hAnsi="Times New Roman"/>
      <w:szCs w:val="24"/>
      <w:lang w:eastAsia="en-GB"/>
    </w:rPr>
  </w:style>
  <w:style w:type="table" w:styleId="TableColumns3">
    <w:name w:val="Table Columns 3"/>
    <w:basedOn w:val="TableNormal"/>
    <w:rsid w:val="005A559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4449">
      <w:bodyDiv w:val="1"/>
      <w:marLeft w:val="0"/>
      <w:marRight w:val="0"/>
      <w:marTop w:val="0"/>
      <w:marBottom w:val="0"/>
      <w:divBdr>
        <w:top w:val="none" w:sz="0" w:space="0" w:color="auto"/>
        <w:left w:val="none" w:sz="0" w:space="0" w:color="auto"/>
        <w:bottom w:val="none" w:sz="0" w:space="0" w:color="auto"/>
        <w:right w:val="none" w:sz="0" w:space="0" w:color="auto"/>
      </w:divBdr>
    </w:div>
    <w:div w:id="46690847">
      <w:bodyDiv w:val="1"/>
      <w:marLeft w:val="0"/>
      <w:marRight w:val="0"/>
      <w:marTop w:val="0"/>
      <w:marBottom w:val="0"/>
      <w:divBdr>
        <w:top w:val="none" w:sz="0" w:space="0" w:color="auto"/>
        <w:left w:val="none" w:sz="0" w:space="0" w:color="auto"/>
        <w:bottom w:val="none" w:sz="0" w:space="0" w:color="auto"/>
        <w:right w:val="none" w:sz="0" w:space="0" w:color="auto"/>
      </w:divBdr>
    </w:div>
    <w:div w:id="55667892">
      <w:bodyDiv w:val="1"/>
      <w:marLeft w:val="0"/>
      <w:marRight w:val="0"/>
      <w:marTop w:val="0"/>
      <w:marBottom w:val="0"/>
      <w:divBdr>
        <w:top w:val="none" w:sz="0" w:space="0" w:color="auto"/>
        <w:left w:val="none" w:sz="0" w:space="0" w:color="auto"/>
        <w:bottom w:val="none" w:sz="0" w:space="0" w:color="auto"/>
        <w:right w:val="none" w:sz="0" w:space="0" w:color="auto"/>
      </w:divBdr>
    </w:div>
    <w:div w:id="150996060">
      <w:bodyDiv w:val="1"/>
      <w:marLeft w:val="0"/>
      <w:marRight w:val="0"/>
      <w:marTop w:val="0"/>
      <w:marBottom w:val="0"/>
      <w:divBdr>
        <w:top w:val="none" w:sz="0" w:space="0" w:color="auto"/>
        <w:left w:val="none" w:sz="0" w:space="0" w:color="auto"/>
        <w:bottom w:val="none" w:sz="0" w:space="0" w:color="auto"/>
        <w:right w:val="none" w:sz="0" w:space="0" w:color="auto"/>
      </w:divBdr>
    </w:div>
    <w:div w:id="178662407">
      <w:bodyDiv w:val="1"/>
      <w:marLeft w:val="0"/>
      <w:marRight w:val="0"/>
      <w:marTop w:val="0"/>
      <w:marBottom w:val="0"/>
      <w:divBdr>
        <w:top w:val="none" w:sz="0" w:space="0" w:color="auto"/>
        <w:left w:val="none" w:sz="0" w:space="0" w:color="auto"/>
        <w:bottom w:val="none" w:sz="0" w:space="0" w:color="auto"/>
        <w:right w:val="none" w:sz="0" w:space="0" w:color="auto"/>
      </w:divBdr>
    </w:div>
    <w:div w:id="195050406">
      <w:bodyDiv w:val="1"/>
      <w:marLeft w:val="0"/>
      <w:marRight w:val="0"/>
      <w:marTop w:val="0"/>
      <w:marBottom w:val="0"/>
      <w:divBdr>
        <w:top w:val="none" w:sz="0" w:space="0" w:color="auto"/>
        <w:left w:val="none" w:sz="0" w:space="0" w:color="auto"/>
        <w:bottom w:val="none" w:sz="0" w:space="0" w:color="auto"/>
        <w:right w:val="none" w:sz="0" w:space="0" w:color="auto"/>
      </w:divBdr>
      <w:divsChild>
        <w:div w:id="1091196364">
          <w:marLeft w:val="0"/>
          <w:marRight w:val="0"/>
          <w:marTop w:val="0"/>
          <w:marBottom w:val="0"/>
          <w:divBdr>
            <w:top w:val="none" w:sz="0" w:space="0" w:color="auto"/>
            <w:left w:val="none" w:sz="0" w:space="0" w:color="auto"/>
            <w:bottom w:val="none" w:sz="0" w:space="0" w:color="auto"/>
            <w:right w:val="none" w:sz="0" w:space="0" w:color="auto"/>
          </w:divBdr>
          <w:divsChild>
            <w:div w:id="516310646">
              <w:marLeft w:val="0"/>
              <w:marRight w:val="0"/>
              <w:marTop w:val="0"/>
              <w:marBottom w:val="0"/>
              <w:divBdr>
                <w:top w:val="none" w:sz="0" w:space="0" w:color="auto"/>
                <w:left w:val="none" w:sz="0" w:space="0" w:color="auto"/>
                <w:bottom w:val="none" w:sz="0" w:space="0" w:color="auto"/>
                <w:right w:val="none" w:sz="0" w:space="0" w:color="auto"/>
              </w:divBdr>
              <w:divsChild>
                <w:div w:id="189610833">
                  <w:marLeft w:val="0"/>
                  <w:marRight w:val="0"/>
                  <w:marTop w:val="0"/>
                  <w:marBottom w:val="0"/>
                  <w:divBdr>
                    <w:top w:val="none" w:sz="0" w:space="0" w:color="auto"/>
                    <w:left w:val="none" w:sz="0" w:space="0" w:color="auto"/>
                    <w:bottom w:val="none" w:sz="0" w:space="0" w:color="auto"/>
                    <w:right w:val="none" w:sz="0" w:space="0" w:color="auto"/>
                  </w:divBdr>
                  <w:divsChild>
                    <w:div w:id="1015956889">
                      <w:marLeft w:val="0"/>
                      <w:marRight w:val="-4300"/>
                      <w:marTop w:val="0"/>
                      <w:marBottom w:val="0"/>
                      <w:divBdr>
                        <w:top w:val="none" w:sz="0" w:space="0" w:color="auto"/>
                        <w:left w:val="none" w:sz="0" w:space="0" w:color="auto"/>
                        <w:bottom w:val="none" w:sz="0" w:space="0" w:color="auto"/>
                        <w:right w:val="none" w:sz="0" w:space="0" w:color="auto"/>
                      </w:divBdr>
                      <w:divsChild>
                        <w:div w:id="1316646721">
                          <w:marLeft w:val="3620"/>
                          <w:marRight w:val="4300"/>
                          <w:marTop w:val="0"/>
                          <w:marBottom w:val="0"/>
                          <w:divBdr>
                            <w:top w:val="none" w:sz="0" w:space="0" w:color="auto"/>
                            <w:left w:val="none" w:sz="0" w:space="0" w:color="auto"/>
                            <w:bottom w:val="none" w:sz="0" w:space="0" w:color="auto"/>
                            <w:right w:val="none" w:sz="0" w:space="0" w:color="auto"/>
                          </w:divBdr>
                          <w:divsChild>
                            <w:div w:id="1565527306">
                              <w:marLeft w:val="400"/>
                              <w:marRight w:val="400"/>
                              <w:marTop w:val="400"/>
                              <w:marBottom w:val="400"/>
                              <w:divBdr>
                                <w:top w:val="none" w:sz="0" w:space="0" w:color="auto"/>
                                <w:left w:val="none" w:sz="0" w:space="0" w:color="auto"/>
                                <w:bottom w:val="dotted" w:sz="8" w:space="20" w:color="003366"/>
                                <w:right w:val="none" w:sz="0" w:space="0" w:color="auto"/>
                              </w:divBdr>
                            </w:div>
                          </w:divsChild>
                        </w:div>
                      </w:divsChild>
                    </w:div>
                  </w:divsChild>
                </w:div>
              </w:divsChild>
            </w:div>
          </w:divsChild>
        </w:div>
      </w:divsChild>
    </w:div>
    <w:div w:id="239800359">
      <w:bodyDiv w:val="1"/>
      <w:marLeft w:val="0"/>
      <w:marRight w:val="0"/>
      <w:marTop w:val="0"/>
      <w:marBottom w:val="0"/>
      <w:divBdr>
        <w:top w:val="none" w:sz="0" w:space="0" w:color="auto"/>
        <w:left w:val="none" w:sz="0" w:space="0" w:color="auto"/>
        <w:bottom w:val="none" w:sz="0" w:space="0" w:color="auto"/>
        <w:right w:val="none" w:sz="0" w:space="0" w:color="auto"/>
      </w:divBdr>
      <w:divsChild>
        <w:div w:id="1167672649">
          <w:marLeft w:val="0"/>
          <w:marRight w:val="0"/>
          <w:marTop w:val="0"/>
          <w:marBottom w:val="0"/>
          <w:divBdr>
            <w:top w:val="none" w:sz="0" w:space="0" w:color="auto"/>
            <w:left w:val="none" w:sz="0" w:space="0" w:color="auto"/>
            <w:bottom w:val="none" w:sz="0" w:space="0" w:color="auto"/>
            <w:right w:val="none" w:sz="0" w:space="0" w:color="auto"/>
          </w:divBdr>
          <w:divsChild>
            <w:div w:id="267205458">
              <w:marLeft w:val="0"/>
              <w:marRight w:val="0"/>
              <w:marTop w:val="0"/>
              <w:marBottom w:val="0"/>
              <w:divBdr>
                <w:top w:val="none" w:sz="0" w:space="0" w:color="auto"/>
                <w:left w:val="none" w:sz="0" w:space="0" w:color="auto"/>
                <w:bottom w:val="none" w:sz="0" w:space="0" w:color="auto"/>
                <w:right w:val="none" w:sz="0" w:space="0" w:color="auto"/>
              </w:divBdr>
              <w:divsChild>
                <w:div w:id="1301572262">
                  <w:marLeft w:val="0"/>
                  <w:marRight w:val="0"/>
                  <w:marTop w:val="0"/>
                  <w:marBottom w:val="0"/>
                  <w:divBdr>
                    <w:top w:val="none" w:sz="0" w:space="0" w:color="auto"/>
                    <w:left w:val="none" w:sz="0" w:space="0" w:color="auto"/>
                    <w:bottom w:val="none" w:sz="0" w:space="0" w:color="auto"/>
                    <w:right w:val="none" w:sz="0" w:space="0" w:color="auto"/>
                  </w:divBdr>
                  <w:divsChild>
                    <w:div w:id="2067096815">
                      <w:marLeft w:val="0"/>
                      <w:marRight w:val="-3225"/>
                      <w:marTop w:val="0"/>
                      <w:marBottom w:val="0"/>
                      <w:divBdr>
                        <w:top w:val="none" w:sz="0" w:space="0" w:color="auto"/>
                        <w:left w:val="none" w:sz="0" w:space="0" w:color="auto"/>
                        <w:bottom w:val="none" w:sz="0" w:space="0" w:color="auto"/>
                        <w:right w:val="none" w:sz="0" w:space="0" w:color="auto"/>
                      </w:divBdr>
                      <w:divsChild>
                        <w:div w:id="219950620">
                          <w:marLeft w:val="2715"/>
                          <w:marRight w:val="3225"/>
                          <w:marTop w:val="0"/>
                          <w:marBottom w:val="0"/>
                          <w:divBdr>
                            <w:top w:val="none" w:sz="0" w:space="0" w:color="auto"/>
                            <w:left w:val="none" w:sz="0" w:space="0" w:color="auto"/>
                            <w:bottom w:val="none" w:sz="0" w:space="0" w:color="auto"/>
                            <w:right w:val="none" w:sz="0" w:space="0" w:color="auto"/>
                          </w:divBdr>
                          <w:divsChild>
                            <w:div w:id="1517309838">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330700">
      <w:bodyDiv w:val="1"/>
      <w:marLeft w:val="0"/>
      <w:marRight w:val="0"/>
      <w:marTop w:val="0"/>
      <w:marBottom w:val="0"/>
      <w:divBdr>
        <w:top w:val="none" w:sz="0" w:space="0" w:color="auto"/>
        <w:left w:val="none" w:sz="0" w:space="0" w:color="auto"/>
        <w:bottom w:val="none" w:sz="0" w:space="0" w:color="auto"/>
        <w:right w:val="none" w:sz="0" w:space="0" w:color="auto"/>
      </w:divBdr>
    </w:div>
    <w:div w:id="289240591">
      <w:bodyDiv w:val="1"/>
      <w:marLeft w:val="0"/>
      <w:marRight w:val="0"/>
      <w:marTop w:val="0"/>
      <w:marBottom w:val="0"/>
      <w:divBdr>
        <w:top w:val="none" w:sz="0" w:space="0" w:color="auto"/>
        <w:left w:val="none" w:sz="0" w:space="0" w:color="auto"/>
        <w:bottom w:val="none" w:sz="0" w:space="0" w:color="auto"/>
        <w:right w:val="none" w:sz="0" w:space="0" w:color="auto"/>
      </w:divBdr>
    </w:div>
    <w:div w:id="376783038">
      <w:bodyDiv w:val="1"/>
      <w:marLeft w:val="0"/>
      <w:marRight w:val="0"/>
      <w:marTop w:val="0"/>
      <w:marBottom w:val="0"/>
      <w:divBdr>
        <w:top w:val="none" w:sz="0" w:space="0" w:color="auto"/>
        <w:left w:val="none" w:sz="0" w:space="0" w:color="auto"/>
        <w:bottom w:val="none" w:sz="0" w:space="0" w:color="auto"/>
        <w:right w:val="none" w:sz="0" w:space="0" w:color="auto"/>
      </w:divBdr>
      <w:divsChild>
        <w:div w:id="1972049909">
          <w:marLeft w:val="0"/>
          <w:marRight w:val="0"/>
          <w:marTop w:val="0"/>
          <w:marBottom w:val="0"/>
          <w:divBdr>
            <w:top w:val="none" w:sz="0" w:space="0" w:color="auto"/>
            <w:left w:val="none" w:sz="0" w:space="0" w:color="auto"/>
            <w:bottom w:val="none" w:sz="0" w:space="0" w:color="auto"/>
            <w:right w:val="none" w:sz="0" w:space="0" w:color="auto"/>
          </w:divBdr>
          <w:divsChild>
            <w:div w:id="1140464241">
              <w:marLeft w:val="0"/>
              <w:marRight w:val="0"/>
              <w:marTop w:val="0"/>
              <w:marBottom w:val="0"/>
              <w:divBdr>
                <w:top w:val="none" w:sz="0" w:space="0" w:color="auto"/>
                <w:left w:val="none" w:sz="0" w:space="0" w:color="auto"/>
                <w:bottom w:val="none" w:sz="0" w:space="0" w:color="auto"/>
                <w:right w:val="none" w:sz="0" w:space="0" w:color="auto"/>
              </w:divBdr>
              <w:divsChild>
                <w:div w:id="2042002859">
                  <w:marLeft w:val="0"/>
                  <w:marRight w:val="0"/>
                  <w:marTop w:val="0"/>
                  <w:marBottom w:val="0"/>
                  <w:divBdr>
                    <w:top w:val="none" w:sz="0" w:space="0" w:color="auto"/>
                    <w:left w:val="none" w:sz="0" w:space="0" w:color="auto"/>
                    <w:bottom w:val="none" w:sz="0" w:space="0" w:color="auto"/>
                    <w:right w:val="none" w:sz="0" w:space="0" w:color="auto"/>
                  </w:divBdr>
                  <w:divsChild>
                    <w:div w:id="1663771560">
                      <w:marLeft w:val="0"/>
                      <w:marRight w:val="0"/>
                      <w:marTop w:val="0"/>
                      <w:marBottom w:val="0"/>
                      <w:divBdr>
                        <w:top w:val="none" w:sz="0" w:space="0" w:color="auto"/>
                        <w:left w:val="none" w:sz="0" w:space="0" w:color="auto"/>
                        <w:bottom w:val="none" w:sz="0" w:space="0" w:color="auto"/>
                        <w:right w:val="none" w:sz="0" w:space="0" w:color="auto"/>
                      </w:divBdr>
                      <w:divsChild>
                        <w:div w:id="1407343915">
                          <w:marLeft w:val="0"/>
                          <w:marRight w:val="0"/>
                          <w:marTop w:val="0"/>
                          <w:marBottom w:val="0"/>
                          <w:divBdr>
                            <w:top w:val="none" w:sz="0" w:space="0" w:color="auto"/>
                            <w:left w:val="none" w:sz="0" w:space="0" w:color="auto"/>
                            <w:bottom w:val="none" w:sz="0" w:space="0" w:color="auto"/>
                            <w:right w:val="none" w:sz="0" w:space="0" w:color="auto"/>
                          </w:divBdr>
                          <w:divsChild>
                            <w:div w:id="862717574">
                              <w:marLeft w:val="0"/>
                              <w:marRight w:val="0"/>
                              <w:marTop w:val="0"/>
                              <w:marBottom w:val="0"/>
                              <w:divBdr>
                                <w:top w:val="none" w:sz="0" w:space="0" w:color="auto"/>
                                <w:left w:val="none" w:sz="0" w:space="0" w:color="auto"/>
                                <w:bottom w:val="none" w:sz="0" w:space="0" w:color="auto"/>
                                <w:right w:val="none" w:sz="0" w:space="0" w:color="auto"/>
                              </w:divBdr>
                              <w:divsChild>
                                <w:div w:id="19542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091909">
      <w:bodyDiv w:val="1"/>
      <w:marLeft w:val="0"/>
      <w:marRight w:val="0"/>
      <w:marTop w:val="0"/>
      <w:marBottom w:val="0"/>
      <w:divBdr>
        <w:top w:val="none" w:sz="0" w:space="0" w:color="auto"/>
        <w:left w:val="none" w:sz="0" w:space="0" w:color="auto"/>
        <w:bottom w:val="none" w:sz="0" w:space="0" w:color="auto"/>
        <w:right w:val="none" w:sz="0" w:space="0" w:color="auto"/>
      </w:divBdr>
    </w:div>
    <w:div w:id="378826327">
      <w:bodyDiv w:val="1"/>
      <w:marLeft w:val="0"/>
      <w:marRight w:val="0"/>
      <w:marTop w:val="0"/>
      <w:marBottom w:val="0"/>
      <w:divBdr>
        <w:top w:val="none" w:sz="0" w:space="0" w:color="auto"/>
        <w:left w:val="none" w:sz="0" w:space="0" w:color="auto"/>
        <w:bottom w:val="none" w:sz="0" w:space="0" w:color="auto"/>
        <w:right w:val="none" w:sz="0" w:space="0" w:color="auto"/>
      </w:divBdr>
    </w:div>
    <w:div w:id="384717536">
      <w:bodyDiv w:val="1"/>
      <w:marLeft w:val="0"/>
      <w:marRight w:val="0"/>
      <w:marTop w:val="0"/>
      <w:marBottom w:val="0"/>
      <w:divBdr>
        <w:top w:val="none" w:sz="0" w:space="0" w:color="auto"/>
        <w:left w:val="none" w:sz="0" w:space="0" w:color="auto"/>
        <w:bottom w:val="none" w:sz="0" w:space="0" w:color="auto"/>
        <w:right w:val="none" w:sz="0" w:space="0" w:color="auto"/>
      </w:divBdr>
    </w:div>
    <w:div w:id="391390814">
      <w:bodyDiv w:val="1"/>
      <w:marLeft w:val="0"/>
      <w:marRight w:val="0"/>
      <w:marTop w:val="0"/>
      <w:marBottom w:val="0"/>
      <w:divBdr>
        <w:top w:val="none" w:sz="0" w:space="0" w:color="auto"/>
        <w:left w:val="none" w:sz="0" w:space="0" w:color="auto"/>
        <w:bottom w:val="none" w:sz="0" w:space="0" w:color="auto"/>
        <w:right w:val="none" w:sz="0" w:space="0" w:color="auto"/>
      </w:divBdr>
    </w:div>
    <w:div w:id="395469127">
      <w:bodyDiv w:val="1"/>
      <w:marLeft w:val="0"/>
      <w:marRight w:val="0"/>
      <w:marTop w:val="0"/>
      <w:marBottom w:val="0"/>
      <w:divBdr>
        <w:top w:val="none" w:sz="0" w:space="0" w:color="auto"/>
        <w:left w:val="none" w:sz="0" w:space="0" w:color="auto"/>
        <w:bottom w:val="none" w:sz="0" w:space="0" w:color="auto"/>
        <w:right w:val="none" w:sz="0" w:space="0" w:color="auto"/>
      </w:divBdr>
    </w:div>
    <w:div w:id="422189431">
      <w:bodyDiv w:val="1"/>
      <w:marLeft w:val="0"/>
      <w:marRight w:val="0"/>
      <w:marTop w:val="0"/>
      <w:marBottom w:val="0"/>
      <w:divBdr>
        <w:top w:val="none" w:sz="0" w:space="0" w:color="auto"/>
        <w:left w:val="none" w:sz="0" w:space="0" w:color="auto"/>
        <w:bottom w:val="none" w:sz="0" w:space="0" w:color="auto"/>
        <w:right w:val="none" w:sz="0" w:space="0" w:color="auto"/>
      </w:divBdr>
    </w:div>
    <w:div w:id="423186871">
      <w:bodyDiv w:val="1"/>
      <w:marLeft w:val="0"/>
      <w:marRight w:val="0"/>
      <w:marTop w:val="0"/>
      <w:marBottom w:val="0"/>
      <w:divBdr>
        <w:top w:val="none" w:sz="0" w:space="0" w:color="auto"/>
        <w:left w:val="none" w:sz="0" w:space="0" w:color="auto"/>
        <w:bottom w:val="none" w:sz="0" w:space="0" w:color="auto"/>
        <w:right w:val="none" w:sz="0" w:space="0" w:color="auto"/>
      </w:divBdr>
    </w:div>
    <w:div w:id="457114335">
      <w:bodyDiv w:val="1"/>
      <w:marLeft w:val="0"/>
      <w:marRight w:val="0"/>
      <w:marTop w:val="0"/>
      <w:marBottom w:val="0"/>
      <w:divBdr>
        <w:top w:val="none" w:sz="0" w:space="0" w:color="auto"/>
        <w:left w:val="none" w:sz="0" w:space="0" w:color="auto"/>
        <w:bottom w:val="none" w:sz="0" w:space="0" w:color="auto"/>
        <w:right w:val="none" w:sz="0" w:space="0" w:color="auto"/>
      </w:divBdr>
    </w:div>
    <w:div w:id="493762213">
      <w:bodyDiv w:val="1"/>
      <w:marLeft w:val="0"/>
      <w:marRight w:val="0"/>
      <w:marTop w:val="0"/>
      <w:marBottom w:val="0"/>
      <w:divBdr>
        <w:top w:val="none" w:sz="0" w:space="0" w:color="auto"/>
        <w:left w:val="none" w:sz="0" w:space="0" w:color="auto"/>
        <w:bottom w:val="none" w:sz="0" w:space="0" w:color="auto"/>
        <w:right w:val="none" w:sz="0" w:space="0" w:color="auto"/>
      </w:divBdr>
      <w:divsChild>
        <w:div w:id="87898020">
          <w:marLeft w:val="0"/>
          <w:marRight w:val="0"/>
          <w:marTop w:val="0"/>
          <w:marBottom w:val="0"/>
          <w:divBdr>
            <w:top w:val="single" w:sz="12" w:space="0" w:color="BEBBB4"/>
            <w:left w:val="none" w:sz="0" w:space="0" w:color="auto"/>
            <w:bottom w:val="none" w:sz="0" w:space="0" w:color="auto"/>
            <w:right w:val="none" w:sz="0" w:space="0" w:color="auto"/>
          </w:divBdr>
          <w:divsChild>
            <w:div w:id="412051884">
              <w:marLeft w:val="0"/>
              <w:marRight w:val="0"/>
              <w:marTop w:val="0"/>
              <w:marBottom w:val="0"/>
              <w:divBdr>
                <w:top w:val="single" w:sz="12" w:space="0" w:color="BEBBB4"/>
                <w:left w:val="none" w:sz="0" w:space="0" w:color="auto"/>
                <w:bottom w:val="none" w:sz="0" w:space="0" w:color="auto"/>
                <w:right w:val="none" w:sz="0" w:space="0" w:color="auto"/>
              </w:divBdr>
              <w:divsChild>
                <w:div w:id="147062911">
                  <w:marLeft w:val="0"/>
                  <w:marRight w:val="0"/>
                  <w:marTop w:val="15"/>
                  <w:marBottom w:val="0"/>
                  <w:divBdr>
                    <w:top w:val="single" w:sz="12" w:space="0" w:color="BEBBB4"/>
                    <w:left w:val="none" w:sz="0" w:space="0" w:color="auto"/>
                    <w:bottom w:val="none" w:sz="0" w:space="0" w:color="auto"/>
                    <w:right w:val="none" w:sz="0" w:space="0" w:color="auto"/>
                  </w:divBdr>
                  <w:divsChild>
                    <w:div w:id="1813864485">
                      <w:marLeft w:val="0"/>
                      <w:marRight w:val="0"/>
                      <w:marTop w:val="15"/>
                      <w:marBottom w:val="0"/>
                      <w:divBdr>
                        <w:top w:val="single" w:sz="12" w:space="0" w:color="BEBBB4"/>
                        <w:left w:val="none" w:sz="0" w:space="0" w:color="auto"/>
                        <w:bottom w:val="none" w:sz="0" w:space="0" w:color="auto"/>
                        <w:right w:val="none" w:sz="0" w:space="0" w:color="auto"/>
                      </w:divBdr>
                      <w:divsChild>
                        <w:div w:id="858660812">
                          <w:marLeft w:val="0"/>
                          <w:marRight w:val="0"/>
                          <w:marTop w:val="15"/>
                          <w:marBottom w:val="0"/>
                          <w:divBdr>
                            <w:top w:val="single" w:sz="12" w:space="0" w:color="BEBBB4"/>
                            <w:left w:val="none" w:sz="0" w:space="0" w:color="auto"/>
                            <w:bottom w:val="none" w:sz="0" w:space="0" w:color="auto"/>
                            <w:right w:val="none" w:sz="0" w:space="0" w:color="auto"/>
                          </w:divBdr>
                          <w:divsChild>
                            <w:div w:id="1203129391">
                              <w:marLeft w:val="0"/>
                              <w:marRight w:val="0"/>
                              <w:marTop w:val="15"/>
                              <w:marBottom w:val="0"/>
                              <w:divBdr>
                                <w:top w:val="single" w:sz="12" w:space="0" w:color="BEBBB4"/>
                                <w:left w:val="none" w:sz="0" w:space="0" w:color="auto"/>
                                <w:bottom w:val="none" w:sz="0" w:space="0" w:color="auto"/>
                                <w:right w:val="none" w:sz="0" w:space="0" w:color="auto"/>
                              </w:divBdr>
                            </w:div>
                          </w:divsChild>
                        </w:div>
                      </w:divsChild>
                    </w:div>
                  </w:divsChild>
                </w:div>
              </w:divsChild>
            </w:div>
          </w:divsChild>
        </w:div>
      </w:divsChild>
    </w:div>
    <w:div w:id="503008949">
      <w:bodyDiv w:val="1"/>
      <w:marLeft w:val="0"/>
      <w:marRight w:val="0"/>
      <w:marTop w:val="0"/>
      <w:marBottom w:val="0"/>
      <w:divBdr>
        <w:top w:val="none" w:sz="0" w:space="0" w:color="auto"/>
        <w:left w:val="none" w:sz="0" w:space="0" w:color="auto"/>
        <w:bottom w:val="none" w:sz="0" w:space="0" w:color="auto"/>
        <w:right w:val="none" w:sz="0" w:space="0" w:color="auto"/>
      </w:divBdr>
    </w:div>
    <w:div w:id="589891538">
      <w:bodyDiv w:val="1"/>
      <w:marLeft w:val="0"/>
      <w:marRight w:val="0"/>
      <w:marTop w:val="0"/>
      <w:marBottom w:val="0"/>
      <w:divBdr>
        <w:top w:val="none" w:sz="0" w:space="0" w:color="auto"/>
        <w:left w:val="none" w:sz="0" w:space="0" w:color="auto"/>
        <w:bottom w:val="none" w:sz="0" w:space="0" w:color="auto"/>
        <w:right w:val="none" w:sz="0" w:space="0" w:color="auto"/>
      </w:divBdr>
    </w:div>
    <w:div w:id="658120071">
      <w:bodyDiv w:val="1"/>
      <w:marLeft w:val="0"/>
      <w:marRight w:val="0"/>
      <w:marTop w:val="0"/>
      <w:marBottom w:val="0"/>
      <w:divBdr>
        <w:top w:val="none" w:sz="0" w:space="0" w:color="auto"/>
        <w:left w:val="none" w:sz="0" w:space="0" w:color="auto"/>
        <w:bottom w:val="none" w:sz="0" w:space="0" w:color="auto"/>
        <w:right w:val="none" w:sz="0" w:space="0" w:color="auto"/>
      </w:divBdr>
    </w:div>
    <w:div w:id="658849655">
      <w:bodyDiv w:val="1"/>
      <w:marLeft w:val="0"/>
      <w:marRight w:val="0"/>
      <w:marTop w:val="0"/>
      <w:marBottom w:val="0"/>
      <w:divBdr>
        <w:top w:val="none" w:sz="0" w:space="0" w:color="auto"/>
        <w:left w:val="none" w:sz="0" w:space="0" w:color="auto"/>
        <w:bottom w:val="none" w:sz="0" w:space="0" w:color="auto"/>
        <w:right w:val="none" w:sz="0" w:space="0" w:color="auto"/>
      </w:divBdr>
    </w:div>
    <w:div w:id="681247212">
      <w:bodyDiv w:val="1"/>
      <w:marLeft w:val="0"/>
      <w:marRight w:val="0"/>
      <w:marTop w:val="0"/>
      <w:marBottom w:val="0"/>
      <w:divBdr>
        <w:top w:val="none" w:sz="0" w:space="0" w:color="auto"/>
        <w:left w:val="none" w:sz="0" w:space="0" w:color="auto"/>
        <w:bottom w:val="none" w:sz="0" w:space="0" w:color="auto"/>
        <w:right w:val="none" w:sz="0" w:space="0" w:color="auto"/>
      </w:divBdr>
    </w:div>
    <w:div w:id="742996506">
      <w:bodyDiv w:val="1"/>
      <w:marLeft w:val="0"/>
      <w:marRight w:val="0"/>
      <w:marTop w:val="0"/>
      <w:marBottom w:val="0"/>
      <w:divBdr>
        <w:top w:val="none" w:sz="0" w:space="0" w:color="auto"/>
        <w:left w:val="none" w:sz="0" w:space="0" w:color="auto"/>
        <w:bottom w:val="none" w:sz="0" w:space="0" w:color="auto"/>
        <w:right w:val="none" w:sz="0" w:space="0" w:color="auto"/>
      </w:divBdr>
    </w:div>
    <w:div w:id="754667104">
      <w:bodyDiv w:val="1"/>
      <w:marLeft w:val="0"/>
      <w:marRight w:val="0"/>
      <w:marTop w:val="0"/>
      <w:marBottom w:val="0"/>
      <w:divBdr>
        <w:top w:val="none" w:sz="0" w:space="0" w:color="auto"/>
        <w:left w:val="none" w:sz="0" w:space="0" w:color="auto"/>
        <w:bottom w:val="none" w:sz="0" w:space="0" w:color="auto"/>
        <w:right w:val="none" w:sz="0" w:space="0" w:color="auto"/>
      </w:divBdr>
    </w:div>
    <w:div w:id="901674568">
      <w:bodyDiv w:val="1"/>
      <w:marLeft w:val="0"/>
      <w:marRight w:val="0"/>
      <w:marTop w:val="0"/>
      <w:marBottom w:val="0"/>
      <w:divBdr>
        <w:top w:val="none" w:sz="0" w:space="0" w:color="auto"/>
        <w:left w:val="none" w:sz="0" w:space="0" w:color="auto"/>
        <w:bottom w:val="none" w:sz="0" w:space="0" w:color="auto"/>
        <w:right w:val="none" w:sz="0" w:space="0" w:color="auto"/>
      </w:divBdr>
    </w:div>
    <w:div w:id="958880431">
      <w:bodyDiv w:val="1"/>
      <w:marLeft w:val="0"/>
      <w:marRight w:val="0"/>
      <w:marTop w:val="0"/>
      <w:marBottom w:val="0"/>
      <w:divBdr>
        <w:top w:val="none" w:sz="0" w:space="0" w:color="auto"/>
        <w:left w:val="none" w:sz="0" w:space="0" w:color="auto"/>
        <w:bottom w:val="none" w:sz="0" w:space="0" w:color="auto"/>
        <w:right w:val="none" w:sz="0" w:space="0" w:color="auto"/>
      </w:divBdr>
    </w:div>
    <w:div w:id="973366244">
      <w:bodyDiv w:val="1"/>
      <w:marLeft w:val="0"/>
      <w:marRight w:val="0"/>
      <w:marTop w:val="0"/>
      <w:marBottom w:val="0"/>
      <w:divBdr>
        <w:top w:val="none" w:sz="0" w:space="0" w:color="auto"/>
        <w:left w:val="none" w:sz="0" w:space="0" w:color="auto"/>
        <w:bottom w:val="none" w:sz="0" w:space="0" w:color="auto"/>
        <w:right w:val="none" w:sz="0" w:space="0" w:color="auto"/>
      </w:divBdr>
    </w:div>
    <w:div w:id="999429627">
      <w:bodyDiv w:val="1"/>
      <w:marLeft w:val="0"/>
      <w:marRight w:val="0"/>
      <w:marTop w:val="0"/>
      <w:marBottom w:val="0"/>
      <w:divBdr>
        <w:top w:val="none" w:sz="0" w:space="0" w:color="auto"/>
        <w:left w:val="none" w:sz="0" w:space="0" w:color="auto"/>
        <w:bottom w:val="none" w:sz="0" w:space="0" w:color="auto"/>
        <w:right w:val="none" w:sz="0" w:space="0" w:color="auto"/>
      </w:divBdr>
    </w:div>
    <w:div w:id="1109131535">
      <w:bodyDiv w:val="1"/>
      <w:marLeft w:val="200"/>
      <w:marRight w:val="200"/>
      <w:marTop w:val="200"/>
      <w:marBottom w:val="200"/>
      <w:divBdr>
        <w:top w:val="none" w:sz="0" w:space="0" w:color="auto"/>
        <w:left w:val="none" w:sz="0" w:space="0" w:color="auto"/>
        <w:bottom w:val="none" w:sz="0" w:space="0" w:color="auto"/>
        <w:right w:val="none" w:sz="0" w:space="0" w:color="auto"/>
      </w:divBdr>
      <w:divsChild>
        <w:div w:id="203912332">
          <w:marLeft w:val="0"/>
          <w:marRight w:val="0"/>
          <w:marTop w:val="0"/>
          <w:marBottom w:val="0"/>
          <w:divBdr>
            <w:top w:val="none" w:sz="0" w:space="0" w:color="auto"/>
            <w:left w:val="none" w:sz="0" w:space="0" w:color="auto"/>
            <w:bottom w:val="none" w:sz="0" w:space="0" w:color="auto"/>
            <w:right w:val="none" w:sz="0" w:space="0" w:color="auto"/>
          </w:divBdr>
          <w:divsChild>
            <w:div w:id="305356056">
              <w:marLeft w:val="0"/>
              <w:marRight w:val="0"/>
              <w:marTop w:val="0"/>
              <w:marBottom w:val="0"/>
              <w:divBdr>
                <w:top w:val="none" w:sz="0" w:space="0" w:color="auto"/>
                <w:left w:val="none" w:sz="0" w:space="0" w:color="auto"/>
                <w:bottom w:val="none" w:sz="0" w:space="0" w:color="auto"/>
                <w:right w:val="none" w:sz="0" w:space="0" w:color="auto"/>
              </w:divBdr>
              <w:divsChild>
                <w:div w:id="1745880819">
                  <w:marLeft w:val="0"/>
                  <w:marRight w:val="0"/>
                  <w:marTop w:val="0"/>
                  <w:marBottom w:val="0"/>
                  <w:divBdr>
                    <w:top w:val="none" w:sz="0" w:space="0" w:color="auto"/>
                    <w:left w:val="none" w:sz="0" w:space="0" w:color="auto"/>
                    <w:bottom w:val="none" w:sz="0" w:space="0" w:color="auto"/>
                    <w:right w:val="none" w:sz="0" w:space="0" w:color="auto"/>
                  </w:divBdr>
                  <w:divsChild>
                    <w:div w:id="879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432876">
      <w:bodyDiv w:val="1"/>
      <w:marLeft w:val="0"/>
      <w:marRight w:val="0"/>
      <w:marTop w:val="0"/>
      <w:marBottom w:val="0"/>
      <w:divBdr>
        <w:top w:val="none" w:sz="0" w:space="0" w:color="auto"/>
        <w:left w:val="none" w:sz="0" w:space="0" w:color="auto"/>
        <w:bottom w:val="none" w:sz="0" w:space="0" w:color="auto"/>
        <w:right w:val="none" w:sz="0" w:space="0" w:color="auto"/>
      </w:divBdr>
    </w:div>
    <w:div w:id="1112169892">
      <w:bodyDiv w:val="1"/>
      <w:marLeft w:val="0"/>
      <w:marRight w:val="0"/>
      <w:marTop w:val="0"/>
      <w:marBottom w:val="0"/>
      <w:divBdr>
        <w:top w:val="none" w:sz="0" w:space="0" w:color="auto"/>
        <w:left w:val="none" w:sz="0" w:space="0" w:color="auto"/>
        <w:bottom w:val="none" w:sz="0" w:space="0" w:color="auto"/>
        <w:right w:val="none" w:sz="0" w:space="0" w:color="auto"/>
      </w:divBdr>
    </w:div>
    <w:div w:id="1133983276">
      <w:bodyDiv w:val="1"/>
      <w:marLeft w:val="0"/>
      <w:marRight w:val="0"/>
      <w:marTop w:val="0"/>
      <w:marBottom w:val="0"/>
      <w:divBdr>
        <w:top w:val="none" w:sz="0" w:space="0" w:color="auto"/>
        <w:left w:val="none" w:sz="0" w:space="0" w:color="auto"/>
        <w:bottom w:val="none" w:sz="0" w:space="0" w:color="auto"/>
        <w:right w:val="none" w:sz="0" w:space="0" w:color="auto"/>
      </w:divBdr>
    </w:div>
    <w:div w:id="1134759470">
      <w:bodyDiv w:val="1"/>
      <w:marLeft w:val="0"/>
      <w:marRight w:val="0"/>
      <w:marTop w:val="0"/>
      <w:marBottom w:val="0"/>
      <w:divBdr>
        <w:top w:val="none" w:sz="0" w:space="0" w:color="auto"/>
        <w:left w:val="none" w:sz="0" w:space="0" w:color="auto"/>
        <w:bottom w:val="none" w:sz="0" w:space="0" w:color="auto"/>
        <w:right w:val="none" w:sz="0" w:space="0" w:color="auto"/>
      </w:divBdr>
    </w:div>
    <w:div w:id="1175804393">
      <w:bodyDiv w:val="1"/>
      <w:marLeft w:val="0"/>
      <w:marRight w:val="0"/>
      <w:marTop w:val="0"/>
      <w:marBottom w:val="0"/>
      <w:divBdr>
        <w:top w:val="none" w:sz="0" w:space="0" w:color="auto"/>
        <w:left w:val="none" w:sz="0" w:space="0" w:color="auto"/>
        <w:bottom w:val="none" w:sz="0" w:space="0" w:color="auto"/>
        <w:right w:val="none" w:sz="0" w:space="0" w:color="auto"/>
      </w:divBdr>
    </w:div>
    <w:div w:id="1198466511">
      <w:bodyDiv w:val="1"/>
      <w:marLeft w:val="0"/>
      <w:marRight w:val="0"/>
      <w:marTop w:val="0"/>
      <w:marBottom w:val="0"/>
      <w:divBdr>
        <w:top w:val="none" w:sz="0" w:space="0" w:color="auto"/>
        <w:left w:val="none" w:sz="0" w:space="0" w:color="auto"/>
        <w:bottom w:val="none" w:sz="0" w:space="0" w:color="auto"/>
        <w:right w:val="none" w:sz="0" w:space="0" w:color="auto"/>
      </w:divBdr>
    </w:div>
    <w:div w:id="1229344982">
      <w:bodyDiv w:val="1"/>
      <w:marLeft w:val="0"/>
      <w:marRight w:val="0"/>
      <w:marTop w:val="0"/>
      <w:marBottom w:val="0"/>
      <w:divBdr>
        <w:top w:val="none" w:sz="0" w:space="0" w:color="auto"/>
        <w:left w:val="none" w:sz="0" w:space="0" w:color="auto"/>
        <w:bottom w:val="none" w:sz="0" w:space="0" w:color="auto"/>
        <w:right w:val="none" w:sz="0" w:space="0" w:color="auto"/>
      </w:divBdr>
    </w:div>
    <w:div w:id="1269004751">
      <w:bodyDiv w:val="1"/>
      <w:marLeft w:val="0"/>
      <w:marRight w:val="0"/>
      <w:marTop w:val="0"/>
      <w:marBottom w:val="0"/>
      <w:divBdr>
        <w:top w:val="none" w:sz="0" w:space="0" w:color="auto"/>
        <w:left w:val="none" w:sz="0" w:space="0" w:color="auto"/>
        <w:bottom w:val="none" w:sz="0" w:space="0" w:color="auto"/>
        <w:right w:val="none" w:sz="0" w:space="0" w:color="auto"/>
      </w:divBdr>
    </w:div>
    <w:div w:id="1281649440">
      <w:bodyDiv w:val="1"/>
      <w:marLeft w:val="0"/>
      <w:marRight w:val="0"/>
      <w:marTop w:val="0"/>
      <w:marBottom w:val="0"/>
      <w:divBdr>
        <w:top w:val="none" w:sz="0" w:space="0" w:color="auto"/>
        <w:left w:val="none" w:sz="0" w:space="0" w:color="auto"/>
        <w:bottom w:val="none" w:sz="0" w:space="0" w:color="auto"/>
        <w:right w:val="none" w:sz="0" w:space="0" w:color="auto"/>
      </w:divBdr>
    </w:div>
    <w:div w:id="1308322085">
      <w:bodyDiv w:val="1"/>
      <w:marLeft w:val="0"/>
      <w:marRight w:val="0"/>
      <w:marTop w:val="0"/>
      <w:marBottom w:val="0"/>
      <w:divBdr>
        <w:top w:val="none" w:sz="0" w:space="0" w:color="auto"/>
        <w:left w:val="none" w:sz="0" w:space="0" w:color="auto"/>
        <w:bottom w:val="none" w:sz="0" w:space="0" w:color="auto"/>
        <w:right w:val="none" w:sz="0" w:space="0" w:color="auto"/>
      </w:divBdr>
    </w:div>
    <w:div w:id="1323460573">
      <w:bodyDiv w:val="1"/>
      <w:marLeft w:val="0"/>
      <w:marRight w:val="0"/>
      <w:marTop w:val="0"/>
      <w:marBottom w:val="0"/>
      <w:divBdr>
        <w:top w:val="none" w:sz="0" w:space="0" w:color="auto"/>
        <w:left w:val="none" w:sz="0" w:space="0" w:color="auto"/>
        <w:bottom w:val="none" w:sz="0" w:space="0" w:color="auto"/>
        <w:right w:val="none" w:sz="0" w:space="0" w:color="auto"/>
      </w:divBdr>
    </w:div>
    <w:div w:id="1383292878">
      <w:bodyDiv w:val="1"/>
      <w:marLeft w:val="0"/>
      <w:marRight w:val="0"/>
      <w:marTop w:val="0"/>
      <w:marBottom w:val="0"/>
      <w:divBdr>
        <w:top w:val="none" w:sz="0" w:space="0" w:color="auto"/>
        <w:left w:val="none" w:sz="0" w:space="0" w:color="auto"/>
        <w:bottom w:val="none" w:sz="0" w:space="0" w:color="auto"/>
        <w:right w:val="none" w:sz="0" w:space="0" w:color="auto"/>
      </w:divBdr>
    </w:div>
    <w:div w:id="1391926766">
      <w:bodyDiv w:val="1"/>
      <w:marLeft w:val="0"/>
      <w:marRight w:val="0"/>
      <w:marTop w:val="0"/>
      <w:marBottom w:val="0"/>
      <w:divBdr>
        <w:top w:val="none" w:sz="0" w:space="0" w:color="auto"/>
        <w:left w:val="none" w:sz="0" w:space="0" w:color="auto"/>
        <w:bottom w:val="none" w:sz="0" w:space="0" w:color="auto"/>
        <w:right w:val="none" w:sz="0" w:space="0" w:color="auto"/>
      </w:divBdr>
    </w:div>
    <w:div w:id="1406873908">
      <w:bodyDiv w:val="1"/>
      <w:marLeft w:val="0"/>
      <w:marRight w:val="0"/>
      <w:marTop w:val="0"/>
      <w:marBottom w:val="0"/>
      <w:divBdr>
        <w:top w:val="none" w:sz="0" w:space="0" w:color="auto"/>
        <w:left w:val="none" w:sz="0" w:space="0" w:color="auto"/>
        <w:bottom w:val="none" w:sz="0" w:space="0" w:color="auto"/>
        <w:right w:val="none" w:sz="0" w:space="0" w:color="auto"/>
      </w:divBdr>
      <w:divsChild>
        <w:div w:id="1771584698">
          <w:marLeft w:val="0"/>
          <w:marRight w:val="0"/>
          <w:marTop w:val="0"/>
          <w:marBottom w:val="0"/>
          <w:divBdr>
            <w:top w:val="none" w:sz="0" w:space="0" w:color="auto"/>
            <w:left w:val="none" w:sz="0" w:space="0" w:color="auto"/>
            <w:bottom w:val="none" w:sz="0" w:space="0" w:color="auto"/>
            <w:right w:val="none" w:sz="0" w:space="0" w:color="auto"/>
          </w:divBdr>
          <w:divsChild>
            <w:div w:id="978419610">
              <w:marLeft w:val="0"/>
              <w:marRight w:val="0"/>
              <w:marTop w:val="0"/>
              <w:marBottom w:val="0"/>
              <w:divBdr>
                <w:top w:val="none" w:sz="0" w:space="0" w:color="auto"/>
                <w:left w:val="none" w:sz="0" w:space="0" w:color="auto"/>
                <w:bottom w:val="none" w:sz="0" w:space="0" w:color="auto"/>
                <w:right w:val="none" w:sz="0" w:space="0" w:color="auto"/>
              </w:divBdr>
              <w:divsChild>
                <w:div w:id="17802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03720">
      <w:bodyDiv w:val="1"/>
      <w:marLeft w:val="0"/>
      <w:marRight w:val="0"/>
      <w:marTop w:val="0"/>
      <w:marBottom w:val="0"/>
      <w:divBdr>
        <w:top w:val="none" w:sz="0" w:space="0" w:color="auto"/>
        <w:left w:val="none" w:sz="0" w:space="0" w:color="auto"/>
        <w:bottom w:val="none" w:sz="0" w:space="0" w:color="auto"/>
        <w:right w:val="none" w:sz="0" w:space="0" w:color="auto"/>
      </w:divBdr>
    </w:div>
    <w:div w:id="1480001167">
      <w:bodyDiv w:val="1"/>
      <w:marLeft w:val="0"/>
      <w:marRight w:val="0"/>
      <w:marTop w:val="0"/>
      <w:marBottom w:val="0"/>
      <w:divBdr>
        <w:top w:val="none" w:sz="0" w:space="0" w:color="auto"/>
        <w:left w:val="none" w:sz="0" w:space="0" w:color="auto"/>
        <w:bottom w:val="none" w:sz="0" w:space="0" w:color="auto"/>
        <w:right w:val="none" w:sz="0" w:space="0" w:color="auto"/>
      </w:divBdr>
    </w:div>
    <w:div w:id="1480804870">
      <w:bodyDiv w:val="1"/>
      <w:marLeft w:val="0"/>
      <w:marRight w:val="0"/>
      <w:marTop w:val="0"/>
      <w:marBottom w:val="0"/>
      <w:divBdr>
        <w:top w:val="none" w:sz="0" w:space="0" w:color="auto"/>
        <w:left w:val="none" w:sz="0" w:space="0" w:color="auto"/>
        <w:bottom w:val="none" w:sz="0" w:space="0" w:color="auto"/>
        <w:right w:val="none" w:sz="0" w:space="0" w:color="auto"/>
      </w:divBdr>
    </w:div>
    <w:div w:id="1485471677">
      <w:bodyDiv w:val="1"/>
      <w:marLeft w:val="0"/>
      <w:marRight w:val="0"/>
      <w:marTop w:val="0"/>
      <w:marBottom w:val="0"/>
      <w:divBdr>
        <w:top w:val="none" w:sz="0" w:space="0" w:color="auto"/>
        <w:left w:val="none" w:sz="0" w:space="0" w:color="auto"/>
        <w:bottom w:val="none" w:sz="0" w:space="0" w:color="auto"/>
        <w:right w:val="none" w:sz="0" w:space="0" w:color="auto"/>
      </w:divBdr>
    </w:div>
    <w:div w:id="1486313016">
      <w:bodyDiv w:val="1"/>
      <w:marLeft w:val="0"/>
      <w:marRight w:val="0"/>
      <w:marTop w:val="0"/>
      <w:marBottom w:val="0"/>
      <w:divBdr>
        <w:top w:val="none" w:sz="0" w:space="0" w:color="auto"/>
        <w:left w:val="none" w:sz="0" w:space="0" w:color="auto"/>
        <w:bottom w:val="none" w:sz="0" w:space="0" w:color="auto"/>
        <w:right w:val="none" w:sz="0" w:space="0" w:color="auto"/>
      </w:divBdr>
    </w:div>
    <w:div w:id="1538663428">
      <w:bodyDiv w:val="1"/>
      <w:marLeft w:val="0"/>
      <w:marRight w:val="0"/>
      <w:marTop w:val="0"/>
      <w:marBottom w:val="0"/>
      <w:divBdr>
        <w:top w:val="none" w:sz="0" w:space="0" w:color="auto"/>
        <w:left w:val="none" w:sz="0" w:space="0" w:color="auto"/>
        <w:bottom w:val="none" w:sz="0" w:space="0" w:color="auto"/>
        <w:right w:val="none" w:sz="0" w:space="0" w:color="auto"/>
      </w:divBdr>
    </w:div>
    <w:div w:id="1567915676">
      <w:bodyDiv w:val="1"/>
      <w:marLeft w:val="0"/>
      <w:marRight w:val="0"/>
      <w:marTop w:val="0"/>
      <w:marBottom w:val="0"/>
      <w:divBdr>
        <w:top w:val="none" w:sz="0" w:space="0" w:color="auto"/>
        <w:left w:val="none" w:sz="0" w:space="0" w:color="auto"/>
        <w:bottom w:val="none" w:sz="0" w:space="0" w:color="auto"/>
        <w:right w:val="none" w:sz="0" w:space="0" w:color="auto"/>
      </w:divBdr>
    </w:div>
    <w:div w:id="1575355791">
      <w:bodyDiv w:val="1"/>
      <w:marLeft w:val="0"/>
      <w:marRight w:val="0"/>
      <w:marTop w:val="0"/>
      <w:marBottom w:val="0"/>
      <w:divBdr>
        <w:top w:val="none" w:sz="0" w:space="0" w:color="auto"/>
        <w:left w:val="none" w:sz="0" w:space="0" w:color="auto"/>
        <w:bottom w:val="none" w:sz="0" w:space="0" w:color="auto"/>
        <w:right w:val="none" w:sz="0" w:space="0" w:color="auto"/>
      </w:divBdr>
    </w:div>
    <w:div w:id="1681227395">
      <w:bodyDiv w:val="1"/>
      <w:marLeft w:val="0"/>
      <w:marRight w:val="0"/>
      <w:marTop w:val="0"/>
      <w:marBottom w:val="0"/>
      <w:divBdr>
        <w:top w:val="none" w:sz="0" w:space="0" w:color="auto"/>
        <w:left w:val="none" w:sz="0" w:space="0" w:color="auto"/>
        <w:bottom w:val="none" w:sz="0" w:space="0" w:color="auto"/>
        <w:right w:val="none" w:sz="0" w:space="0" w:color="auto"/>
      </w:divBdr>
    </w:div>
    <w:div w:id="1790271678">
      <w:bodyDiv w:val="1"/>
      <w:marLeft w:val="0"/>
      <w:marRight w:val="0"/>
      <w:marTop w:val="0"/>
      <w:marBottom w:val="0"/>
      <w:divBdr>
        <w:top w:val="none" w:sz="0" w:space="0" w:color="auto"/>
        <w:left w:val="none" w:sz="0" w:space="0" w:color="auto"/>
        <w:bottom w:val="none" w:sz="0" w:space="0" w:color="auto"/>
        <w:right w:val="none" w:sz="0" w:space="0" w:color="auto"/>
      </w:divBdr>
    </w:div>
    <w:div w:id="1804157021">
      <w:bodyDiv w:val="1"/>
      <w:marLeft w:val="0"/>
      <w:marRight w:val="0"/>
      <w:marTop w:val="0"/>
      <w:marBottom w:val="0"/>
      <w:divBdr>
        <w:top w:val="none" w:sz="0" w:space="0" w:color="auto"/>
        <w:left w:val="none" w:sz="0" w:space="0" w:color="auto"/>
        <w:bottom w:val="none" w:sz="0" w:space="0" w:color="auto"/>
        <w:right w:val="none" w:sz="0" w:space="0" w:color="auto"/>
      </w:divBdr>
    </w:div>
    <w:div w:id="1834757289">
      <w:bodyDiv w:val="1"/>
      <w:marLeft w:val="0"/>
      <w:marRight w:val="0"/>
      <w:marTop w:val="0"/>
      <w:marBottom w:val="0"/>
      <w:divBdr>
        <w:top w:val="none" w:sz="0" w:space="0" w:color="auto"/>
        <w:left w:val="none" w:sz="0" w:space="0" w:color="auto"/>
        <w:bottom w:val="none" w:sz="0" w:space="0" w:color="auto"/>
        <w:right w:val="none" w:sz="0" w:space="0" w:color="auto"/>
      </w:divBdr>
    </w:div>
    <w:div w:id="1959530014">
      <w:bodyDiv w:val="1"/>
      <w:marLeft w:val="0"/>
      <w:marRight w:val="0"/>
      <w:marTop w:val="0"/>
      <w:marBottom w:val="0"/>
      <w:divBdr>
        <w:top w:val="none" w:sz="0" w:space="0" w:color="auto"/>
        <w:left w:val="none" w:sz="0" w:space="0" w:color="auto"/>
        <w:bottom w:val="none" w:sz="0" w:space="0" w:color="auto"/>
        <w:right w:val="none" w:sz="0" w:space="0" w:color="auto"/>
      </w:divBdr>
    </w:div>
    <w:div w:id="1967463107">
      <w:bodyDiv w:val="1"/>
      <w:marLeft w:val="0"/>
      <w:marRight w:val="0"/>
      <w:marTop w:val="0"/>
      <w:marBottom w:val="0"/>
      <w:divBdr>
        <w:top w:val="none" w:sz="0" w:space="0" w:color="auto"/>
        <w:left w:val="none" w:sz="0" w:space="0" w:color="auto"/>
        <w:bottom w:val="none" w:sz="0" w:space="0" w:color="auto"/>
        <w:right w:val="none" w:sz="0" w:space="0" w:color="auto"/>
      </w:divBdr>
    </w:div>
    <w:div w:id="2006396864">
      <w:bodyDiv w:val="1"/>
      <w:marLeft w:val="0"/>
      <w:marRight w:val="0"/>
      <w:marTop w:val="0"/>
      <w:marBottom w:val="0"/>
      <w:divBdr>
        <w:top w:val="none" w:sz="0" w:space="0" w:color="auto"/>
        <w:left w:val="none" w:sz="0" w:space="0" w:color="auto"/>
        <w:bottom w:val="none" w:sz="0" w:space="0" w:color="auto"/>
        <w:right w:val="none" w:sz="0" w:space="0" w:color="auto"/>
      </w:divBdr>
    </w:div>
    <w:div w:id="2023699254">
      <w:bodyDiv w:val="1"/>
      <w:marLeft w:val="0"/>
      <w:marRight w:val="0"/>
      <w:marTop w:val="0"/>
      <w:marBottom w:val="0"/>
      <w:divBdr>
        <w:top w:val="none" w:sz="0" w:space="0" w:color="auto"/>
        <w:left w:val="none" w:sz="0" w:space="0" w:color="auto"/>
        <w:bottom w:val="none" w:sz="0" w:space="0" w:color="auto"/>
        <w:right w:val="none" w:sz="0" w:space="0" w:color="auto"/>
      </w:divBdr>
      <w:divsChild>
        <w:div w:id="1225789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53385335">
      <w:bodyDiv w:val="1"/>
      <w:marLeft w:val="0"/>
      <w:marRight w:val="0"/>
      <w:marTop w:val="0"/>
      <w:marBottom w:val="0"/>
      <w:divBdr>
        <w:top w:val="none" w:sz="0" w:space="0" w:color="auto"/>
        <w:left w:val="none" w:sz="0" w:space="0" w:color="auto"/>
        <w:bottom w:val="none" w:sz="0" w:space="0" w:color="auto"/>
        <w:right w:val="none" w:sz="0" w:space="0" w:color="auto"/>
      </w:divBdr>
      <w:divsChild>
        <w:div w:id="760569912">
          <w:marLeft w:val="0"/>
          <w:marRight w:val="0"/>
          <w:marTop w:val="0"/>
          <w:marBottom w:val="0"/>
          <w:divBdr>
            <w:top w:val="single" w:sz="12" w:space="0" w:color="BEBBB4"/>
            <w:left w:val="none" w:sz="0" w:space="0" w:color="auto"/>
            <w:bottom w:val="none" w:sz="0" w:space="0" w:color="auto"/>
            <w:right w:val="none" w:sz="0" w:space="0" w:color="auto"/>
          </w:divBdr>
          <w:divsChild>
            <w:div w:id="663775551">
              <w:marLeft w:val="0"/>
              <w:marRight w:val="0"/>
              <w:marTop w:val="0"/>
              <w:marBottom w:val="0"/>
              <w:divBdr>
                <w:top w:val="single" w:sz="12" w:space="0" w:color="BEBBB4"/>
                <w:left w:val="none" w:sz="0" w:space="0" w:color="auto"/>
                <w:bottom w:val="none" w:sz="0" w:space="0" w:color="auto"/>
                <w:right w:val="none" w:sz="0" w:space="0" w:color="auto"/>
              </w:divBdr>
              <w:divsChild>
                <w:div w:id="242375624">
                  <w:marLeft w:val="0"/>
                  <w:marRight w:val="0"/>
                  <w:marTop w:val="15"/>
                  <w:marBottom w:val="0"/>
                  <w:divBdr>
                    <w:top w:val="single" w:sz="12" w:space="0" w:color="BEBBB4"/>
                    <w:left w:val="none" w:sz="0" w:space="0" w:color="auto"/>
                    <w:bottom w:val="none" w:sz="0" w:space="0" w:color="auto"/>
                    <w:right w:val="none" w:sz="0" w:space="0" w:color="auto"/>
                  </w:divBdr>
                  <w:divsChild>
                    <w:div w:id="661274265">
                      <w:marLeft w:val="0"/>
                      <w:marRight w:val="0"/>
                      <w:marTop w:val="15"/>
                      <w:marBottom w:val="0"/>
                      <w:divBdr>
                        <w:top w:val="single" w:sz="12" w:space="0" w:color="BEBBB4"/>
                        <w:left w:val="none" w:sz="0" w:space="0" w:color="auto"/>
                        <w:bottom w:val="none" w:sz="0" w:space="0" w:color="auto"/>
                        <w:right w:val="none" w:sz="0" w:space="0" w:color="auto"/>
                      </w:divBdr>
                      <w:divsChild>
                        <w:div w:id="471139896">
                          <w:marLeft w:val="0"/>
                          <w:marRight w:val="0"/>
                          <w:marTop w:val="15"/>
                          <w:marBottom w:val="0"/>
                          <w:divBdr>
                            <w:top w:val="single" w:sz="12" w:space="0" w:color="BEBBB4"/>
                            <w:left w:val="none" w:sz="0" w:space="0" w:color="auto"/>
                            <w:bottom w:val="none" w:sz="0" w:space="0" w:color="auto"/>
                            <w:right w:val="none" w:sz="0" w:space="0" w:color="auto"/>
                          </w:divBdr>
                          <w:divsChild>
                            <w:div w:id="1747720915">
                              <w:marLeft w:val="0"/>
                              <w:marRight w:val="0"/>
                              <w:marTop w:val="15"/>
                              <w:marBottom w:val="0"/>
                              <w:divBdr>
                                <w:top w:val="single" w:sz="12" w:space="0" w:color="BEBBB4"/>
                                <w:left w:val="none" w:sz="0" w:space="0" w:color="auto"/>
                                <w:bottom w:val="none" w:sz="0" w:space="0" w:color="auto"/>
                                <w:right w:val="none" w:sz="0" w:space="0" w:color="auto"/>
                              </w:divBdr>
                            </w:div>
                          </w:divsChild>
                        </w:div>
                      </w:divsChild>
                    </w:div>
                  </w:divsChild>
                </w:div>
              </w:divsChild>
            </w:div>
          </w:divsChild>
        </w:div>
      </w:divsChild>
    </w:div>
    <w:div w:id="2068918951">
      <w:bodyDiv w:val="1"/>
      <w:marLeft w:val="0"/>
      <w:marRight w:val="0"/>
      <w:marTop w:val="0"/>
      <w:marBottom w:val="0"/>
      <w:divBdr>
        <w:top w:val="none" w:sz="0" w:space="0" w:color="auto"/>
        <w:left w:val="none" w:sz="0" w:space="0" w:color="auto"/>
        <w:bottom w:val="none" w:sz="0" w:space="0" w:color="auto"/>
        <w:right w:val="none" w:sz="0" w:space="0" w:color="auto"/>
      </w:divBdr>
    </w:div>
    <w:div w:id="2069380365">
      <w:bodyDiv w:val="1"/>
      <w:marLeft w:val="0"/>
      <w:marRight w:val="0"/>
      <w:marTop w:val="0"/>
      <w:marBottom w:val="0"/>
      <w:divBdr>
        <w:top w:val="none" w:sz="0" w:space="0" w:color="auto"/>
        <w:left w:val="none" w:sz="0" w:space="0" w:color="auto"/>
        <w:bottom w:val="none" w:sz="0" w:space="0" w:color="auto"/>
        <w:right w:val="none" w:sz="0" w:space="0" w:color="auto"/>
      </w:divBdr>
    </w:div>
    <w:div w:id="211250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4.e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hyperlink" Target="http://www.threerivers.gov.uk" TargetMode="External"/><Relationship Id="rId17" Type="http://schemas.openxmlformats.org/officeDocument/2006/relationships/image" Target="media/image3.emf"/><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image" Target="media/image9.emf"/><Relationship Id="rId28" Type="http://schemas.openxmlformats.org/officeDocument/2006/relationships/image" Target="media/image14.emf"/><Relationship Id="rId10" Type="http://schemas.openxmlformats.org/officeDocument/2006/relationships/chart" Target="charts/chart2.xml"/><Relationship Id="rId19" Type="http://schemas.openxmlformats.org/officeDocument/2006/relationships/image" Target="media/image5.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6673029828512262E-2"/>
          <c:y val="6.3100424467401939E-2"/>
          <c:w val="0.58415417921587098"/>
          <c:h val="0.79449737884105076"/>
        </c:manualLayout>
      </c:layout>
      <c:lineChart>
        <c:grouping val="standard"/>
        <c:varyColors val="0"/>
        <c:ser>
          <c:idx val="0"/>
          <c:order val="0"/>
          <c:tx>
            <c:strRef>
              <c:f>Sheet1!$B$1</c:f>
              <c:strCache>
                <c:ptCount val="1"/>
                <c:pt idx="0">
                  <c:v>Original budget</c:v>
                </c:pt>
              </c:strCache>
            </c:strRef>
          </c:tx>
          <c:cat>
            <c:strRef>
              <c:f>Sheet1!$A$2:$A$6</c:f>
              <c:strCache>
                <c:ptCount val="5"/>
                <c:pt idx="0">
                  <c:v>0</c:v>
                </c:pt>
                <c:pt idx="1">
                  <c:v>Quarter 1</c:v>
                </c:pt>
                <c:pt idx="2">
                  <c:v>Quarter 2</c:v>
                </c:pt>
                <c:pt idx="3">
                  <c:v>Quarter 3</c:v>
                </c:pt>
                <c:pt idx="4">
                  <c:v>Quarter 4</c:v>
                </c:pt>
              </c:strCache>
            </c:strRef>
          </c:cat>
          <c:val>
            <c:numRef>
              <c:f>Sheet1!$B$2:$B$6</c:f>
              <c:numCache>
                <c:formatCode>General</c:formatCode>
                <c:ptCount val="5"/>
                <c:pt idx="0">
                  <c:v>10.538</c:v>
                </c:pt>
                <c:pt idx="1">
                  <c:v>10.538</c:v>
                </c:pt>
                <c:pt idx="2">
                  <c:v>10.538</c:v>
                </c:pt>
                <c:pt idx="3">
                  <c:v>10.538</c:v>
                </c:pt>
                <c:pt idx="4">
                  <c:v>10.538</c:v>
                </c:pt>
              </c:numCache>
            </c:numRef>
          </c:val>
          <c:smooth val="0"/>
        </c:ser>
        <c:ser>
          <c:idx val="1"/>
          <c:order val="1"/>
          <c:tx>
            <c:strRef>
              <c:f>Sheet1!$C$1</c:f>
              <c:strCache>
                <c:ptCount val="1"/>
                <c:pt idx="0">
                  <c:v>Latest Approved Budget</c:v>
                </c:pt>
              </c:strCache>
            </c:strRef>
          </c:tx>
          <c:spPr>
            <a:ln>
              <a:prstDash val="dash"/>
            </a:ln>
          </c:spPr>
          <c:marker>
            <c:spPr>
              <a:ln cmpd="sng"/>
            </c:spPr>
          </c:marker>
          <c:dPt>
            <c:idx val="0"/>
            <c:bubble3D val="0"/>
            <c:spPr>
              <a:ln>
                <a:prstDash val="solid"/>
              </a:ln>
            </c:spPr>
          </c:dPt>
          <c:dPt>
            <c:idx val="1"/>
            <c:bubble3D val="0"/>
            <c:spPr>
              <a:ln>
                <a:prstDash val="solid"/>
              </a:ln>
            </c:spPr>
          </c:dPt>
          <c:dPt>
            <c:idx val="2"/>
            <c:bubble3D val="0"/>
            <c:spPr>
              <a:ln cmpd="sng">
                <a:prstDash val="solid"/>
              </a:ln>
            </c:spPr>
          </c:dPt>
          <c:dPt>
            <c:idx val="3"/>
            <c:bubble3D val="0"/>
            <c:spPr>
              <a:ln cap="sq" cmpd="sng">
                <a:prstDash val="solid"/>
              </a:ln>
            </c:spPr>
          </c:dPt>
          <c:cat>
            <c:strRef>
              <c:f>Sheet1!$A$2:$A$6</c:f>
              <c:strCache>
                <c:ptCount val="5"/>
                <c:pt idx="0">
                  <c:v>0</c:v>
                </c:pt>
                <c:pt idx="1">
                  <c:v>Quarter 1</c:v>
                </c:pt>
                <c:pt idx="2">
                  <c:v>Quarter 2</c:v>
                </c:pt>
                <c:pt idx="3">
                  <c:v>Quarter 3</c:v>
                </c:pt>
                <c:pt idx="4">
                  <c:v>Quarter 4</c:v>
                </c:pt>
              </c:strCache>
            </c:strRef>
          </c:cat>
          <c:val>
            <c:numRef>
              <c:f>Sheet1!$C$2:$C$6</c:f>
              <c:numCache>
                <c:formatCode>General</c:formatCode>
                <c:ptCount val="5"/>
                <c:pt idx="0">
                  <c:v>10.827</c:v>
                </c:pt>
                <c:pt idx="1">
                  <c:v>10.827</c:v>
                </c:pt>
                <c:pt idx="2">
                  <c:v>10.932</c:v>
                </c:pt>
                <c:pt idx="3">
                  <c:v>11.061999999999999</c:v>
                </c:pt>
                <c:pt idx="4">
                  <c:v>11.061999999999999</c:v>
                </c:pt>
              </c:numCache>
            </c:numRef>
          </c:val>
          <c:smooth val="0"/>
        </c:ser>
        <c:ser>
          <c:idx val="2"/>
          <c:order val="2"/>
          <c:tx>
            <c:strRef>
              <c:f>Sheet1!$D$1</c:f>
              <c:strCache>
                <c:ptCount val="1"/>
                <c:pt idx="0">
                  <c:v>Forecast Outturn</c:v>
                </c:pt>
              </c:strCache>
            </c:strRef>
          </c:tx>
          <c:spPr>
            <a:ln>
              <a:solidFill>
                <a:srgbClr val="92D050"/>
              </a:solidFill>
            </a:ln>
          </c:spPr>
          <c:dPt>
            <c:idx val="1"/>
            <c:bubble3D val="0"/>
          </c:dPt>
          <c:dPt>
            <c:idx val="2"/>
            <c:bubble3D val="0"/>
            <c:spPr>
              <a:ln cmpd="sng">
                <a:solidFill>
                  <a:srgbClr val="92D050"/>
                </a:solidFill>
                <a:prstDash val="solid"/>
              </a:ln>
            </c:spPr>
          </c:dPt>
          <c:dPt>
            <c:idx val="3"/>
            <c:marker>
              <c:spPr>
                <a:ln cap="sq"/>
              </c:spPr>
            </c:marker>
            <c:bubble3D val="0"/>
            <c:spPr>
              <a:ln cmpd="sng">
                <a:solidFill>
                  <a:srgbClr val="92D050"/>
                </a:solidFill>
                <a:prstDash val="solid"/>
              </a:ln>
            </c:spPr>
          </c:dPt>
          <c:dPt>
            <c:idx val="4"/>
            <c:bubble3D val="0"/>
            <c:spPr>
              <a:ln>
                <a:solidFill>
                  <a:srgbClr val="92D050"/>
                </a:solidFill>
                <a:prstDash val="dash"/>
              </a:ln>
            </c:spPr>
          </c:dPt>
          <c:cat>
            <c:strRef>
              <c:f>Sheet1!$A$2:$A$6</c:f>
              <c:strCache>
                <c:ptCount val="5"/>
                <c:pt idx="0">
                  <c:v>0</c:v>
                </c:pt>
                <c:pt idx="1">
                  <c:v>Quarter 1</c:v>
                </c:pt>
                <c:pt idx="2">
                  <c:v>Quarter 2</c:v>
                </c:pt>
                <c:pt idx="3">
                  <c:v>Quarter 3</c:v>
                </c:pt>
                <c:pt idx="4">
                  <c:v>Quarter 4</c:v>
                </c:pt>
              </c:strCache>
            </c:strRef>
          </c:cat>
          <c:val>
            <c:numRef>
              <c:f>Sheet1!$D$2:$D$6</c:f>
              <c:numCache>
                <c:formatCode>General</c:formatCode>
                <c:ptCount val="5"/>
                <c:pt idx="0">
                  <c:v>10.827</c:v>
                </c:pt>
                <c:pt idx="1">
                  <c:v>10.932</c:v>
                </c:pt>
                <c:pt idx="2">
                  <c:v>11.061999999999999</c:v>
                </c:pt>
                <c:pt idx="3">
                  <c:v>10.75</c:v>
                </c:pt>
                <c:pt idx="4">
                  <c:v>10.75</c:v>
                </c:pt>
              </c:numCache>
            </c:numRef>
          </c:val>
          <c:smooth val="0"/>
        </c:ser>
        <c:dLbls>
          <c:showLegendKey val="0"/>
          <c:showVal val="0"/>
          <c:showCatName val="0"/>
          <c:showSerName val="0"/>
          <c:showPercent val="0"/>
          <c:showBubbleSize val="0"/>
        </c:dLbls>
        <c:marker val="1"/>
        <c:smooth val="0"/>
        <c:axId val="120393728"/>
        <c:axId val="120335744"/>
      </c:lineChart>
      <c:catAx>
        <c:axId val="120393728"/>
        <c:scaling>
          <c:orientation val="minMax"/>
        </c:scaling>
        <c:delete val="0"/>
        <c:axPos val="b"/>
        <c:majorTickMark val="out"/>
        <c:minorTickMark val="none"/>
        <c:tickLblPos val="nextTo"/>
        <c:crossAx val="120335744"/>
        <c:crosses val="autoZero"/>
        <c:auto val="1"/>
        <c:lblAlgn val="ctr"/>
        <c:lblOffset val="100"/>
        <c:noMultiLvlLbl val="0"/>
      </c:catAx>
      <c:valAx>
        <c:axId val="120335744"/>
        <c:scaling>
          <c:orientation val="minMax"/>
          <c:min val="10"/>
        </c:scaling>
        <c:delete val="0"/>
        <c:axPos val="l"/>
        <c:majorGridlines>
          <c:spPr>
            <a:ln>
              <a:prstDash val="dash"/>
            </a:ln>
          </c:spPr>
        </c:majorGridlines>
        <c:numFmt formatCode="General" sourceLinked="1"/>
        <c:majorTickMark val="out"/>
        <c:minorTickMark val="none"/>
        <c:tickLblPos val="nextTo"/>
        <c:crossAx val="12039372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34369308197438"/>
          <c:y val="7.3366156027882143E-2"/>
          <c:w val="0.71243842122519396"/>
          <c:h val="0.83874335969441727"/>
        </c:manualLayout>
      </c:layout>
      <c:barChart>
        <c:barDir val="col"/>
        <c:grouping val="clustered"/>
        <c:varyColors val="0"/>
        <c:ser>
          <c:idx val="0"/>
          <c:order val="0"/>
          <c:tx>
            <c:strRef>
              <c:f>Sheet1!$B$1</c:f>
              <c:strCache>
                <c:ptCount val="1"/>
                <c:pt idx="0">
                  <c:v>2017/18</c:v>
                </c:pt>
              </c:strCache>
            </c:strRef>
          </c:tx>
          <c:spPr>
            <a:solidFill>
              <a:schemeClr val="bg1">
                <a:lumMod val="95000"/>
              </a:schemeClr>
            </a:solidFill>
          </c:spPr>
          <c:invertIfNegative val="0"/>
          <c:dLbls>
            <c:numFmt formatCode="0%" sourceLinked="0"/>
            <c:txPr>
              <a:bodyPr/>
              <a:lstStyle/>
              <a:p>
                <a:pPr>
                  <a:defRPr>
                    <a:solidFill>
                      <a:schemeClr val="accent1"/>
                    </a:solidFill>
                  </a:defRPr>
                </a:pPr>
                <a:endParaRPr lang="en-US"/>
              </a:p>
            </c:txPr>
            <c:dLblPos val="inEnd"/>
            <c:showLegendKey val="0"/>
            <c:showVal val="1"/>
            <c:showCatName val="0"/>
            <c:showSerName val="1"/>
            <c:showPercent val="0"/>
            <c:showBubbleSize val="0"/>
            <c:separator>
</c:separator>
            <c:showLeaderLines val="0"/>
          </c:dLbls>
          <c:cat>
            <c:numRef>
              <c:f>Sheet1!$A$2</c:f>
              <c:numCache>
                <c:formatCode>General</c:formatCode>
                <c:ptCount val="1"/>
              </c:numCache>
            </c:numRef>
          </c:cat>
          <c:val>
            <c:numRef>
              <c:f>Sheet1!$B$2</c:f>
              <c:numCache>
                <c:formatCode>0%</c:formatCode>
                <c:ptCount val="1"/>
                <c:pt idx="0">
                  <c:v>-0.62</c:v>
                </c:pt>
              </c:numCache>
            </c:numRef>
          </c:val>
        </c:ser>
        <c:ser>
          <c:idx val="1"/>
          <c:order val="1"/>
          <c:tx>
            <c:strRef>
              <c:f>Sheet1!$C$1</c:f>
              <c:strCache>
                <c:ptCount val="1"/>
                <c:pt idx="0">
                  <c:v>2018/19</c:v>
                </c:pt>
              </c:strCache>
            </c:strRef>
          </c:tx>
          <c:spPr>
            <a:solidFill>
              <a:schemeClr val="bg2"/>
            </a:solidFill>
          </c:spPr>
          <c:invertIfNegative val="0"/>
          <c:dLbls>
            <c:dLblPos val="inEnd"/>
            <c:showLegendKey val="0"/>
            <c:showVal val="1"/>
            <c:showCatName val="0"/>
            <c:showSerName val="1"/>
            <c:showPercent val="0"/>
            <c:showBubbleSize val="0"/>
            <c:separator>
</c:separator>
            <c:showLeaderLines val="0"/>
          </c:dLbls>
          <c:cat>
            <c:numRef>
              <c:f>Sheet1!$A$2</c:f>
              <c:numCache>
                <c:formatCode>General</c:formatCode>
                <c:ptCount val="1"/>
              </c:numCache>
            </c:numRef>
          </c:cat>
          <c:val>
            <c:numRef>
              <c:f>Sheet1!$C$2</c:f>
              <c:numCache>
                <c:formatCode>0%</c:formatCode>
                <c:ptCount val="1"/>
                <c:pt idx="0">
                  <c:v>-0.96</c:v>
                </c:pt>
              </c:numCache>
            </c:numRef>
          </c:val>
        </c:ser>
        <c:ser>
          <c:idx val="2"/>
          <c:order val="2"/>
          <c:tx>
            <c:strRef>
              <c:f>Sheet1!$D$1</c:f>
              <c:strCache>
                <c:ptCount val="1"/>
                <c:pt idx="0">
                  <c:v>2019/20</c:v>
                </c:pt>
              </c:strCache>
            </c:strRef>
          </c:tx>
          <c:invertIfNegative val="0"/>
          <c:dPt>
            <c:idx val="0"/>
            <c:invertIfNegative val="0"/>
            <c:bubble3D val="0"/>
            <c:spPr>
              <a:solidFill>
                <a:schemeClr val="bg1">
                  <a:lumMod val="75000"/>
                </a:schemeClr>
              </a:solidFill>
            </c:spPr>
          </c:dPt>
          <c:dLbls>
            <c:dLblPos val="inEnd"/>
            <c:showLegendKey val="0"/>
            <c:showVal val="1"/>
            <c:showCatName val="0"/>
            <c:showSerName val="1"/>
            <c:showPercent val="0"/>
            <c:showBubbleSize val="0"/>
            <c:separator>
</c:separator>
            <c:showLeaderLines val="0"/>
          </c:dLbls>
          <c:cat>
            <c:numRef>
              <c:f>Sheet1!$A$2</c:f>
              <c:numCache>
                <c:formatCode>General</c:formatCode>
                <c:ptCount val="1"/>
              </c:numCache>
            </c:numRef>
          </c:cat>
          <c:val>
            <c:numRef>
              <c:f>Sheet1!$D$2</c:f>
              <c:numCache>
                <c:formatCode>0%</c:formatCode>
                <c:ptCount val="1"/>
                <c:pt idx="0">
                  <c:v>-1</c:v>
                </c:pt>
              </c:numCache>
            </c:numRef>
          </c:val>
        </c:ser>
        <c:dLbls>
          <c:showLegendKey val="0"/>
          <c:showVal val="0"/>
          <c:showCatName val="0"/>
          <c:showSerName val="0"/>
          <c:showPercent val="0"/>
          <c:showBubbleSize val="0"/>
        </c:dLbls>
        <c:gapWidth val="150"/>
        <c:axId val="120439296"/>
        <c:axId val="120336896"/>
      </c:barChart>
      <c:catAx>
        <c:axId val="120439296"/>
        <c:scaling>
          <c:orientation val="minMax"/>
        </c:scaling>
        <c:delete val="0"/>
        <c:axPos val="b"/>
        <c:numFmt formatCode="General" sourceLinked="1"/>
        <c:majorTickMark val="out"/>
        <c:minorTickMark val="none"/>
        <c:tickLblPos val="nextTo"/>
        <c:crossAx val="120336896"/>
        <c:crosses val="autoZero"/>
        <c:auto val="1"/>
        <c:lblAlgn val="ctr"/>
        <c:lblOffset val="100"/>
        <c:noMultiLvlLbl val="0"/>
      </c:catAx>
      <c:valAx>
        <c:axId val="120336896"/>
        <c:scaling>
          <c:orientation val="minMax"/>
          <c:min val="-1"/>
        </c:scaling>
        <c:delete val="0"/>
        <c:axPos val="l"/>
        <c:majorGridlines/>
        <c:numFmt formatCode="0%" sourceLinked="1"/>
        <c:majorTickMark val="out"/>
        <c:minorTickMark val="none"/>
        <c:tickLblPos val="nextTo"/>
        <c:crossAx val="12043929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83045713035870516"/>
          <c:y val="5.3868511660616507E-2"/>
        </c:manualLayout>
      </c:layout>
      <c:overlay val="0"/>
    </c:title>
    <c:autoTitleDeleted val="0"/>
    <c:plotArea>
      <c:layout/>
      <c:pieChart>
        <c:varyColors val="1"/>
        <c:ser>
          <c:idx val="0"/>
          <c:order val="0"/>
          <c:tx>
            <c:strRef>
              <c:f>Sheet1!$B$1</c:f>
              <c:strCache>
                <c:ptCount val="1"/>
                <c:pt idx="0">
                  <c:v>2018/19</c:v>
                </c:pt>
              </c:strCache>
            </c:strRef>
          </c:tx>
          <c:dLbls>
            <c:dLbl>
              <c:idx val="0"/>
              <c:layout>
                <c:manualLayout>
                  <c:x val="0.17281295567220764"/>
                  <c:y val="1.5036000768948463E-2"/>
                </c:manualLayout>
              </c:layout>
              <c:showLegendKey val="0"/>
              <c:showVal val="1"/>
              <c:showCatName val="1"/>
              <c:showSerName val="0"/>
              <c:showPercent val="0"/>
              <c:showBubbleSize val="0"/>
            </c:dLbl>
            <c:dLbl>
              <c:idx val="1"/>
              <c:layout>
                <c:manualLayout>
                  <c:x val="2.1212088072324293E-2"/>
                  <c:y val="2.9807675503748625E-2"/>
                </c:manualLayout>
              </c:layout>
              <c:showLegendKey val="0"/>
              <c:showVal val="1"/>
              <c:showCatName val="1"/>
              <c:showSerName val="0"/>
              <c:showPercent val="0"/>
              <c:showBubbleSize val="0"/>
            </c:dLbl>
            <c:dLbl>
              <c:idx val="2"/>
              <c:layout>
                <c:manualLayout>
                  <c:x val="-5.7991579177602698E-3"/>
                  <c:y val="2.9850117464367477E-2"/>
                </c:manualLayout>
              </c:layout>
              <c:showLegendKey val="0"/>
              <c:showVal val="1"/>
              <c:showCatName val="1"/>
              <c:showSerName val="0"/>
              <c:showPercent val="0"/>
              <c:showBubbleSize val="0"/>
            </c:dLbl>
            <c:dLbl>
              <c:idx val="3"/>
              <c:layout>
                <c:manualLayout>
                  <c:x val="-0.20179717118693496"/>
                  <c:y val="8.1515090613585917E-2"/>
                </c:manualLayout>
              </c:layout>
              <c:showLegendKey val="0"/>
              <c:showVal val="1"/>
              <c:showCatName val="1"/>
              <c:showSerName val="0"/>
              <c:showPercent val="0"/>
              <c:showBubbleSize val="0"/>
            </c:dLbl>
            <c:dLbl>
              <c:idx val="4"/>
              <c:layout>
                <c:manualLayout>
                  <c:x val="-2.9227362204724411E-2"/>
                  <c:y val="-6.0375873492998326E-2"/>
                </c:manualLayout>
              </c:layout>
              <c:showLegendKey val="0"/>
              <c:showVal val="1"/>
              <c:showCatName val="1"/>
              <c:showSerName val="0"/>
              <c:showPercent val="0"/>
              <c:showBubbleSize val="0"/>
            </c:dLbl>
            <c:numFmt formatCode="&quot;£&quot;#,##0" sourceLinked="0"/>
            <c:showLegendKey val="0"/>
            <c:showVal val="1"/>
            <c:showCatName val="1"/>
            <c:showSerName val="0"/>
            <c:showPercent val="0"/>
            <c:showBubbleSize val="0"/>
            <c:showLeaderLines val="1"/>
          </c:dLbls>
          <c:cat>
            <c:strRef>
              <c:f>Sheet1!$A$2:$A$7</c:f>
              <c:strCache>
                <c:ptCount val="6"/>
                <c:pt idx="0">
                  <c:v>Revenue Support Grant</c:v>
                </c:pt>
                <c:pt idx="1">
                  <c:v>Council Tax</c:v>
                </c:pt>
                <c:pt idx="2">
                  <c:v>Business Rates</c:v>
                </c:pt>
                <c:pt idx="3">
                  <c:v>Collection fund surplus</c:v>
                </c:pt>
                <c:pt idx="4">
                  <c:v>New Homes Bonus</c:v>
                </c:pt>
                <c:pt idx="5">
                  <c:v>Other Grants</c:v>
                </c:pt>
              </c:strCache>
            </c:strRef>
          </c:cat>
          <c:val>
            <c:numRef>
              <c:f>Sheet1!$B$2:$B$7</c:f>
              <c:numCache>
                <c:formatCode>"£"#,##0</c:formatCode>
                <c:ptCount val="6"/>
                <c:pt idx="0">
                  <c:v>11791</c:v>
                </c:pt>
                <c:pt idx="1">
                  <c:v>6459361</c:v>
                </c:pt>
                <c:pt idx="2">
                  <c:v>3018850</c:v>
                </c:pt>
                <c:pt idx="3">
                  <c:v>203640</c:v>
                </c:pt>
                <c:pt idx="4">
                  <c:v>554645</c:v>
                </c:pt>
                <c:pt idx="5">
                  <c:v>50000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txPr>
    <a:bodyPr/>
    <a:lstStyle/>
    <a:p>
      <a:pPr>
        <a:defRPr>
          <a:solidFill>
            <a:sysClr val="windowText" lastClr="000000"/>
          </a:solidFil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028FD-3DD9-4190-A438-F19EA91F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27</Pages>
  <Words>3670</Words>
  <Characters>20205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POLICY AND RESOURCES COMMITTEE - 28 JANUARY 1997</vt:lpstr>
    </vt:vector>
  </TitlesOfParts>
  <Company>Pre-installed Company</Company>
  <LinksUpToDate>false</LinksUpToDate>
  <CharactersWithSpaces>23828</CharactersWithSpaces>
  <SharedDoc>false</SharedDoc>
  <HLinks>
    <vt:vector size="24" baseType="variant">
      <vt:variant>
        <vt:i4>1769500</vt:i4>
      </vt:variant>
      <vt:variant>
        <vt:i4>31</vt:i4>
      </vt:variant>
      <vt:variant>
        <vt:i4>0</vt:i4>
      </vt:variant>
      <vt:variant>
        <vt:i4>5</vt:i4>
      </vt:variant>
      <vt:variant>
        <vt:lpwstr>https://www.gov.uk/government/policies/increasing-the-number-of-available-homes/supporting-pages/new-homes-bonus</vt:lpwstr>
      </vt:variant>
      <vt:variant>
        <vt:lpwstr/>
      </vt:variant>
      <vt:variant>
        <vt:i4>3670057</vt:i4>
      </vt:variant>
      <vt:variant>
        <vt:i4>28</vt:i4>
      </vt:variant>
      <vt:variant>
        <vt:i4>0</vt:i4>
      </vt:variant>
      <vt:variant>
        <vt:i4>5</vt:i4>
      </vt:variant>
      <vt:variant>
        <vt:lpwstr>https://www.gov.uk/government/collections/provisional-local-government-finance-settlement-england-2016-to-2017</vt:lpwstr>
      </vt:variant>
      <vt:variant>
        <vt:lpwstr/>
      </vt:variant>
      <vt:variant>
        <vt:i4>8126511</vt:i4>
      </vt:variant>
      <vt:variant>
        <vt:i4>21</vt:i4>
      </vt:variant>
      <vt:variant>
        <vt:i4>0</vt:i4>
      </vt:variant>
      <vt:variant>
        <vt:i4>5</vt:i4>
      </vt:variant>
      <vt:variant>
        <vt:lpwstr>http://www.threerivers.gov.uk/</vt:lpwstr>
      </vt:variant>
      <vt:variant>
        <vt:lpwstr/>
      </vt:variant>
      <vt:variant>
        <vt:i4>3080231</vt:i4>
      </vt:variant>
      <vt:variant>
        <vt:i4>16</vt:i4>
      </vt:variant>
      <vt:variant>
        <vt:i4>0</vt:i4>
      </vt:variant>
      <vt:variant>
        <vt:i4>5</vt:i4>
      </vt:variant>
      <vt:variant>
        <vt:lpwstr>http://www.threerivers.gov.uk/Default.aspx/Web/BudgetMonitoringReports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RESOURCES COMMITTEE - 28 JANUARY 1997</dc:title>
  <dc:creator>Denis Adams</dc:creator>
  <cp:lastModifiedBy>Sarah Haythorpe</cp:lastModifiedBy>
  <cp:revision>12</cp:revision>
  <cp:lastPrinted>2018-01-19T13:10:00Z</cp:lastPrinted>
  <dcterms:created xsi:type="dcterms:W3CDTF">2018-01-17T10:18:00Z</dcterms:created>
  <dcterms:modified xsi:type="dcterms:W3CDTF">2018-01-19T13:10:00Z</dcterms:modified>
</cp:coreProperties>
</file>