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1644" w:rsidRDefault="00FF1644" w:rsidP="00FF1644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right"/>
        <w:rPr>
          <w:rFonts w:cs="Arial"/>
          <w:b w:val="0"/>
          <w:color w:val="000000"/>
          <w:szCs w:val="22"/>
        </w:rPr>
      </w:pPr>
      <w:r>
        <w:rPr>
          <w:rFonts w:cs="Arial"/>
          <w:b w:val="0"/>
          <w:color w:val="000000"/>
          <w:szCs w:val="22"/>
        </w:rPr>
        <w:t xml:space="preserve">Agenda Item </w:t>
      </w:r>
      <w:r w:rsidR="00516E50">
        <w:rPr>
          <w:rFonts w:cs="Arial"/>
          <w:b w:val="0"/>
          <w:color w:val="000000"/>
          <w:szCs w:val="22"/>
        </w:rPr>
        <w:t>5</w:t>
      </w:r>
    </w:p>
    <w:p w:rsidR="00FF1644" w:rsidRDefault="00FF1644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</w:p>
    <w:p w:rsidR="006B0ACF" w:rsidRDefault="006B0ACF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  <w:r>
        <w:rPr>
          <w:rFonts w:cs="Arial"/>
          <w:b w:val="0"/>
          <w:color w:val="000000"/>
          <w:szCs w:val="22"/>
        </w:rPr>
        <w:t>Recommendation</w:t>
      </w:r>
      <w:r w:rsidR="00516E50">
        <w:rPr>
          <w:rFonts w:cs="Arial"/>
          <w:b w:val="0"/>
          <w:color w:val="000000"/>
          <w:szCs w:val="22"/>
        </w:rPr>
        <w:t>s</w:t>
      </w:r>
      <w:r>
        <w:rPr>
          <w:rFonts w:cs="Arial"/>
          <w:b w:val="0"/>
          <w:color w:val="000000"/>
          <w:szCs w:val="22"/>
        </w:rPr>
        <w:t xml:space="preserve"> from </w:t>
      </w:r>
      <w:r w:rsidR="00516E50">
        <w:rPr>
          <w:rFonts w:cs="Arial"/>
          <w:b w:val="0"/>
          <w:color w:val="000000"/>
          <w:szCs w:val="22"/>
        </w:rPr>
        <w:t xml:space="preserve">Policy and Resources Committee </w:t>
      </w:r>
      <w:r w:rsidR="001315FC">
        <w:rPr>
          <w:rFonts w:cs="Arial"/>
          <w:b w:val="0"/>
          <w:color w:val="000000"/>
          <w:szCs w:val="22"/>
        </w:rPr>
        <w:t xml:space="preserve">held on </w:t>
      </w:r>
      <w:r w:rsidR="00A9730D">
        <w:rPr>
          <w:rFonts w:cs="Arial"/>
          <w:b w:val="0"/>
          <w:color w:val="000000"/>
          <w:szCs w:val="22"/>
        </w:rPr>
        <w:t>23 January 2017</w:t>
      </w:r>
    </w:p>
    <w:p w:rsidR="00A9730D" w:rsidRDefault="00A9730D" w:rsidP="006B0ACF">
      <w:pPr>
        <w:pStyle w:val="Title"/>
        <w:tabs>
          <w:tab w:val="clear" w:pos="1440"/>
          <w:tab w:val="clear" w:pos="2160"/>
          <w:tab w:val="clear" w:pos="2880"/>
          <w:tab w:val="clear" w:pos="3600"/>
          <w:tab w:val="clear" w:pos="4320"/>
          <w:tab w:val="left" w:pos="1260"/>
          <w:tab w:val="left" w:pos="1980"/>
          <w:tab w:val="left" w:pos="2700"/>
          <w:tab w:val="left" w:pos="3420"/>
        </w:tabs>
        <w:spacing w:line="240" w:lineRule="auto"/>
        <w:jc w:val="both"/>
        <w:rPr>
          <w:rFonts w:cs="Arial"/>
          <w:b w:val="0"/>
          <w:color w:val="000000"/>
          <w:szCs w:val="22"/>
        </w:rPr>
      </w:pPr>
    </w:p>
    <w:p w:rsidR="00A9730D" w:rsidRDefault="00A9730D" w:rsidP="00A9730D">
      <w:pPr>
        <w:tabs>
          <w:tab w:val="left" w:pos="567"/>
        </w:tabs>
        <w:ind w:left="1440" w:right="1165" w:hanging="1440"/>
        <w:rPr>
          <w:rFonts w:cs="Arial"/>
          <w:szCs w:val="22"/>
        </w:rPr>
      </w:pPr>
    </w:p>
    <w:p w:rsidR="00A9730D" w:rsidRPr="00E3039A" w:rsidRDefault="00A9730D" w:rsidP="00A9730D">
      <w:pPr>
        <w:tabs>
          <w:tab w:val="left" w:pos="567"/>
        </w:tabs>
        <w:ind w:left="1276" w:right="1165" w:hanging="1276"/>
        <w:jc w:val="both"/>
        <w:rPr>
          <w:rFonts w:cs="Arial"/>
          <w:b/>
          <w:sz w:val="22"/>
          <w:szCs w:val="22"/>
        </w:rPr>
      </w:pPr>
      <w:r w:rsidRPr="00E3039A">
        <w:rPr>
          <w:rFonts w:cs="Arial"/>
          <w:b/>
          <w:sz w:val="22"/>
          <w:szCs w:val="22"/>
        </w:rPr>
        <w:t>PR</w:t>
      </w:r>
      <w:r>
        <w:rPr>
          <w:rFonts w:cs="Arial"/>
          <w:b/>
          <w:sz w:val="22"/>
          <w:szCs w:val="22"/>
        </w:rPr>
        <w:t>89</w:t>
      </w:r>
      <w:r w:rsidRPr="00E3039A">
        <w:rPr>
          <w:rFonts w:cs="Arial"/>
          <w:b/>
          <w:sz w:val="22"/>
          <w:szCs w:val="22"/>
        </w:rPr>
        <w:t>/1</w:t>
      </w:r>
      <w:r>
        <w:rPr>
          <w:rFonts w:cs="Arial"/>
          <w:b/>
          <w:sz w:val="22"/>
          <w:szCs w:val="22"/>
        </w:rPr>
        <w:t>6</w:t>
      </w:r>
      <w:r w:rsidRPr="00E3039A">
        <w:rPr>
          <w:rFonts w:cs="Arial"/>
          <w:b/>
          <w:sz w:val="22"/>
          <w:szCs w:val="22"/>
        </w:rPr>
        <w:tab/>
      </w:r>
      <w:r>
        <w:rPr>
          <w:rFonts w:cs="Arial"/>
          <w:b/>
          <w:sz w:val="22"/>
          <w:szCs w:val="22"/>
        </w:rPr>
        <w:t>FINANCIAL PLANNING – REVENUE SERVICES</w:t>
      </w:r>
    </w:p>
    <w:p w:rsidR="00A9730D" w:rsidRPr="00A9730D" w:rsidRDefault="00A9730D" w:rsidP="00A9730D">
      <w:pPr>
        <w:tabs>
          <w:tab w:val="left" w:pos="567"/>
        </w:tabs>
        <w:ind w:left="1440" w:right="1165" w:hanging="1440"/>
        <w:jc w:val="both"/>
        <w:rPr>
          <w:rFonts w:ascii="Arial" w:hAnsi="Arial" w:cs="Arial"/>
          <w:color w:val="7030A0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276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The purpose of this report was to enable the Committee to recommend to Council the service levels and outputs it wishes to see in the medium to long-term and the associated revenue budget.  This budget is a component part of the 2017/18 Council Tax calculations.</w:t>
      </w:r>
    </w:p>
    <w:p w:rsidR="00A9730D" w:rsidRPr="00A9730D" w:rsidRDefault="00A9730D" w:rsidP="00A9730D">
      <w:pPr>
        <w:tabs>
          <w:tab w:val="left" w:pos="567"/>
        </w:tabs>
        <w:ind w:left="1440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Members noted that the business rates pool was to be dissolved as detailed in Paragraph 6.5.1 of the report. In the medium term financial plan it showed growth of £350,000 this year and £500,000 in future years.</w:t>
      </w:r>
    </w:p>
    <w:p w:rsidR="00A9730D" w:rsidRPr="00A9730D" w:rsidRDefault="00A9730D" w:rsidP="00A9730D">
      <w:pPr>
        <w:tabs>
          <w:tab w:val="left" w:pos="567"/>
        </w:tabs>
        <w:ind w:left="1440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276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With regard to the prudent level of balances the Council should have, the Director of Finance advised this was £2m but in 2019/20 balances were projected to be around £1.4m to £1.5m.  In order to ensure the balances remained at £2m money could be transferred from the economic impact fund.</w:t>
      </w:r>
    </w:p>
    <w:p w:rsidR="00A9730D" w:rsidRPr="00A9730D" w:rsidRDefault="00A9730D" w:rsidP="00A9730D">
      <w:pPr>
        <w:tabs>
          <w:tab w:val="left" w:pos="567"/>
        </w:tabs>
        <w:ind w:left="1440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276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 xml:space="preserve">In response to a question with regard to the new homes being built or which had been built in the </w:t>
      </w:r>
      <w:proofErr w:type="spellStart"/>
      <w:r w:rsidRPr="00A9730D">
        <w:rPr>
          <w:rFonts w:ascii="Arial" w:hAnsi="Arial" w:cs="Arial"/>
          <w:sz w:val="22"/>
          <w:szCs w:val="22"/>
        </w:rPr>
        <w:t>Leavesden</w:t>
      </w:r>
      <w:proofErr w:type="spellEnd"/>
      <w:r w:rsidRPr="00A9730D">
        <w:rPr>
          <w:rFonts w:ascii="Arial" w:hAnsi="Arial" w:cs="Arial"/>
          <w:sz w:val="22"/>
          <w:szCs w:val="22"/>
        </w:rPr>
        <w:t xml:space="preserve"> ward, the properties required to pay Council Tax was based on what was projected in the Local Plan.</w:t>
      </w:r>
    </w:p>
    <w:p w:rsidR="00A9730D" w:rsidRPr="00A9730D" w:rsidRDefault="00A9730D" w:rsidP="00A9730D">
      <w:pPr>
        <w:tabs>
          <w:tab w:val="left" w:pos="567"/>
        </w:tabs>
        <w:ind w:left="1440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  <w:tab w:val="left" w:pos="9214"/>
        </w:tabs>
        <w:ind w:left="1276" w:right="1165" w:hanging="1276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color w:val="7030A0"/>
          <w:sz w:val="22"/>
          <w:szCs w:val="22"/>
        </w:rPr>
        <w:tab/>
      </w:r>
      <w:r w:rsidRPr="00A9730D">
        <w:rPr>
          <w:rFonts w:ascii="Arial" w:hAnsi="Arial" w:cs="Arial"/>
          <w:color w:val="7030A0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>RECOMMEND:</w:t>
      </w:r>
    </w:p>
    <w:p w:rsidR="00A9730D" w:rsidRPr="00A9730D" w:rsidRDefault="00A9730D" w:rsidP="00A9730D">
      <w:pPr>
        <w:tabs>
          <w:tab w:val="left" w:pos="567"/>
          <w:tab w:val="left" w:pos="9214"/>
        </w:tabs>
        <w:ind w:right="6"/>
        <w:jc w:val="both"/>
        <w:rPr>
          <w:rFonts w:ascii="Arial" w:hAnsi="Arial" w:cs="Arial"/>
          <w:sz w:val="22"/>
          <w:szCs w:val="22"/>
        </w:rPr>
      </w:pPr>
    </w:p>
    <w:p w:rsidR="00A9730D" w:rsidRDefault="00A9730D" w:rsidP="00A9730D">
      <w:pPr>
        <w:tabs>
          <w:tab w:val="left" w:pos="567"/>
          <w:tab w:val="left" w:pos="1276"/>
          <w:tab w:val="left" w:pos="9214"/>
        </w:tabs>
        <w:ind w:right="6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That the report be noted.</w:t>
      </w:r>
    </w:p>
    <w:p w:rsidR="00A9730D" w:rsidRPr="00A9730D" w:rsidRDefault="00A9730D" w:rsidP="00A9730D">
      <w:pPr>
        <w:tabs>
          <w:tab w:val="left" w:pos="567"/>
          <w:tab w:val="left" w:pos="1276"/>
          <w:tab w:val="left" w:pos="9214"/>
        </w:tabs>
        <w:ind w:right="6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keepNext/>
        <w:tabs>
          <w:tab w:val="left" w:pos="709"/>
          <w:tab w:val="left" w:pos="1276"/>
          <w:tab w:val="left" w:pos="2700"/>
          <w:tab w:val="left" w:pos="342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  <w:r w:rsidRPr="00A9730D">
        <w:rPr>
          <w:rFonts w:ascii="Arial" w:hAnsi="Arial" w:cs="Arial"/>
          <w:b/>
          <w:sz w:val="22"/>
          <w:szCs w:val="22"/>
        </w:rPr>
        <w:t>PR90/16</w:t>
      </w:r>
      <w:r w:rsidRPr="00A9730D">
        <w:rPr>
          <w:rFonts w:ascii="Arial" w:hAnsi="Arial" w:cs="Arial"/>
          <w:b/>
          <w:sz w:val="22"/>
          <w:szCs w:val="22"/>
        </w:rPr>
        <w:tab/>
        <w:t>FINANCIAL PLANNING CAPITAL INVESTMENT PROGRAMME</w:t>
      </w:r>
    </w:p>
    <w:p w:rsidR="00A9730D" w:rsidRPr="00A9730D" w:rsidRDefault="00A9730D" w:rsidP="00A9730D">
      <w:pPr>
        <w:keepNext/>
        <w:tabs>
          <w:tab w:val="left" w:pos="709"/>
          <w:tab w:val="left" w:pos="1276"/>
          <w:tab w:val="left" w:pos="2700"/>
          <w:tab w:val="left" w:pos="342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A9730D" w:rsidRPr="00A9730D" w:rsidRDefault="00A9730D" w:rsidP="00A9730D">
      <w:pPr>
        <w:keepNext/>
        <w:tabs>
          <w:tab w:val="left" w:pos="709"/>
          <w:tab w:val="left" w:pos="1276"/>
          <w:tab w:val="left" w:pos="2700"/>
          <w:tab w:val="left" w:pos="3420"/>
        </w:tabs>
        <w:ind w:left="1276" w:hanging="709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The purpose of this report was to enable the Committee to recommend to the Council its capital investment programme, in the light of the available funding.</w:t>
      </w:r>
    </w:p>
    <w:p w:rsidR="00A9730D" w:rsidRPr="00A9730D" w:rsidRDefault="00A9730D" w:rsidP="00A9730D">
      <w:pPr>
        <w:keepNext/>
        <w:tabs>
          <w:tab w:val="left" w:pos="709"/>
          <w:tab w:val="left" w:pos="1276"/>
          <w:tab w:val="left" w:pos="2700"/>
          <w:tab w:val="left" w:pos="3420"/>
        </w:tabs>
        <w:ind w:left="709" w:hanging="709"/>
        <w:jc w:val="both"/>
        <w:rPr>
          <w:rFonts w:ascii="Arial" w:hAnsi="Arial" w:cs="Arial"/>
          <w:b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RECOMMEND: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That the report be noted.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b/>
          <w:sz w:val="22"/>
          <w:szCs w:val="22"/>
        </w:rPr>
      </w:pPr>
      <w:r w:rsidRPr="00A9730D">
        <w:rPr>
          <w:rFonts w:ascii="Arial" w:hAnsi="Arial" w:cs="Arial"/>
          <w:b/>
          <w:sz w:val="22"/>
          <w:szCs w:val="22"/>
        </w:rPr>
        <w:t>PR91/16</w:t>
      </w:r>
      <w:r w:rsidRPr="00A9730D">
        <w:rPr>
          <w:rFonts w:ascii="Arial" w:hAnsi="Arial" w:cs="Arial"/>
          <w:b/>
          <w:sz w:val="22"/>
          <w:szCs w:val="22"/>
        </w:rPr>
        <w:tab/>
        <w:t>TREASURY MANAGEMENT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The purpose of this report is to enable the Committee to recommend to Council its Treasury Management Strategy for 2017/18 and 2019/20.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Investments and property investments going forward to provide a better return in the future.  With regard to the other bodies the Council were working with this included any other public body.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RECOMMEND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That the report be noted.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b/>
          <w:sz w:val="22"/>
          <w:szCs w:val="22"/>
        </w:rPr>
      </w:pPr>
      <w:r w:rsidRPr="00A9730D">
        <w:rPr>
          <w:rFonts w:ascii="Arial" w:hAnsi="Arial" w:cs="Arial"/>
          <w:b/>
          <w:sz w:val="22"/>
          <w:szCs w:val="22"/>
        </w:rPr>
        <w:t>PR92/16</w:t>
      </w:r>
      <w:r w:rsidRPr="00A9730D">
        <w:rPr>
          <w:rFonts w:ascii="Arial" w:hAnsi="Arial" w:cs="Arial"/>
          <w:b/>
          <w:sz w:val="22"/>
          <w:szCs w:val="22"/>
        </w:rPr>
        <w:tab/>
        <w:t>FINANCIAL PLANNING – RECOMMENDATIONS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This report enables the Committee to make its recommendations on the financial plans to the Council on 21 February 2017.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The Committee agreed to defer these recommendations for discussion and agreement at the Council meeting on 21 February 2017.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RECOMMEND: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That the item be referred to Council on 21 February 2017 for discussion and agreement.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b/>
          <w:sz w:val="22"/>
          <w:szCs w:val="22"/>
        </w:rPr>
      </w:pPr>
      <w:r w:rsidRPr="00A9730D">
        <w:rPr>
          <w:rFonts w:ascii="Arial" w:hAnsi="Arial" w:cs="Arial"/>
          <w:b/>
          <w:sz w:val="22"/>
          <w:szCs w:val="22"/>
        </w:rPr>
        <w:t>PR93/16</w:t>
      </w:r>
      <w:r w:rsidRPr="00A9730D">
        <w:rPr>
          <w:rFonts w:ascii="Arial" w:hAnsi="Arial" w:cs="Arial"/>
          <w:b/>
          <w:sz w:val="22"/>
          <w:szCs w:val="22"/>
        </w:rPr>
        <w:tab/>
        <w:t>PROJECT INITIATION DOCUMENTS (PIDS) 2017/18</w:t>
      </w: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tabs>
          <w:tab w:val="left" w:pos="567"/>
        </w:tabs>
        <w:ind w:left="1276" w:right="1165" w:hanging="144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This report enables the Committee to comment to Council on the PIDs (Project Initiation Documents) for the three years commencing on 1 April 2017.</w:t>
      </w: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b/>
          <w:sz w:val="22"/>
          <w:szCs w:val="22"/>
        </w:rPr>
      </w:pPr>
    </w:p>
    <w:p w:rsidR="00A9730D" w:rsidRPr="00A9730D" w:rsidRDefault="00A9730D" w:rsidP="00A9730D">
      <w:pPr>
        <w:keepNext/>
        <w:tabs>
          <w:tab w:val="left" w:pos="1276"/>
        </w:tabs>
        <w:ind w:left="1276" w:hanging="709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  <w:t>The PIDs, often know as Growth Bids would normally be an attachment to the Strategic, Service and Financial Planning 2017-2020 report, which was part of the Policy and Resources Committee agenda on the 5 December 2016.  At that time, given the number of agenda items, the Committee requested the PIDs return to them in January 2017.</w:t>
      </w: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Members discussed the PIDs as follows:</w:t>
      </w: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sz w:val="22"/>
          <w:szCs w:val="22"/>
        </w:rPr>
      </w:pP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 xml:space="preserve">CCTV PID – no questions </w:t>
      </w:r>
      <w:proofErr w:type="gramStart"/>
      <w:r w:rsidRPr="00A9730D">
        <w:rPr>
          <w:rFonts w:ascii="Arial" w:hAnsi="Arial" w:cs="Arial"/>
          <w:sz w:val="22"/>
          <w:szCs w:val="22"/>
        </w:rPr>
        <w:t>raised</w:t>
      </w:r>
      <w:proofErr w:type="gramEnd"/>
      <w:r w:rsidRPr="00A9730D">
        <w:rPr>
          <w:rFonts w:ascii="Arial" w:hAnsi="Arial" w:cs="Arial"/>
          <w:sz w:val="22"/>
          <w:szCs w:val="22"/>
        </w:rPr>
        <w:t>.</w:t>
      </w: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 xml:space="preserve">Customer Contact Programme – no questions </w:t>
      </w:r>
      <w:proofErr w:type="gramStart"/>
      <w:r w:rsidRPr="00A9730D">
        <w:rPr>
          <w:rFonts w:ascii="Arial" w:hAnsi="Arial" w:cs="Arial"/>
          <w:sz w:val="22"/>
          <w:szCs w:val="22"/>
        </w:rPr>
        <w:t>raised</w:t>
      </w:r>
      <w:proofErr w:type="gramEnd"/>
      <w:r w:rsidRPr="00A9730D">
        <w:rPr>
          <w:rFonts w:ascii="Arial" w:hAnsi="Arial" w:cs="Arial"/>
          <w:sz w:val="22"/>
          <w:szCs w:val="22"/>
        </w:rPr>
        <w:t>.</w:t>
      </w:r>
    </w:p>
    <w:p w:rsidR="00A9730D" w:rsidRPr="00A9730D" w:rsidRDefault="00A9730D" w:rsidP="00A9730D">
      <w:pPr>
        <w:keepNext/>
        <w:tabs>
          <w:tab w:val="left" w:pos="1276"/>
        </w:tabs>
        <w:ind w:left="1276" w:hanging="709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proofErr w:type="spellStart"/>
      <w:r w:rsidRPr="00A9730D">
        <w:rPr>
          <w:rFonts w:ascii="Arial" w:hAnsi="Arial" w:cs="Arial"/>
          <w:sz w:val="22"/>
          <w:szCs w:val="22"/>
        </w:rPr>
        <w:t>Batchworth</w:t>
      </w:r>
      <w:proofErr w:type="spellEnd"/>
      <w:r w:rsidRPr="00A9730D">
        <w:rPr>
          <w:rFonts w:ascii="Arial" w:hAnsi="Arial" w:cs="Arial"/>
          <w:sz w:val="22"/>
          <w:szCs w:val="22"/>
        </w:rPr>
        <w:t xml:space="preserve"> Lake Access Improvements PID – details to be provided on the annual revenue costs which stated would be reduced significantly.  Officers to </w:t>
      </w:r>
      <w:proofErr w:type="gramStart"/>
      <w:r w:rsidRPr="00A9730D">
        <w:rPr>
          <w:rFonts w:ascii="Arial" w:hAnsi="Arial" w:cs="Arial"/>
          <w:sz w:val="22"/>
          <w:szCs w:val="22"/>
        </w:rPr>
        <w:t>advise</w:t>
      </w:r>
      <w:proofErr w:type="gramEnd"/>
      <w:r w:rsidRPr="00A9730D">
        <w:rPr>
          <w:rFonts w:ascii="Arial" w:hAnsi="Arial" w:cs="Arial"/>
          <w:sz w:val="22"/>
          <w:szCs w:val="22"/>
        </w:rPr>
        <w:t xml:space="preserve"> on the work that needs to be done and why there had been no work completed over the last 10 years.</w:t>
      </w:r>
    </w:p>
    <w:p w:rsidR="00A9730D" w:rsidRPr="00A9730D" w:rsidRDefault="00A9730D" w:rsidP="00A9730D">
      <w:pPr>
        <w:keepNext/>
        <w:tabs>
          <w:tab w:val="left" w:pos="1276"/>
        </w:tabs>
        <w:ind w:left="1276" w:hanging="709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  <w:t xml:space="preserve">Blue Green Algae Control at the </w:t>
      </w:r>
      <w:proofErr w:type="spellStart"/>
      <w:r w:rsidRPr="00A9730D">
        <w:rPr>
          <w:rFonts w:ascii="Arial" w:hAnsi="Arial" w:cs="Arial"/>
          <w:sz w:val="22"/>
          <w:szCs w:val="22"/>
        </w:rPr>
        <w:t>Aquadrome</w:t>
      </w:r>
      <w:proofErr w:type="spellEnd"/>
      <w:r w:rsidRPr="00A9730D">
        <w:rPr>
          <w:rFonts w:ascii="Arial" w:hAnsi="Arial" w:cs="Arial"/>
          <w:sz w:val="22"/>
          <w:szCs w:val="22"/>
        </w:rPr>
        <w:t xml:space="preserve"> PID – £50k capital but there </w:t>
      </w:r>
      <w:proofErr w:type="gramStart"/>
      <w:r w:rsidRPr="00A9730D">
        <w:rPr>
          <w:rFonts w:ascii="Arial" w:hAnsi="Arial" w:cs="Arial"/>
          <w:sz w:val="22"/>
          <w:szCs w:val="22"/>
        </w:rPr>
        <w:t>would need</w:t>
      </w:r>
      <w:proofErr w:type="gramEnd"/>
      <w:r w:rsidRPr="00A9730D">
        <w:rPr>
          <w:rFonts w:ascii="Arial" w:hAnsi="Arial" w:cs="Arial"/>
          <w:sz w:val="22"/>
          <w:szCs w:val="22"/>
        </w:rPr>
        <w:t xml:space="preserve"> be an annual revenue cost of £21k.</w:t>
      </w:r>
    </w:p>
    <w:p w:rsidR="00A9730D" w:rsidRPr="00A9730D" w:rsidRDefault="00A9730D" w:rsidP="00A9730D">
      <w:pPr>
        <w:keepNext/>
        <w:tabs>
          <w:tab w:val="left" w:pos="1276"/>
        </w:tabs>
        <w:ind w:left="1276" w:hanging="709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  <w:t>Watersmeet replacement of boilers project PID – the cost of the replacement boilers had already been raised as being high.</w:t>
      </w:r>
    </w:p>
    <w:p w:rsidR="00A9730D" w:rsidRPr="00A9730D" w:rsidRDefault="00A9730D" w:rsidP="00A9730D">
      <w:pPr>
        <w:keepNext/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  <w:t>Street Enforcement Project PID no questions raised.</w:t>
      </w:r>
    </w:p>
    <w:p w:rsidR="00A9730D" w:rsidRPr="00A9730D" w:rsidRDefault="00A9730D" w:rsidP="00A9730D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 xml:space="preserve">Schemes Arising from Recommendations from Parking Services Member Working Group 2016/18 PID – no questions </w:t>
      </w:r>
      <w:proofErr w:type="gramStart"/>
      <w:r w:rsidRPr="00A9730D">
        <w:rPr>
          <w:rFonts w:ascii="Arial" w:hAnsi="Arial" w:cs="Arial"/>
          <w:sz w:val="22"/>
          <w:szCs w:val="22"/>
        </w:rPr>
        <w:t>raised</w:t>
      </w:r>
      <w:proofErr w:type="gramEnd"/>
      <w:r w:rsidRPr="00A9730D">
        <w:rPr>
          <w:rFonts w:ascii="Arial" w:hAnsi="Arial" w:cs="Arial"/>
          <w:sz w:val="22"/>
          <w:szCs w:val="22"/>
        </w:rPr>
        <w:t>.</w:t>
      </w:r>
    </w:p>
    <w:p w:rsidR="00A9730D" w:rsidRPr="00A9730D" w:rsidRDefault="00A9730D" w:rsidP="00A9730D">
      <w:pPr>
        <w:keepNext/>
        <w:tabs>
          <w:tab w:val="left" w:pos="1260"/>
          <w:tab w:val="left" w:pos="1980"/>
          <w:tab w:val="left" w:pos="2700"/>
          <w:tab w:val="left" w:pos="3420"/>
        </w:tabs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  <w:t xml:space="preserve">Procurement of Civil Parking Enforcement Service PID – no questions </w:t>
      </w:r>
      <w:proofErr w:type="gramStart"/>
      <w:r w:rsidRPr="00A9730D">
        <w:rPr>
          <w:rFonts w:ascii="Arial" w:hAnsi="Arial" w:cs="Arial"/>
          <w:sz w:val="22"/>
          <w:szCs w:val="22"/>
        </w:rPr>
        <w:t>raised</w:t>
      </w:r>
      <w:proofErr w:type="gramEnd"/>
      <w:r w:rsidRPr="00A9730D">
        <w:rPr>
          <w:rFonts w:ascii="Arial" w:hAnsi="Arial" w:cs="Arial"/>
          <w:sz w:val="22"/>
          <w:szCs w:val="22"/>
        </w:rPr>
        <w:t>.</w:t>
      </w:r>
    </w:p>
    <w:p w:rsidR="00A9730D" w:rsidRPr="00A9730D" w:rsidRDefault="00A9730D" w:rsidP="00A9730D">
      <w:pPr>
        <w:keepNext/>
        <w:tabs>
          <w:tab w:val="left" w:pos="1260"/>
          <w:tab w:val="left" w:pos="1980"/>
          <w:tab w:val="left" w:pos="2700"/>
          <w:tab w:val="left" w:pos="3420"/>
        </w:tabs>
        <w:ind w:left="1260"/>
        <w:jc w:val="both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 xml:space="preserve">Housing Benefit Processing Improvements PID – Noted it was not a statutory requirement, was a request of CEO to improve performance at Three Rivers only to be able to deal with new claims in 5 days and change of circumstances in 5 days.  At end of December figures for new claims was at 17 days and change of circumstances at 10 days.  The cost of the purchase of the laptops was too high at £8k.  Could details be provided on the number of staff in the shared </w:t>
      </w:r>
      <w:proofErr w:type="gramStart"/>
      <w:r w:rsidRPr="00A9730D">
        <w:rPr>
          <w:rFonts w:ascii="Arial" w:hAnsi="Arial" w:cs="Arial"/>
          <w:sz w:val="22"/>
          <w:szCs w:val="22"/>
        </w:rPr>
        <w:t>service.</w:t>
      </w:r>
      <w:proofErr w:type="gramEnd"/>
      <w:r w:rsidRPr="00A9730D">
        <w:rPr>
          <w:rFonts w:ascii="Arial" w:hAnsi="Arial" w:cs="Arial"/>
          <w:sz w:val="22"/>
          <w:szCs w:val="22"/>
        </w:rPr>
        <w:t xml:space="preserve"> 40p per text was quite high.</w:t>
      </w: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b/>
          <w:sz w:val="22"/>
          <w:szCs w:val="22"/>
        </w:rPr>
      </w:pP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tab/>
      </w:r>
      <w:r w:rsidRPr="00A9730D">
        <w:rPr>
          <w:rFonts w:ascii="Arial" w:hAnsi="Arial" w:cs="Arial"/>
          <w:sz w:val="22"/>
          <w:szCs w:val="22"/>
        </w:rPr>
        <w:tab/>
        <w:t>RECOMMEND:</w:t>
      </w:r>
    </w:p>
    <w:p w:rsidR="00A9730D" w:rsidRPr="00A9730D" w:rsidRDefault="00A9730D" w:rsidP="00A9730D">
      <w:pPr>
        <w:keepNext/>
        <w:tabs>
          <w:tab w:val="left" w:pos="1276"/>
        </w:tabs>
        <w:ind w:left="709" w:hanging="709"/>
        <w:rPr>
          <w:rFonts w:ascii="Arial" w:hAnsi="Arial" w:cs="Arial"/>
          <w:b/>
          <w:sz w:val="22"/>
          <w:szCs w:val="22"/>
        </w:rPr>
      </w:pPr>
    </w:p>
    <w:p w:rsidR="006B0ACF" w:rsidRPr="00A9730D" w:rsidRDefault="00A9730D" w:rsidP="00A9730D">
      <w:pPr>
        <w:ind w:left="1276" w:hanging="1"/>
        <w:rPr>
          <w:rFonts w:ascii="Arial" w:hAnsi="Arial" w:cs="Arial"/>
          <w:b/>
          <w:sz w:val="22"/>
          <w:szCs w:val="22"/>
        </w:rPr>
      </w:pPr>
      <w:r w:rsidRPr="00A9730D">
        <w:rPr>
          <w:rFonts w:ascii="Arial" w:hAnsi="Arial" w:cs="Arial"/>
          <w:sz w:val="22"/>
          <w:szCs w:val="22"/>
        </w:rPr>
        <w:fldChar w:fldCharType="begin"/>
      </w:r>
      <w:r w:rsidRPr="00A9730D">
        <w:rPr>
          <w:rFonts w:ascii="Arial" w:hAnsi="Arial" w:cs="Arial"/>
          <w:sz w:val="22"/>
          <w:szCs w:val="22"/>
        </w:rPr>
        <w:instrText xml:space="preserve">  </w:instrText>
      </w:r>
      <w:r w:rsidRPr="00A9730D">
        <w:rPr>
          <w:rFonts w:ascii="Arial" w:hAnsi="Arial" w:cs="Arial"/>
          <w:sz w:val="22"/>
          <w:szCs w:val="22"/>
        </w:rPr>
        <w:fldChar w:fldCharType="end"/>
      </w:r>
      <w:r w:rsidRPr="00A9730D">
        <w:rPr>
          <w:rFonts w:ascii="Arial" w:hAnsi="Arial" w:cs="Arial"/>
          <w:sz w:val="22"/>
          <w:szCs w:val="22"/>
        </w:rPr>
        <w:t xml:space="preserve">That the service growth bids attached at Appendix 1 </w:t>
      </w:r>
      <w:proofErr w:type="gramStart"/>
      <w:r w:rsidRPr="00A9730D">
        <w:rPr>
          <w:rFonts w:ascii="Arial" w:hAnsi="Arial" w:cs="Arial"/>
          <w:sz w:val="22"/>
          <w:szCs w:val="22"/>
        </w:rPr>
        <w:t>be</w:t>
      </w:r>
      <w:proofErr w:type="gramEnd"/>
      <w:r w:rsidRPr="00A9730D">
        <w:rPr>
          <w:rFonts w:ascii="Arial" w:hAnsi="Arial" w:cs="Arial"/>
          <w:sz w:val="22"/>
          <w:szCs w:val="22"/>
        </w:rPr>
        <w:t xml:space="preserve"> noted and that Council be asked to consider and agree the bids.</w:t>
      </w:r>
      <w:bookmarkStart w:id="0" w:name="_GoBack"/>
      <w:bookmarkEnd w:id="0"/>
    </w:p>
    <w:sectPr w:rsidR="006B0ACF" w:rsidRPr="00A9730D"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5429" w:rsidRDefault="00C85429" w:rsidP="00C85429">
      <w:r>
        <w:separator/>
      </w:r>
    </w:p>
  </w:endnote>
  <w:endnote w:type="continuationSeparator" w:id="0">
    <w:p w:rsidR="00C85429" w:rsidRDefault="00C85429" w:rsidP="00C854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5429" w:rsidRPr="00C85429" w:rsidRDefault="00C85429" w:rsidP="00C85429">
    <w:pPr>
      <w:pStyle w:val="Footer"/>
      <w:jc w:val="center"/>
      <w:rPr>
        <w:rFonts w:ascii="Arial" w:hAnsi="Arial" w:cs="Arial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5429" w:rsidRDefault="00C85429" w:rsidP="00C85429">
      <w:r>
        <w:separator/>
      </w:r>
    </w:p>
  </w:footnote>
  <w:footnote w:type="continuationSeparator" w:id="0">
    <w:p w:rsidR="00C85429" w:rsidRDefault="00C85429" w:rsidP="00C854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E5760"/>
    <w:multiLevelType w:val="hybridMultilevel"/>
    <w:tmpl w:val="D0A000FA"/>
    <w:lvl w:ilvl="0" w:tplc="08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>
    <w:nsid w:val="3C541B68"/>
    <w:multiLevelType w:val="hybridMultilevel"/>
    <w:tmpl w:val="4DB6A38A"/>
    <w:lvl w:ilvl="0" w:tplc="08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2">
    <w:nsid w:val="4115008C"/>
    <w:multiLevelType w:val="hybridMultilevel"/>
    <w:tmpl w:val="91F83DDA"/>
    <w:lvl w:ilvl="0" w:tplc="08090001">
      <w:start w:val="1"/>
      <w:numFmt w:val="bullet"/>
      <w:lvlText w:val=""/>
      <w:lvlJc w:val="left"/>
      <w:pPr>
        <w:ind w:left="19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47" w:hanging="360"/>
      </w:pPr>
      <w:rPr>
        <w:rFonts w:ascii="Wingdings" w:hAnsi="Wingdings" w:hint="default"/>
      </w:rPr>
    </w:lvl>
  </w:abstractNum>
  <w:abstractNum w:abstractNumId="3">
    <w:nsid w:val="5F5B030C"/>
    <w:multiLevelType w:val="hybridMultilevel"/>
    <w:tmpl w:val="2CC269AC"/>
    <w:lvl w:ilvl="0" w:tplc="08090001">
      <w:start w:val="1"/>
      <w:numFmt w:val="bullet"/>
      <w:lvlText w:val=""/>
      <w:lvlJc w:val="left"/>
      <w:pPr>
        <w:ind w:left="199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2" w:hanging="360"/>
      </w:pPr>
      <w:rPr>
        <w:rFonts w:ascii="Wingdings" w:hAnsi="Wingdings" w:hint="default"/>
      </w:rPr>
    </w:lvl>
  </w:abstractNum>
  <w:abstractNum w:abstractNumId="4">
    <w:nsid w:val="664F4131"/>
    <w:multiLevelType w:val="hybridMultilevel"/>
    <w:tmpl w:val="5D38AC7C"/>
    <w:lvl w:ilvl="0" w:tplc="08090001">
      <w:start w:val="1"/>
      <w:numFmt w:val="bullet"/>
      <w:lvlText w:val=""/>
      <w:lvlJc w:val="left"/>
      <w:pPr>
        <w:ind w:left="199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4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8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5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7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ACF"/>
    <w:rsid w:val="001315FC"/>
    <w:rsid w:val="002E00AE"/>
    <w:rsid w:val="002F7B0C"/>
    <w:rsid w:val="004D7FA2"/>
    <w:rsid w:val="00516E50"/>
    <w:rsid w:val="0060712A"/>
    <w:rsid w:val="006B0ACF"/>
    <w:rsid w:val="008F7519"/>
    <w:rsid w:val="00961637"/>
    <w:rsid w:val="0099792B"/>
    <w:rsid w:val="00A9730D"/>
    <w:rsid w:val="00C218B9"/>
    <w:rsid w:val="00C85429"/>
    <w:rsid w:val="00E3574F"/>
    <w:rsid w:val="00EA3A10"/>
    <w:rsid w:val="00F02980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9792B"/>
    <w:pPr>
      <w:ind w:left="720"/>
    </w:pPr>
    <w:rPr>
      <w:rFonts w:ascii="Arial" w:hAnsi="Arial"/>
      <w:sz w:val="24"/>
    </w:rPr>
  </w:style>
  <w:style w:type="character" w:customStyle="1" w:styleId="organisation-logo">
    <w:name w:val="organisation-logo"/>
    <w:rsid w:val="0099792B"/>
  </w:style>
  <w:style w:type="paragraph" w:styleId="Header">
    <w:name w:val="header"/>
    <w:basedOn w:val="Normal"/>
    <w:link w:val="HeaderChar"/>
    <w:uiPriority w:val="99"/>
    <w:unhideWhenUsed/>
    <w:rsid w:val="00C85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2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5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2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evel2Number">
    <w:name w:val="Level 2 Number"/>
    <w:basedOn w:val="Normal"/>
    <w:rsid w:val="00516E50"/>
    <w:pPr>
      <w:tabs>
        <w:tab w:val="num" w:pos="360"/>
      </w:tabs>
      <w:spacing w:after="240"/>
    </w:pPr>
    <w:rPr>
      <w:rFonts w:ascii="Arial" w:hAnsi="Arial" w:cs="Arial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0A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6B0ACF"/>
    <w:pPr>
      <w:tabs>
        <w:tab w:val="left" w:pos="1440"/>
        <w:tab w:val="left" w:pos="2160"/>
        <w:tab w:val="left" w:pos="2880"/>
        <w:tab w:val="left" w:pos="3600"/>
        <w:tab w:val="left" w:pos="4320"/>
      </w:tabs>
      <w:spacing w:line="238" w:lineRule="exact"/>
      <w:jc w:val="center"/>
    </w:pPr>
    <w:rPr>
      <w:rFonts w:ascii="Arial" w:hAnsi="Arial"/>
      <w:b/>
      <w:sz w:val="22"/>
    </w:rPr>
  </w:style>
  <w:style w:type="character" w:customStyle="1" w:styleId="TitleChar">
    <w:name w:val="Title Char"/>
    <w:basedOn w:val="DefaultParagraphFont"/>
    <w:link w:val="Title"/>
    <w:rsid w:val="006B0ACF"/>
    <w:rPr>
      <w:rFonts w:ascii="Arial" w:eastAsia="Times New Roman" w:hAnsi="Arial" w:cs="Times New Roman"/>
      <w:b/>
      <w:szCs w:val="20"/>
      <w:lang w:eastAsia="en-GB"/>
    </w:rPr>
  </w:style>
  <w:style w:type="paragraph" w:styleId="BodyTextIndent3">
    <w:name w:val="Body Text Indent 3"/>
    <w:basedOn w:val="Normal"/>
    <w:link w:val="BodyTextIndent3Char"/>
    <w:rsid w:val="006B0ACF"/>
    <w:pPr>
      <w:tabs>
        <w:tab w:val="left" w:pos="1260"/>
        <w:tab w:val="left" w:pos="1620"/>
        <w:tab w:val="left" w:pos="1980"/>
        <w:tab w:val="left" w:pos="2700"/>
        <w:tab w:val="left" w:pos="3420"/>
        <w:tab w:val="left" w:pos="4140"/>
      </w:tabs>
      <w:ind w:left="1620" w:hanging="1620"/>
      <w:jc w:val="both"/>
    </w:pPr>
    <w:rPr>
      <w:rFonts w:ascii="Arial" w:hAnsi="Arial"/>
      <w:sz w:val="22"/>
    </w:rPr>
  </w:style>
  <w:style w:type="character" w:customStyle="1" w:styleId="BodyTextIndent3Char">
    <w:name w:val="Body Text Indent 3 Char"/>
    <w:basedOn w:val="DefaultParagraphFont"/>
    <w:link w:val="BodyTextIndent3"/>
    <w:rsid w:val="006B0ACF"/>
    <w:rPr>
      <w:rFonts w:ascii="Arial" w:eastAsia="Times New Roman" w:hAnsi="Arial" w:cs="Times New Roman"/>
      <w:szCs w:val="20"/>
      <w:lang w:eastAsia="en-GB"/>
    </w:rPr>
  </w:style>
  <w:style w:type="paragraph" w:styleId="ListParagraph">
    <w:name w:val="List Paragraph"/>
    <w:basedOn w:val="Normal"/>
    <w:uiPriority w:val="34"/>
    <w:qFormat/>
    <w:rsid w:val="0099792B"/>
    <w:pPr>
      <w:ind w:left="720"/>
    </w:pPr>
    <w:rPr>
      <w:rFonts w:ascii="Arial" w:hAnsi="Arial"/>
      <w:sz w:val="24"/>
    </w:rPr>
  </w:style>
  <w:style w:type="character" w:customStyle="1" w:styleId="organisation-logo">
    <w:name w:val="organisation-logo"/>
    <w:rsid w:val="0099792B"/>
  </w:style>
  <w:style w:type="paragraph" w:styleId="Header">
    <w:name w:val="header"/>
    <w:basedOn w:val="Normal"/>
    <w:link w:val="HeaderChar"/>
    <w:uiPriority w:val="99"/>
    <w:unhideWhenUsed/>
    <w:rsid w:val="00C8542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8542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C8542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85429"/>
    <w:rPr>
      <w:rFonts w:ascii="Times New Roman" w:eastAsia="Times New Roman" w:hAnsi="Times New Roman" w:cs="Times New Roman"/>
      <w:sz w:val="20"/>
      <w:szCs w:val="20"/>
      <w:lang w:eastAsia="en-GB"/>
    </w:rPr>
  </w:style>
  <w:style w:type="paragraph" w:customStyle="1" w:styleId="Level2Number">
    <w:name w:val="Level 2 Number"/>
    <w:basedOn w:val="Normal"/>
    <w:rsid w:val="00516E50"/>
    <w:pPr>
      <w:tabs>
        <w:tab w:val="num" w:pos="360"/>
      </w:tabs>
      <w:spacing w:after="240"/>
    </w:pPr>
    <w:rPr>
      <w:rFonts w:ascii="Arial" w:hAnsi="Arial" w:cs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44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639</Words>
  <Characters>3644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L&amp;Q</Company>
  <LinksUpToDate>false</LinksUpToDate>
  <CharactersWithSpaces>4275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 Wailling</dc:creator>
  <cp:lastModifiedBy>Sarah Haythorpe</cp:lastModifiedBy>
  <cp:revision>3</cp:revision>
  <cp:lastPrinted>2016-12-06T11:34:00Z</cp:lastPrinted>
  <dcterms:created xsi:type="dcterms:W3CDTF">2017-02-13T15:19:00Z</dcterms:created>
  <dcterms:modified xsi:type="dcterms:W3CDTF">2017-02-13T15:21:00Z</dcterms:modified>
</cp:coreProperties>
</file>