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370F" w:rsidRDefault="00CA370F" w:rsidP="00613980">
      <w:pPr>
        <w:keepNext/>
        <w:ind w:left="1267" w:hanging="983"/>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48"/>
          <w:szCs w:val="48"/>
        </w:rPr>
      </w:pPr>
    </w:p>
    <w:p w:rsidR="001F3C32" w:rsidRDefault="001F3C32">
      <w:pPr>
        <w:keepNext/>
        <w:ind w:left="1267" w:hanging="1267"/>
        <w:jc w:val="center"/>
        <w:outlineLvl w:val="0"/>
        <w:rPr>
          <w:b/>
          <w:sz w:val="48"/>
          <w:szCs w:val="48"/>
        </w:rPr>
      </w:pPr>
    </w:p>
    <w:p w:rsidR="001F3C32" w:rsidRDefault="001F3C32">
      <w:pPr>
        <w:keepNext/>
        <w:ind w:left="1267" w:hanging="1267"/>
        <w:jc w:val="center"/>
        <w:outlineLvl w:val="0"/>
        <w:rPr>
          <w:b/>
          <w:sz w:val="48"/>
          <w:szCs w:val="48"/>
        </w:rPr>
      </w:pPr>
    </w:p>
    <w:p w:rsidR="001F3C32" w:rsidRDefault="001F3C32">
      <w:pPr>
        <w:keepNext/>
        <w:ind w:left="1267" w:hanging="1267"/>
        <w:jc w:val="center"/>
        <w:outlineLvl w:val="0"/>
        <w:rPr>
          <w:b/>
          <w:sz w:val="48"/>
          <w:szCs w:val="48"/>
        </w:rPr>
      </w:pPr>
    </w:p>
    <w:p w:rsidR="001F3C32" w:rsidRPr="001F3C32" w:rsidRDefault="001F3C32">
      <w:pPr>
        <w:keepNext/>
        <w:ind w:left="1267" w:hanging="1267"/>
        <w:jc w:val="center"/>
        <w:outlineLvl w:val="0"/>
        <w:rPr>
          <w:b/>
          <w:sz w:val="48"/>
          <w:szCs w:val="48"/>
        </w:rPr>
      </w:pPr>
      <w:r w:rsidRPr="001F3C32">
        <w:rPr>
          <w:b/>
          <w:sz w:val="48"/>
          <w:szCs w:val="48"/>
        </w:rPr>
        <w:t>MEDIUM TERM FINANCIAL PLAN</w:t>
      </w:r>
    </w:p>
    <w:p w:rsidR="001D7BBB" w:rsidRDefault="001D7BBB">
      <w:pPr>
        <w:keepNext/>
        <w:ind w:left="1267" w:hanging="1267"/>
        <w:jc w:val="center"/>
        <w:outlineLvl w:val="0"/>
        <w:rPr>
          <w:b/>
          <w:sz w:val="48"/>
          <w:szCs w:val="48"/>
        </w:rPr>
      </w:pPr>
    </w:p>
    <w:p w:rsidR="001F3C32" w:rsidRPr="001F3C32" w:rsidRDefault="001F3C32">
      <w:pPr>
        <w:keepNext/>
        <w:ind w:left="1267" w:hanging="1267"/>
        <w:jc w:val="center"/>
        <w:outlineLvl w:val="0"/>
        <w:rPr>
          <w:b/>
          <w:sz w:val="48"/>
          <w:szCs w:val="48"/>
        </w:rPr>
      </w:pPr>
      <w:r w:rsidRPr="001F3C32">
        <w:rPr>
          <w:b/>
          <w:sz w:val="48"/>
          <w:szCs w:val="48"/>
        </w:rPr>
        <w:t>2017- 2020</w:t>
      </w:r>
    </w:p>
    <w:p w:rsidR="001F3C32" w:rsidRPr="001F3C32" w:rsidRDefault="001F3C32">
      <w:pPr>
        <w:keepNext/>
        <w:ind w:left="1267" w:hanging="1267"/>
        <w:jc w:val="center"/>
        <w:outlineLvl w:val="0"/>
        <w:rPr>
          <w:b/>
          <w:sz w:val="32"/>
          <w:szCs w:val="32"/>
        </w:rPr>
      </w:pPr>
    </w:p>
    <w:p w:rsidR="001F3C32" w:rsidRDefault="001F3C32">
      <w:pPr>
        <w:keepNext/>
        <w:ind w:left="1267" w:hanging="1267"/>
        <w:jc w:val="center"/>
        <w:outlineLvl w:val="0"/>
        <w:rPr>
          <w:b/>
          <w:sz w:val="22"/>
          <w:szCs w:val="22"/>
        </w:rPr>
      </w:pPr>
    </w:p>
    <w:p w:rsidR="001F3C32" w:rsidRPr="001F3C32" w:rsidRDefault="001F3C32">
      <w:pPr>
        <w:keepNext/>
        <w:ind w:left="1267" w:hanging="1267"/>
        <w:jc w:val="center"/>
        <w:outlineLvl w:val="0"/>
        <w:rPr>
          <w:b/>
          <w:sz w:val="40"/>
          <w:szCs w:val="40"/>
        </w:rPr>
      </w:pPr>
      <w:r w:rsidRPr="001F3C32">
        <w:rPr>
          <w:b/>
          <w:sz w:val="40"/>
          <w:szCs w:val="40"/>
        </w:rPr>
        <w:t>Liberal Democrat Group</w:t>
      </w:r>
    </w:p>
    <w:p w:rsidR="001F3C32" w:rsidRPr="001F3C32" w:rsidRDefault="001F3C32">
      <w:pPr>
        <w:keepNext/>
        <w:ind w:left="1267" w:hanging="1267"/>
        <w:jc w:val="center"/>
        <w:outlineLvl w:val="0"/>
        <w:rPr>
          <w:b/>
          <w:sz w:val="28"/>
          <w:szCs w:val="28"/>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r>
        <w:rPr>
          <w:rFonts w:cs="Arial"/>
          <w:noProof/>
          <w:color w:val="006737"/>
          <w:sz w:val="23"/>
          <w:szCs w:val="23"/>
          <w:lang w:eastAsia="en-GB"/>
        </w:rPr>
        <w:drawing>
          <wp:inline distT="0" distB="0" distL="0" distR="0" wp14:anchorId="0CFB5A7B" wp14:editId="719324D6">
            <wp:extent cx="4537494" cy="1148220"/>
            <wp:effectExtent l="0" t="0" r="0" b="0"/>
            <wp:docPr id="21" name="Picture 21" descr="three rivers district council">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ree rivers district council">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38471" cy="1148467"/>
                    </a:xfrm>
                    <a:prstGeom prst="rect">
                      <a:avLst/>
                    </a:prstGeom>
                    <a:noFill/>
                    <a:ln>
                      <a:noFill/>
                    </a:ln>
                  </pic:spPr>
                </pic:pic>
              </a:graphicData>
            </a:graphic>
          </wp:inline>
        </w:drawing>
      </w: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1F3C32" w:rsidRDefault="001F3C32">
      <w:pPr>
        <w:keepNext/>
        <w:ind w:left="1267" w:hanging="1267"/>
        <w:jc w:val="center"/>
        <w:outlineLvl w:val="0"/>
        <w:rPr>
          <w:b/>
          <w:sz w:val="22"/>
          <w:szCs w:val="22"/>
        </w:rPr>
      </w:pPr>
    </w:p>
    <w:p w:rsidR="00995909" w:rsidRPr="00EF2FE0" w:rsidRDefault="00995909">
      <w:pPr>
        <w:keepNext/>
        <w:ind w:left="1267" w:hanging="1267"/>
        <w:jc w:val="center"/>
        <w:outlineLvl w:val="0"/>
        <w:rPr>
          <w:b/>
          <w:sz w:val="22"/>
          <w:szCs w:val="22"/>
        </w:rPr>
      </w:pPr>
      <w:r w:rsidRPr="00EF2FE0">
        <w:rPr>
          <w:b/>
          <w:sz w:val="22"/>
          <w:szCs w:val="22"/>
        </w:rPr>
        <w:lastRenderedPageBreak/>
        <w:t xml:space="preserve">COUNCIL </w:t>
      </w:r>
      <w:r w:rsidR="000A15A8">
        <w:rPr>
          <w:b/>
          <w:sz w:val="22"/>
          <w:szCs w:val="22"/>
        </w:rPr>
        <w:t>–</w:t>
      </w:r>
      <w:r w:rsidRPr="00EF2FE0">
        <w:rPr>
          <w:b/>
          <w:sz w:val="22"/>
          <w:szCs w:val="22"/>
        </w:rPr>
        <w:t xml:space="preserve"> 2</w:t>
      </w:r>
      <w:r w:rsidR="009B56F4">
        <w:rPr>
          <w:b/>
          <w:sz w:val="22"/>
          <w:szCs w:val="22"/>
        </w:rPr>
        <w:t>1</w:t>
      </w:r>
      <w:r w:rsidR="000A15A8">
        <w:rPr>
          <w:b/>
          <w:sz w:val="22"/>
          <w:szCs w:val="22"/>
        </w:rPr>
        <w:t xml:space="preserve"> </w:t>
      </w:r>
      <w:r w:rsidRPr="00EF2FE0">
        <w:rPr>
          <w:b/>
          <w:sz w:val="22"/>
          <w:szCs w:val="22"/>
        </w:rPr>
        <w:t xml:space="preserve">FEBRUARY </w:t>
      </w:r>
      <w:r w:rsidR="005C012B" w:rsidRPr="00EF2FE0">
        <w:rPr>
          <w:b/>
          <w:sz w:val="22"/>
          <w:szCs w:val="22"/>
        </w:rPr>
        <w:t>201</w:t>
      </w:r>
      <w:r w:rsidR="009B56F4">
        <w:rPr>
          <w:b/>
          <w:sz w:val="22"/>
          <w:szCs w:val="22"/>
        </w:rPr>
        <w:t>7</w:t>
      </w:r>
    </w:p>
    <w:p w:rsidR="00995909" w:rsidRPr="00EF2FE0" w:rsidRDefault="00995909">
      <w:pPr>
        <w:keepNext/>
        <w:ind w:left="1267" w:hanging="1267"/>
        <w:jc w:val="center"/>
        <w:rPr>
          <w:b/>
          <w:sz w:val="22"/>
          <w:szCs w:val="22"/>
        </w:rPr>
      </w:pPr>
    </w:p>
    <w:p w:rsidR="00CA370F" w:rsidRDefault="00CA370F" w:rsidP="00B824AC">
      <w:pPr>
        <w:ind w:left="1276" w:hanging="1276"/>
        <w:jc w:val="center"/>
        <w:rPr>
          <w:b/>
          <w:sz w:val="22"/>
          <w:szCs w:val="22"/>
        </w:rPr>
      </w:pPr>
    </w:p>
    <w:p w:rsidR="00995909" w:rsidRPr="00EF2FE0" w:rsidRDefault="00995909" w:rsidP="00B824AC">
      <w:pPr>
        <w:ind w:left="1276" w:hanging="1276"/>
        <w:jc w:val="center"/>
        <w:rPr>
          <w:b/>
          <w:sz w:val="22"/>
          <w:szCs w:val="22"/>
        </w:rPr>
      </w:pPr>
      <w:r w:rsidRPr="00EF2FE0">
        <w:rPr>
          <w:b/>
          <w:sz w:val="22"/>
          <w:szCs w:val="22"/>
        </w:rPr>
        <w:t>FINANCIAL PLANNING</w:t>
      </w:r>
      <w:r w:rsidR="004053B2">
        <w:rPr>
          <w:b/>
          <w:sz w:val="22"/>
          <w:szCs w:val="22"/>
        </w:rPr>
        <w:t xml:space="preserve"> 2017 - 2020</w:t>
      </w:r>
    </w:p>
    <w:p w:rsidR="00995909" w:rsidRPr="00EF2FE0" w:rsidRDefault="00995909">
      <w:pPr>
        <w:keepNext/>
        <w:ind w:left="1259" w:hanging="1259"/>
        <w:rPr>
          <w:b/>
          <w:sz w:val="22"/>
          <w:szCs w:val="22"/>
        </w:rPr>
      </w:pPr>
    </w:p>
    <w:p w:rsidR="00CA370F" w:rsidRDefault="00CA370F">
      <w:pPr>
        <w:keepNext/>
        <w:ind w:left="1259" w:hanging="1259"/>
        <w:outlineLvl w:val="0"/>
        <w:rPr>
          <w:b/>
          <w:sz w:val="22"/>
          <w:szCs w:val="22"/>
        </w:rPr>
      </w:pPr>
    </w:p>
    <w:p w:rsidR="00995909" w:rsidRPr="00EF2FE0" w:rsidRDefault="00995909">
      <w:pPr>
        <w:keepNext/>
        <w:ind w:left="1259" w:hanging="1259"/>
        <w:outlineLvl w:val="0"/>
        <w:rPr>
          <w:b/>
          <w:sz w:val="22"/>
          <w:szCs w:val="22"/>
        </w:rPr>
      </w:pPr>
      <w:r w:rsidRPr="00EF2FE0">
        <w:rPr>
          <w:b/>
          <w:sz w:val="22"/>
          <w:szCs w:val="22"/>
        </w:rPr>
        <w:t>RECOMMENDATIONS OF THE LIBERAL DEMOCRAT GROUP</w:t>
      </w:r>
    </w:p>
    <w:p w:rsidR="00B824AC" w:rsidRPr="009B56F4" w:rsidRDefault="00B824AC" w:rsidP="001D7BBB">
      <w:pPr>
        <w:jc w:val="both"/>
        <w:rPr>
          <w:rFonts w:cs="Arial"/>
          <w:color w:val="0070C0"/>
          <w:szCs w:val="24"/>
          <w:lang w:eastAsia="en-GB"/>
        </w:rPr>
      </w:pPr>
    </w:p>
    <w:p w:rsidR="00231716" w:rsidRPr="00117580" w:rsidRDefault="00231716" w:rsidP="001D7BBB">
      <w:pPr>
        <w:jc w:val="both"/>
        <w:rPr>
          <w:rFonts w:cs="Arial"/>
          <w:sz w:val="22"/>
          <w:szCs w:val="22"/>
          <w:lang w:eastAsia="en-GB"/>
        </w:rPr>
      </w:pPr>
    </w:p>
    <w:p w:rsidR="00231716" w:rsidRPr="00117580" w:rsidRDefault="00231716" w:rsidP="00842B62">
      <w:pPr>
        <w:tabs>
          <w:tab w:val="left" w:pos="142"/>
          <w:tab w:val="left" w:pos="426"/>
        </w:tabs>
        <w:jc w:val="both"/>
        <w:rPr>
          <w:rFonts w:cs="Arial"/>
          <w:sz w:val="22"/>
          <w:szCs w:val="22"/>
        </w:rPr>
      </w:pPr>
      <w:r w:rsidRPr="00117580">
        <w:rPr>
          <w:rFonts w:cs="Arial"/>
          <w:b/>
          <w:sz w:val="22"/>
          <w:szCs w:val="22"/>
        </w:rPr>
        <w:t>1.</w:t>
      </w:r>
      <w:r w:rsidRPr="00117580">
        <w:rPr>
          <w:rFonts w:cs="Arial"/>
          <w:sz w:val="22"/>
          <w:szCs w:val="22"/>
        </w:rPr>
        <w:t xml:space="preserve"> </w:t>
      </w:r>
      <w:r w:rsidR="00842B62">
        <w:rPr>
          <w:rFonts w:cs="Arial"/>
          <w:sz w:val="22"/>
          <w:szCs w:val="22"/>
        </w:rPr>
        <w:t xml:space="preserve">   </w:t>
      </w:r>
      <w:r w:rsidR="00613980" w:rsidRPr="00117580">
        <w:rPr>
          <w:rFonts w:cs="Arial"/>
          <w:sz w:val="22"/>
          <w:szCs w:val="22"/>
        </w:rPr>
        <w:t xml:space="preserve">The </w:t>
      </w:r>
      <w:r w:rsidRPr="00117580">
        <w:rPr>
          <w:rFonts w:cs="Arial"/>
          <w:sz w:val="22"/>
          <w:szCs w:val="22"/>
        </w:rPr>
        <w:t xml:space="preserve">Council </w:t>
      </w:r>
      <w:r w:rsidR="00613980" w:rsidRPr="00117580">
        <w:rPr>
          <w:rFonts w:cs="Arial"/>
          <w:sz w:val="22"/>
          <w:szCs w:val="22"/>
        </w:rPr>
        <w:t>notes the following pressures on its budget</w:t>
      </w:r>
      <w:r w:rsidRPr="00117580">
        <w:rPr>
          <w:rFonts w:cs="Arial"/>
          <w:sz w:val="22"/>
          <w:szCs w:val="22"/>
        </w:rPr>
        <w:t>:</w:t>
      </w:r>
    </w:p>
    <w:p w:rsidR="00231716" w:rsidRPr="00842B62" w:rsidRDefault="00231716" w:rsidP="001D7BBB">
      <w:pPr>
        <w:ind w:hanging="180"/>
        <w:jc w:val="both"/>
        <w:rPr>
          <w:rFonts w:cs="Arial"/>
          <w:sz w:val="22"/>
          <w:szCs w:val="22"/>
        </w:rPr>
      </w:pPr>
    </w:p>
    <w:p w:rsidR="00613980" w:rsidRDefault="00613980" w:rsidP="00395344">
      <w:pPr>
        <w:pStyle w:val="ListParagraph"/>
        <w:numPr>
          <w:ilvl w:val="0"/>
          <w:numId w:val="16"/>
        </w:numPr>
        <w:spacing w:line="240" w:lineRule="auto"/>
        <w:ind w:left="1145" w:hanging="357"/>
        <w:rPr>
          <w:rFonts w:ascii="Arial" w:hAnsi="Arial" w:cs="Arial"/>
          <w:lang w:eastAsia="en-GB"/>
        </w:rPr>
      </w:pPr>
      <w:r w:rsidRPr="00842B62">
        <w:rPr>
          <w:rFonts w:ascii="Arial" w:hAnsi="Arial" w:cs="Arial"/>
          <w:lang w:eastAsia="en-GB"/>
        </w:rPr>
        <w:t>Revenue Support Grant (RSG)</w:t>
      </w:r>
      <w:r w:rsidR="004053B2" w:rsidRPr="00842B62">
        <w:rPr>
          <w:rFonts w:ascii="Arial" w:hAnsi="Arial" w:cs="Arial"/>
          <w:lang w:eastAsia="en-GB"/>
        </w:rPr>
        <w:t xml:space="preserve"> </w:t>
      </w:r>
      <w:r w:rsidRPr="00842B62">
        <w:rPr>
          <w:rFonts w:ascii="Arial" w:hAnsi="Arial" w:cs="Arial"/>
          <w:lang w:eastAsia="en-GB"/>
        </w:rPr>
        <w:t>will reduce from £3.0m</w:t>
      </w:r>
      <w:r w:rsidR="007B57CA">
        <w:rPr>
          <w:rFonts w:ascii="Arial" w:hAnsi="Arial" w:cs="Arial"/>
          <w:lang w:eastAsia="en-GB"/>
        </w:rPr>
        <w:t xml:space="preserve"> in 2013/14</w:t>
      </w:r>
      <w:r w:rsidRPr="00842B62">
        <w:rPr>
          <w:rFonts w:ascii="Arial" w:hAnsi="Arial" w:cs="Arial"/>
          <w:lang w:eastAsia="en-GB"/>
        </w:rPr>
        <w:t xml:space="preserve"> to</w:t>
      </w:r>
      <w:r w:rsidR="004053B2" w:rsidRPr="00842B62">
        <w:rPr>
          <w:rFonts w:ascii="Arial" w:hAnsi="Arial" w:cs="Arial"/>
          <w:lang w:eastAsia="en-GB"/>
        </w:rPr>
        <w:t xml:space="preserve"> </w:t>
      </w:r>
      <w:r w:rsidRPr="00842B62">
        <w:rPr>
          <w:rFonts w:ascii="Arial" w:hAnsi="Arial" w:cs="Arial"/>
          <w:lang w:eastAsia="en-GB"/>
        </w:rPr>
        <w:t>£0.3m in 2017/18 and to zero in 2019/20</w:t>
      </w:r>
      <w:r w:rsidR="00ED721D" w:rsidRPr="00842B62">
        <w:rPr>
          <w:rFonts w:ascii="Arial" w:hAnsi="Arial" w:cs="Arial"/>
          <w:lang w:eastAsia="en-GB"/>
        </w:rPr>
        <w:t>;</w:t>
      </w:r>
    </w:p>
    <w:p w:rsidR="00842B62" w:rsidRPr="00842B62" w:rsidRDefault="00842B62" w:rsidP="00842B62">
      <w:pPr>
        <w:pStyle w:val="ListParagraph"/>
        <w:ind w:left="1146"/>
        <w:rPr>
          <w:rFonts w:ascii="Arial" w:hAnsi="Arial" w:cs="Arial"/>
          <w:lang w:eastAsia="en-GB"/>
        </w:rPr>
      </w:pPr>
    </w:p>
    <w:p w:rsidR="00613980" w:rsidRPr="00842B62" w:rsidRDefault="00613980" w:rsidP="00395344">
      <w:pPr>
        <w:pStyle w:val="ListParagraph"/>
        <w:numPr>
          <w:ilvl w:val="0"/>
          <w:numId w:val="16"/>
        </w:numPr>
        <w:tabs>
          <w:tab w:val="left" w:pos="284"/>
          <w:tab w:val="left" w:pos="709"/>
        </w:tabs>
        <w:spacing w:line="240" w:lineRule="auto"/>
        <w:ind w:left="1145" w:hanging="357"/>
        <w:rPr>
          <w:rFonts w:ascii="Arial" w:hAnsi="Arial" w:cs="Arial"/>
          <w:lang w:eastAsia="en-GB"/>
        </w:rPr>
      </w:pPr>
      <w:r w:rsidRPr="00842B62">
        <w:rPr>
          <w:rFonts w:ascii="Arial" w:hAnsi="Arial" w:cs="Arial"/>
          <w:lang w:eastAsia="en-GB"/>
        </w:rPr>
        <w:t>Direct expenditure on homelessness, which is a statutory obligation on the Council, will increase from £0.0m in 2013/14 to £0.5m in 2017/18 and is forecasted to increase to £0.8m in 2019/20.</w:t>
      </w:r>
    </w:p>
    <w:p w:rsidR="001D7BBB" w:rsidRPr="00117580" w:rsidRDefault="001D7BBB" w:rsidP="00842B62">
      <w:pPr>
        <w:pStyle w:val="ListParagraph"/>
        <w:spacing w:after="0" w:line="240" w:lineRule="auto"/>
        <w:ind w:left="0"/>
        <w:rPr>
          <w:rFonts w:ascii="Arial" w:hAnsi="Arial" w:cs="Arial"/>
          <w:lang w:eastAsia="en-GB"/>
        </w:rPr>
      </w:pPr>
    </w:p>
    <w:p w:rsidR="00231716" w:rsidRPr="00117580" w:rsidRDefault="00613980" w:rsidP="00395344">
      <w:pPr>
        <w:ind w:left="425" w:hanging="425"/>
        <w:rPr>
          <w:rFonts w:cs="Arial"/>
          <w:sz w:val="22"/>
          <w:szCs w:val="22"/>
        </w:rPr>
      </w:pPr>
      <w:r w:rsidRPr="00117580">
        <w:rPr>
          <w:rFonts w:cs="Arial"/>
          <w:b/>
          <w:sz w:val="22"/>
          <w:szCs w:val="22"/>
        </w:rPr>
        <w:t>2</w:t>
      </w:r>
      <w:r w:rsidR="00231716" w:rsidRPr="00117580">
        <w:rPr>
          <w:rFonts w:cs="Arial"/>
          <w:sz w:val="22"/>
          <w:szCs w:val="22"/>
        </w:rPr>
        <w:t xml:space="preserve">. </w:t>
      </w:r>
      <w:r w:rsidR="001D7BBB">
        <w:rPr>
          <w:rFonts w:cs="Arial"/>
          <w:sz w:val="22"/>
          <w:szCs w:val="22"/>
        </w:rPr>
        <w:tab/>
      </w:r>
      <w:r w:rsidR="00231716" w:rsidRPr="00117580">
        <w:rPr>
          <w:rFonts w:cs="Arial"/>
          <w:sz w:val="22"/>
          <w:szCs w:val="22"/>
        </w:rPr>
        <w:t xml:space="preserve">Council </w:t>
      </w:r>
      <w:r w:rsidRPr="00117580">
        <w:rPr>
          <w:rFonts w:cs="Arial"/>
          <w:sz w:val="22"/>
          <w:szCs w:val="22"/>
        </w:rPr>
        <w:t>further notes the following achievements, enabling services to be protected without steep increases in its council tax</w:t>
      </w:r>
      <w:r w:rsidR="00ED721D" w:rsidRPr="00117580">
        <w:rPr>
          <w:rFonts w:cs="Arial"/>
          <w:sz w:val="22"/>
          <w:szCs w:val="22"/>
        </w:rPr>
        <w:t>:</w:t>
      </w:r>
    </w:p>
    <w:p w:rsidR="00ED721D" w:rsidRPr="00117580" w:rsidRDefault="00ED721D" w:rsidP="00842B62">
      <w:pPr>
        <w:ind w:hanging="180"/>
        <w:rPr>
          <w:rFonts w:cs="Arial"/>
          <w:sz w:val="22"/>
          <w:szCs w:val="22"/>
        </w:rPr>
      </w:pPr>
    </w:p>
    <w:p w:rsidR="001D7BBB" w:rsidRDefault="00842B62" w:rsidP="00395344">
      <w:pPr>
        <w:pStyle w:val="ListParagraph"/>
        <w:numPr>
          <w:ilvl w:val="0"/>
          <w:numId w:val="17"/>
        </w:numPr>
        <w:tabs>
          <w:tab w:val="left" w:pos="426"/>
        </w:tabs>
        <w:spacing w:after="0" w:line="240" w:lineRule="auto"/>
        <w:ind w:left="1145" w:hanging="357"/>
        <w:rPr>
          <w:rFonts w:ascii="Arial" w:hAnsi="Arial" w:cs="Arial"/>
        </w:rPr>
      </w:pPr>
      <w:r>
        <w:rPr>
          <w:rFonts w:ascii="Arial" w:hAnsi="Arial" w:cs="Arial"/>
        </w:rPr>
        <w:t>C</w:t>
      </w:r>
      <w:r w:rsidR="00ED721D" w:rsidRPr="006858C4">
        <w:rPr>
          <w:rFonts w:ascii="Arial" w:hAnsi="Arial" w:cs="Arial"/>
        </w:rPr>
        <w:t>ashable efficiency savings averaging over £0.3</w:t>
      </w:r>
      <w:r w:rsidR="0036578E" w:rsidRPr="006858C4">
        <w:rPr>
          <w:rFonts w:ascii="Arial" w:hAnsi="Arial" w:cs="Arial"/>
        </w:rPr>
        <w:t>m</w:t>
      </w:r>
      <w:r w:rsidR="00ED721D" w:rsidRPr="006858C4">
        <w:rPr>
          <w:rFonts w:ascii="Arial" w:hAnsi="Arial" w:cs="Arial"/>
        </w:rPr>
        <w:t xml:space="preserve"> per year, sustained over the last twelve years; and further cashable efficiency gains planned over the course of the medium term financial plan;</w:t>
      </w:r>
    </w:p>
    <w:p w:rsidR="00842B62" w:rsidRDefault="00842B62" w:rsidP="00842B62">
      <w:pPr>
        <w:pStyle w:val="ListParagraph"/>
        <w:tabs>
          <w:tab w:val="left" w:pos="426"/>
        </w:tabs>
        <w:spacing w:after="0" w:line="240" w:lineRule="auto"/>
        <w:ind w:left="1146"/>
        <w:rPr>
          <w:rFonts w:ascii="Arial" w:hAnsi="Arial" w:cs="Arial"/>
        </w:rPr>
      </w:pPr>
    </w:p>
    <w:p w:rsidR="006858C4" w:rsidRPr="00842B62" w:rsidRDefault="001D7BBB" w:rsidP="00395344">
      <w:pPr>
        <w:pStyle w:val="ListParagraph"/>
        <w:numPr>
          <w:ilvl w:val="0"/>
          <w:numId w:val="17"/>
        </w:numPr>
        <w:tabs>
          <w:tab w:val="left" w:pos="426"/>
        </w:tabs>
        <w:spacing w:line="240" w:lineRule="auto"/>
        <w:ind w:left="1145" w:hanging="357"/>
        <w:rPr>
          <w:rFonts w:ascii="Arial" w:hAnsi="Arial" w:cs="Arial"/>
          <w:b/>
          <w:lang w:eastAsia="en-GB"/>
        </w:rPr>
      </w:pPr>
      <w:r w:rsidRPr="00842B62">
        <w:rPr>
          <w:rFonts w:ascii="Arial" w:hAnsi="Arial" w:cs="Arial"/>
        </w:rPr>
        <w:t>I</w:t>
      </w:r>
      <w:r w:rsidR="00ED721D" w:rsidRPr="00842B62">
        <w:rPr>
          <w:rFonts w:ascii="Arial" w:hAnsi="Arial" w:cs="Arial"/>
        </w:rPr>
        <w:t>ncreased income, excluding government grants and council tax, rising from £6.1m in 2013/14 to £7.8m in 2017/18 and to £8.6m in 2019/20.</w:t>
      </w:r>
      <w:r w:rsidR="0036578E" w:rsidRPr="00842B62">
        <w:rPr>
          <w:rFonts w:ascii="Arial" w:hAnsi="Arial" w:cs="Arial"/>
        </w:rPr>
        <w:t xml:space="preserve"> This includes returns on the investment into property assets, which </w:t>
      </w:r>
      <w:r w:rsidR="00D400DF" w:rsidRPr="00842B62">
        <w:rPr>
          <w:rFonts w:ascii="Arial" w:hAnsi="Arial" w:cs="Arial"/>
        </w:rPr>
        <w:t>may</w:t>
      </w:r>
      <w:r w:rsidR="0036578E" w:rsidRPr="00842B62">
        <w:rPr>
          <w:rFonts w:ascii="Arial" w:hAnsi="Arial" w:cs="Arial"/>
        </w:rPr>
        <w:t xml:space="preserve"> be funded from a combination of </w:t>
      </w:r>
      <w:r w:rsidR="00117580" w:rsidRPr="00842B62">
        <w:rPr>
          <w:rFonts w:ascii="Arial" w:hAnsi="Arial" w:cs="Arial"/>
        </w:rPr>
        <w:t>internal</w:t>
      </w:r>
      <w:r w:rsidR="0036578E" w:rsidRPr="00842B62">
        <w:rPr>
          <w:rFonts w:ascii="Arial" w:hAnsi="Arial" w:cs="Arial"/>
        </w:rPr>
        <w:t xml:space="preserve"> borrowing or prudential borrowing.</w:t>
      </w:r>
      <w:r w:rsidR="00EC284F">
        <w:rPr>
          <w:rFonts w:ascii="Arial" w:hAnsi="Arial" w:cs="Arial"/>
        </w:rPr>
        <w:t xml:space="preserve"> Details to be agreed by Policy &amp; Resources Committee at their meeting on 27 February 2017.</w:t>
      </w:r>
    </w:p>
    <w:p w:rsidR="006858C4" w:rsidRPr="006858C4" w:rsidRDefault="006858C4" w:rsidP="006858C4">
      <w:pPr>
        <w:pStyle w:val="ListParagraph"/>
        <w:tabs>
          <w:tab w:val="left" w:pos="426"/>
        </w:tabs>
        <w:spacing w:after="0" w:line="240" w:lineRule="auto"/>
        <w:ind w:left="0"/>
        <w:jc w:val="both"/>
        <w:rPr>
          <w:rFonts w:cs="Arial"/>
          <w:b/>
          <w:lang w:eastAsia="en-GB"/>
        </w:rPr>
      </w:pPr>
    </w:p>
    <w:p w:rsidR="006858C4" w:rsidRPr="006858C4" w:rsidRDefault="006858C4" w:rsidP="00842B62">
      <w:pPr>
        <w:ind w:left="-426" w:firstLine="426"/>
        <w:jc w:val="both"/>
        <w:rPr>
          <w:rFonts w:cs="Arial"/>
          <w:sz w:val="22"/>
          <w:szCs w:val="22"/>
        </w:rPr>
      </w:pPr>
      <w:r w:rsidRPr="006858C4">
        <w:rPr>
          <w:rFonts w:cs="Arial"/>
          <w:b/>
          <w:sz w:val="22"/>
          <w:szCs w:val="22"/>
        </w:rPr>
        <w:t>3.</w:t>
      </w:r>
      <w:r w:rsidRPr="006858C4">
        <w:rPr>
          <w:rFonts w:cs="Arial"/>
          <w:sz w:val="22"/>
          <w:szCs w:val="22"/>
        </w:rPr>
        <w:t xml:space="preserve"> </w:t>
      </w:r>
      <w:r w:rsidR="00842B62">
        <w:rPr>
          <w:rFonts w:cs="Arial"/>
          <w:sz w:val="22"/>
          <w:szCs w:val="22"/>
        </w:rPr>
        <w:t xml:space="preserve">   </w:t>
      </w:r>
      <w:r w:rsidRPr="00842B62">
        <w:rPr>
          <w:rFonts w:cs="Arial"/>
          <w:b/>
          <w:sz w:val="22"/>
          <w:szCs w:val="22"/>
        </w:rPr>
        <w:t xml:space="preserve">Council </w:t>
      </w:r>
      <w:r w:rsidR="00842B62" w:rsidRPr="00842B62">
        <w:rPr>
          <w:rFonts w:cs="Arial"/>
          <w:b/>
          <w:sz w:val="22"/>
          <w:szCs w:val="22"/>
        </w:rPr>
        <w:t>agrees the following actions;</w:t>
      </w:r>
    </w:p>
    <w:p w:rsidR="00C63C50" w:rsidRPr="00C1729F" w:rsidRDefault="00C63C50" w:rsidP="00842B62">
      <w:pPr>
        <w:widowControl w:val="0"/>
        <w:ind w:left="1985" w:hanging="567"/>
        <w:rPr>
          <w:sz w:val="22"/>
        </w:rPr>
      </w:pPr>
    </w:p>
    <w:p w:rsidR="00C63C50" w:rsidRPr="0025166B" w:rsidRDefault="00C63C50" w:rsidP="00842B62">
      <w:pPr>
        <w:widowControl w:val="0"/>
        <w:ind w:left="1985" w:hanging="567"/>
        <w:rPr>
          <w:sz w:val="22"/>
        </w:rPr>
      </w:pPr>
      <w:r w:rsidRPr="00C1729F">
        <w:rPr>
          <w:sz w:val="22"/>
        </w:rPr>
        <w:t>(</w:t>
      </w:r>
      <w:r>
        <w:rPr>
          <w:sz w:val="22"/>
        </w:rPr>
        <w:t>a</w:t>
      </w:r>
      <w:r w:rsidRPr="00C1729F">
        <w:rPr>
          <w:sz w:val="22"/>
        </w:rPr>
        <w:t>)</w:t>
      </w:r>
      <w:r w:rsidRPr="00C1729F">
        <w:rPr>
          <w:sz w:val="22"/>
        </w:rPr>
        <w:tab/>
        <w:t xml:space="preserve">That the </w:t>
      </w:r>
      <w:r w:rsidR="009B56F4">
        <w:rPr>
          <w:sz w:val="22"/>
        </w:rPr>
        <w:t>2016/17</w:t>
      </w:r>
      <w:r w:rsidRPr="00C1729F">
        <w:rPr>
          <w:sz w:val="22"/>
        </w:rPr>
        <w:t xml:space="preserve"> revised estimates for the revenue account be </w:t>
      </w:r>
      <w:r w:rsidR="008F079A">
        <w:rPr>
          <w:sz w:val="22"/>
        </w:rPr>
        <w:t>approved</w:t>
      </w:r>
      <w:r w:rsidRPr="00C1729F">
        <w:rPr>
          <w:sz w:val="22"/>
        </w:rPr>
        <w:t xml:space="preserve"> giving a balance at 31 March 201</w:t>
      </w:r>
      <w:r w:rsidR="009B56F4">
        <w:rPr>
          <w:sz w:val="22"/>
        </w:rPr>
        <w:t>7</w:t>
      </w:r>
      <w:r w:rsidRPr="00C1729F">
        <w:rPr>
          <w:sz w:val="22"/>
        </w:rPr>
        <w:t xml:space="preserve"> </w:t>
      </w:r>
      <w:r w:rsidRPr="0023411D">
        <w:rPr>
          <w:sz w:val="22"/>
        </w:rPr>
        <w:t xml:space="preserve">of </w:t>
      </w:r>
      <w:r w:rsidRPr="0023411D">
        <w:rPr>
          <w:b/>
          <w:sz w:val="22"/>
        </w:rPr>
        <w:t>£</w:t>
      </w:r>
      <w:r w:rsidR="0025166B" w:rsidRPr="0023411D">
        <w:rPr>
          <w:b/>
          <w:sz w:val="22"/>
        </w:rPr>
        <w:t>3.712m</w:t>
      </w:r>
      <w:r w:rsidR="008F079A">
        <w:rPr>
          <w:b/>
          <w:sz w:val="22"/>
        </w:rPr>
        <w:t>.</w:t>
      </w:r>
    </w:p>
    <w:p w:rsidR="00C63C50" w:rsidRPr="00C1729F" w:rsidRDefault="00C63C50" w:rsidP="00842B62">
      <w:pPr>
        <w:widowControl w:val="0"/>
        <w:ind w:left="1985" w:hanging="567"/>
        <w:rPr>
          <w:sz w:val="22"/>
        </w:rPr>
      </w:pPr>
    </w:p>
    <w:p w:rsidR="00C63C50" w:rsidRDefault="00C63C50" w:rsidP="00842B62">
      <w:pPr>
        <w:widowControl w:val="0"/>
        <w:ind w:left="1985" w:hanging="567"/>
        <w:rPr>
          <w:i/>
          <w:sz w:val="22"/>
        </w:rPr>
      </w:pPr>
      <w:r w:rsidRPr="00C1729F">
        <w:rPr>
          <w:sz w:val="22"/>
        </w:rPr>
        <w:t>(</w:t>
      </w:r>
      <w:r>
        <w:rPr>
          <w:sz w:val="22"/>
        </w:rPr>
        <w:t>b</w:t>
      </w:r>
      <w:r w:rsidRPr="00C1729F">
        <w:rPr>
          <w:sz w:val="22"/>
        </w:rPr>
        <w:t>)</w:t>
      </w:r>
      <w:r w:rsidRPr="00C1729F">
        <w:rPr>
          <w:sz w:val="22"/>
        </w:rPr>
        <w:tab/>
        <w:t>That the draft revenue estimates in respect of the revenue account for the period 1 April 201</w:t>
      </w:r>
      <w:r w:rsidR="009B56F4">
        <w:rPr>
          <w:sz w:val="22"/>
        </w:rPr>
        <w:t>7 to 31 March 2020</w:t>
      </w:r>
      <w:r w:rsidRPr="00C1729F">
        <w:rPr>
          <w:sz w:val="22"/>
        </w:rPr>
        <w:t xml:space="preserve"> be</w:t>
      </w:r>
      <w:r w:rsidR="00DF37F6">
        <w:rPr>
          <w:sz w:val="22"/>
        </w:rPr>
        <w:t xml:space="preserve"> approved. (</w:t>
      </w:r>
      <w:r w:rsidR="009B56F4">
        <w:rPr>
          <w:sz w:val="22"/>
        </w:rPr>
        <w:t>Appendix 1</w:t>
      </w:r>
      <w:r w:rsidR="00DF37F6">
        <w:rPr>
          <w:sz w:val="22"/>
        </w:rPr>
        <w:t xml:space="preserve"> attached)</w:t>
      </w:r>
    </w:p>
    <w:p w:rsidR="00C63C50" w:rsidRPr="00542F1F" w:rsidRDefault="00C63C50" w:rsidP="00842B62">
      <w:pPr>
        <w:widowControl w:val="0"/>
        <w:ind w:left="1985" w:hanging="567"/>
        <w:rPr>
          <w:sz w:val="22"/>
        </w:rPr>
      </w:pPr>
    </w:p>
    <w:p w:rsidR="00C63C50" w:rsidRPr="00542F1F" w:rsidRDefault="00C63C50" w:rsidP="00842B62">
      <w:pPr>
        <w:widowControl w:val="0"/>
        <w:ind w:left="1985" w:hanging="567"/>
        <w:rPr>
          <w:sz w:val="22"/>
        </w:rPr>
      </w:pPr>
      <w:r w:rsidRPr="00542F1F">
        <w:rPr>
          <w:sz w:val="22"/>
        </w:rPr>
        <w:t>(</w:t>
      </w:r>
      <w:r>
        <w:rPr>
          <w:sz w:val="22"/>
        </w:rPr>
        <w:t>c</w:t>
      </w:r>
      <w:r w:rsidRPr="00542F1F">
        <w:rPr>
          <w:sz w:val="22"/>
        </w:rPr>
        <w:t>)</w:t>
      </w:r>
      <w:r w:rsidRPr="00542F1F">
        <w:rPr>
          <w:sz w:val="22"/>
        </w:rPr>
        <w:tab/>
        <w:t xml:space="preserve">That </w:t>
      </w:r>
      <w:r w:rsidRPr="00C60462">
        <w:rPr>
          <w:sz w:val="22"/>
        </w:rPr>
        <w:t>£2.0</w:t>
      </w:r>
      <w:r w:rsidR="0025166B">
        <w:rPr>
          <w:sz w:val="22"/>
        </w:rPr>
        <w:t xml:space="preserve">m </w:t>
      </w:r>
      <w:r w:rsidRPr="00542F1F">
        <w:rPr>
          <w:sz w:val="22"/>
        </w:rPr>
        <w:t>be considered as a prudent minimum balance for the general fund.</w:t>
      </w:r>
    </w:p>
    <w:p w:rsidR="00C63C50" w:rsidRPr="00542F1F" w:rsidRDefault="00C63C50" w:rsidP="00842B62">
      <w:pPr>
        <w:widowControl w:val="0"/>
        <w:ind w:left="1418"/>
        <w:rPr>
          <w:sz w:val="22"/>
        </w:rPr>
      </w:pPr>
      <w:r w:rsidRPr="00542F1F">
        <w:rPr>
          <w:sz w:val="22"/>
        </w:rPr>
        <w:t xml:space="preserve"> </w:t>
      </w:r>
    </w:p>
    <w:p w:rsidR="0052741E" w:rsidRDefault="00C63C50" w:rsidP="00842B62">
      <w:pPr>
        <w:widowControl w:val="0"/>
        <w:ind w:left="1985" w:hanging="545"/>
        <w:rPr>
          <w:sz w:val="22"/>
        </w:rPr>
      </w:pPr>
      <w:r w:rsidRPr="00C1729F">
        <w:rPr>
          <w:sz w:val="22"/>
        </w:rPr>
        <w:t>(</w:t>
      </w:r>
      <w:r>
        <w:rPr>
          <w:sz w:val="22"/>
        </w:rPr>
        <w:t>d</w:t>
      </w:r>
      <w:r w:rsidRPr="00C1729F">
        <w:rPr>
          <w:sz w:val="22"/>
        </w:rPr>
        <w:t>)</w:t>
      </w:r>
      <w:r w:rsidRPr="00C1729F">
        <w:rPr>
          <w:i/>
          <w:sz w:val="22"/>
        </w:rPr>
        <w:tab/>
      </w:r>
      <w:r w:rsidR="008F079A">
        <w:rPr>
          <w:sz w:val="22"/>
        </w:rPr>
        <w:t xml:space="preserve">That </w:t>
      </w:r>
      <w:r w:rsidR="0052741E">
        <w:rPr>
          <w:sz w:val="22"/>
        </w:rPr>
        <w:t>the capital expenditure</w:t>
      </w:r>
      <w:r w:rsidR="00842B62">
        <w:rPr>
          <w:sz w:val="22"/>
        </w:rPr>
        <w:t xml:space="preserve"> plans</w:t>
      </w:r>
      <w:r w:rsidR="0052741E">
        <w:rPr>
          <w:sz w:val="22"/>
        </w:rPr>
        <w:t xml:space="preserve"> from the period 1 April 2016 to 31 March </w:t>
      </w:r>
      <w:r w:rsidR="008F079A">
        <w:rPr>
          <w:sz w:val="22"/>
        </w:rPr>
        <w:t xml:space="preserve">2020 be approved </w:t>
      </w:r>
      <w:r w:rsidR="0052741E">
        <w:rPr>
          <w:sz w:val="22"/>
        </w:rPr>
        <w:t>and notes the capital balances carried forward for future years</w:t>
      </w:r>
      <w:r w:rsidR="008F079A">
        <w:rPr>
          <w:sz w:val="22"/>
        </w:rPr>
        <w:t>.</w:t>
      </w:r>
      <w:r w:rsidR="0052741E">
        <w:rPr>
          <w:sz w:val="22"/>
        </w:rPr>
        <w:t xml:space="preserve"> (Appendix 2 attached)</w:t>
      </w:r>
    </w:p>
    <w:p w:rsidR="00C63C50" w:rsidRPr="00C1729F" w:rsidRDefault="00C63C50" w:rsidP="00842B62">
      <w:pPr>
        <w:widowControl w:val="0"/>
        <w:ind w:left="1985" w:hanging="567"/>
        <w:rPr>
          <w:i/>
          <w:sz w:val="22"/>
        </w:rPr>
      </w:pPr>
    </w:p>
    <w:p w:rsidR="00C63C50" w:rsidRPr="00BA75E8" w:rsidRDefault="00C63C50" w:rsidP="00842B62">
      <w:pPr>
        <w:widowControl w:val="0"/>
        <w:ind w:left="1985" w:hanging="567"/>
        <w:rPr>
          <w:i/>
          <w:sz w:val="22"/>
        </w:rPr>
      </w:pPr>
      <w:r w:rsidRPr="00C1729F">
        <w:rPr>
          <w:sz w:val="22"/>
        </w:rPr>
        <w:t>(</w:t>
      </w:r>
      <w:r>
        <w:rPr>
          <w:sz w:val="22"/>
        </w:rPr>
        <w:t>e</w:t>
      </w:r>
      <w:r w:rsidRPr="00C1729F">
        <w:rPr>
          <w:sz w:val="22"/>
        </w:rPr>
        <w:t>)</w:t>
      </w:r>
      <w:r w:rsidRPr="00C1729F">
        <w:rPr>
          <w:sz w:val="22"/>
        </w:rPr>
        <w:tab/>
        <w:t>That the Council’s total capital investment programme for 201</w:t>
      </w:r>
      <w:r w:rsidR="009B56F4">
        <w:rPr>
          <w:sz w:val="22"/>
        </w:rPr>
        <w:t>6</w:t>
      </w:r>
      <w:r w:rsidRPr="00C1729F">
        <w:rPr>
          <w:sz w:val="22"/>
        </w:rPr>
        <w:t>/201</w:t>
      </w:r>
      <w:r w:rsidR="009B56F4">
        <w:rPr>
          <w:sz w:val="22"/>
        </w:rPr>
        <w:t>7</w:t>
      </w:r>
      <w:r w:rsidRPr="00C1729F">
        <w:rPr>
          <w:sz w:val="22"/>
        </w:rPr>
        <w:t xml:space="preserve"> be </w:t>
      </w:r>
      <w:r w:rsidR="008F079A" w:rsidRPr="0023411D">
        <w:rPr>
          <w:sz w:val="22"/>
        </w:rPr>
        <w:t xml:space="preserve">approved </w:t>
      </w:r>
      <w:r w:rsidRPr="0023411D">
        <w:rPr>
          <w:sz w:val="22"/>
        </w:rPr>
        <w:t xml:space="preserve">at </w:t>
      </w:r>
      <w:r w:rsidRPr="0023411D">
        <w:rPr>
          <w:b/>
          <w:sz w:val="22"/>
        </w:rPr>
        <w:t>£</w:t>
      </w:r>
      <w:r w:rsidR="007F68CE" w:rsidRPr="0023411D">
        <w:rPr>
          <w:b/>
          <w:sz w:val="22"/>
        </w:rPr>
        <w:t>12.179</w:t>
      </w:r>
      <w:r w:rsidR="0025166B" w:rsidRPr="0023411D">
        <w:rPr>
          <w:b/>
          <w:sz w:val="22"/>
        </w:rPr>
        <w:t>m</w:t>
      </w:r>
      <w:r w:rsidRPr="00E8486F">
        <w:rPr>
          <w:color w:val="0000FF"/>
          <w:sz w:val="22"/>
        </w:rPr>
        <w:t xml:space="preserve">. </w:t>
      </w:r>
    </w:p>
    <w:p w:rsidR="00C63C50" w:rsidRPr="00C1729F" w:rsidRDefault="00C63C50" w:rsidP="00842B62">
      <w:pPr>
        <w:widowControl w:val="0"/>
        <w:ind w:left="1985" w:hanging="567"/>
        <w:rPr>
          <w:i/>
          <w:sz w:val="22"/>
        </w:rPr>
      </w:pPr>
    </w:p>
    <w:p w:rsidR="00C63C50" w:rsidRDefault="00C63C50" w:rsidP="00842B62">
      <w:pPr>
        <w:widowControl w:val="0"/>
        <w:ind w:left="1985" w:hanging="567"/>
        <w:rPr>
          <w:color w:val="0000FF"/>
          <w:sz w:val="22"/>
        </w:rPr>
      </w:pPr>
      <w:r w:rsidRPr="00C1729F">
        <w:rPr>
          <w:sz w:val="22"/>
        </w:rPr>
        <w:t>(</w:t>
      </w:r>
      <w:r>
        <w:rPr>
          <w:sz w:val="22"/>
        </w:rPr>
        <w:t>f</w:t>
      </w:r>
      <w:r w:rsidRPr="00C1729F">
        <w:rPr>
          <w:sz w:val="22"/>
        </w:rPr>
        <w:t>)</w:t>
      </w:r>
      <w:r w:rsidRPr="00C1729F">
        <w:rPr>
          <w:sz w:val="22"/>
        </w:rPr>
        <w:tab/>
        <w:t xml:space="preserve">That the arrangements for funding the </w:t>
      </w:r>
      <w:r w:rsidR="0025166B">
        <w:rPr>
          <w:sz w:val="22"/>
        </w:rPr>
        <w:t>2016/2017</w:t>
      </w:r>
      <w:r w:rsidRPr="00C1729F">
        <w:rPr>
          <w:sz w:val="22"/>
        </w:rPr>
        <w:t xml:space="preserve"> capital investment programme resulting in an estimated balance of capital resources at 31 March 201</w:t>
      </w:r>
      <w:r w:rsidR="009B56F4">
        <w:rPr>
          <w:sz w:val="22"/>
        </w:rPr>
        <w:t>7</w:t>
      </w:r>
      <w:r w:rsidRPr="00C1729F">
        <w:rPr>
          <w:sz w:val="22"/>
        </w:rPr>
        <w:t xml:space="preserve"> </w:t>
      </w:r>
      <w:r w:rsidRPr="0023411D">
        <w:rPr>
          <w:sz w:val="22"/>
        </w:rPr>
        <w:t xml:space="preserve">of </w:t>
      </w:r>
      <w:r w:rsidRPr="0023411D">
        <w:rPr>
          <w:b/>
          <w:sz w:val="22"/>
        </w:rPr>
        <w:t>£1</w:t>
      </w:r>
      <w:r w:rsidR="000A15A8" w:rsidRPr="0023411D">
        <w:rPr>
          <w:b/>
          <w:sz w:val="22"/>
        </w:rPr>
        <w:t>3</w:t>
      </w:r>
      <w:r w:rsidR="0025166B" w:rsidRPr="0023411D">
        <w:rPr>
          <w:b/>
          <w:sz w:val="22"/>
        </w:rPr>
        <w:t>.802m</w:t>
      </w:r>
      <w:r w:rsidRPr="0025166B">
        <w:rPr>
          <w:sz w:val="22"/>
        </w:rPr>
        <w:t xml:space="preserve"> </w:t>
      </w:r>
      <w:r w:rsidRPr="00C1729F">
        <w:rPr>
          <w:sz w:val="22"/>
        </w:rPr>
        <w:t xml:space="preserve">be </w:t>
      </w:r>
      <w:r w:rsidR="008F079A">
        <w:rPr>
          <w:sz w:val="22"/>
        </w:rPr>
        <w:t>approved.</w:t>
      </w:r>
      <w:r w:rsidRPr="005642FE">
        <w:rPr>
          <w:color w:val="0000FF"/>
          <w:sz w:val="22"/>
        </w:rPr>
        <w:t xml:space="preserve"> </w:t>
      </w:r>
    </w:p>
    <w:p w:rsidR="0052741E" w:rsidRPr="0052741E" w:rsidRDefault="0052741E" w:rsidP="00842B62">
      <w:pPr>
        <w:widowControl w:val="0"/>
        <w:ind w:left="1985" w:hanging="567"/>
        <w:rPr>
          <w:rFonts w:cs="Arial"/>
          <w:color w:val="0000FF"/>
          <w:sz w:val="22"/>
        </w:rPr>
      </w:pPr>
    </w:p>
    <w:p w:rsidR="0052741E" w:rsidRPr="0052741E" w:rsidRDefault="0052741E" w:rsidP="00395344">
      <w:pPr>
        <w:pStyle w:val="ListParagraph"/>
        <w:widowControl w:val="0"/>
        <w:numPr>
          <w:ilvl w:val="0"/>
          <w:numId w:val="2"/>
        </w:numPr>
        <w:tabs>
          <w:tab w:val="num" w:pos="1985"/>
        </w:tabs>
        <w:spacing w:line="240" w:lineRule="auto"/>
        <w:ind w:left="1843" w:hanging="380"/>
        <w:rPr>
          <w:rFonts w:ascii="Arial" w:hAnsi="Arial" w:cs="Arial"/>
          <w:i/>
          <w:color w:val="0000FF"/>
        </w:rPr>
      </w:pPr>
      <w:r>
        <w:rPr>
          <w:rFonts w:ascii="Arial" w:hAnsi="Arial" w:cs="Arial"/>
        </w:rPr>
        <w:t xml:space="preserve"> </w:t>
      </w:r>
      <w:r w:rsidRPr="0052741E">
        <w:rPr>
          <w:rFonts w:ascii="Arial" w:hAnsi="Arial" w:cs="Arial"/>
        </w:rPr>
        <w:t xml:space="preserve">That the financial and budgetary risks be </w:t>
      </w:r>
      <w:r w:rsidR="008F079A">
        <w:rPr>
          <w:rFonts w:ascii="Arial" w:hAnsi="Arial" w:cs="Arial"/>
        </w:rPr>
        <w:t>approved</w:t>
      </w:r>
      <w:r w:rsidRPr="0052741E">
        <w:rPr>
          <w:rFonts w:ascii="Arial" w:hAnsi="Arial" w:cs="Arial"/>
        </w:rPr>
        <w:t xml:space="preserve"> and their management </w:t>
      </w:r>
      <w:r>
        <w:rPr>
          <w:rFonts w:ascii="Arial" w:hAnsi="Arial" w:cs="Arial"/>
        </w:rPr>
        <w:t xml:space="preserve">   </w:t>
      </w:r>
      <w:r w:rsidR="002F7D9A">
        <w:rPr>
          <w:rFonts w:ascii="Arial" w:hAnsi="Arial" w:cs="Arial"/>
        </w:rPr>
        <w:t xml:space="preserve">        </w:t>
      </w:r>
      <w:r w:rsidRPr="0052741E">
        <w:rPr>
          <w:rFonts w:ascii="Arial" w:hAnsi="Arial" w:cs="Arial"/>
        </w:rPr>
        <w:t xml:space="preserve">monitored by the Audit Committee. (Appendix </w:t>
      </w:r>
      <w:r>
        <w:rPr>
          <w:rFonts w:ascii="Arial" w:hAnsi="Arial" w:cs="Arial"/>
        </w:rPr>
        <w:t>3</w:t>
      </w:r>
      <w:r w:rsidRPr="0052741E">
        <w:rPr>
          <w:rFonts w:ascii="Arial" w:hAnsi="Arial" w:cs="Arial"/>
        </w:rPr>
        <w:t xml:space="preserve"> attached)</w:t>
      </w:r>
    </w:p>
    <w:p w:rsidR="00C63C50" w:rsidRPr="00C1729F" w:rsidRDefault="00C63C50" w:rsidP="00842B62">
      <w:pPr>
        <w:widowControl w:val="0"/>
        <w:ind w:left="1985" w:hanging="567"/>
        <w:rPr>
          <w:sz w:val="22"/>
        </w:rPr>
      </w:pPr>
    </w:p>
    <w:p w:rsidR="000155C7" w:rsidRPr="00C1729F" w:rsidRDefault="000155C7" w:rsidP="00842B62">
      <w:pPr>
        <w:widowControl w:val="0"/>
        <w:ind w:left="1440"/>
        <w:rPr>
          <w:rFonts w:cs="Arial"/>
          <w:sz w:val="22"/>
          <w:szCs w:val="22"/>
        </w:rPr>
      </w:pPr>
    </w:p>
    <w:p w:rsidR="00C63C50" w:rsidRDefault="00C63C50" w:rsidP="00842B62">
      <w:pPr>
        <w:widowControl w:val="0"/>
        <w:numPr>
          <w:ilvl w:val="0"/>
          <w:numId w:val="2"/>
        </w:numPr>
        <w:tabs>
          <w:tab w:val="num" w:pos="1980"/>
        </w:tabs>
        <w:ind w:left="1980" w:hanging="540"/>
        <w:rPr>
          <w:i/>
          <w:sz w:val="22"/>
        </w:rPr>
      </w:pPr>
      <w:r w:rsidRPr="00C1729F">
        <w:rPr>
          <w:rFonts w:cs="Arial"/>
          <w:sz w:val="22"/>
          <w:szCs w:val="22"/>
        </w:rPr>
        <w:lastRenderedPageBreak/>
        <w:t>That the Council the Treasury Management Strategy Statement 201</w:t>
      </w:r>
      <w:r w:rsidR="009B56F4">
        <w:rPr>
          <w:rFonts w:cs="Arial"/>
          <w:sz w:val="22"/>
          <w:szCs w:val="22"/>
        </w:rPr>
        <w:t>7</w:t>
      </w:r>
      <w:r w:rsidRPr="00C1729F">
        <w:rPr>
          <w:rFonts w:cs="Arial"/>
          <w:sz w:val="22"/>
          <w:szCs w:val="22"/>
        </w:rPr>
        <w:t>/</w:t>
      </w:r>
      <w:r w:rsidR="009B56F4">
        <w:rPr>
          <w:rFonts w:cs="Arial"/>
          <w:sz w:val="22"/>
          <w:szCs w:val="22"/>
        </w:rPr>
        <w:t>18 to 2019/2020</w:t>
      </w:r>
      <w:r>
        <w:rPr>
          <w:rFonts w:cs="Arial"/>
          <w:sz w:val="22"/>
          <w:szCs w:val="22"/>
        </w:rPr>
        <w:t xml:space="preserve"> be approved. </w:t>
      </w:r>
      <w:r w:rsidR="009B56F4">
        <w:rPr>
          <w:rFonts w:cs="Arial"/>
          <w:sz w:val="22"/>
          <w:szCs w:val="22"/>
        </w:rPr>
        <w:t xml:space="preserve">(Appendix </w:t>
      </w:r>
      <w:r w:rsidR="008F079A">
        <w:rPr>
          <w:rFonts w:cs="Arial"/>
          <w:sz w:val="22"/>
          <w:szCs w:val="22"/>
        </w:rPr>
        <w:t>4</w:t>
      </w:r>
      <w:r w:rsidR="009B56F4">
        <w:rPr>
          <w:rFonts w:cs="Arial"/>
          <w:sz w:val="22"/>
          <w:szCs w:val="22"/>
        </w:rPr>
        <w:t xml:space="preserve"> attached)</w:t>
      </w:r>
    </w:p>
    <w:p w:rsidR="00C63C50" w:rsidRDefault="00C63C50" w:rsidP="00842B62">
      <w:pPr>
        <w:widowControl w:val="0"/>
        <w:ind w:left="1985" w:hanging="567"/>
        <w:rPr>
          <w:i/>
          <w:sz w:val="22"/>
        </w:rPr>
      </w:pPr>
    </w:p>
    <w:p w:rsidR="00C63C50" w:rsidRPr="00542F1F" w:rsidRDefault="00C63C50" w:rsidP="00842B62">
      <w:pPr>
        <w:widowControl w:val="0"/>
        <w:ind w:left="1985" w:hanging="567"/>
        <w:rPr>
          <w:sz w:val="22"/>
        </w:rPr>
      </w:pPr>
      <w:r w:rsidRPr="00271C64">
        <w:rPr>
          <w:sz w:val="22"/>
        </w:rPr>
        <w:t xml:space="preserve"> (</w:t>
      </w:r>
      <w:proofErr w:type="spellStart"/>
      <w:r w:rsidR="000A15A8">
        <w:rPr>
          <w:sz w:val="22"/>
        </w:rPr>
        <w:t>i</w:t>
      </w:r>
      <w:proofErr w:type="spellEnd"/>
      <w:r w:rsidRPr="00271C64">
        <w:rPr>
          <w:sz w:val="22"/>
        </w:rPr>
        <w:t>)</w:t>
      </w:r>
      <w:r w:rsidRPr="00271C64">
        <w:rPr>
          <w:sz w:val="22"/>
        </w:rPr>
        <w:tab/>
        <w:t xml:space="preserve">That the Council notes the Director of Finance’s advice on the robustness of the estimates and the adequacy of the financial </w:t>
      </w:r>
      <w:r w:rsidRPr="00542F1F">
        <w:rPr>
          <w:sz w:val="22"/>
        </w:rPr>
        <w:t>reserves.</w:t>
      </w:r>
    </w:p>
    <w:p w:rsidR="00995909" w:rsidRDefault="00995909" w:rsidP="00842B62">
      <w:pPr>
        <w:widowControl w:val="0"/>
        <w:ind w:left="720" w:hanging="720"/>
        <w:rPr>
          <w:sz w:val="22"/>
        </w:rPr>
      </w:pPr>
    </w:p>
    <w:p w:rsidR="00064584" w:rsidRDefault="00064584" w:rsidP="00842B62">
      <w:pPr>
        <w:keepNext/>
        <w:widowControl w:val="0"/>
        <w:rPr>
          <w:b/>
          <w:sz w:val="22"/>
        </w:rPr>
      </w:pPr>
    </w:p>
    <w:p w:rsidR="00064584" w:rsidRDefault="00064584" w:rsidP="00842B62">
      <w:pPr>
        <w:keepNext/>
        <w:widowControl w:val="0"/>
        <w:rPr>
          <w:b/>
          <w:sz w:val="22"/>
        </w:rPr>
      </w:pPr>
    </w:p>
    <w:p w:rsidR="00064584" w:rsidRDefault="00064584" w:rsidP="00842B62">
      <w:pPr>
        <w:keepNext/>
        <w:widowControl w:val="0"/>
        <w:rPr>
          <w:b/>
          <w:sz w:val="22"/>
        </w:rPr>
      </w:pPr>
    </w:p>
    <w:p w:rsidR="00995909" w:rsidRDefault="00995909" w:rsidP="00842B62">
      <w:pPr>
        <w:keepNext/>
        <w:widowControl w:val="0"/>
        <w:rPr>
          <w:b/>
          <w:sz w:val="22"/>
        </w:rPr>
      </w:pPr>
      <w:r>
        <w:rPr>
          <w:b/>
          <w:sz w:val="22"/>
        </w:rPr>
        <w:t>STATEMENT OF CHIEF FINANCIAL OFFICER</w:t>
      </w:r>
    </w:p>
    <w:p w:rsidR="00995909" w:rsidRDefault="00995909" w:rsidP="00842B62">
      <w:pPr>
        <w:keepNext/>
        <w:widowControl w:val="0"/>
        <w:rPr>
          <w:b/>
          <w:sz w:val="22"/>
        </w:rPr>
      </w:pPr>
    </w:p>
    <w:p w:rsidR="00995909" w:rsidRDefault="00995909" w:rsidP="00842B62">
      <w:pPr>
        <w:rPr>
          <w:rFonts w:cs="Arial"/>
          <w:sz w:val="22"/>
          <w:szCs w:val="22"/>
        </w:rPr>
      </w:pPr>
      <w:r>
        <w:rPr>
          <w:rFonts w:cs="Arial"/>
          <w:sz w:val="22"/>
          <w:szCs w:val="22"/>
        </w:rPr>
        <w:t>Under Section 25 of the Local Government Act 2003, I have a duty to report on the robustness of the estimates and the adequacy of the financial reserves.</w:t>
      </w:r>
    </w:p>
    <w:p w:rsidR="00995909" w:rsidRDefault="00995909" w:rsidP="00842B62">
      <w:pPr>
        <w:rPr>
          <w:rFonts w:cs="Arial"/>
          <w:sz w:val="22"/>
          <w:szCs w:val="22"/>
        </w:rPr>
      </w:pPr>
    </w:p>
    <w:p w:rsidR="00995909" w:rsidRDefault="00995909" w:rsidP="00842B62">
      <w:pPr>
        <w:rPr>
          <w:rFonts w:cs="Arial"/>
          <w:sz w:val="22"/>
          <w:szCs w:val="22"/>
        </w:rPr>
      </w:pPr>
      <w:r>
        <w:rPr>
          <w:rFonts w:cs="Arial"/>
          <w:sz w:val="22"/>
          <w:szCs w:val="22"/>
        </w:rPr>
        <w:t xml:space="preserve">With regard to the robustness of the estimates, I have advised the Council that a minimum prudent </w:t>
      </w:r>
      <w:r w:rsidR="00F533E7">
        <w:rPr>
          <w:rFonts w:cs="Arial"/>
          <w:sz w:val="22"/>
          <w:szCs w:val="22"/>
        </w:rPr>
        <w:t xml:space="preserve">revenue </w:t>
      </w:r>
      <w:r>
        <w:rPr>
          <w:rFonts w:cs="Arial"/>
          <w:sz w:val="22"/>
          <w:szCs w:val="22"/>
        </w:rPr>
        <w:t>balance of £2.</w:t>
      </w:r>
      <w:r w:rsidR="005A2030">
        <w:rPr>
          <w:rFonts w:cs="Arial"/>
          <w:sz w:val="22"/>
          <w:szCs w:val="22"/>
        </w:rPr>
        <w:t>0</w:t>
      </w:r>
      <w:r>
        <w:rPr>
          <w:rFonts w:cs="Arial"/>
          <w:sz w:val="22"/>
          <w:szCs w:val="22"/>
        </w:rPr>
        <w:t>m is appropriate having taken into account the risks identified in the financial planning reports presented to members. The estimates should also avoid unsustainable revenue deficits.</w:t>
      </w:r>
    </w:p>
    <w:p w:rsidR="00995909" w:rsidRDefault="00995909" w:rsidP="00842B62">
      <w:pPr>
        <w:rPr>
          <w:rFonts w:cs="Arial"/>
          <w:b/>
          <w:sz w:val="22"/>
          <w:szCs w:val="22"/>
        </w:rPr>
      </w:pPr>
    </w:p>
    <w:p w:rsidR="00995909" w:rsidRPr="00483CBA" w:rsidRDefault="00995909" w:rsidP="00842B62">
      <w:pPr>
        <w:rPr>
          <w:rFonts w:cs="Arial"/>
          <w:sz w:val="22"/>
          <w:szCs w:val="22"/>
        </w:rPr>
      </w:pPr>
      <w:r w:rsidRPr="00483CBA">
        <w:rPr>
          <w:rFonts w:cs="Arial"/>
          <w:sz w:val="22"/>
          <w:szCs w:val="22"/>
        </w:rPr>
        <w:t>The Liberal Democrat Group’</w:t>
      </w:r>
      <w:r w:rsidR="008F079A">
        <w:rPr>
          <w:rFonts w:cs="Arial"/>
          <w:sz w:val="22"/>
          <w:szCs w:val="22"/>
        </w:rPr>
        <w:t>s proposals for the Medium Term Financial Plan</w:t>
      </w:r>
      <w:r w:rsidR="00064584">
        <w:rPr>
          <w:rFonts w:cs="Arial"/>
          <w:sz w:val="22"/>
          <w:szCs w:val="22"/>
        </w:rPr>
        <w:t>;</w:t>
      </w:r>
    </w:p>
    <w:p w:rsidR="00995909" w:rsidRPr="00483CBA" w:rsidRDefault="00995909" w:rsidP="00842B62">
      <w:pPr>
        <w:rPr>
          <w:rFonts w:cs="Arial"/>
          <w:sz w:val="22"/>
          <w:szCs w:val="22"/>
        </w:rPr>
      </w:pPr>
    </w:p>
    <w:p w:rsidR="00995909" w:rsidRPr="00483CBA" w:rsidRDefault="00995909" w:rsidP="00842B62">
      <w:pPr>
        <w:numPr>
          <w:ilvl w:val="0"/>
          <w:numId w:val="1"/>
        </w:numPr>
        <w:rPr>
          <w:rFonts w:cs="Arial"/>
          <w:sz w:val="22"/>
          <w:szCs w:val="22"/>
        </w:rPr>
      </w:pPr>
      <w:proofErr w:type="gramStart"/>
      <w:r w:rsidRPr="00483CBA">
        <w:rPr>
          <w:rFonts w:cs="Arial"/>
          <w:sz w:val="22"/>
          <w:szCs w:val="22"/>
        </w:rPr>
        <w:t>allow</w:t>
      </w:r>
      <w:r w:rsidR="004D55F1">
        <w:rPr>
          <w:rFonts w:cs="Arial"/>
          <w:sz w:val="22"/>
          <w:szCs w:val="22"/>
        </w:rPr>
        <w:t>s</w:t>
      </w:r>
      <w:proofErr w:type="gramEnd"/>
      <w:r w:rsidR="00EF2FE0">
        <w:rPr>
          <w:rFonts w:cs="Arial"/>
          <w:sz w:val="22"/>
          <w:szCs w:val="22"/>
        </w:rPr>
        <w:t xml:space="preserve"> for a</w:t>
      </w:r>
      <w:r w:rsidR="000A15A8">
        <w:rPr>
          <w:rFonts w:cs="Arial"/>
          <w:sz w:val="22"/>
          <w:szCs w:val="22"/>
        </w:rPr>
        <w:t>n</w:t>
      </w:r>
      <w:r w:rsidR="00EF2FE0">
        <w:rPr>
          <w:rFonts w:cs="Arial"/>
          <w:sz w:val="22"/>
          <w:szCs w:val="22"/>
        </w:rPr>
        <w:t xml:space="preserve"> </w:t>
      </w:r>
      <w:r w:rsidR="000A15A8" w:rsidRPr="000A15A8">
        <w:rPr>
          <w:rFonts w:cs="Arial"/>
          <w:sz w:val="22"/>
          <w:szCs w:val="22"/>
        </w:rPr>
        <w:t>in</w:t>
      </w:r>
      <w:r w:rsidR="00483CBA" w:rsidRPr="000A15A8">
        <w:rPr>
          <w:rFonts w:cs="Arial"/>
          <w:sz w:val="22"/>
          <w:szCs w:val="22"/>
        </w:rPr>
        <w:t>crease</w:t>
      </w:r>
      <w:r w:rsidR="00EF2FE0" w:rsidRPr="000A15A8">
        <w:rPr>
          <w:rFonts w:cs="Arial"/>
          <w:sz w:val="22"/>
          <w:szCs w:val="22"/>
        </w:rPr>
        <w:t xml:space="preserve"> of</w:t>
      </w:r>
      <w:r w:rsidR="00E77D08">
        <w:rPr>
          <w:rFonts w:cs="Arial"/>
          <w:sz w:val="22"/>
          <w:szCs w:val="22"/>
        </w:rPr>
        <w:t xml:space="preserve"> £5</w:t>
      </w:r>
      <w:r w:rsidR="003156B0">
        <w:rPr>
          <w:rFonts w:cs="Arial"/>
          <w:sz w:val="22"/>
          <w:szCs w:val="22"/>
        </w:rPr>
        <w:t xml:space="preserve"> </w:t>
      </w:r>
      <w:r w:rsidRPr="00483CBA">
        <w:rPr>
          <w:rFonts w:cs="Arial"/>
          <w:sz w:val="22"/>
          <w:szCs w:val="22"/>
        </w:rPr>
        <w:t>in</w:t>
      </w:r>
      <w:r w:rsidR="00D44AA7" w:rsidRPr="00483CBA">
        <w:rPr>
          <w:rFonts w:cs="Arial"/>
          <w:sz w:val="22"/>
          <w:szCs w:val="22"/>
        </w:rPr>
        <w:t xml:space="preserve"> the district’s</w:t>
      </w:r>
      <w:r w:rsidR="00B04CB7" w:rsidRPr="00483CBA">
        <w:rPr>
          <w:rFonts w:cs="Arial"/>
          <w:sz w:val="22"/>
          <w:szCs w:val="22"/>
        </w:rPr>
        <w:t xml:space="preserve"> average</w:t>
      </w:r>
      <w:r w:rsidRPr="00483CBA">
        <w:rPr>
          <w:rFonts w:cs="Arial"/>
          <w:sz w:val="22"/>
          <w:szCs w:val="22"/>
        </w:rPr>
        <w:t xml:space="preserve"> council tax</w:t>
      </w:r>
      <w:r w:rsidR="00D44AA7" w:rsidRPr="00483CBA">
        <w:rPr>
          <w:rFonts w:cs="Arial"/>
          <w:sz w:val="22"/>
          <w:szCs w:val="22"/>
        </w:rPr>
        <w:t xml:space="preserve"> charge</w:t>
      </w:r>
      <w:r w:rsidRPr="00483CBA">
        <w:rPr>
          <w:rFonts w:cs="Arial"/>
          <w:sz w:val="22"/>
          <w:szCs w:val="22"/>
        </w:rPr>
        <w:t xml:space="preserve"> for </w:t>
      </w:r>
      <w:r w:rsidR="009B56F4">
        <w:rPr>
          <w:rFonts w:cs="Arial"/>
          <w:sz w:val="22"/>
          <w:szCs w:val="22"/>
        </w:rPr>
        <w:t>2017/18</w:t>
      </w:r>
      <w:r w:rsidRPr="00483CBA">
        <w:rPr>
          <w:rFonts w:cs="Arial"/>
          <w:sz w:val="22"/>
          <w:szCs w:val="22"/>
        </w:rPr>
        <w:t>, and thereafter.</w:t>
      </w:r>
    </w:p>
    <w:p w:rsidR="00995909" w:rsidRPr="00483CBA" w:rsidRDefault="00995909" w:rsidP="00842B62">
      <w:pPr>
        <w:rPr>
          <w:rFonts w:cs="Arial"/>
          <w:sz w:val="22"/>
          <w:szCs w:val="22"/>
        </w:rPr>
      </w:pPr>
    </w:p>
    <w:p w:rsidR="00995909" w:rsidRPr="00483CBA" w:rsidRDefault="00995909" w:rsidP="00842B62">
      <w:pPr>
        <w:numPr>
          <w:ilvl w:val="0"/>
          <w:numId w:val="1"/>
        </w:numPr>
        <w:rPr>
          <w:rFonts w:cs="Arial"/>
          <w:sz w:val="22"/>
          <w:szCs w:val="22"/>
        </w:rPr>
      </w:pPr>
      <w:proofErr w:type="gramStart"/>
      <w:r w:rsidRPr="00483CBA">
        <w:rPr>
          <w:rFonts w:cs="Arial"/>
          <w:sz w:val="22"/>
          <w:szCs w:val="22"/>
        </w:rPr>
        <w:t>use</w:t>
      </w:r>
      <w:proofErr w:type="gramEnd"/>
      <w:r w:rsidRPr="00483CBA">
        <w:rPr>
          <w:rFonts w:cs="Arial"/>
          <w:sz w:val="22"/>
          <w:szCs w:val="22"/>
        </w:rPr>
        <w:t xml:space="preserve"> the assumptions in the </w:t>
      </w:r>
      <w:r w:rsidR="00CB01AB">
        <w:rPr>
          <w:rFonts w:cs="Arial"/>
          <w:sz w:val="22"/>
          <w:szCs w:val="22"/>
        </w:rPr>
        <w:t xml:space="preserve">Officer </w:t>
      </w:r>
      <w:r w:rsidRPr="00483CBA">
        <w:rPr>
          <w:rFonts w:cs="Arial"/>
          <w:sz w:val="22"/>
          <w:szCs w:val="22"/>
        </w:rPr>
        <w:t xml:space="preserve">base budget presented to the </w:t>
      </w:r>
      <w:r w:rsidR="00483CBA" w:rsidRPr="00483CBA">
        <w:rPr>
          <w:rFonts w:cs="Arial"/>
          <w:sz w:val="22"/>
          <w:szCs w:val="22"/>
        </w:rPr>
        <w:t xml:space="preserve">Policy </w:t>
      </w:r>
      <w:r w:rsidR="00EF2FE0">
        <w:rPr>
          <w:rFonts w:cs="Arial"/>
          <w:sz w:val="22"/>
          <w:szCs w:val="22"/>
        </w:rPr>
        <w:t>and</w:t>
      </w:r>
      <w:r w:rsidR="00483CBA" w:rsidRPr="00483CBA">
        <w:rPr>
          <w:rFonts w:cs="Arial"/>
          <w:sz w:val="22"/>
          <w:szCs w:val="22"/>
        </w:rPr>
        <w:t xml:space="preserve"> Resources</w:t>
      </w:r>
      <w:r w:rsidRPr="00483CBA">
        <w:rPr>
          <w:rFonts w:cs="Arial"/>
          <w:sz w:val="22"/>
          <w:szCs w:val="22"/>
        </w:rPr>
        <w:t xml:space="preserve"> Committee on 2</w:t>
      </w:r>
      <w:r w:rsidR="00CB01AB">
        <w:rPr>
          <w:rFonts w:cs="Arial"/>
          <w:sz w:val="22"/>
          <w:szCs w:val="22"/>
        </w:rPr>
        <w:t>3</w:t>
      </w:r>
      <w:r w:rsidRPr="00483CBA">
        <w:rPr>
          <w:rFonts w:cs="Arial"/>
          <w:sz w:val="22"/>
          <w:szCs w:val="22"/>
        </w:rPr>
        <w:t xml:space="preserve"> January 201</w:t>
      </w:r>
      <w:r w:rsidR="00CB01AB">
        <w:rPr>
          <w:rFonts w:cs="Arial"/>
          <w:sz w:val="22"/>
          <w:szCs w:val="22"/>
        </w:rPr>
        <w:t>7</w:t>
      </w:r>
      <w:r w:rsidRPr="00483CBA">
        <w:rPr>
          <w:rFonts w:cs="Arial"/>
          <w:sz w:val="22"/>
          <w:szCs w:val="22"/>
        </w:rPr>
        <w:t>.</w:t>
      </w:r>
    </w:p>
    <w:p w:rsidR="00995909" w:rsidRPr="00483CBA" w:rsidRDefault="00995909" w:rsidP="00842B62">
      <w:pPr>
        <w:rPr>
          <w:rFonts w:cs="Arial"/>
          <w:sz w:val="22"/>
          <w:szCs w:val="22"/>
        </w:rPr>
      </w:pPr>
    </w:p>
    <w:p w:rsidR="00DE1723" w:rsidRPr="0014684B" w:rsidRDefault="00995909" w:rsidP="00842B62">
      <w:pPr>
        <w:numPr>
          <w:ilvl w:val="0"/>
          <w:numId w:val="1"/>
        </w:numPr>
        <w:rPr>
          <w:rFonts w:cs="Arial"/>
          <w:sz w:val="22"/>
          <w:szCs w:val="22"/>
        </w:rPr>
      </w:pPr>
      <w:proofErr w:type="gramStart"/>
      <w:r w:rsidRPr="0014684B">
        <w:rPr>
          <w:rFonts w:cs="Arial"/>
          <w:sz w:val="22"/>
          <w:szCs w:val="22"/>
        </w:rPr>
        <w:t>include</w:t>
      </w:r>
      <w:proofErr w:type="gramEnd"/>
      <w:r w:rsidR="00DE1723" w:rsidRPr="0014684B">
        <w:rPr>
          <w:rFonts w:cs="Arial"/>
          <w:sz w:val="22"/>
          <w:szCs w:val="22"/>
        </w:rPr>
        <w:t xml:space="preserve"> </w:t>
      </w:r>
      <w:r w:rsidRPr="0014684B">
        <w:rPr>
          <w:rFonts w:cs="Arial"/>
          <w:sz w:val="22"/>
          <w:szCs w:val="22"/>
        </w:rPr>
        <w:t>additional</w:t>
      </w:r>
      <w:r w:rsidR="00DE1723" w:rsidRPr="0014684B">
        <w:rPr>
          <w:rFonts w:cs="Arial"/>
          <w:sz w:val="22"/>
          <w:szCs w:val="22"/>
        </w:rPr>
        <w:t xml:space="preserve"> growth </w:t>
      </w:r>
      <w:r w:rsidR="00E77D08">
        <w:rPr>
          <w:rFonts w:cs="Arial"/>
          <w:sz w:val="22"/>
          <w:szCs w:val="22"/>
        </w:rPr>
        <w:t xml:space="preserve">and savings </w:t>
      </w:r>
      <w:r w:rsidRPr="0014684B">
        <w:rPr>
          <w:rFonts w:cs="Arial"/>
          <w:sz w:val="22"/>
          <w:szCs w:val="22"/>
        </w:rPr>
        <w:t>to those included in the</w:t>
      </w:r>
      <w:r w:rsidR="00CB01AB">
        <w:rPr>
          <w:rFonts w:cs="Arial"/>
          <w:sz w:val="22"/>
          <w:szCs w:val="22"/>
        </w:rPr>
        <w:t xml:space="preserve"> Officer </w:t>
      </w:r>
      <w:r w:rsidRPr="0014684B">
        <w:rPr>
          <w:rFonts w:cs="Arial"/>
          <w:sz w:val="22"/>
          <w:szCs w:val="22"/>
        </w:rPr>
        <w:t xml:space="preserve">base budget presented to the </w:t>
      </w:r>
      <w:r w:rsidR="00483CBA" w:rsidRPr="0014684B">
        <w:rPr>
          <w:rFonts w:cs="Arial"/>
          <w:sz w:val="22"/>
          <w:szCs w:val="22"/>
        </w:rPr>
        <w:t>Policy &amp; Resources</w:t>
      </w:r>
      <w:r w:rsidRPr="0014684B">
        <w:rPr>
          <w:rFonts w:cs="Arial"/>
          <w:sz w:val="22"/>
          <w:szCs w:val="22"/>
        </w:rPr>
        <w:t xml:space="preserve"> Committee on 2</w:t>
      </w:r>
      <w:r w:rsidR="00CB01AB">
        <w:rPr>
          <w:rFonts w:cs="Arial"/>
          <w:sz w:val="22"/>
          <w:szCs w:val="22"/>
        </w:rPr>
        <w:t>3</w:t>
      </w:r>
      <w:r w:rsidR="00FE7623" w:rsidRPr="0014684B">
        <w:rPr>
          <w:rFonts w:cs="Arial"/>
          <w:sz w:val="22"/>
          <w:szCs w:val="22"/>
        </w:rPr>
        <w:t xml:space="preserve"> </w:t>
      </w:r>
      <w:r w:rsidRPr="0014684B">
        <w:rPr>
          <w:rFonts w:cs="Arial"/>
          <w:sz w:val="22"/>
          <w:szCs w:val="22"/>
        </w:rPr>
        <w:t>January 201</w:t>
      </w:r>
      <w:r w:rsidR="00CB01AB">
        <w:rPr>
          <w:rFonts w:cs="Arial"/>
          <w:sz w:val="22"/>
          <w:szCs w:val="22"/>
        </w:rPr>
        <w:t>7</w:t>
      </w:r>
      <w:r w:rsidRPr="0014684B">
        <w:rPr>
          <w:rFonts w:cs="Arial"/>
          <w:sz w:val="22"/>
          <w:szCs w:val="22"/>
        </w:rPr>
        <w:t>.</w:t>
      </w:r>
      <w:r w:rsidR="00F533E7" w:rsidRPr="0014684B">
        <w:rPr>
          <w:rFonts w:cs="Arial"/>
          <w:sz w:val="22"/>
          <w:szCs w:val="22"/>
        </w:rPr>
        <w:t xml:space="preserve"> (see </w:t>
      </w:r>
      <w:r w:rsidR="00CB01AB">
        <w:rPr>
          <w:rFonts w:cs="Arial"/>
          <w:sz w:val="22"/>
          <w:szCs w:val="22"/>
        </w:rPr>
        <w:t>Appendix 1a</w:t>
      </w:r>
      <w:r w:rsidR="00F533E7" w:rsidRPr="0014684B">
        <w:rPr>
          <w:rFonts w:cs="Arial"/>
          <w:sz w:val="22"/>
          <w:szCs w:val="22"/>
        </w:rPr>
        <w:t>)</w:t>
      </w:r>
    </w:p>
    <w:p w:rsidR="00DE1723" w:rsidRPr="00483CBA" w:rsidRDefault="00DE1723" w:rsidP="00842B62">
      <w:pPr>
        <w:rPr>
          <w:rFonts w:cs="Arial"/>
          <w:sz w:val="22"/>
          <w:szCs w:val="22"/>
        </w:rPr>
      </w:pPr>
    </w:p>
    <w:p w:rsidR="00995909" w:rsidRPr="00CB01AB" w:rsidRDefault="00995909" w:rsidP="00842B62">
      <w:pPr>
        <w:rPr>
          <w:rFonts w:cs="Arial"/>
          <w:b/>
          <w:color w:val="0070C0"/>
          <w:sz w:val="22"/>
          <w:szCs w:val="22"/>
        </w:rPr>
      </w:pPr>
      <w:r w:rsidRPr="00483CBA">
        <w:rPr>
          <w:rFonts w:cs="Arial"/>
          <w:sz w:val="22"/>
          <w:szCs w:val="22"/>
        </w:rPr>
        <w:t>Under the assumptions used, the estimates have been correctly calculated, and do not significantly vary the level of risk already identified</w:t>
      </w:r>
      <w:r w:rsidRPr="00DC1388">
        <w:rPr>
          <w:rFonts w:cs="Arial"/>
          <w:sz w:val="22"/>
          <w:szCs w:val="22"/>
        </w:rPr>
        <w:t xml:space="preserve">. </w:t>
      </w:r>
      <w:r w:rsidRPr="00CB01AB">
        <w:rPr>
          <w:rFonts w:cs="Arial"/>
          <w:sz w:val="22"/>
          <w:szCs w:val="22"/>
        </w:rPr>
        <w:t xml:space="preserve">They result in a </w:t>
      </w:r>
      <w:r w:rsidR="00DC1388" w:rsidRPr="00CB01AB">
        <w:rPr>
          <w:rFonts w:cs="Arial"/>
          <w:sz w:val="22"/>
          <w:szCs w:val="22"/>
        </w:rPr>
        <w:t xml:space="preserve">small </w:t>
      </w:r>
      <w:r w:rsidRPr="00CB01AB">
        <w:rPr>
          <w:rFonts w:cs="Arial"/>
          <w:sz w:val="22"/>
          <w:szCs w:val="22"/>
        </w:rPr>
        <w:t xml:space="preserve">revenue </w:t>
      </w:r>
      <w:r w:rsidR="00B30403" w:rsidRPr="00CB01AB">
        <w:rPr>
          <w:rFonts w:cs="Arial"/>
          <w:sz w:val="22"/>
          <w:szCs w:val="22"/>
        </w:rPr>
        <w:t>surplus</w:t>
      </w:r>
      <w:r w:rsidRPr="00CB01AB">
        <w:rPr>
          <w:rFonts w:cs="Arial"/>
          <w:sz w:val="22"/>
          <w:szCs w:val="22"/>
        </w:rPr>
        <w:t xml:space="preserve"> of </w:t>
      </w:r>
      <w:r w:rsidRPr="0023411D">
        <w:rPr>
          <w:rFonts w:cs="Arial"/>
          <w:b/>
          <w:sz w:val="22"/>
          <w:szCs w:val="22"/>
        </w:rPr>
        <w:t>£</w:t>
      </w:r>
      <w:r w:rsidR="00DC1388" w:rsidRPr="0023411D">
        <w:rPr>
          <w:rFonts w:cs="Arial"/>
          <w:b/>
          <w:sz w:val="22"/>
          <w:szCs w:val="22"/>
        </w:rPr>
        <w:t>0</w:t>
      </w:r>
      <w:r w:rsidRPr="0023411D">
        <w:rPr>
          <w:rFonts w:cs="Arial"/>
          <w:b/>
          <w:sz w:val="22"/>
          <w:szCs w:val="22"/>
        </w:rPr>
        <w:t>.</w:t>
      </w:r>
      <w:r w:rsidR="00DC1388" w:rsidRPr="0023411D">
        <w:rPr>
          <w:rFonts w:cs="Arial"/>
          <w:b/>
          <w:sz w:val="22"/>
          <w:szCs w:val="22"/>
        </w:rPr>
        <w:t>0</w:t>
      </w:r>
      <w:r w:rsidR="00CB01AB" w:rsidRPr="0023411D">
        <w:rPr>
          <w:rFonts w:cs="Arial"/>
          <w:b/>
          <w:sz w:val="22"/>
          <w:szCs w:val="22"/>
        </w:rPr>
        <w:t>16</w:t>
      </w:r>
      <w:r w:rsidRPr="0023411D">
        <w:rPr>
          <w:rFonts w:cs="Arial"/>
          <w:b/>
          <w:sz w:val="22"/>
          <w:szCs w:val="22"/>
        </w:rPr>
        <w:t>m</w:t>
      </w:r>
      <w:r w:rsidRPr="00CB01AB">
        <w:rPr>
          <w:rFonts w:cs="Arial"/>
          <w:sz w:val="22"/>
          <w:szCs w:val="22"/>
        </w:rPr>
        <w:t xml:space="preserve"> in </w:t>
      </w:r>
      <w:r w:rsidR="00CB01AB" w:rsidRPr="00CB01AB">
        <w:rPr>
          <w:rFonts w:cs="Arial"/>
          <w:sz w:val="22"/>
          <w:szCs w:val="22"/>
        </w:rPr>
        <w:t>2019/20</w:t>
      </w:r>
      <w:r w:rsidR="007D3502" w:rsidRPr="00CB01AB">
        <w:rPr>
          <w:rFonts w:cs="Arial"/>
          <w:sz w:val="22"/>
          <w:szCs w:val="22"/>
        </w:rPr>
        <w:t xml:space="preserve"> </w:t>
      </w:r>
      <w:r w:rsidR="00DE1723" w:rsidRPr="00CB01AB">
        <w:rPr>
          <w:rFonts w:cs="Arial"/>
          <w:sz w:val="22"/>
          <w:szCs w:val="22"/>
        </w:rPr>
        <w:t xml:space="preserve">and an estimated revenue balance </w:t>
      </w:r>
      <w:r w:rsidR="00DE1723" w:rsidRPr="0023411D">
        <w:rPr>
          <w:rFonts w:cs="Arial"/>
          <w:sz w:val="22"/>
          <w:szCs w:val="22"/>
        </w:rPr>
        <w:t xml:space="preserve">of </w:t>
      </w:r>
      <w:r w:rsidR="00DE1723" w:rsidRPr="0023411D">
        <w:rPr>
          <w:rFonts w:cs="Arial"/>
          <w:b/>
          <w:sz w:val="22"/>
          <w:szCs w:val="22"/>
        </w:rPr>
        <w:t>£</w:t>
      </w:r>
      <w:r w:rsidR="00CB01AB" w:rsidRPr="0023411D">
        <w:rPr>
          <w:rFonts w:cs="Arial"/>
          <w:b/>
          <w:sz w:val="22"/>
          <w:szCs w:val="22"/>
        </w:rPr>
        <w:t>3.4</w:t>
      </w:r>
      <w:r w:rsidR="0023411D" w:rsidRPr="0023411D">
        <w:rPr>
          <w:rFonts w:cs="Arial"/>
          <w:b/>
          <w:sz w:val="22"/>
          <w:szCs w:val="22"/>
        </w:rPr>
        <w:t>2</w:t>
      </w:r>
      <w:r w:rsidR="00CB01AB" w:rsidRPr="0023411D">
        <w:rPr>
          <w:rFonts w:cs="Arial"/>
          <w:b/>
          <w:sz w:val="22"/>
          <w:szCs w:val="22"/>
        </w:rPr>
        <w:t>4m</w:t>
      </w:r>
      <w:r w:rsidR="007D3502" w:rsidRPr="00CB01AB">
        <w:rPr>
          <w:rFonts w:cs="Arial"/>
          <w:color w:val="0070C0"/>
          <w:sz w:val="22"/>
          <w:szCs w:val="22"/>
        </w:rPr>
        <w:t xml:space="preserve">. </w:t>
      </w:r>
      <w:r w:rsidR="007D3502" w:rsidRPr="00CB01AB">
        <w:rPr>
          <w:rFonts w:cs="Arial"/>
          <w:sz w:val="22"/>
          <w:szCs w:val="22"/>
        </w:rPr>
        <w:t>C</w:t>
      </w:r>
      <w:r w:rsidRPr="00CB01AB">
        <w:rPr>
          <w:rFonts w:cs="Arial"/>
          <w:sz w:val="22"/>
          <w:szCs w:val="22"/>
        </w:rPr>
        <w:t xml:space="preserve">apital resources </w:t>
      </w:r>
      <w:r w:rsidR="007D3502" w:rsidRPr="00CB01AB">
        <w:rPr>
          <w:rFonts w:cs="Arial"/>
          <w:sz w:val="22"/>
          <w:szCs w:val="22"/>
        </w:rPr>
        <w:t xml:space="preserve">are estimated to be </w:t>
      </w:r>
      <w:r w:rsidRPr="00064584">
        <w:rPr>
          <w:rFonts w:cs="Arial"/>
          <w:sz w:val="22"/>
          <w:szCs w:val="22"/>
        </w:rPr>
        <w:t xml:space="preserve">of </w:t>
      </w:r>
      <w:r w:rsidRPr="0023411D">
        <w:rPr>
          <w:rFonts w:cs="Arial"/>
          <w:b/>
          <w:sz w:val="22"/>
          <w:szCs w:val="22"/>
        </w:rPr>
        <w:t>£</w:t>
      </w:r>
      <w:r w:rsidR="00CB01AB" w:rsidRPr="0023411D">
        <w:rPr>
          <w:rFonts w:cs="Arial"/>
          <w:b/>
          <w:sz w:val="22"/>
          <w:szCs w:val="22"/>
        </w:rPr>
        <w:t>6.</w:t>
      </w:r>
      <w:r w:rsidR="007407A3" w:rsidRPr="0023411D">
        <w:rPr>
          <w:rFonts w:cs="Arial"/>
          <w:b/>
          <w:sz w:val="22"/>
          <w:szCs w:val="22"/>
        </w:rPr>
        <w:t>438</w:t>
      </w:r>
      <w:r w:rsidRPr="0023411D">
        <w:rPr>
          <w:rFonts w:cs="Arial"/>
          <w:b/>
          <w:sz w:val="22"/>
          <w:szCs w:val="22"/>
        </w:rPr>
        <w:t>m</w:t>
      </w:r>
      <w:r w:rsidRPr="00CB01AB">
        <w:rPr>
          <w:rFonts w:cs="Arial"/>
          <w:sz w:val="22"/>
          <w:szCs w:val="22"/>
        </w:rPr>
        <w:t xml:space="preserve"> at 31 March 20</w:t>
      </w:r>
      <w:r w:rsidR="00CB01AB" w:rsidRPr="00CB01AB">
        <w:rPr>
          <w:rFonts w:cs="Arial"/>
          <w:sz w:val="22"/>
          <w:szCs w:val="22"/>
        </w:rPr>
        <w:t>20</w:t>
      </w:r>
      <w:r w:rsidRPr="00CB01AB">
        <w:rPr>
          <w:rFonts w:cs="Arial"/>
          <w:sz w:val="22"/>
          <w:szCs w:val="22"/>
        </w:rPr>
        <w:t xml:space="preserve">. These reserves are </w:t>
      </w:r>
      <w:r w:rsidR="008F079A">
        <w:rPr>
          <w:rFonts w:cs="Arial"/>
          <w:sz w:val="22"/>
          <w:szCs w:val="22"/>
        </w:rPr>
        <w:t xml:space="preserve">considered to be </w:t>
      </w:r>
      <w:r w:rsidRPr="00CB01AB">
        <w:rPr>
          <w:rFonts w:cs="Arial"/>
          <w:sz w:val="22"/>
          <w:szCs w:val="22"/>
        </w:rPr>
        <w:t>adequate</w:t>
      </w:r>
      <w:r w:rsidRPr="00CB01AB">
        <w:rPr>
          <w:rFonts w:cs="Arial"/>
          <w:color w:val="0070C0"/>
          <w:sz w:val="22"/>
          <w:szCs w:val="22"/>
        </w:rPr>
        <w:t>.</w:t>
      </w:r>
    </w:p>
    <w:p w:rsidR="00995909" w:rsidRPr="00C2346B" w:rsidRDefault="00995909" w:rsidP="00842B62">
      <w:pPr>
        <w:rPr>
          <w:sz w:val="22"/>
        </w:rPr>
      </w:pPr>
    </w:p>
    <w:p w:rsidR="00995909" w:rsidRDefault="002E774C" w:rsidP="00842B62">
      <w:pPr>
        <w:outlineLvl w:val="0"/>
        <w:rPr>
          <w:sz w:val="22"/>
        </w:rPr>
      </w:pPr>
      <w:r>
        <w:rPr>
          <w:sz w:val="22"/>
        </w:rPr>
        <w:t>J</w:t>
      </w:r>
      <w:r w:rsidR="00DC1388">
        <w:rPr>
          <w:sz w:val="22"/>
        </w:rPr>
        <w:t xml:space="preserve"> </w:t>
      </w:r>
      <w:r w:rsidR="00995909">
        <w:rPr>
          <w:sz w:val="22"/>
        </w:rPr>
        <w:t>.</w:t>
      </w:r>
      <w:r>
        <w:rPr>
          <w:sz w:val="22"/>
        </w:rPr>
        <w:t>Wagstaffe</w:t>
      </w:r>
    </w:p>
    <w:p w:rsidR="00995909" w:rsidRDefault="00995909" w:rsidP="00842B62">
      <w:pPr>
        <w:rPr>
          <w:sz w:val="22"/>
        </w:rPr>
      </w:pPr>
      <w:r>
        <w:rPr>
          <w:sz w:val="22"/>
        </w:rPr>
        <w:t xml:space="preserve">Director of </w:t>
      </w:r>
      <w:r w:rsidR="002E774C">
        <w:rPr>
          <w:sz w:val="22"/>
        </w:rPr>
        <w:t>Finance</w:t>
      </w:r>
      <w:r w:rsidR="006F5480">
        <w:rPr>
          <w:sz w:val="22"/>
        </w:rPr>
        <w:t xml:space="preserve"> (Shared Services)</w:t>
      </w:r>
    </w:p>
    <w:p w:rsidR="00995909" w:rsidRDefault="00995909" w:rsidP="00842B62">
      <w:pPr>
        <w:rPr>
          <w:sz w:val="22"/>
        </w:rPr>
      </w:pPr>
      <w:r>
        <w:rPr>
          <w:sz w:val="22"/>
        </w:rPr>
        <w:t>2</w:t>
      </w:r>
      <w:r w:rsidR="00CB01AB">
        <w:rPr>
          <w:sz w:val="22"/>
        </w:rPr>
        <w:t>1</w:t>
      </w:r>
      <w:r>
        <w:rPr>
          <w:sz w:val="22"/>
        </w:rPr>
        <w:t xml:space="preserve"> February </w:t>
      </w:r>
      <w:r w:rsidR="002E774C">
        <w:rPr>
          <w:sz w:val="22"/>
        </w:rPr>
        <w:t>201</w:t>
      </w:r>
      <w:r w:rsidR="00CB01AB">
        <w:rPr>
          <w:sz w:val="22"/>
        </w:rPr>
        <w:t>7</w:t>
      </w:r>
    </w:p>
    <w:p w:rsidR="00995909" w:rsidRDefault="00995909" w:rsidP="003156B0">
      <w:pPr>
        <w:jc w:val="both"/>
        <w:sectPr w:rsidR="00995909" w:rsidSect="002E48AC">
          <w:footerReference w:type="default" r:id="rId10"/>
          <w:pgSz w:w="11906" w:h="16838"/>
          <w:pgMar w:top="567" w:right="1077" w:bottom="454" w:left="1077" w:header="709" w:footer="709" w:gutter="0"/>
          <w:cols w:space="708"/>
          <w:docGrid w:linePitch="360"/>
        </w:sectPr>
      </w:pPr>
    </w:p>
    <w:p w:rsidR="00995909" w:rsidRDefault="00392777" w:rsidP="003156B0">
      <w:pPr>
        <w:jc w:val="right"/>
        <w:rPr>
          <w:b/>
          <w:szCs w:val="24"/>
        </w:rPr>
      </w:pPr>
      <w:r w:rsidRPr="002E48AC">
        <w:rPr>
          <w:b/>
          <w:szCs w:val="24"/>
        </w:rPr>
        <w:lastRenderedPageBreak/>
        <w:t>APPENDIX</w:t>
      </w:r>
      <w:r w:rsidR="00995909" w:rsidRPr="002E48AC">
        <w:rPr>
          <w:b/>
          <w:szCs w:val="24"/>
        </w:rPr>
        <w:t xml:space="preserve"> 1</w:t>
      </w:r>
    </w:p>
    <w:p w:rsidR="0052741E" w:rsidRPr="002E48AC" w:rsidRDefault="0052741E" w:rsidP="0052741E">
      <w:pPr>
        <w:rPr>
          <w:b/>
          <w:szCs w:val="24"/>
        </w:rPr>
      </w:pPr>
      <w:r>
        <w:rPr>
          <w:b/>
          <w:szCs w:val="24"/>
        </w:rPr>
        <w:t>MEDIUM TERM FINA</w:t>
      </w:r>
      <w:r w:rsidR="00874E8F">
        <w:rPr>
          <w:b/>
          <w:szCs w:val="24"/>
        </w:rPr>
        <w:t>N</w:t>
      </w:r>
      <w:bookmarkStart w:id="0" w:name="_GoBack"/>
      <w:bookmarkEnd w:id="0"/>
      <w:r>
        <w:rPr>
          <w:b/>
          <w:szCs w:val="24"/>
        </w:rPr>
        <w:t>CIAL PLAN</w:t>
      </w:r>
    </w:p>
    <w:p w:rsidR="006C48FF" w:rsidRDefault="00372C29">
      <w:pPr>
        <w:jc w:val="right"/>
        <w:rPr>
          <w:b/>
          <w:sz w:val="22"/>
          <w:szCs w:val="22"/>
        </w:rPr>
      </w:pPr>
      <w:r w:rsidRPr="00372C29">
        <w:rPr>
          <w:noProof/>
          <w:lang w:eastAsia="en-GB"/>
        </w:rPr>
        <w:drawing>
          <wp:inline distT="0" distB="0" distL="0" distR="0" wp14:anchorId="286EF35E" wp14:editId="437B20BC">
            <wp:extent cx="6192520" cy="8650198"/>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92520" cy="8650198"/>
                    </a:xfrm>
                    <a:prstGeom prst="rect">
                      <a:avLst/>
                    </a:prstGeom>
                    <a:noFill/>
                    <a:ln>
                      <a:noFill/>
                    </a:ln>
                  </pic:spPr>
                </pic:pic>
              </a:graphicData>
            </a:graphic>
          </wp:inline>
        </w:drawing>
      </w:r>
    </w:p>
    <w:p w:rsidR="006C48FF" w:rsidRPr="004B2141" w:rsidRDefault="006C48FF" w:rsidP="00F140D1">
      <w:pPr>
        <w:rPr>
          <w:b/>
          <w:sz w:val="22"/>
          <w:szCs w:val="22"/>
        </w:rPr>
      </w:pPr>
    </w:p>
    <w:p w:rsidR="00995909" w:rsidRDefault="00475799" w:rsidP="00F533E7">
      <w:pPr>
        <w:jc w:val="right"/>
        <w:rPr>
          <w:b/>
        </w:rPr>
      </w:pPr>
      <w:r>
        <w:rPr>
          <w:b/>
        </w:rPr>
        <w:lastRenderedPageBreak/>
        <w:t xml:space="preserve">APPENDIX </w:t>
      </w:r>
      <w:r w:rsidR="002E48AC">
        <w:rPr>
          <w:b/>
        </w:rPr>
        <w:t>1a</w:t>
      </w:r>
    </w:p>
    <w:p w:rsidR="006F5480" w:rsidRDefault="006F5480" w:rsidP="00F533E7">
      <w:pPr>
        <w:jc w:val="right"/>
        <w:rPr>
          <w:b/>
        </w:rPr>
      </w:pPr>
    </w:p>
    <w:p w:rsidR="006F5480" w:rsidRDefault="006F5480" w:rsidP="00F533E7">
      <w:pPr>
        <w:jc w:val="right"/>
        <w:rPr>
          <w:b/>
        </w:rPr>
      </w:pPr>
    </w:p>
    <w:p w:rsidR="00F533E7" w:rsidRDefault="00F533E7" w:rsidP="00F140D1">
      <w:pPr>
        <w:jc w:val="center"/>
        <w:rPr>
          <w:b/>
        </w:rPr>
      </w:pPr>
    </w:p>
    <w:p w:rsidR="002E48AC" w:rsidRDefault="00372C29" w:rsidP="00F140D1">
      <w:pPr>
        <w:jc w:val="center"/>
        <w:sectPr w:rsidR="002E48AC" w:rsidSect="0052741E">
          <w:pgSz w:w="11906" w:h="16838"/>
          <w:pgMar w:top="709" w:right="1077" w:bottom="709" w:left="1077" w:header="709" w:footer="709" w:gutter="0"/>
          <w:cols w:space="708"/>
          <w:docGrid w:linePitch="360"/>
        </w:sectPr>
      </w:pPr>
      <w:r w:rsidRPr="00372C29">
        <w:rPr>
          <w:noProof/>
          <w:lang w:eastAsia="en-GB"/>
        </w:rPr>
        <w:drawing>
          <wp:inline distT="0" distB="0" distL="0" distR="0" wp14:anchorId="6EFBF73D" wp14:editId="5348DF49">
            <wp:extent cx="6188128" cy="5772150"/>
            <wp:effectExtent l="0" t="0" r="317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92520" cy="5776247"/>
                    </a:xfrm>
                    <a:prstGeom prst="rect">
                      <a:avLst/>
                    </a:prstGeom>
                    <a:noFill/>
                    <a:ln>
                      <a:noFill/>
                    </a:ln>
                  </pic:spPr>
                </pic:pic>
              </a:graphicData>
            </a:graphic>
          </wp:inline>
        </w:drawing>
      </w:r>
      <w:r w:rsidR="00392777" w:rsidRPr="00392777">
        <w:t xml:space="preserve"> </w:t>
      </w:r>
    </w:p>
    <w:p w:rsidR="00547BAE" w:rsidRDefault="00547BAE" w:rsidP="00547BAE">
      <w:pPr>
        <w:jc w:val="right"/>
        <w:rPr>
          <w:b/>
        </w:rPr>
      </w:pPr>
      <w:r>
        <w:rPr>
          <w:b/>
        </w:rPr>
        <w:lastRenderedPageBreak/>
        <w:t>APPENDIX 2</w:t>
      </w:r>
    </w:p>
    <w:p w:rsidR="00547BAE" w:rsidRDefault="00547BAE" w:rsidP="00547BAE">
      <w:pPr>
        <w:rPr>
          <w:b/>
        </w:rPr>
      </w:pPr>
      <w:r>
        <w:rPr>
          <w:b/>
        </w:rPr>
        <w:t>CAPITAL INVESTMENT PROGRAMME 2016 - 2020</w:t>
      </w:r>
    </w:p>
    <w:p w:rsidR="00547BAE" w:rsidRPr="0009759F" w:rsidRDefault="00547BAE" w:rsidP="00547BAE"/>
    <w:p w:rsidR="001262A1" w:rsidRDefault="00BC6207" w:rsidP="00F140D1">
      <w:pPr>
        <w:jc w:val="center"/>
      </w:pPr>
      <w:r w:rsidRPr="00BC6207">
        <w:rPr>
          <w:noProof/>
          <w:lang w:eastAsia="en-GB"/>
        </w:rPr>
        <w:drawing>
          <wp:inline distT="0" distB="0" distL="0" distR="0" wp14:anchorId="380E7D8D" wp14:editId="1EF36710">
            <wp:extent cx="9108440" cy="4069438"/>
            <wp:effectExtent l="0" t="0" r="0"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108440" cy="4069438"/>
                    </a:xfrm>
                    <a:prstGeom prst="rect">
                      <a:avLst/>
                    </a:prstGeom>
                    <a:noFill/>
                    <a:ln>
                      <a:noFill/>
                    </a:ln>
                  </pic:spPr>
                </pic:pic>
              </a:graphicData>
            </a:graphic>
          </wp:inline>
        </w:drawing>
      </w:r>
    </w:p>
    <w:p w:rsidR="001262A1" w:rsidRDefault="001262A1" w:rsidP="0052741E">
      <w:pPr>
        <w:sectPr w:rsidR="001262A1" w:rsidSect="002E48AC">
          <w:pgSz w:w="16838" w:h="11906" w:orient="landscape"/>
          <w:pgMar w:top="1077" w:right="1247" w:bottom="1077" w:left="1247" w:header="709" w:footer="709" w:gutter="0"/>
          <w:cols w:space="708"/>
          <w:docGrid w:linePitch="360"/>
        </w:sectPr>
      </w:pPr>
    </w:p>
    <w:p w:rsidR="002E48AC" w:rsidRDefault="00BC6207" w:rsidP="001262A1">
      <w:pPr>
        <w:jc w:val="right"/>
        <w:rPr>
          <w:b/>
        </w:rPr>
      </w:pPr>
      <w:r w:rsidRPr="00BC6207">
        <w:rPr>
          <w:noProof/>
          <w:lang w:eastAsia="en-GB"/>
        </w:rPr>
        <w:lastRenderedPageBreak/>
        <w:drawing>
          <wp:inline distT="0" distB="0" distL="0" distR="0" wp14:anchorId="494E8475" wp14:editId="643C645A">
            <wp:extent cx="9108440" cy="4602015"/>
            <wp:effectExtent l="0" t="0" r="0" b="8255"/>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9108440" cy="4602015"/>
                    </a:xfrm>
                    <a:prstGeom prst="rect">
                      <a:avLst/>
                    </a:prstGeom>
                    <a:noFill/>
                    <a:ln>
                      <a:noFill/>
                    </a:ln>
                  </pic:spPr>
                </pic:pic>
              </a:graphicData>
            </a:graphic>
          </wp:inline>
        </w:drawing>
      </w: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BC6207" w:rsidP="001262A1">
      <w:pPr>
        <w:jc w:val="right"/>
        <w:rPr>
          <w:b/>
        </w:rPr>
      </w:pPr>
      <w:r w:rsidRPr="00BC6207">
        <w:rPr>
          <w:noProof/>
          <w:lang w:eastAsia="en-GB"/>
        </w:rPr>
        <w:lastRenderedPageBreak/>
        <w:drawing>
          <wp:inline distT="0" distB="0" distL="0" distR="0" wp14:anchorId="0E1A4115" wp14:editId="203F7C67">
            <wp:extent cx="9105899" cy="6086475"/>
            <wp:effectExtent l="0" t="0" r="63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9108440" cy="6088173"/>
                    </a:xfrm>
                    <a:prstGeom prst="rect">
                      <a:avLst/>
                    </a:prstGeom>
                    <a:noFill/>
                    <a:ln>
                      <a:noFill/>
                    </a:ln>
                  </pic:spPr>
                </pic:pic>
              </a:graphicData>
            </a:graphic>
          </wp:inline>
        </w:drawing>
      </w:r>
    </w:p>
    <w:p w:rsidR="002E48AC" w:rsidRDefault="002E48AC" w:rsidP="001262A1">
      <w:pPr>
        <w:jc w:val="right"/>
        <w:rPr>
          <w:b/>
        </w:rPr>
      </w:pPr>
    </w:p>
    <w:p w:rsidR="002E48AC" w:rsidRDefault="00BC6207" w:rsidP="001262A1">
      <w:pPr>
        <w:jc w:val="right"/>
        <w:rPr>
          <w:b/>
        </w:rPr>
      </w:pPr>
      <w:r w:rsidRPr="00BC6207">
        <w:rPr>
          <w:noProof/>
          <w:lang w:eastAsia="en-GB"/>
        </w:rPr>
        <w:drawing>
          <wp:inline distT="0" distB="0" distL="0" distR="0" wp14:anchorId="122BBFAE" wp14:editId="33652B30">
            <wp:extent cx="9108440" cy="2526329"/>
            <wp:effectExtent l="0" t="0" r="0" b="762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108440" cy="2526329"/>
                    </a:xfrm>
                    <a:prstGeom prst="rect">
                      <a:avLst/>
                    </a:prstGeom>
                    <a:noFill/>
                    <a:ln>
                      <a:noFill/>
                    </a:ln>
                  </pic:spPr>
                </pic:pic>
              </a:graphicData>
            </a:graphic>
          </wp:inline>
        </w:drawing>
      </w: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2E48AC" w:rsidRDefault="002E48AC" w:rsidP="001262A1">
      <w:pPr>
        <w:jc w:val="right"/>
        <w:rPr>
          <w:b/>
        </w:rPr>
      </w:pPr>
    </w:p>
    <w:p w:rsidR="00A2409D" w:rsidRDefault="00A2409D" w:rsidP="001262A1">
      <w:pPr>
        <w:jc w:val="right"/>
        <w:rPr>
          <w:b/>
        </w:rPr>
      </w:pPr>
    </w:p>
    <w:p w:rsidR="00A2409D" w:rsidRDefault="00A2409D" w:rsidP="001262A1">
      <w:pPr>
        <w:jc w:val="right"/>
        <w:rPr>
          <w:b/>
        </w:rPr>
      </w:pPr>
    </w:p>
    <w:p w:rsidR="00A2409D" w:rsidRDefault="00A2409D" w:rsidP="001262A1">
      <w:pPr>
        <w:jc w:val="right"/>
        <w:rPr>
          <w:b/>
        </w:rPr>
      </w:pPr>
    </w:p>
    <w:p w:rsidR="00A2409D" w:rsidRDefault="00A2409D" w:rsidP="001262A1">
      <w:pPr>
        <w:jc w:val="right"/>
        <w:rPr>
          <w:b/>
        </w:rPr>
      </w:pPr>
    </w:p>
    <w:p w:rsidR="002E48AC" w:rsidRDefault="002E48AC" w:rsidP="001262A1">
      <w:pPr>
        <w:jc w:val="right"/>
        <w:rPr>
          <w:b/>
        </w:rPr>
      </w:pPr>
    </w:p>
    <w:p w:rsidR="002E48AC" w:rsidRDefault="00BC6207" w:rsidP="001262A1">
      <w:pPr>
        <w:jc w:val="right"/>
        <w:rPr>
          <w:b/>
        </w:rPr>
      </w:pPr>
      <w:r w:rsidRPr="00BC6207">
        <w:rPr>
          <w:noProof/>
          <w:lang w:eastAsia="en-GB"/>
        </w:rPr>
        <w:lastRenderedPageBreak/>
        <w:drawing>
          <wp:inline distT="0" distB="0" distL="0" distR="0" wp14:anchorId="18366826" wp14:editId="7A464421">
            <wp:extent cx="9108440" cy="5633031"/>
            <wp:effectExtent l="0" t="0" r="0" b="635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9108440" cy="5633031"/>
                    </a:xfrm>
                    <a:prstGeom prst="rect">
                      <a:avLst/>
                    </a:prstGeom>
                    <a:noFill/>
                    <a:ln>
                      <a:noFill/>
                    </a:ln>
                  </pic:spPr>
                </pic:pic>
              </a:graphicData>
            </a:graphic>
          </wp:inline>
        </w:drawing>
      </w:r>
    </w:p>
    <w:p w:rsidR="002E48AC" w:rsidRDefault="002E48AC" w:rsidP="001262A1">
      <w:pPr>
        <w:jc w:val="right"/>
        <w:rPr>
          <w:b/>
        </w:rPr>
      </w:pPr>
    </w:p>
    <w:p w:rsidR="002E48AC" w:rsidRDefault="002E48AC" w:rsidP="001262A1">
      <w:pPr>
        <w:jc w:val="right"/>
        <w:rPr>
          <w:b/>
        </w:rPr>
      </w:pPr>
    </w:p>
    <w:p w:rsidR="00D400DF" w:rsidRDefault="00D400DF" w:rsidP="001262A1">
      <w:pPr>
        <w:jc w:val="right"/>
        <w:rPr>
          <w:b/>
        </w:rPr>
        <w:sectPr w:rsidR="00D400DF" w:rsidSect="00D8252C">
          <w:pgSz w:w="16838" w:h="11906" w:orient="landscape"/>
          <w:pgMar w:top="851" w:right="1247" w:bottom="709" w:left="1247" w:header="709" w:footer="709" w:gutter="0"/>
          <w:cols w:space="708"/>
          <w:docGrid w:linePitch="360"/>
        </w:sectPr>
      </w:pPr>
    </w:p>
    <w:p w:rsidR="002E48AC" w:rsidRDefault="00D400DF" w:rsidP="001262A1">
      <w:pPr>
        <w:jc w:val="right"/>
        <w:rPr>
          <w:b/>
        </w:rPr>
      </w:pPr>
      <w:r w:rsidRPr="00D400DF">
        <w:rPr>
          <w:noProof/>
          <w:lang w:eastAsia="en-GB"/>
        </w:rPr>
        <w:lastRenderedPageBreak/>
        <w:drawing>
          <wp:inline distT="0" distB="0" distL="0" distR="0" wp14:anchorId="66FE9306" wp14:editId="4F5B2AD7">
            <wp:extent cx="6191250" cy="889635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6192520" cy="8898175"/>
                    </a:xfrm>
                    <a:prstGeom prst="rect">
                      <a:avLst/>
                    </a:prstGeom>
                    <a:noFill/>
                    <a:ln>
                      <a:noFill/>
                    </a:ln>
                  </pic:spPr>
                </pic:pic>
              </a:graphicData>
            </a:graphic>
          </wp:inline>
        </w:drawing>
      </w:r>
    </w:p>
    <w:p w:rsidR="00D400DF" w:rsidRDefault="00D400DF" w:rsidP="001262A1">
      <w:pPr>
        <w:jc w:val="right"/>
        <w:rPr>
          <w:b/>
        </w:rPr>
        <w:sectPr w:rsidR="00D400DF" w:rsidSect="00D400DF">
          <w:pgSz w:w="11906" w:h="16838" w:code="9"/>
          <w:pgMar w:top="1247" w:right="1077" w:bottom="1247" w:left="1077" w:header="227" w:footer="227" w:gutter="0"/>
          <w:cols w:space="708"/>
          <w:docGrid w:linePitch="360"/>
        </w:sectPr>
      </w:pPr>
    </w:p>
    <w:p w:rsidR="00D400DF" w:rsidRDefault="00D400DF" w:rsidP="00D400DF">
      <w:pPr>
        <w:jc w:val="right"/>
        <w:rPr>
          <w:b/>
        </w:rPr>
      </w:pPr>
      <w:r>
        <w:rPr>
          <w:b/>
        </w:rPr>
        <w:lastRenderedPageBreak/>
        <w:t>APPENDIX 3</w:t>
      </w:r>
    </w:p>
    <w:p w:rsidR="001262A1" w:rsidRDefault="00D400DF" w:rsidP="00D400DF">
      <w:pPr>
        <w:rPr>
          <w:b/>
        </w:rPr>
      </w:pPr>
      <w:r>
        <w:rPr>
          <w:b/>
        </w:rPr>
        <w:t>FINANCIAL &amp; BUDGETARY RISKS</w:t>
      </w:r>
    </w:p>
    <w:p w:rsidR="008429A2" w:rsidRDefault="008429A2" w:rsidP="00D400DF"/>
    <w:p w:rsidR="001262A1" w:rsidRDefault="00D400DF" w:rsidP="00F140D1">
      <w:pPr>
        <w:jc w:val="center"/>
      </w:pPr>
      <w:r w:rsidRPr="00D400DF">
        <w:rPr>
          <w:noProof/>
          <w:lang w:eastAsia="en-GB"/>
        </w:rPr>
        <w:drawing>
          <wp:inline distT="0" distB="0" distL="0" distR="0" wp14:anchorId="6186DC72" wp14:editId="0DC3ECDD">
            <wp:extent cx="9100868" cy="3873260"/>
            <wp:effectExtent l="0" t="0" r="508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9108440" cy="3876483"/>
                    </a:xfrm>
                    <a:prstGeom prst="rect">
                      <a:avLst/>
                    </a:prstGeom>
                    <a:noFill/>
                    <a:ln>
                      <a:noFill/>
                    </a:ln>
                  </pic:spPr>
                </pic:pic>
              </a:graphicData>
            </a:graphic>
          </wp:inline>
        </w:drawing>
      </w:r>
    </w:p>
    <w:p w:rsidR="001262A1" w:rsidRDefault="001262A1" w:rsidP="00F140D1">
      <w:pPr>
        <w:jc w:val="center"/>
      </w:pPr>
    </w:p>
    <w:p w:rsidR="00E52D98" w:rsidRDefault="008C6263" w:rsidP="00F140D1">
      <w:pPr>
        <w:jc w:val="center"/>
        <w:sectPr w:rsidR="00E52D98" w:rsidSect="00D400DF">
          <w:pgSz w:w="16838" w:h="11906" w:orient="landscape" w:code="9"/>
          <w:pgMar w:top="1077" w:right="1247" w:bottom="1077" w:left="1247" w:header="227" w:footer="227" w:gutter="0"/>
          <w:cols w:space="708"/>
          <w:docGrid w:linePitch="360"/>
        </w:sectPr>
      </w:pPr>
      <w:r w:rsidRPr="008C6263">
        <w:rPr>
          <w:noProof/>
          <w:lang w:eastAsia="en-GB"/>
        </w:rPr>
        <w:drawing>
          <wp:inline distT="0" distB="0" distL="0" distR="0">
            <wp:extent cx="6438900" cy="1571625"/>
            <wp:effectExtent l="0" t="0" r="0" b="9525"/>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6438900" cy="1571625"/>
                    </a:xfrm>
                    <a:prstGeom prst="rect">
                      <a:avLst/>
                    </a:prstGeom>
                    <a:noFill/>
                    <a:ln>
                      <a:noFill/>
                    </a:ln>
                  </pic:spPr>
                </pic:pic>
              </a:graphicData>
            </a:graphic>
          </wp:inline>
        </w:drawing>
      </w:r>
    </w:p>
    <w:p w:rsidR="001262A1" w:rsidRDefault="00E52D98" w:rsidP="00E52D98">
      <w:pPr>
        <w:jc w:val="right"/>
        <w:rPr>
          <w:b/>
        </w:rPr>
      </w:pPr>
      <w:r w:rsidRPr="00E52D98">
        <w:rPr>
          <w:b/>
        </w:rPr>
        <w:lastRenderedPageBreak/>
        <w:t>APPENDIX 4</w:t>
      </w:r>
    </w:p>
    <w:p w:rsidR="00E52D98" w:rsidRPr="00E52D98" w:rsidRDefault="00E52D98" w:rsidP="00E52D98">
      <w:pPr>
        <w:spacing w:after="60"/>
        <w:jc w:val="both"/>
        <w:outlineLvl w:val="0"/>
        <w:rPr>
          <w:rFonts w:cs="Arial"/>
          <w:b/>
          <w:sz w:val="22"/>
          <w:szCs w:val="22"/>
        </w:rPr>
      </w:pPr>
      <w:r w:rsidRPr="00E52D98">
        <w:rPr>
          <w:rFonts w:cs="Arial"/>
          <w:b/>
          <w:sz w:val="22"/>
          <w:szCs w:val="22"/>
        </w:rPr>
        <w:t>TREASURY MANAGEMENT STRATEGY STATEMENT 2017 – 2020</w:t>
      </w:r>
    </w:p>
    <w:p w:rsidR="00E52D98" w:rsidRPr="00E52D98" w:rsidRDefault="00E52D98" w:rsidP="00E52D98">
      <w:pPr>
        <w:jc w:val="both"/>
        <w:rPr>
          <w:rFonts w:cs="Arial"/>
          <w:b/>
          <w:noProof/>
          <w:sz w:val="22"/>
          <w:szCs w:val="22"/>
        </w:rPr>
      </w:pPr>
    </w:p>
    <w:p w:rsidR="00E52D98" w:rsidRPr="00E52D98" w:rsidRDefault="00E52D98" w:rsidP="00E52D98">
      <w:pPr>
        <w:jc w:val="both"/>
        <w:rPr>
          <w:rFonts w:cs="Arial"/>
          <w:b/>
          <w:sz w:val="22"/>
          <w:szCs w:val="22"/>
        </w:rPr>
      </w:pPr>
      <w:r w:rsidRPr="00E52D98">
        <w:rPr>
          <w:rFonts w:cs="Arial"/>
          <w:b/>
          <w:sz w:val="22"/>
          <w:szCs w:val="22"/>
        </w:rPr>
        <w:t>1.0</w:t>
      </w:r>
      <w:r w:rsidRPr="00E52D98">
        <w:rPr>
          <w:rFonts w:cs="Arial"/>
          <w:b/>
          <w:sz w:val="22"/>
          <w:szCs w:val="22"/>
        </w:rPr>
        <w:tab/>
        <w:t>Introduction</w:t>
      </w:r>
    </w:p>
    <w:p w:rsidR="00E52D98" w:rsidRDefault="00E52D98" w:rsidP="00E52D98">
      <w:pPr>
        <w:jc w:val="both"/>
        <w:rPr>
          <w:rFonts w:cs="Arial"/>
          <w:sz w:val="22"/>
          <w:szCs w:val="22"/>
        </w:rPr>
      </w:pPr>
      <w:r w:rsidRPr="00E52D98">
        <w:rPr>
          <w:rFonts w:cs="Arial"/>
          <w:sz w:val="22"/>
          <w:szCs w:val="22"/>
        </w:rPr>
        <w:t>The Local Government Act 2003 requires the Council to adopt the CIPFA Prudential Code and produce prudential indicators. Each indicator either summarises the expected capital activity or introduces limits upon that activity, reflecting the outcome of the Council’s underlying capital appraisal systems. This report updates the approved indicators.  Within this overall prudential framework there is an impact on the Council’s treasury management function as it can directly impact on borrowing or investment decisions. As a consequence the treasury management strategy for 2016/17 to 2018/19 is included.</w:t>
      </w:r>
    </w:p>
    <w:p w:rsidR="00E52D98" w:rsidRPr="00E52D98" w:rsidRDefault="00E52D98" w:rsidP="00E52D98">
      <w:pPr>
        <w:jc w:val="both"/>
        <w:rPr>
          <w:rFonts w:cs="Arial"/>
          <w:b/>
          <w:noProof/>
          <w:sz w:val="22"/>
          <w:szCs w:val="22"/>
        </w:rPr>
      </w:pPr>
    </w:p>
    <w:p w:rsidR="00E52D98" w:rsidRPr="00E52D98" w:rsidRDefault="00E52D98" w:rsidP="00E52D98">
      <w:pPr>
        <w:jc w:val="both"/>
        <w:rPr>
          <w:rFonts w:cs="Arial"/>
          <w:sz w:val="22"/>
          <w:szCs w:val="22"/>
        </w:rPr>
      </w:pPr>
      <w:r w:rsidRPr="00E52D98">
        <w:rPr>
          <w:rFonts w:cs="Arial"/>
          <w:b/>
          <w:noProof/>
          <w:sz w:val="22"/>
          <w:szCs w:val="22"/>
        </w:rPr>
        <w:t>2.0</w:t>
      </w:r>
      <w:r w:rsidRPr="00E52D98">
        <w:rPr>
          <w:rFonts w:cs="Arial"/>
          <w:b/>
          <w:noProof/>
          <w:sz w:val="22"/>
          <w:szCs w:val="22"/>
        </w:rPr>
        <w:tab/>
        <w:t xml:space="preserve">The Capital Plans and Prudential Indicators </w:t>
      </w:r>
      <w:r w:rsidRPr="00E52D98">
        <w:rPr>
          <w:rFonts w:cs="Arial"/>
          <w:b/>
          <w:sz w:val="22"/>
          <w:szCs w:val="22"/>
        </w:rPr>
        <w:t>2017/18 – 2019/20</w:t>
      </w:r>
    </w:p>
    <w:p w:rsidR="00E52D98" w:rsidRPr="00E52D98" w:rsidRDefault="00E52D98" w:rsidP="00E52D98">
      <w:pPr>
        <w:tabs>
          <w:tab w:val="num" w:pos="709"/>
        </w:tabs>
        <w:jc w:val="both"/>
        <w:rPr>
          <w:rFonts w:ascii="Times New Roman" w:hAnsi="Times New Roman" w:cs="Arial"/>
          <w:sz w:val="22"/>
          <w:szCs w:val="22"/>
        </w:rPr>
      </w:pPr>
      <w:r w:rsidRPr="00E52D98">
        <w:rPr>
          <w:rFonts w:cs="Arial"/>
          <w:sz w:val="22"/>
          <w:szCs w:val="22"/>
        </w:rPr>
        <w:fldChar w:fldCharType="begin"/>
      </w:r>
      <w:r w:rsidRPr="00E52D98">
        <w:rPr>
          <w:rFonts w:cs="Arial"/>
          <w:sz w:val="22"/>
          <w:szCs w:val="22"/>
        </w:rPr>
        <w:instrText xml:space="preserve">  </w:instrText>
      </w:r>
      <w:r w:rsidRPr="00E52D98">
        <w:rPr>
          <w:rFonts w:cs="Arial"/>
          <w:sz w:val="22"/>
          <w:szCs w:val="22"/>
        </w:rPr>
        <w:fldChar w:fldCharType="end"/>
      </w:r>
      <w:r w:rsidRPr="00E52D98">
        <w:rPr>
          <w:rFonts w:cs="Arial"/>
          <w:sz w:val="22"/>
          <w:szCs w:val="22"/>
        </w:rPr>
        <w:t>The Council’s capital expenditure plans are one of the key drivers of the treasury management function. The outputs of the capital expenditure plans are reflected in prudential indicators, which are designed to assist members’ overview and confirm capital expenditure plans.</w:t>
      </w:r>
    </w:p>
    <w:p w:rsidR="00E52D98" w:rsidRPr="00E52D98" w:rsidRDefault="00E52D98" w:rsidP="00E52D98">
      <w:pPr>
        <w:tabs>
          <w:tab w:val="num" w:pos="709"/>
        </w:tabs>
        <w:jc w:val="both"/>
        <w:rPr>
          <w:rFonts w:cs="Arial"/>
          <w:b/>
          <w:noProof/>
          <w:sz w:val="22"/>
          <w:szCs w:val="22"/>
        </w:rPr>
      </w:pPr>
    </w:p>
    <w:p w:rsidR="00E52D98" w:rsidRPr="00E52D98" w:rsidRDefault="00E52D98" w:rsidP="00E52D98">
      <w:pPr>
        <w:tabs>
          <w:tab w:val="num" w:pos="709"/>
        </w:tabs>
        <w:jc w:val="both"/>
        <w:rPr>
          <w:rFonts w:cs="Arial"/>
          <w:b/>
          <w:bCs/>
          <w:sz w:val="22"/>
          <w:szCs w:val="22"/>
        </w:rPr>
      </w:pPr>
      <w:r w:rsidRPr="00E52D98">
        <w:rPr>
          <w:rFonts w:cs="Arial"/>
          <w:b/>
          <w:sz w:val="22"/>
          <w:szCs w:val="22"/>
        </w:rPr>
        <w:t>2.1    T</w:t>
      </w:r>
      <w:r w:rsidRPr="00E52D98">
        <w:rPr>
          <w:rFonts w:cs="Arial"/>
          <w:b/>
          <w:bCs/>
          <w:sz w:val="22"/>
          <w:szCs w:val="22"/>
        </w:rPr>
        <w:t xml:space="preserve">he Council’s Capital Position </w:t>
      </w:r>
    </w:p>
    <w:p w:rsidR="00E52D98" w:rsidRPr="00E52D98" w:rsidRDefault="00E52D98" w:rsidP="00E52D98">
      <w:pPr>
        <w:jc w:val="both"/>
        <w:rPr>
          <w:rFonts w:cs="Arial"/>
          <w:sz w:val="22"/>
          <w:szCs w:val="22"/>
        </w:rPr>
      </w:pPr>
      <w:r w:rsidRPr="00E52D98">
        <w:rPr>
          <w:rFonts w:cs="Arial"/>
          <w:sz w:val="22"/>
          <w:szCs w:val="22"/>
        </w:rPr>
        <w:t xml:space="preserve">This prudential indicator is a summary of the Council’s capital expenditure plans, both those agreed previously, and those forming part of this budget cycle.  Members are asked to approve the total capital expenditure forecasts within the proposed capital expenditure programme. </w:t>
      </w:r>
    </w:p>
    <w:p w:rsidR="00E52D98" w:rsidRPr="00E52D98" w:rsidRDefault="00E52D98" w:rsidP="00E52D98">
      <w:pPr>
        <w:autoSpaceDE w:val="0"/>
        <w:autoSpaceDN w:val="0"/>
        <w:adjustRightInd w:val="0"/>
        <w:jc w:val="both"/>
        <w:rPr>
          <w:rFonts w:cs="Arial"/>
          <w:sz w:val="22"/>
          <w:szCs w:val="22"/>
        </w:rPr>
      </w:pPr>
    </w:p>
    <w:tbl>
      <w:tblPr>
        <w:tblW w:w="8031"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91"/>
        <w:gridCol w:w="1260"/>
        <w:gridCol w:w="1260"/>
        <w:gridCol w:w="1260"/>
        <w:gridCol w:w="1260"/>
      </w:tblGrid>
      <w:tr w:rsidR="00E52D98" w:rsidRPr="00E52D98" w:rsidTr="00E52D98">
        <w:trPr>
          <w:trHeight w:val="888"/>
          <w:jc w:val="center"/>
        </w:trPr>
        <w:tc>
          <w:tcPr>
            <w:tcW w:w="2991" w:type="dxa"/>
            <w:shd w:val="clear" w:color="auto" w:fill="B3B3B3"/>
            <w:vAlign w:val="center"/>
          </w:tcPr>
          <w:p w:rsidR="00E52D98" w:rsidRPr="00E52D98" w:rsidRDefault="00E52D98" w:rsidP="00E52D98">
            <w:pPr>
              <w:jc w:val="both"/>
              <w:rPr>
                <w:rFonts w:cs="Arial"/>
                <w:sz w:val="22"/>
                <w:szCs w:val="22"/>
              </w:rPr>
            </w:pP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2016/17</w:t>
            </w:r>
          </w:p>
          <w:p w:rsidR="00E52D98" w:rsidRPr="00E52D98" w:rsidRDefault="00E52D98" w:rsidP="00E52D98">
            <w:pPr>
              <w:jc w:val="both"/>
              <w:rPr>
                <w:rFonts w:cs="Arial"/>
                <w:b/>
                <w:bCs/>
                <w:sz w:val="22"/>
                <w:szCs w:val="22"/>
              </w:rPr>
            </w:pPr>
            <w:r w:rsidRPr="00E52D98">
              <w:rPr>
                <w:rFonts w:cs="Arial"/>
                <w:b/>
                <w:bCs/>
                <w:sz w:val="22"/>
                <w:szCs w:val="22"/>
              </w:rPr>
              <w:t>Revised Budget</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2017/18</w:t>
            </w:r>
          </w:p>
          <w:p w:rsidR="00E52D98" w:rsidRPr="00E52D98" w:rsidRDefault="00E52D98" w:rsidP="00E52D98">
            <w:pPr>
              <w:jc w:val="both"/>
              <w:rPr>
                <w:rFonts w:cs="Arial"/>
                <w:b/>
                <w:bCs/>
                <w:sz w:val="22"/>
                <w:szCs w:val="22"/>
              </w:rPr>
            </w:pPr>
            <w:r w:rsidRPr="00E52D98">
              <w:rPr>
                <w:rFonts w:cs="Arial"/>
                <w:b/>
                <w:bCs/>
                <w:sz w:val="22"/>
                <w:szCs w:val="22"/>
              </w:rPr>
              <w:t>Budget</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2018/19</w:t>
            </w:r>
          </w:p>
          <w:p w:rsidR="00E52D98" w:rsidRPr="00E52D98" w:rsidRDefault="00E52D98" w:rsidP="00E52D98">
            <w:pPr>
              <w:jc w:val="both"/>
              <w:rPr>
                <w:rFonts w:cs="Arial"/>
                <w:b/>
                <w:bCs/>
                <w:sz w:val="22"/>
                <w:szCs w:val="22"/>
              </w:rPr>
            </w:pPr>
            <w:r w:rsidRPr="00E52D98">
              <w:rPr>
                <w:rFonts w:cs="Arial"/>
                <w:b/>
                <w:bCs/>
                <w:sz w:val="22"/>
                <w:szCs w:val="22"/>
              </w:rPr>
              <w:t>Budget</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2019/20</w:t>
            </w:r>
          </w:p>
          <w:p w:rsidR="00E52D98" w:rsidRPr="00E52D98" w:rsidRDefault="00E52D98" w:rsidP="00E52D98">
            <w:pPr>
              <w:jc w:val="both"/>
              <w:rPr>
                <w:rFonts w:cs="Arial"/>
                <w:b/>
                <w:bCs/>
                <w:sz w:val="22"/>
                <w:szCs w:val="22"/>
              </w:rPr>
            </w:pPr>
            <w:r w:rsidRPr="00E52D98">
              <w:rPr>
                <w:rFonts w:cs="Arial"/>
                <w:b/>
                <w:bCs/>
                <w:sz w:val="22"/>
                <w:szCs w:val="22"/>
              </w:rPr>
              <w:t>Budget</w:t>
            </w:r>
          </w:p>
        </w:tc>
      </w:tr>
      <w:tr w:rsidR="00E52D98" w:rsidRPr="00E52D98" w:rsidTr="00E52D98">
        <w:trPr>
          <w:trHeight w:val="364"/>
          <w:jc w:val="center"/>
        </w:trPr>
        <w:tc>
          <w:tcPr>
            <w:tcW w:w="2991" w:type="dxa"/>
            <w:tcBorders>
              <w:bottom w:val="single" w:sz="4" w:space="0" w:color="auto"/>
            </w:tcBorders>
            <w:vAlign w:val="center"/>
          </w:tcPr>
          <w:p w:rsidR="00E52D98" w:rsidRPr="00E52D98" w:rsidRDefault="00E52D98" w:rsidP="00E52D98">
            <w:pPr>
              <w:jc w:val="both"/>
              <w:rPr>
                <w:rFonts w:cs="Arial"/>
                <w:bCs/>
                <w:sz w:val="22"/>
                <w:szCs w:val="22"/>
              </w:rPr>
            </w:pPr>
            <w:r w:rsidRPr="00E52D98">
              <w:rPr>
                <w:rFonts w:cs="Arial"/>
                <w:bCs/>
                <w:sz w:val="22"/>
                <w:szCs w:val="22"/>
              </w:rPr>
              <w:t>Capital Programme</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£7.7m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£6.8m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£4.2m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£2.6m</w:t>
            </w:r>
          </w:p>
        </w:tc>
      </w:tr>
      <w:tr w:rsidR="00E52D98" w:rsidRPr="00E52D98" w:rsidTr="00E52D98">
        <w:trPr>
          <w:trHeight w:val="364"/>
          <w:jc w:val="center"/>
        </w:trPr>
        <w:tc>
          <w:tcPr>
            <w:tcW w:w="2991" w:type="dxa"/>
            <w:tcBorders>
              <w:bottom w:val="single" w:sz="4" w:space="0" w:color="auto"/>
            </w:tcBorders>
            <w:vAlign w:val="center"/>
          </w:tcPr>
          <w:p w:rsidR="00E52D98" w:rsidRPr="00E52D98" w:rsidRDefault="00E52D98" w:rsidP="00E52D98">
            <w:pPr>
              <w:jc w:val="both"/>
              <w:rPr>
                <w:rFonts w:cs="Arial"/>
                <w:bCs/>
                <w:sz w:val="22"/>
                <w:szCs w:val="22"/>
              </w:rPr>
            </w:pPr>
            <w:r w:rsidRPr="00E52D98">
              <w:rPr>
                <w:rFonts w:cs="Arial"/>
                <w:bCs/>
                <w:sz w:val="22"/>
                <w:szCs w:val="22"/>
              </w:rPr>
              <w:t xml:space="preserve">South </w:t>
            </w:r>
            <w:proofErr w:type="spellStart"/>
            <w:r w:rsidRPr="00E52D98">
              <w:rPr>
                <w:rFonts w:cs="Arial"/>
                <w:bCs/>
                <w:sz w:val="22"/>
                <w:szCs w:val="22"/>
              </w:rPr>
              <w:t>Oxhey</w:t>
            </w:r>
            <w:proofErr w:type="spellEnd"/>
            <w:r w:rsidRPr="00E52D98">
              <w:rPr>
                <w:rFonts w:cs="Arial"/>
                <w:bCs/>
                <w:sz w:val="22"/>
                <w:szCs w:val="22"/>
              </w:rPr>
              <w:t xml:space="preserve"> Project</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£4.5m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£10.8m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£3.2m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nil</w:t>
            </w:r>
          </w:p>
        </w:tc>
      </w:tr>
      <w:tr w:rsidR="00E52D98" w:rsidRPr="00E52D98" w:rsidTr="00E52D98">
        <w:trPr>
          <w:trHeight w:val="364"/>
          <w:jc w:val="center"/>
        </w:trPr>
        <w:tc>
          <w:tcPr>
            <w:tcW w:w="2991" w:type="dxa"/>
            <w:tcBorders>
              <w:bottom w:val="single" w:sz="4" w:space="0" w:color="auto"/>
            </w:tcBorders>
            <w:vAlign w:val="center"/>
          </w:tcPr>
          <w:p w:rsidR="00E52D98" w:rsidRPr="00E52D98" w:rsidRDefault="00E52D98" w:rsidP="00E52D98">
            <w:pPr>
              <w:jc w:val="both"/>
              <w:rPr>
                <w:rFonts w:cs="Arial"/>
                <w:b/>
                <w:sz w:val="22"/>
                <w:szCs w:val="22"/>
              </w:rPr>
            </w:pPr>
            <w:r w:rsidRPr="00E52D98">
              <w:rPr>
                <w:rFonts w:cs="Arial"/>
                <w:b/>
                <w:bCs/>
                <w:sz w:val="22"/>
                <w:szCs w:val="22"/>
              </w:rPr>
              <w:t>Total Capital Expenditure</w:t>
            </w:r>
          </w:p>
        </w:tc>
        <w:tc>
          <w:tcPr>
            <w:tcW w:w="1260" w:type="dxa"/>
            <w:tcBorders>
              <w:bottom w:val="single" w:sz="4" w:space="0" w:color="auto"/>
            </w:tcBorders>
            <w:vAlign w:val="center"/>
          </w:tcPr>
          <w:p w:rsidR="00E52D98" w:rsidRPr="00E52D98" w:rsidRDefault="00E52D98" w:rsidP="00E52D98">
            <w:pPr>
              <w:jc w:val="both"/>
              <w:rPr>
                <w:rFonts w:cs="Arial"/>
                <w:b/>
                <w:sz w:val="22"/>
                <w:szCs w:val="22"/>
              </w:rPr>
            </w:pPr>
            <w:r w:rsidRPr="00E52D98">
              <w:rPr>
                <w:rFonts w:cs="Arial"/>
                <w:b/>
                <w:sz w:val="22"/>
                <w:szCs w:val="22"/>
              </w:rPr>
              <w:t>£12.2m</w:t>
            </w:r>
          </w:p>
        </w:tc>
        <w:tc>
          <w:tcPr>
            <w:tcW w:w="1260" w:type="dxa"/>
            <w:tcBorders>
              <w:bottom w:val="single" w:sz="4" w:space="0" w:color="auto"/>
            </w:tcBorders>
            <w:vAlign w:val="center"/>
          </w:tcPr>
          <w:p w:rsidR="00E52D98" w:rsidRPr="00E52D98" w:rsidRDefault="00E52D98" w:rsidP="00E52D98">
            <w:pPr>
              <w:jc w:val="both"/>
              <w:rPr>
                <w:rFonts w:cs="Arial"/>
                <w:b/>
                <w:sz w:val="22"/>
                <w:szCs w:val="22"/>
              </w:rPr>
            </w:pPr>
            <w:r w:rsidRPr="00E52D98">
              <w:rPr>
                <w:rFonts w:cs="Arial"/>
                <w:b/>
                <w:sz w:val="22"/>
                <w:szCs w:val="22"/>
              </w:rPr>
              <w:t>£17.6m</w:t>
            </w:r>
          </w:p>
        </w:tc>
        <w:tc>
          <w:tcPr>
            <w:tcW w:w="1260" w:type="dxa"/>
            <w:tcBorders>
              <w:bottom w:val="single" w:sz="4" w:space="0" w:color="auto"/>
            </w:tcBorders>
            <w:vAlign w:val="center"/>
          </w:tcPr>
          <w:p w:rsidR="00E52D98" w:rsidRPr="00E52D98" w:rsidRDefault="00E52D98" w:rsidP="00E52D98">
            <w:pPr>
              <w:jc w:val="both"/>
              <w:rPr>
                <w:rFonts w:cs="Arial"/>
                <w:b/>
                <w:sz w:val="22"/>
                <w:szCs w:val="22"/>
              </w:rPr>
            </w:pPr>
            <w:r w:rsidRPr="00E52D98">
              <w:rPr>
                <w:rFonts w:cs="Arial"/>
                <w:b/>
                <w:sz w:val="22"/>
                <w:szCs w:val="22"/>
              </w:rPr>
              <w:t>£7.4m</w:t>
            </w:r>
          </w:p>
        </w:tc>
        <w:tc>
          <w:tcPr>
            <w:tcW w:w="1260" w:type="dxa"/>
            <w:tcBorders>
              <w:bottom w:val="single" w:sz="4" w:space="0" w:color="auto"/>
            </w:tcBorders>
            <w:vAlign w:val="center"/>
          </w:tcPr>
          <w:p w:rsidR="00E52D98" w:rsidRPr="00E52D98" w:rsidRDefault="00E52D98" w:rsidP="00E52D98">
            <w:pPr>
              <w:jc w:val="both"/>
              <w:rPr>
                <w:rFonts w:cs="Arial"/>
                <w:b/>
                <w:sz w:val="22"/>
                <w:szCs w:val="22"/>
              </w:rPr>
            </w:pPr>
            <w:r w:rsidRPr="00E52D98">
              <w:rPr>
                <w:rFonts w:cs="Arial"/>
                <w:b/>
                <w:sz w:val="22"/>
                <w:szCs w:val="22"/>
              </w:rPr>
              <w:t>£2.6m</w:t>
            </w:r>
          </w:p>
        </w:tc>
      </w:tr>
    </w:tbl>
    <w:p w:rsidR="00E52D98" w:rsidRPr="00E52D98" w:rsidRDefault="00E52D98" w:rsidP="00E52D98">
      <w:pPr>
        <w:jc w:val="both"/>
        <w:rPr>
          <w:rFonts w:cs="Arial"/>
          <w:sz w:val="22"/>
          <w:szCs w:val="22"/>
        </w:rPr>
      </w:pPr>
    </w:p>
    <w:p w:rsidR="00E52D98" w:rsidRPr="00E52D98" w:rsidRDefault="00E52D98" w:rsidP="00E52D98">
      <w:pPr>
        <w:jc w:val="both"/>
        <w:rPr>
          <w:rFonts w:cs="Arial"/>
          <w:sz w:val="22"/>
          <w:szCs w:val="22"/>
        </w:rPr>
      </w:pPr>
      <w:r w:rsidRPr="00E52D98">
        <w:rPr>
          <w:rFonts w:cs="Arial"/>
          <w:sz w:val="22"/>
          <w:szCs w:val="22"/>
        </w:rPr>
        <w:t xml:space="preserve">The capital expenditure programme is financed by a combination of capital receipts, capital grants or use of capital reserves.  The Council is also permitted to borrow to finance its capital programme, provided that the borrowing is prudent, affordable and sustainable.  Over the next three years there are no planned shortfalls in the level of resources which would result in a need to borrow externally, however it is always prudent to review the future borrowing requirements and if necessary borrow at the most prudent time based on expectations of need and future rates.  The Council is currently debt free; and is expected to continue to be so over the medium term.  It is anticipated that the major project in South </w:t>
      </w:r>
      <w:proofErr w:type="spellStart"/>
      <w:r w:rsidRPr="00E52D98">
        <w:rPr>
          <w:rFonts w:cs="Arial"/>
          <w:sz w:val="22"/>
          <w:szCs w:val="22"/>
        </w:rPr>
        <w:t>Oxhey</w:t>
      </w:r>
      <w:proofErr w:type="spellEnd"/>
      <w:r w:rsidRPr="00E52D98">
        <w:rPr>
          <w:rFonts w:cs="Arial"/>
          <w:sz w:val="22"/>
          <w:szCs w:val="22"/>
        </w:rPr>
        <w:t xml:space="preserve"> will be internally funded. </w:t>
      </w:r>
    </w:p>
    <w:p w:rsidR="00E52D98" w:rsidRPr="00E52D98" w:rsidRDefault="00E52D98" w:rsidP="00E52D98">
      <w:pPr>
        <w:jc w:val="both"/>
        <w:rPr>
          <w:rFonts w:cs="Arial"/>
          <w:sz w:val="22"/>
          <w:szCs w:val="22"/>
        </w:rPr>
      </w:pPr>
    </w:p>
    <w:p w:rsidR="00E52D98" w:rsidRPr="00E52D98" w:rsidRDefault="00E52D98" w:rsidP="00E52D98">
      <w:pPr>
        <w:jc w:val="both"/>
        <w:rPr>
          <w:rFonts w:cs="Arial"/>
          <w:b/>
          <w:sz w:val="22"/>
          <w:szCs w:val="22"/>
        </w:rPr>
      </w:pPr>
      <w:r w:rsidRPr="00E52D98">
        <w:rPr>
          <w:rFonts w:cs="Arial"/>
          <w:b/>
          <w:sz w:val="22"/>
          <w:szCs w:val="22"/>
        </w:rPr>
        <w:t>2.2</w:t>
      </w:r>
      <w:r w:rsidRPr="00E52D98">
        <w:rPr>
          <w:rFonts w:cs="Arial"/>
          <w:b/>
          <w:sz w:val="22"/>
          <w:szCs w:val="22"/>
        </w:rPr>
        <w:tab/>
        <w:t xml:space="preserve">The Council’s Borrowing Need - The </w:t>
      </w:r>
      <w:smartTag w:uri="urn:schemas-microsoft-com:office:smarttags" w:element="PersonName">
        <w:r w:rsidRPr="00E52D98">
          <w:rPr>
            <w:rFonts w:cs="Arial"/>
            <w:b/>
            <w:sz w:val="22"/>
            <w:szCs w:val="22"/>
          </w:rPr>
          <w:t>Capita</w:t>
        </w:r>
      </w:smartTag>
      <w:r w:rsidRPr="00E52D98">
        <w:rPr>
          <w:rFonts w:cs="Arial"/>
          <w:b/>
          <w:sz w:val="22"/>
          <w:szCs w:val="22"/>
        </w:rPr>
        <w:t>l Financing Requirement (CFR)</w:t>
      </w:r>
    </w:p>
    <w:p w:rsidR="00E52D98" w:rsidRPr="00E52D98" w:rsidRDefault="00E52D98" w:rsidP="00E52D98">
      <w:pPr>
        <w:jc w:val="both"/>
        <w:rPr>
          <w:rFonts w:cs="Arial"/>
          <w:sz w:val="22"/>
          <w:szCs w:val="22"/>
        </w:rPr>
      </w:pPr>
      <w:r w:rsidRPr="00E52D98">
        <w:rPr>
          <w:rFonts w:cs="Arial"/>
          <w:sz w:val="22"/>
          <w:szCs w:val="22"/>
        </w:rPr>
        <w:t xml:space="preserve">The CFR is simply the total historic outstanding capital expenditure which has not yet been paid for from either revenue or capital resources.  It is essentially a measure of the Council’s underlying borrowing need.  Any capital expenditure above, which has not immediately been paid for, will increase the CFR.  Even though it is predicted to fund the South </w:t>
      </w:r>
      <w:proofErr w:type="spellStart"/>
      <w:r w:rsidRPr="00E52D98">
        <w:rPr>
          <w:rFonts w:cs="Arial"/>
          <w:sz w:val="22"/>
          <w:szCs w:val="22"/>
        </w:rPr>
        <w:t>Oxhey</w:t>
      </w:r>
      <w:proofErr w:type="spellEnd"/>
      <w:r w:rsidRPr="00E52D98">
        <w:rPr>
          <w:rFonts w:cs="Arial"/>
          <w:sz w:val="22"/>
          <w:szCs w:val="22"/>
        </w:rPr>
        <w:t xml:space="preserve"> project through internal funds, it will increase the CFR.  Following accounting changes, the CFR also includes any other long term liabilities (e.g. finance leases) that have been brought onto the balance sheet.  Whilst this increases the CFR, and therefore the Council’s borrowing requirement, these types of scheme include a borrowing facility and so the Council is not required to separately borrow for these schemes.  </w:t>
      </w:r>
    </w:p>
    <w:p w:rsidR="00E52D98" w:rsidRPr="00E52D98" w:rsidRDefault="00E52D98" w:rsidP="00E52D98">
      <w:pPr>
        <w:jc w:val="both"/>
        <w:rPr>
          <w:sz w:val="22"/>
        </w:rPr>
      </w:pPr>
      <w:r w:rsidRPr="00E52D98">
        <w:rPr>
          <w:sz w:val="22"/>
        </w:rPr>
        <w:t>The Council is asked to approve the CFR projections below:</w:t>
      </w:r>
    </w:p>
    <w:p w:rsidR="00E52D98" w:rsidRPr="00E52D98" w:rsidRDefault="00E52D98" w:rsidP="00E52D98">
      <w:pPr>
        <w:jc w:val="both"/>
        <w:rPr>
          <w:color w:val="000000"/>
          <w:sz w:val="23"/>
          <w:szCs w:val="23"/>
          <w:lang w:eastAsia="en-GB"/>
        </w:rPr>
      </w:pPr>
    </w:p>
    <w:tbl>
      <w:tblPr>
        <w:tblW w:w="900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260"/>
        <w:gridCol w:w="1260"/>
        <w:gridCol w:w="1260"/>
        <w:gridCol w:w="1260"/>
        <w:gridCol w:w="1260"/>
      </w:tblGrid>
      <w:tr w:rsidR="00E52D98" w:rsidRPr="00E52D98" w:rsidTr="00E52D98">
        <w:trPr>
          <w:trHeight w:val="888"/>
          <w:jc w:val="center"/>
        </w:trPr>
        <w:tc>
          <w:tcPr>
            <w:tcW w:w="2700" w:type="dxa"/>
            <w:shd w:val="clear" w:color="auto" w:fill="B3B3B3"/>
            <w:vAlign w:val="center"/>
          </w:tcPr>
          <w:p w:rsidR="00E52D98" w:rsidRPr="00E52D98" w:rsidRDefault="00E52D98" w:rsidP="00E52D98">
            <w:pPr>
              <w:jc w:val="both"/>
              <w:rPr>
                <w:rFonts w:cs="Arial"/>
                <w:sz w:val="22"/>
                <w:szCs w:val="22"/>
              </w:rPr>
            </w:pP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2015/16</w:t>
            </w:r>
          </w:p>
          <w:p w:rsidR="00E52D98" w:rsidRPr="00E52D98" w:rsidRDefault="00E52D98" w:rsidP="00E52D98">
            <w:pPr>
              <w:jc w:val="both"/>
              <w:rPr>
                <w:rFonts w:cs="Arial"/>
                <w:b/>
                <w:bCs/>
                <w:sz w:val="22"/>
                <w:szCs w:val="22"/>
              </w:rPr>
            </w:pPr>
            <w:r w:rsidRPr="00E52D98">
              <w:rPr>
                <w:rFonts w:cs="Arial"/>
                <w:b/>
                <w:bCs/>
                <w:sz w:val="22"/>
                <w:szCs w:val="22"/>
              </w:rPr>
              <w:t>Actual</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2016/17</w:t>
            </w:r>
          </w:p>
          <w:p w:rsidR="00E52D98" w:rsidRPr="00E52D98" w:rsidRDefault="00E52D98" w:rsidP="00E52D98">
            <w:pPr>
              <w:jc w:val="both"/>
              <w:rPr>
                <w:rFonts w:cs="Arial"/>
                <w:b/>
                <w:bCs/>
                <w:sz w:val="22"/>
                <w:szCs w:val="22"/>
              </w:rPr>
            </w:pPr>
            <w:r w:rsidRPr="00E52D98">
              <w:rPr>
                <w:rFonts w:cs="Arial"/>
                <w:b/>
                <w:bCs/>
                <w:sz w:val="22"/>
                <w:szCs w:val="22"/>
              </w:rPr>
              <w:t>Forecast</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2017/18</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2018/19</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2019/20</w:t>
            </w:r>
          </w:p>
          <w:p w:rsidR="00E52D98" w:rsidRPr="00E52D98" w:rsidRDefault="00E52D98" w:rsidP="00E52D98">
            <w:pPr>
              <w:jc w:val="both"/>
              <w:rPr>
                <w:rFonts w:cs="Arial"/>
                <w:b/>
                <w:bCs/>
                <w:sz w:val="22"/>
                <w:szCs w:val="22"/>
              </w:rPr>
            </w:pPr>
            <w:r w:rsidRPr="00E52D98">
              <w:rPr>
                <w:rFonts w:cs="Arial"/>
                <w:b/>
                <w:bCs/>
                <w:sz w:val="22"/>
                <w:szCs w:val="22"/>
              </w:rPr>
              <w:t>Estimate</w:t>
            </w:r>
          </w:p>
        </w:tc>
      </w:tr>
      <w:tr w:rsidR="00E52D98" w:rsidRPr="00E52D98" w:rsidTr="00E52D98">
        <w:trPr>
          <w:trHeight w:val="283"/>
          <w:jc w:val="center"/>
        </w:trPr>
        <w:tc>
          <w:tcPr>
            <w:tcW w:w="270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bCs/>
                <w:sz w:val="22"/>
                <w:szCs w:val="22"/>
              </w:rPr>
              <w:t>Total CFR</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£0m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£3.9m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£10.2m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£11.6m</w:t>
            </w:r>
          </w:p>
        </w:tc>
        <w:tc>
          <w:tcPr>
            <w:tcW w:w="1260" w:type="dxa"/>
            <w:tcBorders>
              <w:bottom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£8.2m</w:t>
            </w:r>
          </w:p>
        </w:tc>
      </w:tr>
    </w:tbl>
    <w:p w:rsidR="00E52D98" w:rsidRPr="00E52D98" w:rsidRDefault="00E52D98" w:rsidP="00E52D98">
      <w:pPr>
        <w:jc w:val="both"/>
        <w:rPr>
          <w:rFonts w:cs="Arial"/>
          <w:b/>
          <w:sz w:val="22"/>
          <w:szCs w:val="22"/>
        </w:rPr>
      </w:pPr>
    </w:p>
    <w:p w:rsidR="00E52D98" w:rsidRPr="00E52D98" w:rsidRDefault="00E52D98" w:rsidP="00E52D98">
      <w:pPr>
        <w:jc w:val="both"/>
        <w:rPr>
          <w:rFonts w:cs="Arial"/>
          <w:b/>
          <w:sz w:val="22"/>
          <w:szCs w:val="22"/>
        </w:rPr>
      </w:pPr>
      <w:r w:rsidRPr="00E52D98">
        <w:rPr>
          <w:rFonts w:cs="Arial"/>
          <w:b/>
          <w:sz w:val="22"/>
          <w:szCs w:val="22"/>
        </w:rPr>
        <w:t>2.3</w:t>
      </w:r>
      <w:r w:rsidRPr="00E52D98">
        <w:rPr>
          <w:rFonts w:cs="Arial"/>
          <w:b/>
          <w:sz w:val="22"/>
          <w:szCs w:val="22"/>
        </w:rPr>
        <w:tab/>
        <w:t>Minimum Revenue Provision (MRP) Strategy and Policy Statement</w:t>
      </w:r>
    </w:p>
    <w:p w:rsidR="00E52D98" w:rsidRPr="00E52D98" w:rsidRDefault="00E52D98" w:rsidP="00E52D98">
      <w:pPr>
        <w:jc w:val="both"/>
        <w:rPr>
          <w:rFonts w:cs="Arial"/>
          <w:sz w:val="22"/>
          <w:szCs w:val="22"/>
        </w:rPr>
      </w:pPr>
      <w:r w:rsidRPr="00E52D98">
        <w:rPr>
          <w:rFonts w:cs="Arial"/>
          <w:sz w:val="22"/>
          <w:szCs w:val="22"/>
        </w:rPr>
        <w:t xml:space="preserve">The Council is required to pay off an element of the accumulated General Fund capital spend each year (the CFR) through a revenue charge (the minimum revenue provision - MRP), although it is also allowed to undertake additional voluntary payments if required (voluntary revenue provision - VRP).  </w:t>
      </w:r>
    </w:p>
    <w:p w:rsidR="00E52D98" w:rsidRPr="00E52D98" w:rsidRDefault="00E52D98" w:rsidP="00E52D98">
      <w:pPr>
        <w:jc w:val="both"/>
        <w:rPr>
          <w:rFonts w:cs="Arial"/>
          <w:sz w:val="22"/>
          <w:szCs w:val="22"/>
        </w:rPr>
      </w:pPr>
    </w:p>
    <w:p w:rsidR="00E52D98" w:rsidRPr="00E52D98" w:rsidRDefault="00E52D98" w:rsidP="00E52D98">
      <w:pPr>
        <w:jc w:val="both"/>
        <w:rPr>
          <w:rFonts w:cs="Arial"/>
          <w:sz w:val="22"/>
          <w:szCs w:val="22"/>
        </w:rPr>
      </w:pPr>
      <w:r w:rsidRPr="00E52D98">
        <w:rPr>
          <w:rFonts w:cs="Arial"/>
          <w:sz w:val="22"/>
          <w:szCs w:val="22"/>
        </w:rPr>
        <w:t xml:space="preserve">Communities and Local Government Regulations require the Council to approve an MRP Statement in advance of each year.  Although the South </w:t>
      </w:r>
      <w:proofErr w:type="spellStart"/>
      <w:r w:rsidRPr="00E52D98">
        <w:rPr>
          <w:rFonts w:cs="Arial"/>
          <w:sz w:val="22"/>
          <w:szCs w:val="22"/>
        </w:rPr>
        <w:t>Oxhey</w:t>
      </w:r>
      <w:proofErr w:type="spellEnd"/>
      <w:r w:rsidRPr="00E52D98">
        <w:rPr>
          <w:rFonts w:cs="Arial"/>
          <w:sz w:val="22"/>
          <w:szCs w:val="22"/>
        </w:rPr>
        <w:t xml:space="preserve"> Project results in a positive CFR it is recommended that MRP is not applied to this scheme as the project is short-dated, is expected to generate a receipt to cover any financing costs and is mainly improving works, rather than a capital scheme which will depreciate over time; therefore the Council will not be making a Minimum Revenue Provision for this scheme. </w:t>
      </w:r>
    </w:p>
    <w:p w:rsidR="00E52D98" w:rsidRPr="00E52D98" w:rsidRDefault="00E52D98" w:rsidP="00E52D98">
      <w:pPr>
        <w:jc w:val="both"/>
        <w:rPr>
          <w:rFonts w:cs="Arial"/>
          <w:sz w:val="22"/>
          <w:szCs w:val="22"/>
          <w:highlight w:val="yellow"/>
        </w:rPr>
      </w:pPr>
    </w:p>
    <w:p w:rsidR="00E52D98" w:rsidRPr="00E52D98" w:rsidRDefault="00E52D98" w:rsidP="00E52D98">
      <w:pPr>
        <w:jc w:val="both"/>
        <w:rPr>
          <w:rFonts w:cs="Arial"/>
          <w:b/>
          <w:sz w:val="22"/>
          <w:szCs w:val="22"/>
        </w:rPr>
      </w:pPr>
      <w:r w:rsidRPr="00E52D98">
        <w:rPr>
          <w:rFonts w:cs="Arial"/>
          <w:b/>
          <w:sz w:val="22"/>
          <w:szCs w:val="22"/>
        </w:rPr>
        <w:t>2.4</w:t>
      </w:r>
      <w:r w:rsidRPr="00E52D98">
        <w:rPr>
          <w:rFonts w:cs="Arial"/>
          <w:b/>
          <w:sz w:val="22"/>
          <w:szCs w:val="22"/>
        </w:rPr>
        <w:tab/>
      </w:r>
      <w:r w:rsidRPr="00E52D98">
        <w:rPr>
          <w:rFonts w:cs="Arial"/>
          <w:b/>
          <w:bCs/>
          <w:sz w:val="22"/>
          <w:szCs w:val="22"/>
        </w:rPr>
        <w:t>The Use of the Council’s Resources and the Investment Position</w:t>
      </w:r>
    </w:p>
    <w:p w:rsidR="00E52D98" w:rsidRPr="00E52D98" w:rsidRDefault="00E52D98" w:rsidP="00E52D98">
      <w:pPr>
        <w:jc w:val="both"/>
        <w:rPr>
          <w:sz w:val="22"/>
        </w:rPr>
      </w:pPr>
      <w:r w:rsidRPr="00E52D98">
        <w:rPr>
          <w:sz w:val="22"/>
        </w:rPr>
        <w:t xml:space="preserve">The application of resources (capital receipts, reserves etc.) to either finance capital expenditure or other budget decisions to support the revenue budget will have an ongoing impact on investments unless resources are supplemented each year from new sources (asset sales </w:t>
      </w:r>
      <w:proofErr w:type="spellStart"/>
      <w:r w:rsidRPr="00E52D98">
        <w:rPr>
          <w:sz w:val="22"/>
        </w:rPr>
        <w:t>etc</w:t>
      </w:r>
      <w:proofErr w:type="spellEnd"/>
      <w:r w:rsidRPr="00E52D98">
        <w:rPr>
          <w:sz w:val="22"/>
        </w:rPr>
        <w:t xml:space="preserve">). </w:t>
      </w:r>
    </w:p>
    <w:p w:rsidR="00E52D98" w:rsidRPr="00E52D98" w:rsidRDefault="00E52D98" w:rsidP="00E52D98">
      <w:pPr>
        <w:jc w:val="both"/>
        <w:rPr>
          <w:b/>
          <w:noProof/>
          <w:sz w:val="22"/>
          <w:szCs w:val="22"/>
        </w:rPr>
      </w:pPr>
    </w:p>
    <w:p w:rsidR="00E52D98" w:rsidRPr="00E52D98" w:rsidRDefault="00E52D98" w:rsidP="00E52D98">
      <w:pPr>
        <w:jc w:val="both"/>
        <w:rPr>
          <w:rFonts w:cs="Arial"/>
          <w:b/>
          <w:noProof/>
          <w:sz w:val="22"/>
          <w:szCs w:val="22"/>
        </w:rPr>
      </w:pPr>
      <w:r w:rsidRPr="00E52D98">
        <w:rPr>
          <w:b/>
          <w:noProof/>
          <w:sz w:val="22"/>
          <w:szCs w:val="22"/>
        </w:rPr>
        <w:t>3.0</w:t>
      </w:r>
      <w:r w:rsidRPr="00E52D98">
        <w:rPr>
          <w:b/>
          <w:noProof/>
          <w:sz w:val="22"/>
          <w:szCs w:val="22"/>
        </w:rPr>
        <w:tab/>
      </w:r>
      <w:r w:rsidRPr="00E52D98">
        <w:rPr>
          <w:rFonts w:cs="Arial"/>
          <w:b/>
          <w:noProof/>
          <w:sz w:val="22"/>
          <w:szCs w:val="22"/>
        </w:rPr>
        <w:t xml:space="preserve">Treasury Management </w:t>
      </w:r>
      <w:r w:rsidRPr="00E52D98">
        <w:rPr>
          <w:rFonts w:cs="Arial"/>
          <w:b/>
          <w:bCs/>
          <w:noProof/>
          <w:sz w:val="22"/>
          <w:szCs w:val="22"/>
        </w:rPr>
        <w:t>Strategy</w:t>
      </w:r>
    </w:p>
    <w:p w:rsidR="00E52D98" w:rsidRPr="00E52D98" w:rsidRDefault="00E52D98" w:rsidP="00E52D98">
      <w:pPr>
        <w:jc w:val="both"/>
        <w:rPr>
          <w:rFonts w:cs="Arial"/>
          <w:sz w:val="22"/>
          <w:szCs w:val="22"/>
        </w:rPr>
      </w:pPr>
      <w:r w:rsidRPr="00E52D98">
        <w:rPr>
          <w:rFonts w:cs="Arial"/>
          <w:sz w:val="22"/>
          <w:szCs w:val="22"/>
        </w:rPr>
        <w:t xml:space="preserve">The treasury management strategy is an important part of the overall financial management of the Council’s affairs. The prudential indicators consider the affordability and impact of capital expenditure decisions, and set out the Council’s overall capital framework.  The treasury service considers the effective funding of these decisions.  Together they form part of the process which ensures the Council meets its balanced budget requirement under the Local Government Finance Act 1992. </w:t>
      </w:r>
    </w:p>
    <w:p w:rsidR="00E52D98" w:rsidRPr="00E52D98" w:rsidRDefault="00E52D98" w:rsidP="00E52D98">
      <w:pPr>
        <w:jc w:val="both"/>
        <w:rPr>
          <w:rFonts w:cs="Arial"/>
          <w:sz w:val="22"/>
          <w:szCs w:val="22"/>
        </w:rPr>
      </w:pPr>
      <w:r w:rsidRPr="00E52D98">
        <w:rPr>
          <w:rFonts w:cs="Arial"/>
          <w:sz w:val="22"/>
          <w:szCs w:val="22"/>
        </w:rPr>
        <w:t xml:space="preserve">The Council’s treasury activities are regulated by statutory requirements and the CIPFA Code of Practice on Treasury Management.  The Council has adopted a Treasury Management Policy Statement in accordance with the code of practice. </w:t>
      </w:r>
    </w:p>
    <w:p w:rsidR="00E52D98" w:rsidRPr="00E52D98" w:rsidRDefault="00E52D98" w:rsidP="00E52D98">
      <w:pPr>
        <w:jc w:val="both"/>
        <w:rPr>
          <w:rFonts w:cs="Arial"/>
          <w:sz w:val="22"/>
          <w:szCs w:val="22"/>
        </w:rPr>
      </w:pPr>
      <w:r w:rsidRPr="00E52D98">
        <w:rPr>
          <w:rFonts w:cs="Arial"/>
          <w:sz w:val="22"/>
          <w:szCs w:val="22"/>
        </w:rPr>
        <w:t xml:space="preserve"> </w:t>
      </w:r>
    </w:p>
    <w:p w:rsidR="00E52D98" w:rsidRPr="00E52D98" w:rsidRDefault="00E52D98" w:rsidP="00E52D98">
      <w:pPr>
        <w:tabs>
          <w:tab w:val="left" w:pos="540"/>
        </w:tabs>
        <w:jc w:val="both"/>
        <w:rPr>
          <w:rFonts w:cs="Arial"/>
          <w:sz w:val="22"/>
          <w:szCs w:val="22"/>
        </w:rPr>
      </w:pPr>
      <w:r w:rsidRPr="00E52D98">
        <w:rPr>
          <w:rFonts w:cs="Arial"/>
          <w:sz w:val="22"/>
          <w:szCs w:val="22"/>
        </w:rPr>
        <w:t>The Constitution requires a strategy to be reported to Council outlining the expected treasury activity for the forthcoming three years.  A key requirement is to explain the risks associated with the treasury service.  Further treasury reports are produced after the year-end to report on actual activity for the year and a mid-year monitoring update.  This strategy covers:</w:t>
      </w:r>
    </w:p>
    <w:p w:rsidR="00E52D98" w:rsidRPr="00E52D98" w:rsidRDefault="00E52D98" w:rsidP="00E52D98">
      <w:pPr>
        <w:tabs>
          <w:tab w:val="left" w:pos="540"/>
        </w:tabs>
        <w:jc w:val="both"/>
        <w:rPr>
          <w:rFonts w:cs="Arial"/>
          <w:sz w:val="22"/>
          <w:szCs w:val="22"/>
        </w:rPr>
      </w:pP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rFonts w:cs="Arial"/>
          <w:sz w:val="22"/>
          <w:szCs w:val="22"/>
        </w:rPr>
        <w:t>The current portfolio position;</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sz w:val="22"/>
        </w:rPr>
        <w:t>The borrowing strategy;</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sz w:val="22"/>
        </w:rPr>
        <w:t>Annual investment strategy;</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rFonts w:cs="Arial"/>
          <w:sz w:val="22"/>
          <w:szCs w:val="22"/>
        </w:rPr>
        <w:t xml:space="preserve">Specific limits on treasury activities; </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rFonts w:cs="Arial"/>
          <w:sz w:val="22"/>
          <w:szCs w:val="22"/>
        </w:rPr>
        <w:t>Treasury performance indicators;</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sz w:val="22"/>
        </w:rPr>
        <w:t xml:space="preserve">Reporting requirements; </w:t>
      </w:r>
    </w:p>
    <w:p w:rsidR="00E52D98" w:rsidRPr="00E52D98" w:rsidRDefault="00E52D98" w:rsidP="008429A2">
      <w:pPr>
        <w:numPr>
          <w:ilvl w:val="0"/>
          <w:numId w:val="11"/>
        </w:numPr>
        <w:tabs>
          <w:tab w:val="left" w:pos="540"/>
          <w:tab w:val="num" w:pos="900"/>
        </w:tabs>
        <w:ind w:left="0"/>
        <w:jc w:val="both"/>
        <w:rPr>
          <w:rFonts w:cs="Arial"/>
          <w:sz w:val="22"/>
          <w:szCs w:val="22"/>
        </w:rPr>
      </w:pPr>
      <w:r w:rsidRPr="00E52D98">
        <w:rPr>
          <w:sz w:val="22"/>
        </w:rPr>
        <w:t xml:space="preserve">Policy on use of external service providers; </w:t>
      </w:r>
    </w:p>
    <w:p w:rsidR="00E52D98" w:rsidRPr="00E52D98" w:rsidRDefault="00E52D98" w:rsidP="008429A2">
      <w:pPr>
        <w:numPr>
          <w:ilvl w:val="0"/>
          <w:numId w:val="11"/>
        </w:numPr>
        <w:tabs>
          <w:tab w:val="num" w:pos="900"/>
        </w:tabs>
        <w:ind w:left="0"/>
        <w:jc w:val="both"/>
        <w:rPr>
          <w:rFonts w:cs="Arial"/>
          <w:sz w:val="22"/>
          <w:szCs w:val="22"/>
        </w:rPr>
      </w:pPr>
      <w:r w:rsidRPr="00E52D98">
        <w:rPr>
          <w:rFonts w:cs="Arial"/>
          <w:sz w:val="22"/>
          <w:szCs w:val="22"/>
        </w:rPr>
        <w:t>Training of Officers and Members.</w:t>
      </w:r>
    </w:p>
    <w:p w:rsidR="00E52D98" w:rsidRPr="00E52D98" w:rsidRDefault="00E52D98" w:rsidP="00E52D98">
      <w:pPr>
        <w:tabs>
          <w:tab w:val="left" w:pos="540"/>
        </w:tabs>
        <w:jc w:val="both"/>
        <w:rPr>
          <w:rFonts w:cs="Arial"/>
          <w:sz w:val="22"/>
          <w:szCs w:val="22"/>
        </w:rPr>
      </w:pPr>
    </w:p>
    <w:p w:rsidR="00E52D98" w:rsidRPr="00E52D98" w:rsidRDefault="00E52D98" w:rsidP="00E52D98">
      <w:pPr>
        <w:numPr>
          <w:ilvl w:val="12"/>
          <w:numId w:val="0"/>
        </w:numPr>
        <w:tabs>
          <w:tab w:val="left" w:pos="360"/>
        </w:tabs>
        <w:jc w:val="both"/>
        <w:rPr>
          <w:rFonts w:cs="Arial"/>
          <w:noProof/>
          <w:sz w:val="22"/>
          <w:szCs w:val="22"/>
        </w:rPr>
      </w:pPr>
      <w:r w:rsidRPr="00E52D98">
        <w:rPr>
          <w:rFonts w:cs="Arial"/>
          <w:noProof/>
          <w:sz w:val="22"/>
          <w:szCs w:val="22"/>
        </w:rPr>
        <w:t>The treasury management function ensures that the Council’s cash is organised in accordance with the relevant professional codes, so that sufficient cash is available to meet this service delivery.  This will involve the organisation of both cash flow and the use of approporiate short-term borrowing facilities if required.  The strategy covers the relevant treasury prudential indicators, the current and projected debt positions and the annual investment strategy.</w:t>
      </w:r>
    </w:p>
    <w:p w:rsidR="00E52D98" w:rsidRPr="00E52D98" w:rsidRDefault="00E52D98" w:rsidP="00E52D98">
      <w:pPr>
        <w:numPr>
          <w:ilvl w:val="12"/>
          <w:numId w:val="0"/>
        </w:numPr>
        <w:tabs>
          <w:tab w:val="left" w:pos="360"/>
        </w:tabs>
        <w:jc w:val="both"/>
        <w:rPr>
          <w:rFonts w:cs="Arial"/>
          <w:noProof/>
          <w:sz w:val="22"/>
          <w:szCs w:val="22"/>
        </w:rPr>
      </w:pPr>
    </w:p>
    <w:p w:rsidR="00E52D98" w:rsidRPr="00E52D98" w:rsidRDefault="00E52D98" w:rsidP="00E52D98">
      <w:pPr>
        <w:jc w:val="both"/>
        <w:rPr>
          <w:rFonts w:cs="Arial"/>
          <w:b/>
          <w:bCs/>
          <w:noProof/>
          <w:sz w:val="22"/>
          <w:szCs w:val="22"/>
        </w:rPr>
      </w:pPr>
      <w:r w:rsidRPr="00E52D98">
        <w:rPr>
          <w:rFonts w:cs="Arial"/>
          <w:b/>
          <w:bCs/>
          <w:noProof/>
          <w:sz w:val="22"/>
          <w:szCs w:val="22"/>
        </w:rPr>
        <w:t>3.1</w:t>
      </w:r>
      <w:r w:rsidRPr="00E52D98">
        <w:rPr>
          <w:rFonts w:cs="Arial"/>
          <w:b/>
          <w:bCs/>
          <w:noProof/>
          <w:sz w:val="22"/>
          <w:szCs w:val="22"/>
        </w:rPr>
        <w:tab/>
        <w:t>Current Portfolio Position</w:t>
      </w:r>
    </w:p>
    <w:p w:rsidR="00E52D98" w:rsidRPr="00E52D98" w:rsidRDefault="00E52D98" w:rsidP="00E52D98">
      <w:pPr>
        <w:widowControl w:val="0"/>
        <w:numPr>
          <w:ilvl w:val="12"/>
          <w:numId w:val="0"/>
        </w:numPr>
        <w:jc w:val="both"/>
        <w:rPr>
          <w:rFonts w:cs="Arial"/>
          <w:bCs/>
          <w:noProof/>
          <w:sz w:val="22"/>
          <w:szCs w:val="22"/>
        </w:rPr>
      </w:pPr>
      <w:r w:rsidRPr="00E52D98">
        <w:rPr>
          <w:rFonts w:cs="Arial"/>
          <w:bCs/>
          <w:noProof/>
          <w:sz w:val="22"/>
          <w:szCs w:val="22"/>
        </w:rPr>
        <w:t xml:space="preserve">The table below shows the Council’s treasury portfolio position at 31 December 2016. Forward projections allow for the funding of the </w:t>
      </w:r>
      <w:smartTag w:uri="urn:schemas-microsoft-com:office:smarttags" w:element="place">
        <w:r w:rsidRPr="00E52D98">
          <w:rPr>
            <w:rFonts w:cs="Arial"/>
            <w:bCs/>
            <w:noProof/>
            <w:sz w:val="22"/>
            <w:szCs w:val="22"/>
          </w:rPr>
          <w:t>South Oxhey</w:t>
        </w:r>
      </w:smartTag>
      <w:r w:rsidRPr="00E52D98">
        <w:rPr>
          <w:rFonts w:cs="Arial"/>
          <w:bCs/>
          <w:noProof/>
          <w:sz w:val="22"/>
          <w:szCs w:val="22"/>
        </w:rPr>
        <w:t xml:space="preserve"> project from internal cash resources. </w:t>
      </w:r>
    </w:p>
    <w:p w:rsidR="00E52D98" w:rsidRPr="00E52D98" w:rsidRDefault="00E52D98" w:rsidP="00E52D98">
      <w:pPr>
        <w:widowControl w:val="0"/>
        <w:numPr>
          <w:ilvl w:val="12"/>
          <w:numId w:val="0"/>
        </w:numPr>
        <w:jc w:val="both"/>
        <w:rPr>
          <w:rFonts w:cs="Arial"/>
          <w:noProof/>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40"/>
        <w:gridCol w:w="1440"/>
        <w:gridCol w:w="1260"/>
        <w:gridCol w:w="1260"/>
        <w:gridCol w:w="1260"/>
      </w:tblGrid>
      <w:tr w:rsidR="00E52D98" w:rsidRPr="00E52D98" w:rsidTr="00E52D98">
        <w:trPr>
          <w:trHeight w:val="708"/>
        </w:trPr>
        <w:tc>
          <w:tcPr>
            <w:tcW w:w="3240" w:type="dxa"/>
            <w:shd w:val="clear" w:color="auto" w:fill="B3B3B3"/>
            <w:vAlign w:val="center"/>
          </w:tcPr>
          <w:p w:rsidR="00E52D98" w:rsidRPr="00E52D98" w:rsidRDefault="00E52D98" w:rsidP="00E52D98">
            <w:pPr>
              <w:jc w:val="both"/>
              <w:rPr>
                <w:rFonts w:cs="Arial"/>
                <w:sz w:val="22"/>
                <w:szCs w:val="22"/>
              </w:rPr>
            </w:pPr>
            <w:r w:rsidRPr="00E52D98">
              <w:rPr>
                <w:rFonts w:cs="Arial"/>
                <w:b/>
                <w:sz w:val="22"/>
                <w:szCs w:val="22"/>
              </w:rPr>
              <w:t>Treasury Portfolio</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2016/17</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2017/18</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2018/19</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26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2019/20</w:t>
            </w:r>
          </w:p>
          <w:p w:rsidR="00E52D98" w:rsidRPr="00E52D98" w:rsidRDefault="00E52D98" w:rsidP="00E52D98">
            <w:pPr>
              <w:jc w:val="both"/>
              <w:rPr>
                <w:rFonts w:cs="Arial"/>
                <w:b/>
                <w:bCs/>
                <w:sz w:val="22"/>
                <w:szCs w:val="22"/>
              </w:rPr>
            </w:pPr>
            <w:r w:rsidRPr="00E52D98">
              <w:rPr>
                <w:rFonts w:cs="Arial"/>
                <w:b/>
                <w:bCs/>
                <w:sz w:val="22"/>
                <w:szCs w:val="22"/>
              </w:rPr>
              <w:t>Estimate</w:t>
            </w:r>
          </w:p>
        </w:tc>
      </w:tr>
      <w:tr w:rsidR="00E52D98" w:rsidRPr="00E52D98" w:rsidTr="00E52D98">
        <w:trPr>
          <w:trHeight w:val="379"/>
        </w:trPr>
        <w:tc>
          <w:tcPr>
            <w:tcW w:w="324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 xml:space="preserve">External Borrowing                         </w:t>
            </w:r>
          </w:p>
        </w:tc>
        <w:tc>
          <w:tcPr>
            <w:tcW w:w="144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£0</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£0</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£0</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£0</w:t>
            </w:r>
          </w:p>
        </w:tc>
      </w:tr>
      <w:tr w:rsidR="00E52D98" w:rsidRPr="00E52D98" w:rsidTr="00E52D98">
        <w:trPr>
          <w:trHeight w:val="379"/>
        </w:trPr>
        <w:tc>
          <w:tcPr>
            <w:tcW w:w="324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Total Cash and Investments 31 March</w:t>
            </w:r>
          </w:p>
        </w:tc>
        <w:tc>
          <w:tcPr>
            <w:tcW w:w="144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£22.7m</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£16.7m</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£15.0m</w:t>
            </w:r>
          </w:p>
        </w:tc>
        <w:tc>
          <w:tcPr>
            <w:tcW w:w="1260" w:type="dxa"/>
            <w:tcBorders>
              <w:top w:val="single" w:sz="4" w:space="0" w:color="auto"/>
            </w:tcBorders>
            <w:vAlign w:val="center"/>
          </w:tcPr>
          <w:p w:rsidR="00E52D98" w:rsidRPr="00E52D98" w:rsidRDefault="00E52D98" w:rsidP="00E52D98">
            <w:pPr>
              <w:jc w:val="both"/>
              <w:rPr>
                <w:rFonts w:cs="Arial"/>
                <w:sz w:val="22"/>
                <w:szCs w:val="22"/>
              </w:rPr>
            </w:pPr>
            <w:r w:rsidRPr="00E52D98">
              <w:rPr>
                <w:rFonts w:cs="Arial"/>
                <w:sz w:val="22"/>
                <w:szCs w:val="22"/>
              </w:rPr>
              <w:t>£20.4m</w:t>
            </w:r>
          </w:p>
        </w:tc>
      </w:tr>
    </w:tbl>
    <w:p w:rsidR="00E52D98" w:rsidRPr="00E52D98" w:rsidRDefault="00E52D98" w:rsidP="00E52D98">
      <w:pPr>
        <w:jc w:val="both"/>
        <w:rPr>
          <w:rFonts w:cs="Arial"/>
          <w:sz w:val="22"/>
          <w:szCs w:val="22"/>
          <w:lang w:eastAsia="en-GB"/>
        </w:rPr>
      </w:pPr>
      <w:r w:rsidRPr="00E52D98">
        <w:rPr>
          <w:rFonts w:cs="Arial"/>
          <w:sz w:val="22"/>
          <w:szCs w:val="22"/>
          <w:lang w:eastAsia="en-GB"/>
        </w:rPr>
        <w:t xml:space="preserve"> </w:t>
      </w:r>
    </w:p>
    <w:p w:rsidR="00E52D98" w:rsidRPr="00E52D98" w:rsidRDefault="00E52D98" w:rsidP="00E52D98">
      <w:pPr>
        <w:jc w:val="both"/>
        <w:rPr>
          <w:rFonts w:cs="Arial"/>
          <w:sz w:val="22"/>
          <w:szCs w:val="22"/>
        </w:rPr>
      </w:pPr>
      <w:r w:rsidRPr="00E52D98">
        <w:rPr>
          <w:rFonts w:cs="Arial"/>
          <w:sz w:val="22"/>
          <w:szCs w:val="22"/>
        </w:rPr>
        <w:t>The Council held £26m of investments as at 31 December 2016. Not included in the Lloyds Bank total (see table below) is a balance of £6.5m on the current account which is retained for liquidity in order to meet short term cash commitments including precepts.  An Interest rate of 0.50% was paid on credit balances on the current account (until 3 Aug 2016) and is currently 0.25% in line with the current bank rate.  This information is reported in the monthly Members Information Bulletin.</w:t>
      </w:r>
    </w:p>
    <w:p w:rsidR="00E52D98" w:rsidRPr="00E52D98" w:rsidRDefault="00E52D98" w:rsidP="00E52D98">
      <w:pPr>
        <w:jc w:val="both"/>
        <w:rPr>
          <w:rFonts w:cs="Arial"/>
          <w:color w:val="0000FF"/>
          <w:sz w:val="22"/>
          <w:szCs w:val="22"/>
        </w:rPr>
      </w:pPr>
      <w:r w:rsidRPr="00E52D98">
        <w:rPr>
          <w:rFonts w:cs="Arial"/>
          <w:sz w:val="22"/>
          <w:szCs w:val="22"/>
        </w:rPr>
        <w:t xml:space="preserve"> </w:t>
      </w:r>
    </w:p>
    <w:tbl>
      <w:tblPr>
        <w:tblW w:w="6120" w:type="dxa"/>
        <w:tblInd w:w="1466" w:type="dxa"/>
        <w:tblLook w:val="0000" w:firstRow="0" w:lastRow="0" w:firstColumn="0" w:lastColumn="0" w:noHBand="0" w:noVBand="0"/>
      </w:tblPr>
      <w:tblGrid>
        <w:gridCol w:w="4316"/>
        <w:gridCol w:w="1804"/>
      </w:tblGrid>
      <w:tr w:rsidR="00E52D98" w:rsidRPr="00E52D98" w:rsidTr="00E52D98">
        <w:trPr>
          <w:trHeight w:val="270"/>
        </w:trPr>
        <w:tc>
          <w:tcPr>
            <w:tcW w:w="4316" w:type="dxa"/>
            <w:vMerge w:val="restart"/>
            <w:tcBorders>
              <w:top w:val="nil"/>
              <w:left w:val="nil"/>
              <w:bottom w:val="single" w:sz="4" w:space="0" w:color="C0C0C0"/>
              <w:right w:val="nil"/>
            </w:tcBorders>
            <w:shd w:val="clear" w:color="auto" w:fill="B3B3B3"/>
            <w:noWrap/>
            <w:vAlign w:val="center"/>
          </w:tcPr>
          <w:p w:rsidR="00E52D98" w:rsidRPr="00E52D98" w:rsidRDefault="00E52D98" w:rsidP="00E52D98">
            <w:pPr>
              <w:jc w:val="both"/>
              <w:rPr>
                <w:rFonts w:cs="Arial"/>
                <w:b/>
                <w:bCs/>
                <w:sz w:val="22"/>
                <w:szCs w:val="22"/>
                <w:lang w:eastAsia="en-GB"/>
              </w:rPr>
            </w:pPr>
            <w:r w:rsidRPr="00E52D98">
              <w:rPr>
                <w:rFonts w:cs="Arial"/>
                <w:b/>
                <w:bCs/>
                <w:sz w:val="22"/>
                <w:szCs w:val="22"/>
                <w:lang w:eastAsia="en-GB"/>
              </w:rPr>
              <w:t>Institution</w:t>
            </w:r>
          </w:p>
        </w:tc>
        <w:tc>
          <w:tcPr>
            <w:tcW w:w="1804" w:type="dxa"/>
            <w:vMerge w:val="restart"/>
            <w:tcBorders>
              <w:top w:val="nil"/>
              <w:left w:val="nil"/>
              <w:bottom w:val="single" w:sz="4" w:space="0" w:color="C0C0C0"/>
              <w:right w:val="nil"/>
            </w:tcBorders>
            <w:shd w:val="clear" w:color="auto" w:fill="B3B3B3"/>
            <w:vAlign w:val="center"/>
          </w:tcPr>
          <w:p w:rsidR="00E52D98" w:rsidRPr="00E52D98" w:rsidRDefault="00E52D98" w:rsidP="00E52D98">
            <w:pPr>
              <w:jc w:val="both"/>
              <w:rPr>
                <w:rFonts w:cs="Arial"/>
                <w:b/>
                <w:bCs/>
                <w:sz w:val="22"/>
                <w:szCs w:val="22"/>
                <w:lang w:eastAsia="en-GB"/>
              </w:rPr>
            </w:pPr>
            <w:r w:rsidRPr="00E52D98">
              <w:rPr>
                <w:rFonts w:cs="Arial"/>
                <w:b/>
                <w:bCs/>
                <w:sz w:val="22"/>
                <w:szCs w:val="22"/>
                <w:lang w:eastAsia="en-GB"/>
              </w:rPr>
              <w:t>Principal (£)</w:t>
            </w:r>
          </w:p>
        </w:tc>
      </w:tr>
      <w:tr w:rsidR="00E52D98" w:rsidRPr="00E52D98" w:rsidTr="00E52D98">
        <w:trPr>
          <w:trHeight w:val="270"/>
        </w:trPr>
        <w:tc>
          <w:tcPr>
            <w:tcW w:w="4316" w:type="dxa"/>
            <w:vMerge/>
            <w:tcBorders>
              <w:top w:val="nil"/>
              <w:left w:val="nil"/>
              <w:bottom w:val="single" w:sz="4" w:space="0" w:color="C0C0C0"/>
              <w:right w:val="nil"/>
            </w:tcBorders>
            <w:shd w:val="clear" w:color="auto" w:fill="B3B3B3"/>
            <w:vAlign w:val="center"/>
          </w:tcPr>
          <w:p w:rsidR="00E52D98" w:rsidRPr="00E52D98" w:rsidRDefault="00E52D98" w:rsidP="00E52D98">
            <w:pPr>
              <w:jc w:val="both"/>
              <w:rPr>
                <w:rFonts w:cs="Arial"/>
                <w:b/>
                <w:bCs/>
                <w:sz w:val="22"/>
                <w:szCs w:val="22"/>
                <w:lang w:eastAsia="en-GB"/>
              </w:rPr>
            </w:pPr>
          </w:p>
        </w:tc>
        <w:tc>
          <w:tcPr>
            <w:tcW w:w="1804" w:type="dxa"/>
            <w:vMerge/>
            <w:tcBorders>
              <w:top w:val="nil"/>
              <w:left w:val="nil"/>
              <w:bottom w:val="single" w:sz="4" w:space="0" w:color="C0C0C0"/>
              <w:right w:val="nil"/>
            </w:tcBorders>
            <w:shd w:val="clear" w:color="auto" w:fill="B3B3B3"/>
            <w:vAlign w:val="center"/>
          </w:tcPr>
          <w:p w:rsidR="00E52D98" w:rsidRPr="00E52D98" w:rsidRDefault="00E52D98" w:rsidP="00E52D98">
            <w:pPr>
              <w:jc w:val="both"/>
              <w:rPr>
                <w:rFonts w:cs="Arial"/>
                <w:b/>
                <w:bCs/>
                <w:sz w:val="22"/>
                <w:szCs w:val="22"/>
                <w:lang w:eastAsia="en-GB"/>
              </w:rPr>
            </w:pPr>
          </w:p>
        </w:tc>
      </w:tr>
      <w:tr w:rsidR="00E52D98" w:rsidRPr="00E52D98" w:rsidTr="00E52D98">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b/>
                <w:i/>
                <w:sz w:val="22"/>
                <w:szCs w:val="22"/>
                <w:u w:val="single"/>
                <w:lang w:eastAsia="en-GB"/>
              </w:rPr>
            </w:pPr>
            <w:r w:rsidRPr="00E52D98">
              <w:rPr>
                <w:rFonts w:cs="Arial"/>
                <w:b/>
                <w:i/>
                <w:sz w:val="22"/>
                <w:szCs w:val="22"/>
                <w:u w:val="single"/>
                <w:lang w:eastAsia="en-GB"/>
              </w:rPr>
              <w:t>Banks</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lang w:eastAsia="en-GB"/>
              </w:rPr>
            </w:pPr>
          </w:p>
        </w:tc>
      </w:tr>
      <w:tr w:rsidR="00E52D98" w:rsidRPr="00E52D98" w:rsidTr="00E52D98">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lang w:eastAsia="en-GB"/>
              </w:rPr>
            </w:pPr>
            <w:r w:rsidRPr="00E52D98">
              <w:rPr>
                <w:rFonts w:cs="Arial"/>
                <w:sz w:val="22"/>
                <w:szCs w:val="22"/>
                <w:lang w:eastAsia="en-GB"/>
              </w:rPr>
              <w:t xml:space="preserve">Lloyds </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highlight w:val="yellow"/>
                <w:lang w:eastAsia="en-GB"/>
              </w:rPr>
            </w:pPr>
            <w:r w:rsidRPr="00E52D98">
              <w:rPr>
                <w:rFonts w:cs="Arial"/>
                <w:sz w:val="22"/>
                <w:szCs w:val="22"/>
                <w:lang w:eastAsia="en-GB"/>
              </w:rPr>
              <w:t>5,500,000</w:t>
            </w:r>
          </w:p>
        </w:tc>
      </w:tr>
      <w:tr w:rsidR="00E52D98" w:rsidRPr="00E52D98" w:rsidTr="00E52D98">
        <w:trPr>
          <w:trHeight w:val="300"/>
        </w:trPr>
        <w:tc>
          <w:tcPr>
            <w:tcW w:w="4316" w:type="dxa"/>
            <w:tcBorders>
              <w:top w:val="single" w:sz="4" w:space="0" w:color="C0C0C0"/>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b/>
                <w:i/>
                <w:sz w:val="22"/>
                <w:szCs w:val="22"/>
                <w:lang w:eastAsia="en-GB"/>
              </w:rPr>
            </w:pPr>
            <w:r w:rsidRPr="00E52D98">
              <w:rPr>
                <w:rFonts w:cs="Arial"/>
                <w:b/>
                <w:i/>
                <w:sz w:val="22"/>
                <w:szCs w:val="22"/>
                <w:lang w:eastAsia="en-GB"/>
              </w:rPr>
              <w:t xml:space="preserve">Total </w:t>
            </w:r>
          </w:p>
        </w:tc>
        <w:tc>
          <w:tcPr>
            <w:tcW w:w="1804" w:type="dxa"/>
            <w:tcBorders>
              <w:top w:val="single" w:sz="4" w:space="0" w:color="C0C0C0"/>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b/>
                <w:i/>
                <w:sz w:val="22"/>
                <w:szCs w:val="22"/>
                <w:highlight w:val="yellow"/>
                <w:lang w:eastAsia="en-GB"/>
              </w:rPr>
            </w:pPr>
            <w:r w:rsidRPr="00E52D98">
              <w:rPr>
                <w:rFonts w:cs="Arial"/>
                <w:b/>
                <w:i/>
                <w:sz w:val="22"/>
                <w:szCs w:val="22"/>
                <w:lang w:eastAsia="en-GB"/>
              </w:rPr>
              <w:t>5,500,000</w:t>
            </w:r>
          </w:p>
        </w:tc>
      </w:tr>
      <w:tr w:rsidR="00E52D98" w:rsidRPr="00E52D98" w:rsidTr="00E52D98">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b/>
                <w:i/>
                <w:sz w:val="22"/>
                <w:szCs w:val="22"/>
                <w:u w:val="single"/>
                <w:lang w:eastAsia="en-GB"/>
              </w:rPr>
            </w:pPr>
            <w:r w:rsidRPr="00E52D98">
              <w:rPr>
                <w:rFonts w:cs="Arial"/>
                <w:b/>
                <w:i/>
                <w:sz w:val="22"/>
                <w:szCs w:val="22"/>
                <w:u w:val="single"/>
                <w:lang w:eastAsia="en-GB"/>
              </w:rPr>
              <w:t>Building Societies</w:t>
            </w:r>
          </w:p>
        </w:tc>
        <w:tc>
          <w:tcPr>
            <w:tcW w:w="1804" w:type="dxa"/>
            <w:tcBorders>
              <w:top w:val="nil"/>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highlight w:val="yellow"/>
                <w:lang w:eastAsia="en-GB"/>
              </w:rPr>
            </w:pPr>
          </w:p>
        </w:tc>
      </w:tr>
      <w:tr w:rsidR="00E52D98" w:rsidRPr="00E52D98" w:rsidTr="00E52D98">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lang w:eastAsia="en-GB"/>
              </w:rPr>
            </w:pPr>
            <w:r w:rsidRPr="00E52D98">
              <w:rPr>
                <w:rFonts w:cs="Arial"/>
                <w:sz w:val="22"/>
                <w:szCs w:val="22"/>
                <w:lang w:eastAsia="en-GB"/>
              </w:rPr>
              <w:t xml:space="preserve">Nationwide </w:t>
            </w:r>
          </w:p>
        </w:tc>
        <w:tc>
          <w:tcPr>
            <w:tcW w:w="1804" w:type="dxa"/>
            <w:tcBorders>
              <w:top w:val="nil"/>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highlight w:val="yellow"/>
                <w:lang w:eastAsia="en-GB"/>
              </w:rPr>
            </w:pPr>
            <w:r w:rsidRPr="00E52D98">
              <w:rPr>
                <w:rFonts w:cs="Arial"/>
                <w:sz w:val="22"/>
                <w:szCs w:val="22"/>
                <w:lang w:eastAsia="en-GB"/>
              </w:rPr>
              <w:t xml:space="preserve">6,000,000 </w:t>
            </w:r>
          </w:p>
        </w:tc>
      </w:tr>
      <w:tr w:rsidR="00E52D98" w:rsidRPr="00E52D98" w:rsidTr="00E52D98">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lang w:eastAsia="en-GB"/>
              </w:rPr>
            </w:pPr>
            <w:r w:rsidRPr="00E52D98">
              <w:rPr>
                <w:rFonts w:cs="Arial"/>
                <w:sz w:val="22"/>
                <w:szCs w:val="22"/>
                <w:lang w:eastAsia="en-GB"/>
              </w:rPr>
              <w:t xml:space="preserve">Principality </w:t>
            </w:r>
          </w:p>
        </w:tc>
        <w:tc>
          <w:tcPr>
            <w:tcW w:w="1804" w:type="dxa"/>
            <w:tcBorders>
              <w:top w:val="nil"/>
              <w:left w:val="nil"/>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highlight w:val="yellow"/>
                <w:lang w:eastAsia="en-GB"/>
              </w:rPr>
            </w:pPr>
            <w:r w:rsidRPr="00E52D98">
              <w:rPr>
                <w:rFonts w:cs="Arial"/>
                <w:sz w:val="22"/>
                <w:szCs w:val="22"/>
                <w:lang w:eastAsia="en-GB"/>
              </w:rPr>
              <w:t>6,000,000</w:t>
            </w:r>
          </w:p>
        </w:tc>
      </w:tr>
      <w:tr w:rsidR="00E52D98" w:rsidRPr="00E52D98" w:rsidTr="00E52D98">
        <w:trPr>
          <w:trHeight w:val="300"/>
        </w:trPr>
        <w:tc>
          <w:tcPr>
            <w:tcW w:w="4316" w:type="dxa"/>
            <w:tcBorders>
              <w:top w:val="nil"/>
              <w:left w:val="single" w:sz="4" w:space="0" w:color="C0C0C0"/>
              <w:bottom w:val="single" w:sz="4" w:space="0" w:color="C0C0C0"/>
              <w:right w:val="single" w:sz="4" w:space="0" w:color="C0C0C0"/>
            </w:tcBorders>
            <w:shd w:val="clear" w:color="auto" w:fill="auto"/>
            <w:noWrap/>
            <w:vAlign w:val="bottom"/>
          </w:tcPr>
          <w:p w:rsidR="00E52D98" w:rsidRPr="00E52D98" w:rsidRDefault="00E52D98" w:rsidP="00E52D98">
            <w:pPr>
              <w:jc w:val="both"/>
              <w:rPr>
                <w:rFonts w:cs="Arial"/>
                <w:sz w:val="22"/>
                <w:szCs w:val="22"/>
                <w:lang w:eastAsia="en-GB"/>
              </w:rPr>
            </w:pPr>
            <w:r w:rsidRPr="00E52D98">
              <w:rPr>
                <w:rFonts w:cs="Arial"/>
                <w:sz w:val="22"/>
                <w:szCs w:val="22"/>
                <w:lang w:eastAsia="en-GB"/>
              </w:rPr>
              <w:t xml:space="preserve">Skipton </w:t>
            </w:r>
          </w:p>
        </w:tc>
        <w:tc>
          <w:tcPr>
            <w:tcW w:w="1804" w:type="dxa"/>
            <w:tcBorders>
              <w:top w:val="single" w:sz="4" w:space="0" w:color="C0C0C0"/>
              <w:left w:val="nil"/>
              <w:right w:val="single" w:sz="4" w:space="0" w:color="C0C0C0"/>
            </w:tcBorders>
            <w:shd w:val="clear" w:color="auto" w:fill="auto"/>
            <w:noWrap/>
            <w:vAlign w:val="bottom"/>
          </w:tcPr>
          <w:p w:rsidR="00E52D98" w:rsidRPr="00E52D98" w:rsidRDefault="00E52D98" w:rsidP="00E52D98">
            <w:pPr>
              <w:jc w:val="both"/>
              <w:rPr>
                <w:rFonts w:cs="Arial"/>
                <w:sz w:val="22"/>
                <w:szCs w:val="22"/>
                <w:highlight w:val="yellow"/>
                <w:u w:val="single"/>
                <w:lang w:eastAsia="en-GB"/>
              </w:rPr>
            </w:pPr>
            <w:r w:rsidRPr="00E52D98">
              <w:rPr>
                <w:rFonts w:cs="Arial"/>
                <w:sz w:val="22"/>
                <w:szCs w:val="22"/>
                <w:u w:val="single"/>
                <w:lang w:eastAsia="en-GB"/>
              </w:rPr>
              <w:t xml:space="preserve">8,500,000 </w:t>
            </w:r>
          </w:p>
        </w:tc>
      </w:tr>
      <w:tr w:rsidR="00E52D98" w:rsidRPr="00E52D98" w:rsidTr="00E52D98">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E52D98" w:rsidRPr="00E52D98" w:rsidRDefault="00E52D98" w:rsidP="00E52D98">
            <w:pPr>
              <w:jc w:val="both"/>
              <w:rPr>
                <w:rFonts w:cs="Arial"/>
                <w:b/>
                <w:bCs/>
                <w:i/>
                <w:sz w:val="22"/>
                <w:szCs w:val="22"/>
                <w:lang w:eastAsia="en-GB"/>
              </w:rPr>
            </w:pPr>
            <w:r w:rsidRPr="00E52D98">
              <w:rPr>
                <w:rFonts w:cs="Arial"/>
                <w:b/>
                <w:i/>
                <w:sz w:val="22"/>
                <w:szCs w:val="22"/>
                <w:lang w:eastAsia="en-GB"/>
              </w:rPr>
              <w:t xml:space="preserve">Total </w:t>
            </w:r>
          </w:p>
        </w:tc>
        <w:tc>
          <w:tcPr>
            <w:tcW w:w="1804" w:type="dxa"/>
            <w:tcBorders>
              <w:left w:val="nil"/>
              <w:right w:val="nil"/>
            </w:tcBorders>
            <w:shd w:val="clear" w:color="auto" w:fill="auto"/>
            <w:noWrap/>
            <w:vAlign w:val="bottom"/>
          </w:tcPr>
          <w:p w:rsidR="00E52D98" w:rsidRPr="00E52D98" w:rsidRDefault="00E52D98" w:rsidP="00E52D98">
            <w:pPr>
              <w:jc w:val="both"/>
              <w:rPr>
                <w:rFonts w:cs="Arial"/>
                <w:b/>
                <w:bCs/>
                <w:i/>
                <w:sz w:val="22"/>
                <w:szCs w:val="22"/>
                <w:highlight w:val="yellow"/>
                <w:lang w:eastAsia="en-GB"/>
              </w:rPr>
            </w:pPr>
            <w:r w:rsidRPr="00E52D98">
              <w:rPr>
                <w:rFonts w:cs="Arial"/>
                <w:b/>
                <w:bCs/>
                <w:i/>
                <w:sz w:val="22"/>
                <w:szCs w:val="22"/>
                <w:lang w:eastAsia="en-GB"/>
              </w:rPr>
              <w:t>20,500,000</w:t>
            </w:r>
          </w:p>
        </w:tc>
      </w:tr>
      <w:tr w:rsidR="00E52D98" w:rsidRPr="00E52D98" w:rsidTr="00E52D98">
        <w:trPr>
          <w:trHeight w:val="315"/>
        </w:trPr>
        <w:tc>
          <w:tcPr>
            <w:tcW w:w="4316" w:type="dxa"/>
            <w:tcBorders>
              <w:top w:val="nil"/>
              <w:left w:val="single" w:sz="4" w:space="0" w:color="C0C0C0"/>
              <w:bottom w:val="nil"/>
              <w:right w:val="single" w:sz="4" w:space="0" w:color="C0C0C0"/>
            </w:tcBorders>
            <w:shd w:val="clear" w:color="auto" w:fill="auto"/>
            <w:noWrap/>
            <w:vAlign w:val="bottom"/>
          </w:tcPr>
          <w:p w:rsidR="00E52D98" w:rsidRPr="00E52D98" w:rsidRDefault="00E52D98" w:rsidP="00E52D98">
            <w:pPr>
              <w:jc w:val="both"/>
              <w:rPr>
                <w:rFonts w:cs="Arial"/>
                <w:b/>
                <w:bCs/>
                <w:i/>
                <w:sz w:val="22"/>
                <w:szCs w:val="22"/>
                <w:lang w:eastAsia="en-GB"/>
              </w:rPr>
            </w:pPr>
            <w:r w:rsidRPr="00E52D98">
              <w:rPr>
                <w:rFonts w:cs="Arial"/>
                <w:b/>
                <w:bCs/>
                <w:i/>
                <w:sz w:val="22"/>
                <w:szCs w:val="22"/>
                <w:lang w:eastAsia="en-GB"/>
              </w:rPr>
              <w:t>Grand Total</w:t>
            </w:r>
          </w:p>
        </w:tc>
        <w:tc>
          <w:tcPr>
            <w:tcW w:w="1804" w:type="dxa"/>
            <w:tcBorders>
              <w:top w:val="single" w:sz="4" w:space="0" w:color="auto"/>
              <w:left w:val="nil"/>
              <w:bottom w:val="double" w:sz="6" w:space="0" w:color="auto"/>
              <w:right w:val="nil"/>
            </w:tcBorders>
            <w:shd w:val="clear" w:color="auto" w:fill="auto"/>
            <w:noWrap/>
            <w:vAlign w:val="bottom"/>
          </w:tcPr>
          <w:p w:rsidR="00E52D98" w:rsidRPr="00E52D98" w:rsidRDefault="00E52D98" w:rsidP="00E52D98">
            <w:pPr>
              <w:jc w:val="both"/>
              <w:rPr>
                <w:rFonts w:cs="Arial"/>
                <w:b/>
                <w:bCs/>
                <w:i/>
                <w:sz w:val="22"/>
                <w:szCs w:val="22"/>
                <w:highlight w:val="yellow"/>
                <w:lang w:eastAsia="en-GB"/>
              </w:rPr>
            </w:pPr>
            <w:r w:rsidRPr="00E52D98">
              <w:rPr>
                <w:rFonts w:cs="Arial"/>
                <w:b/>
                <w:bCs/>
                <w:i/>
                <w:sz w:val="22"/>
                <w:szCs w:val="22"/>
                <w:lang w:eastAsia="en-GB"/>
              </w:rPr>
              <w:t xml:space="preserve">26,000,000 </w:t>
            </w:r>
          </w:p>
        </w:tc>
      </w:tr>
    </w:tbl>
    <w:p w:rsidR="00E52D98" w:rsidRPr="00E52D98" w:rsidRDefault="00E52D98" w:rsidP="00E52D98">
      <w:pPr>
        <w:autoSpaceDE w:val="0"/>
        <w:autoSpaceDN w:val="0"/>
        <w:adjustRightInd w:val="0"/>
        <w:jc w:val="both"/>
        <w:rPr>
          <w:rFonts w:cs="Arial"/>
          <w:sz w:val="22"/>
          <w:szCs w:val="22"/>
        </w:rPr>
      </w:pPr>
      <w:r w:rsidRPr="00E52D98">
        <w:rPr>
          <w:sz w:val="22"/>
        </w:rPr>
        <w:tab/>
      </w:r>
      <w:r w:rsidRPr="00E52D98">
        <w:rPr>
          <w:sz w:val="22"/>
        </w:rPr>
        <w:fldChar w:fldCharType="begin"/>
      </w:r>
      <w:r w:rsidRPr="00E52D98">
        <w:rPr>
          <w:sz w:val="22"/>
        </w:rPr>
        <w:instrText xml:space="preserve">  </w:instrText>
      </w:r>
      <w:r w:rsidRPr="00E52D98">
        <w:rPr>
          <w:sz w:val="22"/>
        </w:rPr>
        <w:fldChar w:fldCharType="end"/>
      </w:r>
      <w:r w:rsidRPr="00E52D98">
        <w:rPr>
          <w:noProof/>
          <w:sz w:val="22"/>
        </w:rPr>
        <w:t xml:space="preserve"> </w:t>
      </w:r>
      <w:r w:rsidRPr="00E52D98">
        <w:rPr>
          <w:noProof/>
          <w:sz w:val="22"/>
        </w:rPr>
        <w:tab/>
      </w:r>
    </w:p>
    <w:p w:rsidR="00E52D98" w:rsidRPr="00E52D98" w:rsidRDefault="00E52D98" w:rsidP="00E52D98">
      <w:pPr>
        <w:tabs>
          <w:tab w:val="num" w:pos="709"/>
        </w:tabs>
        <w:jc w:val="both"/>
        <w:rPr>
          <w:rFonts w:cs="Arial"/>
          <w:sz w:val="22"/>
          <w:szCs w:val="22"/>
        </w:rPr>
      </w:pPr>
      <w:r w:rsidRPr="00E52D98">
        <w:rPr>
          <w:rFonts w:cs="Arial"/>
          <w:sz w:val="22"/>
          <w:szCs w:val="22"/>
        </w:rPr>
        <w:t>In accordance with the Code, it is the Council’s priority to ensure security of capital and liquidity, and to obtain an appropriate level of return which is consistent with the Council’s risk appetite.  Monthly Interest Rates to the end of December 2016</w:t>
      </w:r>
    </w:p>
    <w:tbl>
      <w:tblPr>
        <w:tblpPr w:leftFromText="180" w:rightFromText="180" w:vertAnchor="text" w:horzAnchor="page" w:tblpX="3061" w:tblpY="147"/>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1"/>
        <w:gridCol w:w="1882"/>
      </w:tblGrid>
      <w:tr w:rsidR="00E52D98" w:rsidRPr="00E52D98" w:rsidTr="00E52D98">
        <w:trPr>
          <w:trHeight w:val="278"/>
        </w:trPr>
        <w:tc>
          <w:tcPr>
            <w:tcW w:w="2621" w:type="dxa"/>
            <w:shd w:val="clear" w:color="auto" w:fill="auto"/>
          </w:tcPr>
          <w:p w:rsidR="00E52D98" w:rsidRPr="00E52D98" w:rsidRDefault="00E52D98" w:rsidP="00E52D98">
            <w:pPr>
              <w:jc w:val="both"/>
              <w:rPr>
                <w:b/>
                <w:sz w:val="22"/>
                <w:szCs w:val="22"/>
              </w:rPr>
            </w:pPr>
            <w:r w:rsidRPr="00E52D98">
              <w:rPr>
                <w:b/>
                <w:sz w:val="22"/>
                <w:szCs w:val="22"/>
              </w:rPr>
              <w:t>Month</w:t>
            </w:r>
          </w:p>
        </w:tc>
        <w:tc>
          <w:tcPr>
            <w:tcW w:w="1882" w:type="dxa"/>
            <w:shd w:val="clear" w:color="auto" w:fill="auto"/>
          </w:tcPr>
          <w:p w:rsidR="00E52D98" w:rsidRPr="00E52D98" w:rsidRDefault="00E52D98" w:rsidP="00E52D98">
            <w:pPr>
              <w:jc w:val="both"/>
              <w:rPr>
                <w:b/>
                <w:sz w:val="22"/>
                <w:szCs w:val="22"/>
              </w:rPr>
            </w:pPr>
            <w:r w:rsidRPr="00E52D98">
              <w:rPr>
                <w:b/>
                <w:sz w:val="22"/>
                <w:szCs w:val="22"/>
              </w:rPr>
              <w:t>Rate Achieved</w:t>
            </w:r>
          </w:p>
        </w:tc>
      </w:tr>
      <w:tr w:rsidR="00E52D98" w:rsidRPr="00E52D98" w:rsidTr="00E52D98">
        <w:trPr>
          <w:trHeight w:val="298"/>
        </w:trPr>
        <w:tc>
          <w:tcPr>
            <w:tcW w:w="2621" w:type="dxa"/>
            <w:shd w:val="clear" w:color="auto" w:fill="auto"/>
          </w:tcPr>
          <w:p w:rsidR="00E52D98" w:rsidRPr="00E52D98" w:rsidRDefault="00E52D98" w:rsidP="00E52D98">
            <w:pPr>
              <w:jc w:val="both"/>
              <w:rPr>
                <w:sz w:val="22"/>
                <w:szCs w:val="22"/>
              </w:rPr>
            </w:pPr>
            <w:r w:rsidRPr="00E52D98">
              <w:rPr>
                <w:rFonts w:cs="Arial"/>
                <w:sz w:val="22"/>
                <w:szCs w:val="22"/>
              </w:rPr>
              <w:t>April</w:t>
            </w:r>
          </w:p>
        </w:tc>
        <w:tc>
          <w:tcPr>
            <w:tcW w:w="1882" w:type="dxa"/>
            <w:shd w:val="clear" w:color="auto" w:fill="auto"/>
          </w:tcPr>
          <w:p w:rsidR="00E52D98" w:rsidRPr="00E52D98" w:rsidRDefault="00E52D98" w:rsidP="00E52D98">
            <w:pPr>
              <w:jc w:val="both"/>
              <w:rPr>
                <w:sz w:val="22"/>
                <w:szCs w:val="22"/>
              </w:rPr>
            </w:pPr>
            <w:r w:rsidRPr="00E52D98">
              <w:rPr>
                <w:rFonts w:cs="Arial"/>
                <w:sz w:val="22"/>
                <w:szCs w:val="22"/>
              </w:rPr>
              <w:t>0.76%</w:t>
            </w:r>
          </w:p>
        </w:tc>
      </w:tr>
      <w:tr w:rsidR="00E52D98" w:rsidRPr="00E52D98" w:rsidTr="00E52D98">
        <w:tc>
          <w:tcPr>
            <w:tcW w:w="2621" w:type="dxa"/>
            <w:shd w:val="clear" w:color="auto" w:fill="auto"/>
          </w:tcPr>
          <w:p w:rsidR="00E52D98" w:rsidRPr="00E52D98" w:rsidRDefault="00E52D98" w:rsidP="00E52D98">
            <w:pPr>
              <w:jc w:val="both"/>
              <w:rPr>
                <w:sz w:val="22"/>
                <w:szCs w:val="22"/>
              </w:rPr>
            </w:pPr>
            <w:r w:rsidRPr="00E52D98">
              <w:rPr>
                <w:rFonts w:cs="Arial"/>
                <w:sz w:val="22"/>
                <w:szCs w:val="22"/>
              </w:rPr>
              <w:t>May</w:t>
            </w:r>
          </w:p>
        </w:tc>
        <w:tc>
          <w:tcPr>
            <w:tcW w:w="1882" w:type="dxa"/>
            <w:shd w:val="clear" w:color="auto" w:fill="auto"/>
          </w:tcPr>
          <w:p w:rsidR="00E52D98" w:rsidRPr="00E52D98" w:rsidRDefault="00E52D98" w:rsidP="00E52D98">
            <w:pPr>
              <w:jc w:val="both"/>
              <w:rPr>
                <w:sz w:val="22"/>
                <w:szCs w:val="22"/>
              </w:rPr>
            </w:pPr>
            <w:r w:rsidRPr="00E52D98">
              <w:rPr>
                <w:rFonts w:cs="Arial"/>
                <w:sz w:val="22"/>
                <w:szCs w:val="22"/>
              </w:rPr>
              <w:t>0.72%</w:t>
            </w:r>
          </w:p>
        </w:tc>
      </w:tr>
      <w:tr w:rsidR="00E52D98" w:rsidRPr="00E52D98" w:rsidTr="00E52D98">
        <w:tc>
          <w:tcPr>
            <w:tcW w:w="2621" w:type="dxa"/>
            <w:shd w:val="clear" w:color="auto" w:fill="auto"/>
          </w:tcPr>
          <w:p w:rsidR="00E52D98" w:rsidRPr="00E52D98" w:rsidRDefault="00E52D98" w:rsidP="00E52D98">
            <w:pPr>
              <w:jc w:val="both"/>
              <w:rPr>
                <w:sz w:val="22"/>
                <w:szCs w:val="22"/>
              </w:rPr>
            </w:pPr>
            <w:r w:rsidRPr="00E52D98">
              <w:rPr>
                <w:rFonts w:cs="Arial"/>
                <w:sz w:val="22"/>
                <w:szCs w:val="22"/>
              </w:rPr>
              <w:t>June</w:t>
            </w:r>
          </w:p>
        </w:tc>
        <w:tc>
          <w:tcPr>
            <w:tcW w:w="1882" w:type="dxa"/>
            <w:shd w:val="clear" w:color="auto" w:fill="auto"/>
          </w:tcPr>
          <w:p w:rsidR="00E52D98" w:rsidRPr="00E52D98" w:rsidRDefault="00E52D98" w:rsidP="00E52D98">
            <w:pPr>
              <w:jc w:val="both"/>
              <w:rPr>
                <w:sz w:val="22"/>
                <w:szCs w:val="22"/>
              </w:rPr>
            </w:pPr>
            <w:r w:rsidRPr="00E52D98">
              <w:rPr>
                <w:rFonts w:cs="Arial"/>
                <w:sz w:val="22"/>
                <w:szCs w:val="22"/>
              </w:rPr>
              <w:t>0.78%</w:t>
            </w:r>
          </w:p>
        </w:tc>
      </w:tr>
      <w:tr w:rsidR="00E52D98" w:rsidRPr="00E52D98" w:rsidTr="00E52D98">
        <w:tc>
          <w:tcPr>
            <w:tcW w:w="2621" w:type="dxa"/>
            <w:shd w:val="clear" w:color="auto" w:fill="auto"/>
          </w:tcPr>
          <w:p w:rsidR="00E52D98" w:rsidRPr="00E52D98" w:rsidRDefault="00E52D98" w:rsidP="00E52D98">
            <w:pPr>
              <w:jc w:val="both"/>
              <w:rPr>
                <w:sz w:val="22"/>
                <w:szCs w:val="22"/>
              </w:rPr>
            </w:pPr>
            <w:r w:rsidRPr="00E52D98">
              <w:rPr>
                <w:rFonts w:cs="Arial"/>
                <w:sz w:val="22"/>
                <w:szCs w:val="22"/>
              </w:rPr>
              <w:t>July</w:t>
            </w:r>
          </w:p>
        </w:tc>
        <w:tc>
          <w:tcPr>
            <w:tcW w:w="1882" w:type="dxa"/>
            <w:shd w:val="clear" w:color="auto" w:fill="auto"/>
          </w:tcPr>
          <w:p w:rsidR="00E52D98" w:rsidRPr="00E52D98" w:rsidRDefault="00E52D98" w:rsidP="00E52D98">
            <w:pPr>
              <w:jc w:val="both"/>
              <w:rPr>
                <w:rFonts w:cs="Arial"/>
                <w:sz w:val="22"/>
                <w:szCs w:val="22"/>
              </w:rPr>
            </w:pPr>
            <w:r w:rsidRPr="00E52D98">
              <w:rPr>
                <w:rFonts w:cs="Arial"/>
                <w:sz w:val="22"/>
                <w:szCs w:val="22"/>
              </w:rPr>
              <w:t>0.75%</w:t>
            </w:r>
          </w:p>
        </w:tc>
      </w:tr>
      <w:tr w:rsidR="00E52D98" w:rsidRPr="00E52D98" w:rsidTr="00E52D98">
        <w:tc>
          <w:tcPr>
            <w:tcW w:w="2621" w:type="dxa"/>
            <w:shd w:val="clear" w:color="auto" w:fill="auto"/>
          </w:tcPr>
          <w:p w:rsidR="00E52D98" w:rsidRPr="00E52D98" w:rsidRDefault="00E52D98" w:rsidP="00E52D98">
            <w:pPr>
              <w:jc w:val="both"/>
              <w:rPr>
                <w:sz w:val="22"/>
                <w:szCs w:val="22"/>
              </w:rPr>
            </w:pPr>
            <w:r w:rsidRPr="00E52D98">
              <w:rPr>
                <w:rFonts w:cs="Arial"/>
                <w:sz w:val="22"/>
                <w:szCs w:val="22"/>
              </w:rPr>
              <w:t>August</w:t>
            </w:r>
          </w:p>
        </w:tc>
        <w:tc>
          <w:tcPr>
            <w:tcW w:w="1882" w:type="dxa"/>
            <w:shd w:val="clear" w:color="auto" w:fill="auto"/>
          </w:tcPr>
          <w:p w:rsidR="00E52D98" w:rsidRPr="00E52D98" w:rsidRDefault="00E52D98" w:rsidP="00E52D98">
            <w:pPr>
              <w:jc w:val="both"/>
              <w:rPr>
                <w:sz w:val="22"/>
                <w:szCs w:val="22"/>
              </w:rPr>
            </w:pPr>
            <w:r w:rsidRPr="00E52D98">
              <w:rPr>
                <w:rFonts w:cs="Arial"/>
                <w:sz w:val="22"/>
                <w:szCs w:val="22"/>
              </w:rPr>
              <w:t>0.73%</w:t>
            </w:r>
          </w:p>
        </w:tc>
      </w:tr>
      <w:tr w:rsidR="00E52D98" w:rsidRPr="00E52D98" w:rsidTr="00E52D98">
        <w:trPr>
          <w:trHeight w:val="285"/>
        </w:trPr>
        <w:tc>
          <w:tcPr>
            <w:tcW w:w="2621" w:type="dxa"/>
            <w:shd w:val="clear" w:color="auto" w:fill="auto"/>
          </w:tcPr>
          <w:p w:rsidR="00E52D98" w:rsidRPr="00E52D98" w:rsidRDefault="00E52D98" w:rsidP="00E52D98">
            <w:pPr>
              <w:jc w:val="both"/>
              <w:rPr>
                <w:rFonts w:cs="Arial"/>
                <w:sz w:val="22"/>
                <w:szCs w:val="22"/>
              </w:rPr>
            </w:pPr>
            <w:r w:rsidRPr="00E52D98">
              <w:rPr>
                <w:rFonts w:cs="Arial"/>
                <w:sz w:val="22"/>
                <w:szCs w:val="22"/>
              </w:rPr>
              <w:t>September</w:t>
            </w:r>
          </w:p>
        </w:tc>
        <w:tc>
          <w:tcPr>
            <w:tcW w:w="1882" w:type="dxa"/>
            <w:shd w:val="clear" w:color="auto" w:fill="auto"/>
          </w:tcPr>
          <w:p w:rsidR="00E52D98" w:rsidRPr="00E52D98" w:rsidRDefault="00E52D98" w:rsidP="00E52D98">
            <w:pPr>
              <w:jc w:val="both"/>
              <w:rPr>
                <w:rFonts w:cs="Arial"/>
                <w:sz w:val="22"/>
                <w:szCs w:val="22"/>
              </w:rPr>
            </w:pPr>
            <w:r w:rsidRPr="00E52D98">
              <w:rPr>
                <w:rFonts w:cs="Arial"/>
                <w:sz w:val="22"/>
                <w:szCs w:val="22"/>
              </w:rPr>
              <w:t>0.71%</w:t>
            </w:r>
          </w:p>
        </w:tc>
      </w:tr>
      <w:tr w:rsidR="00E52D98" w:rsidRPr="00E52D98" w:rsidTr="00E52D98">
        <w:trPr>
          <w:trHeight w:val="285"/>
        </w:trPr>
        <w:tc>
          <w:tcPr>
            <w:tcW w:w="2621" w:type="dxa"/>
            <w:shd w:val="clear" w:color="auto" w:fill="auto"/>
          </w:tcPr>
          <w:p w:rsidR="00E52D98" w:rsidRPr="00E52D98" w:rsidRDefault="00E52D98" w:rsidP="00E52D98">
            <w:pPr>
              <w:jc w:val="both"/>
              <w:rPr>
                <w:sz w:val="22"/>
                <w:szCs w:val="22"/>
              </w:rPr>
            </w:pPr>
            <w:r w:rsidRPr="00E52D98">
              <w:rPr>
                <w:rFonts w:cs="Arial"/>
                <w:sz w:val="22"/>
                <w:szCs w:val="22"/>
              </w:rPr>
              <w:t>October</w:t>
            </w:r>
          </w:p>
        </w:tc>
        <w:tc>
          <w:tcPr>
            <w:tcW w:w="1882" w:type="dxa"/>
            <w:shd w:val="clear" w:color="auto" w:fill="auto"/>
          </w:tcPr>
          <w:p w:rsidR="00E52D98" w:rsidRPr="00E52D98" w:rsidRDefault="00E52D98" w:rsidP="00E52D98">
            <w:pPr>
              <w:jc w:val="both"/>
              <w:rPr>
                <w:rFonts w:cs="Arial"/>
                <w:sz w:val="22"/>
                <w:szCs w:val="22"/>
              </w:rPr>
            </w:pPr>
            <w:r w:rsidRPr="00E52D98">
              <w:rPr>
                <w:rFonts w:cs="Arial"/>
                <w:sz w:val="22"/>
                <w:szCs w:val="22"/>
              </w:rPr>
              <w:t>0.68%</w:t>
            </w:r>
          </w:p>
        </w:tc>
      </w:tr>
      <w:tr w:rsidR="00E52D98" w:rsidRPr="00E52D98" w:rsidTr="00E52D98">
        <w:trPr>
          <w:trHeight w:val="240"/>
        </w:trPr>
        <w:tc>
          <w:tcPr>
            <w:tcW w:w="2621" w:type="dxa"/>
            <w:shd w:val="clear" w:color="auto" w:fill="auto"/>
          </w:tcPr>
          <w:p w:rsidR="00E52D98" w:rsidRPr="00E52D98" w:rsidRDefault="00E52D98" w:rsidP="00E52D98">
            <w:pPr>
              <w:jc w:val="both"/>
              <w:rPr>
                <w:rFonts w:cs="Arial"/>
                <w:sz w:val="22"/>
                <w:szCs w:val="22"/>
              </w:rPr>
            </w:pPr>
            <w:r w:rsidRPr="00E52D98">
              <w:rPr>
                <w:rFonts w:cs="Arial"/>
                <w:sz w:val="22"/>
                <w:szCs w:val="22"/>
              </w:rPr>
              <w:t>November</w:t>
            </w:r>
          </w:p>
        </w:tc>
        <w:tc>
          <w:tcPr>
            <w:tcW w:w="1882" w:type="dxa"/>
            <w:shd w:val="clear" w:color="auto" w:fill="auto"/>
          </w:tcPr>
          <w:p w:rsidR="00E52D98" w:rsidRPr="00E52D98" w:rsidRDefault="00E52D98" w:rsidP="00E52D98">
            <w:pPr>
              <w:jc w:val="both"/>
              <w:rPr>
                <w:rFonts w:cs="Arial"/>
                <w:i/>
                <w:color w:val="0070C0"/>
                <w:sz w:val="22"/>
                <w:szCs w:val="22"/>
                <w:highlight w:val="yellow"/>
              </w:rPr>
            </w:pPr>
            <w:r w:rsidRPr="00E52D98">
              <w:rPr>
                <w:rFonts w:cs="Arial"/>
                <w:sz w:val="22"/>
                <w:szCs w:val="22"/>
              </w:rPr>
              <w:t>0.50%</w:t>
            </w:r>
          </w:p>
        </w:tc>
      </w:tr>
      <w:tr w:rsidR="00E52D98" w:rsidRPr="00E52D98" w:rsidTr="00E52D98">
        <w:trPr>
          <w:trHeight w:val="285"/>
        </w:trPr>
        <w:tc>
          <w:tcPr>
            <w:tcW w:w="2621" w:type="dxa"/>
            <w:shd w:val="clear" w:color="auto" w:fill="auto"/>
          </w:tcPr>
          <w:p w:rsidR="00E52D98" w:rsidRPr="00E52D98" w:rsidRDefault="00E52D98" w:rsidP="00E52D98">
            <w:pPr>
              <w:jc w:val="both"/>
              <w:rPr>
                <w:rFonts w:cs="Arial"/>
                <w:sz w:val="22"/>
                <w:szCs w:val="22"/>
              </w:rPr>
            </w:pPr>
            <w:r w:rsidRPr="00E52D98">
              <w:rPr>
                <w:rFonts w:cs="Arial"/>
                <w:sz w:val="22"/>
                <w:szCs w:val="22"/>
              </w:rPr>
              <w:t xml:space="preserve">December </w:t>
            </w:r>
          </w:p>
        </w:tc>
        <w:tc>
          <w:tcPr>
            <w:tcW w:w="1882" w:type="dxa"/>
            <w:shd w:val="clear" w:color="auto" w:fill="auto"/>
          </w:tcPr>
          <w:p w:rsidR="00E52D98" w:rsidRPr="00E52D98" w:rsidRDefault="00E52D98" w:rsidP="00E52D98">
            <w:pPr>
              <w:jc w:val="both"/>
              <w:rPr>
                <w:rFonts w:cs="Arial"/>
                <w:i/>
                <w:color w:val="0070C0"/>
                <w:sz w:val="22"/>
                <w:szCs w:val="22"/>
                <w:highlight w:val="yellow"/>
              </w:rPr>
            </w:pPr>
            <w:r w:rsidRPr="00E52D98">
              <w:rPr>
                <w:rFonts w:cs="Arial"/>
                <w:sz w:val="22"/>
                <w:szCs w:val="22"/>
              </w:rPr>
              <w:t>0.48%</w:t>
            </w:r>
          </w:p>
        </w:tc>
      </w:tr>
    </w:tbl>
    <w:p w:rsidR="00E52D98" w:rsidRPr="00E52D98" w:rsidRDefault="00E52D98" w:rsidP="00E52D98">
      <w:pPr>
        <w:tabs>
          <w:tab w:val="num" w:pos="709"/>
        </w:tabs>
        <w:jc w:val="both"/>
        <w:rPr>
          <w:color w:val="0000FF"/>
          <w:sz w:val="22"/>
          <w:szCs w:val="22"/>
        </w:rPr>
      </w:pPr>
    </w:p>
    <w:p w:rsidR="00E52D98" w:rsidRPr="00E52D98" w:rsidRDefault="00E52D98" w:rsidP="00E52D98">
      <w:pPr>
        <w:tabs>
          <w:tab w:val="num" w:pos="709"/>
        </w:tabs>
        <w:jc w:val="both"/>
        <w:rPr>
          <w:color w:val="0000FF"/>
          <w:sz w:val="22"/>
          <w:szCs w:val="22"/>
        </w:rPr>
      </w:pPr>
    </w:p>
    <w:p w:rsidR="00E52D98" w:rsidRPr="00E52D98" w:rsidRDefault="00E52D98" w:rsidP="00E52D98">
      <w:pPr>
        <w:tabs>
          <w:tab w:val="num" w:pos="709"/>
        </w:tabs>
        <w:jc w:val="both"/>
        <w:rPr>
          <w:color w:val="0000FF"/>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sz w:val="22"/>
          <w:szCs w:val="22"/>
        </w:rPr>
      </w:pPr>
    </w:p>
    <w:p w:rsidR="00E52D98" w:rsidRPr="00E52D98" w:rsidRDefault="00E52D98" w:rsidP="00E52D98">
      <w:pPr>
        <w:tabs>
          <w:tab w:val="num" w:pos="709"/>
        </w:tabs>
        <w:jc w:val="both"/>
        <w:rPr>
          <w:rFonts w:cs="Arial"/>
          <w:sz w:val="22"/>
          <w:szCs w:val="22"/>
        </w:rPr>
      </w:pPr>
      <w:r w:rsidRPr="00E52D98">
        <w:rPr>
          <w:sz w:val="22"/>
          <w:szCs w:val="22"/>
        </w:rPr>
        <w:fldChar w:fldCharType="begin"/>
      </w:r>
      <w:r w:rsidRPr="00E52D98">
        <w:rPr>
          <w:sz w:val="22"/>
          <w:szCs w:val="22"/>
        </w:rPr>
        <w:instrText xml:space="preserve">  </w:instrText>
      </w:r>
      <w:r w:rsidRPr="00E52D98">
        <w:rPr>
          <w:sz w:val="22"/>
          <w:szCs w:val="22"/>
        </w:rPr>
        <w:fldChar w:fldCharType="end"/>
      </w:r>
      <w:r w:rsidRPr="00E52D98">
        <w:rPr>
          <w:rFonts w:cs="Arial"/>
          <w:noProof/>
          <w:sz w:val="22"/>
          <w:szCs w:val="22"/>
        </w:rPr>
        <w:t>The approved</w:t>
      </w:r>
      <w:r w:rsidRPr="00E52D98">
        <w:rPr>
          <w:rFonts w:cs="Arial"/>
          <w:sz w:val="22"/>
          <w:szCs w:val="22"/>
        </w:rPr>
        <w:t xml:space="preserve"> benchmark measure of yield is</w:t>
      </w:r>
      <w:r w:rsidRPr="00E52D98">
        <w:rPr>
          <w:sz w:val="22"/>
          <w:szCs w:val="22"/>
        </w:rPr>
        <w:t xml:space="preserve"> a return of 0.12% above the average bank rate of 0.25%.  The</w:t>
      </w:r>
      <w:r w:rsidRPr="00E52D98">
        <w:rPr>
          <w:sz w:val="22"/>
          <w:szCs w:val="22"/>
        </w:rPr>
        <w:fldChar w:fldCharType="begin"/>
      </w:r>
      <w:r w:rsidRPr="00E52D98">
        <w:rPr>
          <w:sz w:val="22"/>
          <w:szCs w:val="22"/>
        </w:rPr>
        <w:instrText xml:space="preserve">  </w:instrText>
      </w:r>
      <w:r w:rsidRPr="00E52D98">
        <w:rPr>
          <w:sz w:val="22"/>
          <w:szCs w:val="22"/>
        </w:rPr>
        <w:fldChar w:fldCharType="end"/>
      </w:r>
      <w:r w:rsidRPr="00E52D98">
        <w:rPr>
          <w:sz w:val="22"/>
          <w:szCs w:val="22"/>
        </w:rPr>
        <w:t xml:space="preserve"> returns up to 31 December averaged 0.68% against a benchmark rate of 0.37%.  The average yield return is lower than the benchmark for the year to date.</w:t>
      </w:r>
      <w:r w:rsidRPr="00E52D98">
        <w:rPr>
          <w:rFonts w:cs="Arial"/>
          <w:sz w:val="22"/>
          <w:szCs w:val="22"/>
        </w:rPr>
        <w:t xml:space="preserve"> In accordance with its risk appetite, the Council tends to keep the majority of investments short-term (not greater than 364 days). </w:t>
      </w:r>
    </w:p>
    <w:p w:rsidR="00E52D98" w:rsidRPr="00E52D98" w:rsidRDefault="00E52D98" w:rsidP="00E52D98">
      <w:pPr>
        <w:tabs>
          <w:tab w:val="num" w:pos="709"/>
        </w:tabs>
        <w:jc w:val="both"/>
        <w:rPr>
          <w:rFonts w:cs="Arial"/>
          <w:color w:val="0000FF"/>
          <w:sz w:val="22"/>
          <w:szCs w:val="22"/>
          <w:highlight w:val="cyan"/>
        </w:rPr>
      </w:pPr>
    </w:p>
    <w:p w:rsidR="00E52D98" w:rsidRPr="00E52D98" w:rsidRDefault="00E52D98" w:rsidP="00E52D98">
      <w:pPr>
        <w:tabs>
          <w:tab w:val="num" w:pos="709"/>
        </w:tabs>
        <w:jc w:val="both"/>
        <w:rPr>
          <w:sz w:val="22"/>
          <w:szCs w:val="22"/>
        </w:rPr>
      </w:pPr>
      <w:r w:rsidRPr="00E52D98">
        <w:rPr>
          <w:sz w:val="22"/>
          <w:szCs w:val="22"/>
        </w:rPr>
        <w:t xml:space="preserve">The budget for interest on investments for 2016/17 is £283,000; interest received up to the end of October was £120,000.   In light of current interest earned, this has been revised to £165,000 and the budget adjusted accordingly. </w:t>
      </w:r>
      <w:r w:rsidRPr="00E52D98">
        <w:rPr>
          <w:sz w:val="22"/>
          <w:szCs w:val="22"/>
          <w:highlight w:val="yellow"/>
        </w:rPr>
        <w:t xml:space="preserve"> </w:t>
      </w:r>
    </w:p>
    <w:p w:rsidR="00E52D98" w:rsidRPr="00E52D98" w:rsidRDefault="00E52D98" w:rsidP="00E52D98">
      <w:pPr>
        <w:tabs>
          <w:tab w:val="num" w:pos="709"/>
        </w:tabs>
        <w:jc w:val="both"/>
        <w:rPr>
          <w:sz w:val="22"/>
          <w:szCs w:val="22"/>
        </w:rPr>
      </w:pPr>
    </w:p>
    <w:p w:rsidR="00E52D98" w:rsidRPr="00E52D98" w:rsidRDefault="00E52D98" w:rsidP="00E52D98">
      <w:pPr>
        <w:tabs>
          <w:tab w:val="left" w:pos="540"/>
          <w:tab w:val="left" w:pos="720"/>
        </w:tabs>
        <w:jc w:val="both"/>
        <w:rPr>
          <w:rFonts w:cs="Arial"/>
          <w:b/>
          <w:bCs/>
          <w:noProof/>
          <w:sz w:val="22"/>
          <w:szCs w:val="22"/>
        </w:rPr>
      </w:pPr>
      <w:r w:rsidRPr="00E52D98">
        <w:rPr>
          <w:rFonts w:cs="Arial"/>
          <w:b/>
          <w:bCs/>
          <w:noProof/>
          <w:sz w:val="22"/>
          <w:szCs w:val="22"/>
        </w:rPr>
        <w:t>3.2</w:t>
      </w:r>
      <w:r w:rsidRPr="00E52D98">
        <w:rPr>
          <w:rFonts w:cs="Arial"/>
          <w:b/>
          <w:bCs/>
          <w:noProof/>
          <w:sz w:val="22"/>
          <w:szCs w:val="22"/>
        </w:rPr>
        <w:tab/>
        <w:t xml:space="preserve">Prospects for Interest Rates </w:t>
      </w:r>
    </w:p>
    <w:p w:rsidR="00E52D98" w:rsidRPr="00E52D98" w:rsidRDefault="00E52D98" w:rsidP="00E52D98">
      <w:pPr>
        <w:numPr>
          <w:ilvl w:val="12"/>
          <w:numId w:val="0"/>
        </w:numPr>
        <w:jc w:val="both"/>
        <w:rPr>
          <w:rFonts w:cs="Arial"/>
          <w:sz w:val="22"/>
          <w:szCs w:val="22"/>
        </w:rPr>
      </w:pPr>
      <w:r w:rsidRPr="00E52D98">
        <w:rPr>
          <w:rFonts w:cs="Arial"/>
          <w:sz w:val="22"/>
          <w:szCs w:val="22"/>
        </w:rPr>
        <w:t>The Council has appointed Capita Asset Services as its treasury advisor and part of their service is to assist the Council to formulate a view on interest rates.  The following table gives their central view.</w:t>
      </w:r>
    </w:p>
    <w:p w:rsidR="00E52D98" w:rsidRPr="00E52D98" w:rsidRDefault="00E52D98" w:rsidP="00E52D98">
      <w:pPr>
        <w:numPr>
          <w:ilvl w:val="12"/>
          <w:numId w:val="0"/>
        </w:numPr>
        <w:jc w:val="both"/>
        <w:rPr>
          <w:rFonts w:cs="Arial"/>
          <w:sz w:val="22"/>
          <w:szCs w:val="22"/>
        </w:rPr>
      </w:pPr>
    </w:p>
    <w:tbl>
      <w:tblPr>
        <w:tblW w:w="9900" w:type="dxa"/>
        <w:tblInd w:w="93" w:type="dxa"/>
        <w:tblLook w:val="04A0" w:firstRow="1" w:lastRow="0" w:firstColumn="1" w:lastColumn="0" w:noHBand="0" w:noVBand="1"/>
      </w:tblPr>
      <w:tblGrid>
        <w:gridCol w:w="960"/>
        <w:gridCol w:w="660"/>
        <w:gridCol w:w="640"/>
        <w:gridCol w:w="600"/>
        <w:gridCol w:w="640"/>
        <w:gridCol w:w="640"/>
        <w:gridCol w:w="640"/>
        <w:gridCol w:w="600"/>
        <w:gridCol w:w="640"/>
        <w:gridCol w:w="640"/>
        <w:gridCol w:w="640"/>
        <w:gridCol w:w="660"/>
        <w:gridCol w:w="640"/>
        <w:gridCol w:w="660"/>
        <w:gridCol w:w="640"/>
      </w:tblGrid>
      <w:tr w:rsidR="00E52D98" w:rsidRPr="00E52D98" w:rsidTr="00E52D98">
        <w:trPr>
          <w:trHeight w:val="525"/>
        </w:trPr>
        <w:tc>
          <w:tcPr>
            <w:tcW w:w="960" w:type="dxa"/>
            <w:tcBorders>
              <w:top w:val="single" w:sz="4" w:space="0" w:color="auto"/>
              <w:left w:val="single" w:sz="4" w:space="0" w:color="auto"/>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6"/>
                <w:szCs w:val="16"/>
                <w:lang w:eastAsia="en-GB"/>
              </w:rPr>
            </w:pPr>
            <w:r w:rsidRPr="00E52D98">
              <w:rPr>
                <w:rFonts w:cs="Arial"/>
                <w:color w:val="000000"/>
                <w:sz w:val="16"/>
                <w:szCs w:val="16"/>
                <w:lang w:eastAsia="en-GB"/>
              </w:rPr>
              <w:t> </w:t>
            </w:r>
          </w:p>
        </w:tc>
        <w:tc>
          <w:tcPr>
            <w:tcW w:w="66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Dec-16</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Mar-17</w:t>
            </w:r>
          </w:p>
        </w:tc>
        <w:tc>
          <w:tcPr>
            <w:tcW w:w="60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Jun-17</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Sep-17</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Dec-17</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Mar-18</w:t>
            </w:r>
          </w:p>
        </w:tc>
        <w:tc>
          <w:tcPr>
            <w:tcW w:w="60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Jun-18</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Sep-18</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Dec-18</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Mar-19</w:t>
            </w:r>
          </w:p>
        </w:tc>
        <w:tc>
          <w:tcPr>
            <w:tcW w:w="66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Jun-19</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Sep-19</w:t>
            </w:r>
          </w:p>
        </w:tc>
        <w:tc>
          <w:tcPr>
            <w:tcW w:w="66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Dec-19</w:t>
            </w:r>
          </w:p>
        </w:tc>
        <w:tc>
          <w:tcPr>
            <w:tcW w:w="640" w:type="dxa"/>
            <w:tcBorders>
              <w:top w:val="single" w:sz="4" w:space="0" w:color="auto"/>
              <w:left w:val="nil"/>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Mar-20</w:t>
            </w:r>
          </w:p>
        </w:tc>
      </w:tr>
      <w:tr w:rsidR="00E52D98" w:rsidRPr="00E52D98" w:rsidTr="00E52D98">
        <w:trPr>
          <w:trHeight w:val="555"/>
        </w:trPr>
        <w:tc>
          <w:tcPr>
            <w:tcW w:w="960" w:type="dxa"/>
            <w:tcBorders>
              <w:top w:val="nil"/>
              <w:left w:val="single" w:sz="4" w:space="0" w:color="auto"/>
              <w:bottom w:val="single" w:sz="4" w:space="0" w:color="auto"/>
              <w:right w:val="single" w:sz="4" w:space="0" w:color="auto"/>
            </w:tcBorders>
            <w:shd w:val="clear" w:color="000000" w:fill="BFBFBF"/>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Bank Rate</w:t>
            </w:r>
          </w:p>
        </w:tc>
        <w:tc>
          <w:tcPr>
            <w:tcW w:w="66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0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0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0.25%</w:t>
            </w:r>
          </w:p>
        </w:tc>
        <w:tc>
          <w:tcPr>
            <w:tcW w:w="66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0.50%</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0.50%</w:t>
            </w:r>
          </w:p>
        </w:tc>
        <w:tc>
          <w:tcPr>
            <w:tcW w:w="66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0.75%</w:t>
            </w:r>
          </w:p>
        </w:tc>
        <w:tc>
          <w:tcPr>
            <w:tcW w:w="640" w:type="dxa"/>
            <w:tcBorders>
              <w:top w:val="nil"/>
              <w:left w:val="nil"/>
              <w:bottom w:val="single" w:sz="4" w:space="0" w:color="auto"/>
              <w:right w:val="single" w:sz="4" w:space="0" w:color="auto"/>
            </w:tcBorders>
            <w:shd w:val="clear" w:color="auto" w:fill="auto"/>
            <w:noWrap/>
            <w:vAlign w:val="center"/>
            <w:hideMark/>
          </w:tcPr>
          <w:p w:rsidR="00E52D98" w:rsidRPr="00E52D98" w:rsidRDefault="00E52D98" w:rsidP="00E52D98">
            <w:pPr>
              <w:jc w:val="both"/>
              <w:rPr>
                <w:rFonts w:cs="Arial"/>
                <w:color w:val="000000"/>
                <w:sz w:val="12"/>
                <w:szCs w:val="12"/>
                <w:lang w:eastAsia="en-GB"/>
              </w:rPr>
            </w:pPr>
            <w:r w:rsidRPr="00E52D98">
              <w:rPr>
                <w:rFonts w:cs="Arial"/>
                <w:color w:val="000000"/>
                <w:sz w:val="12"/>
                <w:szCs w:val="12"/>
                <w:lang w:eastAsia="en-GB"/>
              </w:rPr>
              <w:t>0.75%</w:t>
            </w:r>
          </w:p>
        </w:tc>
      </w:tr>
    </w:tbl>
    <w:p w:rsidR="00E52D98" w:rsidRPr="00E52D98" w:rsidRDefault="00E52D98" w:rsidP="00E52D98">
      <w:pPr>
        <w:numPr>
          <w:ilvl w:val="12"/>
          <w:numId w:val="0"/>
        </w:numPr>
        <w:jc w:val="both"/>
        <w:rPr>
          <w:rFonts w:cs="Arial"/>
          <w:sz w:val="22"/>
          <w:szCs w:val="22"/>
        </w:rPr>
      </w:pPr>
    </w:p>
    <w:p w:rsidR="00E52D98" w:rsidRPr="00E52D98" w:rsidRDefault="00E52D98" w:rsidP="00E52D98">
      <w:pPr>
        <w:numPr>
          <w:ilvl w:val="12"/>
          <w:numId w:val="0"/>
        </w:numPr>
        <w:jc w:val="both"/>
        <w:rPr>
          <w:rFonts w:cs="Arial"/>
          <w:sz w:val="22"/>
          <w:szCs w:val="22"/>
        </w:rPr>
      </w:pPr>
      <w:r w:rsidRPr="00E52D98">
        <w:rPr>
          <w:rFonts w:cs="Arial"/>
          <w:sz w:val="22"/>
          <w:szCs w:val="22"/>
        </w:rPr>
        <w:t>The Monetary Policy Committee, (MPC), cut Bank Rate from 0.50% to 0.25% on 4th August in order to counteract what it forecast was going to be a sharp slowdown in growth in the second half of 2016.  At the same time, it also gave a strong steer that it was likely to cut Bank Rate again by the end of the year.  However, economic data since August has indicated much stronger growth in the second half 2016 than that forecast and inflation forecasts have risen substantially as a result of a continuation of the sharp fall in the value of sterling since early August.  Consequently, the Bank Rate was not cut again in November and, on current trends, it now appears unlikely that there will be another cut, although that cannot be completely ruled out if there was a significant dip downwards in economic growth.  During the two-year period 2017 – 2019, when the UK is negotiating the terms for withdrawal from the EU, it is likely that the MPC will do nothing to dampen growth prospects, (i.e. by raising Bank Rate), which will already be adversely impacted by the uncertainties of what form Brexit will eventually take.  Accordingly, a first increase to 0.50% is not tentatively pencilled in, as in the table above, until the second quarter of 2019, after those negotiations have been concluded, (though the period for negotiations could be extended).  However, if strong domestically generated inflation, (e.g. from wage increases within the UK), were to emerge, then the pace and timing of increases in Bank Rate could be brought forward.</w:t>
      </w:r>
    </w:p>
    <w:p w:rsidR="00E52D98" w:rsidRPr="00E52D98" w:rsidRDefault="00E52D98" w:rsidP="00E52D98">
      <w:pPr>
        <w:jc w:val="both"/>
        <w:rPr>
          <w:rFonts w:cs="Arial"/>
          <w:sz w:val="22"/>
          <w:szCs w:val="22"/>
        </w:rPr>
      </w:pPr>
      <w:r w:rsidRPr="00E52D98">
        <w:rPr>
          <w:rFonts w:cs="Arial"/>
          <w:sz w:val="22"/>
          <w:szCs w:val="22"/>
        </w:rPr>
        <w:t xml:space="preserve">With so many external influences weighing on the UK, economic and interest rate forecasting remains difficult.  The above forecasts, (and MPC decisions), will be liable to further amendment depending on how economic data and developments in financial markets transpire over the next year. Geopolitical developments, especially in the EU, could also have a major impact. Forecasts for average investment earnings beyond the three-year time horizon will be heavily dependent on economic and political developments. </w:t>
      </w:r>
    </w:p>
    <w:p w:rsidR="00E52D98" w:rsidRPr="00E52D98" w:rsidRDefault="00E52D98" w:rsidP="00E52D98">
      <w:pPr>
        <w:jc w:val="both"/>
        <w:rPr>
          <w:rFonts w:cs="Arial"/>
          <w:sz w:val="22"/>
          <w:szCs w:val="22"/>
        </w:rPr>
      </w:pPr>
      <w:r w:rsidRPr="00E52D98">
        <w:rPr>
          <w:rFonts w:cs="Arial"/>
          <w:sz w:val="22"/>
          <w:szCs w:val="22"/>
        </w:rPr>
        <w:t>The overall balance of risks to economic recovery in the UK is to the downside, particularly in view of the current uncertainty over the final terms of Brexit and the timetable for its implementation.</w:t>
      </w:r>
    </w:p>
    <w:p w:rsidR="00E52D98" w:rsidRPr="00E52D98" w:rsidRDefault="00E52D98" w:rsidP="00E52D98">
      <w:pPr>
        <w:jc w:val="both"/>
        <w:rPr>
          <w:color w:val="0D0D0D"/>
          <w:sz w:val="22"/>
          <w:szCs w:val="22"/>
        </w:rPr>
      </w:pPr>
    </w:p>
    <w:p w:rsidR="00E52D98" w:rsidRPr="00E52D98" w:rsidRDefault="00E52D98" w:rsidP="008429A2">
      <w:pPr>
        <w:numPr>
          <w:ilvl w:val="1"/>
          <w:numId w:val="12"/>
        </w:numPr>
        <w:rPr>
          <w:b/>
          <w:noProof/>
          <w:sz w:val="22"/>
          <w:szCs w:val="22"/>
        </w:rPr>
      </w:pPr>
      <w:r w:rsidRPr="00E52D98">
        <w:rPr>
          <w:b/>
          <w:noProof/>
          <w:sz w:val="22"/>
          <w:szCs w:val="22"/>
        </w:rPr>
        <w:t xml:space="preserve">   Treasury Indicators: Limits to Borrowing Activity</w:t>
      </w:r>
    </w:p>
    <w:p w:rsidR="00E52D98" w:rsidRPr="00E52D98" w:rsidRDefault="00E52D98" w:rsidP="00E52D98">
      <w:pPr>
        <w:tabs>
          <w:tab w:val="left" w:pos="567"/>
        </w:tabs>
        <w:jc w:val="both"/>
        <w:rPr>
          <w:sz w:val="22"/>
          <w:szCs w:val="22"/>
        </w:rPr>
      </w:pPr>
      <w:r w:rsidRPr="00E52D98">
        <w:rPr>
          <w:sz w:val="22"/>
          <w:szCs w:val="22"/>
        </w:rPr>
        <w:t xml:space="preserve">There are two limits on external debt: the ‘Operational Boundary’ and the ‘Authorised Limit’.   Both are consistent with existing plans and the proposals in the budget report for capital expenditure and financing, and with approved treasury management policy statement and practices. </w:t>
      </w:r>
    </w:p>
    <w:p w:rsidR="00E52D98" w:rsidRPr="00E52D98" w:rsidRDefault="00E52D98" w:rsidP="00E52D98">
      <w:pPr>
        <w:tabs>
          <w:tab w:val="left" w:pos="567"/>
        </w:tabs>
        <w:jc w:val="both"/>
        <w:rPr>
          <w:sz w:val="22"/>
          <w:szCs w:val="22"/>
        </w:rPr>
      </w:pPr>
      <w:r w:rsidRPr="00E52D98">
        <w:rPr>
          <w:sz w:val="22"/>
          <w:szCs w:val="22"/>
        </w:rPr>
        <w:t xml:space="preserve">The key difference is that the Authorised Limit cannot be breached without prior approval of the Council. The Operational Boundary is a more realistic indicator of the likely position. </w:t>
      </w:r>
      <w:r w:rsidRPr="00E52D98">
        <w:rPr>
          <w:rFonts w:cs="Arial"/>
          <w:sz w:val="22"/>
          <w:szCs w:val="22"/>
          <w:lang w:eastAsia="en-GB"/>
        </w:rPr>
        <w:t>The difference between the authorised limit and operational boundary for borrowing</w:t>
      </w:r>
      <w:r w:rsidRPr="00E52D98">
        <w:rPr>
          <w:sz w:val="22"/>
          <w:szCs w:val="22"/>
        </w:rPr>
        <w:t xml:space="preserve"> </w:t>
      </w:r>
      <w:r w:rsidRPr="00E52D98">
        <w:rPr>
          <w:rFonts w:cs="Arial"/>
          <w:sz w:val="22"/>
          <w:szCs w:val="22"/>
          <w:lang w:eastAsia="en-GB"/>
        </w:rPr>
        <w:t>is that the authorised limit includes a head room for borrowing for future known</w:t>
      </w:r>
      <w:r w:rsidRPr="00E52D98">
        <w:rPr>
          <w:sz w:val="22"/>
          <w:szCs w:val="22"/>
        </w:rPr>
        <w:t xml:space="preserve"> </w:t>
      </w:r>
      <w:r w:rsidRPr="00E52D98">
        <w:rPr>
          <w:rFonts w:cs="Arial"/>
          <w:sz w:val="22"/>
          <w:szCs w:val="22"/>
          <w:lang w:eastAsia="en-GB"/>
        </w:rPr>
        <w:t xml:space="preserve">capital needs now. </w:t>
      </w:r>
      <w:r w:rsidRPr="00E52D98">
        <w:rPr>
          <w:rFonts w:ascii="Helvetica" w:hAnsi="Helvetica" w:cs="Helvetica"/>
          <w:sz w:val="22"/>
          <w:szCs w:val="22"/>
          <w:lang w:eastAsia="en-GB"/>
        </w:rPr>
        <w:t>The Authorised Limit represents the limit beyond which borrowing is</w:t>
      </w:r>
      <w:r w:rsidRPr="00E52D98">
        <w:rPr>
          <w:sz w:val="22"/>
          <w:szCs w:val="22"/>
        </w:rPr>
        <w:t xml:space="preserve"> </w:t>
      </w:r>
      <w:r w:rsidRPr="00E52D98">
        <w:rPr>
          <w:rFonts w:ascii="Helvetica" w:hAnsi="Helvetica" w:cs="Helvetica"/>
          <w:sz w:val="22"/>
          <w:szCs w:val="22"/>
          <w:lang w:eastAsia="en-GB"/>
        </w:rPr>
        <w:t>prohibited, and needs to be revised if necessary by members.</w:t>
      </w:r>
    </w:p>
    <w:p w:rsidR="00E52D98" w:rsidRPr="00E52D98" w:rsidRDefault="00E52D98" w:rsidP="00E52D98">
      <w:pPr>
        <w:jc w:val="both"/>
        <w:rPr>
          <w:sz w:val="22"/>
        </w:rPr>
      </w:pPr>
    </w:p>
    <w:p w:rsidR="00E52D98" w:rsidRPr="00E52D98" w:rsidRDefault="00E52D98" w:rsidP="00E52D98">
      <w:pPr>
        <w:jc w:val="both"/>
        <w:rPr>
          <w:rFonts w:cs="Arial"/>
          <w:sz w:val="22"/>
          <w:szCs w:val="22"/>
        </w:rPr>
      </w:pPr>
      <w:r w:rsidRPr="00E52D98">
        <w:rPr>
          <w:sz w:val="22"/>
        </w:rPr>
        <w:lastRenderedPageBreak/>
        <w:t xml:space="preserve">The first key control over the treasury activity is a Performance Indicator (PI) to ensure that over the medium term, net borrowing (borrowings less investments) will only be for a capital purpose.  Gross external borrowing should not, except in the short term, exceed the total of CFR in the preceding year plus the estimates of any additional CFR for 2017/18 and next two financial years. This allows some flexibility for limited early borrowing for future years, </w:t>
      </w:r>
      <w:r w:rsidRPr="00E52D98">
        <w:rPr>
          <w:rFonts w:cs="Arial"/>
          <w:sz w:val="22"/>
        </w:rPr>
        <w:t xml:space="preserve">but ensures that borrowing is not undertaken for revenue purposes. </w:t>
      </w:r>
      <w:r w:rsidRPr="00E52D98">
        <w:rPr>
          <w:sz w:val="22"/>
        </w:rPr>
        <w:t xml:space="preserve">The Council has approved a policy for borrowing in advance of need which will be adhered to if this proves prudent.  </w:t>
      </w:r>
    </w:p>
    <w:p w:rsidR="00E52D98" w:rsidRPr="00E52D98" w:rsidRDefault="00E52D98" w:rsidP="00E52D98">
      <w:pPr>
        <w:jc w:val="both"/>
        <w:rPr>
          <w:rFonts w:cs="Arial"/>
          <w:b/>
          <w:sz w:val="22"/>
          <w:szCs w:val="22"/>
        </w:rPr>
      </w:pPr>
    </w:p>
    <w:p w:rsidR="00E52D98" w:rsidRPr="00E52D98" w:rsidRDefault="00E52D98" w:rsidP="00E52D98">
      <w:pPr>
        <w:jc w:val="both"/>
        <w:rPr>
          <w:rFonts w:cs="Arial"/>
          <w:b/>
          <w:sz w:val="22"/>
          <w:szCs w:val="22"/>
        </w:rPr>
      </w:pPr>
      <w:r w:rsidRPr="00E52D98">
        <w:rPr>
          <w:rFonts w:cs="Arial"/>
          <w:b/>
          <w:sz w:val="22"/>
          <w:szCs w:val="22"/>
        </w:rPr>
        <w:t>3.3.1</w:t>
      </w:r>
      <w:r w:rsidRPr="00E52D98">
        <w:rPr>
          <w:rFonts w:cs="Arial"/>
          <w:b/>
          <w:sz w:val="22"/>
          <w:szCs w:val="22"/>
        </w:rPr>
        <w:tab/>
        <w:t>Treasury Management Indicator - The Operational Boundary</w:t>
      </w:r>
    </w:p>
    <w:p w:rsidR="00E52D98" w:rsidRPr="00E52D98" w:rsidRDefault="00E52D98" w:rsidP="00E52D98">
      <w:pPr>
        <w:jc w:val="both"/>
        <w:rPr>
          <w:rFonts w:cs="Arial"/>
          <w:sz w:val="22"/>
          <w:szCs w:val="22"/>
        </w:rPr>
      </w:pPr>
      <w:r w:rsidRPr="00E52D98">
        <w:rPr>
          <w:rFonts w:cs="Arial"/>
          <w:sz w:val="22"/>
          <w:szCs w:val="22"/>
        </w:rPr>
        <w:t xml:space="preserve">This is the limit beyond which external borrowing is not normally expected to exceed.  In most cases this would link directly to the authority’s plans for capital expenditure, its estimates for CFR and its estimate of </w:t>
      </w:r>
      <w:proofErr w:type="spellStart"/>
      <w:r w:rsidRPr="00E52D98">
        <w:rPr>
          <w:rFonts w:cs="Arial"/>
          <w:sz w:val="22"/>
          <w:szCs w:val="22"/>
        </w:rPr>
        <w:t>cashflow</w:t>
      </w:r>
      <w:proofErr w:type="spellEnd"/>
      <w:r w:rsidRPr="00E52D98">
        <w:rPr>
          <w:rFonts w:cs="Arial"/>
          <w:sz w:val="22"/>
          <w:szCs w:val="22"/>
        </w:rPr>
        <w:t xml:space="preserve"> requirements for the year for all purposes. It is not currently expected that the Council will need to borrow, this limit represents a contingency should the need arise.</w:t>
      </w:r>
    </w:p>
    <w:p w:rsidR="00E52D98" w:rsidRPr="00E52D98" w:rsidRDefault="00E52D98" w:rsidP="00E52D98">
      <w:pPr>
        <w:jc w:val="both"/>
        <w:rPr>
          <w:rFonts w:cs="Arial"/>
          <w:color w:val="0000FF"/>
          <w:sz w:val="22"/>
          <w:szCs w:val="22"/>
        </w:rPr>
      </w:pPr>
    </w:p>
    <w:tbl>
      <w:tblPr>
        <w:tblW w:w="8460"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00"/>
        <w:gridCol w:w="1440"/>
        <w:gridCol w:w="1440"/>
        <w:gridCol w:w="1440"/>
        <w:gridCol w:w="1440"/>
      </w:tblGrid>
      <w:tr w:rsidR="00E52D98" w:rsidRPr="00E52D98" w:rsidTr="00E52D98">
        <w:trPr>
          <w:trHeight w:val="725"/>
          <w:jc w:val="center"/>
        </w:trPr>
        <w:tc>
          <w:tcPr>
            <w:tcW w:w="2700" w:type="dxa"/>
            <w:shd w:val="clear" w:color="auto" w:fill="B3B3B3"/>
            <w:vAlign w:val="center"/>
          </w:tcPr>
          <w:p w:rsidR="00E52D98" w:rsidRPr="00E52D98" w:rsidRDefault="00E52D98" w:rsidP="00E52D98">
            <w:pPr>
              <w:jc w:val="both"/>
              <w:rPr>
                <w:rFonts w:cs="Arial"/>
                <w:sz w:val="22"/>
                <w:szCs w:val="22"/>
              </w:rPr>
            </w:pPr>
            <w:r w:rsidRPr="00E52D98">
              <w:rPr>
                <w:rFonts w:cs="Arial"/>
                <w:b/>
                <w:bCs/>
                <w:sz w:val="22"/>
                <w:szCs w:val="22"/>
              </w:rPr>
              <w:t xml:space="preserve">Operational Boundary </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2016/17</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2017/18</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2018/19</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2019/20</w:t>
            </w:r>
          </w:p>
          <w:p w:rsidR="00E52D98" w:rsidRPr="00E52D98" w:rsidRDefault="00E52D98" w:rsidP="00E52D98">
            <w:pPr>
              <w:jc w:val="both"/>
              <w:rPr>
                <w:rFonts w:cs="Arial"/>
                <w:b/>
                <w:bCs/>
                <w:sz w:val="22"/>
                <w:szCs w:val="22"/>
              </w:rPr>
            </w:pPr>
            <w:r w:rsidRPr="00E52D98">
              <w:rPr>
                <w:rFonts w:cs="Arial"/>
                <w:b/>
                <w:bCs/>
                <w:sz w:val="22"/>
                <w:szCs w:val="22"/>
              </w:rPr>
              <w:t>Estimate</w:t>
            </w:r>
          </w:p>
        </w:tc>
      </w:tr>
      <w:tr w:rsidR="00E52D98" w:rsidRPr="00E52D98" w:rsidTr="00E52D98">
        <w:trPr>
          <w:trHeight w:val="374"/>
          <w:jc w:val="center"/>
        </w:trPr>
        <w:tc>
          <w:tcPr>
            <w:tcW w:w="2700" w:type="dxa"/>
            <w:vAlign w:val="center"/>
          </w:tcPr>
          <w:p w:rsidR="00E52D98" w:rsidRPr="00E52D98" w:rsidRDefault="00E52D98" w:rsidP="00E52D98">
            <w:pPr>
              <w:jc w:val="both"/>
              <w:rPr>
                <w:rFonts w:cs="Arial"/>
                <w:sz w:val="22"/>
                <w:szCs w:val="22"/>
              </w:rPr>
            </w:pPr>
            <w:r w:rsidRPr="00E52D98">
              <w:rPr>
                <w:rFonts w:cs="Arial"/>
                <w:sz w:val="22"/>
                <w:szCs w:val="22"/>
              </w:rPr>
              <w:t>Borrowing</w:t>
            </w:r>
          </w:p>
        </w:tc>
        <w:tc>
          <w:tcPr>
            <w:tcW w:w="1440" w:type="dxa"/>
            <w:vAlign w:val="center"/>
          </w:tcPr>
          <w:p w:rsidR="00E52D98" w:rsidRPr="00E52D98" w:rsidRDefault="00E52D98" w:rsidP="00E52D98">
            <w:pPr>
              <w:tabs>
                <w:tab w:val="right" w:pos="702"/>
              </w:tabs>
              <w:jc w:val="both"/>
              <w:rPr>
                <w:rFonts w:cs="Arial"/>
                <w:sz w:val="22"/>
                <w:szCs w:val="22"/>
              </w:rPr>
            </w:pPr>
            <w:r w:rsidRPr="00E52D98">
              <w:rPr>
                <w:rFonts w:cs="Arial"/>
                <w:sz w:val="22"/>
                <w:szCs w:val="22"/>
              </w:rPr>
              <w:t>£10m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£10m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£12m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£10m</w:t>
            </w:r>
          </w:p>
        </w:tc>
      </w:tr>
    </w:tbl>
    <w:p w:rsidR="00E52D98" w:rsidRPr="00E52D98" w:rsidRDefault="00E52D98" w:rsidP="00E52D98">
      <w:pPr>
        <w:jc w:val="both"/>
        <w:rPr>
          <w:rFonts w:cs="Arial"/>
          <w:b/>
          <w:sz w:val="22"/>
          <w:szCs w:val="22"/>
        </w:rPr>
      </w:pPr>
    </w:p>
    <w:p w:rsidR="00E52D98" w:rsidRPr="00E52D98" w:rsidRDefault="00E52D98" w:rsidP="00E52D98">
      <w:pPr>
        <w:jc w:val="both"/>
        <w:rPr>
          <w:rFonts w:cs="Arial"/>
          <w:b/>
          <w:sz w:val="22"/>
          <w:szCs w:val="22"/>
        </w:rPr>
      </w:pPr>
      <w:r w:rsidRPr="00E52D98">
        <w:rPr>
          <w:rFonts w:cs="Arial"/>
          <w:b/>
          <w:sz w:val="22"/>
          <w:szCs w:val="22"/>
        </w:rPr>
        <w:t>3.3.2</w:t>
      </w:r>
      <w:r w:rsidRPr="00E52D98">
        <w:rPr>
          <w:rFonts w:cs="Arial"/>
          <w:b/>
          <w:sz w:val="22"/>
          <w:szCs w:val="22"/>
        </w:rPr>
        <w:tab/>
        <w:t xml:space="preserve">Treasury Management Indicator - The Authorised Limit for External Borrowing </w:t>
      </w:r>
    </w:p>
    <w:p w:rsidR="00E52D98" w:rsidRPr="00E52D98" w:rsidRDefault="00E52D98" w:rsidP="00E52D98">
      <w:pPr>
        <w:tabs>
          <w:tab w:val="num" w:pos="709"/>
        </w:tabs>
        <w:jc w:val="both"/>
        <w:rPr>
          <w:rFonts w:cs="Arial"/>
          <w:b/>
          <w:sz w:val="22"/>
          <w:szCs w:val="22"/>
        </w:rPr>
      </w:pPr>
      <w:r w:rsidRPr="00E52D98">
        <w:rPr>
          <w:rFonts w:cs="Arial"/>
          <w:sz w:val="22"/>
          <w:szCs w:val="22"/>
        </w:rPr>
        <w:t xml:space="preserve">This PI, which is required to be set and revised by Members, controls the overall level of borrowing and represents the limit beyond which external long and short term borrowing is prohibited, and this limit needs to be set or revised by the Council.  It reflects the level of borrowing which, while not desired, could be afforded in the short term, but is not sustainable in the longer term.  It is the expected maximum borrowing need with some headroom for unexpected movements. </w:t>
      </w:r>
      <w:r w:rsidRPr="00E52D98">
        <w:rPr>
          <w:rFonts w:cs="Arial"/>
          <w:iCs/>
          <w:sz w:val="22"/>
          <w:szCs w:val="22"/>
        </w:rPr>
        <w:t>This is the statutory limit determined under</w:t>
      </w:r>
      <w:r w:rsidRPr="00E52D98">
        <w:rPr>
          <w:rFonts w:cs="Arial"/>
          <w:i/>
          <w:iCs/>
          <w:sz w:val="22"/>
          <w:szCs w:val="22"/>
        </w:rPr>
        <w:t xml:space="preserve"> </w:t>
      </w:r>
      <w:r w:rsidRPr="00E52D98">
        <w:rPr>
          <w:rFonts w:cs="Arial"/>
          <w:iCs/>
          <w:sz w:val="22"/>
          <w:szCs w:val="22"/>
        </w:rPr>
        <w:t>section 3 (2) of the Local Government Act 2003.</w:t>
      </w:r>
      <w:r w:rsidRPr="00E52D98">
        <w:rPr>
          <w:rFonts w:cs="Arial"/>
          <w:i/>
          <w:iCs/>
          <w:sz w:val="22"/>
          <w:szCs w:val="22"/>
        </w:rPr>
        <w:t xml:space="preserve"> </w:t>
      </w:r>
    </w:p>
    <w:p w:rsidR="00E52D98" w:rsidRPr="00E52D98" w:rsidRDefault="00E52D98" w:rsidP="00E52D98">
      <w:pPr>
        <w:jc w:val="both"/>
        <w:rPr>
          <w:rFonts w:cs="Arial"/>
          <w:color w:val="0000FF"/>
          <w:sz w:val="22"/>
          <w:szCs w:val="22"/>
        </w:rPr>
      </w:pPr>
    </w:p>
    <w:tbl>
      <w:tblPr>
        <w:tblW w:w="8642" w:type="dxa"/>
        <w:jc w:val="center"/>
        <w:tblInd w:w="-7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2"/>
        <w:gridCol w:w="1440"/>
        <w:gridCol w:w="1440"/>
        <w:gridCol w:w="1440"/>
        <w:gridCol w:w="1440"/>
      </w:tblGrid>
      <w:tr w:rsidR="00E52D98" w:rsidRPr="00E52D98" w:rsidTr="00E52D98">
        <w:trPr>
          <w:trHeight w:val="817"/>
          <w:jc w:val="center"/>
        </w:trPr>
        <w:tc>
          <w:tcPr>
            <w:tcW w:w="2882" w:type="dxa"/>
            <w:shd w:val="clear" w:color="auto" w:fill="B3B3B3"/>
            <w:vAlign w:val="center"/>
          </w:tcPr>
          <w:p w:rsidR="00E52D98" w:rsidRPr="00E52D98" w:rsidRDefault="00E52D98" w:rsidP="00E52D98">
            <w:pPr>
              <w:jc w:val="both"/>
              <w:rPr>
                <w:rFonts w:cs="Arial"/>
                <w:sz w:val="22"/>
                <w:szCs w:val="22"/>
              </w:rPr>
            </w:pPr>
            <w:r w:rsidRPr="00E52D98">
              <w:rPr>
                <w:rFonts w:cs="Arial"/>
                <w:b/>
                <w:bCs/>
                <w:sz w:val="22"/>
                <w:szCs w:val="22"/>
              </w:rPr>
              <w:t xml:space="preserve">Authorised Limit </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2016/17</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2017/18</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2018/19</w:t>
            </w:r>
          </w:p>
          <w:p w:rsidR="00E52D98" w:rsidRPr="00E52D98" w:rsidRDefault="00E52D98" w:rsidP="00E52D98">
            <w:pPr>
              <w:jc w:val="both"/>
              <w:rPr>
                <w:rFonts w:cs="Arial"/>
                <w:b/>
                <w:bCs/>
                <w:sz w:val="22"/>
                <w:szCs w:val="22"/>
              </w:rPr>
            </w:pPr>
            <w:r w:rsidRPr="00E52D98">
              <w:rPr>
                <w:rFonts w:cs="Arial"/>
                <w:b/>
                <w:bCs/>
                <w:sz w:val="22"/>
                <w:szCs w:val="22"/>
              </w:rPr>
              <w:t>Estimate</w:t>
            </w:r>
          </w:p>
        </w:tc>
        <w:tc>
          <w:tcPr>
            <w:tcW w:w="1440" w:type="dxa"/>
            <w:shd w:val="clear" w:color="auto" w:fill="B3B3B3"/>
            <w:vAlign w:val="center"/>
          </w:tcPr>
          <w:p w:rsidR="00E52D98" w:rsidRPr="00E52D98" w:rsidRDefault="00E52D98" w:rsidP="00E52D98">
            <w:pPr>
              <w:jc w:val="both"/>
              <w:rPr>
                <w:rFonts w:cs="Arial"/>
                <w:b/>
                <w:bCs/>
                <w:sz w:val="22"/>
                <w:szCs w:val="22"/>
              </w:rPr>
            </w:pPr>
            <w:r w:rsidRPr="00E52D98">
              <w:rPr>
                <w:rFonts w:cs="Arial"/>
                <w:b/>
                <w:bCs/>
                <w:sz w:val="22"/>
                <w:szCs w:val="22"/>
              </w:rPr>
              <w:t>2019/20</w:t>
            </w:r>
          </w:p>
          <w:p w:rsidR="00E52D98" w:rsidRPr="00E52D98" w:rsidRDefault="00E52D98" w:rsidP="00E52D98">
            <w:pPr>
              <w:jc w:val="both"/>
              <w:rPr>
                <w:rFonts w:cs="Arial"/>
                <w:b/>
                <w:bCs/>
                <w:sz w:val="22"/>
                <w:szCs w:val="22"/>
              </w:rPr>
            </w:pPr>
            <w:r w:rsidRPr="00E52D98">
              <w:rPr>
                <w:rFonts w:cs="Arial"/>
                <w:b/>
                <w:bCs/>
                <w:sz w:val="22"/>
                <w:szCs w:val="22"/>
              </w:rPr>
              <w:t>Estimate</w:t>
            </w:r>
          </w:p>
        </w:tc>
      </w:tr>
      <w:tr w:rsidR="00E52D98" w:rsidRPr="00E52D98" w:rsidTr="00E52D98">
        <w:trPr>
          <w:trHeight w:val="351"/>
          <w:jc w:val="center"/>
        </w:trPr>
        <w:tc>
          <w:tcPr>
            <w:tcW w:w="2882" w:type="dxa"/>
            <w:vAlign w:val="center"/>
          </w:tcPr>
          <w:p w:rsidR="00E52D98" w:rsidRPr="00E52D98" w:rsidRDefault="00E52D98" w:rsidP="00E52D98">
            <w:pPr>
              <w:jc w:val="both"/>
              <w:rPr>
                <w:rFonts w:cs="Arial"/>
                <w:sz w:val="22"/>
                <w:szCs w:val="22"/>
              </w:rPr>
            </w:pPr>
            <w:r w:rsidRPr="00E52D98">
              <w:rPr>
                <w:rFonts w:cs="Arial"/>
                <w:sz w:val="22"/>
                <w:szCs w:val="22"/>
              </w:rPr>
              <w:t>Borrowing</w:t>
            </w:r>
          </w:p>
        </w:tc>
        <w:tc>
          <w:tcPr>
            <w:tcW w:w="1440" w:type="dxa"/>
            <w:vAlign w:val="center"/>
          </w:tcPr>
          <w:p w:rsidR="00E52D98" w:rsidRPr="00E52D98" w:rsidRDefault="00E52D98" w:rsidP="00E52D98">
            <w:pPr>
              <w:tabs>
                <w:tab w:val="right" w:pos="702"/>
              </w:tabs>
              <w:jc w:val="both"/>
              <w:rPr>
                <w:rFonts w:cs="Arial"/>
                <w:sz w:val="22"/>
                <w:szCs w:val="22"/>
              </w:rPr>
            </w:pPr>
            <w:r w:rsidRPr="00E52D98">
              <w:rPr>
                <w:rFonts w:cs="Arial"/>
                <w:sz w:val="22"/>
                <w:szCs w:val="22"/>
              </w:rPr>
              <w:t>£12m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£12m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£15m</w:t>
            </w:r>
          </w:p>
        </w:tc>
        <w:tc>
          <w:tcPr>
            <w:tcW w:w="1440" w:type="dxa"/>
            <w:vAlign w:val="center"/>
          </w:tcPr>
          <w:p w:rsidR="00E52D98" w:rsidRPr="00E52D98" w:rsidRDefault="00E52D98" w:rsidP="00E52D98">
            <w:pPr>
              <w:jc w:val="both"/>
              <w:rPr>
                <w:rFonts w:cs="Arial"/>
                <w:sz w:val="22"/>
                <w:szCs w:val="22"/>
              </w:rPr>
            </w:pPr>
            <w:r w:rsidRPr="00E52D98">
              <w:rPr>
                <w:rFonts w:cs="Arial"/>
                <w:sz w:val="22"/>
                <w:szCs w:val="22"/>
              </w:rPr>
              <w:t>£12m</w:t>
            </w:r>
          </w:p>
        </w:tc>
      </w:tr>
    </w:tbl>
    <w:p w:rsidR="00E52D98" w:rsidRPr="00E52D98" w:rsidRDefault="00E52D98" w:rsidP="00E52D98">
      <w:pPr>
        <w:jc w:val="both"/>
        <w:rPr>
          <w:rFonts w:cs="Arial"/>
          <w:b/>
          <w:color w:val="0000FF"/>
          <w:sz w:val="22"/>
          <w:szCs w:val="22"/>
        </w:rPr>
      </w:pPr>
    </w:p>
    <w:p w:rsidR="00E52D98" w:rsidRPr="00E52D98" w:rsidRDefault="00E52D98" w:rsidP="00E52D98">
      <w:pPr>
        <w:jc w:val="both"/>
        <w:rPr>
          <w:rFonts w:cs="Arial"/>
          <w:b/>
          <w:sz w:val="22"/>
          <w:szCs w:val="22"/>
        </w:rPr>
      </w:pPr>
      <w:r w:rsidRPr="00E52D98">
        <w:rPr>
          <w:rFonts w:cs="Arial"/>
          <w:b/>
          <w:sz w:val="22"/>
          <w:szCs w:val="22"/>
        </w:rPr>
        <w:t>3.3.3</w:t>
      </w:r>
      <w:r w:rsidRPr="00E52D98">
        <w:rPr>
          <w:rFonts w:cs="Arial"/>
          <w:b/>
          <w:sz w:val="22"/>
          <w:szCs w:val="22"/>
        </w:rPr>
        <w:tab/>
        <w:t>Treasury Management Indicator – Actual External Debt</w:t>
      </w:r>
    </w:p>
    <w:p w:rsidR="00E52D98" w:rsidRPr="00E52D98" w:rsidRDefault="00E52D98" w:rsidP="00E52D98">
      <w:pPr>
        <w:jc w:val="both"/>
        <w:rPr>
          <w:rFonts w:cs="Arial"/>
          <w:sz w:val="22"/>
          <w:szCs w:val="22"/>
        </w:rPr>
      </w:pPr>
      <w:r w:rsidRPr="00E52D98">
        <w:rPr>
          <w:rFonts w:cs="Arial"/>
          <w:sz w:val="22"/>
          <w:szCs w:val="22"/>
        </w:rPr>
        <w:t>This is the closing balance for actual gross borrowing obtained directly from the council’s Balance Sheet at year end.</w:t>
      </w:r>
    </w:p>
    <w:p w:rsidR="00E52D98" w:rsidRPr="00E52D98" w:rsidRDefault="00E52D98" w:rsidP="00E52D98">
      <w:pPr>
        <w:jc w:val="both"/>
        <w:rPr>
          <w:rFonts w:cs="Arial"/>
          <w:sz w:val="22"/>
          <w:szCs w:val="22"/>
        </w:rPr>
      </w:pPr>
    </w:p>
    <w:p w:rsidR="00E52D98" w:rsidRPr="00E52D98" w:rsidRDefault="00E52D98" w:rsidP="00E52D98">
      <w:pPr>
        <w:jc w:val="both"/>
        <w:rPr>
          <w:rFonts w:cs="Arial"/>
          <w:sz w:val="22"/>
          <w:szCs w:val="22"/>
        </w:rPr>
      </w:pPr>
      <w:r w:rsidRPr="00E52D98">
        <w:rPr>
          <w:rFonts w:cs="Arial"/>
          <w:sz w:val="22"/>
          <w:szCs w:val="22"/>
        </w:rPr>
        <w:t xml:space="preserve">The Director of Finance reports that the Council complied with this prudential indicator in the current year and does not envisage difficulties for the future. This view takes into account current commitments, existing plans, and the proposals within this report regarding future external borrowing.  </w:t>
      </w:r>
    </w:p>
    <w:p w:rsidR="00E52D98" w:rsidRPr="00E52D98" w:rsidRDefault="00E52D98" w:rsidP="00E52D98">
      <w:pPr>
        <w:keepNext/>
        <w:tabs>
          <w:tab w:val="left" w:pos="720"/>
        </w:tabs>
        <w:jc w:val="both"/>
        <w:rPr>
          <w:rFonts w:cs="Arial"/>
          <w:b/>
          <w:noProof/>
          <w:sz w:val="22"/>
          <w:szCs w:val="22"/>
        </w:rPr>
      </w:pPr>
    </w:p>
    <w:p w:rsidR="00E52D98" w:rsidRPr="00E52D98" w:rsidRDefault="00E52D98" w:rsidP="00E52D98">
      <w:pPr>
        <w:keepNext/>
        <w:tabs>
          <w:tab w:val="left" w:pos="720"/>
        </w:tabs>
        <w:jc w:val="both"/>
        <w:rPr>
          <w:rFonts w:cs="Arial"/>
          <w:b/>
          <w:noProof/>
          <w:sz w:val="22"/>
          <w:szCs w:val="22"/>
        </w:rPr>
      </w:pPr>
      <w:r w:rsidRPr="00E52D98">
        <w:rPr>
          <w:rFonts w:cs="Arial"/>
          <w:b/>
          <w:noProof/>
          <w:sz w:val="22"/>
          <w:szCs w:val="22"/>
        </w:rPr>
        <w:t>3.4</w:t>
      </w:r>
      <w:r w:rsidRPr="00E52D98">
        <w:rPr>
          <w:rFonts w:cs="Arial"/>
          <w:b/>
          <w:noProof/>
          <w:sz w:val="22"/>
          <w:szCs w:val="22"/>
        </w:rPr>
        <w:tab/>
        <w:t xml:space="preserve">Borrowing Strategy </w:t>
      </w:r>
    </w:p>
    <w:p w:rsidR="00E52D98" w:rsidRPr="00E52D98" w:rsidRDefault="00E52D98" w:rsidP="00E52D98">
      <w:pPr>
        <w:jc w:val="both"/>
        <w:rPr>
          <w:rFonts w:cs="Arial"/>
          <w:bCs/>
          <w:iCs/>
          <w:sz w:val="22"/>
          <w:szCs w:val="22"/>
        </w:rPr>
      </w:pPr>
      <w:r w:rsidRPr="00E52D98">
        <w:rPr>
          <w:rFonts w:cs="Arial"/>
          <w:bCs/>
          <w:iCs/>
          <w:sz w:val="22"/>
          <w:szCs w:val="22"/>
        </w:rPr>
        <w:t>Although at this stage there is no requirement to borrow externally over the medium term, the Council has a number of regeneration projects and it is possible that these may require pump priming for the necessary infrastructure works.  Any external borrowing that is required by the Council will be reported to Members at the appropriate time.</w:t>
      </w:r>
    </w:p>
    <w:p w:rsidR="00E52D98" w:rsidRPr="00E52D98" w:rsidRDefault="00E52D98" w:rsidP="00E52D98">
      <w:pPr>
        <w:jc w:val="both"/>
        <w:rPr>
          <w:rFonts w:cs="Arial"/>
          <w:bCs/>
          <w:iCs/>
          <w:sz w:val="22"/>
          <w:szCs w:val="22"/>
        </w:rPr>
      </w:pPr>
    </w:p>
    <w:p w:rsidR="00E52D98" w:rsidRPr="00E52D98" w:rsidRDefault="00E52D98" w:rsidP="00E52D98">
      <w:pPr>
        <w:jc w:val="both"/>
        <w:rPr>
          <w:rFonts w:cs="Arial"/>
          <w:bCs/>
          <w:iCs/>
          <w:sz w:val="22"/>
          <w:szCs w:val="22"/>
        </w:rPr>
      </w:pPr>
      <w:r w:rsidRPr="00E52D98">
        <w:rPr>
          <w:rFonts w:cs="Arial"/>
          <w:bCs/>
          <w:iCs/>
          <w:sz w:val="22"/>
          <w:szCs w:val="22"/>
        </w:rPr>
        <w:t xml:space="preserve">Although the Council’s treasury team maintains a </w:t>
      </w:r>
      <w:proofErr w:type="spellStart"/>
      <w:r w:rsidRPr="00E52D98">
        <w:rPr>
          <w:rFonts w:cs="Arial"/>
          <w:bCs/>
          <w:iCs/>
          <w:sz w:val="22"/>
          <w:szCs w:val="22"/>
        </w:rPr>
        <w:t>cashflow</w:t>
      </w:r>
      <w:proofErr w:type="spellEnd"/>
      <w:r w:rsidRPr="00E52D98">
        <w:rPr>
          <w:rFonts w:cs="Arial"/>
          <w:bCs/>
          <w:iCs/>
          <w:sz w:val="22"/>
          <w:szCs w:val="22"/>
        </w:rPr>
        <w:t xml:space="preserve"> forecast and works its liquidity requirements within this forecast, it may, on rare occasions need to borrow short-term for </w:t>
      </w:r>
      <w:proofErr w:type="spellStart"/>
      <w:r w:rsidRPr="00E52D98">
        <w:rPr>
          <w:rFonts w:cs="Arial"/>
          <w:bCs/>
          <w:iCs/>
          <w:sz w:val="22"/>
          <w:szCs w:val="22"/>
        </w:rPr>
        <w:t>cashflow</w:t>
      </w:r>
      <w:proofErr w:type="spellEnd"/>
      <w:r w:rsidRPr="00E52D98">
        <w:rPr>
          <w:rFonts w:cs="Arial"/>
          <w:bCs/>
          <w:iCs/>
          <w:sz w:val="22"/>
          <w:szCs w:val="22"/>
        </w:rPr>
        <w:t xml:space="preserve"> purposes.  This will be in the form of short term debt or overdraft facilities and is normally for small amounts.  As this is based on need and has a defined repayment period it is not normally included within the limits set above.  </w:t>
      </w:r>
    </w:p>
    <w:p w:rsidR="00E52D98" w:rsidRPr="00E52D98" w:rsidRDefault="00E52D98" w:rsidP="00E52D98">
      <w:pPr>
        <w:tabs>
          <w:tab w:val="left" w:pos="720"/>
        </w:tabs>
        <w:jc w:val="both"/>
        <w:rPr>
          <w:rFonts w:cs="Arial"/>
          <w:b/>
          <w:bCs/>
          <w:noProof/>
          <w:sz w:val="22"/>
          <w:szCs w:val="22"/>
        </w:rPr>
      </w:pPr>
    </w:p>
    <w:p w:rsidR="00E52D98" w:rsidRPr="00E52D98" w:rsidRDefault="00E52D98" w:rsidP="00E52D98">
      <w:pPr>
        <w:tabs>
          <w:tab w:val="left" w:pos="720"/>
        </w:tabs>
        <w:jc w:val="both"/>
        <w:rPr>
          <w:rFonts w:cs="Arial"/>
          <w:b/>
          <w:bCs/>
          <w:noProof/>
          <w:sz w:val="22"/>
          <w:szCs w:val="22"/>
        </w:rPr>
      </w:pPr>
      <w:r w:rsidRPr="00E52D98">
        <w:rPr>
          <w:rFonts w:cs="Arial"/>
          <w:b/>
          <w:bCs/>
          <w:noProof/>
          <w:sz w:val="22"/>
          <w:szCs w:val="22"/>
        </w:rPr>
        <w:lastRenderedPageBreak/>
        <w:t>3.5</w:t>
      </w:r>
      <w:r w:rsidRPr="00E52D98">
        <w:rPr>
          <w:rFonts w:cs="Arial"/>
          <w:b/>
          <w:bCs/>
          <w:noProof/>
          <w:sz w:val="22"/>
          <w:szCs w:val="22"/>
        </w:rPr>
        <w:tab/>
        <w:t>Annual Investment Strategy</w:t>
      </w:r>
    </w:p>
    <w:p w:rsidR="00E52D98" w:rsidRDefault="00E52D98" w:rsidP="00E52D98">
      <w:pPr>
        <w:tabs>
          <w:tab w:val="left" w:pos="540"/>
        </w:tabs>
        <w:jc w:val="both"/>
        <w:rPr>
          <w:rFonts w:cs="Arial"/>
          <w:b/>
          <w:bCs/>
          <w:iCs/>
          <w:sz w:val="22"/>
          <w:szCs w:val="22"/>
        </w:rPr>
      </w:pPr>
    </w:p>
    <w:p w:rsidR="00E52D98" w:rsidRPr="00E52D98" w:rsidRDefault="00E52D98" w:rsidP="00E52D98">
      <w:pPr>
        <w:tabs>
          <w:tab w:val="left" w:pos="540"/>
        </w:tabs>
        <w:jc w:val="both"/>
        <w:rPr>
          <w:rFonts w:cs="Arial"/>
          <w:b/>
          <w:bCs/>
          <w:iCs/>
          <w:sz w:val="22"/>
          <w:szCs w:val="22"/>
        </w:rPr>
      </w:pPr>
      <w:r w:rsidRPr="00E52D98">
        <w:rPr>
          <w:rFonts w:cs="Arial"/>
          <w:b/>
          <w:bCs/>
          <w:iCs/>
          <w:sz w:val="22"/>
          <w:szCs w:val="22"/>
        </w:rPr>
        <w:t>3.5.1</w:t>
      </w:r>
      <w:r w:rsidRPr="00E52D98">
        <w:rPr>
          <w:rFonts w:cs="Arial"/>
          <w:b/>
          <w:bCs/>
          <w:iCs/>
          <w:sz w:val="22"/>
          <w:szCs w:val="22"/>
        </w:rPr>
        <w:tab/>
      </w:r>
      <w:r w:rsidRPr="00E52D98">
        <w:rPr>
          <w:rFonts w:cs="Arial"/>
          <w:b/>
          <w:bCs/>
          <w:iCs/>
          <w:sz w:val="22"/>
          <w:szCs w:val="22"/>
        </w:rPr>
        <w:tab/>
        <w:t>Key Objectives</w:t>
      </w:r>
    </w:p>
    <w:p w:rsidR="00E52D98" w:rsidRPr="00E52D98" w:rsidRDefault="00E52D98" w:rsidP="00E52D98">
      <w:pPr>
        <w:jc w:val="both"/>
        <w:rPr>
          <w:rFonts w:cs="Arial"/>
          <w:bCs/>
          <w:iCs/>
          <w:sz w:val="22"/>
          <w:szCs w:val="22"/>
        </w:rPr>
      </w:pPr>
      <w:r w:rsidRPr="00E52D98">
        <w:rPr>
          <w:rFonts w:cs="Arial"/>
          <w:bCs/>
          <w:iCs/>
          <w:sz w:val="22"/>
          <w:szCs w:val="22"/>
        </w:rPr>
        <w:t>The Council’s investment strategy’s primary objectives are safeguarding the re-payment of the principal and interest of its investments on time, and then ensuring adequate liquidity, with the investment return being the final objective. The current economic ensures that the current investment climate has one over-riding priority which is the management of counterparty security risk.</w:t>
      </w:r>
    </w:p>
    <w:p w:rsidR="00E52D98" w:rsidRPr="00E52D98" w:rsidRDefault="00E52D98" w:rsidP="00E52D98">
      <w:pPr>
        <w:jc w:val="both"/>
        <w:rPr>
          <w:rFonts w:cs="Arial"/>
          <w:bCs/>
          <w:iCs/>
          <w:sz w:val="22"/>
          <w:szCs w:val="22"/>
        </w:rPr>
      </w:pPr>
    </w:p>
    <w:p w:rsidR="00E52D98" w:rsidRPr="00E52D98" w:rsidRDefault="00E52D98" w:rsidP="00E52D98">
      <w:pPr>
        <w:jc w:val="both"/>
        <w:rPr>
          <w:rFonts w:cs="Arial"/>
          <w:noProof/>
          <w:sz w:val="22"/>
          <w:szCs w:val="22"/>
        </w:rPr>
      </w:pPr>
      <w:r w:rsidRPr="00E52D98">
        <w:rPr>
          <w:rFonts w:cs="Arial"/>
          <w:bCs/>
          <w:iCs/>
          <w:sz w:val="22"/>
          <w:szCs w:val="22"/>
        </w:rPr>
        <w:t xml:space="preserve">In order to accommodate any changes to the Strategy </w:t>
      </w:r>
      <w:r w:rsidRPr="00E52D98">
        <w:rPr>
          <w:rFonts w:cs="Arial"/>
          <w:noProof/>
          <w:sz w:val="22"/>
          <w:szCs w:val="22"/>
        </w:rPr>
        <w:t xml:space="preserve">the the Director of Finance in consultation with the Lead Member, has the delegated authority to approve any variation to the Treasury Management Startegy during the year which may be brought about by changing situations in the financail markets and also as a result of investigating the opportunity to invest for period of greater than one year and to invest in other investment instruments i.e Government bonds, Gilts and investment property with a view of maximising the Council’s returns.  As with all investments, security and liquidity will take precedence over the level of returns. </w:t>
      </w:r>
    </w:p>
    <w:p w:rsidR="00E52D98" w:rsidRPr="00E52D98" w:rsidRDefault="00E52D98" w:rsidP="00E52D98">
      <w:pPr>
        <w:jc w:val="both"/>
        <w:rPr>
          <w:rFonts w:cs="Arial"/>
          <w:bCs/>
          <w:iCs/>
          <w:sz w:val="22"/>
          <w:szCs w:val="22"/>
        </w:rPr>
      </w:pPr>
      <w:r w:rsidRPr="00E52D98">
        <w:rPr>
          <w:sz w:val="22"/>
        </w:rPr>
        <w:t xml:space="preserve"> </w:t>
      </w:r>
    </w:p>
    <w:p w:rsidR="00E52D98" w:rsidRPr="00E52D98" w:rsidRDefault="00E52D98" w:rsidP="00E52D98">
      <w:pPr>
        <w:numPr>
          <w:ilvl w:val="12"/>
          <w:numId w:val="0"/>
        </w:numPr>
        <w:tabs>
          <w:tab w:val="left" w:pos="540"/>
        </w:tabs>
        <w:jc w:val="both"/>
        <w:rPr>
          <w:rFonts w:cs="Arial"/>
          <w:b/>
          <w:noProof/>
          <w:sz w:val="22"/>
          <w:szCs w:val="22"/>
        </w:rPr>
      </w:pPr>
      <w:r w:rsidRPr="00E52D98">
        <w:rPr>
          <w:rFonts w:cs="Arial"/>
          <w:b/>
          <w:noProof/>
          <w:sz w:val="22"/>
          <w:szCs w:val="22"/>
        </w:rPr>
        <w:t>3.5.2</w:t>
      </w:r>
      <w:r w:rsidRPr="00E52D98">
        <w:rPr>
          <w:rFonts w:cs="Arial"/>
          <w:b/>
          <w:noProof/>
          <w:sz w:val="22"/>
          <w:szCs w:val="22"/>
        </w:rPr>
        <w:tab/>
      </w:r>
      <w:r w:rsidRPr="00E52D98">
        <w:rPr>
          <w:rFonts w:cs="Arial"/>
          <w:b/>
          <w:noProof/>
          <w:sz w:val="22"/>
          <w:szCs w:val="22"/>
        </w:rPr>
        <w:tab/>
        <w:t>Investment Policy</w:t>
      </w:r>
    </w:p>
    <w:p w:rsidR="00E52D98" w:rsidRPr="00E52D98" w:rsidRDefault="00E52D98" w:rsidP="00E52D98">
      <w:pPr>
        <w:jc w:val="both"/>
        <w:rPr>
          <w:rFonts w:cs="Arial"/>
          <w:noProof/>
          <w:sz w:val="22"/>
          <w:szCs w:val="22"/>
        </w:rPr>
      </w:pPr>
      <w:r w:rsidRPr="00E52D98">
        <w:rPr>
          <w:rFonts w:cs="Arial"/>
          <w:noProof/>
          <w:sz w:val="22"/>
          <w:szCs w:val="22"/>
        </w:rPr>
        <w:t>The Council’s investment policy has regard to the DCLG’s Guidance on Local Government Investments and the CIPFA Treasury Management in Public Services Code of Practice and Cross Sectoral Guidance Notes (“the CIPFA TM Code”). The Council’s investment priorities are security first, liquidity second, then yield.</w:t>
      </w:r>
    </w:p>
    <w:p w:rsidR="00E52D98" w:rsidRPr="00E52D98" w:rsidRDefault="00E52D98" w:rsidP="00E52D98">
      <w:pPr>
        <w:numPr>
          <w:ilvl w:val="12"/>
          <w:numId w:val="0"/>
        </w:numPr>
        <w:tabs>
          <w:tab w:val="left" w:pos="360"/>
        </w:tabs>
        <w:jc w:val="both"/>
        <w:rPr>
          <w:rFonts w:cs="Arial"/>
          <w:noProof/>
          <w:sz w:val="22"/>
          <w:szCs w:val="22"/>
        </w:rPr>
      </w:pPr>
    </w:p>
    <w:p w:rsidR="00E52D98" w:rsidRPr="00E52D98" w:rsidRDefault="00E52D98" w:rsidP="00E52D98">
      <w:pPr>
        <w:numPr>
          <w:ilvl w:val="12"/>
          <w:numId w:val="0"/>
        </w:numPr>
        <w:tabs>
          <w:tab w:val="left" w:pos="0"/>
        </w:tabs>
        <w:jc w:val="both"/>
        <w:rPr>
          <w:rFonts w:cs="Arial"/>
          <w:noProof/>
          <w:sz w:val="22"/>
          <w:szCs w:val="22"/>
        </w:rPr>
      </w:pPr>
      <w:r w:rsidRPr="00E52D98">
        <w:rPr>
          <w:rFonts w:cs="Arial"/>
          <w:noProof/>
          <w:sz w:val="22"/>
          <w:szCs w:val="22"/>
        </w:rPr>
        <w:t>Investment instruments identified for use in the financial year are listed below under the ‘Specified’ and ‘Non-Specified’ Investments categories.  Counterparty limits will be as set through the Council’s Treasury Management Practices Schedules and are detailed at Annex A.</w:t>
      </w:r>
    </w:p>
    <w:p w:rsidR="00E52D98" w:rsidRPr="00E52D98" w:rsidRDefault="00E52D98" w:rsidP="00E52D98">
      <w:pPr>
        <w:numPr>
          <w:ilvl w:val="12"/>
          <w:numId w:val="0"/>
        </w:numPr>
        <w:tabs>
          <w:tab w:val="left" w:pos="0"/>
        </w:tabs>
        <w:jc w:val="both"/>
        <w:rPr>
          <w:rFonts w:cs="Arial"/>
          <w:noProof/>
          <w:sz w:val="22"/>
          <w:szCs w:val="22"/>
        </w:rPr>
      </w:pPr>
    </w:p>
    <w:p w:rsidR="00E52D98" w:rsidRPr="00E52D98" w:rsidRDefault="00E52D98" w:rsidP="00E52D98">
      <w:pPr>
        <w:numPr>
          <w:ilvl w:val="12"/>
          <w:numId w:val="0"/>
        </w:numPr>
        <w:tabs>
          <w:tab w:val="left" w:pos="0"/>
        </w:tabs>
        <w:jc w:val="both"/>
        <w:rPr>
          <w:rFonts w:cs="Arial"/>
          <w:noProof/>
          <w:sz w:val="22"/>
          <w:szCs w:val="22"/>
        </w:rPr>
      </w:pPr>
      <w:r w:rsidRPr="00E52D98">
        <w:rPr>
          <w:rFonts w:cs="Arial"/>
          <w:noProof/>
          <w:sz w:val="22"/>
          <w:szCs w:val="22"/>
        </w:rPr>
        <w:t xml:space="preserve">As part of its diversification of investments, the Council will consider the use of investing some of its core funds (ie: funds not immediately required for cashflow reasons) in longer–term investment property instruments.  These may take the form of individual assets owned by the council or by investment in pooled property funds.  Any property investment is dependent on the development of a Property Investment Strategy and any individual acquisitions will be subject to a full business case before any Council funds are committed.  When developed, the Property Investment Strategy will include a scheme of delegation, type of assets (eg: residential and commercial) and prudent investment limits; this form a separate Annex to the TMS.  </w:t>
      </w:r>
    </w:p>
    <w:p w:rsidR="00E52D98" w:rsidRPr="00E52D98" w:rsidRDefault="00E52D98" w:rsidP="00E52D98">
      <w:pPr>
        <w:numPr>
          <w:ilvl w:val="12"/>
          <w:numId w:val="0"/>
        </w:numPr>
        <w:tabs>
          <w:tab w:val="left" w:pos="0"/>
        </w:tabs>
        <w:jc w:val="both"/>
        <w:rPr>
          <w:rFonts w:cs="Arial"/>
          <w:noProof/>
          <w:sz w:val="22"/>
          <w:szCs w:val="22"/>
        </w:rPr>
      </w:pPr>
      <w:r w:rsidRPr="00E52D98">
        <w:rPr>
          <w:rFonts w:cs="Arial"/>
          <w:noProof/>
          <w:sz w:val="22"/>
          <w:szCs w:val="22"/>
        </w:rPr>
        <w:t xml:space="preserve"> </w:t>
      </w:r>
    </w:p>
    <w:p w:rsidR="00E52D98" w:rsidRDefault="00E52D98" w:rsidP="00E52D98">
      <w:pPr>
        <w:numPr>
          <w:ilvl w:val="12"/>
          <w:numId w:val="0"/>
        </w:numPr>
        <w:tabs>
          <w:tab w:val="left" w:pos="540"/>
        </w:tabs>
        <w:jc w:val="both"/>
        <w:rPr>
          <w:rFonts w:cs="Arial"/>
          <w:b/>
          <w:noProof/>
          <w:sz w:val="22"/>
          <w:szCs w:val="22"/>
        </w:rPr>
      </w:pPr>
      <w:r w:rsidRPr="00E52D98">
        <w:rPr>
          <w:rFonts w:cs="Arial"/>
          <w:b/>
          <w:noProof/>
          <w:sz w:val="22"/>
          <w:szCs w:val="22"/>
        </w:rPr>
        <w:t>3.5.3</w:t>
      </w:r>
      <w:r w:rsidRPr="00E52D98">
        <w:rPr>
          <w:rFonts w:cs="Arial"/>
          <w:b/>
          <w:noProof/>
          <w:sz w:val="22"/>
          <w:szCs w:val="22"/>
        </w:rPr>
        <w:tab/>
      </w:r>
      <w:r w:rsidRPr="00E52D98">
        <w:rPr>
          <w:rFonts w:cs="Arial"/>
          <w:b/>
          <w:noProof/>
          <w:sz w:val="22"/>
          <w:szCs w:val="22"/>
        </w:rPr>
        <w:tab/>
        <w:t xml:space="preserve">Creditworthiness policy </w:t>
      </w:r>
    </w:p>
    <w:p w:rsidR="00BC6207" w:rsidRPr="00E52D98" w:rsidRDefault="00BC6207" w:rsidP="00E52D98">
      <w:pPr>
        <w:numPr>
          <w:ilvl w:val="12"/>
          <w:numId w:val="0"/>
        </w:numPr>
        <w:tabs>
          <w:tab w:val="left" w:pos="540"/>
        </w:tabs>
        <w:jc w:val="both"/>
        <w:rPr>
          <w:rFonts w:cs="Arial"/>
          <w:b/>
          <w:noProof/>
          <w:sz w:val="22"/>
          <w:szCs w:val="22"/>
        </w:rPr>
      </w:pPr>
    </w:p>
    <w:p w:rsidR="00E52D98" w:rsidRPr="00E52D98" w:rsidRDefault="00E52D98" w:rsidP="00E52D98">
      <w:pPr>
        <w:jc w:val="both"/>
        <w:rPr>
          <w:rFonts w:cs="Arial"/>
          <w:iCs/>
          <w:sz w:val="22"/>
          <w:szCs w:val="22"/>
        </w:rPr>
      </w:pPr>
      <w:r w:rsidRPr="00E52D98">
        <w:rPr>
          <w:rFonts w:cs="Arial"/>
          <w:bCs/>
          <w:sz w:val="22"/>
          <w:szCs w:val="22"/>
        </w:rPr>
        <w:t>T</w:t>
      </w:r>
      <w:r w:rsidRPr="00E52D98">
        <w:rPr>
          <w:rFonts w:cs="Arial"/>
          <w:iCs/>
          <w:sz w:val="22"/>
          <w:szCs w:val="22"/>
        </w:rPr>
        <w:t>he Council will ensure:</w:t>
      </w:r>
    </w:p>
    <w:p w:rsidR="00E52D98" w:rsidRPr="00E52D98" w:rsidRDefault="00E52D98" w:rsidP="00E52D98">
      <w:pPr>
        <w:jc w:val="both"/>
        <w:rPr>
          <w:rFonts w:cs="Arial"/>
          <w:iCs/>
          <w:sz w:val="22"/>
          <w:szCs w:val="22"/>
        </w:rPr>
      </w:pPr>
    </w:p>
    <w:p w:rsidR="00E52D98" w:rsidRPr="00E52D98" w:rsidRDefault="00E52D98" w:rsidP="008429A2">
      <w:pPr>
        <w:numPr>
          <w:ilvl w:val="0"/>
          <w:numId w:val="7"/>
        </w:numPr>
        <w:tabs>
          <w:tab w:val="num" w:pos="540"/>
        </w:tabs>
        <w:ind w:left="0" w:hanging="540"/>
        <w:jc w:val="both"/>
        <w:rPr>
          <w:rFonts w:cs="Arial"/>
          <w:iCs/>
          <w:sz w:val="22"/>
          <w:szCs w:val="22"/>
        </w:rPr>
      </w:pPr>
      <w:r w:rsidRPr="00E52D98">
        <w:rPr>
          <w:rFonts w:cs="Arial"/>
          <w:iCs/>
          <w:sz w:val="22"/>
          <w:szCs w:val="22"/>
        </w:rPr>
        <w:t>It maintains a policy covering both the categories of investment types it will invest in and the criteria for choosing investment counterparties with adequate security, and monitoring their security. This is set out in the Specified and Non-Specified investment sections below.</w:t>
      </w:r>
    </w:p>
    <w:p w:rsidR="00E52D98" w:rsidRPr="00E52D98" w:rsidRDefault="00E52D98" w:rsidP="00E52D98">
      <w:pPr>
        <w:jc w:val="both"/>
        <w:rPr>
          <w:rFonts w:cs="Arial"/>
          <w:iCs/>
          <w:sz w:val="22"/>
          <w:szCs w:val="22"/>
        </w:rPr>
      </w:pPr>
    </w:p>
    <w:p w:rsidR="00E52D98" w:rsidRPr="00E52D98" w:rsidRDefault="00E52D98" w:rsidP="008429A2">
      <w:pPr>
        <w:numPr>
          <w:ilvl w:val="0"/>
          <w:numId w:val="7"/>
        </w:numPr>
        <w:tabs>
          <w:tab w:val="num" w:pos="540"/>
        </w:tabs>
        <w:ind w:left="0" w:hanging="540"/>
        <w:jc w:val="both"/>
        <w:rPr>
          <w:rFonts w:cs="Arial"/>
          <w:iCs/>
          <w:sz w:val="22"/>
          <w:szCs w:val="22"/>
        </w:rPr>
      </w:pPr>
      <w:r w:rsidRPr="00E52D98">
        <w:rPr>
          <w:rFonts w:cs="Arial"/>
          <w:iCs/>
          <w:sz w:val="22"/>
          <w:szCs w:val="22"/>
        </w:rPr>
        <w:t xml:space="preserve">It has sufficient liquidity in its investments. For this purpose it will set out procedures for determining the maximum periods for which funds may prudently be committed. These procedures also apply to the Council’s prudential indicators covering the maximum principal sums invested.  </w:t>
      </w:r>
    </w:p>
    <w:p w:rsidR="00E52D98" w:rsidRPr="00E52D98" w:rsidRDefault="00E52D98" w:rsidP="00E52D98">
      <w:pPr>
        <w:jc w:val="both"/>
        <w:rPr>
          <w:rFonts w:cs="Arial"/>
          <w:iCs/>
          <w:sz w:val="22"/>
          <w:szCs w:val="22"/>
        </w:rPr>
      </w:pPr>
    </w:p>
    <w:p w:rsidR="00E52D98" w:rsidRPr="00E52D98" w:rsidRDefault="00E52D98" w:rsidP="00E52D98">
      <w:pPr>
        <w:jc w:val="both"/>
        <w:rPr>
          <w:rFonts w:cs="Arial"/>
          <w:iCs/>
          <w:sz w:val="22"/>
          <w:szCs w:val="22"/>
        </w:rPr>
      </w:pPr>
      <w:r w:rsidRPr="00E52D98">
        <w:rPr>
          <w:rFonts w:cs="Arial"/>
          <w:iCs/>
          <w:sz w:val="22"/>
          <w:szCs w:val="22"/>
        </w:rPr>
        <w:t xml:space="preserve">The Director of Finance will maintain a counterparty list in compliance with the following criteria and will revise the criteria and submit them to Council for approval as necessary and will provide an overall pool of counterparties considered high quality. </w:t>
      </w:r>
    </w:p>
    <w:p w:rsidR="00E52D98" w:rsidRPr="00E52D98" w:rsidRDefault="00E52D98" w:rsidP="00E52D98">
      <w:pPr>
        <w:jc w:val="both"/>
        <w:rPr>
          <w:rFonts w:cs="Arial"/>
          <w:iCs/>
          <w:sz w:val="22"/>
          <w:szCs w:val="22"/>
        </w:rPr>
      </w:pPr>
    </w:p>
    <w:p w:rsidR="00E52D98" w:rsidRPr="00E52D98" w:rsidRDefault="00E52D98" w:rsidP="00E52D98">
      <w:pPr>
        <w:jc w:val="both"/>
        <w:rPr>
          <w:rFonts w:cs="Arial"/>
          <w:iCs/>
          <w:sz w:val="22"/>
          <w:szCs w:val="22"/>
        </w:rPr>
      </w:pPr>
      <w:r w:rsidRPr="00E52D98">
        <w:rPr>
          <w:rFonts w:cs="Arial"/>
          <w:iCs/>
          <w:sz w:val="22"/>
          <w:szCs w:val="22"/>
        </w:rPr>
        <w:lastRenderedPageBreak/>
        <w:t xml:space="preserve">Credit rating information is supplied by our treasury consultants on all active counterparties that comply with the Council’s criteria. Any counterparty failing to meet the criteria would be omitted from the counterparty (dealing) list. Any rating changes, rating watches (notification of a likely change), rating outlooks (notification of a possible longer term change) are provided to officers almost immediately after they occur and this information is considered before dealing. </w:t>
      </w:r>
    </w:p>
    <w:p w:rsidR="00E52D98" w:rsidRPr="00E52D98" w:rsidRDefault="00E52D98" w:rsidP="00E52D98">
      <w:pPr>
        <w:jc w:val="both"/>
        <w:rPr>
          <w:rFonts w:cs="Arial"/>
          <w:iCs/>
          <w:sz w:val="22"/>
          <w:szCs w:val="22"/>
        </w:rPr>
      </w:pPr>
    </w:p>
    <w:p w:rsidR="00E52D98" w:rsidRPr="00E52D98" w:rsidRDefault="00E52D98" w:rsidP="00E52D98">
      <w:pPr>
        <w:jc w:val="both"/>
        <w:rPr>
          <w:rFonts w:cs="Arial"/>
          <w:b/>
          <w:iCs/>
          <w:sz w:val="22"/>
          <w:szCs w:val="22"/>
        </w:rPr>
      </w:pPr>
      <w:r w:rsidRPr="00E52D98">
        <w:rPr>
          <w:rFonts w:cs="Arial"/>
          <w:b/>
          <w:iCs/>
          <w:sz w:val="22"/>
          <w:szCs w:val="22"/>
        </w:rPr>
        <w:t>Counterparty Categories</w:t>
      </w:r>
    </w:p>
    <w:p w:rsidR="00E52D98" w:rsidRPr="00E52D98" w:rsidRDefault="00E52D98" w:rsidP="00E52D98">
      <w:pPr>
        <w:jc w:val="both"/>
        <w:rPr>
          <w:rFonts w:cs="Arial"/>
          <w:iCs/>
          <w:sz w:val="22"/>
          <w:szCs w:val="22"/>
        </w:rPr>
      </w:pPr>
      <w:r w:rsidRPr="00E52D98">
        <w:rPr>
          <w:rFonts w:cs="Arial"/>
          <w:iCs/>
          <w:sz w:val="22"/>
          <w:szCs w:val="22"/>
        </w:rPr>
        <w:t>The Council uses the following criteria in choosing the categories of institutions in which to invest:</w:t>
      </w:r>
    </w:p>
    <w:p w:rsidR="00E52D98" w:rsidRPr="00E52D98" w:rsidRDefault="00E52D98" w:rsidP="00E52D98">
      <w:pPr>
        <w:jc w:val="both"/>
        <w:rPr>
          <w:rFonts w:cs="Arial"/>
          <w:iCs/>
          <w:sz w:val="22"/>
          <w:szCs w:val="22"/>
        </w:rPr>
      </w:pPr>
    </w:p>
    <w:p w:rsidR="00E52D98" w:rsidRPr="00E52D98" w:rsidRDefault="00E52D98" w:rsidP="008429A2">
      <w:pPr>
        <w:numPr>
          <w:ilvl w:val="0"/>
          <w:numId w:val="8"/>
        </w:numPr>
        <w:tabs>
          <w:tab w:val="num" w:pos="540"/>
        </w:tabs>
        <w:ind w:left="0"/>
        <w:jc w:val="both"/>
        <w:rPr>
          <w:rFonts w:cs="Arial"/>
          <w:b/>
          <w:iCs/>
          <w:sz w:val="22"/>
          <w:szCs w:val="22"/>
        </w:rPr>
      </w:pPr>
      <w:r w:rsidRPr="00E52D98">
        <w:rPr>
          <w:rFonts w:cs="Arial"/>
          <w:b/>
          <w:iCs/>
          <w:sz w:val="22"/>
          <w:szCs w:val="22"/>
        </w:rPr>
        <w:t>Banks 1 - Good Credit Quality</w:t>
      </w:r>
    </w:p>
    <w:p w:rsidR="00E52D98" w:rsidRPr="00E52D98" w:rsidRDefault="00E52D98" w:rsidP="00E52D98">
      <w:pPr>
        <w:jc w:val="both"/>
        <w:rPr>
          <w:rFonts w:cs="Arial"/>
          <w:iCs/>
          <w:sz w:val="22"/>
          <w:szCs w:val="22"/>
        </w:rPr>
      </w:pPr>
      <w:r w:rsidRPr="00E52D98">
        <w:rPr>
          <w:rFonts w:cs="Arial"/>
          <w:iCs/>
          <w:sz w:val="22"/>
          <w:szCs w:val="22"/>
        </w:rPr>
        <w:t xml:space="preserve">The Council will only use </w:t>
      </w:r>
      <w:smartTag w:uri="urn:schemas-microsoft-com:office:smarttags" w:element="country-region">
        <w:r w:rsidRPr="00E52D98">
          <w:rPr>
            <w:rFonts w:cs="Arial"/>
            <w:iCs/>
            <w:sz w:val="22"/>
            <w:szCs w:val="22"/>
          </w:rPr>
          <w:t>UK</w:t>
        </w:r>
      </w:smartTag>
      <w:r w:rsidRPr="00E52D98">
        <w:rPr>
          <w:rFonts w:cs="Arial"/>
          <w:iCs/>
          <w:sz w:val="22"/>
          <w:szCs w:val="22"/>
        </w:rPr>
        <w:t xml:space="preserve"> banks or foreign banks trading in the </w:t>
      </w:r>
      <w:smartTag w:uri="urn:schemas-microsoft-com:office:smarttags" w:element="country-region">
        <w:smartTag w:uri="urn:schemas-microsoft-com:office:smarttags" w:element="place">
          <w:r w:rsidRPr="00E52D98">
            <w:rPr>
              <w:rFonts w:cs="Arial"/>
              <w:iCs/>
              <w:sz w:val="22"/>
              <w:szCs w:val="22"/>
            </w:rPr>
            <w:t>UK</w:t>
          </w:r>
        </w:smartTag>
      </w:smartTag>
      <w:r w:rsidRPr="00E52D98">
        <w:rPr>
          <w:rFonts w:cs="Arial"/>
          <w:iCs/>
          <w:sz w:val="22"/>
          <w:szCs w:val="22"/>
        </w:rPr>
        <w:t xml:space="preserve"> in sterling denomination and which meet the Rating criteria.</w:t>
      </w:r>
    </w:p>
    <w:p w:rsidR="00E52D98" w:rsidRPr="00E52D98" w:rsidRDefault="00E52D98" w:rsidP="00E52D98">
      <w:pPr>
        <w:jc w:val="both"/>
        <w:rPr>
          <w:rFonts w:cs="Arial"/>
          <w:iCs/>
          <w:sz w:val="22"/>
          <w:szCs w:val="22"/>
        </w:rPr>
      </w:pPr>
    </w:p>
    <w:p w:rsidR="00E52D98" w:rsidRPr="00E52D98" w:rsidRDefault="00E52D98" w:rsidP="008429A2">
      <w:pPr>
        <w:numPr>
          <w:ilvl w:val="0"/>
          <w:numId w:val="8"/>
        </w:numPr>
        <w:tabs>
          <w:tab w:val="num" w:pos="540"/>
        </w:tabs>
        <w:ind w:left="0" w:hanging="540"/>
        <w:jc w:val="both"/>
        <w:rPr>
          <w:rFonts w:cs="Arial"/>
          <w:iCs/>
          <w:sz w:val="22"/>
          <w:szCs w:val="22"/>
        </w:rPr>
      </w:pPr>
      <w:r w:rsidRPr="00E52D98">
        <w:rPr>
          <w:rFonts w:cs="Arial"/>
          <w:b/>
          <w:iCs/>
          <w:sz w:val="22"/>
          <w:szCs w:val="22"/>
        </w:rPr>
        <w:t xml:space="preserve">Banks 2 – The Council’s Own Banker </w:t>
      </w:r>
      <w:r w:rsidRPr="00E52D98">
        <w:rPr>
          <w:rFonts w:cs="Arial"/>
          <w:b/>
          <w:iCs/>
          <w:sz w:val="22"/>
          <w:szCs w:val="22"/>
        </w:rPr>
        <w:tab/>
      </w:r>
      <w:r w:rsidRPr="00E52D98">
        <w:rPr>
          <w:rFonts w:cs="Arial"/>
          <w:b/>
          <w:iCs/>
          <w:sz w:val="22"/>
          <w:szCs w:val="22"/>
        </w:rPr>
        <w:br/>
      </w:r>
      <w:r w:rsidRPr="00E52D98">
        <w:rPr>
          <w:rFonts w:cs="Arial"/>
          <w:iCs/>
          <w:sz w:val="22"/>
          <w:szCs w:val="22"/>
        </w:rPr>
        <w:t>For transactional purposes, if the bank falls below the above criteria, it will be included, although in this case balances will be minimised as far as possible in both monetary size and time within operational constraints.</w:t>
      </w:r>
    </w:p>
    <w:p w:rsidR="00E52D98" w:rsidRPr="00E52D98" w:rsidRDefault="00E52D98" w:rsidP="00E52D98">
      <w:pPr>
        <w:jc w:val="both"/>
        <w:rPr>
          <w:rFonts w:cs="Arial"/>
          <w:iCs/>
          <w:sz w:val="22"/>
          <w:szCs w:val="22"/>
        </w:rPr>
      </w:pPr>
    </w:p>
    <w:p w:rsidR="00E52D98" w:rsidRPr="00E52D98" w:rsidRDefault="00E52D98" w:rsidP="008429A2">
      <w:pPr>
        <w:numPr>
          <w:ilvl w:val="0"/>
          <w:numId w:val="8"/>
        </w:numPr>
        <w:tabs>
          <w:tab w:val="num" w:pos="540"/>
        </w:tabs>
        <w:ind w:left="0" w:hanging="540"/>
        <w:jc w:val="both"/>
        <w:rPr>
          <w:rFonts w:cs="Arial"/>
          <w:iCs/>
          <w:sz w:val="22"/>
          <w:szCs w:val="22"/>
        </w:rPr>
      </w:pPr>
      <w:r w:rsidRPr="00E52D98">
        <w:rPr>
          <w:rFonts w:cs="Arial"/>
          <w:b/>
          <w:iCs/>
          <w:sz w:val="22"/>
          <w:szCs w:val="22"/>
        </w:rPr>
        <w:t>Bank Subsidiary and Treasury Operations</w:t>
      </w:r>
      <w:r w:rsidRPr="00E52D98">
        <w:rPr>
          <w:rFonts w:cs="Arial"/>
          <w:iCs/>
          <w:sz w:val="22"/>
          <w:szCs w:val="22"/>
        </w:rPr>
        <w:t xml:space="preserve"> –</w:t>
      </w:r>
      <w:r w:rsidRPr="00E52D98">
        <w:rPr>
          <w:rFonts w:cs="Arial"/>
          <w:b/>
          <w:iCs/>
          <w:sz w:val="22"/>
          <w:szCs w:val="22"/>
        </w:rPr>
        <w:t xml:space="preserve"> </w:t>
      </w:r>
      <w:r w:rsidRPr="00E52D98">
        <w:rPr>
          <w:rFonts w:cs="Arial"/>
          <w:iCs/>
          <w:sz w:val="22"/>
          <w:szCs w:val="22"/>
        </w:rPr>
        <w:t xml:space="preserve">the Council will use these where the parent bank has the necessary ratings outlined above and the parent has provided an indemnity guarantee. </w:t>
      </w:r>
    </w:p>
    <w:p w:rsidR="00E52D98" w:rsidRPr="00E52D98" w:rsidRDefault="00E52D98" w:rsidP="00E52D98">
      <w:pPr>
        <w:jc w:val="both"/>
        <w:rPr>
          <w:rFonts w:cs="Arial"/>
          <w:iCs/>
          <w:sz w:val="22"/>
          <w:szCs w:val="22"/>
        </w:rPr>
      </w:pPr>
    </w:p>
    <w:p w:rsidR="00E52D98" w:rsidRPr="00E52D98" w:rsidRDefault="00E52D98" w:rsidP="008429A2">
      <w:pPr>
        <w:numPr>
          <w:ilvl w:val="0"/>
          <w:numId w:val="8"/>
        </w:numPr>
        <w:tabs>
          <w:tab w:val="num" w:pos="540"/>
        </w:tabs>
        <w:ind w:left="0" w:hanging="540"/>
        <w:jc w:val="both"/>
        <w:rPr>
          <w:rFonts w:cs="Arial"/>
          <w:iCs/>
          <w:sz w:val="22"/>
          <w:szCs w:val="22"/>
        </w:rPr>
      </w:pPr>
      <w:r w:rsidRPr="00E52D98">
        <w:rPr>
          <w:rFonts w:cs="Arial"/>
          <w:b/>
          <w:iCs/>
          <w:sz w:val="22"/>
          <w:szCs w:val="22"/>
        </w:rPr>
        <w:t>Building Societies</w:t>
      </w:r>
      <w:r w:rsidRPr="00E52D98">
        <w:rPr>
          <w:rFonts w:cs="Arial"/>
          <w:b/>
          <w:iCs/>
          <w:sz w:val="22"/>
          <w:szCs w:val="22"/>
        </w:rPr>
        <w:tab/>
      </w:r>
      <w:r w:rsidRPr="00E52D98">
        <w:rPr>
          <w:rFonts w:cs="Arial"/>
          <w:b/>
          <w:iCs/>
          <w:sz w:val="22"/>
          <w:szCs w:val="22"/>
        </w:rPr>
        <w:br/>
      </w:r>
      <w:r w:rsidRPr="00E52D98">
        <w:rPr>
          <w:rFonts w:cs="Arial"/>
          <w:iCs/>
          <w:sz w:val="22"/>
          <w:szCs w:val="22"/>
        </w:rPr>
        <w:t>The Council will use all Societies which meet the ratings for banks outlined above.</w:t>
      </w:r>
    </w:p>
    <w:p w:rsidR="00E52D98" w:rsidRPr="00E52D98" w:rsidRDefault="00E52D98" w:rsidP="00E52D98">
      <w:pPr>
        <w:jc w:val="both"/>
        <w:rPr>
          <w:rFonts w:cs="Arial"/>
          <w:b/>
          <w:iCs/>
          <w:sz w:val="22"/>
          <w:szCs w:val="22"/>
        </w:rPr>
      </w:pPr>
    </w:p>
    <w:p w:rsidR="00E52D98" w:rsidRPr="00E52D98" w:rsidRDefault="00E52D98" w:rsidP="008429A2">
      <w:pPr>
        <w:numPr>
          <w:ilvl w:val="0"/>
          <w:numId w:val="3"/>
        </w:numPr>
        <w:tabs>
          <w:tab w:val="num" w:pos="540"/>
        </w:tabs>
        <w:ind w:left="0" w:hanging="540"/>
        <w:jc w:val="both"/>
        <w:rPr>
          <w:rFonts w:cs="Arial"/>
          <w:iCs/>
          <w:sz w:val="22"/>
          <w:szCs w:val="22"/>
        </w:rPr>
      </w:pPr>
      <w:r w:rsidRPr="00E52D98">
        <w:rPr>
          <w:rFonts w:cs="Arial"/>
          <w:b/>
          <w:iCs/>
          <w:sz w:val="22"/>
          <w:szCs w:val="22"/>
        </w:rPr>
        <w:t>Specific Public Bodies</w:t>
      </w:r>
      <w:r w:rsidRPr="00E52D98">
        <w:rPr>
          <w:rFonts w:cs="Arial"/>
          <w:b/>
          <w:iCs/>
          <w:sz w:val="22"/>
          <w:szCs w:val="22"/>
        </w:rPr>
        <w:tab/>
      </w:r>
      <w:r w:rsidRPr="00E52D98">
        <w:rPr>
          <w:rFonts w:cs="Arial"/>
          <w:b/>
          <w:iCs/>
          <w:sz w:val="22"/>
          <w:szCs w:val="22"/>
        </w:rPr>
        <w:br/>
      </w:r>
      <w:r w:rsidRPr="00E52D98">
        <w:rPr>
          <w:rFonts w:cs="Arial"/>
          <w:iCs/>
          <w:sz w:val="22"/>
          <w:szCs w:val="22"/>
        </w:rPr>
        <w:t>The Council may lend to Public Bodies other than Local Authorities. The criterion for lending to these bodies is that the loan has been approved by Council.</w:t>
      </w:r>
    </w:p>
    <w:p w:rsidR="00E52D98" w:rsidRPr="00E52D98" w:rsidRDefault="00E52D98" w:rsidP="00E52D98">
      <w:pPr>
        <w:jc w:val="both"/>
        <w:rPr>
          <w:rFonts w:cs="Arial"/>
          <w:iCs/>
          <w:sz w:val="22"/>
          <w:szCs w:val="22"/>
        </w:rPr>
      </w:pPr>
    </w:p>
    <w:p w:rsidR="00E52D98" w:rsidRPr="00E52D98" w:rsidRDefault="00E52D98" w:rsidP="008429A2">
      <w:pPr>
        <w:numPr>
          <w:ilvl w:val="0"/>
          <w:numId w:val="3"/>
        </w:numPr>
        <w:tabs>
          <w:tab w:val="num" w:pos="540"/>
        </w:tabs>
        <w:ind w:left="0" w:firstLine="0"/>
        <w:jc w:val="both"/>
        <w:rPr>
          <w:rFonts w:cs="Arial"/>
          <w:b/>
          <w:iCs/>
          <w:sz w:val="22"/>
          <w:szCs w:val="22"/>
        </w:rPr>
      </w:pPr>
      <w:r w:rsidRPr="00E52D98">
        <w:rPr>
          <w:rFonts w:cs="Arial"/>
          <w:b/>
          <w:iCs/>
          <w:sz w:val="22"/>
          <w:szCs w:val="22"/>
        </w:rPr>
        <w:t>Money Market Funds AAA Rated</w:t>
      </w:r>
    </w:p>
    <w:p w:rsidR="00E52D98" w:rsidRPr="00E52D98" w:rsidRDefault="00E52D98" w:rsidP="00E52D98">
      <w:pPr>
        <w:jc w:val="both"/>
        <w:rPr>
          <w:rFonts w:cs="Arial"/>
          <w:sz w:val="22"/>
          <w:szCs w:val="22"/>
        </w:rPr>
      </w:pPr>
      <w:r w:rsidRPr="00E52D98">
        <w:rPr>
          <w:rFonts w:cs="Arial"/>
          <w:sz w:val="22"/>
          <w:szCs w:val="22"/>
        </w:rPr>
        <w:t xml:space="preserve">The Council may lend to Money Market Funds in order to spread its investment risk. </w:t>
      </w:r>
    </w:p>
    <w:p w:rsidR="00E52D98" w:rsidRPr="00E52D98" w:rsidRDefault="00E52D98" w:rsidP="00E52D98">
      <w:pPr>
        <w:jc w:val="both"/>
        <w:rPr>
          <w:rFonts w:cs="Arial"/>
          <w:iCs/>
          <w:sz w:val="22"/>
          <w:szCs w:val="22"/>
        </w:rPr>
      </w:pPr>
      <w:r w:rsidRPr="00E52D98">
        <w:rPr>
          <w:rFonts w:cs="Arial"/>
          <w:iCs/>
          <w:sz w:val="22"/>
          <w:szCs w:val="22"/>
        </w:rPr>
        <w:t xml:space="preserve"> </w:t>
      </w:r>
    </w:p>
    <w:p w:rsidR="00E52D98" w:rsidRPr="00E52D98" w:rsidRDefault="00E52D98" w:rsidP="008429A2">
      <w:pPr>
        <w:numPr>
          <w:ilvl w:val="0"/>
          <w:numId w:val="3"/>
        </w:numPr>
        <w:tabs>
          <w:tab w:val="num" w:pos="540"/>
        </w:tabs>
        <w:ind w:left="0" w:firstLine="0"/>
        <w:jc w:val="both"/>
        <w:rPr>
          <w:rFonts w:cs="Arial"/>
          <w:b/>
          <w:iCs/>
          <w:sz w:val="22"/>
          <w:szCs w:val="22"/>
        </w:rPr>
      </w:pPr>
      <w:r w:rsidRPr="00E52D98">
        <w:rPr>
          <w:rFonts w:cs="Arial"/>
          <w:b/>
          <w:iCs/>
          <w:sz w:val="22"/>
          <w:szCs w:val="22"/>
        </w:rPr>
        <w:t>Local Authorities</w:t>
      </w:r>
      <w:r w:rsidRPr="00E52D98">
        <w:rPr>
          <w:rFonts w:cs="Arial"/>
          <w:b/>
          <w:iCs/>
          <w:sz w:val="22"/>
          <w:szCs w:val="22"/>
        </w:rPr>
        <w:tab/>
      </w:r>
    </w:p>
    <w:p w:rsidR="00E52D98" w:rsidRPr="00E52D98" w:rsidRDefault="00E52D98" w:rsidP="00E52D98">
      <w:pPr>
        <w:jc w:val="both"/>
        <w:rPr>
          <w:rFonts w:cs="Arial"/>
          <w:iCs/>
          <w:sz w:val="22"/>
          <w:szCs w:val="22"/>
        </w:rPr>
      </w:pPr>
      <w:r w:rsidRPr="00E52D98">
        <w:rPr>
          <w:rFonts w:cs="Arial"/>
          <w:iCs/>
          <w:sz w:val="22"/>
          <w:szCs w:val="22"/>
        </w:rPr>
        <w:t>A limit of £2m per authority will be applied.</w:t>
      </w:r>
    </w:p>
    <w:p w:rsidR="00E52D98" w:rsidRPr="00E52D98" w:rsidRDefault="00E52D98" w:rsidP="00E52D98">
      <w:pPr>
        <w:jc w:val="both"/>
        <w:rPr>
          <w:rFonts w:cs="Arial"/>
          <w:iCs/>
          <w:sz w:val="22"/>
          <w:szCs w:val="22"/>
        </w:rPr>
      </w:pPr>
    </w:p>
    <w:p w:rsidR="00E52D98" w:rsidRPr="00E52D98" w:rsidRDefault="00E52D98" w:rsidP="008429A2">
      <w:pPr>
        <w:numPr>
          <w:ilvl w:val="0"/>
          <w:numId w:val="3"/>
        </w:numPr>
        <w:tabs>
          <w:tab w:val="num" w:pos="540"/>
        </w:tabs>
        <w:ind w:left="0" w:firstLine="0"/>
        <w:jc w:val="both"/>
        <w:rPr>
          <w:rFonts w:cs="Arial"/>
          <w:b/>
          <w:iCs/>
          <w:sz w:val="22"/>
          <w:szCs w:val="22"/>
        </w:rPr>
      </w:pPr>
      <w:r w:rsidRPr="00E52D98">
        <w:rPr>
          <w:rFonts w:cs="Arial"/>
          <w:b/>
          <w:iCs/>
          <w:sz w:val="22"/>
          <w:szCs w:val="22"/>
        </w:rPr>
        <w:t>Debt Management Deposit Account Facility</w:t>
      </w:r>
      <w:r w:rsidRPr="00E52D98">
        <w:rPr>
          <w:rFonts w:cs="Arial"/>
          <w:b/>
          <w:iCs/>
          <w:sz w:val="22"/>
          <w:szCs w:val="22"/>
        </w:rPr>
        <w:tab/>
      </w:r>
    </w:p>
    <w:p w:rsidR="00E52D98" w:rsidRPr="00E52D98" w:rsidRDefault="00E52D98" w:rsidP="00E52D98">
      <w:pPr>
        <w:jc w:val="both"/>
        <w:rPr>
          <w:rFonts w:cs="Arial"/>
          <w:sz w:val="22"/>
          <w:szCs w:val="22"/>
        </w:rPr>
      </w:pPr>
      <w:r w:rsidRPr="00E52D98">
        <w:rPr>
          <w:rFonts w:cs="Arial"/>
          <w:sz w:val="22"/>
          <w:szCs w:val="22"/>
        </w:rPr>
        <w:t>A Government body which accepts local authority deposits.</w:t>
      </w:r>
    </w:p>
    <w:p w:rsidR="00E52D98" w:rsidRPr="00E52D98" w:rsidRDefault="00E52D98" w:rsidP="00E52D98">
      <w:pPr>
        <w:jc w:val="both"/>
        <w:rPr>
          <w:rFonts w:cs="Arial"/>
          <w:sz w:val="22"/>
          <w:szCs w:val="22"/>
        </w:rPr>
      </w:pPr>
    </w:p>
    <w:p w:rsidR="00E52D98" w:rsidRPr="00E52D98" w:rsidRDefault="00E52D98" w:rsidP="00E52D98">
      <w:pPr>
        <w:jc w:val="both"/>
        <w:rPr>
          <w:rFonts w:cs="Arial"/>
          <w:b/>
          <w:iCs/>
          <w:sz w:val="22"/>
          <w:szCs w:val="22"/>
        </w:rPr>
      </w:pPr>
      <w:r w:rsidRPr="00E52D98">
        <w:rPr>
          <w:sz w:val="22"/>
          <w:szCs w:val="22"/>
        </w:rPr>
        <w:t>The current investment counterparty criteria selection approved in the Treasury Management Strategy is being met.</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For details of Specified and Non-Specified Investments see below.</w:t>
      </w:r>
    </w:p>
    <w:p w:rsidR="00E52D98" w:rsidRPr="00E52D98" w:rsidRDefault="00E52D98" w:rsidP="00E52D98">
      <w:pPr>
        <w:jc w:val="both"/>
        <w:rPr>
          <w:sz w:val="22"/>
          <w:szCs w:val="22"/>
        </w:rPr>
      </w:pPr>
    </w:p>
    <w:p w:rsidR="00E52D98" w:rsidRPr="00E52D98" w:rsidRDefault="00E52D98" w:rsidP="00E52D98">
      <w:pPr>
        <w:jc w:val="both"/>
        <w:rPr>
          <w:rFonts w:cs="Arial"/>
          <w:iCs/>
          <w:sz w:val="22"/>
          <w:szCs w:val="22"/>
        </w:rPr>
      </w:pPr>
      <w:r w:rsidRPr="00E52D98">
        <w:rPr>
          <w:rFonts w:cs="Arial"/>
          <w:b/>
          <w:iCs/>
          <w:sz w:val="22"/>
          <w:szCs w:val="22"/>
        </w:rPr>
        <w:t>Use of Additional Information Other Than Credit Ratings</w:t>
      </w:r>
      <w:r w:rsidRPr="00E52D98">
        <w:rPr>
          <w:rFonts w:cs="Arial"/>
          <w:iCs/>
          <w:sz w:val="22"/>
          <w:szCs w:val="22"/>
        </w:rPr>
        <w:t xml:space="preserve"> </w:t>
      </w:r>
      <w:r w:rsidRPr="00E52D98">
        <w:rPr>
          <w:rFonts w:cs="Arial"/>
          <w:iCs/>
          <w:sz w:val="22"/>
          <w:szCs w:val="22"/>
        </w:rPr>
        <w:tab/>
      </w:r>
    </w:p>
    <w:p w:rsidR="00E52D98" w:rsidRDefault="00E52D98" w:rsidP="00E52D98">
      <w:pPr>
        <w:jc w:val="both"/>
        <w:rPr>
          <w:rFonts w:cs="Arial"/>
          <w:iCs/>
          <w:sz w:val="22"/>
          <w:szCs w:val="22"/>
        </w:rPr>
      </w:pPr>
      <w:r w:rsidRPr="00E52D98">
        <w:rPr>
          <w:rFonts w:cs="Arial"/>
          <w:iCs/>
          <w:sz w:val="22"/>
          <w:szCs w:val="22"/>
        </w:rPr>
        <w:t>Additional requirements under the Code of Practice require the Council to supplement credit rating information. Whilst the above criteria rely primarily on the application of credit ratings to provide a pool of appropriate counterparties for officers to use, additional operational market information will be applied before making any specific investment decision from the agreed pool of counterparties. This additional market information (for example Credit Default Swaps, negative rating watches/outlooks) will be applied to compare the relative security of differing investment counterparties.</w:t>
      </w:r>
    </w:p>
    <w:p w:rsidR="00E52D98" w:rsidRDefault="00E52D98" w:rsidP="00E52D98">
      <w:pPr>
        <w:jc w:val="both"/>
        <w:rPr>
          <w:rFonts w:cs="Arial"/>
          <w:iCs/>
          <w:sz w:val="22"/>
          <w:szCs w:val="22"/>
        </w:rPr>
      </w:pPr>
    </w:p>
    <w:p w:rsidR="00E52D98" w:rsidRPr="00E52D98" w:rsidRDefault="00E52D98" w:rsidP="00E52D98">
      <w:pPr>
        <w:jc w:val="both"/>
        <w:rPr>
          <w:rFonts w:cs="Arial"/>
          <w:iCs/>
          <w:sz w:val="22"/>
          <w:szCs w:val="22"/>
        </w:rPr>
      </w:pPr>
    </w:p>
    <w:p w:rsidR="00E52D98" w:rsidRPr="00E52D98" w:rsidRDefault="00E52D98" w:rsidP="00E52D98">
      <w:pPr>
        <w:jc w:val="both"/>
        <w:rPr>
          <w:rFonts w:cs="Arial"/>
          <w:i/>
          <w:iCs/>
          <w:sz w:val="22"/>
          <w:szCs w:val="22"/>
        </w:rPr>
      </w:pPr>
    </w:p>
    <w:p w:rsidR="00E52D98" w:rsidRPr="00E52D98" w:rsidRDefault="00E52D98" w:rsidP="00E52D98">
      <w:pPr>
        <w:jc w:val="both"/>
        <w:rPr>
          <w:rFonts w:cs="Arial"/>
          <w:iCs/>
          <w:sz w:val="22"/>
          <w:szCs w:val="22"/>
        </w:rPr>
      </w:pPr>
      <w:r>
        <w:rPr>
          <w:rFonts w:cs="Arial"/>
          <w:b/>
          <w:iCs/>
          <w:sz w:val="22"/>
          <w:szCs w:val="22"/>
        </w:rPr>
        <w:lastRenderedPageBreak/>
        <w:t>T</w:t>
      </w:r>
      <w:r w:rsidRPr="00E52D98">
        <w:rPr>
          <w:rFonts w:cs="Arial"/>
          <w:b/>
          <w:iCs/>
          <w:sz w:val="22"/>
          <w:szCs w:val="22"/>
        </w:rPr>
        <w:t>ime and Monetary Limits Applying to Investments</w:t>
      </w:r>
      <w:r w:rsidRPr="00E52D98">
        <w:rPr>
          <w:rFonts w:cs="Arial"/>
          <w:iCs/>
          <w:sz w:val="22"/>
          <w:szCs w:val="22"/>
        </w:rPr>
        <w:tab/>
      </w:r>
    </w:p>
    <w:p w:rsidR="00E52D98" w:rsidRPr="00E52D98" w:rsidRDefault="00E52D98" w:rsidP="00E52D98">
      <w:pPr>
        <w:jc w:val="both"/>
        <w:rPr>
          <w:rFonts w:cs="Arial"/>
          <w:iCs/>
          <w:sz w:val="22"/>
          <w:szCs w:val="22"/>
        </w:rPr>
      </w:pPr>
      <w:r w:rsidRPr="00E52D98">
        <w:rPr>
          <w:rFonts w:cs="Arial"/>
          <w:iCs/>
          <w:sz w:val="22"/>
          <w:szCs w:val="22"/>
        </w:rPr>
        <w:t>The time and monetary limits for institutions on the Council’s Counterparty List summarised in the table below, are driven by the above criteria. These limits will cover both Specified and Non-Specified Investments.</w:t>
      </w:r>
    </w:p>
    <w:p w:rsidR="00E52D98" w:rsidRPr="00E52D98" w:rsidRDefault="00E52D98" w:rsidP="00E52D98">
      <w:pPr>
        <w:jc w:val="both"/>
        <w:rPr>
          <w:rFonts w:cs="Arial"/>
          <w:b/>
          <w:iCs/>
          <w:sz w:val="22"/>
          <w:szCs w:val="22"/>
        </w:rPr>
      </w:pPr>
    </w:p>
    <w:p w:rsidR="00E52D98" w:rsidRPr="00E52D98" w:rsidRDefault="00E52D98" w:rsidP="00E52D98">
      <w:pPr>
        <w:jc w:val="both"/>
        <w:rPr>
          <w:rFonts w:cs="Arial"/>
          <w:b/>
          <w:iCs/>
          <w:sz w:val="22"/>
          <w:szCs w:val="22"/>
        </w:rPr>
      </w:pPr>
      <w:r w:rsidRPr="00E52D98">
        <w:rPr>
          <w:rFonts w:cs="Arial"/>
          <w:b/>
          <w:iCs/>
          <w:sz w:val="22"/>
          <w:szCs w:val="22"/>
        </w:rPr>
        <w:t>Exceptional Circumstances</w:t>
      </w:r>
      <w:r w:rsidRPr="00E52D98">
        <w:rPr>
          <w:rFonts w:cs="Arial"/>
          <w:b/>
          <w:iCs/>
          <w:sz w:val="22"/>
          <w:szCs w:val="22"/>
        </w:rPr>
        <w:tab/>
      </w:r>
    </w:p>
    <w:p w:rsidR="00E52D98" w:rsidRPr="00E52D98" w:rsidRDefault="00E52D98" w:rsidP="00E52D98">
      <w:pPr>
        <w:jc w:val="both"/>
        <w:rPr>
          <w:rFonts w:cs="Arial"/>
          <w:iCs/>
          <w:sz w:val="22"/>
          <w:szCs w:val="22"/>
        </w:rPr>
      </w:pPr>
      <w:r w:rsidRPr="00E52D98">
        <w:rPr>
          <w:rFonts w:cs="Arial"/>
          <w:iCs/>
          <w:sz w:val="22"/>
          <w:szCs w:val="22"/>
        </w:rPr>
        <w:t>The criteria for choosing counterparties set out above provide a sound approach to investment in “normal” market circumstances. Whilst Members are asked to approve this base criteria above, under the exceptional current market conditions Director of Finance may temporarily restrict further investment activity to those counterparties considered of higher credit quality than the minimum criteria set out for approval. These restrictions will remain in place until the banking system returns to “normal” conditions.  Similarly, the time periods for investments will be restricted.</w:t>
      </w:r>
      <w:r w:rsidRPr="00E52D98">
        <w:rPr>
          <w:rFonts w:cs="Arial"/>
          <w:iCs/>
          <w:sz w:val="22"/>
          <w:szCs w:val="22"/>
        </w:rPr>
        <w:tab/>
      </w:r>
    </w:p>
    <w:p w:rsidR="00E52D98" w:rsidRPr="00E52D98" w:rsidRDefault="00E52D98" w:rsidP="00E52D98">
      <w:pPr>
        <w:jc w:val="both"/>
        <w:rPr>
          <w:rFonts w:cs="Arial"/>
          <w:iCs/>
          <w:sz w:val="22"/>
          <w:szCs w:val="22"/>
        </w:rPr>
      </w:pPr>
    </w:p>
    <w:p w:rsidR="00E52D98" w:rsidRPr="00E52D98" w:rsidRDefault="00E52D98" w:rsidP="00E52D98">
      <w:pPr>
        <w:jc w:val="both"/>
        <w:rPr>
          <w:rFonts w:cs="Arial"/>
          <w:iCs/>
          <w:sz w:val="22"/>
          <w:szCs w:val="22"/>
        </w:rPr>
      </w:pPr>
      <w:r w:rsidRPr="00E52D98">
        <w:rPr>
          <w:rFonts w:cs="Arial"/>
          <w:iCs/>
          <w:sz w:val="22"/>
          <w:szCs w:val="22"/>
        </w:rPr>
        <w:t>Examples of these restrictions would be the greater use of the Debt Management Deposit Account Facility (DMO) – a Government body which accepts local authority deposits, Money Market Funds, and strongly rated institutions. The credit criteria have been amended to reflect these facilities.</w:t>
      </w:r>
    </w:p>
    <w:p w:rsidR="00E52D98" w:rsidRPr="00E52D98" w:rsidRDefault="00E52D98" w:rsidP="00E52D98">
      <w:pPr>
        <w:jc w:val="both"/>
        <w:rPr>
          <w:rFonts w:cs="Arial"/>
          <w:i/>
          <w:iCs/>
          <w:sz w:val="22"/>
          <w:szCs w:val="22"/>
        </w:rPr>
      </w:pPr>
    </w:p>
    <w:p w:rsidR="00E52D98" w:rsidRDefault="00E52D98" w:rsidP="00E52D98">
      <w:pPr>
        <w:jc w:val="both"/>
        <w:rPr>
          <w:rFonts w:cs="Arial"/>
          <w:b/>
          <w:noProof/>
          <w:sz w:val="22"/>
          <w:szCs w:val="22"/>
        </w:rPr>
      </w:pPr>
      <w:r w:rsidRPr="00E52D98">
        <w:rPr>
          <w:rFonts w:cs="Arial"/>
          <w:b/>
          <w:iCs/>
          <w:sz w:val="22"/>
          <w:szCs w:val="22"/>
        </w:rPr>
        <w:t>3.5.4</w:t>
      </w:r>
      <w:r w:rsidRPr="00E52D98">
        <w:rPr>
          <w:rFonts w:cs="Arial"/>
          <w:b/>
          <w:iCs/>
          <w:sz w:val="22"/>
          <w:szCs w:val="22"/>
        </w:rPr>
        <w:tab/>
      </w:r>
      <w:r w:rsidRPr="00E52D98">
        <w:rPr>
          <w:rFonts w:cs="Arial"/>
          <w:b/>
          <w:noProof/>
          <w:sz w:val="22"/>
          <w:szCs w:val="22"/>
        </w:rPr>
        <w:t>Investment Strategy</w:t>
      </w:r>
    </w:p>
    <w:p w:rsidR="00E52D98" w:rsidRPr="00E52D98" w:rsidRDefault="00E52D98" w:rsidP="00E52D98">
      <w:pPr>
        <w:jc w:val="both"/>
        <w:rPr>
          <w:rFonts w:cs="Arial"/>
          <w:b/>
          <w:noProof/>
          <w:sz w:val="22"/>
          <w:szCs w:val="22"/>
        </w:rPr>
      </w:pPr>
    </w:p>
    <w:p w:rsidR="00E52D98" w:rsidRPr="00E52D98" w:rsidRDefault="00E52D98" w:rsidP="00E52D98">
      <w:pPr>
        <w:tabs>
          <w:tab w:val="left" w:pos="360"/>
        </w:tabs>
        <w:jc w:val="both"/>
        <w:rPr>
          <w:rFonts w:cs="Arial"/>
          <w:noProof/>
          <w:sz w:val="22"/>
          <w:szCs w:val="22"/>
        </w:rPr>
      </w:pPr>
      <w:r w:rsidRPr="00E52D98">
        <w:rPr>
          <w:rFonts w:cs="Arial"/>
          <w:b/>
          <w:noProof/>
          <w:sz w:val="22"/>
          <w:szCs w:val="22"/>
        </w:rPr>
        <w:t xml:space="preserve">In-House Funds </w:t>
      </w:r>
      <w:r w:rsidRPr="00E52D98">
        <w:rPr>
          <w:rFonts w:cs="Arial"/>
          <w:noProof/>
          <w:sz w:val="22"/>
          <w:szCs w:val="22"/>
        </w:rPr>
        <w:t>-</w:t>
      </w:r>
      <w:r w:rsidRPr="00E52D98">
        <w:rPr>
          <w:rFonts w:cs="Arial"/>
          <w:i/>
          <w:noProof/>
          <w:sz w:val="22"/>
          <w:szCs w:val="22"/>
        </w:rPr>
        <w:t xml:space="preserve"> </w:t>
      </w:r>
      <w:r w:rsidRPr="00E52D98">
        <w:rPr>
          <w:rFonts w:cs="Arial"/>
          <w:noProof/>
          <w:sz w:val="22"/>
          <w:szCs w:val="22"/>
        </w:rPr>
        <w:t xml:space="preserve">investments will be made with reference to the core balance and cashflow requirements and the outlook for short-term interest rates (i.e. rates for investments up to 12 months).   </w:t>
      </w:r>
    </w:p>
    <w:p w:rsidR="00E52D98" w:rsidRPr="00E52D98" w:rsidRDefault="00E52D98" w:rsidP="00E52D98">
      <w:pPr>
        <w:tabs>
          <w:tab w:val="left" w:pos="360"/>
        </w:tabs>
        <w:jc w:val="both"/>
        <w:rPr>
          <w:rFonts w:cs="Arial"/>
          <w:noProof/>
          <w:sz w:val="22"/>
          <w:szCs w:val="22"/>
        </w:rPr>
      </w:pPr>
    </w:p>
    <w:p w:rsidR="00E52D98" w:rsidRPr="00E52D98" w:rsidRDefault="00E52D98" w:rsidP="00E52D98">
      <w:pPr>
        <w:tabs>
          <w:tab w:val="left" w:pos="360"/>
        </w:tabs>
        <w:jc w:val="both"/>
        <w:rPr>
          <w:rFonts w:cs="Arial"/>
          <w:b/>
          <w:noProof/>
          <w:sz w:val="22"/>
          <w:szCs w:val="22"/>
        </w:rPr>
      </w:pPr>
      <w:r w:rsidRPr="00E52D98">
        <w:rPr>
          <w:rFonts w:cs="Arial"/>
          <w:b/>
          <w:noProof/>
          <w:sz w:val="22"/>
          <w:szCs w:val="22"/>
        </w:rPr>
        <w:t xml:space="preserve">Investment Returns Expectations: </w:t>
      </w:r>
    </w:p>
    <w:p w:rsidR="00E52D98" w:rsidRPr="00E52D98" w:rsidRDefault="00E52D98" w:rsidP="00E52D98">
      <w:pPr>
        <w:autoSpaceDE w:val="0"/>
        <w:autoSpaceDN w:val="0"/>
        <w:adjustRightInd w:val="0"/>
        <w:jc w:val="both"/>
        <w:rPr>
          <w:rFonts w:cs="Arial"/>
          <w:sz w:val="22"/>
          <w:szCs w:val="22"/>
          <w:lang w:eastAsia="en-GB"/>
        </w:rPr>
      </w:pPr>
      <w:r w:rsidRPr="00E52D98">
        <w:rPr>
          <w:rFonts w:cs="Arial"/>
          <w:sz w:val="22"/>
          <w:szCs w:val="22"/>
          <w:lang w:eastAsia="en-GB"/>
        </w:rPr>
        <w:t>Bank rate is forecast to remain unchanged at 0.25% before starting to rise from quarter 2 of 2019/20. Bank rate forecasts for financial year ends (March) are:</w:t>
      </w:r>
    </w:p>
    <w:p w:rsidR="00E52D98" w:rsidRPr="00E52D98" w:rsidRDefault="00E52D98" w:rsidP="00E52D98">
      <w:pPr>
        <w:autoSpaceDE w:val="0"/>
        <w:autoSpaceDN w:val="0"/>
        <w:adjustRightInd w:val="0"/>
        <w:jc w:val="both"/>
        <w:rPr>
          <w:rFonts w:cs="Arial"/>
          <w:sz w:val="22"/>
          <w:szCs w:val="22"/>
          <w:lang w:eastAsia="en-GB"/>
        </w:rPr>
      </w:pPr>
    </w:p>
    <w:p w:rsidR="00E52D98" w:rsidRPr="00E52D98" w:rsidRDefault="00E52D98" w:rsidP="00E52D98">
      <w:pPr>
        <w:autoSpaceDE w:val="0"/>
        <w:autoSpaceDN w:val="0"/>
        <w:adjustRightInd w:val="0"/>
        <w:ind w:firstLine="720"/>
        <w:jc w:val="both"/>
        <w:rPr>
          <w:rFonts w:cs="Arial"/>
          <w:sz w:val="22"/>
          <w:szCs w:val="22"/>
          <w:lang w:eastAsia="en-GB"/>
        </w:rPr>
      </w:pPr>
      <w:r w:rsidRPr="00E52D98">
        <w:rPr>
          <w:rFonts w:cs="Arial"/>
          <w:sz w:val="22"/>
          <w:szCs w:val="22"/>
          <w:lang w:eastAsia="en-GB"/>
        </w:rPr>
        <w:t xml:space="preserve">2017/18 </w:t>
      </w:r>
      <w:r w:rsidRPr="00E52D98">
        <w:rPr>
          <w:rFonts w:cs="Arial"/>
          <w:sz w:val="22"/>
          <w:szCs w:val="22"/>
          <w:lang w:eastAsia="en-GB"/>
        </w:rPr>
        <w:tab/>
        <w:t>0.25%</w:t>
      </w:r>
    </w:p>
    <w:p w:rsidR="00E52D98" w:rsidRPr="00E52D98" w:rsidRDefault="00E52D98" w:rsidP="00E52D98">
      <w:pPr>
        <w:autoSpaceDE w:val="0"/>
        <w:autoSpaceDN w:val="0"/>
        <w:adjustRightInd w:val="0"/>
        <w:ind w:firstLine="720"/>
        <w:jc w:val="both"/>
        <w:rPr>
          <w:rFonts w:cs="Arial"/>
          <w:sz w:val="22"/>
          <w:szCs w:val="22"/>
          <w:lang w:eastAsia="en-GB"/>
        </w:rPr>
      </w:pPr>
      <w:r w:rsidRPr="00E52D98">
        <w:rPr>
          <w:rFonts w:cs="Arial"/>
          <w:sz w:val="22"/>
          <w:szCs w:val="22"/>
          <w:lang w:eastAsia="en-GB"/>
        </w:rPr>
        <w:t xml:space="preserve">2018/19 </w:t>
      </w:r>
      <w:r w:rsidRPr="00E52D98">
        <w:rPr>
          <w:rFonts w:cs="Arial"/>
          <w:sz w:val="22"/>
          <w:szCs w:val="22"/>
          <w:lang w:eastAsia="en-GB"/>
        </w:rPr>
        <w:tab/>
        <w:t>0.25%</w:t>
      </w:r>
    </w:p>
    <w:p w:rsidR="00E52D98" w:rsidRPr="00E52D98" w:rsidRDefault="00E52D98" w:rsidP="00E52D98">
      <w:pPr>
        <w:autoSpaceDE w:val="0"/>
        <w:autoSpaceDN w:val="0"/>
        <w:adjustRightInd w:val="0"/>
        <w:ind w:firstLine="720"/>
        <w:jc w:val="both"/>
        <w:rPr>
          <w:rFonts w:cs="Arial"/>
          <w:sz w:val="22"/>
          <w:szCs w:val="22"/>
          <w:lang w:eastAsia="en-GB"/>
        </w:rPr>
      </w:pPr>
      <w:r w:rsidRPr="00E52D98">
        <w:rPr>
          <w:rFonts w:cs="Arial"/>
          <w:sz w:val="22"/>
          <w:szCs w:val="22"/>
          <w:lang w:eastAsia="en-GB"/>
        </w:rPr>
        <w:t>2019/20</w:t>
      </w:r>
      <w:r w:rsidRPr="00E52D98">
        <w:rPr>
          <w:rFonts w:cs="Arial"/>
          <w:sz w:val="22"/>
          <w:szCs w:val="22"/>
          <w:lang w:eastAsia="en-GB"/>
        </w:rPr>
        <w:tab/>
        <w:t>0.50%</w:t>
      </w:r>
    </w:p>
    <w:p w:rsidR="00E52D98" w:rsidRPr="00E52D98" w:rsidRDefault="00E52D98" w:rsidP="008429A2">
      <w:pPr>
        <w:ind w:firstLine="720"/>
        <w:jc w:val="both"/>
        <w:rPr>
          <w:rFonts w:cs="Arial"/>
          <w:b/>
          <w:noProof/>
          <w:sz w:val="22"/>
          <w:szCs w:val="22"/>
        </w:rPr>
      </w:pPr>
      <w:r w:rsidRPr="00E52D98">
        <w:rPr>
          <w:rFonts w:cs="Arial"/>
          <w:sz w:val="22"/>
          <w:szCs w:val="22"/>
          <w:lang w:eastAsia="en-GB"/>
        </w:rPr>
        <w:t>2020/21</w:t>
      </w:r>
      <w:r w:rsidRPr="00E52D98">
        <w:rPr>
          <w:rFonts w:cs="Arial"/>
          <w:sz w:val="22"/>
          <w:szCs w:val="22"/>
          <w:lang w:eastAsia="en-GB"/>
        </w:rPr>
        <w:tab/>
        <w:t>0.75%</w:t>
      </w:r>
    </w:p>
    <w:p w:rsidR="00E52D98" w:rsidRPr="00E52D98" w:rsidRDefault="00E52D98" w:rsidP="00E52D98">
      <w:pPr>
        <w:jc w:val="both"/>
        <w:rPr>
          <w:rFonts w:cs="Arial"/>
          <w:noProof/>
          <w:color w:val="0000FF"/>
          <w:sz w:val="22"/>
          <w:szCs w:val="22"/>
        </w:rPr>
      </w:pPr>
    </w:p>
    <w:p w:rsidR="00E52D98" w:rsidRPr="00E52D98" w:rsidRDefault="00E52D98" w:rsidP="00E52D98">
      <w:pPr>
        <w:jc w:val="both"/>
        <w:rPr>
          <w:rFonts w:cs="Arial"/>
          <w:noProof/>
          <w:sz w:val="22"/>
          <w:szCs w:val="22"/>
        </w:rPr>
      </w:pPr>
      <w:r w:rsidRPr="00E52D98">
        <w:rPr>
          <w:rFonts w:cs="Arial"/>
          <w:b/>
          <w:noProof/>
          <w:sz w:val="22"/>
          <w:szCs w:val="22"/>
        </w:rPr>
        <w:t>Investment Treasury Indicator and Limit</w:t>
      </w:r>
      <w:r w:rsidRPr="00E52D98">
        <w:rPr>
          <w:rFonts w:cs="Arial"/>
          <w:noProof/>
          <w:sz w:val="22"/>
          <w:szCs w:val="22"/>
        </w:rPr>
        <w:t xml:space="preserve"> - total principal funds invested for greater than one year. These limits are set with regard to the Council’s liquidity requirements and to reduce the need for early sale of an investment, and are based on the availability of funds after each year-end.</w:t>
      </w:r>
    </w:p>
    <w:p w:rsidR="00E52D98" w:rsidRPr="00E52D98" w:rsidRDefault="00E52D98" w:rsidP="00E52D98">
      <w:pPr>
        <w:jc w:val="both"/>
        <w:rPr>
          <w:rFonts w:cs="Arial"/>
          <w:noProof/>
          <w:color w:val="0000FF"/>
          <w:sz w:val="22"/>
          <w:szCs w:val="22"/>
          <w:highlight w:val="yellow"/>
        </w:rPr>
      </w:pPr>
    </w:p>
    <w:tbl>
      <w:tblPr>
        <w:tblW w:w="840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3"/>
        <w:gridCol w:w="1701"/>
        <w:gridCol w:w="1624"/>
        <w:gridCol w:w="1636"/>
      </w:tblGrid>
      <w:tr w:rsidR="00E52D98" w:rsidRPr="00E52D98" w:rsidTr="00E52D98">
        <w:trPr>
          <w:cantSplit/>
          <w:trHeight w:val="612"/>
          <w:jc w:val="center"/>
        </w:trPr>
        <w:tc>
          <w:tcPr>
            <w:tcW w:w="3443" w:type="dxa"/>
            <w:shd w:val="clear" w:color="auto" w:fill="C0C0C0"/>
            <w:vAlign w:val="center"/>
          </w:tcPr>
          <w:p w:rsidR="00E52D98" w:rsidRPr="00E52D98" w:rsidRDefault="00E52D98" w:rsidP="00E52D98">
            <w:pPr>
              <w:jc w:val="both"/>
              <w:rPr>
                <w:rFonts w:cs="Arial"/>
                <w:b/>
                <w:bCs/>
                <w:sz w:val="22"/>
                <w:szCs w:val="22"/>
              </w:rPr>
            </w:pPr>
            <w:r w:rsidRPr="00E52D98">
              <w:rPr>
                <w:rFonts w:cs="Arial"/>
                <w:b/>
                <w:sz w:val="22"/>
                <w:szCs w:val="22"/>
              </w:rPr>
              <w:t>Treasury Indicator &amp; Limit</w:t>
            </w:r>
          </w:p>
        </w:tc>
        <w:tc>
          <w:tcPr>
            <w:tcW w:w="1701" w:type="dxa"/>
            <w:shd w:val="clear" w:color="auto" w:fill="C0C0C0"/>
            <w:vAlign w:val="center"/>
          </w:tcPr>
          <w:p w:rsidR="00E52D98" w:rsidRPr="00E52D98" w:rsidRDefault="00E52D98" w:rsidP="008429A2">
            <w:pPr>
              <w:jc w:val="center"/>
              <w:rPr>
                <w:rFonts w:cs="Arial"/>
                <w:b/>
                <w:bCs/>
                <w:sz w:val="22"/>
                <w:szCs w:val="22"/>
              </w:rPr>
            </w:pPr>
            <w:r w:rsidRPr="00E52D98">
              <w:rPr>
                <w:rFonts w:cs="Arial"/>
                <w:b/>
                <w:bCs/>
                <w:sz w:val="22"/>
                <w:szCs w:val="22"/>
              </w:rPr>
              <w:t>2016/17</w:t>
            </w:r>
          </w:p>
        </w:tc>
        <w:tc>
          <w:tcPr>
            <w:tcW w:w="1624" w:type="dxa"/>
            <w:shd w:val="clear" w:color="auto" w:fill="C0C0C0"/>
            <w:vAlign w:val="center"/>
          </w:tcPr>
          <w:p w:rsidR="00E52D98" w:rsidRPr="00E52D98" w:rsidRDefault="00E52D98" w:rsidP="008429A2">
            <w:pPr>
              <w:jc w:val="center"/>
              <w:rPr>
                <w:rFonts w:cs="Arial"/>
                <w:b/>
                <w:bCs/>
                <w:sz w:val="22"/>
                <w:szCs w:val="22"/>
              </w:rPr>
            </w:pPr>
            <w:r w:rsidRPr="00E52D98">
              <w:rPr>
                <w:rFonts w:cs="Arial"/>
                <w:b/>
                <w:bCs/>
                <w:sz w:val="22"/>
                <w:szCs w:val="22"/>
              </w:rPr>
              <w:t>2017/18</w:t>
            </w:r>
          </w:p>
        </w:tc>
        <w:tc>
          <w:tcPr>
            <w:tcW w:w="1636" w:type="dxa"/>
            <w:shd w:val="clear" w:color="auto" w:fill="C0C0C0"/>
            <w:vAlign w:val="center"/>
          </w:tcPr>
          <w:p w:rsidR="00E52D98" w:rsidRPr="00E52D98" w:rsidRDefault="00E52D98" w:rsidP="008429A2">
            <w:pPr>
              <w:jc w:val="center"/>
              <w:rPr>
                <w:rFonts w:cs="Arial"/>
                <w:b/>
                <w:bCs/>
                <w:sz w:val="22"/>
                <w:szCs w:val="22"/>
              </w:rPr>
            </w:pPr>
            <w:r w:rsidRPr="00E52D98">
              <w:rPr>
                <w:rFonts w:cs="Arial"/>
                <w:b/>
                <w:bCs/>
                <w:sz w:val="22"/>
                <w:szCs w:val="22"/>
              </w:rPr>
              <w:t>2018/19</w:t>
            </w:r>
          </w:p>
        </w:tc>
      </w:tr>
      <w:tr w:rsidR="00E52D98" w:rsidRPr="00E52D98" w:rsidTr="00E52D98">
        <w:trPr>
          <w:trHeight w:val="716"/>
          <w:jc w:val="center"/>
        </w:trPr>
        <w:tc>
          <w:tcPr>
            <w:tcW w:w="3443" w:type="dxa"/>
            <w:vAlign w:val="center"/>
          </w:tcPr>
          <w:p w:rsidR="00E52D98" w:rsidRPr="00E52D98" w:rsidRDefault="00E52D98" w:rsidP="00E52D98">
            <w:pPr>
              <w:jc w:val="both"/>
              <w:rPr>
                <w:rFonts w:cs="Arial"/>
                <w:bCs/>
                <w:sz w:val="22"/>
                <w:szCs w:val="22"/>
                <w:highlight w:val="yellow"/>
              </w:rPr>
            </w:pPr>
            <w:r w:rsidRPr="00E52D98">
              <w:rPr>
                <w:rFonts w:cs="Arial"/>
                <w:bCs/>
                <w:sz w:val="22"/>
                <w:szCs w:val="22"/>
              </w:rPr>
              <w:t xml:space="preserve">Maximum Principal Sums invested </w:t>
            </w:r>
            <w:r w:rsidRPr="00E52D98">
              <w:rPr>
                <w:rFonts w:cs="Arial"/>
                <w:noProof/>
                <w:sz w:val="22"/>
                <w:szCs w:val="22"/>
              </w:rPr>
              <w:t>for greater than one year</w:t>
            </w:r>
          </w:p>
        </w:tc>
        <w:tc>
          <w:tcPr>
            <w:tcW w:w="1701" w:type="dxa"/>
            <w:shd w:val="clear" w:color="auto" w:fill="auto"/>
            <w:vAlign w:val="center"/>
          </w:tcPr>
          <w:p w:rsidR="00E52D98" w:rsidRPr="00E52D98" w:rsidRDefault="00E52D98" w:rsidP="008429A2">
            <w:pPr>
              <w:jc w:val="center"/>
              <w:rPr>
                <w:rFonts w:cs="Arial"/>
                <w:sz w:val="22"/>
                <w:szCs w:val="22"/>
              </w:rPr>
            </w:pPr>
            <w:r w:rsidRPr="00E52D98">
              <w:rPr>
                <w:rFonts w:cs="Arial"/>
                <w:sz w:val="22"/>
                <w:szCs w:val="22"/>
              </w:rPr>
              <w:t>£10m</w:t>
            </w:r>
          </w:p>
        </w:tc>
        <w:tc>
          <w:tcPr>
            <w:tcW w:w="1624" w:type="dxa"/>
            <w:shd w:val="clear" w:color="auto" w:fill="auto"/>
            <w:vAlign w:val="center"/>
          </w:tcPr>
          <w:p w:rsidR="00E52D98" w:rsidRPr="00E52D98" w:rsidRDefault="00E52D98" w:rsidP="008429A2">
            <w:pPr>
              <w:jc w:val="center"/>
              <w:rPr>
                <w:rFonts w:cs="Arial"/>
                <w:sz w:val="22"/>
                <w:szCs w:val="22"/>
              </w:rPr>
            </w:pPr>
            <w:r w:rsidRPr="00E52D98">
              <w:rPr>
                <w:rFonts w:cs="Arial"/>
                <w:sz w:val="22"/>
                <w:szCs w:val="22"/>
              </w:rPr>
              <w:t>£10m</w:t>
            </w:r>
          </w:p>
        </w:tc>
        <w:tc>
          <w:tcPr>
            <w:tcW w:w="1636" w:type="dxa"/>
            <w:shd w:val="clear" w:color="auto" w:fill="auto"/>
            <w:vAlign w:val="center"/>
          </w:tcPr>
          <w:p w:rsidR="00E52D98" w:rsidRPr="00E52D98" w:rsidRDefault="00E52D98" w:rsidP="008429A2">
            <w:pPr>
              <w:jc w:val="center"/>
              <w:rPr>
                <w:rFonts w:cs="Arial"/>
                <w:sz w:val="22"/>
                <w:szCs w:val="22"/>
              </w:rPr>
            </w:pPr>
            <w:r w:rsidRPr="00E52D98">
              <w:rPr>
                <w:rFonts w:cs="Arial"/>
                <w:sz w:val="22"/>
                <w:szCs w:val="22"/>
              </w:rPr>
              <w:t>£10m</w:t>
            </w:r>
          </w:p>
        </w:tc>
      </w:tr>
    </w:tbl>
    <w:p w:rsidR="00E52D98" w:rsidRPr="00E52D98" w:rsidRDefault="00E52D98" w:rsidP="00E52D98">
      <w:pPr>
        <w:jc w:val="both"/>
        <w:rPr>
          <w:rFonts w:cs="Arial"/>
          <w:b/>
          <w:sz w:val="22"/>
          <w:szCs w:val="22"/>
        </w:rPr>
      </w:pPr>
    </w:p>
    <w:p w:rsidR="00E52D98" w:rsidRPr="00E52D98" w:rsidRDefault="00E52D98" w:rsidP="00E52D98">
      <w:pPr>
        <w:jc w:val="both"/>
        <w:rPr>
          <w:rFonts w:cs="Arial"/>
          <w:b/>
          <w:sz w:val="22"/>
          <w:szCs w:val="22"/>
        </w:rPr>
      </w:pPr>
      <w:r w:rsidRPr="00E52D98">
        <w:rPr>
          <w:rFonts w:cs="Arial"/>
          <w:b/>
          <w:sz w:val="22"/>
          <w:szCs w:val="22"/>
        </w:rPr>
        <w:t>3.5.5</w:t>
      </w:r>
      <w:r w:rsidRPr="00E52D98">
        <w:rPr>
          <w:rFonts w:cs="Arial"/>
          <w:b/>
          <w:sz w:val="22"/>
          <w:szCs w:val="22"/>
        </w:rPr>
        <w:tab/>
        <w:t xml:space="preserve">Investment Risk &amp; Security Benchmarking </w:t>
      </w:r>
    </w:p>
    <w:p w:rsidR="00E52D98" w:rsidRPr="00E52D98" w:rsidRDefault="00E52D98" w:rsidP="00E52D98">
      <w:pPr>
        <w:jc w:val="both"/>
        <w:rPr>
          <w:rFonts w:cs="Arial"/>
          <w:iCs/>
          <w:sz w:val="22"/>
          <w:szCs w:val="22"/>
        </w:rPr>
      </w:pPr>
      <w:r w:rsidRPr="00E52D98">
        <w:rPr>
          <w:rFonts w:cs="Arial"/>
          <w:iCs/>
          <w:sz w:val="22"/>
          <w:szCs w:val="22"/>
        </w:rPr>
        <w:t xml:space="preserve">These benchmarks are simple guides to maximum risk and so may be breached from time to time, depending on movements in interest rates and counterparty criteria.  The purpose of the benchmarks is that officers will monitor the current and trend position and amend the operational strategy to manage risk as conditions change.  Any breach of the benchmarks will be reported, with supporting reasons in the Mid-Year or Annual Report. </w:t>
      </w:r>
      <w:r w:rsidRPr="00E52D98">
        <w:rPr>
          <w:sz w:val="22"/>
          <w:szCs w:val="22"/>
        </w:rPr>
        <w:t>In line with the Treasury Management Strategy, the Council has managed to invest with those institutions who offered the best rate and the investment portfolio is above the overall benchmark during the year to date.</w:t>
      </w:r>
    </w:p>
    <w:p w:rsidR="00E52D98" w:rsidRPr="00E52D98" w:rsidRDefault="00E52D98" w:rsidP="00E52D98">
      <w:pPr>
        <w:jc w:val="both"/>
        <w:rPr>
          <w:rFonts w:cs="Arial"/>
          <w:b/>
          <w:sz w:val="22"/>
          <w:szCs w:val="22"/>
        </w:rPr>
      </w:pPr>
    </w:p>
    <w:p w:rsidR="00E52D98" w:rsidRPr="00E52D98" w:rsidRDefault="00E52D98" w:rsidP="00E52D98">
      <w:pPr>
        <w:jc w:val="both"/>
        <w:rPr>
          <w:rFonts w:cs="Arial"/>
          <w:sz w:val="22"/>
        </w:rPr>
      </w:pPr>
      <w:r w:rsidRPr="00E52D98">
        <w:rPr>
          <w:rFonts w:cs="Arial"/>
          <w:b/>
          <w:sz w:val="22"/>
          <w:szCs w:val="22"/>
        </w:rPr>
        <w:lastRenderedPageBreak/>
        <w:t xml:space="preserve">Security </w:t>
      </w:r>
    </w:p>
    <w:p w:rsidR="00E52D98" w:rsidRPr="00E52D98" w:rsidRDefault="00E52D98" w:rsidP="00E52D98">
      <w:pPr>
        <w:jc w:val="both"/>
        <w:rPr>
          <w:rFonts w:cs="Arial"/>
          <w:color w:val="FF0000"/>
          <w:sz w:val="22"/>
          <w:szCs w:val="22"/>
        </w:rPr>
      </w:pPr>
      <w:r w:rsidRPr="00E52D98">
        <w:rPr>
          <w:rFonts w:cs="Arial"/>
          <w:iCs/>
          <w:sz w:val="22"/>
          <w:szCs w:val="22"/>
        </w:rPr>
        <w:t xml:space="preserve">Security of the investments is measured by credit ratings, which is supplied by the three main credit rating agencies (Fitch, </w:t>
      </w:r>
      <w:proofErr w:type="spellStart"/>
      <w:r w:rsidRPr="00E52D98">
        <w:rPr>
          <w:rFonts w:cs="Arial"/>
          <w:iCs/>
          <w:sz w:val="22"/>
          <w:szCs w:val="22"/>
        </w:rPr>
        <w:t>Moodys</w:t>
      </w:r>
      <w:proofErr w:type="spellEnd"/>
      <w:r w:rsidRPr="00E52D98">
        <w:rPr>
          <w:rFonts w:cs="Arial"/>
          <w:iCs/>
          <w:sz w:val="22"/>
          <w:szCs w:val="22"/>
        </w:rPr>
        <w:t xml:space="preserve"> and Standard &amp; </w:t>
      </w:r>
      <w:proofErr w:type="spellStart"/>
      <w:r w:rsidRPr="00E52D98">
        <w:rPr>
          <w:rFonts w:cs="Arial"/>
          <w:iCs/>
          <w:sz w:val="22"/>
          <w:szCs w:val="22"/>
        </w:rPr>
        <w:t>Poors</w:t>
      </w:r>
      <w:proofErr w:type="spellEnd"/>
      <w:r w:rsidRPr="00E52D98">
        <w:rPr>
          <w:rFonts w:cs="Arial"/>
          <w:iCs/>
          <w:sz w:val="22"/>
          <w:szCs w:val="22"/>
        </w:rPr>
        <w:t xml:space="preserve">). </w:t>
      </w:r>
    </w:p>
    <w:p w:rsidR="00E52D98" w:rsidRPr="00E52D98" w:rsidRDefault="00E52D98" w:rsidP="00E52D98">
      <w:pPr>
        <w:autoSpaceDE w:val="0"/>
        <w:autoSpaceDN w:val="0"/>
        <w:adjustRightInd w:val="0"/>
        <w:jc w:val="both"/>
        <w:rPr>
          <w:rFonts w:cs="Arial"/>
          <w:b/>
          <w:sz w:val="22"/>
          <w:szCs w:val="22"/>
        </w:rPr>
      </w:pPr>
    </w:p>
    <w:p w:rsidR="00E52D98" w:rsidRPr="00E52D98" w:rsidRDefault="00E52D98" w:rsidP="00E52D98">
      <w:pPr>
        <w:autoSpaceDE w:val="0"/>
        <w:autoSpaceDN w:val="0"/>
        <w:adjustRightInd w:val="0"/>
        <w:jc w:val="both"/>
        <w:rPr>
          <w:rFonts w:cs="Arial"/>
          <w:b/>
          <w:sz w:val="22"/>
          <w:szCs w:val="22"/>
        </w:rPr>
      </w:pPr>
      <w:r w:rsidRPr="00E52D98">
        <w:rPr>
          <w:rFonts w:cs="Arial"/>
          <w:b/>
          <w:sz w:val="22"/>
          <w:szCs w:val="22"/>
        </w:rPr>
        <w:t>Liquidity</w:t>
      </w:r>
    </w:p>
    <w:p w:rsidR="00E52D98" w:rsidRPr="00E52D98" w:rsidRDefault="008429A2" w:rsidP="00E52D98">
      <w:pPr>
        <w:tabs>
          <w:tab w:val="num" w:pos="709"/>
        </w:tabs>
        <w:ind w:hanging="1267"/>
        <w:jc w:val="both"/>
        <w:rPr>
          <w:sz w:val="22"/>
          <w:szCs w:val="22"/>
        </w:rPr>
      </w:pPr>
      <w:r>
        <w:rPr>
          <w:sz w:val="22"/>
          <w:szCs w:val="22"/>
        </w:rPr>
        <w:tab/>
      </w:r>
      <w:r w:rsidR="00E52D98" w:rsidRPr="00E52D98">
        <w:rPr>
          <w:sz w:val="22"/>
          <w:szCs w:val="22"/>
        </w:rPr>
        <w:t>The Council set liquidity facilities/benchmarks to maintain:</w:t>
      </w:r>
    </w:p>
    <w:p w:rsidR="00E52D98" w:rsidRPr="00E52D98" w:rsidRDefault="00E52D98" w:rsidP="00E52D98">
      <w:pPr>
        <w:tabs>
          <w:tab w:val="num" w:pos="709"/>
        </w:tabs>
        <w:ind w:hanging="1267"/>
        <w:jc w:val="both"/>
        <w:rPr>
          <w:iCs/>
          <w:sz w:val="22"/>
          <w:szCs w:val="22"/>
        </w:rPr>
      </w:pPr>
    </w:p>
    <w:p w:rsidR="00E52D98" w:rsidRPr="00E52D98" w:rsidRDefault="00E52D98" w:rsidP="008429A2">
      <w:pPr>
        <w:numPr>
          <w:ilvl w:val="0"/>
          <w:numId w:val="10"/>
        </w:numPr>
        <w:tabs>
          <w:tab w:val="num" w:pos="1440"/>
        </w:tabs>
        <w:ind w:left="0"/>
        <w:jc w:val="both"/>
        <w:rPr>
          <w:rFonts w:cs="Arial"/>
          <w:iCs/>
          <w:sz w:val="22"/>
          <w:szCs w:val="22"/>
        </w:rPr>
      </w:pPr>
      <w:r w:rsidRPr="00E52D98">
        <w:rPr>
          <w:rFonts w:cs="Arial"/>
          <w:iCs/>
          <w:sz w:val="22"/>
          <w:szCs w:val="22"/>
        </w:rPr>
        <w:t>Authorised bank overdraft - nil.</w:t>
      </w:r>
    </w:p>
    <w:p w:rsidR="00E52D98" w:rsidRPr="00E52D98" w:rsidRDefault="00E52D98" w:rsidP="008429A2">
      <w:pPr>
        <w:numPr>
          <w:ilvl w:val="0"/>
          <w:numId w:val="10"/>
        </w:numPr>
        <w:tabs>
          <w:tab w:val="num" w:pos="1440"/>
        </w:tabs>
        <w:ind w:left="0"/>
        <w:jc w:val="both"/>
        <w:rPr>
          <w:rFonts w:cs="Arial"/>
          <w:iCs/>
          <w:sz w:val="22"/>
          <w:szCs w:val="22"/>
        </w:rPr>
      </w:pPr>
      <w:r w:rsidRPr="00E52D98">
        <w:rPr>
          <w:rFonts w:cs="Arial"/>
          <w:iCs/>
          <w:sz w:val="22"/>
          <w:szCs w:val="22"/>
        </w:rPr>
        <w:t>Liquid short term deposits of at least £5m available with a week’s notice.</w:t>
      </w:r>
    </w:p>
    <w:p w:rsidR="00E52D98" w:rsidRPr="00E52D98" w:rsidRDefault="00E52D98" w:rsidP="008429A2">
      <w:pPr>
        <w:numPr>
          <w:ilvl w:val="0"/>
          <w:numId w:val="10"/>
        </w:numPr>
        <w:tabs>
          <w:tab w:val="num" w:pos="1440"/>
        </w:tabs>
        <w:ind w:left="0"/>
        <w:jc w:val="both"/>
        <w:rPr>
          <w:rFonts w:cs="Arial"/>
          <w:iCs/>
          <w:sz w:val="22"/>
          <w:szCs w:val="22"/>
        </w:rPr>
      </w:pPr>
      <w:r w:rsidRPr="00E52D98">
        <w:rPr>
          <w:rFonts w:cs="Arial"/>
          <w:iCs/>
          <w:sz w:val="22"/>
          <w:szCs w:val="22"/>
        </w:rPr>
        <w:t xml:space="preserve">Weighted Average Life benchmark is expected to be 0.5 years, with a maximum of 10 years for an individual loan with a public body. </w:t>
      </w:r>
    </w:p>
    <w:p w:rsidR="00E52D98" w:rsidRPr="00E52D98" w:rsidRDefault="00E52D98" w:rsidP="00E52D98">
      <w:pPr>
        <w:jc w:val="both"/>
        <w:rPr>
          <w:rFonts w:cs="Arial"/>
          <w:sz w:val="22"/>
          <w:szCs w:val="22"/>
        </w:rPr>
      </w:pPr>
    </w:p>
    <w:p w:rsidR="00E52D98" w:rsidRPr="00E52D98" w:rsidRDefault="00E52D98" w:rsidP="00E52D98">
      <w:pPr>
        <w:jc w:val="both"/>
        <w:rPr>
          <w:rFonts w:cs="Arial"/>
          <w:b/>
          <w:sz w:val="22"/>
          <w:szCs w:val="22"/>
        </w:rPr>
      </w:pPr>
      <w:r w:rsidRPr="00E52D98">
        <w:rPr>
          <w:rFonts w:cs="Arial"/>
          <w:sz w:val="22"/>
          <w:szCs w:val="22"/>
        </w:rPr>
        <w:t xml:space="preserve">The Council has the benefit of instant access to its funds on the general account with Lloyds. </w:t>
      </w:r>
    </w:p>
    <w:p w:rsidR="00E52D98" w:rsidRPr="00E52D98" w:rsidRDefault="00E52D98" w:rsidP="00E52D98">
      <w:pPr>
        <w:tabs>
          <w:tab w:val="left" w:pos="5812"/>
        </w:tabs>
        <w:autoSpaceDE w:val="0"/>
        <w:autoSpaceDN w:val="0"/>
        <w:adjustRightInd w:val="0"/>
        <w:jc w:val="both"/>
        <w:rPr>
          <w:b/>
          <w:sz w:val="22"/>
          <w:szCs w:val="22"/>
        </w:rPr>
      </w:pPr>
    </w:p>
    <w:p w:rsidR="00E52D98" w:rsidRPr="00E52D98" w:rsidRDefault="00E52D98" w:rsidP="00E52D98">
      <w:pPr>
        <w:tabs>
          <w:tab w:val="left" w:pos="5812"/>
        </w:tabs>
        <w:autoSpaceDE w:val="0"/>
        <w:autoSpaceDN w:val="0"/>
        <w:adjustRightInd w:val="0"/>
        <w:jc w:val="both"/>
        <w:rPr>
          <w:sz w:val="22"/>
          <w:szCs w:val="22"/>
        </w:rPr>
      </w:pPr>
      <w:r w:rsidRPr="00E52D98">
        <w:rPr>
          <w:b/>
          <w:sz w:val="22"/>
          <w:szCs w:val="22"/>
        </w:rPr>
        <w:t>Yield</w:t>
      </w:r>
      <w:r w:rsidRPr="00E52D98">
        <w:rPr>
          <w:sz w:val="22"/>
          <w:szCs w:val="22"/>
        </w:rPr>
        <w:t xml:space="preserve"> </w:t>
      </w:r>
    </w:p>
    <w:p w:rsidR="00E52D98" w:rsidRPr="00E52D98" w:rsidRDefault="00E52D98" w:rsidP="00E52D98">
      <w:pPr>
        <w:tabs>
          <w:tab w:val="left" w:pos="5812"/>
        </w:tabs>
        <w:autoSpaceDE w:val="0"/>
        <w:autoSpaceDN w:val="0"/>
        <w:adjustRightInd w:val="0"/>
        <w:jc w:val="both"/>
        <w:rPr>
          <w:color w:val="000000"/>
          <w:sz w:val="22"/>
          <w:szCs w:val="22"/>
        </w:rPr>
      </w:pPr>
      <w:r w:rsidRPr="00E52D98">
        <w:rPr>
          <w:color w:val="000000"/>
          <w:sz w:val="22"/>
          <w:szCs w:val="22"/>
        </w:rPr>
        <w:t xml:space="preserve">The measure of yield on Investments is a return of 0.12% above average bank rate. In accordance with the Code of Practice on Treasury Management which is used as a performance indicator. The results of this indicator for 2015/16 will be reported in the Treasury Annual Report. </w:t>
      </w:r>
    </w:p>
    <w:p w:rsidR="00E52D98" w:rsidRPr="00E52D98" w:rsidRDefault="00E52D98" w:rsidP="00E52D98">
      <w:pPr>
        <w:widowControl w:val="0"/>
        <w:tabs>
          <w:tab w:val="num" w:pos="675"/>
        </w:tabs>
        <w:jc w:val="both"/>
        <w:rPr>
          <w:rFonts w:cs="Arial"/>
          <w:color w:val="0000FF"/>
          <w:sz w:val="22"/>
          <w:szCs w:val="22"/>
        </w:rPr>
      </w:pPr>
    </w:p>
    <w:p w:rsidR="00E52D98" w:rsidRPr="00E52D98" w:rsidRDefault="00BC6207" w:rsidP="00E52D98">
      <w:pPr>
        <w:widowControl w:val="0"/>
        <w:tabs>
          <w:tab w:val="num" w:pos="675"/>
        </w:tabs>
        <w:ind w:hanging="180"/>
        <w:jc w:val="both"/>
        <w:rPr>
          <w:rFonts w:cs="Arial"/>
          <w:b/>
          <w:noProof/>
          <w:sz w:val="22"/>
          <w:szCs w:val="22"/>
        </w:rPr>
      </w:pPr>
      <w:r>
        <w:rPr>
          <w:rFonts w:cs="Arial"/>
          <w:b/>
          <w:noProof/>
          <w:sz w:val="22"/>
          <w:szCs w:val="22"/>
        </w:rPr>
        <w:tab/>
      </w:r>
      <w:r w:rsidR="00E52D98" w:rsidRPr="00E52D98">
        <w:rPr>
          <w:rFonts w:cs="Arial"/>
          <w:b/>
          <w:noProof/>
          <w:sz w:val="22"/>
          <w:szCs w:val="22"/>
        </w:rPr>
        <w:t>3.6</w:t>
      </w:r>
      <w:r w:rsidR="00E52D98" w:rsidRPr="00E52D98">
        <w:rPr>
          <w:rFonts w:cs="Arial"/>
          <w:b/>
          <w:noProof/>
          <w:sz w:val="22"/>
          <w:szCs w:val="22"/>
        </w:rPr>
        <w:tab/>
        <w:t>Reporting Requirments</w:t>
      </w:r>
    </w:p>
    <w:p w:rsidR="00E52D98" w:rsidRPr="00E52D98" w:rsidRDefault="00E52D98" w:rsidP="00E52D98">
      <w:pPr>
        <w:widowControl w:val="0"/>
        <w:jc w:val="both"/>
        <w:rPr>
          <w:rFonts w:cs="Arial"/>
          <w:b/>
          <w:noProof/>
          <w:sz w:val="22"/>
          <w:szCs w:val="22"/>
        </w:rPr>
      </w:pPr>
    </w:p>
    <w:p w:rsidR="00E52D98" w:rsidRPr="00E52D98" w:rsidRDefault="00E52D98" w:rsidP="00E52D98">
      <w:pPr>
        <w:widowControl w:val="0"/>
        <w:jc w:val="both"/>
        <w:rPr>
          <w:rFonts w:cs="Arial"/>
          <w:b/>
          <w:noProof/>
          <w:sz w:val="22"/>
          <w:szCs w:val="22"/>
        </w:rPr>
      </w:pPr>
      <w:r w:rsidRPr="00E52D98">
        <w:rPr>
          <w:rFonts w:cs="Arial"/>
          <w:b/>
          <w:noProof/>
          <w:sz w:val="22"/>
          <w:szCs w:val="22"/>
        </w:rPr>
        <w:t>End of Year Investment Report</w:t>
      </w:r>
      <w:r w:rsidRPr="00E52D98">
        <w:rPr>
          <w:rFonts w:cs="Arial"/>
          <w:noProof/>
          <w:sz w:val="22"/>
          <w:szCs w:val="22"/>
        </w:rPr>
        <w:t xml:space="preserve"> - the Council will report on its investment activity for the financial year completed as part of its Annual Treasury Management Report after the end of the financial year.</w:t>
      </w:r>
    </w:p>
    <w:p w:rsidR="00E52D98" w:rsidRPr="00E52D98" w:rsidRDefault="00E52D98" w:rsidP="00E52D98">
      <w:pPr>
        <w:jc w:val="both"/>
        <w:rPr>
          <w:rFonts w:cs="Arial"/>
          <w:noProof/>
          <w:sz w:val="22"/>
          <w:szCs w:val="22"/>
        </w:rPr>
      </w:pPr>
    </w:p>
    <w:p w:rsidR="00E52D98" w:rsidRPr="00E52D98" w:rsidRDefault="00E52D98" w:rsidP="00E52D98">
      <w:pPr>
        <w:widowControl w:val="0"/>
        <w:jc w:val="both"/>
        <w:rPr>
          <w:rFonts w:cs="Arial"/>
          <w:noProof/>
          <w:sz w:val="22"/>
          <w:szCs w:val="22"/>
        </w:rPr>
      </w:pPr>
      <w:r w:rsidRPr="00E52D98">
        <w:rPr>
          <w:rFonts w:cs="Arial"/>
          <w:b/>
          <w:noProof/>
          <w:sz w:val="22"/>
          <w:szCs w:val="22"/>
        </w:rPr>
        <w:t>Mid-year Investment Report</w:t>
      </w:r>
      <w:r w:rsidRPr="00E52D98">
        <w:rPr>
          <w:rFonts w:cs="Arial"/>
          <w:noProof/>
          <w:sz w:val="22"/>
          <w:szCs w:val="22"/>
        </w:rPr>
        <w:t xml:space="preserve"> – the Council will report on its investment activity for that financial year as part of its Mid Year Treasury Management Report at the end of September of that financial year.</w:t>
      </w:r>
    </w:p>
    <w:p w:rsidR="00E52D98" w:rsidRPr="00E52D98" w:rsidRDefault="00E52D98" w:rsidP="00E52D98">
      <w:pPr>
        <w:widowControl w:val="0"/>
        <w:jc w:val="both"/>
        <w:rPr>
          <w:rFonts w:cs="Arial"/>
          <w:noProof/>
          <w:sz w:val="22"/>
          <w:szCs w:val="22"/>
        </w:rPr>
      </w:pPr>
    </w:p>
    <w:p w:rsidR="00E52D98" w:rsidRPr="00E52D98" w:rsidRDefault="00E52D98" w:rsidP="00E52D98">
      <w:pPr>
        <w:widowControl w:val="0"/>
        <w:jc w:val="both"/>
        <w:rPr>
          <w:rFonts w:cs="Arial"/>
          <w:noProof/>
          <w:sz w:val="22"/>
          <w:szCs w:val="22"/>
        </w:rPr>
      </w:pPr>
      <w:r w:rsidRPr="00E52D98">
        <w:rPr>
          <w:rFonts w:cs="Arial"/>
          <w:b/>
          <w:noProof/>
          <w:sz w:val="22"/>
          <w:szCs w:val="22"/>
        </w:rPr>
        <w:t>Treasury Management Strategy</w:t>
      </w:r>
      <w:r w:rsidRPr="00E52D98">
        <w:rPr>
          <w:rFonts w:cs="Arial"/>
          <w:noProof/>
          <w:sz w:val="22"/>
          <w:szCs w:val="22"/>
        </w:rPr>
        <w:t xml:space="preserve"> – the Council will produce the Strategy for the next three financial years towards the end of the current financial year.  </w:t>
      </w:r>
    </w:p>
    <w:p w:rsidR="00E52D98" w:rsidRPr="00E52D98" w:rsidRDefault="00E52D98" w:rsidP="00E52D98">
      <w:pPr>
        <w:widowControl w:val="0"/>
        <w:jc w:val="both"/>
        <w:rPr>
          <w:rFonts w:cs="Arial"/>
          <w:noProof/>
          <w:sz w:val="22"/>
          <w:szCs w:val="22"/>
        </w:rPr>
      </w:pPr>
    </w:p>
    <w:p w:rsidR="00E52D98" w:rsidRPr="00E52D98" w:rsidRDefault="00E52D98" w:rsidP="00E52D98">
      <w:pPr>
        <w:widowControl w:val="0"/>
        <w:tabs>
          <w:tab w:val="left" w:pos="720"/>
        </w:tabs>
        <w:jc w:val="both"/>
        <w:rPr>
          <w:rFonts w:cs="Arial"/>
          <w:b/>
          <w:noProof/>
          <w:sz w:val="22"/>
          <w:szCs w:val="22"/>
        </w:rPr>
      </w:pPr>
      <w:r w:rsidRPr="00E52D98">
        <w:rPr>
          <w:rFonts w:cs="Arial"/>
          <w:b/>
          <w:noProof/>
          <w:sz w:val="22"/>
          <w:szCs w:val="22"/>
        </w:rPr>
        <w:t>3.7</w:t>
      </w:r>
      <w:r w:rsidRPr="00E52D98">
        <w:rPr>
          <w:rFonts w:cs="Arial"/>
          <w:b/>
          <w:noProof/>
          <w:sz w:val="22"/>
          <w:szCs w:val="22"/>
        </w:rPr>
        <w:tab/>
        <w:t>Policy on the Use of External Service Providers</w:t>
      </w:r>
    </w:p>
    <w:p w:rsidR="00E52D98" w:rsidRPr="00E52D98" w:rsidRDefault="00E52D98" w:rsidP="00E52D98">
      <w:pPr>
        <w:jc w:val="both"/>
        <w:rPr>
          <w:rFonts w:cs="Arial"/>
          <w:noProof/>
          <w:sz w:val="22"/>
          <w:szCs w:val="22"/>
        </w:rPr>
      </w:pPr>
      <w:r w:rsidRPr="00E52D98">
        <w:rPr>
          <w:rFonts w:cs="Arial"/>
          <w:noProof/>
          <w:color w:val="000000"/>
          <w:sz w:val="22"/>
          <w:szCs w:val="22"/>
        </w:rPr>
        <w:t>The contract for external treasury management advisors has been re-tendered in October 2016, and following this, Capita Asset Services Treasury Solutions have been appointed as the advisors to the Council until Ooctober 2019.  The Council recognises that responsibility for treasury</w:t>
      </w:r>
      <w:r w:rsidRPr="00E52D98">
        <w:rPr>
          <w:rFonts w:cs="Arial"/>
          <w:noProof/>
          <w:sz w:val="22"/>
          <w:szCs w:val="22"/>
        </w:rPr>
        <w:t xml:space="preserve"> management decisions remains with the Council at all times and will ensure that undue reliance is not placed upon our external service providers.  It also recognises that there is value in employing external providers of treasury management services in order to acquire access to specialist skills and resources.  The Council will ensure that the terms of their appointment and the methods by which their value will be assessed are properly agreed and documented, and subjected to regular review.</w:t>
      </w:r>
    </w:p>
    <w:p w:rsidR="00E52D98" w:rsidRPr="00E52D98" w:rsidRDefault="00E52D98" w:rsidP="00E52D98">
      <w:pPr>
        <w:jc w:val="both"/>
        <w:rPr>
          <w:rFonts w:cs="Arial"/>
          <w:noProof/>
          <w:sz w:val="22"/>
          <w:szCs w:val="22"/>
        </w:rPr>
      </w:pPr>
    </w:p>
    <w:p w:rsidR="00E52D98" w:rsidRPr="00E52D98" w:rsidRDefault="00E52D98" w:rsidP="00E52D98">
      <w:pPr>
        <w:jc w:val="both"/>
        <w:rPr>
          <w:rFonts w:cs="Arial"/>
          <w:noProof/>
          <w:sz w:val="22"/>
          <w:szCs w:val="22"/>
        </w:rPr>
      </w:pPr>
      <w:r w:rsidRPr="00E52D98">
        <w:rPr>
          <w:rFonts w:cs="Arial"/>
          <w:noProof/>
          <w:sz w:val="22"/>
          <w:szCs w:val="22"/>
        </w:rPr>
        <w:t xml:space="preserve">The Council will also, from time to time, procure specialist advice for ad-hoc pieces of work; this will be procured in accordance with the Council’s normal procedure rules. </w:t>
      </w:r>
    </w:p>
    <w:p w:rsidR="00E52D98" w:rsidRPr="00E52D98" w:rsidRDefault="00E52D98" w:rsidP="00E52D98">
      <w:pPr>
        <w:tabs>
          <w:tab w:val="left" w:pos="720"/>
        </w:tabs>
        <w:jc w:val="both"/>
        <w:rPr>
          <w:rFonts w:cs="Arial"/>
          <w:b/>
          <w:sz w:val="22"/>
          <w:szCs w:val="22"/>
        </w:rPr>
      </w:pPr>
    </w:p>
    <w:p w:rsidR="00E52D98" w:rsidRPr="00E52D98" w:rsidRDefault="00E52D98" w:rsidP="00E52D98">
      <w:pPr>
        <w:tabs>
          <w:tab w:val="left" w:pos="720"/>
        </w:tabs>
        <w:jc w:val="both"/>
        <w:rPr>
          <w:rFonts w:cs="Arial"/>
          <w:b/>
          <w:sz w:val="22"/>
          <w:szCs w:val="22"/>
        </w:rPr>
      </w:pPr>
      <w:r w:rsidRPr="00E52D98">
        <w:rPr>
          <w:rFonts w:cs="Arial"/>
          <w:b/>
          <w:sz w:val="22"/>
          <w:szCs w:val="22"/>
        </w:rPr>
        <w:t xml:space="preserve">3.8 </w:t>
      </w:r>
      <w:r w:rsidRPr="00E52D98">
        <w:rPr>
          <w:rFonts w:cs="Arial"/>
          <w:b/>
          <w:sz w:val="22"/>
          <w:szCs w:val="22"/>
        </w:rPr>
        <w:tab/>
        <w:t>Member and Officer Training</w:t>
      </w:r>
    </w:p>
    <w:p w:rsidR="00E52D98" w:rsidRPr="00E52D98" w:rsidRDefault="00E52D98" w:rsidP="00E52D98">
      <w:pPr>
        <w:jc w:val="both"/>
        <w:rPr>
          <w:rFonts w:cs="Arial"/>
          <w:iCs/>
          <w:sz w:val="22"/>
          <w:szCs w:val="22"/>
        </w:rPr>
      </w:pPr>
      <w:r w:rsidRPr="00E52D98">
        <w:rPr>
          <w:rFonts w:cs="Arial"/>
          <w:iCs/>
          <w:sz w:val="22"/>
          <w:szCs w:val="22"/>
        </w:rPr>
        <w:t>The increased Member consideration of treasury management matters and the need to ensure officers dealing with treasury management are trained and kept up to date requires a suitable training process for Members and officers.  This Council has addressed this important issue by:</w:t>
      </w:r>
    </w:p>
    <w:p w:rsidR="00E52D98" w:rsidRPr="00E52D98" w:rsidRDefault="00E52D98" w:rsidP="00E52D98">
      <w:pPr>
        <w:jc w:val="both"/>
        <w:rPr>
          <w:rFonts w:cs="Arial"/>
          <w:iCs/>
          <w:sz w:val="22"/>
          <w:szCs w:val="22"/>
        </w:rPr>
      </w:pPr>
    </w:p>
    <w:p w:rsidR="00E52D98" w:rsidRPr="00E52D98" w:rsidRDefault="00E52D98" w:rsidP="008429A2">
      <w:pPr>
        <w:numPr>
          <w:ilvl w:val="0"/>
          <w:numId w:val="9"/>
        </w:numPr>
        <w:tabs>
          <w:tab w:val="num" w:pos="540"/>
        </w:tabs>
        <w:ind w:left="0" w:hanging="540"/>
        <w:jc w:val="both"/>
        <w:rPr>
          <w:rFonts w:cs="Arial"/>
          <w:iCs/>
          <w:sz w:val="22"/>
          <w:szCs w:val="22"/>
        </w:rPr>
      </w:pPr>
      <w:r w:rsidRPr="00E52D98">
        <w:rPr>
          <w:rFonts w:cs="Arial"/>
          <w:iCs/>
          <w:sz w:val="22"/>
          <w:szCs w:val="22"/>
        </w:rPr>
        <w:t>Ensuring that officers attend suitable courses and seminars to keep their technical knowledge up to date;</w:t>
      </w:r>
    </w:p>
    <w:p w:rsidR="00E52D98" w:rsidRPr="00E52D98" w:rsidRDefault="00E52D98" w:rsidP="008429A2">
      <w:pPr>
        <w:numPr>
          <w:ilvl w:val="0"/>
          <w:numId w:val="9"/>
        </w:numPr>
        <w:tabs>
          <w:tab w:val="num" w:pos="540"/>
        </w:tabs>
        <w:ind w:left="0" w:hanging="540"/>
        <w:jc w:val="both"/>
        <w:rPr>
          <w:rFonts w:cs="Arial"/>
          <w:iCs/>
          <w:sz w:val="22"/>
          <w:szCs w:val="22"/>
        </w:rPr>
      </w:pPr>
      <w:r w:rsidRPr="00E52D98">
        <w:rPr>
          <w:rFonts w:cs="Arial"/>
          <w:iCs/>
          <w:sz w:val="22"/>
          <w:szCs w:val="22"/>
        </w:rPr>
        <w:lastRenderedPageBreak/>
        <w:t>Keeping up to date with CIPFA publications on Treasury Management;</w:t>
      </w:r>
    </w:p>
    <w:p w:rsidR="00E52D98" w:rsidRPr="00E52D98" w:rsidRDefault="00E52D98" w:rsidP="008429A2">
      <w:pPr>
        <w:numPr>
          <w:ilvl w:val="0"/>
          <w:numId w:val="9"/>
        </w:numPr>
        <w:tabs>
          <w:tab w:val="num" w:pos="540"/>
        </w:tabs>
        <w:ind w:left="0" w:hanging="540"/>
        <w:jc w:val="both"/>
        <w:rPr>
          <w:rFonts w:cs="Arial"/>
          <w:iCs/>
          <w:sz w:val="22"/>
          <w:szCs w:val="22"/>
        </w:rPr>
      </w:pPr>
      <w:r w:rsidRPr="00E52D98">
        <w:rPr>
          <w:rFonts w:cs="Arial"/>
          <w:iCs/>
          <w:sz w:val="22"/>
          <w:szCs w:val="22"/>
        </w:rPr>
        <w:t>Regular briefings both by email and face to face with the Council’s consultants;</w:t>
      </w:r>
    </w:p>
    <w:p w:rsidR="00E52D98" w:rsidRPr="00E52D98" w:rsidRDefault="00E52D98" w:rsidP="008429A2">
      <w:pPr>
        <w:numPr>
          <w:ilvl w:val="0"/>
          <w:numId w:val="9"/>
        </w:numPr>
        <w:tabs>
          <w:tab w:val="num" w:pos="540"/>
        </w:tabs>
        <w:ind w:left="0" w:hanging="540"/>
        <w:jc w:val="both"/>
        <w:rPr>
          <w:rFonts w:cs="Arial"/>
          <w:iCs/>
          <w:sz w:val="22"/>
          <w:szCs w:val="22"/>
        </w:rPr>
      </w:pPr>
      <w:r w:rsidRPr="00E52D98">
        <w:rPr>
          <w:rFonts w:cs="Arial"/>
          <w:iCs/>
          <w:sz w:val="22"/>
          <w:szCs w:val="22"/>
        </w:rPr>
        <w:t>Reports and briefing sessions to Members on major changes to Treasury policies and strategies.</w:t>
      </w: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Pr="00E52D98" w:rsidRDefault="00E52D98" w:rsidP="00E52D98">
      <w:pPr>
        <w:jc w:val="both"/>
        <w:rPr>
          <w:rFonts w:cs="Arial"/>
          <w:b/>
          <w:bCs/>
          <w:sz w:val="22"/>
          <w:szCs w:val="22"/>
        </w:rPr>
      </w:pPr>
    </w:p>
    <w:p w:rsidR="00E52D98" w:rsidRDefault="00E52D98"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Default="008429A2" w:rsidP="00E52D98">
      <w:pPr>
        <w:jc w:val="both"/>
        <w:rPr>
          <w:rFonts w:cs="Arial"/>
          <w:b/>
          <w:bCs/>
          <w:sz w:val="22"/>
          <w:szCs w:val="22"/>
        </w:rPr>
      </w:pPr>
    </w:p>
    <w:p w:rsidR="008429A2" w:rsidRPr="00E52D98" w:rsidRDefault="008429A2" w:rsidP="00E52D98">
      <w:pPr>
        <w:jc w:val="both"/>
        <w:rPr>
          <w:rFonts w:cs="Arial"/>
          <w:b/>
          <w:bCs/>
          <w:sz w:val="22"/>
          <w:szCs w:val="22"/>
        </w:rPr>
      </w:pPr>
    </w:p>
    <w:p w:rsidR="00E52D98" w:rsidRPr="00E52D98" w:rsidRDefault="00E52D98" w:rsidP="00E52D98">
      <w:pPr>
        <w:jc w:val="both"/>
        <w:rPr>
          <w:rFonts w:cs="Arial"/>
          <w:noProof/>
          <w:spacing w:val="-5"/>
          <w:sz w:val="22"/>
          <w:szCs w:val="22"/>
        </w:rPr>
      </w:pPr>
      <w:r w:rsidRPr="00E52D98">
        <w:rPr>
          <w:rFonts w:cs="Arial"/>
          <w:b/>
          <w:noProof/>
          <w:spacing w:val="-5"/>
          <w:sz w:val="22"/>
          <w:szCs w:val="22"/>
        </w:rPr>
        <w:lastRenderedPageBreak/>
        <w:t xml:space="preserve">Treasury Management Practice (TMP1) </w:t>
      </w:r>
      <w:r w:rsidRPr="00E52D98">
        <w:rPr>
          <w:rFonts w:cs="Arial"/>
          <w:b/>
          <w:noProof/>
          <w:spacing w:val="-5"/>
          <w:sz w:val="22"/>
          <w:szCs w:val="22"/>
        </w:rPr>
        <w:tab/>
      </w:r>
      <w:r w:rsidRPr="00E52D98">
        <w:rPr>
          <w:rFonts w:cs="Arial"/>
          <w:b/>
          <w:noProof/>
          <w:spacing w:val="-5"/>
          <w:sz w:val="22"/>
          <w:szCs w:val="22"/>
        </w:rPr>
        <w:tab/>
      </w:r>
      <w:r w:rsidRPr="00E52D98">
        <w:rPr>
          <w:rFonts w:cs="Arial"/>
          <w:b/>
          <w:noProof/>
          <w:spacing w:val="-5"/>
          <w:sz w:val="22"/>
          <w:szCs w:val="22"/>
        </w:rPr>
        <w:tab/>
      </w:r>
      <w:r w:rsidRPr="00E52D98">
        <w:rPr>
          <w:rFonts w:cs="Arial"/>
          <w:b/>
          <w:noProof/>
          <w:spacing w:val="-5"/>
          <w:sz w:val="22"/>
          <w:szCs w:val="22"/>
        </w:rPr>
        <w:tab/>
      </w:r>
      <w:r w:rsidRPr="00E52D98">
        <w:rPr>
          <w:rFonts w:cs="Arial"/>
          <w:b/>
          <w:noProof/>
          <w:spacing w:val="-5"/>
          <w:sz w:val="22"/>
          <w:szCs w:val="22"/>
        </w:rPr>
        <w:tab/>
      </w:r>
      <w:r w:rsidRPr="00E52D98">
        <w:rPr>
          <w:rFonts w:cs="Arial"/>
          <w:b/>
          <w:noProof/>
          <w:spacing w:val="-5"/>
          <w:sz w:val="22"/>
          <w:szCs w:val="22"/>
        </w:rPr>
        <w:tab/>
        <w:t>ANNEX A</w:t>
      </w:r>
    </w:p>
    <w:p w:rsidR="00E52D98" w:rsidRPr="00E52D98" w:rsidRDefault="00E52D98" w:rsidP="00E52D98">
      <w:pPr>
        <w:jc w:val="both"/>
        <w:rPr>
          <w:rFonts w:cs="Arial"/>
          <w:b/>
          <w:noProof/>
          <w:color w:val="0000FF"/>
          <w:spacing w:val="-5"/>
          <w:sz w:val="22"/>
          <w:szCs w:val="22"/>
        </w:rPr>
      </w:pPr>
      <w:r w:rsidRPr="00E52D98">
        <w:rPr>
          <w:rFonts w:cs="Arial"/>
          <w:b/>
          <w:noProof/>
          <w:spacing w:val="-5"/>
          <w:sz w:val="22"/>
          <w:szCs w:val="22"/>
        </w:rPr>
        <w:t>Credit and Counterparty Risk Management</w:t>
      </w:r>
      <w:r w:rsidRPr="00E52D98">
        <w:rPr>
          <w:rFonts w:cs="Arial"/>
          <w:b/>
          <w:noProof/>
          <w:color w:val="0000FF"/>
          <w:spacing w:val="-5"/>
          <w:sz w:val="22"/>
          <w:szCs w:val="22"/>
        </w:rPr>
        <w:tab/>
      </w:r>
    </w:p>
    <w:p w:rsidR="00E52D98" w:rsidRPr="00E52D98" w:rsidRDefault="00E52D98" w:rsidP="00E52D98">
      <w:pPr>
        <w:jc w:val="both"/>
        <w:rPr>
          <w:rFonts w:cs="Arial"/>
          <w:b/>
          <w:noProof/>
          <w:color w:val="0000FF"/>
          <w:spacing w:val="-5"/>
          <w:sz w:val="22"/>
          <w:szCs w:val="22"/>
        </w:rPr>
      </w:pPr>
    </w:p>
    <w:p w:rsidR="00E52D98" w:rsidRPr="00E52D98" w:rsidRDefault="00E52D98" w:rsidP="00E52D98">
      <w:pPr>
        <w:jc w:val="both"/>
        <w:rPr>
          <w:rFonts w:cs="Arial"/>
          <w:i/>
          <w:sz w:val="22"/>
          <w:szCs w:val="22"/>
        </w:rPr>
      </w:pPr>
      <w:r w:rsidRPr="00E52D98">
        <w:rPr>
          <w:rFonts w:cs="Arial"/>
          <w:sz w:val="22"/>
          <w:szCs w:val="22"/>
        </w:rPr>
        <w:t>The DCLG issued a reviewed Investment Guidance in 2010 (second edition), and this forms the structure of the Council’s policy below. These guidelines do not apply to either trust funds or pension funds, which operate under a different regulatory regime</w:t>
      </w:r>
      <w:r w:rsidRPr="00E52D98">
        <w:rPr>
          <w:rFonts w:cs="Arial"/>
          <w:i/>
          <w:sz w:val="22"/>
          <w:szCs w:val="22"/>
        </w:rPr>
        <w:t>.</w:t>
      </w:r>
    </w:p>
    <w:p w:rsidR="00E52D98" w:rsidRPr="00E52D98" w:rsidRDefault="00E52D98" w:rsidP="00E52D98">
      <w:pPr>
        <w:jc w:val="both"/>
        <w:rPr>
          <w:rFonts w:cs="Arial"/>
          <w:color w:val="0000FF"/>
          <w:sz w:val="22"/>
          <w:szCs w:val="22"/>
        </w:rPr>
      </w:pPr>
    </w:p>
    <w:p w:rsidR="00E52D98" w:rsidRPr="00E52D98" w:rsidRDefault="00E52D98" w:rsidP="00E52D98">
      <w:pPr>
        <w:jc w:val="both"/>
        <w:rPr>
          <w:rFonts w:cs="Arial"/>
          <w:sz w:val="22"/>
          <w:szCs w:val="22"/>
        </w:rPr>
      </w:pPr>
      <w:r w:rsidRPr="00E52D98">
        <w:rPr>
          <w:rFonts w:cs="Arial"/>
          <w:sz w:val="22"/>
          <w:szCs w:val="22"/>
        </w:rPr>
        <w:t xml:space="preserve">The key intention of the Guidance is to maintain the current requirement for councils to invest prudently, and that priority is given to security and liquidity before yield. In order to facilitate this objective the guidance requires this Council to have regard to the CIPFA publication Treasury Management in the Public Services: Code of Practice and Cross-Sectorial Guidance Notes. This Council has adopted the Code and will apply its principles to all investment activity. In accordance with the Code, the Director of Finance has produced this Treasury Management Practices (TMP’s) guidance. </w:t>
      </w:r>
    </w:p>
    <w:p w:rsidR="00E52D98" w:rsidRPr="00E52D98" w:rsidRDefault="00E52D98" w:rsidP="00E52D98">
      <w:pPr>
        <w:jc w:val="both"/>
        <w:rPr>
          <w:rFonts w:cs="Arial"/>
          <w:color w:val="0000FF"/>
          <w:sz w:val="22"/>
          <w:szCs w:val="22"/>
        </w:rPr>
      </w:pPr>
    </w:p>
    <w:p w:rsidR="00E52D98" w:rsidRPr="00E52D98" w:rsidRDefault="00E52D98" w:rsidP="00E52D98">
      <w:pPr>
        <w:jc w:val="both"/>
        <w:rPr>
          <w:rFonts w:cs="Arial"/>
          <w:sz w:val="22"/>
          <w:szCs w:val="22"/>
        </w:rPr>
      </w:pPr>
      <w:r w:rsidRPr="00E52D98">
        <w:rPr>
          <w:rFonts w:cs="Arial"/>
          <w:b/>
          <w:sz w:val="22"/>
          <w:szCs w:val="22"/>
        </w:rPr>
        <w:t>Annual Investment Strategy</w:t>
      </w:r>
      <w:r w:rsidRPr="00E52D98">
        <w:rPr>
          <w:rFonts w:cs="Arial"/>
          <w:sz w:val="22"/>
          <w:szCs w:val="22"/>
        </w:rPr>
        <w:t xml:space="preserve"> - The key requirements of both the Code and the investment guidance are to set an annual investment strategy for the following year</w:t>
      </w:r>
      <w:r w:rsidRPr="00E52D98">
        <w:rPr>
          <w:rFonts w:cs="Arial"/>
          <w:i/>
          <w:sz w:val="22"/>
          <w:szCs w:val="22"/>
        </w:rPr>
        <w:t>,</w:t>
      </w:r>
      <w:r w:rsidRPr="00E52D98">
        <w:rPr>
          <w:rFonts w:cs="Arial"/>
          <w:sz w:val="22"/>
          <w:szCs w:val="22"/>
        </w:rPr>
        <w:t xml:space="preserve"> covering the identification and approval of following:</w:t>
      </w:r>
    </w:p>
    <w:p w:rsidR="00E52D98" w:rsidRPr="00E52D98" w:rsidRDefault="00E52D98" w:rsidP="00E52D98">
      <w:pPr>
        <w:jc w:val="both"/>
        <w:rPr>
          <w:rFonts w:cs="Arial"/>
          <w:sz w:val="22"/>
          <w:szCs w:val="22"/>
        </w:rPr>
      </w:pPr>
    </w:p>
    <w:p w:rsidR="00E52D98" w:rsidRPr="00E52D98" w:rsidRDefault="00E52D98" w:rsidP="008429A2">
      <w:pPr>
        <w:numPr>
          <w:ilvl w:val="0"/>
          <w:numId w:val="4"/>
        </w:numPr>
        <w:tabs>
          <w:tab w:val="num" w:pos="540"/>
        </w:tabs>
        <w:ind w:left="0" w:hanging="540"/>
        <w:jc w:val="both"/>
        <w:rPr>
          <w:rFonts w:cs="Arial"/>
          <w:sz w:val="22"/>
          <w:szCs w:val="22"/>
        </w:rPr>
      </w:pPr>
      <w:r w:rsidRPr="00E52D98">
        <w:rPr>
          <w:rFonts w:cs="Arial"/>
          <w:sz w:val="22"/>
          <w:szCs w:val="22"/>
        </w:rPr>
        <w:t>The strategy guidelines for choosing and placing investments, particularly non-specified investments;</w:t>
      </w:r>
    </w:p>
    <w:p w:rsidR="00E52D98" w:rsidRPr="00E52D98" w:rsidRDefault="00E52D98" w:rsidP="008429A2">
      <w:pPr>
        <w:numPr>
          <w:ilvl w:val="0"/>
          <w:numId w:val="4"/>
        </w:numPr>
        <w:tabs>
          <w:tab w:val="num" w:pos="540"/>
        </w:tabs>
        <w:ind w:left="0" w:hanging="540"/>
        <w:jc w:val="both"/>
        <w:rPr>
          <w:rFonts w:cs="Arial"/>
          <w:sz w:val="22"/>
          <w:szCs w:val="22"/>
        </w:rPr>
      </w:pPr>
      <w:r w:rsidRPr="00E52D98">
        <w:rPr>
          <w:rFonts w:cs="Arial"/>
          <w:sz w:val="22"/>
          <w:szCs w:val="22"/>
        </w:rPr>
        <w:t>The principles to be used to determine the maximum periods for which funds can be committed;</w:t>
      </w:r>
    </w:p>
    <w:p w:rsidR="00E52D98" w:rsidRPr="00E52D98" w:rsidRDefault="00E52D98" w:rsidP="008429A2">
      <w:pPr>
        <w:numPr>
          <w:ilvl w:val="0"/>
          <w:numId w:val="4"/>
        </w:numPr>
        <w:tabs>
          <w:tab w:val="num" w:pos="540"/>
        </w:tabs>
        <w:ind w:left="0" w:hanging="540"/>
        <w:jc w:val="both"/>
        <w:rPr>
          <w:rFonts w:cs="Arial"/>
          <w:sz w:val="22"/>
          <w:szCs w:val="22"/>
        </w:rPr>
      </w:pPr>
      <w:r w:rsidRPr="00E52D98">
        <w:rPr>
          <w:rFonts w:cs="Arial"/>
          <w:sz w:val="22"/>
          <w:szCs w:val="22"/>
        </w:rPr>
        <w:t>Specified investments that the Council will use. These are high security, and high liquidity investments in sterling and with a maturity of no more than a year;</w:t>
      </w:r>
    </w:p>
    <w:p w:rsidR="00E52D98" w:rsidRPr="00E52D98" w:rsidRDefault="00E52D98" w:rsidP="008429A2">
      <w:pPr>
        <w:numPr>
          <w:ilvl w:val="0"/>
          <w:numId w:val="4"/>
        </w:numPr>
        <w:tabs>
          <w:tab w:val="num" w:pos="540"/>
        </w:tabs>
        <w:ind w:left="0" w:hanging="540"/>
        <w:jc w:val="both"/>
        <w:rPr>
          <w:rFonts w:cs="Arial"/>
          <w:sz w:val="22"/>
          <w:szCs w:val="22"/>
        </w:rPr>
      </w:pPr>
      <w:r w:rsidRPr="00E52D98">
        <w:rPr>
          <w:rFonts w:cs="Arial"/>
          <w:sz w:val="22"/>
          <w:szCs w:val="22"/>
        </w:rPr>
        <w:t>Non-specified investments, clarifying the greater risk implications, identifying the general types of investment that may be used and a limit to the overall amount of various categories that can be held at any time.</w:t>
      </w:r>
    </w:p>
    <w:p w:rsidR="00E52D98" w:rsidRPr="00E52D98" w:rsidRDefault="00E52D98" w:rsidP="00E52D98">
      <w:pPr>
        <w:jc w:val="both"/>
        <w:rPr>
          <w:rFonts w:cs="Arial"/>
          <w:color w:val="0000FF"/>
          <w:sz w:val="22"/>
          <w:szCs w:val="22"/>
        </w:rPr>
      </w:pPr>
    </w:p>
    <w:p w:rsidR="00E52D98" w:rsidRPr="00E52D98" w:rsidRDefault="00E52D98" w:rsidP="00E52D98">
      <w:pPr>
        <w:jc w:val="both"/>
        <w:rPr>
          <w:rFonts w:cs="Arial"/>
          <w:sz w:val="22"/>
          <w:szCs w:val="22"/>
        </w:rPr>
      </w:pPr>
      <w:r w:rsidRPr="00E52D98">
        <w:rPr>
          <w:rFonts w:cs="Arial"/>
          <w:sz w:val="22"/>
          <w:szCs w:val="22"/>
        </w:rPr>
        <w:t>The investment policy proposed for the Council is:</w:t>
      </w:r>
    </w:p>
    <w:p w:rsidR="00E52D98" w:rsidRPr="00E52D98" w:rsidRDefault="00E52D98" w:rsidP="00E52D98">
      <w:pPr>
        <w:jc w:val="both"/>
        <w:rPr>
          <w:rFonts w:cs="Arial"/>
          <w:sz w:val="22"/>
          <w:szCs w:val="22"/>
        </w:rPr>
      </w:pPr>
    </w:p>
    <w:p w:rsidR="00E52D98" w:rsidRPr="00E52D98" w:rsidRDefault="00E52D98" w:rsidP="00E52D98">
      <w:pPr>
        <w:jc w:val="both"/>
        <w:rPr>
          <w:rFonts w:cs="Arial"/>
          <w:sz w:val="22"/>
          <w:szCs w:val="22"/>
        </w:rPr>
      </w:pPr>
      <w:r w:rsidRPr="00E52D98">
        <w:rPr>
          <w:rFonts w:cs="Arial"/>
          <w:b/>
          <w:bCs/>
          <w:iCs/>
          <w:sz w:val="22"/>
          <w:szCs w:val="22"/>
        </w:rPr>
        <w:t>Strategy Guidelines</w:t>
      </w:r>
      <w:r w:rsidRPr="00E52D98">
        <w:rPr>
          <w:rFonts w:cs="Arial"/>
          <w:iCs/>
          <w:sz w:val="22"/>
          <w:szCs w:val="22"/>
        </w:rPr>
        <w:t xml:space="preserve"> – the main strategy guidelines are contained in the body of the treasury strategy statement.</w:t>
      </w:r>
    </w:p>
    <w:p w:rsidR="00E52D98" w:rsidRPr="00E52D98" w:rsidRDefault="00E52D98" w:rsidP="00E52D98">
      <w:pPr>
        <w:jc w:val="both"/>
        <w:rPr>
          <w:rFonts w:cs="Arial"/>
          <w:color w:val="0000FF"/>
          <w:sz w:val="22"/>
          <w:szCs w:val="22"/>
        </w:rPr>
      </w:pPr>
    </w:p>
    <w:p w:rsidR="00E52D98" w:rsidRPr="00E52D98" w:rsidRDefault="00E52D98" w:rsidP="00E52D98">
      <w:pPr>
        <w:jc w:val="both"/>
        <w:rPr>
          <w:rFonts w:cs="Arial"/>
          <w:sz w:val="22"/>
          <w:szCs w:val="22"/>
        </w:rPr>
      </w:pPr>
      <w:r w:rsidRPr="00E52D98">
        <w:rPr>
          <w:rFonts w:cs="Arial"/>
          <w:b/>
          <w:bCs/>
          <w:sz w:val="22"/>
          <w:szCs w:val="22"/>
        </w:rPr>
        <w:t>Specified Investments</w:t>
      </w:r>
      <w:r w:rsidRPr="00E52D98">
        <w:rPr>
          <w:rFonts w:cs="Arial"/>
          <w:sz w:val="22"/>
          <w:szCs w:val="22"/>
        </w:rPr>
        <w:t xml:space="preserve"> – these investments are sterling investments of not more than one-year maturity, or those which could be for a longer period but where the Council has the right to be repaid within 12 months if it wishes.  These are considered low risk assets where the possibility of loss of principal or investment income is small. These would include sterling investments with:</w:t>
      </w:r>
    </w:p>
    <w:p w:rsidR="00E52D98" w:rsidRPr="00E52D98" w:rsidRDefault="00E52D98" w:rsidP="00E52D98">
      <w:pPr>
        <w:jc w:val="both"/>
        <w:rPr>
          <w:rFonts w:cs="Arial"/>
          <w:sz w:val="22"/>
          <w:szCs w:val="22"/>
        </w:rPr>
      </w:pPr>
    </w:p>
    <w:p w:rsidR="00E52D98" w:rsidRPr="00E52D98" w:rsidRDefault="00E52D98" w:rsidP="008429A2">
      <w:pPr>
        <w:numPr>
          <w:ilvl w:val="0"/>
          <w:numId w:val="5"/>
        </w:numPr>
        <w:tabs>
          <w:tab w:val="clear" w:pos="360"/>
          <w:tab w:val="num" w:pos="417"/>
        </w:tabs>
        <w:ind w:left="0"/>
        <w:jc w:val="both"/>
        <w:rPr>
          <w:rFonts w:cs="Arial"/>
          <w:sz w:val="22"/>
          <w:szCs w:val="22"/>
        </w:rPr>
      </w:pPr>
      <w:r w:rsidRPr="00E52D98">
        <w:rPr>
          <w:rFonts w:cs="Arial"/>
          <w:sz w:val="22"/>
          <w:szCs w:val="22"/>
        </w:rPr>
        <w:t>The UK Government (such as the Debt Management Account deposit facility, UK Treasury Bills or a Gilt with less than one year to maturity).</w:t>
      </w:r>
    </w:p>
    <w:p w:rsidR="00E52D98" w:rsidRPr="00E52D98" w:rsidRDefault="00E52D98" w:rsidP="00E52D98">
      <w:pPr>
        <w:jc w:val="both"/>
        <w:rPr>
          <w:rFonts w:cs="Arial"/>
          <w:sz w:val="22"/>
          <w:szCs w:val="22"/>
        </w:rPr>
      </w:pPr>
    </w:p>
    <w:p w:rsidR="00E52D98" w:rsidRPr="00E52D98" w:rsidRDefault="00E52D98" w:rsidP="008429A2">
      <w:pPr>
        <w:numPr>
          <w:ilvl w:val="0"/>
          <w:numId w:val="5"/>
        </w:numPr>
        <w:tabs>
          <w:tab w:val="clear" w:pos="360"/>
          <w:tab w:val="num" w:pos="417"/>
        </w:tabs>
        <w:ind w:left="0"/>
        <w:jc w:val="both"/>
        <w:rPr>
          <w:rFonts w:cs="Arial"/>
          <w:sz w:val="22"/>
          <w:szCs w:val="22"/>
        </w:rPr>
      </w:pPr>
      <w:r w:rsidRPr="00E52D98">
        <w:rPr>
          <w:rFonts w:cs="Arial"/>
          <w:sz w:val="22"/>
          <w:szCs w:val="22"/>
        </w:rPr>
        <w:t>A local authority, parish council or community council.</w:t>
      </w:r>
    </w:p>
    <w:p w:rsidR="00E52D98" w:rsidRPr="00E52D98" w:rsidRDefault="00E52D98" w:rsidP="00E52D98">
      <w:pPr>
        <w:jc w:val="both"/>
        <w:rPr>
          <w:rFonts w:cs="Arial"/>
          <w:color w:val="0000FF"/>
          <w:sz w:val="22"/>
          <w:szCs w:val="22"/>
        </w:rPr>
      </w:pPr>
    </w:p>
    <w:p w:rsidR="00E52D98" w:rsidRPr="00E52D98" w:rsidRDefault="00E52D98" w:rsidP="008429A2">
      <w:pPr>
        <w:numPr>
          <w:ilvl w:val="0"/>
          <w:numId w:val="5"/>
        </w:numPr>
        <w:tabs>
          <w:tab w:val="clear" w:pos="360"/>
          <w:tab w:val="num" w:pos="417"/>
        </w:tabs>
        <w:ind w:left="0"/>
        <w:jc w:val="both"/>
        <w:rPr>
          <w:rFonts w:cs="Arial"/>
          <w:sz w:val="22"/>
          <w:szCs w:val="22"/>
        </w:rPr>
      </w:pPr>
      <w:r w:rsidRPr="00E52D98">
        <w:rPr>
          <w:rFonts w:cs="Arial"/>
          <w:sz w:val="22"/>
          <w:szCs w:val="22"/>
        </w:rPr>
        <w:t>A body that is considered of a high credit quality (such as a bank or building society) with a minimum short term rating of F-1 (or the equivalent) as rated by Standard and Poor’s, Moody’s or Fitch rating agencies or a Building Society with assets over £1,000m</w:t>
      </w:r>
      <w:r w:rsidRPr="00E52D98">
        <w:rPr>
          <w:rFonts w:cs="Arial"/>
          <w:i/>
          <w:sz w:val="22"/>
          <w:szCs w:val="22"/>
        </w:rPr>
        <w:t>.</w:t>
      </w:r>
      <w:r w:rsidRPr="00E52D98">
        <w:rPr>
          <w:rFonts w:cs="Arial"/>
          <w:sz w:val="22"/>
          <w:szCs w:val="22"/>
        </w:rPr>
        <w:t xml:space="preserve">  Non rated Building Societies are non-specified investments.</w:t>
      </w:r>
    </w:p>
    <w:p w:rsidR="00E52D98" w:rsidRPr="00E52D98" w:rsidRDefault="00E52D98" w:rsidP="00E52D98">
      <w:pPr>
        <w:jc w:val="both"/>
        <w:rPr>
          <w:rFonts w:cs="Arial"/>
          <w:color w:val="0000FF"/>
          <w:sz w:val="22"/>
          <w:szCs w:val="22"/>
        </w:rPr>
      </w:pPr>
    </w:p>
    <w:p w:rsidR="00E52D98" w:rsidRPr="00E52D98" w:rsidRDefault="00E52D98" w:rsidP="008429A2">
      <w:pPr>
        <w:numPr>
          <w:ilvl w:val="0"/>
          <w:numId w:val="5"/>
        </w:numPr>
        <w:tabs>
          <w:tab w:val="clear" w:pos="360"/>
          <w:tab w:val="num" w:pos="417"/>
        </w:tabs>
        <w:ind w:left="0"/>
        <w:jc w:val="both"/>
        <w:rPr>
          <w:rFonts w:cs="Arial"/>
          <w:sz w:val="22"/>
          <w:szCs w:val="22"/>
        </w:rPr>
      </w:pPr>
      <w:r w:rsidRPr="00E52D98">
        <w:rPr>
          <w:rFonts w:cs="Arial"/>
          <w:sz w:val="22"/>
          <w:szCs w:val="22"/>
        </w:rPr>
        <w:t>Money Market Funds (triple AAA rated only).</w:t>
      </w:r>
    </w:p>
    <w:p w:rsidR="00E52D98" w:rsidRPr="00E52D98" w:rsidRDefault="00E52D98" w:rsidP="00E52D98">
      <w:pPr>
        <w:jc w:val="both"/>
        <w:rPr>
          <w:rFonts w:cs="Arial"/>
          <w:i/>
          <w:iCs/>
          <w:color w:val="0000FF"/>
          <w:sz w:val="22"/>
          <w:szCs w:val="22"/>
        </w:rPr>
      </w:pPr>
      <w:r w:rsidRPr="00E52D98">
        <w:rPr>
          <w:rFonts w:cs="Arial"/>
          <w:color w:val="0000FF"/>
          <w:sz w:val="22"/>
          <w:szCs w:val="22"/>
        </w:rPr>
        <w:t xml:space="preserve">  </w:t>
      </w:r>
    </w:p>
    <w:p w:rsidR="00E52D98" w:rsidRPr="00E52D98" w:rsidRDefault="00E52D98" w:rsidP="00E52D98">
      <w:pPr>
        <w:jc w:val="both"/>
        <w:rPr>
          <w:rFonts w:cs="Arial"/>
          <w:i/>
          <w:iCs/>
          <w:sz w:val="22"/>
          <w:szCs w:val="22"/>
        </w:rPr>
      </w:pPr>
      <w:r w:rsidRPr="00E52D98">
        <w:rPr>
          <w:rFonts w:cs="Arial"/>
          <w:sz w:val="22"/>
          <w:szCs w:val="22"/>
        </w:rPr>
        <w:t>Within these bodies, and in accordance with the Code, the Council has set additional criteria to set the time and amount of monies which will be invested in these bodies.  These criteria are defined in the Treasury Management Strategy</w:t>
      </w:r>
      <w:r w:rsidRPr="00E52D98">
        <w:rPr>
          <w:rFonts w:cs="Arial"/>
          <w:i/>
          <w:iCs/>
          <w:sz w:val="22"/>
          <w:szCs w:val="22"/>
        </w:rPr>
        <w:t>.</w:t>
      </w:r>
    </w:p>
    <w:p w:rsidR="00E52D98" w:rsidRPr="00E52D98" w:rsidRDefault="00E52D98" w:rsidP="00E52D98">
      <w:pPr>
        <w:jc w:val="both"/>
        <w:rPr>
          <w:rFonts w:cs="Arial"/>
          <w:i/>
          <w:iCs/>
          <w:sz w:val="22"/>
          <w:szCs w:val="22"/>
        </w:rPr>
      </w:pPr>
    </w:p>
    <w:p w:rsidR="00E52D98" w:rsidRPr="00E52D98" w:rsidRDefault="00E52D98" w:rsidP="00E52D98">
      <w:pPr>
        <w:jc w:val="both"/>
        <w:rPr>
          <w:rFonts w:cs="Arial"/>
          <w:b/>
          <w:bCs/>
          <w:sz w:val="22"/>
          <w:szCs w:val="22"/>
        </w:rPr>
      </w:pPr>
      <w:r w:rsidRPr="00E52D98">
        <w:rPr>
          <w:rFonts w:cs="Arial"/>
          <w:bCs/>
          <w:sz w:val="22"/>
          <w:szCs w:val="22"/>
        </w:rPr>
        <w:t xml:space="preserve">The ratings criteria and exposure limits are detailed at </w:t>
      </w:r>
      <w:r w:rsidRPr="00E52D98">
        <w:rPr>
          <w:rFonts w:cs="Arial"/>
          <w:b/>
          <w:bCs/>
          <w:sz w:val="22"/>
          <w:szCs w:val="22"/>
        </w:rPr>
        <w:t>Schedule 1.</w:t>
      </w:r>
    </w:p>
    <w:p w:rsidR="00E52D98" w:rsidRPr="00E52D98" w:rsidRDefault="00E52D98" w:rsidP="00E52D98">
      <w:pPr>
        <w:jc w:val="both"/>
        <w:rPr>
          <w:rFonts w:cs="Arial"/>
          <w:b/>
          <w:bCs/>
          <w:color w:val="0000FF"/>
          <w:sz w:val="22"/>
          <w:szCs w:val="22"/>
        </w:rPr>
      </w:pPr>
    </w:p>
    <w:p w:rsidR="00E52D98" w:rsidRPr="00E52D98" w:rsidRDefault="00E52D98" w:rsidP="00E52D98">
      <w:pPr>
        <w:jc w:val="both"/>
        <w:rPr>
          <w:rFonts w:cs="Arial"/>
          <w:b/>
          <w:bCs/>
          <w:color w:val="0000FF"/>
          <w:sz w:val="22"/>
          <w:szCs w:val="22"/>
        </w:rPr>
      </w:pPr>
    </w:p>
    <w:p w:rsidR="00E52D98" w:rsidRPr="00E52D98" w:rsidRDefault="00E52D98" w:rsidP="00E52D98">
      <w:pPr>
        <w:jc w:val="both"/>
        <w:rPr>
          <w:rFonts w:cs="Arial"/>
          <w:sz w:val="22"/>
          <w:szCs w:val="22"/>
        </w:rPr>
      </w:pPr>
      <w:r w:rsidRPr="00E52D98">
        <w:rPr>
          <w:rFonts w:cs="Arial"/>
          <w:b/>
          <w:bCs/>
          <w:sz w:val="22"/>
          <w:szCs w:val="22"/>
        </w:rPr>
        <w:t>Non-Specified Investments</w:t>
      </w:r>
      <w:r w:rsidRPr="00E52D98">
        <w:rPr>
          <w:rFonts w:cs="Arial"/>
          <w:sz w:val="22"/>
          <w:szCs w:val="22"/>
        </w:rPr>
        <w:t xml:space="preserve"> – non-specified investments are any other type of investment (i.e. not defined as Specified above).  The identification and rationale supporting the selection of these other investments and the maximum limits to be applied are set out below. Non specified investments would include any sterling investments with:</w:t>
      </w:r>
    </w:p>
    <w:p w:rsidR="00E52D98" w:rsidRPr="00E52D98" w:rsidRDefault="00E52D98" w:rsidP="00E52D98">
      <w:pPr>
        <w:jc w:val="both"/>
        <w:rPr>
          <w:rFonts w:cs="Arial"/>
          <w:iCs/>
          <w:color w:val="0000FF"/>
          <w:sz w:val="22"/>
          <w:szCs w:val="22"/>
        </w:rPr>
      </w:pPr>
    </w:p>
    <w:tbl>
      <w:tblPr>
        <w:tblW w:w="0" w:type="auto"/>
        <w:jc w:val="center"/>
        <w:tblInd w:w="-149"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437"/>
        <w:gridCol w:w="6480"/>
        <w:gridCol w:w="1754"/>
      </w:tblGrid>
      <w:tr w:rsidR="00E52D98" w:rsidRPr="00E52D98" w:rsidTr="00E52D98">
        <w:trPr>
          <w:trHeight w:val="298"/>
          <w:jc w:val="center"/>
        </w:trPr>
        <w:tc>
          <w:tcPr>
            <w:tcW w:w="437" w:type="dxa"/>
            <w:shd w:val="clear" w:color="auto" w:fill="B3B3B3"/>
          </w:tcPr>
          <w:p w:rsidR="00E52D98" w:rsidRPr="00E52D98" w:rsidRDefault="00E52D98" w:rsidP="00E52D98">
            <w:pPr>
              <w:jc w:val="both"/>
              <w:rPr>
                <w:rFonts w:cs="Arial"/>
                <w:b/>
                <w:iCs/>
                <w:sz w:val="22"/>
                <w:szCs w:val="22"/>
              </w:rPr>
            </w:pPr>
          </w:p>
        </w:tc>
        <w:tc>
          <w:tcPr>
            <w:tcW w:w="6480" w:type="dxa"/>
            <w:vAlign w:val="center"/>
          </w:tcPr>
          <w:p w:rsidR="00E52D98" w:rsidRPr="00E52D98" w:rsidRDefault="00E52D98" w:rsidP="00E52D98">
            <w:pPr>
              <w:jc w:val="both"/>
              <w:rPr>
                <w:rFonts w:cs="Arial"/>
                <w:b/>
                <w:iCs/>
                <w:sz w:val="22"/>
                <w:szCs w:val="22"/>
              </w:rPr>
            </w:pPr>
            <w:r w:rsidRPr="00E52D98">
              <w:rPr>
                <w:rFonts w:cs="Arial"/>
                <w:b/>
                <w:iCs/>
                <w:sz w:val="22"/>
                <w:szCs w:val="22"/>
              </w:rPr>
              <w:t>Non Specified Investment Category</w:t>
            </w:r>
          </w:p>
        </w:tc>
        <w:tc>
          <w:tcPr>
            <w:tcW w:w="1754" w:type="dxa"/>
            <w:vAlign w:val="center"/>
          </w:tcPr>
          <w:p w:rsidR="00E52D98" w:rsidRPr="00E52D98" w:rsidRDefault="00E52D98" w:rsidP="00E52D98">
            <w:pPr>
              <w:jc w:val="both"/>
              <w:rPr>
                <w:rFonts w:cs="Arial"/>
                <w:b/>
                <w:iCs/>
                <w:sz w:val="22"/>
                <w:szCs w:val="22"/>
              </w:rPr>
            </w:pPr>
            <w:r w:rsidRPr="00E52D98">
              <w:rPr>
                <w:rFonts w:cs="Arial"/>
                <w:b/>
                <w:iCs/>
                <w:sz w:val="22"/>
                <w:szCs w:val="22"/>
              </w:rPr>
              <w:t>Limit (£ or %)</w:t>
            </w:r>
          </w:p>
        </w:tc>
      </w:tr>
      <w:tr w:rsidR="00E52D98" w:rsidRPr="00E52D98" w:rsidTr="00E52D98">
        <w:trPr>
          <w:jc w:val="center"/>
        </w:trPr>
        <w:tc>
          <w:tcPr>
            <w:tcW w:w="437" w:type="dxa"/>
          </w:tcPr>
          <w:p w:rsidR="00E52D98" w:rsidRPr="00E52D98" w:rsidRDefault="00E52D98" w:rsidP="008429A2">
            <w:pPr>
              <w:numPr>
                <w:ilvl w:val="1"/>
                <w:numId w:val="6"/>
              </w:numPr>
              <w:tabs>
                <w:tab w:val="num" w:pos="540"/>
              </w:tabs>
              <w:ind w:left="0"/>
              <w:jc w:val="both"/>
              <w:rPr>
                <w:rFonts w:cs="Arial"/>
                <w:sz w:val="22"/>
                <w:szCs w:val="22"/>
              </w:rPr>
            </w:pPr>
          </w:p>
        </w:tc>
        <w:tc>
          <w:tcPr>
            <w:tcW w:w="6480" w:type="dxa"/>
          </w:tcPr>
          <w:p w:rsidR="00E52D98" w:rsidRPr="00E52D98" w:rsidRDefault="00E52D98" w:rsidP="00E52D98">
            <w:pPr>
              <w:jc w:val="both"/>
              <w:rPr>
                <w:rFonts w:cs="Arial"/>
                <w:iCs/>
                <w:sz w:val="22"/>
                <w:szCs w:val="22"/>
              </w:rPr>
            </w:pPr>
            <w:r w:rsidRPr="00E52D98">
              <w:rPr>
                <w:rFonts w:cs="Arial"/>
                <w:sz w:val="22"/>
                <w:szCs w:val="22"/>
              </w:rPr>
              <w:t xml:space="preserve">Any bank or building society that has </w:t>
            </w:r>
            <w:r w:rsidRPr="00E52D98">
              <w:rPr>
                <w:rFonts w:cs="Arial"/>
                <w:iCs/>
                <w:sz w:val="22"/>
                <w:szCs w:val="22"/>
              </w:rPr>
              <w:t>a minimum long term credit rating of</w:t>
            </w:r>
            <w:r w:rsidRPr="00E52D98">
              <w:rPr>
                <w:rFonts w:cs="Arial"/>
                <w:sz w:val="22"/>
                <w:szCs w:val="22"/>
              </w:rPr>
              <w:t xml:space="preserve"> A (or equivalent), for deposits with a maturity of greater than one year (including forward deals in excess of one year from inception to repayment).</w:t>
            </w:r>
          </w:p>
        </w:tc>
        <w:tc>
          <w:tcPr>
            <w:tcW w:w="1754" w:type="dxa"/>
            <w:vAlign w:val="center"/>
          </w:tcPr>
          <w:p w:rsidR="00E52D98" w:rsidRPr="00E52D98" w:rsidRDefault="00E52D98" w:rsidP="00E52D98">
            <w:pPr>
              <w:jc w:val="both"/>
              <w:rPr>
                <w:rFonts w:cs="Arial"/>
                <w:sz w:val="22"/>
                <w:szCs w:val="22"/>
              </w:rPr>
            </w:pPr>
            <w:r w:rsidRPr="00E52D98">
              <w:rPr>
                <w:rFonts w:cs="Arial"/>
                <w:sz w:val="22"/>
                <w:szCs w:val="22"/>
              </w:rPr>
              <w:t xml:space="preserve">£5m </w:t>
            </w:r>
          </w:p>
          <w:p w:rsidR="00E52D98" w:rsidRPr="00E52D98" w:rsidRDefault="00E52D98" w:rsidP="00E52D98">
            <w:pPr>
              <w:jc w:val="both"/>
              <w:rPr>
                <w:rFonts w:cs="Arial"/>
                <w:iCs/>
                <w:sz w:val="22"/>
                <w:szCs w:val="22"/>
                <w:highlight w:val="yellow"/>
              </w:rPr>
            </w:pPr>
          </w:p>
        </w:tc>
      </w:tr>
      <w:tr w:rsidR="00E52D98" w:rsidRPr="00E52D98" w:rsidTr="00E52D98">
        <w:trPr>
          <w:jc w:val="center"/>
        </w:trPr>
        <w:tc>
          <w:tcPr>
            <w:tcW w:w="437" w:type="dxa"/>
          </w:tcPr>
          <w:p w:rsidR="00E52D98" w:rsidRPr="00E52D98" w:rsidRDefault="00E52D98" w:rsidP="008429A2">
            <w:pPr>
              <w:numPr>
                <w:ilvl w:val="1"/>
                <w:numId w:val="6"/>
              </w:numPr>
              <w:tabs>
                <w:tab w:val="num" w:pos="540"/>
              </w:tabs>
              <w:ind w:left="0"/>
              <w:jc w:val="both"/>
              <w:rPr>
                <w:rFonts w:cs="Arial"/>
                <w:b/>
                <w:sz w:val="22"/>
                <w:szCs w:val="22"/>
              </w:rPr>
            </w:pPr>
          </w:p>
        </w:tc>
        <w:tc>
          <w:tcPr>
            <w:tcW w:w="6480" w:type="dxa"/>
          </w:tcPr>
          <w:p w:rsidR="00E52D98" w:rsidRPr="00E52D98" w:rsidRDefault="00E52D98" w:rsidP="00E52D98">
            <w:pPr>
              <w:jc w:val="both"/>
              <w:rPr>
                <w:rFonts w:cs="Arial"/>
                <w:b/>
                <w:iCs/>
                <w:sz w:val="22"/>
                <w:szCs w:val="22"/>
              </w:rPr>
            </w:pPr>
            <w:r w:rsidRPr="00E52D98">
              <w:rPr>
                <w:rFonts w:cs="Arial"/>
                <w:iCs/>
                <w:sz w:val="22"/>
                <w:szCs w:val="22"/>
              </w:rPr>
              <w:t xml:space="preserve">The Council’s own banker if it fails to meet the basic credit criteria.  </w:t>
            </w:r>
          </w:p>
        </w:tc>
        <w:tc>
          <w:tcPr>
            <w:tcW w:w="1754" w:type="dxa"/>
            <w:vAlign w:val="center"/>
          </w:tcPr>
          <w:p w:rsidR="00E52D98" w:rsidRPr="00E52D98" w:rsidRDefault="00E52D98" w:rsidP="00E52D98">
            <w:pPr>
              <w:jc w:val="both"/>
              <w:rPr>
                <w:rFonts w:cs="Arial"/>
                <w:iCs/>
                <w:sz w:val="22"/>
                <w:szCs w:val="22"/>
                <w:highlight w:val="cyan"/>
              </w:rPr>
            </w:pPr>
            <w:r w:rsidRPr="00E52D98">
              <w:rPr>
                <w:rFonts w:cs="Arial"/>
                <w:iCs/>
                <w:sz w:val="22"/>
                <w:szCs w:val="22"/>
              </w:rPr>
              <w:t>In this instance balances will be minimised as much as possible</w:t>
            </w:r>
          </w:p>
        </w:tc>
      </w:tr>
      <w:tr w:rsidR="00E52D98" w:rsidRPr="00E52D98" w:rsidTr="00E52D98">
        <w:trPr>
          <w:jc w:val="center"/>
        </w:trPr>
        <w:tc>
          <w:tcPr>
            <w:tcW w:w="437" w:type="dxa"/>
          </w:tcPr>
          <w:p w:rsidR="00E52D98" w:rsidRPr="00E52D98" w:rsidRDefault="00E52D98" w:rsidP="008429A2">
            <w:pPr>
              <w:numPr>
                <w:ilvl w:val="1"/>
                <w:numId w:val="6"/>
              </w:numPr>
              <w:tabs>
                <w:tab w:val="num" w:pos="540"/>
              </w:tabs>
              <w:ind w:left="0"/>
              <w:jc w:val="both"/>
              <w:rPr>
                <w:rFonts w:cs="Arial"/>
                <w:sz w:val="22"/>
                <w:szCs w:val="22"/>
              </w:rPr>
            </w:pPr>
          </w:p>
        </w:tc>
        <w:tc>
          <w:tcPr>
            <w:tcW w:w="6480" w:type="dxa"/>
          </w:tcPr>
          <w:p w:rsidR="00E52D98" w:rsidRPr="00E52D98" w:rsidRDefault="00E52D98" w:rsidP="00E52D98">
            <w:pPr>
              <w:jc w:val="both"/>
              <w:rPr>
                <w:rFonts w:cs="Arial"/>
                <w:sz w:val="22"/>
                <w:szCs w:val="22"/>
              </w:rPr>
            </w:pPr>
            <w:r w:rsidRPr="00E52D98">
              <w:rPr>
                <w:rFonts w:cs="Arial"/>
                <w:sz w:val="22"/>
                <w:szCs w:val="22"/>
              </w:rPr>
              <w:t>Building Societies not meeting the basic security requirements under the specified investments.</w:t>
            </w:r>
          </w:p>
          <w:p w:rsidR="00E52D98" w:rsidRPr="00E52D98" w:rsidRDefault="00E52D98" w:rsidP="00E52D98">
            <w:pPr>
              <w:jc w:val="both"/>
              <w:rPr>
                <w:rFonts w:cs="Arial"/>
                <w:iCs/>
                <w:sz w:val="22"/>
                <w:szCs w:val="22"/>
              </w:rPr>
            </w:pPr>
            <w:r w:rsidRPr="00E52D98">
              <w:rPr>
                <w:rFonts w:cs="Arial"/>
                <w:sz w:val="22"/>
                <w:szCs w:val="22"/>
              </w:rPr>
              <w:t>The operation of some building societies does not require a credit rating, although in every other respect the security of the society would match similarly sized societies with ratings.  The Council may use such building societies which were originally considered Eligible Institutions and have a minimum asset size of £5,000M, but will restrict these types of investments to £2m for up to six months.</w:t>
            </w:r>
          </w:p>
        </w:tc>
        <w:tc>
          <w:tcPr>
            <w:tcW w:w="1754" w:type="dxa"/>
            <w:vAlign w:val="center"/>
          </w:tcPr>
          <w:p w:rsidR="00E52D98" w:rsidRPr="00E52D98" w:rsidRDefault="00E52D98" w:rsidP="00E52D98">
            <w:pPr>
              <w:jc w:val="both"/>
              <w:rPr>
                <w:rFonts w:cs="Arial"/>
                <w:iCs/>
                <w:sz w:val="22"/>
                <w:szCs w:val="22"/>
              </w:rPr>
            </w:pPr>
            <w:r w:rsidRPr="00E52D98">
              <w:rPr>
                <w:rFonts w:cs="Arial"/>
                <w:iCs/>
                <w:sz w:val="22"/>
                <w:szCs w:val="22"/>
              </w:rPr>
              <w:t>£2m</w:t>
            </w:r>
          </w:p>
          <w:p w:rsidR="00E52D98" w:rsidRPr="00E52D98" w:rsidRDefault="00E52D98" w:rsidP="00E52D98">
            <w:pPr>
              <w:jc w:val="both"/>
              <w:rPr>
                <w:rFonts w:cs="Arial"/>
                <w:iCs/>
                <w:sz w:val="22"/>
                <w:szCs w:val="22"/>
                <w:highlight w:val="yellow"/>
              </w:rPr>
            </w:pPr>
          </w:p>
        </w:tc>
      </w:tr>
      <w:tr w:rsidR="00E52D98" w:rsidRPr="00E52D98" w:rsidTr="00E52D98">
        <w:trPr>
          <w:jc w:val="center"/>
        </w:trPr>
        <w:tc>
          <w:tcPr>
            <w:tcW w:w="437" w:type="dxa"/>
          </w:tcPr>
          <w:p w:rsidR="00E52D98" w:rsidRPr="00E52D98" w:rsidRDefault="00E52D98" w:rsidP="008429A2">
            <w:pPr>
              <w:numPr>
                <w:ilvl w:val="1"/>
                <w:numId w:val="6"/>
              </w:numPr>
              <w:tabs>
                <w:tab w:val="num" w:pos="540"/>
              </w:tabs>
              <w:ind w:left="0"/>
              <w:jc w:val="both"/>
              <w:rPr>
                <w:rFonts w:cs="Arial"/>
                <w:sz w:val="22"/>
                <w:szCs w:val="22"/>
              </w:rPr>
            </w:pPr>
          </w:p>
        </w:tc>
        <w:tc>
          <w:tcPr>
            <w:tcW w:w="6480" w:type="dxa"/>
          </w:tcPr>
          <w:p w:rsidR="00E52D98" w:rsidRPr="00E52D98" w:rsidRDefault="00E52D98" w:rsidP="00E52D98">
            <w:pPr>
              <w:jc w:val="both"/>
              <w:rPr>
                <w:rFonts w:cs="Arial"/>
                <w:sz w:val="22"/>
                <w:szCs w:val="22"/>
              </w:rPr>
            </w:pPr>
            <w:r w:rsidRPr="00E52D98">
              <w:rPr>
                <w:rFonts w:cs="Arial"/>
                <w:sz w:val="22"/>
                <w:szCs w:val="22"/>
              </w:rPr>
              <w:t>Specific Public Bodies</w:t>
            </w:r>
          </w:p>
          <w:p w:rsidR="00E52D98" w:rsidRPr="00E52D98" w:rsidRDefault="00E52D98" w:rsidP="00E52D98">
            <w:pPr>
              <w:jc w:val="both"/>
              <w:rPr>
                <w:rFonts w:cs="Arial"/>
                <w:sz w:val="22"/>
                <w:szCs w:val="22"/>
              </w:rPr>
            </w:pPr>
            <w:r w:rsidRPr="00E52D98">
              <w:rPr>
                <w:rFonts w:cs="Arial"/>
                <w:sz w:val="22"/>
                <w:szCs w:val="22"/>
              </w:rPr>
              <w:t>The Council can seek Member approval to make loans to other public bodies for periods of more than one year.</w:t>
            </w:r>
          </w:p>
        </w:tc>
        <w:tc>
          <w:tcPr>
            <w:tcW w:w="1754" w:type="dxa"/>
            <w:vAlign w:val="center"/>
          </w:tcPr>
          <w:p w:rsidR="00E52D98" w:rsidRPr="00E52D98" w:rsidRDefault="00E52D98" w:rsidP="00E52D98">
            <w:pPr>
              <w:jc w:val="both"/>
              <w:rPr>
                <w:rFonts w:cs="Arial"/>
                <w:iCs/>
                <w:sz w:val="22"/>
                <w:szCs w:val="22"/>
                <w:highlight w:val="yellow"/>
              </w:rPr>
            </w:pPr>
          </w:p>
          <w:p w:rsidR="00E52D98" w:rsidRPr="00E52D98" w:rsidRDefault="00E52D98" w:rsidP="00E52D98">
            <w:pPr>
              <w:jc w:val="both"/>
              <w:rPr>
                <w:rFonts w:cs="Arial"/>
                <w:iCs/>
                <w:sz w:val="22"/>
                <w:szCs w:val="22"/>
                <w:highlight w:val="yellow"/>
              </w:rPr>
            </w:pPr>
            <w:r w:rsidRPr="00E52D98">
              <w:rPr>
                <w:rFonts w:cs="Arial"/>
                <w:iCs/>
                <w:sz w:val="22"/>
                <w:szCs w:val="22"/>
              </w:rPr>
              <w:t xml:space="preserve">£10m </w:t>
            </w:r>
          </w:p>
        </w:tc>
      </w:tr>
    </w:tbl>
    <w:p w:rsidR="00E52D98" w:rsidRPr="00E52D98" w:rsidRDefault="00E52D98" w:rsidP="00E52D98">
      <w:pPr>
        <w:jc w:val="both"/>
        <w:rPr>
          <w:rFonts w:cs="Arial"/>
          <w:iCs/>
          <w:color w:val="0000FF"/>
          <w:sz w:val="22"/>
          <w:szCs w:val="22"/>
        </w:rPr>
      </w:pPr>
    </w:p>
    <w:p w:rsidR="00E52D98" w:rsidRPr="00E52D98" w:rsidRDefault="00E52D98" w:rsidP="00E52D98">
      <w:pPr>
        <w:jc w:val="both"/>
        <w:rPr>
          <w:rFonts w:cs="Arial"/>
          <w:i/>
          <w:iCs/>
          <w:sz w:val="22"/>
          <w:szCs w:val="22"/>
        </w:rPr>
      </w:pPr>
      <w:r w:rsidRPr="00E52D98">
        <w:rPr>
          <w:rFonts w:cs="Arial"/>
          <w:sz w:val="22"/>
          <w:szCs w:val="22"/>
        </w:rPr>
        <w:t>In accordance with the Code, the Council has developed additional criteria to set the overall amount of monies which will be invested in these bodies. These criteria are defined in the Treasury Management Strategy.</w:t>
      </w:r>
      <w:r w:rsidRPr="00E52D98">
        <w:rPr>
          <w:rFonts w:cs="Arial"/>
          <w:i/>
          <w:iCs/>
          <w:sz w:val="22"/>
          <w:szCs w:val="22"/>
        </w:rPr>
        <w:t xml:space="preserve">  </w:t>
      </w:r>
    </w:p>
    <w:p w:rsidR="00E52D98" w:rsidRPr="00E52D98" w:rsidRDefault="00E52D98" w:rsidP="00E52D98">
      <w:pPr>
        <w:jc w:val="both"/>
        <w:rPr>
          <w:rFonts w:cs="Arial"/>
          <w:iCs/>
          <w:sz w:val="22"/>
          <w:szCs w:val="22"/>
        </w:rPr>
      </w:pPr>
      <w:r w:rsidRPr="00E52D98">
        <w:rPr>
          <w:rFonts w:cs="Arial"/>
          <w:iCs/>
          <w:sz w:val="22"/>
          <w:szCs w:val="22"/>
        </w:rPr>
        <w:t>In respect of category d this will only be considered after obtaining external advice and subsequent Member approval.</w:t>
      </w:r>
    </w:p>
    <w:p w:rsidR="00E52D98" w:rsidRPr="00E52D98" w:rsidRDefault="00E52D98" w:rsidP="00E52D98">
      <w:pPr>
        <w:jc w:val="both"/>
        <w:rPr>
          <w:rFonts w:cs="Arial"/>
          <w:iCs/>
          <w:sz w:val="22"/>
          <w:szCs w:val="22"/>
        </w:rPr>
      </w:pPr>
      <w:r w:rsidRPr="00E52D98">
        <w:rPr>
          <w:rFonts w:cs="Arial"/>
          <w:iCs/>
          <w:sz w:val="22"/>
          <w:szCs w:val="22"/>
        </w:rPr>
        <w:t xml:space="preserve">The Council will also consider investment in property in accordance with its Property Investment Strategy. All property investments will be dependent on a standalone business case being proven.  </w:t>
      </w:r>
    </w:p>
    <w:p w:rsidR="00E52D98" w:rsidRPr="00E52D98" w:rsidRDefault="00E52D98" w:rsidP="00E52D98">
      <w:pPr>
        <w:tabs>
          <w:tab w:val="left" w:pos="0"/>
        </w:tabs>
        <w:ind w:hanging="1267"/>
        <w:jc w:val="both"/>
        <w:rPr>
          <w:color w:val="0000FF"/>
          <w:sz w:val="22"/>
          <w:szCs w:val="22"/>
        </w:rPr>
      </w:pPr>
      <w:r w:rsidRPr="00E52D98">
        <w:rPr>
          <w:color w:val="0000FF"/>
          <w:sz w:val="22"/>
          <w:szCs w:val="22"/>
        </w:rPr>
        <w:tab/>
      </w:r>
      <w:r w:rsidRPr="00E52D98">
        <w:rPr>
          <w:color w:val="0000FF"/>
          <w:sz w:val="22"/>
          <w:szCs w:val="22"/>
        </w:rPr>
        <w:tab/>
      </w:r>
    </w:p>
    <w:p w:rsidR="00E52D98" w:rsidRDefault="00E52D98" w:rsidP="008429A2">
      <w:pPr>
        <w:jc w:val="both"/>
        <w:rPr>
          <w:rFonts w:cs="Arial"/>
          <w:b/>
          <w:sz w:val="22"/>
          <w:szCs w:val="22"/>
        </w:rPr>
      </w:pPr>
      <w:r w:rsidRPr="00E52D98">
        <w:rPr>
          <w:rFonts w:cs="Arial"/>
          <w:b/>
          <w:bCs/>
          <w:sz w:val="22"/>
          <w:szCs w:val="22"/>
        </w:rPr>
        <w:t>The Monitoring of Investment Counterparties</w:t>
      </w:r>
    </w:p>
    <w:p w:rsidR="00E52D98" w:rsidRPr="00E52D98" w:rsidRDefault="00E52D98" w:rsidP="00E52D98">
      <w:pPr>
        <w:tabs>
          <w:tab w:val="num" w:pos="709"/>
        </w:tabs>
        <w:jc w:val="both"/>
        <w:rPr>
          <w:rFonts w:cs="Arial"/>
          <w:b/>
          <w:bCs/>
          <w:color w:val="0000FF"/>
          <w:sz w:val="16"/>
          <w:szCs w:val="16"/>
        </w:rPr>
      </w:pPr>
      <w:r w:rsidRPr="00E52D98">
        <w:rPr>
          <w:sz w:val="22"/>
          <w:szCs w:val="22"/>
        </w:rPr>
        <w:t xml:space="preserve">The credit rating of counterparties is monitored regularly.  </w:t>
      </w:r>
      <w:r w:rsidRPr="00E52D98">
        <w:rPr>
          <w:sz w:val="22"/>
          <w:szCs w:val="22"/>
        </w:rPr>
        <w:fldChar w:fldCharType="begin"/>
      </w:r>
      <w:r w:rsidRPr="00E52D98">
        <w:rPr>
          <w:sz w:val="22"/>
          <w:szCs w:val="22"/>
        </w:rPr>
        <w:instrText xml:space="preserve">  </w:instrText>
      </w:r>
      <w:r w:rsidRPr="00E52D98">
        <w:rPr>
          <w:sz w:val="22"/>
          <w:szCs w:val="22"/>
        </w:rPr>
        <w:fldChar w:fldCharType="end"/>
      </w:r>
      <w:r w:rsidRPr="00E52D98">
        <w:rPr>
          <w:sz w:val="22"/>
          <w:szCs w:val="22"/>
        </w:rPr>
        <w:t xml:space="preserve">The main rating agencies (Fitch, Moody’s and Standard &amp; Poor’s) provide credit ratings for financial institutions.  The Council receives credit rating information (changes, rating watches and rating outlooks) from Capita Asset Services Treasury Solutions as and when ratings change, and counterparties are checked promptly.  The Council considers </w:t>
      </w:r>
      <w:r w:rsidRPr="00E52D98">
        <w:rPr>
          <w:bCs/>
          <w:sz w:val="22"/>
          <w:szCs w:val="22"/>
        </w:rPr>
        <w:t>minimum short term ratings </w:t>
      </w:r>
      <w:r w:rsidRPr="00E52D98">
        <w:rPr>
          <w:sz w:val="22"/>
          <w:szCs w:val="22"/>
        </w:rPr>
        <w:t>as key criteria in the choice of creditworthy investment counterparties; F1+, P-1 and A-1+ are the highest short term credit ratings of Fitch, Moody's and Standard &amp; Poor's respectively.  Minimum Short Term Ratings, where given, must be met for all categories.  On occasion ratings may be downgraded when an investment has already been made.  The criteria used are such that a minor downgrading should not affect the full receipt of the principal and interest.  Any counterparty failing to meet the criteria will be removed from the list immediately by the Director of Finance, and if required new counterparties which meet the criteria will be added to the list.</w:t>
      </w:r>
    </w:p>
    <w:p w:rsidR="008429A2" w:rsidRDefault="008429A2" w:rsidP="00E52D98">
      <w:pPr>
        <w:jc w:val="both"/>
        <w:rPr>
          <w:rFonts w:cs="Arial"/>
          <w:b/>
          <w:bCs/>
          <w:sz w:val="16"/>
          <w:szCs w:val="16"/>
        </w:rPr>
        <w:sectPr w:rsidR="008429A2" w:rsidSect="00E52D98">
          <w:headerReference w:type="default" r:id="rId21"/>
          <w:footerReference w:type="even" r:id="rId22"/>
          <w:footerReference w:type="first" r:id="rId23"/>
          <w:pgSz w:w="11906" w:h="16838"/>
          <w:pgMar w:top="1079" w:right="1286" w:bottom="899" w:left="1440" w:header="708" w:footer="708" w:gutter="0"/>
          <w:cols w:space="708"/>
          <w:docGrid w:linePitch="360"/>
        </w:sectPr>
      </w:pPr>
    </w:p>
    <w:tbl>
      <w:tblPr>
        <w:tblW w:w="15011" w:type="dxa"/>
        <w:tblInd w:w="-318" w:type="dxa"/>
        <w:tblLayout w:type="fixed"/>
        <w:tblLook w:val="0000" w:firstRow="0" w:lastRow="0" w:firstColumn="0" w:lastColumn="0" w:noHBand="0" w:noVBand="0"/>
      </w:tblPr>
      <w:tblGrid>
        <w:gridCol w:w="3490"/>
        <w:gridCol w:w="963"/>
        <w:gridCol w:w="964"/>
        <w:gridCol w:w="963"/>
        <w:gridCol w:w="1570"/>
        <w:gridCol w:w="1571"/>
        <w:gridCol w:w="1571"/>
        <w:gridCol w:w="1703"/>
        <w:gridCol w:w="1675"/>
        <w:gridCol w:w="541"/>
      </w:tblGrid>
      <w:tr w:rsidR="00E52D98" w:rsidRPr="00E52D98" w:rsidTr="00E52D98">
        <w:trPr>
          <w:trHeight w:val="300"/>
        </w:trPr>
        <w:tc>
          <w:tcPr>
            <w:tcW w:w="3490" w:type="dxa"/>
            <w:tcBorders>
              <w:left w:val="single" w:sz="4" w:space="0" w:color="auto"/>
              <w:bottom w:val="nil"/>
              <w:right w:val="nil"/>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lastRenderedPageBreak/>
              <w:t>Institution Type</w:t>
            </w:r>
          </w:p>
        </w:tc>
        <w:tc>
          <w:tcPr>
            <w:tcW w:w="2890" w:type="dxa"/>
            <w:gridSpan w:val="3"/>
            <w:tcBorders>
              <w:left w:val="single" w:sz="4" w:space="0" w:color="auto"/>
              <w:bottom w:val="single" w:sz="4" w:space="0" w:color="auto"/>
              <w:right w:val="single" w:sz="4" w:space="0" w:color="auto"/>
            </w:tcBorders>
            <w:shd w:val="clear" w:color="auto" w:fill="auto"/>
            <w:noWrap/>
            <w:vAlign w:val="center"/>
          </w:tcPr>
          <w:p w:rsidR="00E52D98" w:rsidRPr="00E52D98" w:rsidRDefault="00E52D98" w:rsidP="00E52D98">
            <w:pPr>
              <w:jc w:val="both"/>
              <w:rPr>
                <w:rFonts w:cs="Arial"/>
                <w:b/>
                <w:bCs/>
                <w:sz w:val="16"/>
                <w:szCs w:val="16"/>
              </w:rPr>
            </w:pPr>
            <w:r w:rsidRPr="00E52D98">
              <w:rPr>
                <w:rFonts w:cs="Arial"/>
                <w:b/>
                <w:bCs/>
                <w:sz w:val="16"/>
                <w:szCs w:val="16"/>
              </w:rPr>
              <w:t>Max Amount: </w:t>
            </w:r>
          </w:p>
        </w:tc>
        <w:tc>
          <w:tcPr>
            <w:tcW w:w="1570" w:type="dxa"/>
            <w:tcBorders>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£5m</w:t>
            </w:r>
          </w:p>
        </w:tc>
        <w:tc>
          <w:tcPr>
            <w:tcW w:w="1571" w:type="dxa"/>
            <w:tcBorders>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£10m</w:t>
            </w:r>
          </w:p>
        </w:tc>
        <w:tc>
          <w:tcPr>
            <w:tcW w:w="1571" w:type="dxa"/>
            <w:tcBorders>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£10m</w:t>
            </w:r>
          </w:p>
        </w:tc>
        <w:tc>
          <w:tcPr>
            <w:tcW w:w="1703" w:type="dxa"/>
            <w:tcBorders>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£10m</w:t>
            </w:r>
          </w:p>
        </w:tc>
        <w:tc>
          <w:tcPr>
            <w:tcW w:w="1675" w:type="dxa"/>
            <w:tcBorders>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£10m</w:t>
            </w:r>
          </w:p>
        </w:tc>
        <w:tc>
          <w:tcPr>
            <w:tcW w:w="541" w:type="dxa"/>
            <w:vMerge w:val="restart"/>
            <w:tcBorders>
              <w:left w:val="nil"/>
            </w:tcBorders>
            <w:shd w:val="clear" w:color="auto" w:fill="auto"/>
            <w:textDirection w:val="tbRl"/>
          </w:tcPr>
          <w:p w:rsidR="00E52D98" w:rsidRPr="00E52D98" w:rsidRDefault="00E52D98" w:rsidP="00E52D98">
            <w:pPr>
              <w:jc w:val="both"/>
              <w:rPr>
                <w:rFonts w:cs="Arial"/>
                <w:b/>
                <w:bCs/>
                <w:szCs w:val="24"/>
              </w:rPr>
            </w:pPr>
            <w:r w:rsidRPr="00E52D98">
              <w:rPr>
                <w:rFonts w:cs="Arial"/>
                <w:b/>
                <w:bCs/>
                <w:szCs w:val="24"/>
              </w:rPr>
              <w:t>Schedule 1</w:t>
            </w:r>
          </w:p>
          <w:p w:rsidR="00E52D98" w:rsidRPr="00E52D98" w:rsidRDefault="00E52D98" w:rsidP="00E52D98">
            <w:pPr>
              <w:jc w:val="both"/>
              <w:rPr>
                <w:rFonts w:cs="Arial"/>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b/>
                <w:bCs/>
                <w:sz w:val="16"/>
                <w:szCs w:val="16"/>
              </w:rPr>
            </w:pPr>
          </w:p>
          <w:p w:rsidR="00E52D98" w:rsidRPr="00E52D98" w:rsidRDefault="00E52D98" w:rsidP="00E52D98">
            <w:pPr>
              <w:jc w:val="both"/>
              <w:rPr>
                <w:rFonts w:cs="Arial"/>
                <w:b/>
                <w:bCs/>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sz w:val="16"/>
                <w:szCs w:val="16"/>
              </w:rPr>
            </w:pPr>
          </w:p>
          <w:p w:rsidR="00E52D98" w:rsidRPr="00E52D98" w:rsidRDefault="00E52D98" w:rsidP="00E52D98">
            <w:pPr>
              <w:jc w:val="both"/>
              <w:rPr>
                <w:rFonts w:cs="Arial"/>
                <w:b/>
                <w:bCs/>
                <w:sz w:val="16"/>
                <w:szCs w:val="16"/>
              </w:rPr>
            </w:pPr>
          </w:p>
        </w:tc>
      </w:tr>
      <w:tr w:rsidR="00E52D98" w:rsidRPr="00E52D98" w:rsidTr="00E52D98">
        <w:trPr>
          <w:trHeight w:val="300"/>
        </w:trPr>
        <w:tc>
          <w:tcPr>
            <w:tcW w:w="3490" w:type="dxa"/>
            <w:tcBorders>
              <w:top w:val="nil"/>
              <w:left w:val="single" w:sz="4" w:space="0" w:color="auto"/>
              <w:bottom w:val="single" w:sz="4" w:space="0" w:color="auto"/>
              <w:right w:val="nil"/>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 </w:t>
            </w:r>
          </w:p>
        </w:tc>
        <w:tc>
          <w:tcPr>
            <w:tcW w:w="2890"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52D98" w:rsidRPr="00E52D98" w:rsidRDefault="00E52D98" w:rsidP="00E52D98">
            <w:pPr>
              <w:jc w:val="both"/>
              <w:rPr>
                <w:rFonts w:cs="Arial"/>
                <w:b/>
                <w:bCs/>
                <w:sz w:val="16"/>
                <w:szCs w:val="16"/>
              </w:rPr>
            </w:pPr>
            <w:r w:rsidRPr="00E52D98">
              <w:rPr>
                <w:rFonts w:cs="Arial"/>
                <w:b/>
                <w:bCs/>
                <w:sz w:val="16"/>
                <w:szCs w:val="16"/>
              </w:rPr>
              <w:t>Max Length: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10 Years</w:t>
            </w:r>
          </w:p>
        </w:tc>
        <w:tc>
          <w:tcPr>
            <w:tcW w:w="1571" w:type="dxa"/>
            <w:tcBorders>
              <w:top w:val="single" w:sz="4" w:space="0" w:color="auto"/>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364 Days</w:t>
            </w:r>
          </w:p>
        </w:tc>
        <w:tc>
          <w:tcPr>
            <w:tcW w:w="1571" w:type="dxa"/>
            <w:tcBorders>
              <w:top w:val="single" w:sz="4" w:space="0" w:color="auto"/>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6 Months</w:t>
            </w:r>
          </w:p>
        </w:tc>
        <w:tc>
          <w:tcPr>
            <w:tcW w:w="1703" w:type="dxa"/>
            <w:tcBorders>
              <w:top w:val="single" w:sz="4" w:space="0" w:color="auto"/>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3 Months</w:t>
            </w:r>
          </w:p>
        </w:tc>
        <w:tc>
          <w:tcPr>
            <w:tcW w:w="1675" w:type="dxa"/>
            <w:tcBorders>
              <w:top w:val="single" w:sz="4" w:space="0" w:color="auto"/>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1 Month</w:t>
            </w:r>
          </w:p>
        </w:tc>
        <w:tc>
          <w:tcPr>
            <w:tcW w:w="541" w:type="dxa"/>
            <w:vMerge/>
            <w:tcBorders>
              <w:left w:val="nil"/>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w:t>
            </w:r>
          </w:p>
        </w:tc>
        <w:tc>
          <w:tcPr>
            <w:tcW w:w="2890" w:type="dxa"/>
            <w:gridSpan w:val="3"/>
            <w:tcBorders>
              <w:top w:val="single" w:sz="4" w:space="0" w:color="auto"/>
              <w:left w:val="nil"/>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Minimum Short Term Ratings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541" w:type="dxa"/>
            <w:vMerge/>
            <w:tcBorders>
              <w:left w:val="nil"/>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w:t>
            </w:r>
          </w:p>
        </w:tc>
        <w:tc>
          <w:tcPr>
            <w:tcW w:w="963" w:type="dxa"/>
            <w:tcBorders>
              <w:top w:val="single" w:sz="4" w:space="0" w:color="auto"/>
              <w:left w:val="nil"/>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Fitch</w:t>
            </w: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Moody's</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S&amp;P</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541" w:type="dxa"/>
            <w:vMerge/>
            <w:tcBorders>
              <w:left w:val="single" w:sz="4" w:space="0" w:color="auto"/>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300"/>
        </w:trPr>
        <w:tc>
          <w:tcPr>
            <w:tcW w:w="3490" w:type="dxa"/>
            <w:tcBorders>
              <w:top w:val="nil"/>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smartTag w:uri="urn:schemas-microsoft-com:office:smarttags" w:element="country-region">
              <w:smartTag w:uri="urn:schemas-microsoft-com:office:smarttags" w:element="place">
                <w:r w:rsidRPr="00E52D98">
                  <w:rPr>
                    <w:rFonts w:cs="Arial"/>
                    <w:b/>
                    <w:bCs/>
                    <w:sz w:val="16"/>
                    <w:szCs w:val="16"/>
                  </w:rPr>
                  <w:t>UK</w:t>
                </w:r>
              </w:smartTag>
            </w:smartTag>
            <w:r w:rsidRPr="00E52D98">
              <w:rPr>
                <w:rFonts w:cs="Arial"/>
                <w:b/>
                <w:bCs/>
                <w:sz w:val="16"/>
                <w:szCs w:val="16"/>
              </w:rPr>
              <w:t xml:space="preserve"> Banks</w:t>
            </w:r>
          </w:p>
        </w:tc>
        <w:tc>
          <w:tcPr>
            <w:tcW w:w="963" w:type="dxa"/>
            <w:tcBorders>
              <w:top w:val="single" w:sz="4" w:space="0" w:color="auto"/>
              <w:left w:val="nil"/>
              <w:bottom w:val="single" w:sz="4" w:space="0" w:color="auto"/>
              <w:right w:val="single" w:sz="4" w:space="0" w:color="auto"/>
            </w:tcBorders>
            <w:shd w:val="clear" w:color="auto" w:fill="auto"/>
            <w:noWrap/>
            <w:vAlign w:val="bottom"/>
          </w:tcPr>
          <w:p w:rsidR="00E52D98" w:rsidRPr="00E52D98" w:rsidRDefault="00E52D98" w:rsidP="00E52D98">
            <w:pPr>
              <w:jc w:val="both"/>
              <w:rPr>
                <w:rFonts w:cs="Arial"/>
                <w:sz w:val="16"/>
                <w:szCs w:val="16"/>
              </w:rPr>
            </w:pPr>
            <w:r w:rsidRPr="00E52D98">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2D98" w:rsidRPr="00E52D98" w:rsidRDefault="00E52D98" w:rsidP="00E52D98">
            <w:pPr>
              <w:jc w:val="both"/>
              <w:rPr>
                <w:rFonts w:cs="Arial"/>
                <w:sz w:val="16"/>
                <w:szCs w:val="16"/>
              </w:rPr>
            </w:pPr>
            <w:r w:rsidRPr="00E52D98">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52D98" w:rsidRPr="00E52D98" w:rsidRDefault="00E52D98" w:rsidP="00E52D98">
            <w:pPr>
              <w:jc w:val="both"/>
              <w:rPr>
                <w:rFonts w:cs="Arial"/>
                <w:sz w:val="16"/>
                <w:szCs w:val="16"/>
              </w:rPr>
            </w:pPr>
            <w:r w:rsidRPr="00E52D98">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541" w:type="dxa"/>
            <w:vMerge/>
            <w:tcBorders>
              <w:left w:val="single" w:sz="4" w:space="0" w:color="auto"/>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446"/>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The Council's own Bankers</w:t>
            </w:r>
          </w:p>
          <w:p w:rsidR="00E52D98" w:rsidRPr="00E52D98" w:rsidRDefault="00E52D98" w:rsidP="00E52D98">
            <w:pPr>
              <w:jc w:val="both"/>
              <w:rPr>
                <w:rFonts w:cs="Arial"/>
                <w:sz w:val="16"/>
                <w:szCs w:val="16"/>
              </w:rPr>
            </w:pPr>
          </w:p>
        </w:tc>
        <w:tc>
          <w:tcPr>
            <w:tcW w:w="963" w:type="dxa"/>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F1</w:t>
            </w:r>
          </w:p>
        </w:tc>
        <w:tc>
          <w:tcPr>
            <w:tcW w:w="964" w:type="dxa"/>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P-1</w:t>
            </w:r>
          </w:p>
        </w:tc>
        <w:tc>
          <w:tcPr>
            <w:tcW w:w="963" w:type="dxa"/>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A-1</w:t>
            </w:r>
          </w:p>
        </w:tc>
        <w:tc>
          <w:tcPr>
            <w:tcW w:w="8090" w:type="dxa"/>
            <w:gridSpan w:val="5"/>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xml:space="preserve">If Council's own bankers fall below the minimum long term criteria for </w:t>
            </w:r>
            <w:smartTag w:uri="urn:schemas-microsoft-com:office:smarttags" w:element="country-region">
              <w:smartTag w:uri="urn:schemas-microsoft-com:office:smarttags" w:element="place">
                <w:r w:rsidRPr="00E52D98">
                  <w:rPr>
                    <w:rFonts w:cs="Arial"/>
                    <w:sz w:val="16"/>
                    <w:szCs w:val="16"/>
                  </w:rPr>
                  <w:t>UK</w:t>
                </w:r>
              </w:smartTag>
            </w:smartTag>
            <w:r w:rsidRPr="00E52D98">
              <w:rPr>
                <w:rFonts w:cs="Arial"/>
                <w:sz w:val="16"/>
                <w:szCs w:val="16"/>
              </w:rPr>
              <w:t xml:space="preserve"> banks, cash balances will be managed within operational liquidity constraints and </w:t>
            </w:r>
            <w:r w:rsidRPr="00E52D98">
              <w:rPr>
                <w:rFonts w:cs="Arial"/>
                <w:iCs/>
                <w:sz w:val="16"/>
                <w:szCs w:val="16"/>
              </w:rPr>
              <w:t>balances will be minimised as much as possible.</w:t>
            </w:r>
          </w:p>
          <w:p w:rsidR="00E52D98" w:rsidRPr="00E52D98" w:rsidRDefault="00E52D98" w:rsidP="00E52D98">
            <w:pPr>
              <w:jc w:val="both"/>
              <w:rPr>
                <w:rFonts w:cs="Arial"/>
                <w:sz w:val="16"/>
                <w:szCs w:val="16"/>
              </w:rPr>
            </w:pPr>
          </w:p>
        </w:tc>
        <w:tc>
          <w:tcPr>
            <w:tcW w:w="541" w:type="dxa"/>
            <w:vMerge/>
            <w:tcBorders>
              <w:left w:val="single" w:sz="4" w:space="0" w:color="auto"/>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855"/>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xml:space="preserve">Wholly Owned Subsidiaries of </w:t>
            </w:r>
            <w:smartTag w:uri="urn:schemas-microsoft-com:office:smarttags" w:element="country-region">
              <w:smartTag w:uri="urn:schemas-microsoft-com:office:smarttags" w:element="place">
                <w:r w:rsidRPr="00E52D98">
                  <w:rPr>
                    <w:rFonts w:cs="Arial"/>
                    <w:sz w:val="16"/>
                    <w:szCs w:val="16"/>
                  </w:rPr>
                  <w:t>UK</w:t>
                </w:r>
              </w:smartTag>
            </w:smartTag>
            <w:r w:rsidRPr="00E52D98">
              <w:rPr>
                <w:rFonts w:cs="Arial"/>
                <w:sz w:val="16"/>
                <w:szCs w:val="16"/>
              </w:rPr>
              <w:t xml:space="preserve"> Clearing Banks - Parent Ratings</w:t>
            </w:r>
          </w:p>
        </w:tc>
        <w:tc>
          <w:tcPr>
            <w:tcW w:w="963" w:type="dxa"/>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lower than A long term rating</w:t>
            </w:r>
          </w:p>
        </w:tc>
        <w:tc>
          <w:tcPr>
            <w:tcW w:w="541" w:type="dxa"/>
            <w:vMerge/>
            <w:tcBorders>
              <w:left w:val="single" w:sz="4" w:space="0" w:color="auto"/>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300"/>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 xml:space="preserve">Partially Owned Subsidiaries of </w:t>
            </w:r>
            <w:smartTag w:uri="urn:schemas-microsoft-com:office:smarttags" w:element="country-region">
              <w:smartTag w:uri="urn:schemas-microsoft-com:office:smarttags" w:element="place">
                <w:r w:rsidRPr="00E52D98">
                  <w:rPr>
                    <w:rFonts w:cs="Arial"/>
                    <w:sz w:val="16"/>
                    <w:szCs w:val="16"/>
                  </w:rPr>
                  <w:t>UK</w:t>
                </w:r>
              </w:smartTag>
            </w:smartTag>
            <w:r w:rsidRPr="00E52D98">
              <w:rPr>
                <w:rFonts w:cs="Arial"/>
                <w:sz w:val="16"/>
                <w:szCs w:val="16"/>
              </w:rPr>
              <w:t xml:space="preserve"> Clearing Banks - Parent Ratings</w:t>
            </w:r>
          </w:p>
        </w:tc>
        <w:tc>
          <w:tcPr>
            <w:tcW w:w="963" w:type="dxa"/>
            <w:tcBorders>
              <w:top w:val="single" w:sz="4" w:space="0" w:color="auto"/>
              <w:left w:val="nil"/>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sz w:val="16"/>
                <w:szCs w:val="16"/>
              </w:rPr>
              <w:t>Backed up by lower than A long term rating</w:t>
            </w:r>
          </w:p>
        </w:tc>
        <w:tc>
          <w:tcPr>
            <w:tcW w:w="541" w:type="dxa"/>
            <w:vMerge/>
            <w:tcBorders>
              <w:left w:val="single" w:sz="4" w:space="0" w:color="auto"/>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300"/>
        </w:trPr>
        <w:tc>
          <w:tcPr>
            <w:tcW w:w="3490" w:type="dxa"/>
            <w:tcBorders>
              <w:top w:val="nil"/>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smartTag w:uri="urn:schemas-microsoft-com:office:smarttags" w:element="country-region">
              <w:smartTag w:uri="urn:schemas-microsoft-com:office:smarttags" w:element="place">
                <w:r w:rsidRPr="00E52D98">
                  <w:rPr>
                    <w:rFonts w:cs="Arial"/>
                    <w:b/>
                    <w:bCs/>
                    <w:sz w:val="16"/>
                    <w:szCs w:val="16"/>
                  </w:rPr>
                  <w:t>UK</w:t>
                </w:r>
              </w:smartTag>
            </w:smartTag>
            <w:r w:rsidRPr="00E52D98">
              <w:rPr>
                <w:rFonts w:cs="Arial"/>
                <w:b/>
                <w:bCs/>
                <w:sz w:val="16"/>
                <w:szCs w:val="16"/>
              </w:rPr>
              <w:t xml:space="preserve"> Building Societies</w:t>
            </w:r>
          </w:p>
        </w:tc>
        <w:tc>
          <w:tcPr>
            <w:tcW w:w="963" w:type="dxa"/>
            <w:tcBorders>
              <w:top w:val="single" w:sz="4" w:space="0" w:color="auto"/>
              <w:left w:val="nil"/>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vAlign w:val="bottom"/>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 </w:t>
            </w:r>
          </w:p>
        </w:tc>
        <w:tc>
          <w:tcPr>
            <w:tcW w:w="541" w:type="dxa"/>
            <w:vMerge/>
            <w:tcBorders>
              <w:left w:val="single" w:sz="4" w:space="0" w:color="auto"/>
            </w:tcBorders>
            <w:shd w:val="clear" w:color="auto" w:fill="auto"/>
          </w:tcPr>
          <w:p w:rsidR="00E52D98" w:rsidRPr="00E52D98" w:rsidRDefault="00E52D98" w:rsidP="00E52D98">
            <w:pPr>
              <w:jc w:val="both"/>
              <w:rPr>
                <w:rFonts w:cs="Arial"/>
                <w:b/>
                <w:bCs/>
                <w:sz w:val="16"/>
                <w:szCs w:val="16"/>
              </w:rPr>
            </w:pPr>
          </w:p>
        </w:tc>
      </w:tr>
      <w:tr w:rsidR="00E52D98" w:rsidRPr="00E52D98" w:rsidTr="00E52D98">
        <w:trPr>
          <w:trHeight w:val="855"/>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ind w:firstLineChars="200" w:firstLine="320"/>
              <w:jc w:val="both"/>
              <w:rPr>
                <w:rFonts w:cs="Arial"/>
                <w:sz w:val="16"/>
                <w:szCs w:val="16"/>
              </w:rPr>
            </w:pPr>
            <w:r w:rsidRPr="00E52D98">
              <w:rPr>
                <w:rFonts w:cs="Arial"/>
                <w:sz w:val="16"/>
                <w:szCs w:val="16"/>
              </w:rPr>
              <w:t>Either</w:t>
            </w:r>
          </w:p>
        </w:tc>
        <w:tc>
          <w:tcPr>
            <w:tcW w:w="963" w:type="dxa"/>
            <w:tcBorders>
              <w:top w:val="single" w:sz="4" w:space="0" w:color="auto"/>
              <w:left w:val="nil"/>
              <w:bottom w:val="single" w:sz="4" w:space="0" w:color="auto"/>
              <w:right w:val="single" w:sz="4" w:space="0" w:color="auto"/>
            </w:tcBorders>
            <w:shd w:val="clear" w:color="auto" w:fill="auto"/>
            <w:vAlign w:val="center"/>
          </w:tcPr>
          <w:p w:rsidR="00E52D98" w:rsidRPr="00E52D98" w:rsidRDefault="00E52D98" w:rsidP="00E52D98">
            <w:pPr>
              <w:jc w:val="both"/>
              <w:rPr>
                <w:rFonts w:cs="Arial"/>
                <w:sz w:val="16"/>
                <w:szCs w:val="16"/>
              </w:rPr>
            </w:pPr>
            <w:r w:rsidRPr="00E52D98">
              <w:rPr>
                <w:rFonts w:cs="Arial"/>
                <w:sz w:val="16"/>
                <w:szCs w:val="16"/>
              </w:rPr>
              <w:t>F1</w:t>
            </w:r>
          </w:p>
        </w:tc>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sz w:val="16"/>
                <w:szCs w:val="16"/>
              </w:rPr>
            </w:pPr>
            <w:r w:rsidRPr="00E52D98">
              <w:rPr>
                <w:rFonts w:cs="Arial"/>
                <w:sz w:val="16"/>
                <w:szCs w:val="16"/>
              </w:rPr>
              <w:t>P-1</w:t>
            </w:r>
          </w:p>
        </w:tc>
        <w:tc>
          <w:tcPr>
            <w:tcW w:w="963" w:type="dxa"/>
            <w:tcBorders>
              <w:top w:val="single" w:sz="4" w:space="0" w:color="auto"/>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sz w:val="16"/>
                <w:szCs w:val="16"/>
              </w:rPr>
            </w:pPr>
            <w:r w:rsidRPr="00E52D98">
              <w:rPr>
                <w:rFonts w:cs="Arial"/>
                <w:sz w:val="16"/>
                <w:szCs w:val="16"/>
              </w:rPr>
              <w:t>A-1</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AA(F), Aa2(M) and AA(S&amp;P) long term credit rating</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single A long term ratings by all agencies</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lower than A long term rating</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Backed up by lower than A long term rating</w:t>
            </w:r>
          </w:p>
        </w:tc>
        <w:tc>
          <w:tcPr>
            <w:tcW w:w="541" w:type="dxa"/>
            <w:vMerge/>
            <w:tcBorders>
              <w:left w:val="single" w:sz="4" w:space="0" w:color="auto"/>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570"/>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ind w:firstLineChars="200" w:firstLine="320"/>
              <w:jc w:val="both"/>
              <w:rPr>
                <w:rFonts w:cs="Arial"/>
                <w:sz w:val="16"/>
                <w:szCs w:val="16"/>
              </w:rPr>
            </w:pPr>
            <w:r w:rsidRPr="00E52D98">
              <w:rPr>
                <w:rFonts w:cs="Arial"/>
                <w:sz w:val="16"/>
                <w:szCs w:val="16"/>
              </w:rPr>
              <w:t>Or</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xml:space="preserve">Assets over £15,000m  </w:t>
            </w:r>
          </w:p>
          <w:p w:rsidR="00E52D98" w:rsidRPr="00E52D98" w:rsidRDefault="00E52D98" w:rsidP="00E52D98">
            <w:pPr>
              <w:jc w:val="both"/>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Assets over £5,000m</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Assets of £2,500m</w:t>
            </w: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Assets of £1,000m</w:t>
            </w:r>
          </w:p>
        </w:tc>
        <w:tc>
          <w:tcPr>
            <w:tcW w:w="541" w:type="dxa"/>
            <w:vMerge/>
            <w:tcBorders>
              <w:left w:val="single" w:sz="4" w:space="0" w:color="auto"/>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453"/>
        </w:trPr>
        <w:tc>
          <w:tcPr>
            <w:tcW w:w="3490" w:type="dxa"/>
            <w:tcBorders>
              <w:top w:val="nil"/>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Specific Public Bodies</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As approved by Members</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541" w:type="dxa"/>
            <w:vMerge/>
            <w:tcBorders>
              <w:left w:val="nil"/>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453"/>
        </w:trPr>
        <w:tc>
          <w:tcPr>
            <w:tcW w:w="3490" w:type="dxa"/>
            <w:tcBorders>
              <w:top w:val="nil"/>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b/>
                <w:bCs/>
                <w:sz w:val="16"/>
                <w:szCs w:val="16"/>
              </w:rPr>
            </w:pPr>
            <w:r w:rsidRPr="00E52D98">
              <w:rPr>
                <w:rFonts w:cs="Arial"/>
                <w:b/>
                <w:bCs/>
                <w:sz w:val="16"/>
                <w:szCs w:val="16"/>
              </w:rPr>
              <w:t>Debt Management Deposit Facility (</w:t>
            </w:r>
            <w:smartTag w:uri="urn:schemas-microsoft-com:office:smarttags" w:element="country-region">
              <w:smartTag w:uri="urn:schemas-microsoft-com:office:smarttags" w:element="place">
                <w:r w:rsidRPr="00E52D98">
                  <w:rPr>
                    <w:rFonts w:cs="Arial"/>
                    <w:b/>
                    <w:bCs/>
                    <w:sz w:val="16"/>
                    <w:szCs w:val="16"/>
                  </w:rPr>
                  <w:t>UK</w:t>
                </w:r>
              </w:smartTag>
            </w:smartTag>
            <w:r w:rsidRPr="00E52D98">
              <w:rPr>
                <w:rFonts w:cs="Arial"/>
                <w:b/>
                <w:bCs/>
                <w:sz w:val="16"/>
                <w:szCs w:val="16"/>
              </w:rPr>
              <w:t xml:space="preserve"> Government)</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Unlimited</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highlight w:val="cyan"/>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highlight w:val="cyan"/>
              </w:rPr>
            </w:pPr>
          </w:p>
        </w:tc>
        <w:tc>
          <w:tcPr>
            <w:tcW w:w="541" w:type="dxa"/>
            <w:vMerge/>
            <w:tcBorders>
              <w:left w:val="nil"/>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357"/>
        </w:trPr>
        <w:tc>
          <w:tcPr>
            <w:tcW w:w="3490" w:type="dxa"/>
            <w:tcBorders>
              <w:top w:val="nil"/>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r w:rsidRPr="00E52D98">
              <w:rPr>
                <w:rFonts w:cs="Arial"/>
                <w:b/>
                <w:bCs/>
                <w:sz w:val="16"/>
                <w:szCs w:val="16"/>
              </w:rPr>
              <w:t>Money Market Funds (AAA Rated)</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£5m per fund</w:t>
            </w:r>
          </w:p>
        </w:tc>
        <w:tc>
          <w:tcPr>
            <w:tcW w:w="541" w:type="dxa"/>
            <w:vMerge/>
            <w:tcBorders>
              <w:left w:val="nil"/>
            </w:tcBorders>
            <w:shd w:val="clear" w:color="auto" w:fill="auto"/>
          </w:tcPr>
          <w:p w:rsidR="00E52D98" w:rsidRPr="00E52D98" w:rsidRDefault="00E52D98" w:rsidP="00E52D98">
            <w:pPr>
              <w:jc w:val="both"/>
              <w:rPr>
                <w:rFonts w:cs="Arial"/>
                <w:sz w:val="16"/>
                <w:szCs w:val="16"/>
              </w:rPr>
            </w:pPr>
          </w:p>
        </w:tc>
      </w:tr>
      <w:tr w:rsidR="00E52D98" w:rsidRPr="00E52D98" w:rsidTr="00E52D98">
        <w:trPr>
          <w:trHeight w:val="958"/>
        </w:trPr>
        <w:tc>
          <w:tcPr>
            <w:tcW w:w="3490" w:type="dxa"/>
            <w:tcBorders>
              <w:top w:val="single" w:sz="4" w:space="0" w:color="auto"/>
              <w:left w:val="single" w:sz="4" w:space="0" w:color="auto"/>
              <w:bottom w:val="single" w:sz="4" w:space="0" w:color="auto"/>
              <w:right w:val="single" w:sz="4" w:space="0" w:color="auto"/>
            </w:tcBorders>
            <w:shd w:val="clear" w:color="auto" w:fill="auto"/>
            <w:vAlign w:val="center"/>
          </w:tcPr>
          <w:p w:rsidR="00E52D98" w:rsidRPr="00E52D98" w:rsidRDefault="00E52D98" w:rsidP="00E52D98">
            <w:pPr>
              <w:jc w:val="both"/>
              <w:rPr>
                <w:rFonts w:cs="Arial"/>
                <w:b/>
                <w:bCs/>
                <w:sz w:val="16"/>
                <w:szCs w:val="16"/>
              </w:rPr>
            </w:pPr>
            <w:smartTag w:uri="urn:schemas-microsoft-com:office:smarttags" w:element="country-region">
              <w:smartTag w:uri="urn:schemas-microsoft-com:office:smarttags" w:element="place">
                <w:r w:rsidRPr="00E52D98">
                  <w:rPr>
                    <w:rFonts w:cs="Arial"/>
                    <w:b/>
                    <w:bCs/>
                    <w:sz w:val="16"/>
                    <w:szCs w:val="16"/>
                  </w:rPr>
                  <w:t>UK</w:t>
                </w:r>
              </w:smartTag>
            </w:smartTag>
            <w:r w:rsidRPr="00E52D98">
              <w:rPr>
                <w:rFonts w:cs="Arial"/>
                <w:b/>
                <w:bCs/>
                <w:sz w:val="16"/>
                <w:szCs w:val="16"/>
              </w:rPr>
              <w:t xml:space="preserve"> Local Authorities</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4"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96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0"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The Council can invest in all UK Local Authorities whether rated or not</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571"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1703"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p>
        </w:tc>
        <w:tc>
          <w:tcPr>
            <w:tcW w:w="1675" w:type="dxa"/>
            <w:tcBorders>
              <w:top w:val="single" w:sz="4" w:space="0" w:color="auto"/>
              <w:left w:val="single" w:sz="4" w:space="0" w:color="auto"/>
              <w:bottom w:val="single" w:sz="4" w:space="0" w:color="auto"/>
              <w:right w:val="single" w:sz="4" w:space="0" w:color="auto"/>
            </w:tcBorders>
            <w:shd w:val="clear" w:color="auto" w:fill="auto"/>
          </w:tcPr>
          <w:p w:rsidR="00E52D98" w:rsidRPr="00E52D98" w:rsidRDefault="00E52D98" w:rsidP="00E52D98">
            <w:pPr>
              <w:jc w:val="both"/>
              <w:rPr>
                <w:rFonts w:cs="Arial"/>
                <w:sz w:val="16"/>
                <w:szCs w:val="16"/>
              </w:rPr>
            </w:pPr>
            <w:r w:rsidRPr="00E52D98">
              <w:rPr>
                <w:rFonts w:cs="Arial"/>
                <w:sz w:val="16"/>
                <w:szCs w:val="16"/>
              </w:rPr>
              <w:t> </w:t>
            </w:r>
          </w:p>
        </w:tc>
        <w:tc>
          <w:tcPr>
            <w:tcW w:w="541" w:type="dxa"/>
            <w:vMerge/>
            <w:tcBorders>
              <w:left w:val="nil"/>
            </w:tcBorders>
            <w:shd w:val="clear" w:color="auto" w:fill="auto"/>
          </w:tcPr>
          <w:p w:rsidR="00E52D98" w:rsidRPr="00E52D98" w:rsidRDefault="00E52D98" w:rsidP="00E52D98">
            <w:pPr>
              <w:jc w:val="both"/>
              <w:rPr>
                <w:rFonts w:cs="Arial"/>
                <w:sz w:val="16"/>
                <w:szCs w:val="16"/>
              </w:rPr>
            </w:pPr>
          </w:p>
        </w:tc>
      </w:tr>
    </w:tbl>
    <w:p w:rsidR="00E52D98" w:rsidRPr="008429A2" w:rsidRDefault="00E52D98" w:rsidP="00E52D98">
      <w:pPr>
        <w:tabs>
          <w:tab w:val="left" w:pos="4055"/>
          <w:tab w:val="left" w:pos="4929"/>
          <w:tab w:val="left" w:pos="6087"/>
          <w:tab w:val="left" w:pos="6739"/>
          <w:tab w:val="left" w:pos="8208"/>
          <w:tab w:val="left" w:pos="9828"/>
          <w:tab w:val="left" w:pos="11448"/>
          <w:tab w:val="left" w:pos="12888"/>
        </w:tabs>
        <w:jc w:val="both"/>
        <w:rPr>
          <w:rFonts w:cs="Arial"/>
          <w:sz w:val="18"/>
          <w:szCs w:val="18"/>
        </w:rPr>
      </w:pPr>
      <w:r w:rsidRPr="008429A2">
        <w:rPr>
          <w:rFonts w:cs="Arial"/>
          <w:sz w:val="18"/>
          <w:szCs w:val="18"/>
        </w:rPr>
        <w:t>Notes:-</w:t>
      </w:r>
    </w:p>
    <w:p w:rsidR="00E52D98" w:rsidRPr="008429A2" w:rsidRDefault="00E52D98" w:rsidP="008429A2">
      <w:pPr>
        <w:tabs>
          <w:tab w:val="left" w:pos="4055"/>
          <w:tab w:val="left" w:pos="4929"/>
          <w:tab w:val="left" w:pos="6087"/>
          <w:tab w:val="left" w:pos="6739"/>
          <w:tab w:val="left" w:pos="8208"/>
          <w:tab w:val="left" w:pos="9828"/>
          <w:tab w:val="left" w:pos="11448"/>
          <w:tab w:val="left" w:pos="12888"/>
        </w:tabs>
        <w:rPr>
          <w:rFonts w:cs="Arial"/>
          <w:sz w:val="18"/>
          <w:szCs w:val="18"/>
        </w:rPr>
      </w:pPr>
    </w:p>
    <w:p w:rsidR="00E52D98" w:rsidRPr="008429A2" w:rsidRDefault="00E52D98" w:rsidP="008429A2">
      <w:pPr>
        <w:tabs>
          <w:tab w:val="left" w:pos="540"/>
          <w:tab w:val="left" w:pos="4929"/>
        </w:tabs>
        <w:rPr>
          <w:rFonts w:cs="Arial"/>
          <w:sz w:val="18"/>
          <w:szCs w:val="18"/>
        </w:rPr>
      </w:pPr>
      <w:r w:rsidRPr="008429A2">
        <w:rPr>
          <w:rFonts w:cs="Arial"/>
          <w:sz w:val="18"/>
          <w:szCs w:val="18"/>
        </w:rPr>
        <w:t>1.</w:t>
      </w:r>
      <w:r w:rsidRPr="008429A2">
        <w:rPr>
          <w:rFonts w:cs="Arial"/>
          <w:sz w:val="18"/>
          <w:szCs w:val="18"/>
        </w:rPr>
        <w:tab/>
        <w:t>F1+, P-1 and A-1+ are the highest short term credit ratings of Fitch, Moody's and Standard and Poor's respectively.</w:t>
      </w:r>
    </w:p>
    <w:p w:rsidR="00E52D98" w:rsidRPr="008429A2" w:rsidRDefault="00E52D98" w:rsidP="008429A2">
      <w:pPr>
        <w:tabs>
          <w:tab w:val="left" w:pos="540"/>
          <w:tab w:val="left" w:pos="4929"/>
        </w:tabs>
        <w:rPr>
          <w:rFonts w:cs="Arial"/>
          <w:sz w:val="18"/>
          <w:szCs w:val="18"/>
        </w:rPr>
      </w:pPr>
    </w:p>
    <w:p w:rsidR="00E52D98" w:rsidRPr="008429A2" w:rsidRDefault="00E52D98" w:rsidP="008429A2">
      <w:pPr>
        <w:tabs>
          <w:tab w:val="left" w:pos="540"/>
          <w:tab w:val="left" w:pos="4929"/>
        </w:tabs>
        <w:rPr>
          <w:rFonts w:cs="Arial"/>
          <w:sz w:val="18"/>
          <w:szCs w:val="18"/>
        </w:rPr>
      </w:pPr>
      <w:r w:rsidRPr="008429A2">
        <w:rPr>
          <w:rFonts w:cs="Arial"/>
          <w:sz w:val="18"/>
          <w:szCs w:val="18"/>
        </w:rPr>
        <w:t>2.</w:t>
      </w:r>
      <w:r w:rsidRPr="008429A2">
        <w:rPr>
          <w:rFonts w:cs="Arial"/>
          <w:sz w:val="18"/>
          <w:szCs w:val="18"/>
        </w:rPr>
        <w:tab/>
        <w:t>Minimum Short Term Ratings - Where given, these must be met, for all categories (except RBS Group).</w:t>
      </w:r>
    </w:p>
    <w:p w:rsidR="00E52D98" w:rsidRPr="008429A2" w:rsidRDefault="00E52D98" w:rsidP="008429A2">
      <w:pPr>
        <w:tabs>
          <w:tab w:val="left" w:pos="540"/>
          <w:tab w:val="left" w:pos="4929"/>
        </w:tabs>
        <w:rPr>
          <w:rFonts w:cs="Arial"/>
          <w:sz w:val="18"/>
          <w:szCs w:val="18"/>
        </w:rPr>
      </w:pPr>
    </w:p>
    <w:p w:rsidR="00E52D98" w:rsidRPr="008429A2" w:rsidRDefault="00E52D98" w:rsidP="008429A2">
      <w:pPr>
        <w:tabs>
          <w:tab w:val="left" w:pos="540"/>
          <w:tab w:val="left" w:pos="4929"/>
        </w:tabs>
        <w:rPr>
          <w:rFonts w:cs="Arial"/>
          <w:sz w:val="18"/>
          <w:szCs w:val="18"/>
        </w:rPr>
      </w:pPr>
      <w:r w:rsidRPr="008429A2">
        <w:rPr>
          <w:rFonts w:cs="Arial"/>
          <w:sz w:val="18"/>
          <w:szCs w:val="18"/>
        </w:rPr>
        <w:t>3.</w:t>
      </w:r>
      <w:r w:rsidRPr="008429A2">
        <w:rPr>
          <w:rFonts w:cs="Arial"/>
          <w:sz w:val="18"/>
          <w:szCs w:val="18"/>
        </w:rPr>
        <w:tab/>
        <w:t>Building Societies - A Building Society has to meet either the ratings criteria or the assets criterion to be included in the category, not both.</w:t>
      </w:r>
    </w:p>
    <w:p w:rsidR="00E52D98" w:rsidRPr="008429A2" w:rsidRDefault="00E52D98" w:rsidP="008429A2">
      <w:pPr>
        <w:tabs>
          <w:tab w:val="left" w:pos="540"/>
          <w:tab w:val="left" w:pos="4929"/>
        </w:tabs>
        <w:rPr>
          <w:rFonts w:cs="Arial"/>
          <w:sz w:val="18"/>
          <w:szCs w:val="18"/>
        </w:rPr>
      </w:pPr>
    </w:p>
    <w:p w:rsidR="008429A2" w:rsidRDefault="00E52D98" w:rsidP="008429A2">
      <w:pPr>
        <w:tabs>
          <w:tab w:val="left" w:pos="540"/>
          <w:tab w:val="left" w:pos="4929"/>
        </w:tabs>
        <w:rPr>
          <w:rFonts w:cs="Arial"/>
          <w:sz w:val="18"/>
          <w:szCs w:val="18"/>
        </w:rPr>
        <w:sectPr w:rsidR="008429A2" w:rsidSect="008429A2">
          <w:headerReference w:type="default" r:id="rId24"/>
          <w:pgSz w:w="16838" w:h="11906" w:orient="landscape" w:code="9"/>
          <w:pgMar w:top="1077" w:right="1247" w:bottom="1077" w:left="1247" w:header="227" w:footer="227" w:gutter="0"/>
          <w:cols w:space="708"/>
          <w:docGrid w:linePitch="360"/>
        </w:sectPr>
      </w:pPr>
      <w:r w:rsidRPr="008429A2">
        <w:rPr>
          <w:rFonts w:cs="Arial"/>
          <w:sz w:val="18"/>
          <w:szCs w:val="18"/>
        </w:rPr>
        <w:t>4.</w:t>
      </w:r>
      <w:r w:rsidRPr="008429A2">
        <w:rPr>
          <w:rFonts w:cs="Arial"/>
          <w:sz w:val="18"/>
          <w:szCs w:val="18"/>
        </w:rPr>
        <w:tab/>
        <w:t xml:space="preserve">Maximum amount is the maximum, in total, over all investments, with any one institution (with the exception of RBS Group). </w:t>
      </w:r>
    </w:p>
    <w:p w:rsidR="00E52D98" w:rsidRPr="00E52D98" w:rsidRDefault="00E52D98" w:rsidP="00E52D98">
      <w:pPr>
        <w:jc w:val="both"/>
        <w:rPr>
          <w:rFonts w:cs="Arial"/>
          <w:b/>
          <w:sz w:val="22"/>
          <w:szCs w:val="22"/>
        </w:rPr>
      </w:pPr>
      <w:r w:rsidRPr="00E52D98">
        <w:rPr>
          <w:rFonts w:cs="Arial"/>
          <w:b/>
          <w:sz w:val="22"/>
          <w:szCs w:val="22"/>
        </w:rPr>
        <w:lastRenderedPageBreak/>
        <w:t>Annex B</w:t>
      </w:r>
    </w:p>
    <w:p w:rsidR="00E52D98" w:rsidRPr="00E52D98" w:rsidRDefault="00E52D98" w:rsidP="00E52D98">
      <w:pPr>
        <w:jc w:val="both"/>
        <w:rPr>
          <w:rFonts w:cs="Arial"/>
          <w:b/>
          <w:sz w:val="22"/>
          <w:szCs w:val="22"/>
        </w:rPr>
      </w:pPr>
    </w:p>
    <w:p w:rsidR="00E52D98" w:rsidRPr="00E52D98" w:rsidRDefault="00E52D98" w:rsidP="00E52D98">
      <w:pPr>
        <w:jc w:val="both"/>
        <w:rPr>
          <w:rFonts w:cs="Arial"/>
          <w:b/>
          <w:sz w:val="22"/>
          <w:szCs w:val="22"/>
          <w:u w:val="single"/>
        </w:rPr>
      </w:pPr>
      <w:r w:rsidRPr="00E52D98">
        <w:rPr>
          <w:rFonts w:cs="Arial"/>
          <w:b/>
          <w:sz w:val="22"/>
          <w:szCs w:val="22"/>
          <w:u w:val="single"/>
        </w:rPr>
        <w:t>Property Investment Strategy</w:t>
      </w:r>
    </w:p>
    <w:p w:rsidR="00E52D98" w:rsidRPr="00E52D98" w:rsidRDefault="00E52D98" w:rsidP="00E52D98">
      <w:pPr>
        <w:jc w:val="both"/>
        <w:rPr>
          <w:sz w:val="22"/>
        </w:rPr>
      </w:pPr>
      <w:r w:rsidRPr="00E52D98">
        <w:rPr>
          <w:sz w:val="22"/>
        </w:rPr>
        <w:t>(draft)</w:t>
      </w:r>
    </w:p>
    <w:p w:rsidR="00E52D98" w:rsidRPr="00E52D98" w:rsidRDefault="00E52D98" w:rsidP="00E52D98">
      <w:pPr>
        <w:jc w:val="both"/>
        <w:rPr>
          <w:sz w:val="22"/>
        </w:rPr>
      </w:pPr>
    </w:p>
    <w:p w:rsidR="00E52D98" w:rsidRPr="00E52D98" w:rsidRDefault="00E52D98" w:rsidP="00E52D98">
      <w:pPr>
        <w:keepNext/>
        <w:jc w:val="both"/>
        <w:rPr>
          <w:rFonts w:cs="Arial"/>
          <w:color w:val="000000"/>
          <w:sz w:val="22"/>
          <w:szCs w:val="22"/>
        </w:rPr>
      </w:pPr>
      <w:r w:rsidRPr="00E52D98">
        <w:rPr>
          <w:rFonts w:cs="Arial"/>
          <w:color w:val="000000"/>
          <w:sz w:val="22"/>
          <w:szCs w:val="22"/>
          <w:u w:val="single"/>
        </w:rPr>
        <w:t>Background</w:t>
      </w:r>
      <w:r w:rsidRPr="00E52D98">
        <w:rPr>
          <w:rFonts w:cs="Arial"/>
          <w:color w:val="000000"/>
          <w:sz w:val="22"/>
          <w:szCs w:val="22"/>
        </w:rPr>
        <w:t xml:space="preserve">.  Currently the Council holds all its investments as financial instruments – mainly as cash deposits with individual financial institutions.  This has an inherent risk of holding all its assets in one type of instrument.  Placing investments with financial institutions can be diversified by investing in property through either a pooled property investment fund or by purchase of individual property assets.  </w:t>
      </w:r>
    </w:p>
    <w:p w:rsidR="00E52D98" w:rsidRPr="00E52D98" w:rsidRDefault="00E52D98" w:rsidP="00E52D98">
      <w:pPr>
        <w:keepNext/>
        <w:jc w:val="both"/>
        <w:rPr>
          <w:rFonts w:cs="Arial"/>
          <w:color w:val="000000"/>
          <w:sz w:val="22"/>
          <w:szCs w:val="22"/>
        </w:rPr>
      </w:pPr>
    </w:p>
    <w:p w:rsidR="00E52D98" w:rsidRPr="00E52D98" w:rsidRDefault="00E52D98" w:rsidP="00E52D98">
      <w:pPr>
        <w:keepNext/>
        <w:jc w:val="both"/>
        <w:rPr>
          <w:rFonts w:cs="Arial"/>
          <w:color w:val="000000"/>
          <w:sz w:val="22"/>
          <w:szCs w:val="22"/>
        </w:rPr>
      </w:pPr>
      <w:r w:rsidRPr="00E52D98">
        <w:rPr>
          <w:rFonts w:cs="Arial"/>
          <w:color w:val="000000"/>
          <w:sz w:val="22"/>
          <w:szCs w:val="22"/>
        </w:rPr>
        <w:t>The number of quality financial institutions accepting deposits is falling and subsequently the return on the Council’s investments is likely to remain low for many years to come.  Unlike cash deposits, property investments can offer a reasonable revenue return and also be a useful source of capital growth.</w:t>
      </w:r>
    </w:p>
    <w:p w:rsidR="00E52D98" w:rsidRPr="00E52D98" w:rsidRDefault="00E52D98" w:rsidP="00E52D98">
      <w:pPr>
        <w:jc w:val="both"/>
      </w:pPr>
    </w:p>
    <w:p w:rsidR="00E52D98" w:rsidRPr="00E52D98" w:rsidRDefault="00E52D98" w:rsidP="00E52D98">
      <w:pPr>
        <w:keepNext/>
        <w:jc w:val="both"/>
        <w:rPr>
          <w:rFonts w:cs="Arial"/>
          <w:color w:val="000000"/>
          <w:sz w:val="22"/>
          <w:szCs w:val="22"/>
        </w:rPr>
      </w:pPr>
      <w:r w:rsidRPr="00E52D98">
        <w:rPr>
          <w:rFonts w:cs="Arial"/>
          <w:color w:val="000000"/>
          <w:sz w:val="22"/>
          <w:szCs w:val="22"/>
        </w:rPr>
        <w:t xml:space="preserve">Such investments would ordinarily be deemed as capital expenditure, and as such would need to be accounted for as part of the capital programme, however the Authority can achieve its investment property objectives by relying upon the investment power granted by s.12 of the Local Authority Act 2003. </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u w:val="single"/>
        </w:rPr>
        <w:t>Investment in Property – Pooled property fund</w:t>
      </w:r>
      <w:r w:rsidRPr="00E52D98">
        <w:rPr>
          <w:sz w:val="22"/>
          <w:szCs w:val="22"/>
        </w:rPr>
        <w:t>.</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 xml:space="preserve">The Council could diversify its portfolio into property by investing in a pooled property fund or by individual purchase of investment property assets.  </w:t>
      </w:r>
    </w:p>
    <w:p w:rsidR="00E52D98" w:rsidRPr="00E52D98" w:rsidRDefault="00E52D98" w:rsidP="00E52D98">
      <w:pPr>
        <w:jc w:val="both"/>
        <w:rPr>
          <w:sz w:val="22"/>
          <w:szCs w:val="22"/>
        </w:rPr>
      </w:pPr>
    </w:p>
    <w:p w:rsidR="00E52D98" w:rsidRPr="00E52D98" w:rsidRDefault="00E52D98" w:rsidP="00E52D98">
      <w:pPr>
        <w:keepNext/>
        <w:jc w:val="both"/>
        <w:rPr>
          <w:rFonts w:cs="Arial"/>
          <w:color w:val="000000"/>
          <w:sz w:val="22"/>
          <w:szCs w:val="22"/>
        </w:rPr>
      </w:pPr>
      <w:r w:rsidRPr="00E52D98">
        <w:rPr>
          <w:rFonts w:cs="Arial"/>
          <w:color w:val="000000"/>
          <w:sz w:val="22"/>
          <w:szCs w:val="22"/>
        </w:rPr>
        <w:t>A pooled property investment fund comprises a portfolio of commercial properties to achieve investment returns through rental income and capital growth.  However, the value of such investments may fall as well as rise.  These funds are normally managed by a property fund manager and the Council could purchase shares within the fund and would pay a fee for this service (normally deducted from any dividend payments).</w:t>
      </w:r>
    </w:p>
    <w:p w:rsidR="00E52D98" w:rsidRPr="00E52D98" w:rsidRDefault="00E52D98" w:rsidP="00E52D98">
      <w:pPr>
        <w:jc w:val="both"/>
        <w:rPr>
          <w:rFonts w:cs="Arial"/>
          <w:sz w:val="22"/>
          <w:szCs w:val="22"/>
        </w:rPr>
      </w:pPr>
    </w:p>
    <w:p w:rsidR="00E52D98" w:rsidRPr="00E52D98" w:rsidRDefault="00E52D98" w:rsidP="00E52D98">
      <w:pPr>
        <w:keepNext/>
        <w:jc w:val="both"/>
        <w:rPr>
          <w:rFonts w:cs="Arial"/>
          <w:color w:val="000000"/>
          <w:sz w:val="22"/>
          <w:szCs w:val="22"/>
        </w:rPr>
      </w:pPr>
      <w:r w:rsidRPr="00E52D98">
        <w:rPr>
          <w:rFonts w:cs="Arial"/>
          <w:color w:val="000000"/>
          <w:sz w:val="22"/>
          <w:szCs w:val="22"/>
        </w:rPr>
        <w:t xml:space="preserve">Due diligence would be undertaken before the local authority would enter into this or any other type of investment  and the level of investment would be determined with the assessment of cash balances and </w:t>
      </w:r>
      <w:proofErr w:type="spellStart"/>
      <w:r w:rsidRPr="00E52D98">
        <w:rPr>
          <w:rFonts w:cs="Arial"/>
          <w:color w:val="000000"/>
          <w:sz w:val="22"/>
          <w:szCs w:val="22"/>
        </w:rPr>
        <w:t>cashflow</w:t>
      </w:r>
      <w:proofErr w:type="spellEnd"/>
      <w:r w:rsidRPr="00E52D98">
        <w:rPr>
          <w:rFonts w:cs="Arial"/>
          <w:color w:val="000000"/>
          <w:sz w:val="22"/>
          <w:szCs w:val="22"/>
        </w:rPr>
        <w:t xml:space="preserve"> projections.  The Council would take advice from its retained treasury advisors before entering into any fund share purchase.</w:t>
      </w:r>
    </w:p>
    <w:p w:rsidR="00E52D98" w:rsidRPr="00E52D98" w:rsidRDefault="00E52D98" w:rsidP="00E52D98">
      <w:pPr>
        <w:keepNext/>
        <w:jc w:val="both"/>
        <w:rPr>
          <w:rFonts w:cs="Arial"/>
          <w:color w:val="000000"/>
          <w:sz w:val="22"/>
          <w:szCs w:val="22"/>
        </w:rPr>
      </w:pPr>
    </w:p>
    <w:p w:rsidR="00E52D98" w:rsidRPr="00E52D98" w:rsidRDefault="00E52D98" w:rsidP="00E52D98">
      <w:pPr>
        <w:jc w:val="both"/>
        <w:rPr>
          <w:sz w:val="22"/>
          <w:szCs w:val="22"/>
        </w:rPr>
      </w:pPr>
      <w:r w:rsidRPr="00E52D98">
        <w:rPr>
          <w:sz w:val="22"/>
          <w:szCs w:val="22"/>
          <w:u w:val="single"/>
        </w:rPr>
        <w:t>Investment in Property – individual property acquisitions</w:t>
      </w:r>
      <w:r w:rsidRPr="00E52D98">
        <w:rPr>
          <w:sz w:val="22"/>
          <w:szCs w:val="22"/>
        </w:rPr>
        <w:t>.</w:t>
      </w:r>
    </w:p>
    <w:p w:rsidR="00E52D98" w:rsidRPr="00E52D98" w:rsidRDefault="00E52D98" w:rsidP="00E52D98">
      <w:pPr>
        <w:jc w:val="both"/>
      </w:pPr>
    </w:p>
    <w:p w:rsidR="00E52D98" w:rsidRPr="00E52D98" w:rsidRDefault="00E52D98" w:rsidP="00E52D98">
      <w:pPr>
        <w:jc w:val="both"/>
        <w:rPr>
          <w:sz w:val="22"/>
          <w:szCs w:val="22"/>
        </w:rPr>
      </w:pPr>
      <w:r w:rsidRPr="00E52D98">
        <w:rPr>
          <w:sz w:val="22"/>
          <w:szCs w:val="22"/>
        </w:rPr>
        <w:t>As an alternative to a pooled fund, the Council could acquire property for investment purposes which it would then own and collect a revenue rental stream from.  There may also be an element of capital growth or loss of value associated with this.</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Investment property need not be limited to being within the Council’s district boundaries as it is held solely for investment purposes with no economic development considerations.</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 xml:space="preserve">Any properties would have to be managed, either in-house or through a management company. </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 xml:space="preserve">The acquisition of any property must be dependent on a full business case being presented and the case made for investment.  Levels of risk should be in line with the Council’s standard approach on all investments and yield should not be the governing factor. </w:t>
      </w:r>
    </w:p>
    <w:p w:rsidR="00E52D98" w:rsidRPr="00E52D98" w:rsidRDefault="00E52D98" w:rsidP="00E52D98">
      <w:pPr>
        <w:jc w:val="both"/>
        <w:rPr>
          <w:sz w:val="22"/>
          <w:szCs w:val="22"/>
        </w:rPr>
      </w:pPr>
    </w:p>
    <w:p w:rsidR="00E52D98" w:rsidRPr="00E52D98" w:rsidRDefault="00E52D98" w:rsidP="00E52D98">
      <w:pPr>
        <w:jc w:val="both"/>
        <w:rPr>
          <w:sz w:val="22"/>
          <w:szCs w:val="22"/>
        </w:rPr>
      </w:pPr>
      <w:r w:rsidRPr="00E52D98">
        <w:rPr>
          <w:sz w:val="22"/>
          <w:szCs w:val="22"/>
        </w:rPr>
        <w:t>Property investment could be in residential or commercial (</w:t>
      </w:r>
      <w:proofErr w:type="spellStart"/>
      <w:r w:rsidRPr="00E52D98">
        <w:rPr>
          <w:sz w:val="22"/>
          <w:szCs w:val="22"/>
        </w:rPr>
        <w:t>eg</w:t>
      </w:r>
      <w:proofErr w:type="spellEnd"/>
      <w:r w:rsidRPr="00E52D98">
        <w:rPr>
          <w:sz w:val="22"/>
          <w:szCs w:val="22"/>
        </w:rPr>
        <w:t xml:space="preserve">: retail, office, industrial) properties and consideration must be given to location, security and term of tenure, rental reviews, standard of maintenance and asset value.  VAT implications should always be considered prior to making a purchase.  </w:t>
      </w:r>
    </w:p>
    <w:p w:rsidR="00E52D98" w:rsidRPr="00E52D98" w:rsidRDefault="00E52D98" w:rsidP="00E52D98">
      <w:pPr>
        <w:jc w:val="both"/>
        <w:rPr>
          <w:sz w:val="22"/>
          <w:szCs w:val="22"/>
        </w:rPr>
      </w:pPr>
      <w:r w:rsidRPr="00E52D98">
        <w:rPr>
          <w:sz w:val="22"/>
          <w:szCs w:val="22"/>
          <w:u w:val="single"/>
        </w:rPr>
        <w:lastRenderedPageBreak/>
        <w:t>Property strategy</w:t>
      </w:r>
      <w:r w:rsidRPr="00E52D98">
        <w:rPr>
          <w:sz w:val="22"/>
          <w:szCs w:val="22"/>
        </w:rPr>
        <w:t>.</w:t>
      </w:r>
    </w:p>
    <w:p w:rsidR="00E52D98" w:rsidRPr="00E52D98" w:rsidRDefault="00E52D98" w:rsidP="00E52D98">
      <w:pPr>
        <w:jc w:val="both"/>
        <w:rPr>
          <w:sz w:val="22"/>
          <w:szCs w:val="22"/>
        </w:rPr>
      </w:pPr>
    </w:p>
    <w:p w:rsidR="00E52D98" w:rsidRPr="00E52D98" w:rsidRDefault="00E52D98" w:rsidP="00E52D98">
      <w:pPr>
        <w:keepNext/>
        <w:jc w:val="both"/>
        <w:rPr>
          <w:rFonts w:cs="Arial"/>
          <w:color w:val="000000"/>
          <w:sz w:val="22"/>
          <w:szCs w:val="22"/>
        </w:rPr>
      </w:pPr>
      <w:r w:rsidRPr="00E52D98">
        <w:rPr>
          <w:rFonts w:cs="Arial"/>
          <w:color w:val="000000"/>
          <w:sz w:val="22"/>
          <w:szCs w:val="22"/>
        </w:rPr>
        <w:t>To enable investments in property, the following should be included in the investment portfolio:</w:t>
      </w:r>
    </w:p>
    <w:p w:rsidR="00E52D98" w:rsidRPr="00E52D98" w:rsidRDefault="00E52D98" w:rsidP="00E52D98">
      <w:pPr>
        <w:jc w:val="both"/>
        <w:rPr>
          <w:rFonts w:cs="Arial"/>
          <w:sz w:val="22"/>
          <w:szCs w:val="22"/>
        </w:rPr>
      </w:pPr>
    </w:p>
    <w:tbl>
      <w:tblPr>
        <w:tblW w:w="8793"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0"/>
        <w:gridCol w:w="1617"/>
        <w:gridCol w:w="1183"/>
        <w:gridCol w:w="1418"/>
        <w:gridCol w:w="2835"/>
      </w:tblGrid>
      <w:tr w:rsidR="00E52D98" w:rsidRPr="00E52D98" w:rsidTr="00E52D98">
        <w:tc>
          <w:tcPr>
            <w:tcW w:w="1740" w:type="dxa"/>
            <w:shd w:val="clear" w:color="auto" w:fill="F2F2F2" w:themeFill="background1" w:themeFillShade="F2"/>
          </w:tcPr>
          <w:p w:rsidR="00E52D98" w:rsidRPr="00E52D98" w:rsidRDefault="00E52D98" w:rsidP="00E52D98">
            <w:pPr>
              <w:jc w:val="both"/>
              <w:rPr>
                <w:rFonts w:cs="Arial"/>
                <w:sz w:val="22"/>
                <w:szCs w:val="22"/>
              </w:rPr>
            </w:pPr>
          </w:p>
        </w:tc>
        <w:tc>
          <w:tcPr>
            <w:tcW w:w="1617" w:type="dxa"/>
            <w:shd w:val="clear" w:color="auto" w:fill="F2F2F2" w:themeFill="background1" w:themeFillShade="F2"/>
          </w:tcPr>
          <w:p w:rsidR="00E52D98" w:rsidRPr="00E52D98" w:rsidRDefault="00E52D98" w:rsidP="00E52D98">
            <w:pPr>
              <w:jc w:val="both"/>
              <w:rPr>
                <w:rFonts w:cs="Arial"/>
                <w:sz w:val="22"/>
                <w:szCs w:val="22"/>
              </w:rPr>
            </w:pPr>
            <w:r w:rsidRPr="00E52D98">
              <w:rPr>
                <w:rFonts w:cs="Arial"/>
                <w:sz w:val="22"/>
                <w:szCs w:val="22"/>
              </w:rPr>
              <w:t>Security /Minimum Credit Rating</w:t>
            </w:r>
          </w:p>
        </w:tc>
        <w:tc>
          <w:tcPr>
            <w:tcW w:w="1183" w:type="dxa"/>
            <w:shd w:val="clear" w:color="auto" w:fill="F2F2F2" w:themeFill="background1" w:themeFillShade="F2"/>
          </w:tcPr>
          <w:p w:rsidR="00E52D98" w:rsidRPr="00E52D98" w:rsidRDefault="00E52D98" w:rsidP="00E52D98">
            <w:pPr>
              <w:jc w:val="both"/>
              <w:rPr>
                <w:rFonts w:cs="Arial"/>
                <w:sz w:val="22"/>
                <w:szCs w:val="22"/>
              </w:rPr>
            </w:pPr>
            <w:r w:rsidRPr="00E52D98">
              <w:rPr>
                <w:rFonts w:cs="Arial"/>
                <w:sz w:val="22"/>
                <w:szCs w:val="22"/>
              </w:rPr>
              <w:t>Use</w:t>
            </w:r>
          </w:p>
        </w:tc>
        <w:tc>
          <w:tcPr>
            <w:tcW w:w="1418" w:type="dxa"/>
            <w:shd w:val="clear" w:color="auto" w:fill="F2F2F2" w:themeFill="background1" w:themeFillShade="F2"/>
          </w:tcPr>
          <w:p w:rsidR="00E52D98" w:rsidRPr="00E52D98" w:rsidRDefault="00E52D98" w:rsidP="00E52D98">
            <w:pPr>
              <w:jc w:val="both"/>
              <w:rPr>
                <w:rFonts w:cs="Arial"/>
                <w:sz w:val="22"/>
                <w:szCs w:val="22"/>
              </w:rPr>
            </w:pPr>
            <w:r w:rsidRPr="00E52D98">
              <w:rPr>
                <w:rFonts w:cs="Arial"/>
                <w:sz w:val="22"/>
                <w:szCs w:val="22"/>
              </w:rPr>
              <w:t>Maximum Investment</w:t>
            </w:r>
          </w:p>
        </w:tc>
        <w:tc>
          <w:tcPr>
            <w:tcW w:w="2835" w:type="dxa"/>
            <w:shd w:val="clear" w:color="auto" w:fill="F2F2F2" w:themeFill="background1" w:themeFillShade="F2"/>
          </w:tcPr>
          <w:p w:rsidR="00E52D98" w:rsidRPr="00E52D98" w:rsidRDefault="00E52D98" w:rsidP="00E52D98">
            <w:pPr>
              <w:jc w:val="both"/>
              <w:rPr>
                <w:rFonts w:cs="Arial"/>
                <w:sz w:val="22"/>
                <w:szCs w:val="22"/>
              </w:rPr>
            </w:pPr>
            <w:r w:rsidRPr="00E52D98">
              <w:rPr>
                <w:rFonts w:cs="Arial"/>
                <w:sz w:val="22"/>
                <w:szCs w:val="22"/>
              </w:rPr>
              <w:t>Maximum Period</w:t>
            </w:r>
          </w:p>
        </w:tc>
      </w:tr>
      <w:tr w:rsidR="00E52D98" w:rsidRPr="00E52D98" w:rsidTr="00E52D98">
        <w:tc>
          <w:tcPr>
            <w:tcW w:w="1740" w:type="dxa"/>
            <w:shd w:val="clear" w:color="auto" w:fill="auto"/>
          </w:tcPr>
          <w:p w:rsidR="00E52D98" w:rsidRPr="00E52D98" w:rsidRDefault="00E52D98" w:rsidP="00E52D98">
            <w:pPr>
              <w:jc w:val="both"/>
              <w:rPr>
                <w:rFonts w:cs="Arial"/>
                <w:sz w:val="22"/>
                <w:szCs w:val="22"/>
              </w:rPr>
            </w:pPr>
            <w:r w:rsidRPr="00E52D98">
              <w:rPr>
                <w:rFonts w:cs="Arial"/>
                <w:sz w:val="22"/>
                <w:szCs w:val="22"/>
              </w:rPr>
              <w:t>Property Investment Fund</w:t>
            </w:r>
          </w:p>
        </w:tc>
        <w:tc>
          <w:tcPr>
            <w:tcW w:w="1617" w:type="dxa"/>
            <w:shd w:val="clear" w:color="auto" w:fill="auto"/>
          </w:tcPr>
          <w:p w:rsidR="00E52D98" w:rsidRPr="00E52D98" w:rsidRDefault="00E52D98" w:rsidP="00E52D98">
            <w:pPr>
              <w:jc w:val="both"/>
              <w:rPr>
                <w:rFonts w:cs="Arial"/>
                <w:sz w:val="22"/>
                <w:szCs w:val="22"/>
              </w:rPr>
            </w:pPr>
            <w:r w:rsidRPr="00E52D98">
              <w:rPr>
                <w:rFonts w:cs="Arial"/>
                <w:sz w:val="22"/>
                <w:szCs w:val="22"/>
              </w:rPr>
              <w:t>TBA</w:t>
            </w:r>
          </w:p>
        </w:tc>
        <w:tc>
          <w:tcPr>
            <w:tcW w:w="1183" w:type="dxa"/>
            <w:shd w:val="clear" w:color="auto" w:fill="auto"/>
          </w:tcPr>
          <w:p w:rsidR="00E52D98" w:rsidRPr="00E52D98" w:rsidRDefault="00E52D98" w:rsidP="00E52D98">
            <w:pPr>
              <w:jc w:val="both"/>
              <w:rPr>
                <w:rFonts w:cs="Arial"/>
                <w:sz w:val="22"/>
                <w:szCs w:val="22"/>
              </w:rPr>
            </w:pPr>
            <w:r w:rsidRPr="00E52D98">
              <w:rPr>
                <w:rFonts w:cs="Arial"/>
                <w:sz w:val="22"/>
                <w:szCs w:val="22"/>
              </w:rPr>
              <w:t>In house</w:t>
            </w:r>
          </w:p>
        </w:tc>
        <w:tc>
          <w:tcPr>
            <w:tcW w:w="1418" w:type="dxa"/>
            <w:shd w:val="clear" w:color="auto" w:fill="auto"/>
          </w:tcPr>
          <w:p w:rsidR="00E52D98" w:rsidRPr="00E52D98" w:rsidRDefault="00E52D98" w:rsidP="00E52D98">
            <w:pPr>
              <w:jc w:val="both"/>
              <w:rPr>
                <w:rFonts w:cs="Arial"/>
                <w:sz w:val="22"/>
                <w:szCs w:val="22"/>
              </w:rPr>
            </w:pPr>
            <w:r w:rsidRPr="00E52D98">
              <w:rPr>
                <w:rFonts w:cs="Arial"/>
                <w:sz w:val="22"/>
                <w:szCs w:val="22"/>
              </w:rPr>
              <w:t>£10m</w:t>
            </w:r>
          </w:p>
        </w:tc>
        <w:tc>
          <w:tcPr>
            <w:tcW w:w="2835" w:type="dxa"/>
            <w:shd w:val="clear" w:color="auto" w:fill="auto"/>
          </w:tcPr>
          <w:p w:rsidR="00E52D98" w:rsidRPr="00E52D98" w:rsidRDefault="00E52D98" w:rsidP="00E52D98">
            <w:pPr>
              <w:jc w:val="both"/>
              <w:rPr>
                <w:rFonts w:cs="Arial"/>
                <w:sz w:val="22"/>
                <w:szCs w:val="22"/>
              </w:rPr>
            </w:pPr>
            <w:r w:rsidRPr="00E52D98">
              <w:rPr>
                <w:rFonts w:cs="Arial"/>
                <w:sz w:val="22"/>
                <w:szCs w:val="22"/>
              </w:rPr>
              <w:t>These funds do not have a defined maturity date but can normally be liquidated on a given notice period.</w:t>
            </w:r>
          </w:p>
        </w:tc>
      </w:tr>
      <w:tr w:rsidR="00E52D98" w:rsidRPr="00E52D98" w:rsidTr="00E52D98">
        <w:tc>
          <w:tcPr>
            <w:tcW w:w="1740" w:type="dxa"/>
            <w:shd w:val="clear" w:color="auto" w:fill="auto"/>
          </w:tcPr>
          <w:p w:rsidR="00E52D98" w:rsidRPr="00E52D98" w:rsidRDefault="00E52D98" w:rsidP="00E52D98">
            <w:pPr>
              <w:jc w:val="both"/>
              <w:rPr>
                <w:rFonts w:cs="Arial"/>
                <w:sz w:val="22"/>
                <w:szCs w:val="22"/>
              </w:rPr>
            </w:pPr>
            <w:r w:rsidRPr="00E52D98">
              <w:rPr>
                <w:rFonts w:cs="Arial"/>
                <w:sz w:val="22"/>
                <w:szCs w:val="22"/>
              </w:rPr>
              <w:t>Individual property assets purchase</w:t>
            </w:r>
          </w:p>
        </w:tc>
        <w:tc>
          <w:tcPr>
            <w:tcW w:w="1617" w:type="dxa"/>
            <w:shd w:val="clear" w:color="auto" w:fill="auto"/>
          </w:tcPr>
          <w:p w:rsidR="00E52D98" w:rsidRPr="00E52D98" w:rsidRDefault="00E52D98" w:rsidP="00E52D98">
            <w:pPr>
              <w:jc w:val="both"/>
              <w:rPr>
                <w:rFonts w:cs="Arial"/>
                <w:sz w:val="22"/>
                <w:szCs w:val="22"/>
              </w:rPr>
            </w:pPr>
            <w:r w:rsidRPr="00E52D98">
              <w:rPr>
                <w:rFonts w:cs="Arial"/>
                <w:sz w:val="22"/>
                <w:szCs w:val="22"/>
              </w:rPr>
              <w:t>N/A but risk should be assessed on an individual basis</w:t>
            </w:r>
          </w:p>
        </w:tc>
        <w:tc>
          <w:tcPr>
            <w:tcW w:w="1183" w:type="dxa"/>
            <w:shd w:val="clear" w:color="auto" w:fill="auto"/>
          </w:tcPr>
          <w:p w:rsidR="00E52D98" w:rsidRPr="00E52D98" w:rsidRDefault="00E52D98" w:rsidP="00E52D98">
            <w:pPr>
              <w:jc w:val="both"/>
              <w:rPr>
                <w:rFonts w:cs="Arial"/>
                <w:sz w:val="22"/>
                <w:szCs w:val="22"/>
              </w:rPr>
            </w:pPr>
            <w:r w:rsidRPr="00E52D98">
              <w:rPr>
                <w:rFonts w:cs="Arial"/>
                <w:sz w:val="22"/>
                <w:szCs w:val="22"/>
              </w:rPr>
              <w:t>In house</w:t>
            </w:r>
          </w:p>
        </w:tc>
        <w:tc>
          <w:tcPr>
            <w:tcW w:w="1418" w:type="dxa"/>
            <w:shd w:val="clear" w:color="auto" w:fill="auto"/>
          </w:tcPr>
          <w:p w:rsidR="00E52D98" w:rsidRPr="00E52D98" w:rsidRDefault="00E52D98" w:rsidP="00E52D98">
            <w:pPr>
              <w:jc w:val="both"/>
              <w:rPr>
                <w:rFonts w:cs="Arial"/>
                <w:sz w:val="22"/>
                <w:szCs w:val="22"/>
              </w:rPr>
            </w:pPr>
            <w:r w:rsidRPr="00E52D98">
              <w:rPr>
                <w:rFonts w:cs="Arial"/>
                <w:sz w:val="22"/>
                <w:szCs w:val="22"/>
              </w:rPr>
              <w:t>£10m</w:t>
            </w:r>
          </w:p>
        </w:tc>
        <w:tc>
          <w:tcPr>
            <w:tcW w:w="2835" w:type="dxa"/>
            <w:shd w:val="clear" w:color="auto" w:fill="auto"/>
          </w:tcPr>
          <w:p w:rsidR="00E52D98" w:rsidRPr="00E52D98" w:rsidRDefault="00E52D98" w:rsidP="00E52D98">
            <w:pPr>
              <w:jc w:val="both"/>
              <w:rPr>
                <w:rFonts w:cs="Arial"/>
                <w:sz w:val="22"/>
                <w:szCs w:val="22"/>
              </w:rPr>
            </w:pPr>
            <w:r w:rsidRPr="00E52D98">
              <w:rPr>
                <w:rFonts w:cs="Arial"/>
                <w:sz w:val="22"/>
                <w:szCs w:val="22"/>
              </w:rPr>
              <w:t>These are normally long-term holds for revenue income stream purposes, however assets can be disposed of to realise capital funds</w:t>
            </w:r>
          </w:p>
        </w:tc>
      </w:tr>
    </w:tbl>
    <w:p w:rsidR="00E52D98" w:rsidRPr="00E52D98" w:rsidRDefault="00E52D98" w:rsidP="00E52D98">
      <w:pPr>
        <w:jc w:val="both"/>
        <w:rPr>
          <w:rFonts w:cs="Arial"/>
          <w:sz w:val="22"/>
          <w:szCs w:val="22"/>
        </w:rPr>
      </w:pPr>
    </w:p>
    <w:p w:rsidR="001262A1" w:rsidRDefault="00E52D98" w:rsidP="008429A2">
      <w:pPr>
        <w:keepNext/>
        <w:jc w:val="both"/>
        <w:rPr>
          <w:b/>
        </w:rPr>
      </w:pPr>
      <w:r w:rsidRPr="00E52D98">
        <w:rPr>
          <w:rFonts w:cs="Arial"/>
          <w:color w:val="000000"/>
          <w:sz w:val="22"/>
          <w:szCs w:val="22"/>
        </w:rPr>
        <w:t>The Council must ensure it has reasonably adequate level of core funds to facilitate the expenditure in property investment.  The council will not invest more than 50% of its core funds in property.</w:t>
      </w:r>
    </w:p>
    <w:p w:rsidR="00661C99" w:rsidRPr="00661C99" w:rsidRDefault="00661C99" w:rsidP="00E52D98">
      <w:pPr>
        <w:jc w:val="both"/>
        <w:rPr>
          <w:b/>
        </w:rPr>
      </w:pPr>
    </w:p>
    <w:p w:rsidR="00661C99" w:rsidRDefault="00661C99" w:rsidP="00E52D98">
      <w:pPr>
        <w:jc w:val="both"/>
      </w:pPr>
    </w:p>
    <w:sectPr w:rsidR="00661C99" w:rsidSect="00E91BE7">
      <w:headerReference w:type="default" r:id="rId25"/>
      <w:pgSz w:w="11906" w:h="16838"/>
      <w:pgMar w:top="851" w:right="1077" w:bottom="851" w:left="107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3A64" w:rsidRDefault="009D3A64">
      <w:r>
        <w:separator/>
      </w:r>
    </w:p>
  </w:endnote>
  <w:endnote w:type="continuationSeparator" w:id="0">
    <w:p w:rsidR="009D3A64" w:rsidRDefault="009D3A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pitch w:val="variable"/>
    <w:sig w:usb0="E0002AFF" w:usb1="C0007843" w:usb2="00000009" w:usb3="00000000" w:csb0="000001FF" w:csb1="00000000"/>
  </w:font>
  <w:font w:name="Monotype Sorts">
    <w:altName w:val="Symbol"/>
    <w:charset w:val="02"/>
    <w:family w:val="auto"/>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entury Schoolbook">
    <w:panose1 w:val="02040604050505020304"/>
    <w:charset w:val="00"/>
    <w:family w:val="roman"/>
    <w:pitch w:val="variable"/>
    <w:sig w:usb0="00000287" w:usb1="00000000" w:usb2="00000000" w:usb3="00000000" w:csb0="0000009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FoundryFormSans-Book">
    <w:altName w:val="BlissFractions Light"/>
    <w:panose1 w:val="00000000000000000000"/>
    <w:charset w:val="00"/>
    <w:family w:val="auto"/>
    <w:notTrueType/>
    <w:pitch w:val="variable"/>
    <w:sig w:usb0="00000003" w:usb1="00000000" w:usb2="00000000" w:usb3="00000000" w:csb0="00000001" w:csb1="00000000"/>
  </w:font>
  <w:font w:name="RotisSansSerifExtraBold">
    <w:charset w:val="00"/>
    <w:family w:val="auto"/>
    <w:pitch w:val="variable"/>
    <w:sig w:usb0="00000003" w:usb1="00000000" w:usb2="00000000" w:usb3="00000000" w:csb0="00000001" w:csb1="00000000"/>
  </w:font>
  <w:font w:name="Novarese Medium">
    <w:panose1 w:val="00000000000000000000"/>
    <w:charset w:val="00"/>
    <w:family w:val="roman"/>
    <w:notTrueType/>
    <w:pitch w:val="variable"/>
    <w:sig w:usb0="00000003" w:usb1="00000000" w:usb2="00000000" w:usb3="00000000" w:csb0="00000001" w:csb1="00000000"/>
  </w:font>
  <w:font w:name="Bliss 2 Regular">
    <w:altName w:val="Franklin Gothic Medium Cond"/>
    <w:panose1 w:val="00000000000000000000"/>
    <w:charset w:val="00"/>
    <w:family w:val="modern"/>
    <w:notTrueType/>
    <w:pitch w:val="variable"/>
    <w:sig w:usb0="00000087" w:usb1="00000000" w:usb2="00000000" w:usb3="00000000" w:csb0="0000009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Default="00372C29">
    <w:pPr>
      <w:pStyle w:val="Footer"/>
      <w:rPr>
        <w:snapToGrid w:val="0"/>
        <w:sz w:val="16"/>
      </w:rPr>
    </w:pPr>
  </w:p>
  <w:p w:rsidR="00372C29" w:rsidRDefault="00372C29">
    <w:pPr>
      <w:pStyle w:val="Footer"/>
      <w:rPr>
        <w:sz w:val="16"/>
        <w:szCs w:val="16"/>
      </w:rPr>
    </w:pPr>
    <w:r>
      <w:rPr>
        <w:snapToGrid w:val="0"/>
        <w:sz w:val="16"/>
      </w:rPr>
      <w:fldChar w:fldCharType="begin"/>
    </w:r>
    <w:r>
      <w:rPr>
        <w:snapToGrid w:val="0"/>
        <w:sz w:val="16"/>
      </w:rPr>
      <w:instrText xml:space="preserve"> FILENAME \* Lower\p  \* MERGEFORMAT </w:instrText>
    </w:r>
    <w:r>
      <w:rPr>
        <w:snapToGrid w:val="0"/>
        <w:sz w:val="16"/>
      </w:rPr>
      <w:fldChar w:fldCharType="separate"/>
    </w:r>
    <w:r w:rsidR="00E509EE">
      <w:rPr>
        <w:noProof/>
        <w:snapToGrid w:val="0"/>
        <w:sz w:val="16"/>
      </w:rPr>
      <w:t>w:\budgets and budget monitoring\budget preparation 2017 - 2020\trdc\ld budget\lib dem 17 02 17 budget proposal  recommedations v4- final to council.docx</w:t>
    </w:r>
    <w:r>
      <w:rPr>
        <w:snapToGrid w:val="0"/>
        <w:sz w:val="16"/>
      </w:rPr>
      <w:fldChar w:fldCharType="end"/>
    </w:r>
    <w:r>
      <w:rPr>
        <w:snapToGrid w:val="0"/>
        <w:sz w:val="16"/>
      </w:rPr>
      <w:t>.</w:t>
    </w:r>
    <w:r>
      <w:rPr>
        <w:snapToGrid w:val="0"/>
        <w:sz w:val="16"/>
        <w:szCs w:val="16"/>
      </w:rPr>
      <w:fldChar w:fldCharType="begin"/>
    </w:r>
    <w:r>
      <w:rPr>
        <w:snapToGrid w:val="0"/>
        <w:sz w:val="16"/>
        <w:szCs w:val="16"/>
      </w:rPr>
      <w:instrText xml:space="preserve"> PAGE </w:instrText>
    </w:r>
    <w:r>
      <w:rPr>
        <w:snapToGrid w:val="0"/>
        <w:sz w:val="16"/>
        <w:szCs w:val="16"/>
      </w:rPr>
      <w:fldChar w:fldCharType="separate"/>
    </w:r>
    <w:r w:rsidR="00874E8F">
      <w:rPr>
        <w:noProof/>
        <w:snapToGrid w:val="0"/>
        <w:sz w:val="16"/>
        <w:szCs w:val="16"/>
      </w:rPr>
      <w:t>4</w:t>
    </w:r>
    <w:r>
      <w:rPr>
        <w:snapToGrid w:val="0"/>
        <w:sz w:val="16"/>
        <w:szCs w:val="16"/>
      </w:rPr>
      <w:fldChar w:fldCharType="end"/>
    </w:r>
  </w:p>
  <w:p w:rsidR="00372C29" w:rsidRDefault="00372C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Default="00372C29" w:rsidP="00E52D9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16</w:t>
    </w:r>
    <w:r>
      <w:rPr>
        <w:rStyle w:val="PageNumber"/>
      </w:rPr>
      <w:fldChar w:fldCharType="end"/>
    </w:r>
  </w:p>
  <w:p w:rsidR="00372C29" w:rsidRDefault="00372C29" w:rsidP="00E52D98">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Pr="00052887" w:rsidRDefault="00372C29" w:rsidP="00E52D98">
    <w:pPr>
      <w:pStyle w:val="Footer"/>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3A64" w:rsidRDefault="009D3A64">
      <w:r>
        <w:separator/>
      </w:r>
    </w:p>
  </w:footnote>
  <w:footnote w:type="continuationSeparator" w:id="0">
    <w:p w:rsidR="009D3A64" w:rsidRDefault="009D3A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Pr="006E7DEB" w:rsidRDefault="00372C29" w:rsidP="00E52D98">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Default="00372C29">
    <w:pPr>
      <w:pStyle w:val="Header"/>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2C29" w:rsidRDefault="00372C29">
    <w:pPr>
      <w:pStyle w:val="Header"/>
    </w:pPr>
    <w: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F41F2E"/>
    <w:multiLevelType w:val="hybridMultilevel"/>
    <w:tmpl w:val="11C4EF5E"/>
    <w:lvl w:ilvl="0" w:tplc="8A8A4BEA">
      <w:start w:val="7"/>
      <w:numFmt w:val="lowerLetter"/>
      <w:lvlText w:val="(%1)"/>
      <w:lvlJc w:val="left"/>
      <w:pPr>
        <w:tabs>
          <w:tab w:val="num" w:pos="2838"/>
        </w:tabs>
        <w:ind w:left="2838" w:hanging="360"/>
      </w:pPr>
      <w:rPr>
        <w:rFonts w:hint="default"/>
        <w:i w:val="0"/>
        <w:color w:val="auto"/>
      </w:rPr>
    </w:lvl>
    <w:lvl w:ilvl="1" w:tplc="08090019" w:tentative="1">
      <w:start w:val="1"/>
      <w:numFmt w:val="lowerLetter"/>
      <w:lvlText w:val="%2."/>
      <w:lvlJc w:val="left"/>
      <w:pPr>
        <w:tabs>
          <w:tab w:val="num" w:pos="3558"/>
        </w:tabs>
        <w:ind w:left="3558" w:hanging="360"/>
      </w:pPr>
    </w:lvl>
    <w:lvl w:ilvl="2" w:tplc="0809001B" w:tentative="1">
      <w:start w:val="1"/>
      <w:numFmt w:val="lowerRoman"/>
      <w:lvlText w:val="%3."/>
      <w:lvlJc w:val="right"/>
      <w:pPr>
        <w:tabs>
          <w:tab w:val="num" w:pos="4278"/>
        </w:tabs>
        <w:ind w:left="4278" w:hanging="180"/>
      </w:pPr>
    </w:lvl>
    <w:lvl w:ilvl="3" w:tplc="0809000F" w:tentative="1">
      <w:start w:val="1"/>
      <w:numFmt w:val="decimal"/>
      <w:lvlText w:val="%4."/>
      <w:lvlJc w:val="left"/>
      <w:pPr>
        <w:tabs>
          <w:tab w:val="num" w:pos="4998"/>
        </w:tabs>
        <w:ind w:left="4998" w:hanging="360"/>
      </w:pPr>
    </w:lvl>
    <w:lvl w:ilvl="4" w:tplc="08090019" w:tentative="1">
      <w:start w:val="1"/>
      <w:numFmt w:val="lowerLetter"/>
      <w:lvlText w:val="%5."/>
      <w:lvlJc w:val="left"/>
      <w:pPr>
        <w:tabs>
          <w:tab w:val="num" w:pos="5718"/>
        </w:tabs>
        <w:ind w:left="5718" w:hanging="360"/>
      </w:pPr>
    </w:lvl>
    <w:lvl w:ilvl="5" w:tplc="0809001B" w:tentative="1">
      <w:start w:val="1"/>
      <w:numFmt w:val="lowerRoman"/>
      <w:lvlText w:val="%6."/>
      <w:lvlJc w:val="right"/>
      <w:pPr>
        <w:tabs>
          <w:tab w:val="num" w:pos="6438"/>
        </w:tabs>
        <w:ind w:left="6438" w:hanging="180"/>
      </w:pPr>
    </w:lvl>
    <w:lvl w:ilvl="6" w:tplc="0809000F" w:tentative="1">
      <w:start w:val="1"/>
      <w:numFmt w:val="decimal"/>
      <w:lvlText w:val="%7."/>
      <w:lvlJc w:val="left"/>
      <w:pPr>
        <w:tabs>
          <w:tab w:val="num" w:pos="7158"/>
        </w:tabs>
        <w:ind w:left="7158" w:hanging="360"/>
      </w:pPr>
    </w:lvl>
    <w:lvl w:ilvl="7" w:tplc="08090019" w:tentative="1">
      <w:start w:val="1"/>
      <w:numFmt w:val="lowerLetter"/>
      <w:lvlText w:val="%8."/>
      <w:lvlJc w:val="left"/>
      <w:pPr>
        <w:tabs>
          <w:tab w:val="num" w:pos="7878"/>
        </w:tabs>
        <w:ind w:left="7878" w:hanging="360"/>
      </w:pPr>
    </w:lvl>
    <w:lvl w:ilvl="8" w:tplc="0809001B" w:tentative="1">
      <w:start w:val="1"/>
      <w:numFmt w:val="lowerRoman"/>
      <w:lvlText w:val="%9."/>
      <w:lvlJc w:val="right"/>
      <w:pPr>
        <w:tabs>
          <w:tab w:val="num" w:pos="8598"/>
        </w:tabs>
        <w:ind w:left="8598" w:hanging="180"/>
      </w:pPr>
    </w:lvl>
  </w:abstractNum>
  <w:abstractNum w:abstractNumId="1">
    <w:nsid w:val="15A87080"/>
    <w:multiLevelType w:val="hybridMultilevel"/>
    <w:tmpl w:val="6DEC9150"/>
    <w:lvl w:ilvl="0" w:tplc="C166DA24">
      <w:start w:val="1"/>
      <w:numFmt w:val="bullet"/>
      <w:lvlText w:val=""/>
      <w:lvlJc w:val="left"/>
      <w:pPr>
        <w:tabs>
          <w:tab w:val="num" w:pos="417"/>
        </w:tabs>
        <w:ind w:left="284" w:hanging="227"/>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8F07135"/>
    <w:multiLevelType w:val="hybridMultilevel"/>
    <w:tmpl w:val="56100A0A"/>
    <w:lvl w:ilvl="0" w:tplc="86B2E154">
      <w:start w:val="1"/>
      <w:numFmt w:val="decimal"/>
      <w:lvlText w:val="%1."/>
      <w:lvlJc w:val="left"/>
      <w:pPr>
        <w:tabs>
          <w:tab w:val="num" w:pos="360"/>
        </w:tabs>
        <w:ind w:left="360" w:hanging="360"/>
      </w:pPr>
      <w:rPr>
        <w:i w:val="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EB534BE"/>
    <w:multiLevelType w:val="hybridMultilevel"/>
    <w:tmpl w:val="168C599C"/>
    <w:lvl w:ilvl="0" w:tplc="08090001">
      <w:start w:val="1"/>
      <w:numFmt w:val="bullet"/>
      <w:lvlText w:val=""/>
      <w:lvlJc w:val="left"/>
      <w:pPr>
        <w:tabs>
          <w:tab w:val="num" w:pos="720"/>
        </w:tabs>
        <w:ind w:left="720" w:hanging="360"/>
      </w:pPr>
      <w:rPr>
        <w:rFonts w:ascii="Symbol" w:hAnsi="Symbol" w:hint="default"/>
        <w:b w:val="0"/>
      </w:rPr>
    </w:lvl>
    <w:lvl w:ilvl="1" w:tplc="8A06832A">
      <w:start w:val="2"/>
      <w:numFmt w:val="bullet"/>
      <w:lvlText w:val="-"/>
      <w:lvlJc w:val="left"/>
      <w:pPr>
        <w:tabs>
          <w:tab w:val="num" w:pos="1440"/>
        </w:tabs>
        <w:ind w:left="1440" w:hanging="360"/>
      </w:pPr>
      <w:rPr>
        <w:rFonts w:ascii="Times New Roman" w:eastAsia="Times New Roman" w:hAnsi="Times New Roman" w:cs="Times New Roman" w:hint="default"/>
      </w:rPr>
    </w:lvl>
    <w:lvl w:ilvl="2" w:tplc="CFF6986C">
      <w:start w:val="1"/>
      <w:numFmt w:val="lowerRoman"/>
      <w:lvlText w:val="%3."/>
      <w:lvlJc w:val="right"/>
      <w:pPr>
        <w:tabs>
          <w:tab w:val="num" w:pos="2160"/>
        </w:tabs>
        <w:ind w:left="2160" w:hanging="180"/>
      </w:pPr>
      <w:rPr>
        <w:i w:val="0"/>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2FC566B1"/>
    <w:multiLevelType w:val="hybridMultilevel"/>
    <w:tmpl w:val="AD24B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33AB6E80"/>
    <w:multiLevelType w:val="hybridMultilevel"/>
    <w:tmpl w:val="1CE8666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3F4509E0"/>
    <w:multiLevelType w:val="hybridMultilevel"/>
    <w:tmpl w:val="301E60A8"/>
    <w:lvl w:ilvl="0" w:tplc="0409000F">
      <w:start w:val="1"/>
      <w:numFmt w:val="decimal"/>
      <w:lvlText w:val="%1."/>
      <w:lvlJc w:val="left"/>
      <w:pPr>
        <w:tabs>
          <w:tab w:val="num" w:pos="720"/>
        </w:tabs>
        <w:ind w:left="720" w:hanging="360"/>
      </w:pPr>
    </w:lvl>
    <w:lvl w:ilvl="1" w:tplc="76506854">
      <w:start w:val="1"/>
      <w:numFmt w:val="lowerLetter"/>
      <w:lvlText w:val="%2."/>
      <w:lvlJc w:val="left"/>
      <w:pPr>
        <w:tabs>
          <w:tab w:val="num" w:pos="502"/>
        </w:tabs>
        <w:ind w:left="502" w:hanging="360"/>
      </w:pPr>
      <w:rPr>
        <w:b w:val="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0C34973"/>
    <w:multiLevelType w:val="hybridMultilevel"/>
    <w:tmpl w:val="27321524"/>
    <w:lvl w:ilvl="0" w:tplc="C166DA24">
      <w:start w:val="1"/>
      <w:numFmt w:val="bullet"/>
      <w:lvlText w:val=""/>
      <w:lvlJc w:val="left"/>
      <w:pPr>
        <w:tabs>
          <w:tab w:val="num" w:pos="1080"/>
        </w:tabs>
        <w:ind w:left="947" w:hanging="227"/>
      </w:pPr>
      <w:rPr>
        <w:rFonts w:ascii="Symbol" w:hAnsi="Symbol" w:hint="default"/>
        <w:color w:val="auto"/>
      </w:rPr>
    </w:lvl>
    <w:lvl w:ilvl="1" w:tplc="8A06832A">
      <w:start w:val="2"/>
      <w:numFmt w:val="bullet"/>
      <w:lvlText w:val="-"/>
      <w:lvlJc w:val="left"/>
      <w:pPr>
        <w:tabs>
          <w:tab w:val="num" w:pos="1800"/>
        </w:tabs>
        <w:ind w:left="1800" w:hanging="360"/>
      </w:pPr>
      <w:rPr>
        <w:rFonts w:ascii="Times New Roman" w:eastAsia="Times New Roman" w:hAnsi="Times New Roman" w:cs="Times New Roman"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19F7D03"/>
    <w:multiLevelType w:val="hybridMultilevel"/>
    <w:tmpl w:val="60CAA2A6"/>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9">
    <w:nsid w:val="639A5762"/>
    <w:multiLevelType w:val="multilevel"/>
    <w:tmpl w:val="017A0C2C"/>
    <w:lvl w:ilvl="0">
      <w:start w:val="3"/>
      <w:numFmt w:val="decimal"/>
      <w:lvlText w:val="%1"/>
      <w:lvlJc w:val="left"/>
      <w:pPr>
        <w:tabs>
          <w:tab w:val="num" w:pos="360"/>
        </w:tabs>
        <w:ind w:left="360" w:hanging="360"/>
      </w:pPr>
      <w:rPr>
        <w:rFonts w:hint="default"/>
      </w:rPr>
    </w:lvl>
    <w:lvl w:ilvl="1">
      <w:start w:val="3"/>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
    <w:nsid w:val="694D754E"/>
    <w:multiLevelType w:val="hybridMultilevel"/>
    <w:tmpl w:val="2AEABCA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2520"/>
        </w:tabs>
        <w:ind w:left="2520" w:hanging="360"/>
      </w:pPr>
      <w:rPr>
        <w:rFonts w:ascii="Courier New" w:hAnsi="Courier New" w:cs="Courier New"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1">
    <w:nsid w:val="6F9B6C1E"/>
    <w:multiLevelType w:val="hybridMultilevel"/>
    <w:tmpl w:val="8D580506"/>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2">
    <w:nsid w:val="79197EEE"/>
    <w:multiLevelType w:val="hybridMultilevel"/>
    <w:tmpl w:val="6DACECAA"/>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3">
    <w:nsid w:val="7B007777"/>
    <w:multiLevelType w:val="hybridMultilevel"/>
    <w:tmpl w:val="4B16E9A4"/>
    <w:lvl w:ilvl="0" w:tplc="FFFFFFFF">
      <w:start w:val="1"/>
      <w:numFmt w:val="bullet"/>
      <w:lvlText w:val=""/>
      <w:lvlJc w:val="left"/>
      <w:pPr>
        <w:tabs>
          <w:tab w:val="num" w:pos="720"/>
        </w:tabs>
        <w:ind w:left="720" w:hanging="360"/>
      </w:pPr>
      <w:rPr>
        <w:rFonts w:ascii="Symbol" w:hAnsi="Symbol" w:hint="default"/>
      </w:rPr>
    </w:lvl>
    <w:lvl w:ilvl="1" w:tplc="FFFFFFFF">
      <w:start w:val="1"/>
      <w:numFmt w:val="bullet"/>
      <w:lvlText w:val="o"/>
      <w:lvlJc w:val="left"/>
      <w:pPr>
        <w:tabs>
          <w:tab w:val="num" w:pos="2520"/>
        </w:tabs>
        <w:ind w:left="2520" w:hanging="360"/>
      </w:pPr>
      <w:rPr>
        <w:rFonts w:ascii="Courier New" w:hAnsi="Courier New" w:cs="Courier New" w:hint="default"/>
      </w:rPr>
    </w:lvl>
    <w:lvl w:ilvl="2" w:tplc="FFFFFFFF" w:tentative="1">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abstractNum w:abstractNumId="14">
    <w:nsid w:val="7B3F617E"/>
    <w:multiLevelType w:val="hybridMultilevel"/>
    <w:tmpl w:val="AFC48BD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5">
    <w:nsid w:val="7C7A29BC"/>
    <w:multiLevelType w:val="hybridMultilevel"/>
    <w:tmpl w:val="8C90EFC6"/>
    <w:lvl w:ilvl="0" w:tplc="639251A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6">
    <w:nsid w:val="7E6E0966"/>
    <w:multiLevelType w:val="hybridMultilevel"/>
    <w:tmpl w:val="ED603F64"/>
    <w:lvl w:ilvl="0" w:tplc="FFFFFFFF">
      <w:start w:val="1"/>
      <w:numFmt w:val="bullet"/>
      <w:lvlText w:val=""/>
      <w:lvlJc w:val="left"/>
      <w:pPr>
        <w:tabs>
          <w:tab w:val="num" w:pos="720"/>
        </w:tabs>
        <w:ind w:left="720" w:hanging="360"/>
      </w:pPr>
      <w:rPr>
        <w:rFonts w:ascii="Symbol" w:hAnsi="Symbol" w:hint="default"/>
      </w:rPr>
    </w:lvl>
    <w:lvl w:ilvl="1" w:tplc="FFFFFFFF" w:tentative="1">
      <w:start w:val="1"/>
      <w:numFmt w:val="bullet"/>
      <w:lvlText w:val="o"/>
      <w:lvlJc w:val="left"/>
      <w:pPr>
        <w:tabs>
          <w:tab w:val="num" w:pos="2520"/>
        </w:tabs>
        <w:ind w:left="2520" w:hanging="360"/>
      </w:pPr>
      <w:rPr>
        <w:rFonts w:ascii="Courier New" w:hAnsi="Courier New" w:cs="Courier New" w:hint="default"/>
      </w:rPr>
    </w:lvl>
    <w:lvl w:ilvl="2" w:tplc="FFFFFFFF">
      <w:start w:val="1"/>
      <w:numFmt w:val="bullet"/>
      <w:lvlText w:val=""/>
      <w:lvlJc w:val="left"/>
      <w:pPr>
        <w:tabs>
          <w:tab w:val="num" w:pos="3240"/>
        </w:tabs>
        <w:ind w:left="3240" w:hanging="360"/>
      </w:pPr>
      <w:rPr>
        <w:rFonts w:ascii="Wingdings" w:hAnsi="Wingdings" w:hint="default"/>
      </w:rPr>
    </w:lvl>
    <w:lvl w:ilvl="3" w:tplc="FFFFFFFF" w:tentative="1">
      <w:start w:val="1"/>
      <w:numFmt w:val="bullet"/>
      <w:lvlText w:val=""/>
      <w:lvlJc w:val="left"/>
      <w:pPr>
        <w:tabs>
          <w:tab w:val="num" w:pos="3960"/>
        </w:tabs>
        <w:ind w:left="3960" w:hanging="360"/>
      </w:pPr>
      <w:rPr>
        <w:rFonts w:ascii="Symbol" w:hAnsi="Symbol" w:hint="default"/>
      </w:rPr>
    </w:lvl>
    <w:lvl w:ilvl="4" w:tplc="FFFFFFFF" w:tentative="1">
      <w:start w:val="1"/>
      <w:numFmt w:val="bullet"/>
      <w:lvlText w:val="o"/>
      <w:lvlJc w:val="left"/>
      <w:pPr>
        <w:tabs>
          <w:tab w:val="num" w:pos="4680"/>
        </w:tabs>
        <w:ind w:left="4680" w:hanging="360"/>
      </w:pPr>
      <w:rPr>
        <w:rFonts w:ascii="Courier New" w:hAnsi="Courier New" w:cs="Courier New" w:hint="default"/>
      </w:rPr>
    </w:lvl>
    <w:lvl w:ilvl="5" w:tplc="FFFFFFFF" w:tentative="1">
      <w:start w:val="1"/>
      <w:numFmt w:val="bullet"/>
      <w:lvlText w:val=""/>
      <w:lvlJc w:val="left"/>
      <w:pPr>
        <w:tabs>
          <w:tab w:val="num" w:pos="5400"/>
        </w:tabs>
        <w:ind w:left="5400" w:hanging="360"/>
      </w:pPr>
      <w:rPr>
        <w:rFonts w:ascii="Wingdings" w:hAnsi="Wingdings" w:hint="default"/>
      </w:rPr>
    </w:lvl>
    <w:lvl w:ilvl="6" w:tplc="FFFFFFFF" w:tentative="1">
      <w:start w:val="1"/>
      <w:numFmt w:val="bullet"/>
      <w:lvlText w:val=""/>
      <w:lvlJc w:val="left"/>
      <w:pPr>
        <w:tabs>
          <w:tab w:val="num" w:pos="6120"/>
        </w:tabs>
        <w:ind w:left="6120" w:hanging="360"/>
      </w:pPr>
      <w:rPr>
        <w:rFonts w:ascii="Symbol" w:hAnsi="Symbol" w:hint="default"/>
      </w:rPr>
    </w:lvl>
    <w:lvl w:ilvl="7" w:tplc="FFFFFFFF" w:tentative="1">
      <w:start w:val="1"/>
      <w:numFmt w:val="bullet"/>
      <w:lvlText w:val="o"/>
      <w:lvlJc w:val="left"/>
      <w:pPr>
        <w:tabs>
          <w:tab w:val="num" w:pos="6840"/>
        </w:tabs>
        <w:ind w:left="6840" w:hanging="360"/>
      </w:pPr>
      <w:rPr>
        <w:rFonts w:ascii="Courier New" w:hAnsi="Courier New" w:cs="Courier New" w:hint="default"/>
      </w:rPr>
    </w:lvl>
    <w:lvl w:ilvl="8" w:tplc="FFFFFFFF" w:tentative="1">
      <w:start w:val="1"/>
      <w:numFmt w:val="bullet"/>
      <w:lvlText w:val=""/>
      <w:lvlJc w:val="left"/>
      <w:pPr>
        <w:tabs>
          <w:tab w:val="num" w:pos="7560"/>
        </w:tabs>
        <w:ind w:left="7560" w:hanging="360"/>
      </w:pPr>
      <w:rPr>
        <w:rFonts w:ascii="Wingdings" w:hAnsi="Wingdings" w:hint="default"/>
      </w:rPr>
    </w:lvl>
  </w:abstractNum>
  <w:num w:numId="1">
    <w:abstractNumId w:val="15"/>
  </w:num>
  <w:num w:numId="2">
    <w:abstractNumId w:val="0"/>
  </w:num>
  <w:num w:numId="3">
    <w:abstractNumId w:val="3"/>
  </w:num>
  <w:num w:numId="4">
    <w:abstractNumId w:val="1"/>
  </w:num>
  <w:num w:numId="5">
    <w:abstractNumId w:val="2"/>
  </w:num>
  <w:num w:numId="6">
    <w:abstractNumId w:val="6"/>
  </w:num>
  <w:num w:numId="7">
    <w:abstractNumId w:val="12"/>
  </w:num>
  <w:num w:numId="8">
    <w:abstractNumId w:val="16"/>
  </w:num>
  <w:num w:numId="9">
    <w:abstractNumId w:val="10"/>
  </w:num>
  <w:num w:numId="10">
    <w:abstractNumId w:val="13"/>
  </w:num>
  <w:num w:numId="11">
    <w:abstractNumId w:val="7"/>
  </w:num>
  <w:num w:numId="12">
    <w:abstractNumId w:val="9"/>
  </w:num>
  <w:num w:numId="13">
    <w:abstractNumId w:val="4"/>
  </w:num>
  <w:num w:numId="14">
    <w:abstractNumId w:val="5"/>
  </w:num>
  <w:num w:numId="15">
    <w:abstractNumId w:val="8"/>
  </w:num>
  <w:num w:numId="16">
    <w:abstractNumId w:val="14"/>
  </w:num>
  <w:num w:numId="17">
    <w:abstractNumId w:val="1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09B1"/>
    <w:rsid w:val="000155C7"/>
    <w:rsid w:val="0003382B"/>
    <w:rsid w:val="00064584"/>
    <w:rsid w:val="00086FF0"/>
    <w:rsid w:val="0009759F"/>
    <w:rsid w:val="000A15A8"/>
    <w:rsid w:val="000F2B75"/>
    <w:rsid w:val="00113EA1"/>
    <w:rsid w:val="00117580"/>
    <w:rsid w:val="001262A1"/>
    <w:rsid w:val="0014684B"/>
    <w:rsid w:val="001469D2"/>
    <w:rsid w:val="001B3765"/>
    <w:rsid w:val="001C0C81"/>
    <w:rsid w:val="001D3BF3"/>
    <w:rsid w:val="001D7BBB"/>
    <w:rsid w:val="001F04FE"/>
    <w:rsid w:val="001F3C32"/>
    <w:rsid w:val="002243DF"/>
    <w:rsid w:val="00231716"/>
    <w:rsid w:val="0023411D"/>
    <w:rsid w:val="002452CC"/>
    <w:rsid w:val="0025166B"/>
    <w:rsid w:val="00270F87"/>
    <w:rsid w:val="002712C1"/>
    <w:rsid w:val="002722F9"/>
    <w:rsid w:val="00276379"/>
    <w:rsid w:val="002B7E68"/>
    <w:rsid w:val="002C76C1"/>
    <w:rsid w:val="002D37D5"/>
    <w:rsid w:val="002D407E"/>
    <w:rsid w:val="002E09B1"/>
    <w:rsid w:val="002E48AC"/>
    <w:rsid w:val="002E4B07"/>
    <w:rsid w:val="002E774C"/>
    <w:rsid w:val="002F7D9A"/>
    <w:rsid w:val="003156B0"/>
    <w:rsid w:val="003223D0"/>
    <w:rsid w:val="00335AB7"/>
    <w:rsid w:val="00350042"/>
    <w:rsid w:val="00351044"/>
    <w:rsid w:val="0036578E"/>
    <w:rsid w:val="00372C29"/>
    <w:rsid w:val="00392777"/>
    <w:rsid w:val="00395344"/>
    <w:rsid w:val="003A5397"/>
    <w:rsid w:val="003B307E"/>
    <w:rsid w:val="003B4EF9"/>
    <w:rsid w:val="0040319C"/>
    <w:rsid w:val="004053B2"/>
    <w:rsid w:val="004138EF"/>
    <w:rsid w:val="004321E4"/>
    <w:rsid w:val="00456487"/>
    <w:rsid w:val="00475799"/>
    <w:rsid w:val="00483CBA"/>
    <w:rsid w:val="004B0826"/>
    <w:rsid w:val="004B2141"/>
    <w:rsid w:val="004B3B79"/>
    <w:rsid w:val="004D55F1"/>
    <w:rsid w:val="0052741E"/>
    <w:rsid w:val="005343C1"/>
    <w:rsid w:val="00547BAE"/>
    <w:rsid w:val="00554B0C"/>
    <w:rsid w:val="00562779"/>
    <w:rsid w:val="00575251"/>
    <w:rsid w:val="00587988"/>
    <w:rsid w:val="005A2030"/>
    <w:rsid w:val="005B4BA9"/>
    <w:rsid w:val="005C012B"/>
    <w:rsid w:val="005C0DFE"/>
    <w:rsid w:val="005C756B"/>
    <w:rsid w:val="005D4274"/>
    <w:rsid w:val="005D7F40"/>
    <w:rsid w:val="005E19A9"/>
    <w:rsid w:val="00613980"/>
    <w:rsid w:val="00641455"/>
    <w:rsid w:val="00661C99"/>
    <w:rsid w:val="006858C4"/>
    <w:rsid w:val="00687D08"/>
    <w:rsid w:val="0069232E"/>
    <w:rsid w:val="006A7779"/>
    <w:rsid w:val="006C48FF"/>
    <w:rsid w:val="006D2396"/>
    <w:rsid w:val="006E6417"/>
    <w:rsid w:val="006F5480"/>
    <w:rsid w:val="007100E6"/>
    <w:rsid w:val="00732821"/>
    <w:rsid w:val="00732BB9"/>
    <w:rsid w:val="007407A3"/>
    <w:rsid w:val="007512AD"/>
    <w:rsid w:val="00753EDA"/>
    <w:rsid w:val="00766088"/>
    <w:rsid w:val="00790B86"/>
    <w:rsid w:val="007916A9"/>
    <w:rsid w:val="007A41DB"/>
    <w:rsid w:val="007B57CA"/>
    <w:rsid w:val="007B5816"/>
    <w:rsid w:val="007D3502"/>
    <w:rsid w:val="007E29EE"/>
    <w:rsid w:val="007F68CE"/>
    <w:rsid w:val="008429A2"/>
    <w:rsid w:val="00842B62"/>
    <w:rsid w:val="00871517"/>
    <w:rsid w:val="00874E8F"/>
    <w:rsid w:val="00877FC5"/>
    <w:rsid w:val="008B193C"/>
    <w:rsid w:val="008C6263"/>
    <w:rsid w:val="008D6A44"/>
    <w:rsid w:val="008F079A"/>
    <w:rsid w:val="009100A1"/>
    <w:rsid w:val="0093027E"/>
    <w:rsid w:val="00934EE0"/>
    <w:rsid w:val="00957B8B"/>
    <w:rsid w:val="00995909"/>
    <w:rsid w:val="009A3C9A"/>
    <w:rsid w:val="009B56F4"/>
    <w:rsid w:val="009C0981"/>
    <w:rsid w:val="009C4AEA"/>
    <w:rsid w:val="009D3A64"/>
    <w:rsid w:val="00A034A8"/>
    <w:rsid w:val="00A2409D"/>
    <w:rsid w:val="00A60E47"/>
    <w:rsid w:val="00A73129"/>
    <w:rsid w:val="00A75FAD"/>
    <w:rsid w:val="00A909FC"/>
    <w:rsid w:val="00AA1015"/>
    <w:rsid w:val="00AB1ECF"/>
    <w:rsid w:val="00B04CB7"/>
    <w:rsid w:val="00B26FDE"/>
    <w:rsid w:val="00B30403"/>
    <w:rsid w:val="00B70614"/>
    <w:rsid w:val="00B824AC"/>
    <w:rsid w:val="00B971BD"/>
    <w:rsid w:val="00BA2B3B"/>
    <w:rsid w:val="00BC6207"/>
    <w:rsid w:val="00BD3804"/>
    <w:rsid w:val="00C14869"/>
    <w:rsid w:val="00C22CE5"/>
    <w:rsid w:val="00C2346B"/>
    <w:rsid w:val="00C53963"/>
    <w:rsid w:val="00C55B0D"/>
    <w:rsid w:val="00C55FCA"/>
    <w:rsid w:val="00C63C50"/>
    <w:rsid w:val="00C71AD4"/>
    <w:rsid w:val="00C76088"/>
    <w:rsid w:val="00CA370F"/>
    <w:rsid w:val="00CB01AB"/>
    <w:rsid w:val="00CB065C"/>
    <w:rsid w:val="00CB68E3"/>
    <w:rsid w:val="00CD1670"/>
    <w:rsid w:val="00CE7863"/>
    <w:rsid w:val="00D05BCC"/>
    <w:rsid w:val="00D400DF"/>
    <w:rsid w:val="00D44AA7"/>
    <w:rsid w:val="00D52A47"/>
    <w:rsid w:val="00D63A11"/>
    <w:rsid w:val="00D8252C"/>
    <w:rsid w:val="00DA2474"/>
    <w:rsid w:val="00DC1388"/>
    <w:rsid w:val="00DE1723"/>
    <w:rsid w:val="00DF37F6"/>
    <w:rsid w:val="00E105B7"/>
    <w:rsid w:val="00E32B0C"/>
    <w:rsid w:val="00E509EE"/>
    <w:rsid w:val="00E52D98"/>
    <w:rsid w:val="00E65615"/>
    <w:rsid w:val="00E77D08"/>
    <w:rsid w:val="00E91BE7"/>
    <w:rsid w:val="00E926C3"/>
    <w:rsid w:val="00EA027D"/>
    <w:rsid w:val="00EC284F"/>
    <w:rsid w:val="00ED1561"/>
    <w:rsid w:val="00ED2C1B"/>
    <w:rsid w:val="00ED721D"/>
    <w:rsid w:val="00EE1904"/>
    <w:rsid w:val="00EF2FE0"/>
    <w:rsid w:val="00F140D1"/>
    <w:rsid w:val="00F533E7"/>
    <w:rsid w:val="00F534F0"/>
    <w:rsid w:val="00F9718A"/>
    <w:rsid w:val="00FA4CCC"/>
    <w:rsid w:val="00FB2DD7"/>
    <w:rsid w:val="00FE3692"/>
    <w:rsid w:val="00FE3DC1"/>
    <w:rsid w:val="00FE76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rFonts w:ascii="Arial" w:hAnsi="Arial"/>
      <w:sz w:val="24"/>
      <w:lang w:eastAsia="en-US"/>
    </w:rPr>
  </w:style>
  <w:style w:type="paragraph" w:styleId="Heading1">
    <w:name w:val="heading 1"/>
    <w:aliases w:val="Section Heading"/>
    <w:basedOn w:val="Normal"/>
    <w:next w:val="Normal"/>
    <w:link w:val="Heading1Char"/>
    <w:qFormat/>
    <w:rsid w:val="007916A9"/>
    <w:pPr>
      <w:keepNext/>
      <w:ind w:left="720" w:hanging="720"/>
      <w:jc w:val="center"/>
      <w:outlineLvl w:val="0"/>
    </w:pPr>
    <w:rPr>
      <w:b/>
      <w:sz w:val="22"/>
    </w:rPr>
  </w:style>
  <w:style w:type="paragraph" w:styleId="Heading2">
    <w:name w:val="heading 2"/>
    <w:aliases w:val="2,Level 2 Heading"/>
    <w:basedOn w:val="Normal"/>
    <w:next w:val="Normal"/>
    <w:link w:val="Heading2Char1"/>
    <w:qFormat/>
    <w:rsid w:val="007916A9"/>
    <w:pPr>
      <w:keepNext/>
      <w:jc w:val="center"/>
      <w:outlineLvl w:val="1"/>
    </w:pPr>
    <w:rPr>
      <w:b/>
      <w:color w:val="000000"/>
      <w:sz w:val="20"/>
    </w:rPr>
  </w:style>
  <w:style w:type="paragraph" w:styleId="Heading3">
    <w:name w:val="heading 3"/>
    <w:basedOn w:val="Normal"/>
    <w:next w:val="Normal"/>
    <w:link w:val="Heading3Char"/>
    <w:qFormat/>
    <w:rsid w:val="007916A9"/>
    <w:pPr>
      <w:keepNext/>
      <w:ind w:left="720" w:hanging="720"/>
      <w:outlineLvl w:val="2"/>
    </w:pPr>
    <w:rPr>
      <w:b/>
      <w:i/>
      <w:sz w:val="22"/>
    </w:rPr>
  </w:style>
  <w:style w:type="paragraph" w:styleId="Heading4">
    <w:name w:val="heading 4"/>
    <w:basedOn w:val="Normal"/>
    <w:next w:val="Normal"/>
    <w:link w:val="Heading4Char"/>
    <w:qFormat/>
    <w:rsid w:val="007916A9"/>
    <w:pPr>
      <w:keepNext/>
      <w:ind w:left="720"/>
      <w:outlineLvl w:val="3"/>
    </w:pPr>
    <w:rPr>
      <w:b/>
      <w:i/>
      <w:sz w:val="22"/>
    </w:rPr>
  </w:style>
  <w:style w:type="paragraph" w:styleId="Heading5">
    <w:name w:val="heading 5"/>
    <w:basedOn w:val="Normal"/>
    <w:next w:val="Normal"/>
    <w:link w:val="Heading5Char"/>
    <w:qFormat/>
    <w:rsid w:val="007916A9"/>
    <w:pPr>
      <w:keepNext/>
      <w:ind w:left="720"/>
      <w:outlineLvl w:val="4"/>
    </w:pPr>
    <w:rPr>
      <w:b/>
      <w:i/>
    </w:rPr>
  </w:style>
  <w:style w:type="paragraph" w:styleId="Heading6">
    <w:name w:val="heading 6"/>
    <w:basedOn w:val="Normal"/>
    <w:next w:val="Normal"/>
    <w:link w:val="Heading6Char"/>
    <w:qFormat/>
    <w:rsid w:val="007916A9"/>
    <w:pPr>
      <w:keepNext/>
      <w:jc w:val="center"/>
      <w:outlineLvl w:val="5"/>
    </w:pPr>
    <w:rPr>
      <w:b/>
      <w:color w:val="000000"/>
      <w:sz w:val="22"/>
    </w:rPr>
  </w:style>
  <w:style w:type="paragraph" w:styleId="Heading7">
    <w:name w:val="heading 7"/>
    <w:basedOn w:val="Normal"/>
    <w:next w:val="Normal"/>
    <w:link w:val="Heading7Char"/>
    <w:qFormat/>
    <w:rsid w:val="007916A9"/>
    <w:pPr>
      <w:keepNext/>
      <w:jc w:val="right"/>
      <w:outlineLvl w:val="6"/>
    </w:pPr>
    <w:rPr>
      <w:b/>
      <w:sz w:val="22"/>
    </w:rPr>
  </w:style>
  <w:style w:type="paragraph" w:styleId="Heading8">
    <w:name w:val="heading 8"/>
    <w:basedOn w:val="Normal"/>
    <w:next w:val="Normal"/>
    <w:link w:val="Heading8Char"/>
    <w:qFormat/>
    <w:rsid w:val="007916A9"/>
    <w:pPr>
      <w:keepNext/>
      <w:outlineLvl w:val="7"/>
    </w:pPr>
    <w:rPr>
      <w:b/>
      <w:sz w:val="22"/>
    </w:rPr>
  </w:style>
  <w:style w:type="paragraph" w:styleId="Heading9">
    <w:name w:val="heading 9"/>
    <w:basedOn w:val="Normal"/>
    <w:next w:val="Normal"/>
    <w:link w:val="Heading9Char"/>
    <w:qFormat/>
    <w:rsid w:val="007916A9"/>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7916A9"/>
    <w:rPr>
      <w:rFonts w:ascii="Arial" w:hAnsi="Arial"/>
      <w:b/>
      <w:sz w:val="22"/>
      <w:lang w:eastAsia="en-US"/>
    </w:rPr>
  </w:style>
  <w:style w:type="character" w:customStyle="1" w:styleId="Heading2Char1">
    <w:name w:val="Heading 2 Char1"/>
    <w:aliases w:val="2 Char1,Level 2 Heading Char1"/>
    <w:link w:val="Heading2"/>
    <w:rsid w:val="007916A9"/>
    <w:rPr>
      <w:rFonts w:ascii="Arial" w:hAnsi="Arial"/>
      <w:b/>
      <w:color w:val="000000"/>
      <w:lang w:eastAsia="en-US"/>
    </w:rPr>
  </w:style>
  <w:style w:type="character" w:customStyle="1" w:styleId="Heading3Char">
    <w:name w:val="Heading 3 Char"/>
    <w:basedOn w:val="DefaultParagraphFont"/>
    <w:link w:val="Heading3"/>
    <w:rsid w:val="007916A9"/>
    <w:rPr>
      <w:rFonts w:ascii="Arial" w:hAnsi="Arial"/>
      <w:b/>
      <w:i/>
      <w:sz w:val="22"/>
      <w:lang w:eastAsia="en-US"/>
    </w:rPr>
  </w:style>
  <w:style w:type="character" w:customStyle="1" w:styleId="Heading4Char">
    <w:name w:val="Heading 4 Char"/>
    <w:basedOn w:val="DefaultParagraphFont"/>
    <w:link w:val="Heading4"/>
    <w:rsid w:val="007916A9"/>
    <w:rPr>
      <w:rFonts w:ascii="Arial" w:hAnsi="Arial"/>
      <w:b/>
      <w:i/>
      <w:sz w:val="22"/>
      <w:lang w:eastAsia="en-US"/>
    </w:rPr>
  </w:style>
  <w:style w:type="character" w:customStyle="1" w:styleId="Heading5Char">
    <w:name w:val="Heading 5 Char"/>
    <w:basedOn w:val="DefaultParagraphFont"/>
    <w:link w:val="Heading5"/>
    <w:rsid w:val="007916A9"/>
    <w:rPr>
      <w:rFonts w:ascii="Arial" w:hAnsi="Arial"/>
      <w:b/>
      <w:i/>
      <w:sz w:val="24"/>
      <w:lang w:eastAsia="en-US"/>
    </w:rPr>
  </w:style>
  <w:style w:type="character" w:customStyle="1" w:styleId="Heading6Char">
    <w:name w:val="Heading 6 Char"/>
    <w:basedOn w:val="DefaultParagraphFont"/>
    <w:link w:val="Heading6"/>
    <w:rsid w:val="007916A9"/>
    <w:rPr>
      <w:rFonts w:ascii="Arial" w:hAnsi="Arial"/>
      <w:b/>
      <w:color w:val="000000"/>
      <w:sz w:val="22"/>
      <w:lang w:eastAsia="en-US"/>
    </w:rPr>
  </w:style>
  <w:style w:type="character" w:customStyle="1" w:styleId="Heading7Char">
    <w:name w:val="Heading 7 Char"/>
    <w:basedOn w:val="DefaultParagraphFont"/>
    <w:link w:val="Heading7"/>
    <w:rsid w:val="007916A9"/>
    <w:rPr>
      <w:rFonts w:ascii="Arial" w:hAnsi="Arial"/>
      <w:b/>
      <w:sz w:val="22"/>
      <w:lang w:eastAsia="en-US"/>
    </w:rPr>
  </w:style>
  <w:style w:type="character" w:customStyle="1" w:styleId="Heading8Char">
    <w:name w:val="Heading 8 Char"/>
    <w:basedOn w:val="DefaultParagraphFont"/>
    <w:link w:val="Heading8"/>
    <w:rsid w:val="007916A9"/>
    <w:rPr>
      <w:rFonts w:ascii="Arial" w:hAnsi="Arial"/>
      <w:b/>
      <w:sz w:val="22"/>
      <w:lang w:eastAsia="en-US"/>
    </w:rPr>
  </w:style>
  <w:style w:type="character" w:customStyle="1" w:styleId="Heading9Char">
    <w:name w:val="Heading 9 Char"/>
    <w:basedOn w:val="DefaultParagraphFont"/>
    <w:link w:val="Heading9"/>
    <w:rsid w:val="007916A9"/>
    <w:rPr>
      <w:rFonts w:ascii="Arial" w:hAnsi="Arial"/>
      <w:b/>
      <w:sz w:val="18"/>
      <w:lang w:eastAsia="en-US"/>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link w:val="DocumentMap"/>
    <w:semiHidden/>
    <w:locked/>
    <w:rsid w:val="007916A9"/>
    <w:rPr>
      <w:rFonts w:ascii="Tahoma" w:hAnsi="Tahoma" w:cs="Tahoma"/>
      <w:shd w:val="clear" w:color="auto" w:fill="000080"/>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sid w:val="007916A9"/>
    <w:rPr>
      <w:rFonts w:ascii="Arial" w:hAnsi="Arial"/>
      <w:sz w:val="24"/>
      <w:lang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locked/>
    <w:rsid w:val="007916A9"/>
    <w:rPr>
      <w:rFonts w:ascii="Arial" w:hAnsi="Arial"/>
      <w:sz w:val="24"/>
      <w:lang w:eastAsia="en-US"/>
    </w:rPr>
  </w:style>
  <w:style w:type="paragraph" w:styleId="BalloonText">
    <w:name w:val="Balloon Text"/>
    <w:basedOn w:val="Normal"/>
    <w:link w:val="BalloonTextChar"/>
    <w:semiHidden/>
    <w:rsid w:val="00276379"/>
    <w:rPr>
      <w:rFonts w:ascii="Tahoma" w:hAnsi="Tahoma" w:cs="Tahoma"/>
      <w:sz w:val="16"/>
      <w:szCs w:val="16"/>
    </w:rPr>
  </w:style>
  <w:style w:type="character" w:customStyle="1" w:styleId="BalloonTextChar">
    <w:name w:val="Balloon Text Char"/>
    <w:link w:val="BalloonText"/>
    <w:semiHidden/>
    <w:locked/>
    <w:rsid w:val="007916A9"/>
    <w:rPr>
      <w:rFonts w:ascii="Tahoma" w:hAnsi="Tahoma" w:cs="Tahoma"/>
      <w:sz w:val="16"/>
      <w:szCs w:val="16"/>
      <w:lang w:eastAsia="en-US"/>
    </w:rPr>
  </w:style>
  <w:style w:type="paragraph" w:styleId="ListParagraph">
    <w:name w:val="List Paragraph"/>
    <w:basedOn w:val="Normal"/>
    <w:qFormat/>
    <w:rsid w:val="00EF2FE0"/>
    <w:pPr>
      <w:spacing w:after="200" w:line="276" w:lineRule="auto"/>
      <w:ind w:left="720"/>
      <w:contextualSpacing/>
    </w:pPr>
    <w:rPr>
      <w:rFonts w:ascii="Calibri" w:hAnsi="Calibri"/>
      <w:sz w:val="22"/>
      <w:szCs w:val="22"/>
    </w:rPr>
  </w:style>
  <w:style w:type="character" w:customStyle="1" w:styleId="Heading2Char">
    <w:name w:val="Heading 2 Char"/>
    <w:basedOn w:val="DefaultParagraphFont"/>
    <w:rsid w:val="007916A9"/>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rsid w:val="007916A9"/>
    <w:pPr>
      <w:ind w:left="720" w:hanging="720"/>
    </w:pPr>
    <w:rPr>
      <w:b/>
      <w:sz w:val="22"/>
    </w:rPr>
  </w:style>
  <w:style w:type="character" w:customStyle="1" w:styleId="BodyTextIndentChar">
    <w:name w:val="Body Text Indent Char"/>
    <w:basedOn w:val="DefaultParagraphFont"/>
    <w:link w:val="BodyTextIndent"/>
    <w:rsid w:val="007916A9"/>
    <w:rPr>
      <w:rFonts w:ascii="Arial" w:hAnsi="Arial"/>
      <w:b/>
      <w:sz w:val="22"/>
      <w:lang w:eastAsia="en-US"/>
    </w:rPr>
  </w:style>
  <w:style w:type="paragraph" w:styleId="BodyTextIndent2">
    <w:name w:val="Body Text Indent 2"/>
    <w:basedOn w:val="Normal"/>
    <w:link w:val="BodyTextIndent2Char"/>
    <w:rsid w:val="007916A9"/>
    <w:pPr>
      <w:ind w:left="720" w:hanging="720"/>
    </w:pPr>
    <w:rPr>
      <w:sz w:val="22"/>
    </w:rPr>
  </w:style>
  <w:style w:type="character" w:customStyle="1" w:styleId="BodyTextIndent2Char">
    <w:name w:val="Body Text Indent 2 Char"/>
    <w:basedOn w:val="DefaultParagraphFont"/>
    <w:link w:val="BodyTextIndent2"/>
    <w:rsid w:val="007916A9"/>
    <w:rPr>
      <w:rFonts w:ascii="Arial" w:hAnsi="Arial"/>
      <w:sz w:val="22"/>
      <w:lang w:eastAsia="en-US"/>
    </w:rPr>
  </w:style>
  <w:style w:type="paragraph" w:styleId="BodyTextIndent3">
    <w:name w:val="Body Text Indent 3"/>
    <w:basedOn w:val="Normal"/>
    <w:link w:val="BodyTextIndent3Char"/>
    <w:rsid w:val="007916A9"/>
    <w:pPr>
      <w:ind w:left="1418" w:hanging="709"/>
    </w:pPr>
    <w:rPr>
      <w:sz w:val="22"/>
    </w:rPr>
  </w:style>
  <w:style w:type="character" w:customStyle="1" w:styleId="BodyTextIndent3Char">
    <w:name w:val="Body Text Indent 3 Char"/>
    <w:basedOn w:val="DefaultParagraphFont"/>
    <w:link w:val="BodyTextIndent3"/>
    <w:rsid w:val="007916A9"/>
    <w:rPr>
      <w:rFonts w:ascii="Arial" w:hAnsi="Arial"/>
      <w:sz w:val="22"/>
      <w:lang w:eastAsia="en-US"/>
    </w:rPr>
  </w:style>
  <w:style w:type="paragraph" w:styleId="Title">
    <w:name w:val="Title"/>
    <w:basedOn w:val="Normal"/>
    <w:link w:val="TitleChar"/>
    <w:qFormat/>
    <w:rsid w:val="007916A9"/>
    <w:pPr>
      <w:jc w:val="center"/>
    </w:pPr>
    <w:rPr>
      <w:b/>
      <w:sz w:val="22"/>
    </w:rPr>
  </w:style>
  <w:style w:type="character" w:customStyle="1" w:styleId="TitleChar">
    <w:name w:val="Title Char"/>
    <w:basedOn w:val="DefaultParagraphFont"/>
    <w:link w:val="Title"/>
    <w:rsid w:val="007916A9"/>
    <w:rPr>
      <w:rFonts w:ascii="Arial" w:hAnsi="Arial"/>
      <w:b/>
      <w:sz w:val="22"/>
      <w:lang w:eastAsia="en-US"/>
    </w:rPr>
  </w:style>
  <w:style w:type="paragraph" w:styleId="Subtitle">
    <w:name w:val="Subtitle"/>
    <w:basedOn w:val="Normal"/>
    <w:link w:val="SubtitleChar"/>
    <w:qFormat/>
    <w:rsid w:val="007916A9"/>
    <w:pPr>
      <w:jc w:val="center"/>
    </w:pPr>
    <w:rPr>
      <w:b/>
      <w:sz w:val="22"/>
    </w:rPr>
  </w:style>
  <w:style w:type="character" w:customStyle="1" w:styleId="SubtitleChar">
    <w:name w:val="Subtitle Char"/>
    <w:basedOn w:val="DefaultParagraphFont"/>
    <w:link w:val="Subtitle"/>
    <w:rsid w:val="007916A9"/>
    <w:rPr>
      <w:rFonts w:ascii="Arial" w:hAnsi="Arial"/>
      <w:b/>
      <w:sz w:val="22"/>
      <w:lang w:eastAsia="en-US"/>
    </w:rPr>
  </w:style>
  <w:style w:type="paragraph" w:styleId="BodyText">
    <w:name w:val="Body Text"/>
    <w:basedOn w:val="Normal"/>
    <w:link w:val="BodyTextChar"/>
    <w:rsid w:val="007916A9"/>
    <w:rPr>
      <w:sz w:val="22"/>
    </w:rPr>
  </w:style>
  <w:style w:type="character" w:customStyle="1" w:styleId="BodyTextChar">
    <w:name w:val="Body Text Char"/>
    <w:basedOn w:val="DefaultParagraphFont"/>
    <w:link w:val="BodyText"/>
    <w:rsid w:val="007916A9"/>
    <w:rPr>
      <w:rFonts w:ascii="Arial" w:hAnsi="Arial"/>
      <w:sz w:val="22"/>
      <w:lang w:eastAsia="en-US"/>
    </w:rPr>
  </w:style>
  <w:style w:type="paragraph" w:styleId="BodyText2">
    <w:name w:val="Body Text 2"/>
    <w:basedOn w:val="Normal"/>
    <w:link w:val="BodyText2Char"/>
    <w:rsid w:val="007916A9"/>
    <w:rPr>
      <w:sz w:val="18"/>
    </w:rPr>
  </w:style>
  <w:style w:type="character" w:customStyle="1" w:styleId="BodyText2Char">
    <w:name w:val="Body Text 2 Char"/>
    <w:basedOn w:val="DefaultParagraphFont"/>
    <w:link w:val="BodyText2"/>
    <w:rsid w:val="007916A9"/>
    <w:rPr>
      <w:rFonts w:ascii="Arial" w:hAnsi="Arial"/>
      <w:sz w:val="18"/>
      <w:lang w:eastAsia="en-US"/>
    </w:rPr>
  </w:style>
  <w:style w:type="paragraph" w:styleId="BodyText3">
    <w:name w:val="Body Text 3"/>
    <w:basedOn w:val="Normal"/>
    <w:link w:val="BodyText3Char"/>
    <w:rsid w:val="007916A9"/>
    <w:rPr>
      <w:b/>
      <w:sz w:val="18"/>
    </w:rPr>
  </w:style>
  <w:style w:type="character" w:customStyle="1" w:styleId="BodyText3Char">
    <w:name w:val="Body Text 3 Char"/>
    <w:basedOn w:val="DefaultParagraphFont"/>
    <w:link w:val="BodyText3"/>
    <w:rsid w:val="007916A9"/>
    <w:rPr>
      <w:rFonts w:ascii="Arial" w:hAnsi="Arial"/>
      <w:b/>
      <w:sz w:val="18"/>
      <w:lang w:eastAsia="en-US"/>
    </w:rPr>
  </w:style>
  <w:style w:type="character" w:styleId="PageNumber">
    <w:name w:val="page number"/>
    <w:basedOn w:val="DefaultParagraphFont"/>
    <w:rsid w:val="007916A9"/>
  </w:style>
  <w:style w:type="paragraph" w:customStyle="1" w:styleId="Address">
    <w:name w:val="Address"/>
    <w:basedOn w:val="Normal"/>
    <w:rsid w:val="007916A9"/>
    <w:pPr>
      <w:keepLines/>
      <w:jc w:val="both"/>
    </w:pPr>
    <w:rPr>
      <w:rFonts w:ascii="Times New Roman" w:hAnsi="Times New Roman"/>
      <w:noProof/>
    </w:rPr>
  </w:style>
  <w:style w:type="character" w:styleId="Hyperlink">
    <w:name w:val="Hyperlink"/>
    <w:rsid w:val="007916A9"/>
    <w:rPr>
      <w:color w:val="0000FF"/>
      <w:u w:val="single"/>
    </w:rPr>
  </w:style>
  <w:style w:type="paragraph" w:styleId="BlockText">
    <w:name w:val="Block Text"/>
    <w:basedOn w:val="Normal"/>
    <w:rsid w:val="007916A9"/>
    <w:pPr>
      <w:ind w:left="113" w:right="113"/>
    </w:pPr>
    <w:rPr>
      <w:snapToGrid w:val="0"/>
      <w:color w:val="000000"/>
      <w:sz w:val="22"/>
    </w:rPr>
  </w:style>
  <w:style w:type="paragraph" w:customStyle="1" w:styleId="questionnaire">
    <w:name w:val="questionnaire"/>
    <w:rsid w:val="007916A9"/>
    <w:pPr>
      <w:widowControl w:val="0"/>
      <w:tabs>
        <w:tab w:val="right" w:pos="680"/>
        <w:tab w:val="left" w:pos="794"/>
        <w:tab w:val="right" w:pos="7513"/>
        <w:tab w:val="left" w:pos="7853"/>
        <w:tab w:val="left" w:pos="8222"/>
        <w:tab w:val="right" w:pos="11057"/>
      </w:tabs>
      <w:suppressAutoHyphens/>
    </w:pPr>
    <w:rPr>
      <w:rFonts w:ascii="Helvetica" w:hAnsi="Helvetica"/>
      <w:lang w:val="en-US" w:eastAsia="en-US"/>
    </w:rPr>
  </w:style>
  <w:style w:type="paragraph" w:customStyle="1" w:styleId="Style2">
    <w:name w:val="Style2"/>
    <w:basedOn w:val="Normal"/>
    <w:autoRedefine/>
    <w:rsid w:val="007916A9"/>
    <w:pPr>
      <w:ind w:left="1026" w:hanging="1026"/>
      <w:outlineLvl w:val="0"/>
    </w:pPr>
    <w:rPr>
      <w:sz w:val="22"/>
    </w:rPr>
  </w:style>
  <w:style w:type="paragraph" w:styleId="Caption">
    <w:name w:val="caption"/>
    <w:basedOn w:val="Normal"/>
    <w:next w:val="Normal"/>
    <w:qFormat/>
    <w:rsid w:val="007916A9"/>
    <w:pPr>
      <w:jc w:val="right"/>
    </w:pPr>
    <w:rPr>
      <w:b/>
      <w:sz w:val="22"/>
    </w:rPr>
  </w:style>
  <w:style w:type="paragraph" w:styleId="ListBullet">
    <w:name w:val="List Bullet"/>
    <w:basedOn w:val="Normal"/>
    <w:autoRedefine/>
    <w:rsid w:val="007916A9"/>
    <w:rPr>
      <w:sz w:val="20"/>
    </w:rPr>
  </w:style>
  <w:style w:type="paragraph" w:styleId="FootnoteText">
    <w:name w:val="footnote text"/>
    <w:basedOn w:val="Normal"/>
    <w:link w:val="FootnoteTextChar"/>
    <w:rsid w:val="007916A9"/>
    <w:pPr>
      <w:tabs>
        <w:tab w:val="left" w:pos="1260"/>
        <w:tab w:val="left" w:pos="1980"/>
        <w:tab w:val="left" w:pos="2700"/>
        <w:tab w:val="left" w:pos="3420"/>
      </w:tabs>
      <w:jc w:val="both"/>
    </w:pPr>
    <w:rPr>
      <w:sz w:val="20"/>
      <w:lang w:eastAsia="en-GB"/>
    </w:rPr>
  </w:style>
  <w:style w:type="character" w:customStyle="1" w:styleId="FootnoteTextChar">
    <w:name w:val="Footnote Text Char"/>
    <w:basedOn w:val="DefaultParagraphFont"/>
    <w:link w:val="FootnoteText"/>
    <w:rsid w:val="007916A9"/>
    <w:rPr>
      <w:rFonts w:ascii="Arial" w:hAnsi="Arial"/>
    </w:rPr>
  </w:style>
  <w:style w:type="character" w:styleId="FootnoteReference">
    <w:name w:val="footnote reference"/>
    <w:rsid w:val="007916A9"/>
    <w:rPr>
      <w:vertAlign w:val="superscript"/>
    </w:rPr>
  </w:style>
  <w:style w:type="paragraph" w:customStyle="1" w:styleId="Default">
    <w:name w:val="Default"/>
    <w:link w:val="DefaultChar"/>
    <w:rsid w:val="007916A9"/>
    <w:pPr>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7916A9"/>
    <w:rPr>
      <w:rFonts w:ascii="Arial" w:hAnsi="Arial" w:cs="Arial"/>
      <w:color w:val="000000"/>
      <w:sz w:val="24"/>
      <w:szCs w:val="24"/>
    </w:rPr>
  </w:style>
  <w:style w:type="paragraph" w:customStyle="1" w:styleId="Text">
    <w:name w:val="Text"/>
    <w:basedOn w:val="Normal"/>
    <w:rsid w:val="007916A9"/>
    <w:pPr>
      <w:overflowPunct w:val="0"/>
      <w:autoSpaceDE w:val="0"/>
      <w:autoSpaceDN w:val="0"/>
      <w:adjustRightInd w:val="0"/>
      <w:spacing w:after="220"/>
      <w:jc w:val="both"/>
      <w:textAlignment w:val="baseline"/>
    </w:pPr>
    <w:rPr>
      <w:sz w:val="22"/>
      <w:lang w:eastAsia="en-GB"/>
    </w:rPr>
  </w:style>
  <w:style w:type="paragraph" w:customStyle="1" w:styleId="bullet">
    <w:name w:val="bullet"/>
    <w:basedOn w:val="Normal"/>
    <w:rsid w:val="007916A9"/>
    <w:pPr>
      <w:tabs>
        <w:tab w:val="num" w:pos="360"/>
      </w:tabs>
      <w:ind w:left="360" w:hanging="360"/>
    </w:pPr>
    <w:rPr>
      <w:sz w:val="22"/>
      <w:lang w:eastAsia="en-GB"/>
    </w:rPr>
  </w:style>
  <w:style w:type="paragraph" w:customStyle="1" w:styleId="Cover-Title">
    <w:name w:val="Cover - Title"/>
    <w:basedOn w:val="Normal"/>
    <w:rsid w:val="007916A9"/>
    <w:pPr>
      <w:spacing w:after="240"/>
    </w:pPr>
    <w:rPr>
      <w:rFonts w:cs="Arial"/>
      <w:sz w:val="44"/>
      <w:szCs w:val="44"/>
    </w:rPr>
  </w:style>
  <w:style w:type="paragraph" w:styleId="TOC1">
    <w:name w:val="toc 1"/>
    <w:basedOn w:val="Normal"/>
    <w:next w:val="Normal"/>
    <w:autoRedefine/>
    <w:rsid w:val="007916A9"/>
    <w:pPr>
      <w:tabs>
        <w:tab w:val="right" w:leader="dot" w:pos="8636"/>
      </w:tabs>
      <w:spacing w:after="240"/>
    </w:pPr>
    <w:rPr>
      <w:rFonts w:cs="Arial"/>
      <w:szCs w:val="24"/>
    </w:rPr>
  </w:style>
  <w:style w:type="paragraph" w:styleId="TOC2">
    <w:name w:val="toc 2"/>
    <w:basedOn w:val="Normal"/>
    <w:next w:val="Normal"/>
    <w:autoRedefine/>
    <w:rsid w:val="007916A9"/>
    <w:pPr>
      <w:spacing w:after="240"/>
      <w:ind w:left="240"/>
    </w:pPr>
    <w:rPr>
      <w:rFonts w:cs="Arial"/>
      <w:szCs w:val="24"/>
    </w:rPr>
  </w:style>
  <w:style w:type="paragraph" w:styleId="TableofFigures">
    <w:name w:val="table of figures"/>
    <w:basedOn w:val="Normal"/>
    <w:next w:val="Normal"/>
    <w:rsid w:val="007916A9"/>
    <w:pPr>
      <w:spacing w:after="240"/>
      <w:ind w:left="480" w:hanging="480"/>
    </w:pPr>
    <w:rPr>
      <w:rFonts w:cs="Arial"/>
      <w:szCs w:val="24"/>
    </w:rPr>
  </w:style>
  <w:style w:type="character" w:styleId="FollowedHyperlink">
    <w:name w:val="FollowedHyperlink"/>
    <w:rsid w:val="007916A9"/>
    <w:rPr>
      <w:color w:val="800080"/>
      <w:u w:val="single"/>
    </w:rPr>
  </w:style>
  <w:style w:type="paragraph" w:customStyle="1" w:styleId="xl22">
    <w:name w:val="xl22"/>
    <w:basedOn w:val="Normal"/>
    <w:rsid w:val="007916A9"/>
    <w:pPr>
      <w:spacing w:before="100" w:beforeAutospacing="1" w:after="100" w:afterAutospacing="1"/>
    </w:pPr>
    <w:rPr>
      <w:rFonts w:ascii="Times New Roman" w:hAnsi="Times New Roman"/>
      <w:sz w:val="16"/>
      <w:szCs w:val="16"/>
      <w:lang w:eastAsia="en-GB"/>
    </w:rPr>
  </w:style>
  <w:style w:type="paragraph" w:customStyle="1" w:styleId="xl23">
    <w:name w:val="xl23"/>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4">
    <w:name w:val="xl24"/>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eastAsia="en-GB"/>
    </w:rPr>
  </w:style>
  <w:style w:type="paragraph" w:customStyle="1" w:styleId="xl25">
    <w:name w:val="xl25"/>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6">
    <w:name w:val="xl26"/>
    <w:basedOn w:val="Normal"/>
    <w:rsid w:val="007916A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7">
    <w:name w:val="xl27"/>
    <w:basedOn w:val="Normal"/>
    <w:rsid w:val="007916A9"/>
    <w:pPr>
      <w:spacing w:before="100" w:beforeAutospacing="1" w:after="100" w:afterAutospacing="1"/>
      <w:jc w:val="right"/>
    </w:pPr>
    <w:rPr>
      <w:rFonts w:ascii="Times New Roman" w:hAnsi="Times New Roman"/>
      <w:sz w:val="16"/>
      <w:szCs w:val="16"/>
      <w:lang w:eastAsia="en-GB"/>
    </w:rPr>
  </w:style>
  <w:style w:type="paragraph" w:customStyle="1" w:styleId="xl28">
    <w:name w:val="xl28"/>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6"/>
      <w:szCs w:val="16"/>
      <w:lang w:eastAsia="en-GB"/>
    </w:rPr>
  </w:style>
  <w:style w:type="paragraph" w:customStyle="1" w:styleId="xl29">
    <w:name w:val="xl29"/>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0">
    <w:name w:val="xl30"/>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n-GB"/>
    </w:rPr>
  </w:style>
  <w:style w:type="paragraph" w:customStyle="1" w:styleId="xl31">
    <w:name w:val="xl31"/>
    <w:basedOn w:val="Normal"/>
    <w:rsid w:val="007916A9"/>
    <w:pPr>
      <w:spacing w:before="100" w:beforeAutospacing="1" w:after="100" w:afterAutospacing="1"/>
      <w:jc w:val="right"/>
    </w:pPr>
    <w:rPr>
      <w:rFonts w:ascii="Times New Roman" w:hAnsi="Times New Roman"/>
      <w:b/>
      <w:bCs/>
      <w:sz w:val="16"/>
      <w:szCs w:val="16"/>
      <w:lang w:eastAsia="en-GB"/>
    </w:rPr>
  </w:style>
  <w:style w:type="paragraph" w:customStyle="1" w:styleId="xl32">
    <w:name w:val="xl32"/>
    <w:basedOn w:val="Normal"/>
    <w:rsid w:val="007916A9"/>
    <w:pPr>
      <w:spacing w:before="100" w:beforeAutospacing="1" w:after="100" w:afterAutospacing="1"/>
    </w:pPr>
    <w:rPr>
      <w:rFonts w:ascii="Times New Roman" w:hAnsi="Times New Roman"/>
      <w:b/>
      <w:bCs/>
      <w:sz w:val="16"/>
      <w:szCs w:val="16"/>
      <w:lang w:eastAsia="en-GB"/>
    </w:rPr>
  </w:style>
  <w:style w:type="paragraph" w:customStyle="1" w:styleId="xl33">
    <w:name w:val="xl33"/>
    <w:basedOn w:val="Normal"/>
    <w:rsid w:val="007916A9"/>
    <w:pPr>
      <w:spacing w:before="100" w:beforeAutospacing="1" w:after="100" w:afterAutospacing="1"/>
      <w:jc w:val="center"/>
    </w:pPr>
    <w:rPr>
      <w:rFonts w:ascii="Times New Roman" w:hAnsi="Times New Roman"/>
      <w:b/>
      <w:bCs/>
      <w:sz w:val="16"/>
      <w:szCs w:val="16"/>
      <w:lang w:eastAsia="en-GB"/>
    </w:rPr>
  </w:style>
  <w:style w:type="paragraph" w:customStyle="1" w:styleId="xl34">
    <w:name w:val="xl34"/>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5">
    <w:name w:val="xl35"/>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36">
    <w:name w:val="xl36"/>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7">
    <w:name w:val="xl37"/>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8">
    <w:name w:val="xl38"/>
    <w:basedOn w:val="Normal"/>
    <w:rsid w:val="007916A9"/>
    <w:pPr>
      <w:spacing w:before="100" w:beforeAutospacing="1" w:after="100" w:afterAutospacing="1"/>
    </w:pPr>
    <w:rPr>
      <w:rFonts w:cs="Arial"/>
      <w:b/>
      <w:bCs/>
      <w:sz w:val="16"/>
      <w:szCs w:val="16"/>
      <w:lang w:eastAsia="en-GB"/>
    </w:rPr>
  </w:style>
  <w:style w:type="paragraph" w:customStyle="1" w:styleId="xl39">
    <w:name w:val="xl39"/>
    <w:basedOn w:val="Normal"/>
    <w:rsid w:val="007916A9"/>
    <w:pPr>
      <w:pBdr>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0">
    <w:name w:val="xl40"/>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1">
    <w:name w:val="xl41"/>
    <w:basedOn w:val="Normal"/>
    <w:rsid w:val="007916A9"/>
    <w:pPr>
      <w:spacing w:before="100" w:beforeAutospacing="1" w:after="100" w:afterAutospacing="1"/>
    </w:pPr>
    <w:rPr>
      <w:rFonts w:ascii="Times New Roman" w:hAnsi="Times New Roman"/>
      <w:b/>
      <w:bCs/>
      <w:szCs w:val="24"/>
      <w:u w:val="single"/>
      <w:lang w:eastAsia="en-GB"/>
    </w:rPr>
  </w:style>
  <w:style w:type="paragraph" w:customStyle="1" w:styleId="xl42">
    <w:name w:val="xl42"/>
    <w:basedOn w:val="Normal"/>
    <w:rsid w:val="007916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16"/>
      <w:szCs w:val="16"/>
      <w:lang w:eastAsia="en-GB"/>
    </w:rPr>
  </w:style>
  <w:style w:type="character" w:customStyle="1" w:styleId="2Char">
    <w:name w:val="2 Char"/>
    <w:aliases w:val="Level 2 Heading Char"/>
    <w:rsid w:val="007916A9"/>
    <w:rPr>
      <w:rFonts w:ascii="Arial" w:hAnsi="Arial"/>
      <w:b/>
      <w:color w:val="000000"/>
      <w:sz w:val="24"/>
      <w:lang w:val="en-GB" w:eastAsia="en-US" w:bidi="ar-SA"/>
    </w:rPr>
  </w:style>
  <w:style w:type="paragraph" w:customStyle="1" w:styleId="font0">
    <w:name w:val="font0"/>
    <w:basedOn w:val="Normal"/>
    <w:rsid w:val="007916A9"/>
    <w:pPr>
      <w:spacing w:before="100" w:beforeAutospacing="1" w:after="100" w:afterAutospacing="1"/>
    </w:pPr>
    <w:rPr>
      <w:rFonts w:cs="Arial"/>
      <w:sz w:val="20"/>
      <w:lang w:eastAsia="en-GB"/>
    </w:rPr>
  </w:style>
  <w:style w:type="paragraph" w:customStyle="1" w:styleId="font5">
    <w:name w:val="font5"/>
    <w:basedOn w:val="Normal"/>
    <w:rsid w:val="007916A9"/>
    <w:pPr>
      <w:spacing w:before="100" w:beforeAutospacing="1" w:after="100" w:afterAutospacing="1"/>
    </w:pPr>
    <w:rPr>
      <w:rFonts w:cs="Arial"/>
      <w:sz w:val="20"/>
      <w:lang w:eastAsia="en-GB"/>
    </w:rPr>
  </w:style>
  <w:style w:type="paragraph" w:customStyle="1" w:styleId="xl43">
    <w:name w:val="xl43"/>
    <w:basedOn w:val="Normal"/>
    <w:rsid w:val="007916A9"/>
    <w:pPr>
      <w:pBdr>
        <w:left w:val="single" w:sz="4" w:space="0" w:color="auto"/>
        <w:right w:val="single" w:sz="4" w:space="0" w:color="auto"/>
      </w:pBdr>
      <w:spacing w:before="100" w:beforeAutospacing="1" w:after="100" w:afterAutospacing="1"/>
      <w:jc w:val="center"/>
    </w:pPr>
    <w:rPr>
      <w:rFonts w:cs="Arial"/>
      <w:b/>
      <w:bCs/>
      <w:szCs w:val="24"/>
      <w:lang w:eastAsia="en-GB"/>
    </w:rPr>
  </w:style>
  <w:style w:type="paragraph" w:customStyle="1" w:styleId="xl44">
    <w:name w:val="xl44"/>
    <w:basedOn w:val="Normal"/>
    <w:rsid w:val="007916A9"/>
    <w:pPr>
      <w:pBdr>
        <w:right w:val="single" w:sz="4" w:space="0" w:color="auto"/>
      </w:pBdr>
      <w:spacing w:before="100" w:beforeAutospacing="1" w:after="100" w:afterAutospacing="1"/>
      <w:jc w:val="center"/>
    </w:pPr>
    <w:rPr>
      <w:rFonts w:cs="Arial"/>
      <w:b/>
      <w:bCs/>
      <w:szCs w:val="24"/>
      <w:lang w:eastAsia="en-GB"/>
    </w:rPr>
  </w:style>
  <w:style w:type="paragraph" w:customStyle="1" w:styleId="xl45">
    <w:name w:val="xl45"/>
    <w:basedOn w:val="Normal"/>
    <w:rsid w:val="007916A9"/>
    <w:pPr>
      <w:shd w:val="clear" w:color="auto" w:fill="C0C0C0"/>
      <w:spacing w:before="100" w:beforeAutospacing="1" w:after="100" w:afterAutospacing="1"/>
    </w:pPr>
    <w:rPr>
      <w:rFonts w:ascii="Times New Roman" w:hAnsi="Times New Roman"/>
      <w:szCs w:val="24"/>
      <w:lang w:eastAsia="en-GB"/>
    </w:rPr>
  </w:style>
  <w:style w:type="paragraph" w:customStyle="1" w:styleId="xl47">
    <w:name w:val="xl47"/>
    <w:basedOn w:val="Normal"/>
    <w:rsid w:val="007916A9"/>
    <w:pPr>
      <w:spacing w:before="100" w:beforeAutospacing="1" w:after="100" w:afterAutospacing="1"/>
    </w:pPr>
    <w:rPr>
      <w:rFonts w:ascii="Monotype Sorts" w:hAnsi="Monotype Sorts"/>
      <w:szCs w:val="24"/>
      <w:lang w:eastAsia="en-GB"/>
    </w:rPr>
  </w:style>
  <w:style w:type="paragraph" w:customStyle="1" w:styleId="xl48">
    <w:name w:val="xl48"/>
    <w:basedOn w:val="Normal"/>
    <w:rsid w:val="007916A9"/>
    <w:pPr>
      <w:spacing w:before="100" w:beforeAutospacing="1" w:after="100" w:afterAutospacing="1"/>
    </w:pPr>
    <w:rPr>
      <w:rFonts w:ascii="Times New Roman" w:hAnsi="Times New Roman"/>
      <w:szCs w:val="24"/>
      <w:lang w:eastAsia="en-GB"/>
    </w:rPr>
  </w:style>
  <w:style w:type="paragraph" w:customStyle="1" w:styleId="xl49">
    <w:name w:val="xl49"/>
    <w:basedOn w:val="Normal"/>
    <w:rsid w:val="007916A9"/>
    <w:pPr>
      <w:pBdr>
        <w:top w:val="single" w:sz="8" w:space="0" w:color="auto"/>
        <w:left w:val="single" w:sz="8" w:space="0" w:color="auto"/>
        <w:right w:val="single" w:sz="4" w:space="0" w:color="auto"/>
      </w:pBdr>
      <w:spacing w:before="100" w:beforeAutospacing="1" w:after="100" w:afterAutospacing="1"/>
    </w:pPr>
    <w:rPr>
      <w:rFonts w:cs="Arial"/>
      <w:b/>
      <w:bCs/>
      <w:szCs w:val="24"/>
      <w:lang w:eastAsia="en-GB"/>
    </w:rPr>
  </w:style>
  <w:style w:type="paragraph" w:customStyle="1" w:styleId="xl50">
    <w:name w:val="xl50"/>
    <w:basedOn w:val="Normal"/>
    <w:rsid w:val="007916A9"/>
    <w:pPr>
      <w:pBdr>
        <w:left w:val="single" w:sz="8" w:space="0" w:color="auto"/>
        <w:right w:val="single" w:sz="4" w:space="0" w:color="auto"/>
      </w:pBdr>
      <w:spacing w:before="100" w:beforeAutospacing="1" w:after="100" w:afterAutospacing="1"/>
      <w:jc w:val="center"/>
    </w:pPr>
    <w:rPr>
      <w:rFonts w:cs="Arial"/>
      <w:b/>
      <w:bCs/>
      <w:szCs w:val="24"/>
      <w:lang w:eastAsia="en-GB"/>
    </w:rPr>
  </w:style>
  <w:style w:type="paragraph" w:customStyle="1" w:styleId="xl51">
    <w:name w:val="xl51"/>
    <w:basedOn w:val="Normal"/>
    <w:rsid w:val="007916A9"/>
    <w:pPr>
      <w:spacing w:before="100" w:beforeAutospacing="1" w:after="100" w:afterAutospacing="1"/>
    </w:pPr>
    <w:rPr>
      <w:rFonts w:cs="Arial"/>
      <w:szCs w:val="24"/>
      <w:lang w:eastAsia="en-GB"/>
    </w:rPr>
  </w:style>
  <w:style w:type="paragraph" w:customStyle="1" w:styleId="xl52">
    <w:name w:val="xl52"/>
    <w:basedOn w:val="Normal"/>
    <w:rsid w:val="007916A9"/>
    <w:pPr>
      <w:spacing w:before="100" w:beforeAutospacing="1" w:after="100" w:afterAutospacing="1"/>
    </w:pPr>
    <w:rPr>
      <w:rFonts w:cs="Arial"/>
      <w:szCs w:val="24"/>
      <w:lang w:eastAsia="en-GB"/>
    </w:rPr>
  </w:style>
  <w:style w:type="paragraph" w:customStyle="1" w:styleId="xl53">
    <w:name w:val="xl53"/>
    <w:basedOn w:val="Normal"/>
    <w:rsid w:val="007916A9"/>
    <w:pPr>
      <w:spacing w:before="100" w:beforeAutospacing="1" w:after="100" w:afterAutospacing="1"/>
      <w:textAlignment w:val="top"/>
    </w:pPr>
    <w:rPr>
      <w:rFonts w:cs="Arial"/>
      <w:szCs w:val="24"/>
      <w:lang w:eastAsia="en-GB"/>
    </w:rPr>
  </w:style>
  <w:style w:type="paragraph" w:customStyle="1" w:styleId="xl54">
    <w:name w:val="xl54"/>
    <w:basedOn w:val="Normal"/>
    <w:rsid w:val="007916A9"/>
    <w:pPr>
      <w:spacing w:before="100" w:beforeAutospacing="1" w:after="100" w:afterAutospacing="1"/>
      <w:jc w:val="center"/>
    </w:pPr>
    <w:rPr>
      <w:rFonts w:ascii="Times New Roman" w:hAnsi="Times New Roman"/>
      <w:szCs w:val="24"/>
      <w:lang w:eastAsia="en-GB"/>
    </w:rPr>
  </w:style>
  <w:style w:type="paragraph" w:customStyle="1" w:styleId="xl55">
    <w:name w:val="xl55"/>
    <w:basedOn w:val="Normal"/>
    <w:rsid w:val="007916A9"/>
    <w:pPr>
      <w:spacing w:before="100" w:beforeAutospacing="1" w:after="100" w:afterAutospacing="1"/>
    </w:pPr>
    <w:rPr>
      <w:rFonts w:cs="Arial"/>
      <w:szCs w:val="24"/>
      <w:lang w:eastAsia="en-GB"/>
    </w:rPr>
  </w:style>
  <w:style w:type="paragraph" w:customStyle="1" w:styleId="xl56">
    <w:name w:val="xl56"/>
    <w:basedOn w:val="Normal"/>
    <w:rsid w:val="007916A9"/>
    <w:pPr>
      <w:spacing w:before="100" w:beforeAutospacing="1" w:after="100" w:afterAutospacing="1"/>
    </w:pPr>
    <w:rPr>
      <w:rFonts w:cs="Arial"/>
      <w:szCs w:val="24"/>
      <w:lang w:eastAsia="en-GB"/>
    </w:rPr>
  </w:style>
  <w:style w:type="paragraph" w:customStyle="1" w:styleId="xl57">
    <w:name w:val="xl57"/>
    <w:basedOn w:val="Normal"/>
    <w:rsid w:val="007916A9"/>
    <w:pPr>
      <w:spacing w:before="100" w:beforeAutospacing="1" w:after="100" w:afterAutospacing="1"/>
      <w:textAlignment w:val="center"/>
    </w:pPr>
    <w:rPr>
      <w:rFonts w:cs="Arial"/>
      <w:szCs w:val="24"/>
      <w:lang w:eastAsia="en-GB"/>
    </w:rPr>
  </w:style>
  <w:style w:type="paragraph" w:customStyle="1" w:styleId="xl58">
    <w:name w:val="xl58"/>
    <w:basedOn w:val="Normal"/>
    <w:rsid w:val="007916A9"/>
    <w:pPr>
      <w:spacing w:before="100" w:beforeAutospacing="1" w:after="100" w:afterAutospacing="1"/>
      <w:textAlignment w:val="center"/>
    </w:pPr>
    <w:rPr>
      <w:rFonts w:cs="Arial"/>
      <w:szCs w:val="24"/>
      <w:lang w:eastAsia="en-GB"/>
    </w:rPr>
  </w:style>
  <w:style w:type="paragraph" w:customStyle="1" w:styleId="xl59">
    <w:name w:val="xl59"/>
    <w:basedOn w:val="Normal"/>
    <w:rsid w:val="007916A9"/>
    <w:pPr>
      <w:spacing w:before="100" w:beforeAutospacing="1" w:after="100" w:afterAutospacing="1"/>
      <w:textAlignment w:val="center"/>
    </w:pPr>
    <w:rPr>
      <w:rFonts w:cs="Arial"/>
      <w:szCs w:val="24"/>
      <w:lang w:eastAsia="en-GB"/>
    </w:rPr>
  </w:style>
  <w:style w:type="paragraph" w:customStyle="1" w:styleId="xl60">
    <w:name w:val="xl60"/>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1">
    <w:name w:val="xl61"/>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2">
    <w:name w:val="xl62"/>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3">
    <w:name w:val="xl63"/>
    <w:basedOn w:val="Normal"/>
    <w:rsid w:val="007916A9"/>
    <w:pPr>
      <w:spacing w:before="100" w:beforeAutospacing="1" w:after="100" w:afterAutospacing="1"/>
      <w:jc w:val="center"/>
      <w:textAlignment w:val="center"/>
    </w:pPr>
    <w:rPr>
      <w:rFonts w:ascii="Times New Roman" w:hAnsi="Times New Roman"/>
      <w:szCs w:val="24"/>
      <w:lang w:eastAsia="en-GB"/>
    </w:rPr>
  </w:style>
  <w:style w:type="paragraph" w:customStyle="1" w:styleId="xl64">
    <w:name w:val="xl64"/>
    <w:basedOn w:val="Normal"/>
    <w:rsid w:val="007916A9"/>
    <w:pPr>
      <w:spacing w:before="100" w:beforeAutospacing="1" w:after="100" w:afterAutospacing="1"/>
      <w:textAlignment w:val="center"/>
    </w:pPr>
    <w:rPr>
      <w:rFonts w:ascii="Monotype Sorts" w:hAnsi="Monotype Sorts"/>
      <w:szCs w:val="24"/>
      <w:lang w:eastAsia="en-GB"/>
    </w:rPr>
  </w:style>
  <w:style w:type="paragraph" w:customStyle="1" w:styleId="xl65">
    <w:name w:val="xl65"/>
    <w:basedOn w:val="Normal"/>
    <w:rsid w:val="007916A9"/>
    <w:pPr>
      <w:spacing w:before="100" w:beforeAutospacing="1" w:after="100" w:afterAutospacing="1"/>
    </w:pPr>
    <w:rPr>
      <w:rFonts w:ascii="Times New Roman" w:hAnsi="Times New Roman"/>
      <w:szCs w:val="24"/>
      <w:lang w:eastAsia="en-GB"/>
    </w:rPr>
  </w:style>
  <w:style w:type="paragraph" w:customStyle="1" w:styleId="xl66">
    <w:name w:val="xl66"/>
    <w:basedOn w:val="Normal"/>
    <w:rsid w:val="007916A9"/>
    <w:pPr>
      <w:spacing w:before="100" w:beforeAutospacing="1" w:after="100" w:afterAutospacing="1"/>
    </w:pPr>
    <w:rPr>
      <w:rFonts w:ascii="Times New Roman" w:hAnsi="Times New Roman"/>
      <w:color w:val="C0C0C0"/>
      <w:szCs w:val="24"/>
      <w:lang w:eastAsia="en-GB"/>
    </w:rPr>
  </w:style>
  <w:style w:type="paragraph" w:customStyle="1" w:styleId="xl67">
    <w:name w:val="xl67"/>
    <w:basedOn w:val="Normal"/>
    <w:rsid w:val="007916A9"/>
    <w:pPr>
      <w:spacing w:before="100" w:beforeAutospacing="1" w:after="100" w:afterAutospacing="1"/>
    </w:pPr>
    <w:rPr>
      <w:rFonts w:ascii="Wingdings 2" w:hAnsi="Wingdings 2"/>
      <w:szCs w:val="24"/>
      <w:lang w:eastAsia="en-GB"/>
    </w:rPr>
  </w:style>
  <w:style w:type="paragraph" w:customStyle="1" w:styleId="xl68">
    <w:name w:val="xl68"/>
    <w:basedOn w:val="Normal"/>
    <w:rsid w:val="007916A9"/>
    <w:pPr>
      <w:spacing w:before="100" w:beforeAutospacing="1" w:after="100" w:afterAutospacing="1"/>
      <w:textAlignment w:val="top"/>
    </w:pPr>
    <w:rPr>
      <w:rFonts w:ascii="Times New Roman" w:hAnsi="Times New Roman"/>
      <w:szCs w:val="24"/>
      <w:lang w:eastAsia="en-GB"/>
    </w:rPr>
  </w:style>
  <w:style w:type="paragraph" w:customStyle="1" w:styleId="xl69">
    <w:name w:val="xl69"/>
    <w:basedOn w:val="Normal"/>
    <w:rsid w:val="007916A9"/>
    <w:pPr>
      <w:spacing w:before="100" w:beforeAutospacing="1" w:after="100" w:afterAutospacing="1"/>
      <w:textAlignment w:val="center"/>
    </w:pPr>
    <w:rPr>
      <w:rFonts w:ascii="Wingdings 2" w:hAnsi="Wingdings 2"/>
      <w:szCs w:val="24"/>
      <w:lang w:eastAsia="en-GB"/>
    </w:rPr>
  </w:style>
  <w:style w:type="paragraph" w:customStyle="1" w:styleId="xl70">
    <w:name w:val="xl70"/>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71">
    <w:name w:val="xl71"/>
    <w:basedOn w:val="Normal"/>
    <w:rsid w:val="007916A9"/>
    <w:pPr>
      <w:spacing w:before="100" w:beforeAutospacing="1" w:after="100" w:afterAutospacing="1"/>
      <w:jc w:val="center"/>
      <w:textAlignment w:val="center"/>
    </w:pPr>
    <w:rPr>
      <w:rFonts w:ascii="Times New Roman" w:hAnsi="Times New Roman"/>
      <w:szCs w:val="24"/>
      <w:lang w:eastAsia="en-GB"/>
    </w:rPr>
  </w:style>
  <w:style w:type="paragraph" w:customStyle="1" w:styleId="xl72">
    <w:name w:val="xl72"/>
    <w:basedOn w:val="Normal"/>
    <w:rsid w:val="007916A9"/>
    <w:pPr>
      <w:spacing w:before="100" w:beforeAutospacing="1" w:after="100" w:afterAutospacing="1"/>
      <w:jc w:val="right"/>
    </w:pPr>
    <w:rPr>
      <w:rFonts w:ascii="Times New Roman" w:hAnsi="Times New Roman"/>
      <w:szCs w:val="24"/>
      <w:lang w:eastAsia="en-GB"/>
    </w:rPr>
  </w:style>
  <w:style w:type="paragraph" w:customStyle="1" w:styleId="xl73">
    <w:name w:val="xl73"/>
    <w:basedOn w:val="Normal"/>
    <w:rsid w:val="007916A9"/>
    <w:pPr>
      <w:spacing w:before="100" w:beforeAutospacing="1" w:after="100" w:afterAutospacing="1"/>
    </w:pPr>
    <w:rPr>
      <w:rFonts w:ascii="Times New Roman" w:hAnsi="Times New Roman"/>
      <w:color w:val="0000FF"/>
      <w:szCs w:val="24"/>
      <w:lang w:eastAsia="en-GB"/>
    </w:rPr>
  </w:style>
  <w:style w:type="paragraph" w:customStyle="1" w:styleId="xl74">
    <w:name w:val="xl74"/>
    <w:basedOn w:val="Normal"/>
    <w:rsid w:val="007916A9"/>
    <w:pPr>
      <w:spacing w:before="100" w:beforeAutospacing="1" w:after="100" w:afterAutospacing="1"/>
    </w:pPr>
    <w:rPr>
      <w:rFonts w:ascii="Times New Roman" w:hAnsi="Times New Roman"/>
      <w:szCs w:val="24"/>
      <w:lang w:eastAsia="en-GB"/>
    </w:rPr>
  </w:style>
  <w:style w:type="paragraph" w:customStyle="1" w:styleId="xl75">
    <w:name w:val="xl75"/>
    <w:basedOn w:val="Normal"/>
    <w:rsid w:val="007916A9"/>
    <w:pPr>
      <w:spacing w:before="100" w:beforeAutospacing="1" w:after="100" w:afterAutospacing="1"/>
    </w:pPr>
    <w:rPr>
      <w:rFonts w:ascii="Wingdings" w:hAnsi="Wingdings"/>
      <w:szCs w:val="24"/>
      <w:lang w:eastAsia="en-GB"/>
    </w:rPr>
  </w:style>
  <w:style w:type="paragraph" w:customStyle="1" w:styleId="xl76">
    <w:name w:val="xl76"/>
    <w:basedOn w:val="Normal"/>
    <w:rsid w:val="007916A9"/>
    <w:pPr>
      <w:spacing w:before="100" w:beforeAutospacing="1" w:after="100" w:afterAutospacing="1"/>
    </w:pPr>
    <w:rPr>
      <w:rFonts w:cs="Arial"/>
      <w:szCs w:val="24"/>
      <w:lang w:eastAsia="en-GB"/>
    </w:rPr>
  </w:style>
  <w:style w:type="paragraph" w:customStyle="1" w:styleId="xl77">
    <w:name w:val="xl77"/>
    <w:basedOn w:val="Normal"/>
    <w:rsid w:val="007916A9"/>
    <w:pPr>
      <w:shd w:val="clear" w:color="auto" w:fill="C0C0C0"/>
      <w:spacing w:before="100" w:beforeAutospacing="1" w:after="100" w:afterAutospacing="1"/>
    </w:pPr>
    <w:rPr>
      <w:rFonts w:ascii="Wingdings" w:hAnsi="Wingdings"/>
      <w:szCs w:val="24"/>
      <w:lang w:eastAsia="en-GB"/>
    </w:rPr>
  </w:style>
  <w:style w:type="paragraph" w:customStyle="1" w:styleId="xl78">
    <w:name w:val="xl78"/>
    <w:basedOn w:val="Normal"/>
    <w:rsid w:val="007916A9"/>
    <w:pPr>
      <w:shd w:val="clear" w:color="auto" w:fill="C0C0C0"/>
      <w:spacing w:before="100" w:beforeAutospacing="1" w:after="100" w:afterAutospacing="1"/>
    </w:pPr>
    <w:rPr>
      <w:rFonts w:ascii="Times New Roman" w:hAnsi="Times New Roman"/>
      <w:szCs w:val="24"/>
      <w:lang w:eastAsia="en-GB"/>
    </w:rPr>
  </w:style>
  <w:style w:type="paragraph" w:customStyle="1" w:styleId="xl79">
    <w:name w:val="xl79"/>
    <w:basedOn w:val="Normal"/>
    <w:rsid w:val="007916A9"/>
    <w:pPr>
      <w:shd w:val="clear" w:color="auto" w:fill="C0C0C0"/>
      <w:spacing w:before="100" w:beforeAutospacing="1" w:after="100" w:afterAutospacing="1"/>
    </w:pPr>
    <w:rPr>
      <w:rFonts w:cs="Arial"/>
      <w:szCs w:val="24"/>
      <w:lang w:eastAsia="en-GB"/>
    </w:rPr>
  </w:style>
  <w:style w:type="paragraph" w:customStyle="1" w:styleId="xl80">
    <w:name w:val="xl80"/>
    <w:basedOn w:val="Normal"/>
    <w:rsid w:val="007916A9"/>
    <w:pPr>
      <w:spacing w:before="100" w:beforeAutospacing="1" w:after="100" w:afterAutospacing="1"/>
      <w:textAlignment w:val="center"/>
    </w:pPr>
    <w:rPr>
      <w:rFonts w:cs="Arial"/>
      <w:sz w:val="22"/>
      <w:szCs w:val="22"/>
      <w:lang w:eastAsia="en-GB"/>
    </w:rPr>
  </w:style>
  <w:style w:type="paragraph" w:customStyle="1" w:styleId="xl81">
    <w:name w:val="xl81"/>
    <w:basedOn w:val="Normal"/>
    <w:rsid w:val="007916A9"/>
    <w:pPr>
      <w:spacing w:before="100" w:beforeAutospacing="1" w:after="100" w:afterAutospacing="1"/>
    </w:pPr>
    <w:rPr>
      <w:rFonts w:cs="Arial"/>
      <w:sz w:val="22"/>
      <w:szCs w:val="22"/>
      <w:lang w:eastAsia="en-GB"/>
    </w:rPr>
  </w:style>
  <w:style w:type="paragraph" w:customStyle="1" w:styleId="xl82">
    <w:name w:val="xl82"/>
    <w:basedOn w:val="Normal"/>
    <w:rsid w:val="007916A9"/>
    <w:pPr>
      <w:spacing w:before="100" w:beforeAutospacing="1" w:after="100" w:afterAutospacing="1"/>
    </w:pPr>
    <w:rPr>
      <w:rFonts w:ascii="Times New Roman" w:hAnsi="Times New Roman"/>
      <w:szCs w:val="24"/>
      <w:lang w:eastAsia="en-GB"/>
    </w:rPr>
  </w:style>
  <w:style w:type="paragraph" w:customStyle="1" w:styleId="xl83">
    <w:name w:val="xl83"/>
    <w:basedOn w:val="Normal"/>
    <w:rsid w:val="007916A9"/>
    <w:pPr>
      <w:spacing w:before="100" w:beforeAutospacing="1" w:after="100" w:afterAutospacing="1"/>
      <w:jc w:val="center"/>
    </w:pPr>
    <w:rPr>
      <w:rFonts w:ascii="Times New Roman" w:hAnsi="Times New Roman"/>
      <w:szCs w:val="24"/>
      <w:lang w:eastAsia="en-GB"/>
    </w:rPr>
  </w:style>
  <w:style w:type="paragraph" w:styleId="NormalWeb">
    <w:name w:val="Normal (Web)"/>
    <w:basedOn w:val="Normal"/>
    <w:rsid w:val="007916A9"/>
    <w:pPr>
      <w:spacing w:before="100" w:beforeAutospacing="1" w:after="100" w:afterAutospacing="1"/>
    </w:pPr>
    <w:rPr>
      <w:rFonts w:ascii="Times New Roman" w:hAnsi="Times New Roman"/>
      <w:szCs w:val="24"/>
      <w:lang w:eastAsia="en-GB"/>
    </w:rPr>
  </w:style>
  <w:style w:type="character" w:styleId="Emphasis">
    <w:name w:val="Emphasis"/>
    <w:qFormat/>
    <w:rsid w:val="007916A9"/>
    <w:rPr>
      <w:i/>
      <w:iCs/>
    </w:rPr>
  </w:style>
  <w:style w:type="paragraph" w:customStyle="1" w:styleId="Body">
    <w:name w:val="Body"/>
    <w:basedOn w:val="Normal"/>
    <w:rsid w:val="007916A9"/>
    <w:pPr>
      <w:spacing w:after="160"/>
      <w:ind w:left="720" w:right="720"/>
      <w:jc w:val="both"/>
    </w:pPr>
    <w:rPr>
      <w:rFonts w:ascii="Century Schoolbook" w:hAnsi="Century Schoolbook"/>
      <w:lang w:eastAsia="en-GB"/>
    </w:rPr>
  </w:style>
  <w:style w:type="paragraph" w:customStyle="1" w:styleId="Body3">
    <w:name w:val="Body 3"/>
    <w:basedOn w:val="Body"/>
    <w:rsid w:val="007916A9"/>
    <w:pPr>
      <w:spacing w:after="240"/>
      <w:ind w:left="1701" w:right="0"/>
    </w:pPr>
    <w:rPr>
      <w:rFonts w:ascii="Arial" w:hAnsi="Arial" w:cs="Arial"/>
      <w:sz w:val="20"/>
    </w:rPr>
  </w:style>
  <w:style w:type="paragraph" w:customStyle="1" w:styleId="Body0">
    <w:name w:val="Body*"/>
    <w:rsid w:val="007916A9"/>
    <w:pPr>
      <w:keepLines/>
      <w:spacing w:line="320" w:lineRule="exact"/>
      <w:ind w:right="850"/>
      <w:jc w:val="both"/>
    </w:pPr>
    <w:rPr>
      <w:rFonts w:ascii="Perpetua" w:hAnsi="Perpetua"/>
      <w:noProof/>
      <w:sz w:val="26"/>
    </w:rPr>
  </w:style>
  <w:style w:type="paragraph" w:customStyle="1" w:styleId="Bullet1">
    <w:name w:val="Bullet 1"/>
    <w:basedOn w:val="Normal"/>
    <w:link w:val="Bullet1Char"/>
    <w:rsid w:val="007916A9"/>
    <w:pPr>
      <w:keepLines/>
      <w:tabs>
        <w:tab w:val="num" w:pos="794"/>
      </w:tabs>
      <w:spacing w:before="100"/>
      <w:ind w:left="794" w:hanging="397"/>
    </w:pPr>
    <w:rPr>
      <w:szCs w:val="24"/>
      <w:lang w:eastAsia="en-GB"/>
    </w:rPr>
  </w:style>
  <w:style w:type="character" w:customStyle="1" w:styleId="Bullet1Char">
    <w:name w:val="Bullet 1 Char"/>
    <w:link w:val="Bullet1"/>
    <w:rsid w:val="007916A9"/>
    <w:rPr>
      <w:rFonts w:ascii="Arial" w:hAnsi="Arial"/>
      <w:sz w:val="24"/>
      <w:szCs w:val="24"/>
    </w:rPr>
  </w:style>
  <w:style w:type="paragraph" w:styleId="TOC3">
    <w:name w:val="toc 3"/>
    <w:basedOn w:val="Normal"/>
    <w:next w:val="Normal"/>
    <w:autoRedefine/>
    <w:rsid w:val="007916A9"/>
    <w:pPr>
      <w:ind w:left="480"/>
    </w:pPr>
  </w:style>
  <w:style w:type="paragraph" w:styleId="NoSpacing">
    <w:name w:val="No Spacing"/>
    <w:link w:val="NoSpacingChar"/>
    <w:qFormat/>
    <w:rsid w:val="007916A9"/>
    <w:rPr>
      <w:rFonts w:ascii="Calibri" w:eastAsia="Calibri" w:hAnsi="Calibri"/>
      <w:sz w:val="22"/>
      <w:szCs w:val="22"/>
      <w:lang w:val="en-US" w:eastAsia="en-US"/>
    </w:rPr>
  </w:style>
  <w:style w:type="character" w:customStyle="1" w:styleId="NoSpacingChar">
    <w:name w:val="No Spacing Char"/>
    <w:link w:val="NoSpacing"/>
    <w:locked/>
    <w:rsid w:val="007916A9"/>
    <w:rPr>
      <w:rFonts w:ascii="Calibri" w:eastAsia="Calibri" w:hAnsi="Calibri"/>
      <w:sz w:val="22"/>
      <w:szCs w:val="22"/>
      <w:lang w:val="en-US" w:eastAsia="en-US"/>
    </w:rPr>
  </w:style>
  <w:style w:type="paragraph" w:styleId="TOCHeading">
    <w:name w:val="TOC Heading"/>
    <w:basedOn w:val="Heading1"/>
    <w:next w:val="Normal"/>
    <w:qFormat/>
    <w:rsid w:val="007916A9"/>
    <w:pPr>
      <w:keepLines/>
      <w:spacing w:before="480" w:line="276" w:lineRule="auto"/>
      <w:ind w:left="0" w:firstLine="0"/>
      <w:jc w:val="left"/>
      <w:outlineLvl w:val="9"/>
    </w:pPr>
    <w:rPr>
      <w:rFonts w:ascii="Cambria" w:eastAsia="Calibri" w:hAnsi="Cambria"/>
      <w:bCs/>
      <w:color w:val="365F91"/>
      <w:sz w:val="28"/>
      <w:szCs w:val="28"/>
      <w:lang w:val="en-US"/>
    </w:rPr>
  </w:style>
  <w:style w:type="paragraph" w:customStyle="1" w:styleId="Bullets">
    <w:name w:val="Bullets"/>
    <w:basedOn w:val="BodyText"/>
    <w:rsid w:val="007916A9"/>
    <w:pPr>
      <w:tabs>
        <w:tab w:val="left" w:pos="648"/>
        <w:tab w:val="left" w:pos="936"/>
      </w:tabs>
      <w:spacing w:after="360"/>
      <w:jc w:val="both"/>
    </w:pPr>
    <w:rPr>
      <w:rFonts w:ascii="Garamond" w:eastAsia="Calibri" w:hAnsi="Garamond"/>
      <w:sz w:val="24"/>
      <w:lang w:eastAsia="en-GB"/>
    </w:rPr>
  </w:style>
  <w:style w:type="paragraph" w:styleId="CommentText">
    <w:name w:val="annotation text"/>
    <w:basedOn w:val="Normal"/>
    <w:link w:val="CommentTextChar"/>
    <w:rsid w:val="007916A9"/>
    <w:rPr>
      <w:sz w:val="20"/>
    </w:rPr>
  </w:style>
  <w:style w:type="character" w:customStyle="1" w:styleId="CommentTextChar">
    <w:name w:val="Comment Text Char"/>
    <w:basedOn w:val="DefaultParagraphFont"/>
    <w:link w:val="CommentText"/>
    <w:rsid w:val="007916A9"/>
    <w:rPr>
      <w:rFonts w:ascii="Arial" w:hAnsi="Arial"/>
      <w:lang w:eastAsia="en-US"/>
    </w:rPr>
  </w:style>
  <w:style w:type="paragraph" w:customStyle="1" w:styleId="maf">
    <w:name w:val="maf"/>
    <w:basedOn w:val="Default"/>
    <w:next w:val="Default"/>
    <w:rsid w:val="007916A9"/>
    <w:rPr>
      <w:rFonts w:ascii="Times New Roman" w:eastAsia="Calibri" w:hAnsi="Times New Roman" w:cs="Times New Roman"/>
      <w:color w:val="auto"/>
      <w:lang w:val="en-US" w:eastAsia="en-US"/>
    </w:rPr>
  </w:style>
  <w:style w:type="character" w:customStyle="1" w:styleId="Hyperlink8">
    <w:name w:val="Hyperlink8"/>
    <w:rsid w:val="007916A9"/>
    <w:rPr>
      <w:rFonts w:cs="Times New Roman"/>
      <w:b/>
      <w:bCs/>
      <w:color w:val="336699"/>
      <w:u w:val="none"/>
      <w:effect w:val="none"/>
    </w:rPr>
  </w:style>
  <w:style w:type="paragraph" w:customStyle="1" w:styleId="Question">
    <w:name w:val="Question"/>
    <w:basedOn w:val="Normal"/>
    <w:rsid w:val="007916A9"/>
    <w:pPr>
      <w:tabs>
        <w:tab w:val="num" w:pos="709"/>
      </w:tabs>
      <w:spacing w:before="160" w:after="100"/>
      <w:ind w:left="709" w:hanging="567"/>
    </w:pPr>
    <w:rPr>
      <w:rFonts w:eastAsia="Calibri"/>
      <w:b/>
      <w:sz w:val="21"/>
    </w:rPr>
  </w:style>
  <w:style w:type="paragraph" w:customStyle="1" w:styleId="Section">
    <w:name w:val="Section"/>
    <w:basedOn w:val="Question"/>
    <w:rsid w:val="007916A9"/>
    <w:pPr>
      <w:spacing w:before="360" w:after="0"/>
    </w:pPr>
    <w:rPr>
      <w:caps/>
      <w:sz w:val="25"/>
    </w:rPr>
  </w:style>
  <w:style w:type="paragraph" w:customStyle="1" w:styleId="QuestionFollowup">
    <w:name w:val="Question Followup"/>
    <w:basedOn w:val="Question"/>
    <w:rsid w:val="007916A9"/>
    <w:pPr>
      <w:numPr>
        <w:ilvl w:val="2"/>
      </w:numPr>
      <w:tabs>
        <w:tab w:val="num" w:pos="709"/>
      </w:tabs>
      <w:ind w:left="709" w:hanging="567"/>
    </w:pPr>
  </w:style>
  <w:style w:type="paragraph" w:customStyle="1" w:styleId="Appendixhead">
    <w:name w:val="Appendix head"/>
    <w:basedOn w:val="Heading1"/>
    <w:next w:val="Normal"/>
    <w:rsid w:val="007916A9"/>
    <w:pPr>
      <w:keepNext w:val="0"/>
      <w:pageBreakBefore/>
      <w:tabs>
        <w:tab w:val="left" w:pos="1021"/>
        <w:tab w:val="num" w:pos="1800"/>
      </w:tabs>
      <w:spacing w:after="1080"/>
      <w:ind w:left="431" w:hanging="431"/>
      <w:jc w:val="both"/>
      <w:outlineLvl w:val="9"/>
    </w:pPr>
    <w:rPr>
      <w:rFonts w:ascii="Verdana" w:eastAsia="Calibri" w:hAnsi="Verdana"/>
      <w:kern w:val="28"/>
      <w:sz w:val="32"/>
      <w:szCs w:val="24"/>
    </w:rPr>
  </w:style>
  <w:style w:type="paragraph" w:customStyle="1" w:styleId="Appendixtext">
    <w:name w:val="Appendix text"/>
    <w:basedOn w:val="Heading2"/>
    <w:rsid w:val="007916A9"/>
    <w:pPr>
      <w:keepNext w:val="0"/>
      <w:keepLines/>
      <w:tabs>
        <w:tab w:val="num" w:pos="576"/>
        <w:tab w:val="left" w:pos="1021"/>
        <w:tab w:val="num" w:pos="1152"/>
      </w:tabs>
      <w:spacing w:before="240" w:after="60"/>
      <w:ind w:left="578" w:hanging="578"/>
      <w:jc w:val="both"/>
    </w:pPr>
    <w:rPr>
      <w:rFonts w:ascii="Verdana" w:eastAsia="Calibri" w:hAnsi="Verdana" w:cs="Arial"/>
      <w:b w:val="0"/>
      <w:bCs/>
      <w:iCs/>
      <w:color w:val="auto"/>
      <w:sz w:val="22"/>
      <w:szCs w:val="28"/>
      <w:lang w:val="en-US"/>
    </w:rPr>
  </w:style>
  <w:style w:type="paragraph" w:customStyle="1" w:styleId="bulletscs1">
    <w:name w:val="bullet scs1"/>
    <w:basedOn w:val="Normal"/>
    <w:rsid w:val="007916A9"/>
    <w:pPr>
      <w:tabs>
        <w:tab w:val="left" w:pos="907"/>
      </w:tabs>
      <w:spacing w:after="120"/>
      <w:ind w:right="658"/>
    </w:pPr>
    <w:rPr>
      <w:rFonts w:eastAsia="Calibri"/>
      <w:sz w:val="22"/>
      <w:szCs w:val="24"/>
    </w:rPr>
  </w:style>
  <w:style w:type="paragraph" w:customStyle="1" w:styleId="wfxRecipient">
    <w:name w:val="wfxRecipient"/>
    <w:basedOn w:val="Normal"/>
    <w:rsid w:val="007916A9"/>
    <w:rPr>
      <w:rFonts w:ascii="Times New Roman" w:eastAsia="Calibri" w:hAnsi="Times New Roman"/>
      <w:szCs w:val="24"/>
    </w:rPr>
  </w:style>
  <w:style w:type="paragraph" w:customStyle="1" w:styleId="Tabledata">
    <w:name w:val="Table data"/>
    <w:basedOn w:val="Normal"/>
    <w:rsid w:val="007916A9"/>
    <w:pPr>
      <w:ind w:right="113"/>
      <w:jc w:val="right"/>
    </w:pPr>
    <w:rPr>
      <w:rFonts w:eastAsia="Calibri"/>
      <w:color w:val="000000"/>
      <w:sz w:val="22"/>
      <w:szCs w:val="24"/>
    </w:rPr>
  </w:style>
  <w:style w:type="paragraph" w:customStyle="1" w:styleId="Appendixhead2">
    <w:name w:val="Appendixhead2"/>
    <w:basedOn w:val="Heading2"/>
    <w:rsid w:val="007916A9"/>
    <w:pPr>
      <w:keepNext w:val="0"/>
      <w:keepLines/>
      <w:tabs>
        <w:tab w:val="left" w:pos="1021"/>
      </w:tabs>
      <w:spacing w:before="120" w:after="120"/>
      <w:ind w:left="142" w:hanging="708"/>
      <w:jc w:val="both"/>
      <w:outlineLvl w:val="9"/>
    </w:pPr>
    <w:rPr>
      <w:rFonts w:ascii="Verdana" w:eastAsia="Calibri" w:hAnsi="Verdana"/>
      <w:b w:val="0"/>
      <w:i/>
      <w:noProof/>
      <w:color w:val="auto"/>
      <w:sz w:val="24"/>
      <w:szCs w:val="24"/>
      <w:u w:val="single"/>
      <w:lang w:val="en-US"/>
    </w:rPr>
  </w:style>
  <w:style w:type="paragraph" w:customStyle="1" w:styleId="TABLEHEADING">
    <w:name w:val="TABLE HEADING"/>
    <w:basedOn w:val="Normal"/>
    <w:rsid w:val="007916A9"/>
    <w:rPr>
      <w:rFonts w:ascii="Times New Roman" w:eastAsia="Calibri" w:hAnsi="Times New Roman"/>
      <w:b/>
      <w:szCs w:val="24"/>
    </w:rPr>
  </w:style>
  <w:style w:type="paragraph" w:customStyle="1" w:styleId="cncont">
    <w:name w:val="cn_cont"/>
    <w:basedOn w:val="Normal"/>
    <w:rsid w:val="007916A9"/>
    <w:pPr>
      <w:spacing w:before="100" w:beforeAutospacing="1" w:after="100" w:afterAutospacing="1"/>
    </w:pPr>
    <w:rPr>
      <w:rFonts w:ascii="Verdana" w:eastAsia="Calibri" w:hAnsi="Verdana"/>
      <w:color w:val="000066"/>
      <w:sz w:val="18"/>
      <w:szCs w:val="18"/>
      <w:lang w:val="en-US"/>
    </w:rPr>
  </w:style>
  <w:style w:type="paragraph" w:styleId="TOC4">
    <w:name w:val="toc 4"/>
    <w:basedOn w:val="Normal"/>
    <w:next w:val="Normal"/>
    <w:autoRedefine/>
    <w:rsid w:val="007916A9"/>
    <w:pPr>
      <w:spacing w:after="100" w:line="276" w:lineRule="auto"/>
      <w:ind w:left="660"/>
    </w:pPr>
    <w:rPr>
      <w:rFonts w:ascii="Calibri" w:eastAsia="Calibri" w:hAnsi="Calibri"/>
      <w:sz w:val="22"/>
      <w:szCs w:val="22"/>
      <w:lang w:eastAsia="en-GB"/>
    </w:rPr>
  </w:style>
  <w:style w:type="paragraph" w:styleId="TOC5">
    <w:name w:val="toc 5"/>
    <w:basedOn w:val="Normal"/>
    <w:next w:val="Normal"/>
    <w:autoRedefine/>
    <w:rsid w:val="007916A9"/>
    <w:pPr>
      <w:spacing w:after="100" w:line="276" w:lineRule="auto"/>
      <w:ind w:left="880"/>
    </w:pPr>
    <w:rPr>
      <w:rFonts w:ascii="Calibri" w:eastAsia="Calibri" w:hAnsi="Calibri"/>
      <w:sz w:val="22"/>
      <w:szCs w:val="22"/>
      <w:lang w:eastAsia="en-GB"/>
    </w:rPr>
  </w:style>
  <w:style w:type="paragraph" w:styleId="TOC6">
    <w:name w:val="toc 6"/>
    <w:basedOn w:val="Normal"/>
    <w:next w:val="Normal"/>
    <w:autoRedefine/>
    <w:rsid w:val="007916A9"/>
    <w:pPr>
      <w:spacing w:after="100" w:line="276" w:lineRule="auto"/>
      <w:ind w:left="1100"/>
    </w:pPr>
    <w:rPr>
      <w:rFonts w:ascii="Calibri" w:eastAsia="Calibri" w:hAnsi="Calibri"/>
      <w:sz w:val="22"/>
      <w:szCs w:val="22"/>
      <w:lang w:eastAsia="en-GB"/>
    </w:rPr>
  </w:style>
  <w:style w:type="paragraph" w:styleId="TOC7">
    <w:name w:val="toc 7"/>
    <w:basedOn w:val="Normal"/>
    <w:next w:val="Normal"/>
    <w:autoRedefine/>
    <w:rsid w:val="007916A9"/>
    <w:pPr>
      <w:spacing w:after="100" w:line="276" w:lineRule="auto"/>
      <w:ind w:left="1320"/>
    </w:pPr>
    <w:rPr>
      <w:rFonts w:ascii="Calibri" w:eastAsia="Calibri" w:hAnsi="Calibri"/>
      <w:sz w:val="22"/>
      <w:szCs w:val="22"/>
      <w:lang w:eastAsia="en-GB"/>
    </w:rPr>
  </w:style>
  <w:style w:type="paragraph" w:styleId="TOC8">
    <w:name w:val="toc 8"/>
    <w:basedOn w:val="Normal"/>
    <w:next w:val="Normal"/>
    <w:autoRedefine/>
    <w:rsid w:val="007916A9"/>
    <w:pPr>
      <w:spacing w:after="100" w:line="276" w:lineRule="auto"/>
      <w:ind w:left="1540"/>
    </w:pPr>
    <w:rPr>
      <w:rFonts w:ascii="Calibri" w:eastAsia="Calibri" w:hAnsi="Calibri"/>
      <w:sz w:val="22"/>
      <w:szCs w:val="22"/>
      <w:lang w:eastAsia="en-GB"/>
    </w:rPr>
  </w:style>
  <w:style w:type="paragraph" w:styleId="TOC9">
    <w:name w:val="toc 9"/>
    <w:basedOn w:val="Normal"/>
    <w:next w:val="Normal"/>
    <w:autoRedefine/>
    <w:rsid w:val="007916A9"/>
    <w:pPr>
      <w:spacing w:after="100" w:line="276" w:lineRule="auto"/>
      <w:ind w:left="1760"/>
    </w:pPr>
    <w:rPr>
      <w:rFonts w:ascii="Calibri" w:eastAsia="Calibri" w:hAnsi="Calibri"/>
      <w:sz w:val="22"/>
      <w:szCs w:val="22"/>
      <w:lang w:eastAsia="en-GB"/>
    </w:rPr>
  </w:style>
  <w:style w:type="character" w:customStyle="1" w:styleId="subhead21">
    <w:name w:val="subhead21"/>
    <w:rsid w:val="007916A9"/>
    <w:rPr>
      <w:rFonts w:ascii="Arial" w:hAnsi="Arial" w:cs="Arial"/>
      <w:b/>
      <w:bCs/>
      <w:color w:val="559EDA"/>
      <w:sz w:val="22"/>
      <w:szCs w:val="22"/>
    </w:rPr>
  </w:style>
  <w:style w:type="paragraph" w:customStyle="1" w:styleId="Style1">
    <w:name w:val="Style1"/>
    <w:basedOn w:val="Heading1"/>
    <w:rsid w:val="007916A9"/>
    <w:pPr>
      <w:spacing w:before="240" w:after="60"/>
      <w:ind w:left="0" w:firstLine="0"/>
      <w:jc w:val="left"/>
    </w:pPr>
    <w:rPr>
      <w:rFonts w:ascii="FoundryFormSans-Book" w:eastAsia="Calibri" w:hAnsi="FoundryFormSans-Book" w:cs="FoundryFormSans-Book"/>
      <w:bCs/>
      <w:color w:val="008000"/>
      <w:kern w:val="32"/>
      <w:sz w:val="40"/>
      <w:szCs w:val="40"/>
      <w:lang w:val="en-US"/>
    </w:rPr>
  </w:style>
  <w:style w:type="paragraph" w:customStyle="1" w:styleId="tabs">
    <w:name w:val="tabs"/>
    <w:basedOn w:val="Normal"/>
    <w:next w:val="Normal"/>
    <w:rsid w:val="007916A9"/>
    <w:rPr>
      <w:rFonts w:ascii="Garamond" w:eastAsia="Calibri" w:hAnsi="Garamond"/>
      <w:sz w:val="22"/>
      <w:lang w:eastAsia="en-GB"/>
    </w:rPr>
  </w:style>
  <w:style w:type="paragraph" w:customStyle="1" w:styleId="Heading2NonTOC">
    <w:name w:val="Heading 2 Non TOC"/>
    <w:basedOn w:val="BodyText"/>
    <w:next w:val="BodyText"/>
    <w:rsid w:val="007916A9"/>
    <w:pPr>
      <w:keepNext/>
      <w:spacing w:after="120"/>
    </w:pPr>
    <w:rPr>
      <w:rFonts w:ascii="RotisSansSerifExtraBold" w:eastAsia="Calibri" w:hAnsi="RotisSansSerifExtraBold"/>
      <w:sz w:val="32"/>
      <w:lang w:eastAsia="en-GB"/>
    </w:rPr>
  </w:style>
  <w:style w:type="character" w:customStyle="1" w:styleId="CharChar11">
    <w:name w:val="Char Char11"/>
    <w:rsid w:val="007916A9"/>
    <w:rPr>
      <w:rFonts w:ascii="Arial" w:eastAsia="Times New Roman" w:hAnsi="Arial" w:cs="Arial"/>
      <w:b/>
      <w:bCs/>
      <w:i/>
      <w:iCs/>
      <w:sz w:val="28"/>
      <w:szCs w:val="28"/>
      <w:lang w:eastAsia="en-GB"/>
    </w:rPr>
  </w:style>
  <w:style w:type="character" w:customStyle="1" w:styleId="CharChar7">
    <w:name w:val="Char Char7"/>
    <w:rsid w:val="007916A9"/>
    <w:rPr>
      <w:rFonts w:ascii="Novarese Medium" w:eastAsia="Times New Roman" w:hAnsi="Novarese Medium" w:cs="Tahoma"/>
      <w:b/>
      <w:bCs/>
      <w:spacing w:val="-3"/>
      <w:sz w:val="24"/>
      <w:szCs w:val="24"/>
    </w:rPr>
  </w:style>
  <w:style w:type="character" w:customStyle="1" w:styleId="CharChar6">
    <w:name w:val="Char Char6"/>
    <w:rsid w:val="007916A9"/>
    <w:rPr>
      <w:rFonts w:ascii="Times New Roman" w:eastAsia="Times New Roman" w:hAnsi="Times New Roman" w:cs="Times New Roman"/>
      <w:sz w:val="24"/>
      <w:szCs w:val="24"/>
      <w:lang w:eastAsia="en-GB"/>
    </w:rPr>
  </w:style>
  <w:style w:type="character" w:customStyle="1" w:styleId="CharChar4">
    <w:name w:val="Char Char4"/>
    <w:rsid w:val="007916A9"/>
    <w:rPr>
      <w:rFonts w:ascii="Times New Roman" w:eastAsia="Times New Roman" w:hAnsi="Times New Roman" w:cs="Times New Roman"/>
      <w:sz w:val="24"/>
      <w:szCs w:val="24"/>
      <w:lang w:eastAsia="en-GB"/>
    </w:rPr>
  </w:style>
  <w:style w:type="character" w:customStyle="1" w:styleId="CharChar12">
    <w:name w:val="Char Char12"/>
    <w:rsid w:val="007916A9"/>
    <w:rPr>
      <w:rFonts w:ascii="Cambria" w:eastAsia="Times New Roman" w:hAnsi="Cambria" w:cs="Times New Roman"/>
      <w:b/>
      <w:bCs/>
      <w:color w:val="365F91"/>
      <w:sz w:val="28"/>
      <w:szCs w:val="28"/>
      <w:lang w:eastAsia="en-GB"/>
    </w:rPr>
  </w:style>
  <w:style w:type="character" w:customStyle="1" w:styleId="CharChar10">
    <w:name w:val="Char Char10"/>
    <w:rsid w:val="007916A9"/>
    <w:rPr>
      <w:rFonts w:ascii="Arial" w:eastAsia="Times New Roman" w:hAnsi="Arial" w:cs="Arial"/>
      <w:b/>
      <w:bCs/>
      <w:sz w:val="26"/>
      <w:szCs w:val="26"/>
      <w:lang w:eastAsia="en-GB"/>
    </w:rPr>
  </w:style>
  <w:style w:type="character" w:customStyle="1" w:styleId="CharChar9">
    <w:name w:val="Char Char9"/>
    <w:rsid w:val="007916A9"/>
    <w:rPr>
      <w:rFonts w:ascii="Times New Roman" w:eastAsia="Times New Roman" w:hAnsi="Times New Roman" w:cs="Times New Roman"/>
      <w:i/>
      <w:iCs/>
      <w:sz w:val="24"/>
      <w:szCs w:val="24"/>
      <w:lang w:eastAsia="en-GB"/>
    </w:rPr>
  </w:style>
  <w:style w:type="character" w:customStyle="1" w:styleId="CharChar2">
    <w:name w:val="Char Char2"/>
    <w:rsid w:val="007916A9"/>
    <w:rPr>
      <w:rFonts w:ascii="Arial" w:eastAsia="Times New Roman" w:hAnsi="Arial" w:cs="Times New Roman"/>
      <w:sz w:val="24"/>
      <w:szCs w:val="20"/>
    </w:rPr>
  </w:style>
  <w:style w:type="character" w:customStyle="1" w:styleId="CharChar">
    <w:name w:val="Char Char"/>
    <w:rsid w:val="007916A9"/>
    <w:rPr>
      <w:rFonts w:ascii="Times New Roman" w:eastAsia="Times New Roman" w:hAnsi="Times New Roman" w:cs="Times New Roman"/>
      <w:b/>
      <w:bCs/>
      <w:sz w:val="24"/>
      <w:szCs w:val="24"/>
    </w:rPr>
  </w:style>
  <w:style w:type="character" w:styleId="CommentReference">
    <w:name w:val="annotation reference"/>
    <w:rsid w:val="007916A9"/>
    <w:rPr>
      <w:sz w:val="16"/>
      <w:szCs w:val="16"/>
    </w:rPr>
  </w:style>
  <w:style w:type="paragraph" w:customStyle="1" w:styleId="intro">
    <w:name w:val="intro"/>
    <w:basedOn w:val="Normal"/>
    <w:rsid w:val="007916A9"/>
    <w:pPr>
      <w:spacing w:before="100" w:beforeAutospacing="1" w:after="100" w:afterAutospacing="1"/>
    </w:pPr>
    <w:rPr>
      <w:rFonts w:ascii="Times New Roman" w:hAnsi="Times New Roman"/>
      <w:color w:val="003366"/>
      <w:sz w:val="29"/>
      <w:szCs w:val="29"/>
      <w:lang w:eastAsia="en-GB"/>
    </w:rPr>
  </w:style>
  <w:style w:type="paragraph" w:styleId="Index1">
    <w:name w:val="index 1"/>
    <w:basedOn w:val="Normal"/>
    <w:next w:val="Normal"/>
    <w:autoRedefine/>
    <w:rsid w:val="007916A9"/>
    <w:pPr>
      <w:ind w:left="240" w:hanging="240"/>
    </w:pPr>
    <w:rPr>
      <w:rFonts w:ascii="Times New Roman" w:hAnsi="Times New Roman"/>
      <w:szCs w:val="24"/>
      <w:lang w:eastAsia="en-GB"/>
    </w:rPr>
  </w:style>
  <w:style w:type="paragraph" w:customStyle="1" w:styleId="FooterAssetFinanceflyers">
    <w:name w:val="Footer (Asset Finance flyers)"/>
    <w:basedOn w:val="Normal"/>
    <w:rsid w:val="007916A9"/>
    <w:pPr>
      <w:suppressAutoHyphens/>
      <w:autoSpaceDE w:val="0"/>
      <w:autoSpaceDN w:val="0"/>
      <w:adjustRightInd w:val="0"/>
      <w:spacing w:line="200" w:lineRule="atLeast"/>
      <w:jc w:val="both"/>
      <w:textAlignment w:val="center"/>
    </w:pPr>
    <w:rPr>
      <w:rFonts w:ascii="Bliss 2 Regular" w:hAnsi="Bliss 2 Regular" w:cs="Bliss 2 Regular"/>
      <w:color w:val="006792"/>
      <w:spacing w:val="-5"/>
      <w:sz w:val="16"/>
      <w:szCs w:val="16"/>
    </w:rPr>
  </w:style>
  <w:style w:type="character" w:customStyle="1" w:styleId="normaltext1">
    <w:name w:val="normaltext1"/>
    <w:rsid w:val="007916A9"/>
    <w:rPr>
      <w:rFonts w:ascii="Arial" w:hAnsi="Arial" w:cs="Arial" w:hint="default"/>
      <w:i w:val="0"/>
      <w:iCs w:val="0"/>
      <w:color w:val="666666"/>
      <w:sz w:val="13"/>
      <w:szCs w:val="13"/>
    </w:rPr>
  </w:style>
  <w:style w:type="character" w:customStyle="1" w:styleId="enquiry1">
    <w:name w:val="enquiry1"/>
    <w:rsid w:val="007916A9"/>
    <w:rPr>
      <w:rFonts w:ascii="Verdana" w:hAnsi="Verdana" w:hint="default"/>
      <w:b w:val="0"/>
      <w:bCs w:val="0"/>
      <w:i w:val="0"/>
      <w:iCs w:val="0"/>
      <w:strike w:val="0"/>
      <w:dstrike w:val="0"/>
      <w:color w:val="333366"/>
      <w:sz w:val="15"/>
      <w:szCs w:val="15"/>
      <w:u w:val="none"/>
      <w:effect w:val="none"/>
    </w:rPr>
  </w:style>
  <w:style w:type="character" w:customStyle="1" w:styleId="StyleComplexArialComplex11pt">
    <w:name w:val="Style (Complex) Arial (Complex) 11 pt"/>
    <w:rsid w:val="007916A9"/>
    <w:rPr>
      <w:rFonts w:cs="Arial"/>
      <w:sz w:val="22"/>
      <w:szCs w:val="22"/>
    </w:rPr>
  </w:style>
  <w:style w:type="paragraph" w:customStyle="1" w:styleId="ecxmsonormal">
    <w:name w:val="ecxmsonormal"/>
    <w:basedOn w:val="Normal"/>
    <w:rsid w:val="007916A9"/>
    <w:pPr>
      <w:spacing w:after="324"/>
    </w:pPr>
    <w:rPr>
      <w:rFonts w:ascii="Times New Roman" w:hAnsi="Times New Roman"/>
      <w:szCs w:val="24"/>
      <w:lang w:val="en-US"/>
    </w:rPr>
  </w:style>
  <w:style w:type="character" w:customStyle="1" w:styleId="SectionHeadingCharChar">
    <w:name w:val="Section Heading Char Char"/>
    <w:locked/>
    <w:rsid w:val="007916A9"/>
    <w:rPr>
      <w:rFonts w:ascii="Arial" w:hAnsi="Arial"/>
      <w:b/>
      <w:sz w:val="22"/>
      <w:lang w:val="en-GB" w:eastAsia="en-US" w:bidi="ar-SA"/>
    </w:rPr>
  </w:style>
  <w:style w:type="character" w:customStyle="1" w:styleId="CharChar19">
    <w:name w:val="Char Char19"/>
    <w:locked/>
    <w:rsid w:val="007916A9"/>
    <w:rPr>
      <w:rFonts w:ascii="Arial" w:hAnsi="Arial"/>
      <w:b/>
      <w:i/>
      <w:sz w:val="22"/>
      <w:lang w:val="en-GB" w:eastAsia="en-US" w:bidi="ar-SA"/>
    </w:rPr>
  </w:style>
  <w:style w:type="character" w:customStyle="1" w:styleId="CharChar18">
    <w:name w:val="Char Char18"/>
    <w:locked/>
    <w:rsid w:val="007916A9"/>
    <w:rPr>
      <w:rFonts w:ascii="Arial" w:hAnsi="Arial"/>
      <w:b/>
      <w:sz w:val="22"/>
      <w:lang w:val="en-GB" w:eastAsia="en-US" w:bidi="ar-SA"/>
    </w:rPr>
  </w:style>
  <w:style w:type="character" w:customStyle="1" w:styleId="CharChar17">
    <w:name w:val="Char Char17"/>
    <w:locked/>
    <w:rsid w:val="007916A9"/>
    <w:rPr>
      <w:rFonts w:ascii="Arial" w:hAnsi="Arial"/>
      <w:sz w:val="24"/>
      <w:lang w:val="en-GB" w:eastAsia="en-US" w:bidi="ar-SA"/>
    </w:rPr>
  </w:style>
  <w:style w:type="character" w:customStyle="1" w:styleId="CharChar16">
    <w:name w:val="Char Char16"/>
    <w:locked/>
    <w:rsid w:val="007916A9"/>
    <w:rPr>
      <w:rFonts w:ascii="Arial" w:hAnsi="Arial"/>
      <w:sz w:val="24"/>
      <w:lang w:val="en-GB" w:eastAsia="en-US" w:bidi="ar-SA"/>
    </w:rPr>
  </w:style>
  <w:style w:type="character" w:customStyle="1" w:styleId="CharChar15">
    <w:name w:val="Char Char15"/>
    <w:locked/>
    <w:rsid w:val="007916A9"/>
    <w:rPr>
      <w:rFonts w:ascii="Arial" w:hAnsi="Arial"/>
      <w:sz w:val="22"/>
      <w:lang w:val="en-GB" w:eastAsia="en-US" w:bidi="ar-SA"/>
    </w:rPr>
  </w:style>
  <w:style w:type="character" w:customStyle="1" w:styleId="CharChar14">
    <w:name w:val="Char Char14"/>
    <w:locked/>
    <w:rsid w:val="007916A9"/>
    <w:rPr>
      <w:rFonts w:ascii="Arial" w:hAnsi="Arial"/>
      <w:b/>
      <w:sz w:val="22"/>
      <w:lang w:val="en-GB" w:eastAsia="en-US" w:bidi="ar-SA"/>
    </w:rPr>
  </w:style>
  <w:style w:type="character" w:customStyle="1" w:styleId="CharChar8">
    <w:name w:val="Char Char8"/>
    <w:locked/>
    <w:rsid w:val="007916A9"/>
    <w:rPr>
      <w:rFonts w:ascii="Arial" w:hAnsi="Arial"/>
      <w:sz w:val="18"/>
      <w:lang w:val="en-GB" w:eastAsia="en-US" w:bidi="ar-SA"/>
    </w:rPr>
  </w:style>
  <w:style w:type="paragraph" w:customStyle="1" w:styleId="Tablecopy">
    <w:name w:val="Table copy"/>
    <w:rsid w:val="007916A9"/>
    <w:rPr>
      <w:rFonts w:ascii="Calibri" w:eastAsia="Bliss 2 Regular" w:hAnsi="Calibri" w:cs="Calibri"/>
      <w:color w:val="3A3B3C"/>
      <w:szCs w:val="22"/>
      <w:lang w:eastAsia="en-US"/>
    </w:rPr>
  </w:style>
  <w:style w:type="paragraph" w:styleId="CommentSubject">
    <w:name w:val="annotation subject"/>
    <w:basedOn w:val="CommentText"/>
    <w:next w:val="CommentText"/>
    <w:link w:val="CommentSubjectChar"/>
    <w:rsid w:val="007916A9"/>
    <w:rPr>
      <w:b/>
      <w:bCs/>
    </w:rPr>
  </w:style>
  <w:style w:type="character" w:customStyle="1" w:styleId="CommentSubjectChar">
    <w:name w:val="Comment Subject Char"/>
    <w:basedOn w:val="CommentTextChar"/>
    <w:link w:val="CommentSubject"/>
    <w:rsid w:val="007916A9"/>
    <w:rPr>
      <w:rFonts w:ascii="Arial" w:hAnsi="Arial"/>
      <w:b/>
      <w:bCs/>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List" w:uiPriority="99"/>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atentStyles>
  <w:style w:type="paragraph" w:default="1" w:styleId="Normal">
    <w:name w:val="Normal"/>
    <w:qFormat/>
    <w:rPr>
      <w:rFonts w:ascii="Arial" w:hAnsi="Arial"/>
      <w:sz w:val="24"/>
      <w:lang w:eastAsia="en-US"/>
    </w:rPr>
  </w:style>
  <w:style w:type="paragraph" w:styleId="Heading1">
    <w:name w:val="heading 1"/>
    <w:aliases w:val="Section Heading"/>
    <w:basedOn w:val="Normal"/>
    <w:next w:val="Normal"/>
    <w:link w:val="Heading1Char"/>
    <w:qFormat/>
    <w:rsid w:val="007916A9"/>
    <w:pPr>
      <w:keepNext/>
      <w:ind w:left="720" w:hanging="720"/>
      <w:jc w:val="center"/>
      <w:outlineLvl w:val="0"/>
    </w:pPr>
    <w:rPr>
      <w:b/>
      <w:sz w:val="22"/>
    </w:rPr>
  </w:style>
  <w:style w:type="paragraph" w:styleId="Heading2">
    <w:name w:val="heading 2"/>
    <w:aliases w:val="2,Level 2 Heading"/>
    <w:basedOn w:val="Normal"/>
    <w:next w:val="Normal"/>
    <w:link w:val="Heading2Char1"/>
    <w:qFormat/>
    <w:rsid w:val="007916A9"/>
    <w:pPr>
      <w:keepNext/>
      <w:jc w:val="center"/>
      <w:outlineLvl w:val="1"/>
    </w:pPr>
    <w:rPr>
      <w:b/>
      <w:color w:val="000000"/>
      <w:sz w:val="20"/>
    </w:rPr>
  </w:style>
  <w:style w:type="paragraph" w:styleId="Heading3">
    <w:name w:val="heading 3"/>
    <w:basedOn w:val="Normal"/>
    <w:next w:val="Normal"/>
    <w:link w:val="Heading3Char"/>
    <w:qFormat/>
    <w:rsid w:val="007916A9"/>
    <w:pPr>
      <w:keepNext/>
      <w:ind w:left="720" w:hanging="720"/>
      <w:outlineLvl w:val="2"/>
    </w:pPr>
    <w:rPr>
      <w:b/>
      <w:i/>
      <w:sz w:val="22"/>
    </w:rPr>
  </w:style>
  <w:style w:type="paragraph" w:styleId="Heading4">
    <w:name w:val="heading 4"/>
    <w:basedOn w:val="Normal"/>
    <w:next w:val="Normal"/>
    <w:link w:val="Heading4Char"/>
    <w:qFormat/>
    <w:rsid w:val="007916A9"/>
    <w:pPr>
      <w:keepNext/>
      <w:ind w:left="720"/>
      <w:outlineLvl w:val="3"/>
    </w:pPr>
    <w:rPr>
      <w:b/>
      <w:i/>
      <w:sz w:val="22"/>
    </w:rPr>
  </w:style>
  <w:style w:type="paragraph" w:styleId="Heading5">
    <w:name w:val="heading 5"/>
    <w:basedOn w:val="Normal"/>
    <w:next w:val="Normal"/>
    <w:link w:val="Heading5Char"/>
    <w:qFormat/>
    <w:rsid w:val="007916A9"/>
    <w:pPr>
      <w:keepNext/>
      <w:ind w:left="720"/>
      <w:outlineLvl w:val="4"/>
    </w:pPr>
    <w:rPr>
      <w:b/>
      <w:i/>
    </w:rPr>
  </w:style>
  <w:style w:type="paragraph" w:styleId="Heading6">
    <w:name w:val="heading 6"/>
    <w:basedOn w:val="Normal"/>
    <w:next w:val="Normal"/>
    <w:link w:val="Heading6Char"/>
    <w:qFormat/>
    <w:rsid w:val="007916A9"/>
    <w:pPr>
      <w:keepNext/>
      <w:jc w:val="center"/>
      <w:outlineLvl w:val="5"/>
    </w:pPr>
    <w:rPr>
      <w:b/>
      <w:color w:val="000000"/>
      <w:sz w:val="22"/>
    </w:rPr>
  </w:style>
  <w:style w:type="paragraph" w:styleId="Heading7">
    <w:name w:val="heading 7"/>
    <w:basedOn w:val="Normal"/>
    <w:next w:val="Normal"/>
    <w:link w:val="Heading7Char"/>
    <w:qFormat/>
    <w:rsid w:val="007916A9"/>
    <w:pPr>
      <w:keepNext/>
      <w:jc w:val="right"/>
      <w:outlineLvl w:val="6"/>
    </w:pPr>
    <w:rPr>
      <w:b/>
      <w:sz w:val="22"/>
    </w:rPr>
  </w:style>
  <w:style w:type="paragraph" w:styleId="Heading8">
    <w:name w:val="heading 8"/>
    <w:basedOn w:val="Normal"/>
    <w:next w:val="Normal"/>
    <w:link w:val="Heading8Char"/>
    <w:qFormat/>
    <w:rsid w:val="007916A9"/>
    <w:pPr>
      <w:keepNext/>
      <w:outlineLvl w:val="7"/>
    </w:pPr>
    <w:rPr>
      <w:b/>
      <w:sz w:val="22"/>
    </w:rPr>
  </w:style>
  <w:style w:type="paragraph" w:styleId="Heading9">
    <w:name w:val="heading 9"/>
    <w:basedOn w:val="Normal"/>
    <w:next w:val="Normal"/>
    <w:link w:val="Heading9Char"/>
    <w:qFormat/>
    <w:rsid w:val="007916A9"/>
    <w:pPr>
      <w:keepNext/>
      <w:outlineLvl w:val="8"/>
    </w:pPr>
    <w:rPr>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Section Heading Char"/>
    <w:basedOn w:val="DefaultParagraphFont"/>
    <w:link w:val="Heading1"/>
    <w:rsid w:val="007916A9"/>
    <w:rPr>
      <w:rFonts w:ascii="Arial" w:hAnsi="Arial"/>
      <w:b/>
      <w:sz w:val="22"/>
      <w:lang w:eastAsia="en-US"/>
    </w:rPr>
  </w:style>
  <w:style w:type="character" w:customStyle="1" w:styleId="Heading2Char1">
    <w:name w:val="Heading 2 Char1"/>
    <w:aliases w:val="2 Char1,Level 2 Heading Char1"/>
    <w:link w:val="Heading2"/>
    <w:rsid w:val="007916A9"/>
    <w:rPr>
      <w:rFonts w:ascii="Arial" w:hAnsi="Arial"/>
      <w:b/>
      <w:color w:val="000000"/>
      <w:lang w:eastAsia="en-US"/>
    </w:rPr>
  </w:style>
  <w:style w:type="character" w:customStyle="1" w:styleId="Heading3Char">
    <w:name w:val="Heading 3 Char"/>
    <w:basedOn w:val="DefaultParagraphFont"/>
    <w:link w:val="Heading3"/>
    <w:rsid w:val="007916A9"/>
    <w:rPr>
      <w:rFonts w:ascii="Arial" w:hAnsi="Arial"/>
      <w:b/>
      <w:i/>
      <w:sz w:val="22"/>
      <w:lang w:eastAsia="en-US"/>
    </w:rPr>
  </w:style>
  <w:style w:type="character" w:customStyle="1" w:styleId="Heading4Char">
    <w:name w:val="Heading 4 Char"/>
    <w:basedOn w:val="DefaultParagraphFont"/>
    <w:link w:val="Heading4"/>
    <w:rsid w:val="007916A9"/>
    <w:rPr>
      <w:rFonts w:ascii="Arial" w:hAnsi="Arial"/>
      <w:b/>
      <w:i/>
      <w:sz w:val="22"/>
      <w:lang w:eastAsia="en-US"/>
    </w:rPr>
  </w:style>
  <w:style w:type="character" w:customStyle="1" w:styleId="Heading5Char">
    <w:name w:val="Heading 5 Char"/>
    <w:basedOn w:val="DefaultParagraphFont"/>
    <w:link w:val="Heading5"/>
    <w:rsid w:val="007916A9"/>
    <w:rPr>
      <w:rFonts w:ascii="Arial" w:hAnsi="Arial"/>
      <w:b/>
      <w:i/>
      <w:sz w:val="24"/>
      <w:lang w:eastAsia="en-US"/>
    </w:rPr>
  </w:style>
  <w:style w:type="character" w:customStyle="1" w:styleId="Heading6Char">
    <w:name w:val="Heading 6 Char"/>
    <w:basedOn w:val="DefaultParagraphFont"/>
    <w:link w:val="Heading6"/>
    <w:rsid w:val="007916A9"/>
    <w:rPr>
      <w:rFonts w:ascii="Arial" w:hAnsi="Arial"/>
      <w:b/>
      <w:color w:val="000000"/>
      <w:sz w:val="22"/>
      <w:lang w:eastAsia="en-US"/>
    </w:rPr>
  </w:style>
  <w:style w:type="character" w:customStyle="1" w:styleId="Heading7Char">
    <w:name w:val="Heading 7 Char"/>
    <w:basedOn w:val="DefaultParagraphFont"/>
    <w:link w:val="Heading7"/>
    <w:rsid w:val="007916A9"/>
    <w:rPr>
      <w:rFonts w:ascii="Arial" w:hAnsi="Arial"/>
      <w:b/>
      <w:sz w:val="22"/>
      <w:lang w:eastAsia="en-US"/>
    </w:rPr>
  </w:style>
  <w:style w:type="character" w:customStyle="1" w:styleId="Heading8Char">
    <w:name w:val="Heading 8 Char"/>
    <w:basedOn w:val="DefaultParagraphFont"/>
    <w:link w:val="Heading8"/>
    <w:rsid w:val="007916A9"/>
    <w:rPr>
      <w:rFonts w:ascii="Arial" w:hAnsi="Arial"/>
      <w:b/>
      <w:sz w:val="22"/>
      <w:lang w:eastAsia="en-US"/>
    </w:rPr>
  </w:style>
  <w:style w:type="character" w:customStyle="1" w:styleId="Heading9Char">
    <w:name w:val="Heading 9 Char"/>
    <w:basedOn w:val="DefaultParagraphFont"/>
    <w:link w:val="Heading9"/>
    <w:rsid w:val="007916A9"/>
    <w:rPr>
      <w:rFonts w:ascii="Arial" w:hAnsi="Arial"/>
      <w:b/>
      <w:sz w:val="18"/>
      <w:lang w:eastAsia="en-US"/>
    </w:rPr>
  </w:style>
  <w:style w:type="paragraph" w:styleId="DocumentMap">
    <w:name w:val="Document Map"/>
    <w:basedOn w:val="Normal"/>
    <w:link w:val="DocumentMapChar"/>
    <w:semiHidden/>
    <w:pPr>
      <w:shd w:val="clear" w:color="auto" w:fill="000080"/>
    </w:pPr>
    <w:rPr>
      <w:rFonts w:ascii="Tahoma" w:hAnsi="Tahoma" w:cs="Tahoma"/>
      <w:sz w:val="20"/>
    </w:rPr>
  </w:style>
  <w:style w:type="character" w:customStyle="1" w:styleId="DocumentMapChar">
    <w:name w:val="Document Map Char"/>
    <w:link w:val="DocumentMap"/>
    <w:semiHidden/>
    <w:locked/>
    <w:rsid w:val="007916A9"/>
    <w:rPr>
      <w:rFonts w:ascii="Tahoma" w:hAnsi="Tahoma" w:cs="Tahoma"/>
      <w:shd w:val="clear" w:color="auto" w:fill="000080"/>
      <w:lang w:eastAsia="en-US"/>
    </w:rPr>
  </w:style>
  <w:style w:type="paragraph" w:styleId="Header">
    <w:name w:val="header"/>
    <w:basedOn w:val="Normal"/>
    <w:link w:val="HeaderChar"/>
    <w:pPr>
      <w:tabs>
        <w:tab w:val="center" w:pos="4153"/>
        <w:tab w:val="right" w:pos="8306"/>
      </w:tabs>
    </w:pPr>
  </w:style>
  <w:style w:type="character" w:customStyle="1" w:styleId="HeaderChar">
    <w:name w:val="Header Char"/>
    <w:link w:val="Header"/>
    <w:locked/>
    <w:rsid w:val="007916A9"/>
    <w:rPr>
      <w:rFonts w:ascii="Arial" w:hAnsi="Arial"/>
      <w:sz w:val="24"/>
      <w:lang w:eastAsia="en-US"/>
    </w:rPr>
  </w:style>
  <w:style w:type="paragraph" w:styleId="Footer">
    <w:name w:val="footer"/>
    <w:basedOn w:val="Normal"/>
    <w:link w:val="FooterChar"/>
    <w:pPr>
      <w:tabs>
        <w:tab w:val="center" w:pos="4153"/>
        <w:tab w:val="right" w:pos="8306"/>
      </w:tabs>
    </w:pPr>
  </w:style>
  <w:style w:type="character" w:customStyle="1" w:styleId="FooterChar">
    <w:name w:val="Footer Char"/>
    <w:link w:val="Footer"/>
    <w:locked/>
    <w:rsid w:val="007916A9"/>
    <w:rPr>
      <w:rFonts w:ascii="Arial" w:hAnsi="Arial"/>
      <w:sz w:val="24"/>
      <w:lang w:eastAsia="en-US"/>
    </w:rPr>
  </w:style>
  <w:style w:type="paragraph" w:styleId="BalloonText">
    <w:name w:val="Balloon Text"/>
    <w:basedOn w:val="Normal"/>
    <w:link w:val="BalloonTextChar"/>
    <w:semiHidden/>
    <w:rsid w:val="00276379"/>
    <w:rPr>
      <w:rFonts w:ascii="Tahoma" w:hAnsi="Tahoma" w:cs="Tahoma"/>
      <w:sz w:val="16"/>
      <w:szCs w:val="16"/>
    </w:rPr>
  </w:style>
  <w:style w:type="character" w:customStyle="1" w:styleId="BalloonTextChar">
    <w:name w:val="Balloon Text Char"/>
    <w:link w:val="BalloonText"/>
    <w:semiHidden/>
    <w:locked/>
    <w:rsid w:val="007916A9"/>
    <w:rPr>
      <w:rFonts w:ascii="Tahoma" w:hAnsi="Tahoma" w:cs="Tahoma"/>
      <w:sz w:val="16"/>
      <w:szCs w:val="16"/>
      <w:lang w:eastAsia="en-US"/>
    </w:rPr>
  </w:style>
  <w:style w:type="paragraph" w:styleId="ListParagraph">
    <w:name w:val="List Paragraph"/>
    <w:basedOn w:val="Normal"/>
    <w:qFormat/>
    <w:rsid w:val="00EF2FE0"/>
    <w:pPr>
      <w:spacing w:after="200" w:line="276" w:lineRule="auto"/>
      <w:ind w:left="720"/>
      <w:contextualSpacing/>
    </w:pPr>
    <w:rPr>
      <w:rFonts w:ascii="Calibri" w:hAnsi="Calibri"/>
      <w:sz w:val="22"/>
      <w:szCs w:val="22"/>
    </w:rPr>
  </w:style>
  <w:style w:type="character" w:customStyle="1" w:styleId="Heading2Char">
    <w:name w:val="Heading 2 Char"/>
    <w:basedOn w:val="DefaultParagraphFont"/>
    <w:rsid w:val="007916A9"/>
    <w:rPr>
      <w:rFonts w:asciiTheme="majorHAnsi" w:eastAsiaTheme="majorEastAsia" w:hAnsiTheme="majorHAnsi" w:cstheme="majorBidi"/>
      <w:b/>
      <w:bCs/>
      <w:color w:val="4F81BD" w:themeColor="accent1"/>
      <w:sz w:val="26"/>
      <w:szCs w:val="26"/>
      <w:lang w:eastAsia="en-US"/>
    </w:rPr>
  </w:style>
  <w:style w:type="paragraph" w:styleId="BodyTextIndent">
    <w:name w:val="Body Text Indent"/>
    <w:basedOn w:val="Normal"/>
    <w:link w:val="BodyTextIndentChar"/>
    <w:rsid w:val="007916A9"/>
    <w:pPr>
      <w:ind w:left="720" w:hanging="720"/>
    </w:pPr>
    <w:rPr>
      <w:b/>
      <w:sz w:val="22"/>
    </w:rPr>
  </w:style>
  <w:style w:type="character" w:customStyle="1" w:styleId="BodyTextIndentChar">
    <w:name w:val="Body Text Indent Char"/>
    <w:basedOn w:val="DefaultParagraphFont"/>
    <w:link w:val="BodyTextIndent"/>
    <w:rsid w:val="007916A9"/>
    <w:rPr>
      <w:rFonts w:ascii="Arial" w:hAnsi="Arial"/>
      <w:b/>
      <w:sz w:val="22"/>
      <w:lang w:eastAsia="en-US"/>
    </w:rPr>
  </w:style>
  <w:style w:type="paragraph" w:styleId="BodyTextIndent2">
    <w:name w:val="Body Text Indent 2"/>
    <w:basedOn w:val="Normal"/>
    <w:link w:val="BodyTextIndent2Char"/>
    <w:rsid w:val="007916A9"/>
    <w:pPr>
      <w:ind w:left="720" w:hanging="720"/>
    </w:pPr>
    <w:rPr>
      <w:sz w:val="22"/>
    </w:rPr>
  </w:style>
  <w:style w:type="character" w:customStyle="1" w:styleId="BodyTextIndent2Char">
    <w:name w:val="Body Text Indent 2 Char"/>
    <w:basedOn w:val="DefaultParagraphFont"/>
    <w:link w:val="BodyTextIndent2"/>
    <w:rsid w:val="007916A9"/>
    <w:rPr>
      <w:rFonts w:ascii="Arial" w:hAnsi="Arial"/>
      <w:sz w:val="22"/>
      <w:lang w:eastAsia="en-US"/>
    </w:rPr>
  </w:style>
  <w:style w:type="paragraph" w:styleId="BodyTextIndent3">
    <w:name w:val="Body Text Indent 3"/>
    <w:basedOn w:val="Normal"/>
    <w:link w:val="BodyTextIndent3Char"/>
    <w:rsid w:val="007916A9"/>
    <w:pPr>
      <w:ind w:left="1418" w:hanging="709"/>
    </w:pPr>
    <w:rPr>
      <w:sz w:val="22"/>
    </w:rPr>
  </w:style>
  <w:style w:type="character" w:customStyle="1" w:styleId="BodyTextIndent3Char">
    <w:name w:val="Body Text Indent 3 Char"/>
    <w:basedOn w:val="DefaultParagraphFont"/>
    <w:link w:val="BodyTextIndent3"/>
    <w:rsid w:val="007916A9"/>
    <w:rPr>
      <w:rFonts w:ascii="Arial" w:hAnsi="Arial"/>
      <w:sz w:val="22"/>
      <w:lang w:eastAsia="en-US"/>
    </w:rPr>
  </w:style>
  <w:style w:type="paragraph" w:styleId="Title">
    <w:name w:val="Title"/>
    <w:basedOn w:val="Normal"/>
    <w:link w:val="TitleChar"/>
    <w:qFormat/>
    <w:rsid w:val="007916A9"/>
    <w:pPr>
      <w:jc w:val="center"/>
    </w:pPr>
    <w:rPr>
      <w:b/>
      <w:sz w:val="22"/>
    </w:rPr>
  </w:style>
  <w:style w:type="character" w:customStyle="1" w:styleId="TitleChar">
    <w:name w:val="Title Char"/>
    <w:basedOn w:val="DefaultParagraphFont"/>
    <w:link w:val="Title"/>
    <w:rsid w:val="007916A9"/>
    <w:rPr>
      <w:rFonts w:ascii="Arial" w:hAnsi="Arial"/>
      <w:b/>
      <w:sz w:val="22"/>
      <w:lang w:eastAsia="en-US"/>
    </w:rPr>
  </w:style>
  <w:style w:type="paragraph" w:styleId="Subtitle">
    <w:name w:val="Subtitle"/>
    <w:basedOn w:val="Normal"/>
    <w:link w:val="SubtitleChar"/>
    <w:qFormat/>
    <w:rsid w:val="007916A9"/>
    <w:pPr>
      <w:jc w:val="center"/>
    </w:pPr>
    <w:rPr>
      <w:b/>
      <w:sz w:val="22"/>
    </w:rPr>
  </w:style>
  <w:style w:type="character" w:customStyle="1" w:styleId="SubtitleChar">
    <w:name w:val="Subtitle Char"/>
    <w:basedOn w:val="DefaultParagraphFont"/>
    <w:link w:val="Subtitle"/>
    <w:rsid w:val="007916A9"/>
    <w:rPr>
      <w:rFonts w:ascii="Arial" w:hAnsi="Arial"/>
      <w:b/>
      <w:sz w:val="22"/>
      <w:lang w:eastAsia="en-US"/>
    </w:rPr>
  </w:style>
  <w:style w:type="paragraph" w:styleId="BodyText">
    <w:name w:val="Body Text"/>
    <w:basedOn w:val="Normal"/>
    <w:link w:val="BodyTextChar"/>
    <w:rsid w:val="007916A9"/>
    <w:rPr>
      <w:sz w:val="22"/>
    </w:rPr>
  </w:style>
  <w:style w:type="character" w:customStyle="1" w:styleId="BodyTextChar">
    <w:name w:val="Body Text Char"/>
    <w:basedOn w:val="DefaultParagraphFont"/>
    <w:link w:val="BodyText"/>
    <w:rsid w:val="007916A9"/>
    <w:rPr>
      <w:rFonts w:ascii="Arial" w:hAnsi="Arial"/>
      <w:sz w:val="22"/>
      <w:lang w:eastAsia="en-US"/>
    </w:rPr>
  </w:style>
  <w:style w:type="paragraph" w:styleId="BodyText2">
    <w:name w:val="Body Text 2"/>
    <w:basedOn w:val="Normal"/>
    <w:link w:val="BodyText2Char"/>
    <w:rsid w:val="007916A9"/>
    <w:rPr>
      <w:sz w:val="18"/>
    </w:rPr>
  </w:style>
  <w:style w:type="character" w:customStyle="1" w:styleId="BodyText2Char">
    <w:name w:val="Body Text 2 Char"/>
    <w:basedOn w:val="DefaultParagraphFont"/>
    <w:link w:val="BodyText2"/>
    <w:rsid w:val="007916A9"/>
    <w:rPr>
      <w:rFonts w:ascii="Arial" w:hAnsi="Arial"/>
      <w:sz w:val="18"/>
      <w:lang w:eastAsia="en-US"/>
    </w:rPr>
  </w:style>
  <w:style w:type="paragraph" w:styleId="BodyText3">
    <w:name w:val="Body Text 3"/>
    <w:basedOn w:val="Normal"/>
    <w:link w:val="BodyText3Char"/>
    <w:rsid w:val="007916A9"/>
    <w:rPr>
      <w:b/>
      <w:sz w:val="18"/>
    </w:rPr>
  </w:style>
  <w:style w:type="character" w:customStyle="1" w:styleId="BodyText3Char">
    <w:name w:val="Body Text 3 Char"/>
    <w:basedOn w:val="DefaultParagraphFont"/>
    <w:link w:val="BodyText3"/>
    <w:rsid w:val="007916A9"/>
    <w:rPr>
      <w:rFonts w:ascii="Arial" w:hAnsi="Arial"/>
      <w:b/>
      <w:sz w:val="18"/>
      <w:lang w:eastAsia="en-US"/>
    </w:rPr>
  </w:style>
  <w:style w:type="character" w:styleId="PageNumber">
    <w:name w:val="page number"/>
    <w:basedOn w:val="DefaultParagraphFont"/>
    <w:rsid w:val="007916A9"/>
  </w:style>
  <w:style w:type="paragraph" w:customStyle="1" w:styleId="Address">
    <w:name w:val="Address"/>
    <w:basedOn w:val="Normal"/>
    <w:rsid w:val="007916A9"/>
    <w:pPr>
      <w:keepLines/>
      <w:jc w:val="both"/>
    </w:pPr>
    <w:rPr>
      <w:rFonts w:ascii="Times New Roman" w:hAnsi="Times New Roman"/>
      <w:noProof/>
    </w:rPr>
  </w:style>
  <w:style w:type="character" w:styleId="Hyperlink">
    <w:name w:val="Hyperlink"/>
    <w:rsid w:val="007916A9"/>
    <w:rPr>
      <w:color w:val="0000FF"/>
      <w:u w:val="single"/>
    </w:rPr>
  </w:style>
  <w:style w:type="paragraph" w:styleId="BlockText">
    <w:name w:val="Block Text"/>
    <w:basedOn w:val="Normal"/>
    <w:rsid w:val="007916A9"/>
    <w:pPr>
      <w:ind w:left="113" w:right="113"/>
    </w:pPr>
    <w:rPr>
      <w:snapToGrid w:val="0"/>
      <w:color w:val="000000"/>
      <w:sz w:val="22"/>
    </w:rPr>
  </w:style>
  <w:style w:type="paragraph" w:customStyle="1" w:styleId="questionnaire">
    <w:name w:val="questionnaire"/>
    <w:rsid w:val="007916A9"/>
    <w:pPr>
      <w:widowControl w:val="0"/>
      <w:tabs>
        <w:tab w:val="right" w:pos="680"/>
        <w:tab w:val="left" w:pos="794"/>
        <w:tab w:val="right" w:pos="7513"/>
        <w:tab w:val="left" w:pos="7853"/>
        <w:tab w:val="left" w:pos="8222"/>
        <w:tab w:val="right" w:pos="11057"/>
      </w:tabs>
      <w:suppressAutoHyphens/>
    </w:pPr>
    <w:rPr>
      <w:rFonts w:ascii="Helvetica" w:hAnsi="Helvetica"/>
      <w:lang w:val="en-US" w:eastAsia="en-US"/>
    </w:rPr>
  </w:style>
  <w:style w:type="paragraph" w:customStyle="1" w:styleId="Style2">
    <w:name w:val="Style2"/>
    <w:basedOn w:val="Normal"/>
    <w:autoRedefine/>
    <w:rsid w:val="007916A9"/>
    <w:pPr>
      <w:ind w:left="1026" w:hanging="1026"/>
      <w:outlineLvl w:val="0"/>
    </w:pPr>
    <w:rPr>
      <w:sz w:val="22"/>
    </w:rPr>
  </w:style>
  <w:style w:type="paragraph" w:styleId="Caption">
    <w:name w:val="caption"/>
    <w:basedOn w:val="Normal"/>
    <w:next w:val="Normal"/>
    <w:qFormat/>
    <w:rsid w:val="007916A9"/>
    <w:pPr>
      <w:jc w:val="right"/>
    </w:pPr>
    <w:rPr>
      <w:b/>
      <w:sz w:val="22"/>
    </w:rPr>
  </w:style>
  <w:style w:type="paragraph" w:styleId="ListBullet">
    <w:name w:val="List Bullet"/>
    <w:basedOn w:val="Normal"/>
    <w:autoRedefine/>
    <w:rsid w:val="007916A9"/>
    <w:rPr>
      <w:sz w:val="20"/>
    </w:rPr>
  </w:style>
  <w:style w:type="paragraph" w:styleId="FootnoteText">
    <w:name w:val="footnote text"/>
    <w:basedOn w:val="Normal"/>
    <w:link w:val="FootnoteTextChar"/>
    <w:rsid w:val="007916A9"/>
    <w:pPr>
      <w:tabs>
        <w:tab w:val="left" w:pos="1260"/>
        <w:tab w:val="left" w:pos="1980"/>
        <w:tab w:val="left" w:pos="2700"/>
        <w:tab w:val="left" w:pos="3420"/>
      </w:tabs>
      <w:jc w:val="both"/>
    </w:pPr>
    <w:rPr>
      <w:sz w:val="20"/>
      <w:lang w:eastAsia="en-GB"/>
    </w:rPr>
  </w:style>
  <w:style w:type="character" w:customStyle="1" w:styleId="FootnoteTextChar">
    <w:name w:val="Footnote Text Char"/>
    <w:basedOn w:val="DefaultParagraphFont"/>
    <w:link w:val="FootnoteText"/>
    <w:rsid w:val="007916A9"/>
    <w:rPr>
      <w:rFonts w:ascii="Arial" w:hAnsi="Arial"/>
    </w:rPr>
  </w:style>
  <w:style w:type="character" w:styleId="FootnoteReference">
    <w:name w:val="footnote reference"/>
    <w:rsid w:val="007916A9"/>
    <w:rPr>
      <w:vertAlign w:val="superscript"/>
    </w:rPr>
  </w:style>
  <w:style w:type="paragraph" w:customStyle="1" w:styleId="Default">
    <w:name w:val="Default"/>
    <w:link w:val="DefaultChar"/>
    <w:rsid w:val="007916A9"/>
    <w:pPr>
      <w:autoSpaceDE w:val="0"/>
      <w:autoSpaceDN w:val="0"/>
      <w:adjustRightInd w:val="0"/>
    </w:pPr>
    <w:rPr>
      <w:rFonts w:ascii="Arial" w:hAnsi="Arial" w:cs="Arial"/>
      <w:color w:val="000000"/>
      <w:sz w:val="24"/>
      <w:szCs w:val="24"/>
    </w:rPr>
  </w:style>
  <w:style w:type="character" w:customStyle="1" w:styleId="DefaultChar">
    <w:name w:val="Default Char"/>
    <w:link w:val="Default"/>
    <w:locked/>
    <w:rsid w:val="007916A9"/>
    <w:rPr>
      <w:rFonts w:ascii="Arial" w:hAnsi="Arial" w:cs="Arial"/>
      <w:color w:val="000000"/>
      <w:sz w:val="24"/>
      <w:szCs w:val="24"/>
    </w:rPr>
  </w:style>
  <w:style w:type="paragraph" w:customStyle="1" w:styleId="Text">
    <w:name w:val="Text"/>
    <w:basedOn w:val="Normal"/>
    <w:rsid w:val="007916A9"/>
    <w:pPr>
      <w:overflowPunct w:val="0"/>
      <w:autoSpaceDE w:val="0"/>
      <w:autoSpaceDN w:val="0"/>
      <w:adjustRightInd w:val="0"/>
      <w:spacing w:after="220"/>
      <w:jc w:val="both"/>
      <w:textAlignment w:val="baseline"/>
    </w:pPr>
    <w:rPr>
      <w:sz w:val="22"/>
      <w:lang w:eastAsia="en-GB"/>
    </w:rPr>
  </w:style>
  <w:style w:type="paragraph" w:customStyle="1" w:styleId="bullet">
    <w:name w:val="bullet"/>
    <w:basedOn w:val="Normal"/>
    <w:rsid w:val="007916A9"/>
    <w:pPr>
      <w:tabs>
        <w:tab w:val="num" w:pos="360"/>
      </w:tabs>
      <w:ind w:left="360" w:hanging="360"/>
    </w:pPr>
    <w:rPr>
      <w:sz w:val="22"/>
      <w:lang w:eastAsia="en-GB"/>
    </w:rPr>
  </w:style>
  <w:style w:type="paragraph" w:customStyle="1" w:styleId="Cover-Title">
    <w:name w:val="Cover - Title"/>
    <w:basedOn w:val="Normal"/>
    <w:rsid w:val="007916A9"/>
    <w:pPr>
      <w:spacing w:after="240"/>
    </w:pPr>
    <w:rPr>
      <w:rFonts w:cs="Arial"/>
      <w:sz w:val="44"/>
      <w:szCs w:val="44"/>
    </w:rPr>
  </w:style>
  <w:style w:type="paragraph" w:styleId="TOC1">
    <w:name w:val="toc 1"/>
    <w:basedOn w:val="Normal"/>
    <w:next w:val="Normal"/>
    <w:autoRedefine/>
    <w:rsid w:val="007916A9"/>
    <w:pPr>
      <w:tabs>
        <w:tab w:val="right" w:leader="dot" w:pos="8636"/>
      </w:tabs>
      <w:spacing w:after="240"/>
    </w:pPr>
    <w:rPr>
      <w:rFonts w:cs="Arial"/>
      <w:szCs w:val="24"/>
    </w:rPr>
  </w:style>
  <w:style w:type="paragraph" w:styleId="TOC2">
    <w:name w:val="toc 2"/>
    <w:basedOn w:val="Normal"/>
    <w:next w:val="Normal"/>
    <w:autoRedefine/>
    <w:rsid w:val="007916A9"/>
    <w:pPr>
      <w:spacing w:after="240"/>
      <w:ind w:left="240"/>
    </w:pPr>
    <w:rPr>
      <w:rFonts w:cs="Arial"/>
      <w:szCs w:val="24"/>
    </w:rPr>
  </w:style>
  <w:style w:type="paragraph" w:styleId="TableofFigures">
    <w:name w:val="table of figures"/>
    <w:basedOn w:val="Normal"/>
    <w:next w:val="Normal"/>
    <w:rsid w:val="007916A9"/>
    <w:pPr>
      <w:spacing w:after="240"/>
      <w:ind w:left="480" w:hanging="480"/>
    </w:pPr>
    <w:rPr>
      <w:rFonts w:cs="Arial"/>
      <w:szCs w:val="24"/>
    </w:rPr>
  </w:style>
  <w:style w:type="character" w:styleId="FollowedHyperlink">
    <w:name w:val="FollowedHyperlink"/>
    <w:rsid w:val="007916A9"/>
    <w:rPr>
      <w:color w:val="800080"/>
      <w:u w:val="single"/>
    </w:rPr>
  </w:style>
  <w:style w:type="paragraph" w:customStyle="1" w:styleId="xl22">
    <w:name w:val="xl22"/>
    <w:basedOn w:val="Normal"/>
    <w:rsid w:val="007916A9"/>
    <w:pPr>
      <w:spacing w:before="100" w:beforeAutospacing="1" w:after="100" w:afterAutospacing="1"/>
    </w:pPr>
    <w:rPr>
      <w:rFonts w:ascii="Times New Roman" w:hAnsi="Times New Roman"/>
      <w:sz w:val="16"/>
      <w:szCs w:val="16"/>
      <w:lang w:eastAsia="en-GB"/>
    </w:rPr>
  </w:style>
  <w:style w:type="paragraph" w:customStyle="1" w:styleId="xl23">
    <w:name w:val="xl23"/>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4">
    <w:name w:val="xl24"/>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Times New Roman" w:hAnsi="Times New Roman"/>
      <w:sz w:val="16"/>
      <w:szCs w:val="16"/>
      <w:lang w:eastAsia="en-GB"/>
    </w:rPr>
  </w:style>
  <w:style w:type="paragraph" w:customStyle="1" w:styleId="xl25">
    <w:name w:val="xl25"/>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6">
    <w:name w:val="xl26"/>
    <w:basedOn w:val="Normal"/>
    <w:rsid w:val="007916A9"/>
    <w:pPr>
      <w:pBdr>
        <w:left w:val="single" w:sz="4" w:space="0" w:color="auto"/>
        <w:bottom w:val="single" w:sz="4" w:space="0" w:color="auto"/>
        <w:right w:val="single" w:sz="4" w:space="0" w:color="auto"/>
      </w:pBdr>
      <w:spacing w:before="100" w:beforeAutospacing="1" w:after="100" w:afterAutospacing="1"/>
    </w:pPr>
    <w:rPr>
      <w:rFonts w:ascii="Times New Roman" w:hAnsi="Times New Roman"/>
      <w:sz w:val="16"/>
      <w:szCs w:val="16"/>
      <w:lang w:eastAsia="en-GB"/>
    </w:rPr>
  </w:style>
  <w:style w:type="paragraph" w:customStyle="1" w:styleId="xl27">
    <w:name w:val="xl27"/>
    <w:basedOn w:val="Normal"/>
    <w:rsid w:val="007916A9"/>
    <w:pPr>
      <w:spacing w:before="100" w:beforeAutospacing="1" w:after="100" w:afterAutospacing="1"/>
      <w:jc w:val="right"/>
    </w:pPr>
    <w:rPr>
      <w:rFonts w:ascii="Times New Roman" w:hAnsi="Times New Roman"/>
      <w:sz w:val="16"/>
      <w:szCs w:val="16"/>
      <w:lang w:eastAsia="en-GB"/>
    </w:rPr>
  </w:style>
  <w:style w:type="paragraph" w:customStyle="1" w:styleId="xl28">
    <w:name w:val="xl28"/>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cs="Arial"/>
      <w:b/>
      <w:bCs/>
      <w:sz w:val="16"/>
      <w:szCs w:val="16"/>
      <w:lang w:eastAsia="en-GB"/>
    </w:rPr>
  </w:style>
  <w:style w:type="paragraph" w:customStyle="1" w:styleId="xl29">
    <w:name w:val="xl29"/>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0">
    <w:name w:val="xl30"/>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sz w:val="16"/>
      <w:szCs w:val="16"/>
      <w:lang w:eastAsia="en-GB"/>
    </w:rPr>
  </w:style>
  <w:style w:type="paragraph" w:customStyle="1" w:styleId="xl31">
    <w:name w:val="xl31"/>
    <w:basedOn w:val="Normal"/>
    <w:rsid w:val="007916A9"/>
    <w:pPr>
      <w:spacing w:before="100" w:beforeAutospacing="1" w:after="100" w:afterAutospacing="1"/>
      <w:jc w:val="right"/>
    </w:pPr>
    <w:rPr>
      <w:rFonts w:ascii="Times New Roman" w:hAnsi="Times New Roman"/>
      <w:b/>
      <w:bCs/>
      <w:sz w:val="16"/>
      <w:szCs w:val="16"/>
      <w:lang w:eastAsia="en-GB"/>
    </w:rPr>
  </w:style>
  <w:style w:type="paragraph" w:customStyle="1" w:styleId="xl32">
    <w:name w:val="xl32"/>
    <w:basedOn w:val="Normal"/>
    <w:rsid w:val="007916A9"/>
    <w:pPr>
      <w:spacing w:before="100" w:beforeAutospacing="1" w:after="100" w:afterAutospacing="1"/>
    </w:pPr>
    <w:rPr>
      <w:rFonts w:ascii="Times New Roman" w:hAnsi="Times New Roman"/>
      <w:b/>
      <w:bCs/>
      <w:sz w:val="16"/>
      <w:szCs w:val="16"/>
      <w:lang w:eastAsia="en-GB"/>
    </w:rPr>
  </w:style>
  <w:style w:type="paragraph" w:customStyle="1" w:styleId="xl33">
    <w:name w:val="xl33"/>
    <w:basedOn w:val="Normal"/>
    <w:rsid w:val="007916A9"/>
    <w:pPr>
      <w:spacing w:before="100" w:beforeAutospacing="1" w:after="100" w:afterAutospacing="1"/>
      <w:jc w:val="center"/>
    </w:pPr>
    <w:rPr>
      <w:rFonts w:ascii="Times New Roman" w:hAnsi="Times New Roman"/>
      <w:b/>
      <w:bCs/>
      <w:sz w:val="16"/>
      <w:szCs w:val="16"/>
      <w:lang w:eastAsia="en-GB"/>
    </w:rPr>
  </w:style>
  <w:style w:type="paragraph" w:customStyle="1" w:styleId="xl34">
    <w:name w:val="xl34"/>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5">
    <w:name w:val="xl35"/>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36">
    <w:name w:val="xl36"/>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cs="Arial"/>
      <w:b/>
      <w:bCs/>
      <w:sz w:val="16"/>
      <w:szCs w:val="16"/>
      <w:lang w:eastAsia="en-GB"/>
    </w:rPr>
  </w:style>
  <w:style w:type="paragraph" w:customStyle="1" w:styleId="xl37">
    <w:name w:val="xl37"/>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New Roman" w:hAnsi="Times New Roman"/>
      <w:b/>
      <w:bCs/>
      <w:sz w:val="16"/>
      <w:szCs w:val="16"/>
      <w:lang w:eastAsia="en-GB"/>
    </w:rPr>
  </w:style>
  <w:style w:type="paragraph" w:customStyle="1" w:styleId="xl38">
    <w:name w:val="xl38"/>
    <w:basedOn w:val="Normal"/>
    <w:rsid w:val="007916A9"/>
    <w:pPr>
      <w:spacing w:before="100" w:beforeAutospacing="1" w:after="100" w:afterAutospacing="1"/>
    </w:pPr>
    <w:rPr>
      <w:rFonts w:cs="Arial"/>
      <w:b/>
      <w:bCs/>
      <w:sz w:val="16"/>
      <w:szCs w:val="16"/>
      <w:lang w:eastAsia="en-GB"/>
    </w:rPr>
  </w:style>
  <w:style w:type="paragraph" w:customStyle="1" w:styleId="xl39">
    <w:name w:val="xl39"/>
    <w:basedOn w:val="Normal"/>
    <w:rsid w:val="007916A9"/>
    <w:pPr>
      <w:pBdr>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0">
    <w:name w:val="xl40"/>
    <w:basedOn w:val="Normal"/>
    <w:rsid w:val="007916A9"/>
    <w:pPr>
      <w:pBdr>
        <w:top w:val="single" w:sz="4" w:space="0" w:color="auto"/>
        <w:left w:val="single" w:sz="4" w:space="0" w:color="auto"/>
        <w:bottom w:val="single" w:sz="4" w:space="0" w:color="auto"/>
        <w:right w:val="single" w:sz="4" w:space="0" w:color="auto"/>
      </w:pBdr>
      <w:spacing w:before="100" w:beforeAutospacing="1" w:after="100" w:afterAutospacing="1"/>
    </w:pPr>
    <w:rPr>
      <w:rFonts w:cs="Arial"/>
      <w:b/>
      <w:bCs/>
      <w:sz w:val="16"/>
      <w:szCs w:val="16"/>
      <w:lang w:eastAsia="en-GB"/>
    </w:rPr>
  </w:style>
  <w:style w:type="paragraph" w:customStyle="1" w:styleId="xl41">
    <w:name w:val="xl41"/>
    <w:basedOn w:val="Normal"/>
    <w:rsid w:val="007916A9"/>
    <w:pPr>
      <w:spacing w:before="100" w:beforeAutospacing="1" w:after="100" w:afterAutospacing="1"/>
    </w:pPr>
    <w:rPr>
      <w:rFonts w:ascii="Times New Roman" w:hAnsi="Times New Roman"/>
      <w:b/>
      <w:bCs/>
      <w:szCs w:val="24"/>
      <w:u w:val="single"/>
      <w:lang w:eastAsia="en-GB"/>
    </w:rPr>
  </w:style>
  <w:style w:type="paragraph" w:customStyle="1" w:styleId="xl42">
    <w:name w:val="xl42"/>
    <w:basedOn w:val="Normal"/>
    <w:rsid w:val="007916A9"/>
    <w:pPr>
      <w:pBdr>
        <w:top w:val="single" w:sz="4" w:space="0" w:color="auto"/>
        <w:left w:val="single" w:sz="4" w:space="0" w:color="auto"/>
        <w:bottom w:val="single" w:sz="4" w:space="0" w:color="auto"/>
        <w:right w:val="single" w:sz="4" w:space="0" w:color="auto"/>
      </w:pBdr>
      <w:shd w:val="clear" w:color="auto" w:fill="FFFF00"/>
      <w:spacing w:before="100" w:beforeAutospacing="1" w:after="100" w:afterAutospacing="1"/>
      <w:jc w:val="center"/>
    </w:pPr>
    <w:rPr>
      <w:rFonts w:ascii="Times New Roman" w:hAnsi="Times New Roman"/>
      <w:sz w:val="16"/>
      <w:szCs w:val="16"/>
      <w:lang w:eastAsia="en-GB"/>
    </w:rPr>
  </w:style>
  <w:style w:type="character" w:customStyle="1" w:styleId="2Char">
    <w:name w:val="2 Char"/>
    <w:aliases w:val="Level 2 Heading Char"/>
    <w:rsid w:val="007916A9"/>
    <w:rPr>
      <w:rFonts w:ascii="Arial" w:hAnsi="Arial"/>
      <w:b/>
      <w:color w:val="000000"/>
      <w:sz w:val="24"/>
      <w:lang w:val="en-GB" w:eastAsia="en-US" w:bidi="ar-SA"/>
    </w:rPr>
  </w:style>
  <w:style w:type="paragraph" w:customStyle="1" w:styleId="font0">
    <w:name w:val="font0"/>
    <w:basedOn w:val="Normal"/>
    <w:rsid w:val="007916A9"/>
    <w:pPr>
      <w:spacing w:before="100" w:beforeAutospacing="1" w:after="100" w:afterAutospacing="1"/>
    </w:pPr>
    <w:rPr>
      <w:rFonts w:cs="Arial"/>
      <w:sz w:val="20"/>
      <w:lang w:eastAsia="en-GB"/>
    </w:rPr>
  </w:style>
  <w:style w:type="paragraph" w:customStyle="1" w:styleId="font5">
    <w:name w:val="font5"/>
    <w:basedOn w:val="Normal"/>
    <w:rsid w:val="007916A9"/>
    <w:pPr>
      <w:spacing w:before="100" w:beforeAutospacing="1" w:after="100" w:afterAutospacing="1"/>
    </w:pPr>
    <w:rPr>
      <w:rFonts w:cs="Arial"/>
      <w:sz w:val="20"/>
      <w:lang w:eastAsia="en-GB"/>
    </w:rPr>
  </w:style>
  <w:style w:type="paragraph" w:customStyle="1" w:styleId="xl43">
    <w:name w:val="xl43"/>
    <w:basedOn w:val="Normal"/>
    <w:rsid w:val="007916A9"/>
    <w:pPr>
      <w:pBdr>
        <w:left w:val="single" w:sz="4" w:space="0" w:color="auto"/>
        <w:right w:val="single" w:sz="4" w:space="0" w:color="auto"/>
      </w:pBdr>
      <w:spacing w:before="100" w:beforeAutospacing="1" w:after="100" w:afterAutospacing="1"/>
      <w:jc w:val="center"/>
    </w:pPr>
    <w:rPr>
      <w:rFonts w:cs="Arial"/>
      <w:b/>
      <w:bCs/>
      <w:szCs w:val="24"/>
      <w:lang w:eastAsia="en-GB"/>
    </w:rPr>
  </w:style>
  <w:style w:type="paragraph" w:customStyle="1" w:styleId="xl44">
    <w:name w:val="xl44"/>
    <w:basedOn w:val="Normal"/>
    <w:rsid w:val="007916A9"/>
    <w:pPr>
      <w:pBdr>
        <w:right w:val="single" w:sz="4" w:space="0" w:color="auto"/>
      </w:pBdr>
      <w:spacing w:before="100" w:beforeAutospacing="1" w:after="100" w:afterAutospacing="1"/>
      <w:jc w:val="center"/>
    </w:pPr>
    <w:rPr>
      <w:rFonts w:cs="Arial"/>
      <w:b/>
      <w:bCs/>
      <w:szCs w:val="24"/>
      <w:lang w:eastAsia="en-GB"/>
    </w:rPr>
  </w:style>
  <w:style w:type="paragraph" w:customStyle="1" w:styleId="xl45">
    <w:name w:val="xl45"/>
    <w:basedOn w:val="Normal"/>
    <w:rsid w:val="007916A9"/>
    <w:pPr>
      <w:shd w:val="clear" w:color="auto" w:fill="C0C0C0"/>
      <w:spacing w:before="100" w:beforeAutospacing="1" w:after="100" w:afterAutospacing="1"/>
    </w:pPr>
    <w:rPr>
      <w:rFonts w:ascii="Times New Roman" w:hAnsi="Times New Roman"/>
      <w:szCs w:val="24"/>
      <w:lang w:eastAsia="en-GB"/>
    </w:rPr>
  </w:style>
  <w:style w:type="paragraph" w:customStyle="1" w:styleId="xl47">
    <w:name w:val="xl47"/>
    <w:basedOn w:val="Normal"/>
    <w:rsid w:val="007916A9"/>
    <w:pPr>
      <w:spacing w:before="100" w:beforeAutospacing="1" w:after="100" w:afterAutospacing="1"/>
    </w:pPr>
    <w:rPr>
      <w:rFonts w:ascii="Monotype Sorts" w:hAnsi="Monotype Sorts"/>
      <w:szCs w:val="24"/>
      <w:lang w:eastAsia="en-GB"/>
    </w:rPr>
  </w:style>
  <w:style w:type="paragraph" w:customStyle="1" w:styleId="xl48">
    <w:name w:val="xl48"/>
    <w:basedOn w:val="Normal"/>
    <w:rsid w:val="007916A9"/>
    <w:pPr>
      <w:spacing w:before="100" w:beforeAutospacing="1" w:after="100" w:afterAutospacing="1"/>
    </w:pPr>
    <w:rPr>
      <w:rFonts w:ascii="Times New Roman" w:hAnsi="Times New Roman"/>
      <w:szCs w:val="24"/>
      <w:lang w:eastAsia="en-GB"/>
    </w:rPr>
  </w:style>
  <w:style w:type="paragraph" w:customStyle="1" w:styleId="xl49">
    <w:name w:val="xl49"/>
    <w:basedOn w:val="Normal"/>
    <w:rsid w:val="007916A9"/>
    <w:pPr>
      <w:pBdr>
        <w:top w:val="single" w:sz="8" w:space="0" w:color="auto"/>
        <w:left w:val="single" w:sz="8" w:space="0" w:color="auto"/>
        <w:right w:val="single" w:sz="4" w:space="0" w:color="auto"/>
      </w:pBdr>
      <w:spacing w:before="100" w:beforeAutospacing="1" w:after="100" w:afterAutospacing="1"/>
    </w:pPr>
    <w:rPr>
      <w:rFonts w:cs="Arial"/>
      <w:b/>
      <w:bCs/>
      <w:szCs w:val="24"/>
      <w:lang w:eastAsia="en-GB"/>
    </w:rPr>
  </w:style>
  <w:style w:type="paragraph" w:customStyle="1" w:styleId="xl50">
    <w:name w:val="xl50"/>
    <w:basedOn w:val="Normal"/>
    <w:rsid w:val="007916A9"/>
    <w:pPr>
      <w:pBdr>
        <w:left w:val="single" w:sz="8" w:space="0" w:color="auto"/>
        <w:right w:val="single" w:sz="4" w:space="0" w:color="auto"/>
      </w:pBdr>
      <w:spacing w:before="100" w:beforeAutospacing="1" w:after="100" w:afterAutospacing="1"/>
      <w:jc w:val="center"/>
    </w:pPr>
    <w:rPr>
      <w:rFonts w:cs="Arial"/>
      <w:b/>
      <w:bCs/>
      <w:szCs w:val="24"/>
      <w:lang w:eastAsia="en-GB"/>
    </w:rPr>
  </w:style>
  <w:style w:type="paragraph" w:customStyle="1" w:styleId="xl51">
    <w:name w:val="xl51"/>
    <w:basedOn w:val="Normal"/>
    <w:rsid w:val="007916A9"/>
    <w:pPr>
      <w:spacing w:before="100" w:beforeAutospacing="1" w:after="100" w:afterAutospacing="1"/>
    </w:pPr>
    <w:rPr>
      <w:rFonts w:cs="Arial"/>
      <w:szCs w:val="24"/>
      <w:lang w:eastAsia="en-GB"/>
    </w:rPr>
  </w:style>
  <w:style w:type="paragraph" w:customStyle="1" w:styleId="xl52">
    <w:name w:val="xl52"/>
    <w:basedOn w:val="Normal"/>
    <w:rsid w:val="007916A9"/>
    <w:pPr>
      <w:spacing w:before="100" w:beforeAutospacing="1" w:after="100" w:afterAutospacing="1"/>
    </w:pPr>
    <w:rPr>
      <w:rFonts w:cs="Arial"/>
      <w:szCs w:val="24"/>
      <w:lang w:eastAsia="en-GB"/>
    </w:rPr>
  </w:style>
  <w:style w:type="paragraph" w:customStyle="1" w:styleId="xl53">
    <w:name w:val="xl53"/>
    <w:basedOn w:val="Normal"/>
    <w:rsid w:val="007916A9"/>
    <w:pPr>
      <w:spacing w:before="100" w:beforeAutospacing="1" w:after="100" w:afterAutospacing="1"/>
      <w:textAlignment w:val="top"/>
    </w:pPr>
    <w:rPr>
      <w:rFonts w:cs="Arial"/>
      <w:szCs w:val="24"/>
      <w:lang w:eastAsia="en-GB"/>
    </w:rPr>
  </w:style>
  <w:style w:type="paragraph" w:customStyle="1" w:styleId="xl54">
    <w:name w:val="xl54"/>
    <w:basedOn w:val="Normal"/>
    <w:rsid w:val="007916A9"/>
    <w:pPr>
      <w:spacing w:before="100" w:beforeAutospacing="1" w:after="100" w:afterAutospacing="1"/>
      <w:jc w:val="center"/>
    </w:pPr>
    <w:rPr>
      <w:rFonts w:ascii="Times New Roman" w:hAnsi="Times New Roman"/>
      <w:szCs w:val="24"/>
      <w:lang w:eastAsia="en-GB"/>
    </w:rPr>
  </w:style>
  <w:style w:type="paragraph" w:customStyle="1" w:styleId="xl55">
    <w:name w:val="xl55"/>
    <w:basedOn w:val="Normal"/>
    <w:rsid w:val="007916A9"/>
    <w:pPr>
      <w:spacing w:before="100" w:beforeAutospacing="1" w:after="100" w:afterAutospacing="1"/>
    </w:pPr>
    <w:rPr>
      <w:rFonts w:cs="Arial"/>
      <w:szCs w:val="24"/>
      <w:lang w:eastAsia="en-GB"/>
    </w:rPr>
  </w:style>
  <w:style w:type="paragraph" w:customStyle="1" w:styleId="xl56">
    <w:name w:val="xl56"/>
    <w:basedOn w:val="Normal"/>
    <w:rsid w:val="007916A9"/>
    <w:pPr>
      <w:spacing w:before="100" w:beforeAutospacing="1" w:after="100" w:afterAutospacing="1"/>
    </w:pPr>
    <w:rPr>
      <w:rFonts w:cs="Arial"/>
      <w:szCs w:val="24"/>
      <w:lang w:eastAsia="en-GB"/>
    </w:rPr>
  </w:style>
  <w:style w:type="paragraph" w:customStyle="1" w:styleId="xl57">
    <w:name w:val="xl57"/>
    <w:basedOn w:val="Normal"/>
    <w:rsid w:val="007916A9"/>
    <w:pPr>
      <w:spacing w:before="100" w:beforeAutospacing="1" w:after="100" w:afterAutospacing="1"/>
      <w:textAlignment w:val="center"/>
    </w:pPr>
    <w:rPr>
      <w:rFonts w:cs="Arial"/>
      <w:szCs w:val="24"/>
      <w:lang w:eastAsia="en-GB"/>
    </w:rPr>
  </w:style>
  <w:style w:type="paragraph" w:customStyle="1" w:styleId="xl58">
    <w:name w:val="xl58"/>
    <w:basedOn w:val="Normal"/>
    <w:rsid w:val="007916A9"/>
    <w:pPr>
      <w:spacing w:before="100" w:beforeAutospacing="1" w:after="100" w:afterAutospacing="1"/>
      <w:textAlignment w:val="center"/>
    </w:pPr>
    <w:rPr>
      <w:rFonts w:cs="Arial"/>
      <w:szCs w:val="24"/>
      <w:lang w:eastAsia="en-GB"/>
    </w:rPr>
  </w:style>
  <w:style w:type="paragraph" w:customStyle="1" w:styleId="xl59">
    <w:name w:val="xl59"/>
    <w:basedOn w:val="Normal"/>
    <w:rsid w:val="007916A9"/>
    <w:pPr>
      <w:spacing w:before="100" w:beforeAutospacing="1" w:after="100" w:afterAutospacing="1"/>
      <w:textAlignment w:val="center"/>
    </w:pPr>
    <w:rPr>
      <w:rFonts w:cs="Arial"/>
      <w:szCs w:val="24"/>
      <w:lang w:eastAsia="en-GB"/>
    </w:rPr>
  </w:style>
  <w:style w:type="paragraph" w:customStyle="1" w:styleId="xl60">
    <w:name w:val="xl60"/>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1">
    <w:name w:val="xl61"/>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2">
    <w:name w:val="xl62"/>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63">
    <w:name w:val="xl63"/>
    <w:basedOn w:val="Normal"/>
    <w:rsid w:val="007916A9"/>
    <w:pPr>
      <w:spacing w:before="100" w:beforeAutospacing="1" w:after="100" w:afterAutospacing="1"/>
      <w:jc w:val="center"/>
      <w:textAlignment w:val="center"/>
    </w:pPr>
    <w:rPr>
      <w:rFonts w:ascii="Times New Roman" w:hAnsi="Times New Roman"/>
      <w:szCs w:val="24"/>
      <w:lang w:eastAsia="en-GB"/>
    </w:rPr>
  </w:style>
  <w:style w:type="paragraph" w:customStyle="1" w:styleId="xl64">
    <w:name w:val="xl64"/>
    <w:basedOn w:val="Normal"/>
    <w:rsid w:val="007916A9"/>
    <w:pPr>
      <w:spacing w:before="100" w:beforeAutospacing="1" w:after="100" w:afterAutospacing="1"/>
      <w:textAlignment w:val="center"/>
    </w:pPr>
    <w:rPr>
      <w:rFonts w:ascii="Monotype Sorts" w:hAnsi="Monotype Sorts"/>
      <w:szCs w:val="24"/>
      <w:lang w:eastAsia="en-GB"/>
    </w:rPr>
  </w:style>
  <w:style w:type="paragraph" w:customStyle="1" w:styleId="xl65">
    <w:name w:val="xl65"/>
    <w:basedOn w:val="Normal"/>
    <w:rsid w:val="007916A9"/>
    <w:pPr>
      <w:spacing w:before="100" w:beforeAutospacing="1" w:after="100" w:afterAutospacing="1"/>
    </w:pPr>
    <w:rPr>
      <w:rFonts w:ascii="Times New Roman" w:hAnsi="Times New Roman"/>
      <w:szCs w:val="24"/>
      <w:lang w:eastAsia="en-GB"/>
    </w:rPr>
  </w:style>
  <w:style w:type="paragraph" w:customStyle="1" w:styleId="xl66">
    <w:name w:val="xl66"/>
    <w:basedOn w:val="Normal"/>
    <w:rsid w:val="007916A9"/>
    <w:pPr>
      <w:spacing w:before="100" w:beforeAutospacing="1" w:after="100" w:afterAutospacing="1"/>
    </w:pPr>
    <w:rPr>
      <w:rFonts w:ascii="Times New Roman" w:hAnsi="Times New Roman"/>
      <w:color w:val="C0C0C0"/>
      <w:szCs w:val="24"/>
      <w:lang w:eastAsia="en-GB"/>
    </w:rPr>
  </w:style>
  <w:style w:type="paragraph" w:customStyle="1" w:styleId="xl67">
    <w:name w:val="xl67"/>
    <w:basedOn w:val="Normal"/>
    <w:rsid w:val="007916A9"/>
    <w:pPr>
      <w:spacing w:before="100" w:beforeAutospacing="1" w:after="100" w:afterAutospacing="1"/>
    </w:pPr>
    <w:rPr>
      <w:rFonts w:ascii="Wingdings 2" w:hAnsi="Wingdings 2"/>
      <w:szCs w:val="24"/>
      <w:lang w:eastAsia="en-GB"/>
    </w:rPr>
  </w:style>
  <w:style w:type="paragraph" w:customStyle="1" w:styleId="xl68">
    <w:name w:val="xl68"/>
    <w:basedOn w:val="Normal"/>
    <w:rsid w:val="007916A9"/>
    <w:pPr>
      <w:spacing w:before="100" w:beforeAutospacing="1" w:after="100" w:afterAutospacing="1"/>
      <w:textAlignment w:val="top"/>
    </w:pPr>
    <w:rPr>
      <w:rFonts w:ascii="Times New Roman" w:hAnsi="Times New Roman"/>
      <w:szCs w:val="24"/>
      <w:lang w:eastAsia="en-GB"/>
    </w:rPr>
  </w:style>
  <w:style w:type="paragraph" w:customStyle="1" w:styleId="xl69">
    <w:name w:val="xl69"/>
    <w:basedOn w:val="Normal"/>
    <w:rsid w:val="007916A9"/>
    <w:pPr>
      <w:spacing w:before="100" w:beforeAutospacing="1" w:after="100" w:afterAutospacing="1"/>
      <w:textAlignment w:val="center"/>
    </w:pPr>
    <w:rPr>
      <w:rFonts w:ascii="Wingdings 2" w:hAnsi="Wingdings 2"/>
      <w:szCs w:val="24"/>
      <w:lang w:eastAsia="en-GB"/>
    </w:rPr>
  </w:style>
  <w:style w:type="paragraph" w:customStyle="1" w:styleId="xl70">
    <w:name w:val="xl70"/>
    <w:basedOn w:val="Normal"/>
    <w:rsid w:val="007916A9"/>
    <w:pPr>
      <w:spacing w:before="100" w:beforeAutospacing="1" w:after="100" w:afterAutospacing="1"/>
      <w:textAlignment w:val="center"/>
    </w:pPr>
    <w:rPr>
      <w:rFonts w:ascii="Times New Roman" w:hAnsi="Times New Roman"/>
      <w:szCs w:val="24"/>
      <w:lang w:eastAsia="en-GB"/>
    </w:rPr>
  </w:style>
  <w:style w:type="paragraph" w:customStyle="1" w:styleId="xl71">
    <w:name w:val="xl71"/>
    <w:basedOn w:val="Normal"/>
    <w:rsid w:val="007916A9"/>
    <w:pPr>
      <w:spacing w:before="100" w:beforeAutospacing="1" w:after="100" w:afterAutospacing="1"/>
      <w:jc w:val="center"/>
      <w:textAlignment w:val="center"/>
    </w:pPr>
    <w:rPr>
      <w:rFonts w:ascii="Times New Roman" w:hAnsi="Times New Roman"/>
      <w:szCs w:val="24"/>
      <w:lang w:eastAsia="en-GB"/>
    </w:rPr>
  </w:style>
  <w:style w:type="paragraph" w:customStyle="1" w:styleId="xl72">
    <w:name w:val="xl72"/>
    <w:basedOn w:val="Normal"/>
    <w:rsid w:val="007916A9"/>
    <w:pPr>
      <w:spacing w:before="100" w:beforeAutospacing="1" w:after="100" w:afterAutospacing="1"/>
      <w:jc w:val="right"/>
    </w:pPr>
    <w:rPr>
      <w:rFonts w:ascii="Times New Roman" w:hAnsi="Times New Roman"/>
      <w:szCs w:val="24"/>
      <w:lang w:eastAsia="en-GB"/>
    </w:rPr>
  </w:style>
  <w:style w:type="paragraph" w:customStyle="1" w:styleId="xl73">
    <w:name w:val="xl73"/>
    <w:basedOn w:val="Normal"/>
    <w:rsid w:val="007916A9"/>
    <w:pPr>
      <w:spacing w:before="100" w:beforeAutospacing="1" w:after="100" w:afterAutospacing="1"/>
    </w:pPr>
    <w:rPr>
      <w:rFonts w:ascii="Times New Roman" w:hAnsi="Times New Roman"/>
      <w:color w:val="0000FF"/>
      <w:szCs w:val="24"/>
      <w:lang w:eastAsia="en-GB"/>
    </w:rPr>
  </w:style>
  <w:style w:type="paragraph" w:customStyle="1" w:styleId="xl74">
    <w:name w:val="xl74"/>
    <w:basedOn w:val="Normal"/>
    <w:rsid w:val="007916A9"/>
    <w:pPr>
      <w:spacing w:before="100" w:beforeAutospacing="1" w:after="100" w:afterAutospacing="1"/>
    </w:pPr>
    <w:rPr>
      <w:rFonts w:ascii="Times New Roman" w:hAnsi="Times New Roman"/>
      <w:szCs w:val="24"/>
      <w:lang w:eastAsia="en-GB"/>
    </w:rPr>
  </w:style>
  <w:style w:type="paragraph" w:customStyle="1" w:styleId="xl75">
    <w:name w:val="xl75"/>
    <w:basedOn w:val="Normal"/>
    <w:rsid w:val="007916A9"/>
    <w:pPr>
      <w:spacing w:before="100" w:beforeAutospacing="1" w:after="100" w:afterAutospacing="1"/>
    </w:pPr>
    <w:rPr>
      <w:rFonts w:ascii="Wingdings" w:hAnsi="Wingdings"/>
      <w:szCs w:val="24"/>
      <w:lang w:eastAsia="en-GB"/>
    </w:rPr>
  </w:style>
  <w:style w:type="paragraph" w:customStyle="1" w:styleId="xl76">
    <w:name w:val="xl76"/>
    <w:basedOn w:val="Normal"/>
    <w:rsid w:val="007916A9"/>
    <w:pPr>
      <w:spacing w:before="100" w:beforeAutospacing="1" w:after="100" w:afterAutospacing="1"/>
    </w:pPr>
    <w:rPr>
      <w:rFonts w:cs="Arial"/>
      <w:szCs w:val="24"/>
      <w:lang w:eastAsia="en-GB"/>
    </w:rPr>
  </w:style>
  <w:style w:type="paragraph" w:customStyle="1" w:styleId="xl77">
    <w:name w:val="xl77"/>
    <w:basedOn w:val="Normal"/>
    <w:rsid w:val="007916A9"/>
    <w:pPr>
      <w:shd w:val="clear" w:color="auto" w:fill="C0C0C0"/>
      <w:spacing w:before="100" w:beforeAutospacing="1" w:after="100" w:afterAutospacing="1"/>
    </w:pPr>
    <w:rPr>
      <w:rFonts w:ascii="Wingdings" w:hAnsi="Wingdings"/>
      <w:szCs w:val="24"/>
      <w:lang w:eastAsia="en-GB"/>
    </w:rPr>
  </w:style>
  <w:style w:type="paragraph" w:customStyle="1" w:styleId="xl78">
    <w:name w:val="xl78"/>
    <w:basedOn w:val="Normal"/>
    <w:rsid w:val="007916A9"/>
    <w:pPr>
      <w:shd w:val="clear" w:color="auto" w:fill="C0C0C0"/>
      <w:spacing w:before="100" w:beforeAutospacing="1" w:after="100" w:afterAutospacing="1"/>
    </w:pPr>
    <w:rPr>
      <w:rFonts w:ascii="Times New Roman" w:hAnsi="Times New Roman"/>
      <w:szCs w:val="24"/>
      <w:lang w:eastAsia="en-GB"/>
    </w:rPr>
  </w:style>
  <w:style w:type="paragraph" w:customStyle="1" w:styleId="xl79">
    <w:name w:val="xl79"/>
    <w:basedOn w:val="Normal"/>
    <w:rsid w:val="007916A9"/>
    <w:pPr>
      <w:shd w:val="clear" w:color="auto" w:fill="C0C0C0"/>
      <w:spacing w:before="100" w:beforeAutospacing="1" w:after="100" w:afterAutospacing="1"/>
    </w:pPr>
    <w:rPr>
      <w:rFonts w:cs="Arial"/>
      <w:szCs w:val="24"/>
      <w:lang w:eastAsia="en-GB"/>
    </w:rPr>
  </w:style>
  <w:style w:type="paragraph" w:customStyle="1" w:styleId="xl80">
    <w:name w:val="xl80"/>
    <w:basedOn w:val="Normal"/>
    <w:rsid w:val="007916A9"/>
    <w:pPr>
      <w:spacing w:before="100" w:beforeAutospacing="1" w:after="100" w:afterAutospacing="1"/>
      <w:textAlignment w:val="center"/>
    </w:pPr>
    <w:rPr>
      <w:rFonts w:cs="Arial"/>
      <w:sz w:val="22"/>
      <w:szCs w:val="22"/>
      <w:lang w:eastAsia="en-GB"/>
    </w:rPr>
  </w:style>
  <w:style w:type="paragraph" w:customStyle="1" w:styleId="xl81">
    <w:name w:val="xl81"/>
    <w:basedOn w:val="Normal"/>
    <w:rsid w:val="007916A9"/>
    <w:pPr>
      <w:spacing w:before="100" w:beforeAutospacing="1" w:after="100" w:afterAutospacing="1"/>
    </w:pPr>
    <w:rPr>
      <w:rFonts w:cs="Arial"/>
      <w:sz w:val="22"/>
      <w:szCs w:val="22"/>
      <w:lang w:eastAsia="en-GB"/>
    </w:rPr>
  </w:style>
  <w:style w:type="paragraph" w:customStyle="1" w:styleId="xl82">
    <w:name w:val="xl82"/>
    <w:basedOn w:val="Normal"/>
    <w:rsid w:val="007916A9"/>
    <w:pPr>
      <w:spacing w:before="100" w:beforeAutospacing="1" w:after="100" w:afterAutospacing="1"/>
    </w:pPr>
    <w:rPr>
      <w:rFonts w:ascii="Times New Roman" w:hAnsi="Times New Roman"/>
      <w:szCs w:val="24"/>
      <w:lang w:eastAsia="en-GB"/>
    </w:rPr>
  </w:style>
  <w:style w:type="paragraph" w:customStyle="1" w:styleId="xl83">
    <w:name w:val="xl83"/>
    <w:basedOn w:val="Normal"/>
    <w:rsid w:val="007916A9"/>
    <w:pPr>
      <w:spacing w:before="100" w:beforeAutospacing="1" w:after="100" w:afterAutospacing="1"/>
      <w:jc w:val="center"/>
    </w:pPr>
    <w:rPr>
      <w:rFonts w:ascii="Times New Roman" w:hAnsi="Times New Roman"/>
      <w:szCs w:val="24"/>
      <w:lang w:eastAsia="en-GB"/>
    </w:rPr>
  </w:style>
  <w:style w:type="paragraph" w:styleId="NormalWeb">
    <w:name w:val="Normal (Web)"/>
    <w:basedOn w:val="Normal"/>
    <w:rsid w:val="007916A9"/>
    <w:pPr>
      <w:spacing w:before="100" w:beforeAutospacing="1" w:after="100" w:afterAutospacing="1"/>
    </w:pPr>
    <w:rPr>
      <w:rFonts w:ascii="Times New Roman" w:hAnsi="Times New Roman"/>
      <w:szCs w:val="24"/>
      <w:lang w:eastAsia="en-GB"/>
    </w:rPr>
  </w:style>
  <w:style w:type="character" w:styleId="Emphasis">
    <w:name w:val="Emphasis"/>
    <w:qFormat/>
    <w:rsid w:val="007916A9"/>
    <w:rPr>
      <w:i/>
      <w:iCs/>
    </w:rPr>
  </w:style>
  <w:style w:type="paragraph" w:customStyle="1" w:styleId="Body">
    <w:name w:val="Body"/>
    <w:basedOn w:val="Normal"/>
    <w:rsid w:val="007916A9"/>
    <w:pPr>
      <w:spacing w:after="160"/>
      <w:ind w:left="720" w:right="720"/>
      <w:jc w:val="both"/>
    </w:pPr>
    <w:rPr>
      <w:rFonts w:ascii="Century Schoolbook" w:hAnsi="Century Schoolbook"/>
      <w:lang w:eastAsia="en-GB"/>
    </w:rPr>
  </w:style>
  <w:style w:type="paragraph" w:customStyle="1" w:styleId="Body3">
    <w:name w:val="Body 3"/>
    <w:basedOn w:val="Body"/>
    <w:rsid w:val="007916A9"/>
    <w:pPr>
      <w:spacing w:after="240"/>
      <w:ind w:left="1701" w:right="0"/>
    </w:pPr>
    <w:rPr>
      <w:rFonts w:ascii="Arial" w:hAnsi="Arial" w:cs="Arial"/>
      <w:sz w:val="20"/>
    </w:rPr>
  </w:style>
  <w:style w:type="paragraph" w:customStyle="1" w:styleId="Body0">
    <w:name w:val="Body*"/>
    <w:rsid w:val="007916A9"/>
    <w:pPr>
      <w:keepLines/>
      <w:spacing w:line="320" w:lineRule="exact"/>
      <w:ind w:right="850"/>
      <w:jc w:val="both"/>
    </w:pPr>
    <w:rPr>
      <w:rFonts w:ascii="Perpetua" w:hAnsi="Perpetua"/>
      <w:noProof/>
      <w:sz w:val="26"/>
    </w:rPr>
  </w:style>
  <w:style w:type="paragraph" w:customStyle="1" w:styleId="Bullet1">
    <w:name w:val="Bullet 1"/>
    <w:basedOn w:val="Normal"/>
    <w:link w:val="Bullet1Char"/>
    <w:rsid w:val="007916A9"/>
    <w:pPr>
      <w:keepLines/>
      <w:tabs>
        <w:tab w:val="num" w:pos="794"/>
      </w:tabs>
      <w:spacing w:before="100"/>
      <w:ind w:left="794" w:hanging="397"/>
    </w:pPr>
    <w:rPr>
      <w:szCs w:val="24"/>
      <w:lang w:eastAsia="en-GB"/>
    </w:rPr>
  </w:style>
  <w:style w:type="character" w:customStyle="1" w:styleId="Bullet1Char">
    <w:name w:val="Bullet 1 Char"/>
    <w:link w:val="Bullet1"/>
    <w:rsid w:val="007916A9"/>
    <w:rPr>
      <w:rFonts w:ascii="Arial" w:hAnsi="Arial"/>
      <w:sz w:val="24"/>
      <w:szCs w:val="24"/>
    </w:rPr>
  </w:style>
  <w:style w:type="paragraph" w:styleId="TOC3">
    <w:name w:val="toc 3"/>
    <w:basedOn w:val="Normal"/>
    <w:next w:val="Normal"/>
    <w:autoRedefine/>
    <w:rsid w:val="007916A9"/>
    <w:pPr>
      <w:ind w:left="480"/>
    </w:pPr>
  </w:style>
  <w:style w:type="paragraph" w:styleId="NoSpacing">
    <w:name w:val="No Spacing"/>
    <w:link w:val="NoSpacingChar"/>
    <w:qFormat/>
    <w:rsid w:val="007916A9"/>
    <w:rPr>
      <w:rFonts w:ascii="Calibri" w:eastAsia="Calibri" w:hAnsi="Calibri"/>
      <w:sz w:val="22"/>
      <w:szCs w:val="22"/>
      <w:lang w:val="en-US" w:eastAsia="en-US"/>
    </w:rPr>
  </w:style>
  <w:style w:type="character" w:customStyle="1" w:styleId="NoSpacingChar">
    <w:name w:val="No Spacing Char"/>
    <w:link w:val="NoSpacing"/>
    <w:locked/>
    <w:rsid w:val="007916A9"/>
    <w:rPr>
      <w:rFonts w:ascii="Calibri" w:eastAsia="Calibri" w:hAnsi="Calibri"/>
      <w:sz w:val="22"/>
      <w:szCs w:val="22"/>
      <w:lang w:val="en-US" w:eastAsia="en-US"/>
    </w:rPr>
  </w:style>
  <w:style w:type="paragraph" w:styleId="TOCHeading">
    <w:name w:val="TOC Heading"/>
    <w:basedOn w:val="Heading1"/>
    <w:next w:val="Normal"/>
    <w:qFormat/>
    <w:rsid w:val="007916A9"/>
    <w:pPr>
      <w:keepLines/>
      <w:spacing w:before="480" w:line="276" w:lineRule="auto"/>
      <w:ind w:left="0" w:firstLine="0"/>
      <w:jc w:val="left"/>
      <w:outlineLvl w:val="9"/>
    </w:pPr>
    <w:rPr>
      <w:rFonts w:ascii="Cambria" w:eastAsia="Calibri" w:hAnsi="Cambria"/>
      <w:bCs/>
      <w:color w:val="365F91"/>
      <w:sz w:val="28"/>
      <w:szCs w:val="28"/>
      <w:lang w:val="en-US"/>
    </w:rPr>
  </w:style>
  <w:style w:type="paragraph" w:customStyle="1" w:styleId="Bullets">
    <w:name w:val="Bullets"/>
    <w:basedOn w:val="BodyText"/>
    <w:rsid w:val="007916A9"/>
    <w:pPr>
      <w:tabs>
        <w:tab w:val="left" w:pos="648"/>
        <w:tab w:val="left" w:pos="936"/>
      </w:tabs>
      <w:spacing w:after="360"/>
      <w:jc w:val="both"/>
    </w:pPr>
    <w:rPr>
      <w:rFonts w:ascii="Garamond" w:eastAsia="Calibri" w:hAnsi="Garamond"/>
      <w:sz w:val="24"/>
      <w:lang w:eastAsia="en-GB"/>
    </w:rPr>
  </w:style>
  <w:style w:type="paragraph" w:styleId="CommentText">
    <w:name w:val="annotation text"/>
    <w:basedOn w:val="Normal"/>
    <w:link w:val="CommentTextChar"/>
    <w:rsid w:val="007916A9"/>
    <w:rPr>
      <w:sz w:val="20"/>
    </w:rPr>
  </w:style>
  <w:style w:type="character" w:customStyle="1" w:styleId="CommentTextChar">
    <w:name w:val="Comment Text Char"/>
    <w:basedOn w:val="DefaultParagraphFont"/>
    <w:link w:val="CommentText"/>
    <w:rsid w:val="007916A9"/>
    <w:rPr>
      <w:rFonts w:ascii="Arial" w:hAnsi="Arial"/>
      <w:lang w:eastAsia="en-US"/>
    </w:rPr>
  </w:style>
  <w:style w:type="paragraph" w:customStyle="1" w:styleId="maf">
    <w:name w:val="maf"/>
    <w:basedOn w:val="Default"/>
    <w:next w:val="Default"/>
    <w:rsid w:val="007916A9"/>
    <w:rPr>
      <w:rFonts w:ascii="Times New Roman" w:eastAsia="Calibri" w:hAnsi="Times New Roman" w:cs="Times New Roman"/>
      <w:color w:val="auto"/>
      <w:lang w:val="en-US" w:eastAsia="en-US"/>
    </w:rPr>
  </w:style>
  <w:style w:type="character" w:customStyle="1" w:styleId="Hyperlink8">
    <w:name w:val="Hyperlink8"/>
    <w:rsid w:val="007916A9"/>
    <w:rPr>
      <w:rFonts w:cs="Times New Roman"/>
      <w:b/>
      <w:bCs/>
      <w:color w:val="336699"/>
      <w:u w:val="none"/>
      <w:effect w:val="none"/>
    </w:rPr>
  </w:style>
  <w:style w:type="paragraph" w:customStyle="1" w:styleId="Question">
    <w:name w:val="Question"/>
    <w:basedOn w:val="Normal"/>
    <w:rsid w:val="007916A9"/>
    <w:pPr>
      <w:tabs>
        <w:tab w:val="num" w:pos="709"/>
      </w:tabs>
      <w:spacing w:before="160" w:after="100"/>
      <w:ind w:left="709" w:hanging="567"/>
    </w:pPr>
    <w:rPr>
      <w:rFonts w:eastAsia="Calibri"/>
      <w:b/>
      <w:sz w:val="21"/>
    </w:rPr>
  </w:style>
  <w:style w:type="paragraph" w:customStyle="1" w:styleId="Section">
    <w:name w:val="Section"/>
    <w:basedOn w:val="Question"/>
    <w:rsid w:val="007916A9"/>
    <w:pPr>
      <w:spacing w:before="360" w:after="0"/>
    </w:pPr>
    <w:rPr>
      <w:caps/>
      <w:sz w:val="25"/>
    </w:rPr>
  </w:style>
  <w:style w:type="paragraph" w:customStyle="1" w:styleId="QuestionFollowup">
    <w:name w:val="Question Followup"/>
    <w:basedOn w:val="Question"/>
    <w:rsid w:val="007916A9"/>
    <w:pPr>
      <w:numPr>
        <w:ilvl w:val="2"/>
      </w:numPr>
      <w:tabs>
        <w:tab w:val="num" w:pos="709"/>
      </w:tabs>
      <w:ind w:left="709" w:hanging="567"/>
    </w:pPr>
  </w:style>
  <w:style w:type="paragraph" w:customStyle="1" w:styleId="Appendixhead">
    <w:name w:val="Appendix head"/>
    <w:basedOn w:val="Heading1"/>
    <w:next w:val="Normal"/>
    <w:rsid w:val="007916A9"/>
    <w:pPr>
      <w:keepNext w:val="0"/>
      <w:pageBreakBefore/>
      <w:tabs>
        <w:tab w:val="left" w:pos="1021"/>
        <w:tab w:val="num" w:pos="1800"/>
      </w:tabs>
      <w:spacing w:after="1080"/>
      <w:ind w:left="431" w:hanging="431"/>
      <w:jc w:val="both"/>
      <w:outlineLvl w:val="9"/>
    </w:pPr>
    <w:rPr>
      <w:rFonts w:ascii="Verdana" w:eastAsia="Calibri" w:hAnsi="Verdana"/>
      <w:kern w:val="28"/>
      <w:sz w:val="32"/>
      <w:szCs w:val="24"/>
    </w:rPr>
  </w:style>
  <w:style w:type="paragraph" w:customStyle="1" w:styleId="Appendixtext">
    <w:name w:val="Appendix text"/>
    <w:basedOn w:val="Heading2"/>
    <w:rsid w:val="007916A9"/>
    <w:pPr>
      <w:keepNext w:val="0"/>
      <w:keepLines/>
      <w:tabs>
        <w:tab w:val="num" w:pos="576"/>
        <w:tab w:val="left" w:pos="1021"/>
        <w:tab w:val="num" w:pos="1152"/>
      </w:tabs>
      <w:spacing w:before="240" w:after="60"/>
      <w:ind w:left="578" w:hanging="578"/>
      <w:jc w:val="both"/>
    </w:pPr>
    <w:rPr>
      <w:rFonts w:ascii="Verdana" w:eastAsia="Calibri" w:hAnsi="Verdana" w:cs="Arial"/>
      <w:b w:val="0"/>
      <w:bCs/>
      <w:iCs/>
      <w:color w:val="auto"/>
      <w:sz w:val="22"/>
      <w:szCs w:val="28"/>
      <w:lang w:val="en-US"/>
    </w:rPr>
  </w:style>
  <w:style w:type="paragraph" w:customStyle="1" w:styleId="bulletscs1">
    <w:name w:val="bullet scs1"/>
    <w:basedOn w:val="Normal"/>
    <w:rsid w:val="007916A9"/>
    <w:pPr>
      <w:tabs>
        <w:tab w:val="left" w:pos="907"/>
      </w:tabs>
      <w:spacing w:after="120"/>
      <w:ind w:right="658"/>
    </w:pPr>
    <w:rPr>
      <w:rFonts w:eastAsia="Calibri"/>
      <w:sz w:val="22"/>
      <w:szCs w:val="24"/>
    </w:rPr>
  </w:style>
  <w:style w:type="paragraph" w:customStyle="1" w:styleId="wfxRecipient">
    <w:name w:val="wfxRecipient"/>
    <w:basedOn w:val="Normal"/>
    <w:rsid w:val="007916A9"/>
    <w:rPr>
      <w:rFonts w:ascii="Times New Roman" w:eastAsia="Calibri" w:hAnsi="Times New Roman"/>
      <w:szCs w:val="24"/>
    </w:rPr>
  </w:style>
  <w:style w:type="paragraph" w:customStyle="1" w:styleId="Tabledata">
    <w:name w:val="Table data"/>
    <w:basedOn w:val="Normal"/>
    <w:rsid w:val="007916A9"/>
    <w:pPr>
      <w:ind w:right="113"/>
      <w:jc w:val="right"/>
    </w:pPr>
    <w:rPr>
      <w:rFonts w:eastAsia="Calibri"/>
      <w:color w:val="000000"/>
      <w:sz w:val="22"/>
      <w:szCs w:val="24"/>
    </w:rPr>
  </w:style>
  <w:style w:type="paragraph" w:customStyle="1" w:styleId="Appendixhead2">
    <w:name w:val="Appendixhead2"/>
    <w:basedOn w:val="Heading2"/>
    <w:rsid w:val="007916A9"/>
    <w:pPr>
      <w:keepNext w:val="0"/>
      <w:keepLines/>
      <w:tabs>
        <w:tab w:val="left" w:pos="1021"/>
      </w:tabs>
      <w:spacing w:before="120" w:after="120"/>
      <w:ind w:left="142" w:hanging="708"/>
      <w:jc w:val="both"/>
      <w:outlineLvl w:val="9"/>
    </w:pPr>
    <w:rPr>
      <w:rFonts w:ascii="Verdana" w:eastAsia="Calibri" w:hAnsi="Verdana"/>
      <w:b w:val="0"/>
      <w:i/>
      <w:noProof/>
      <w:color w:val="auto"/>
      <w:sz w:val="24"/>
      <w:szCs w:val="24"/>
      <w:u w:val="single"/>
      <w:lang w:val="en-US"/>
    </w:rPr>
  </w:style>
  <w:style w:type="paragraph" w:customStyle="1" w:styleId="TABLEHEADING">
    <w:name w:val="TABLE HEADING"/>
    <w:basedOn w:val="Normal"/>
    <w:rsid w:val="007916A9"/>
    <w:rPr>
      <w:rFonts w:ascii="Times New Roman" w:eastAsia="Calibri" w:hAnsi="Times New Roman"/>
      <w:b/>
      <w:szCs w:val="24"/>
    </w:rPr>
  </w:style>
  <w:style w:type="paragraph" w:customStyle="1" w:styleId="cncont">
    <w:name w:val="cn_cont"/>
    <w:basedOn w:val="Normal"/>
    <w:rsid w:val="007916A9"/>
    <w:pPr>
      <w:spacing w:before="100" w:beforeAutospacing="1" w:after="100" w:afterAutospacing="1"/>
    </w:pPr>
    <w:rPr>
      <w:rFonts w:ascii="Verdana" w:eastAsia="Calibri" w:hAnsi="Verdana"/>
      <w:color w:val="000066"/>
      <w:sz w:val="18"/>
      <w:szCs w:val="18"/>
      <w:lang w:val="en-US"/>
    </w:rPr>
  </w:style>
  <w:style w:type="paragraph" w:styleId="TOC4">
    <w:name w:val="toc 4"/>
    <w:basedOn w:val="Normal"/>
    <w:next w:val="Normal"/>
    <w:autoRedefine/>
    <w:rsid w:val="007916A9"/>
    <w:pPr>
      <w:spacing w:after="100" w:line="276" w:lineRule="auto"/>
      <w:ind w:left="660"/>
    </w:pPr>
    <w:rPr>
      <w:rFonts w:ascii="Calibri" w:eastAsia="Calibri" w:hAnsi="Calibri"/>
      <w:sz w:val="22"/>
      <w:szCs w:val="22"/>
      <w:lang w:eastAsia="en-GB"/>
    </w:rPr>
  </w:style>
  <w:style w:type="paragraph" w:styleId="TOC5">
    <w:name w:val="toc 5"/>
    <w:basedOn w:val="Normal"/>
    <w:next w:val="Normal"/>
    <w:autoRedefine/>
    <w:rsid w:val="007916A9"/>
    <w:pPr>
      <w:spacing w:after="100" w:line="276" w:lineRule="auto"/>
      <w:ind w:left="880"/>
    </w:pPr>
    <w:rPr>
      <w:rFonts w:ascii="Calibri" w:eastAsia="Calibri" w:hAnsi="Calibri"/>
      <w:sz w:val="22"/>
      <w:szCs w:val="22"/>
      <w:lang w:eastAsia="en-GB"/>
    </w:rPr>
  </w:style>
  <w:style w:type="paragraph" w:styleId="TOC6">
    <w:name w:val="toc 6"/>
    <w:basedOn w:val="Normal"/>
    <w:next w:val="Normal"/>
    <w:autoRedefine/>
    <w:rsid w:val="007916A9"/>
    <w:pPr>
      <w:spacing w:after="100" w:line="276" w:lineRule="auto"/>
      <w:ind w:left="1100"/>
    </w:pPr>
    <w:rPr>
      <w:rFonts w:ascii="Calibri" w:eastAsia="Calibri" w:hAnsi="Calibri"/>
      <w:sz w:val="22"/>
      <w:szCs w:val="22"/>
      <w:lang w:eastAsia="en-GB"/>
    </w:rPr>
  </w:style>
  <w:style w:type="paragraph" w:styleId="TOC7">
    <w:name w:val="toc 7"/>
    <w:basedOn w:val="Normal"/>
    <w:next w:val="Normal"/>
    <w:autoRedefine/>
    <w:rsid w:val="007916A9"/>
    <w:pPr>
      <w:spacing w:after="100" w:line="276" w:lineRule="auto"/>
      <w:ind w:left="1320"/>
    </w:pPr>
    <w:rPr>
      <w:rFonts w:ascii="Calibri" w:eastAsia="Calibri" w:hAnsi="Calibri"/>
      <w:sz w:val="22"/>
      <w:szCs w:val="22"/>
      <w:lang w:eastAsia="en-GB"/>
    </w:rPr>
  </w:style>
  <w:style w:type="paragraph" w:styleId="TOC8">
    <w:name w:val="toc 8"/>
    <w:basedOn w:val="Normal"/>
    <w:next w:val="Normal"/>
    <w:autoRedefine/>
    <w:rsid w:val="007916A9"/>
    <w:pPr>
      <w:spacing w:after="100" w:line="276" w:lineRule="auto"/>
      <w:ind w:left="1540"/>
    </w:pPr>
    <w:rPr>
      <w:rFonts w:ascii="Calibri" w:eastAsia="Calibri" w:hAnsi="Calibri"/>
      <w:sz w:val="22"/>
      <w:szCs w:val="22"/>
      <w:lang w:eastAsia="en-GB"/>
    </w:rPr>
  </w:style>
  <w:style w:type="paragraph" w:styleId="TOC9">
    <w:name w:val="toc 9"/>
    <w:basedOn w:val="Normal"/>
    <w:next w:val="Normal"/>
    <w:autoRedefine/>
    <w:rsid w:val="007916A9"/>
    <w:pPr>
      <w:spacing w:after="100" w:line="276" w:lineRule="auto"/>
      <w:ind w:left="1760"/>
    </w:pPr>
    <w:rPr>
      <w:rFonts w:ascii="Calibri" w:eastAsia="Calibri" w:hAnsi="Calibri"/>
      <w:sz w:val="22"/>
      <w:szCs w:val="22"/>
      <w:lang w:eastAsia="en-GB"/>
    </w:rPr>
  </w:style>
  <w:style w:type="character" w:customStyle="1" w:styleId="subhead21">
    <w:name w:val="subhead21"/>
    <w:rsid w:val="007916A9"/>
    <w:rPr>
      <w:rFonts w:ascii="Arial" w:hAnsi="Arial" w:cs="Arial"/>
      <w:b/>
      <w:bCs/>
      <w:color w:val="559EDA"/>
      <w:sz w:val="22"/>
      <w:szCs w:val="22"/>
    </w:rPr>
  </w:style>
  <w:style w:type="paragraph" w:customStyle="1" w:styleId="Style1">
    <w:name w:val="Style1"/>
    <w:basedOn w:val="Heading1"/>
    <w:rsid w:val="007916A9"/>
    <w:pPr>
      <w:spacing w:before="240" w:after="60"/>
      <w:ind w:left="0" w:firstLine="0"/>
      <w:jc w:val="left"/>
    </w:pPr>
    <w:rPr>
      <w:rFonts w:ascii="FoundryFormSans-Book" w:eastAsia="Calibri" w:hAnsi="FoundryFormSans-Book" w:cs="FoundryFormSans-Book"/>
      <w:bCs/>
      <w:color w:val="008000"/>
      <w:kern w:val="32"/>
      <w:sz w:val="40"/>
      <w:szCs w:val="40"/>
      <w:lang w:val="en-US"/>
    </w:rPr>
  </w:style>
  <w:style w:type="paragraph" w:customStyle="1" w:styleId="tabs">
    <w:name w:val="tabs"/>
    <w:basedOn w:val="Normal"/>
    <w:next w:val="Normal"/>
    <w:rsid w:val="007916A9"/>
    <w:rPr>
      <w:rFonts w:ascii="Garamond" w:eastAsia="Calibri" w:hAnsi="Garamond"/>
      <w:sz w:val="22"/>
      <w:lang w:eastAsia="en-GB"/>
    </w:rPr>
  </w:style>
  <w:style w:type="paragraph" w:customStyle="1" w:styleId="Heading2NonTOC">
    <w:name w:val="Heading 2 Non TOC"/>
    <w:basedOn w:val="BodyText"/>
    <w:next w:val="BodyText"/>
    <w:rsid w:val="007916A9"/>
    <w:pPr>
      <w:keepNext/>
      <w:spacing w:after="120"/>
    </w:pPr>
    <w:rPr>
      <w:rFonts w:ascii="RotisSansSerifExtraBold" w:eastAsia="Calibri" w:hAnsi="RotisSansSerifExtraBold"/>
      <w:sz w:val="32"/>
      <w:lang w:eastAsia="en-GB"/>
    </w:rPr>
  </w:style>
  <w:style w:type="character" w:customStyle="1" w:styleId="CharChar11">
    <w:name w:val="Char Char11"/>
    <w:rsid w:val="007916A9"/>
    <w:rPr>
      <w:rFonts w:ascii="Arial" w:eastAsia="Times New Roman" w:hAnsi="Arial" w:cs="Arial"/>
      <w:b/>
      <w:bCs/>
      <w:i/>
      <w:iCs/>
      <w:sz w:val="28"/>
      <w:szCs w:val="28"/>
      <w:lang w:eastAsia="en-GB"/>
    </w:rPr>
  </w:style>
  <w:style w:type="character" w:customStyle="1" w:styleId="CharChar7">
    <w:name w:val="Char Char7"/>
    <w:rsid w:val="007916A9"/>
    <w:rPr>
      <w:rFonts w:ascii="Novarese Medium" w:eastAsia="Times New Roman" w:hAnsi="Novarese Medium" w:cs="Tahoma"/>
      <w:b/>
      <w:bCs/>
      <w:spacing w:val="-3"/>
      <w:sz w:val="24"/>
      <w:szCs w:val="24"/>
    </w:rPr>
  </w:style>
  <w:style w:type="character" w:customStyle="1" w:styleId="CharChar6">
    <w:name w:val="Char Char6"/>
    <w:rsid w:val="007916A9"/>
    <w:rPr>
      <w:rFonts w:ascii="Times New Roman" w:eastAsia="Times New Roman" w:hAnsi="Times New Roman" w:cs="Times New Roman"/>
      <w:sz w:val="24"/>
      <w:szCs w:val="24"/>
      <w:lang w:eastAsia="en-GB"/>
    </w:rPr>
  </w:style>
  <w:style w:type="character" w:customStyle="1" w:styleId="CharChar4">
    <w:name w:val="Char Char4"/>
    <w:rsid w:val="007916A9"/>
    <w:rPr>
      <w:rFonts w:ascii="Times New Roman" w:eastAsia="Times New Roman" w:hAnsi="Times New Roman" w:cs="Times New Roman"/>
      <w:sz w:val="24"/>
      <w:szCs w:val="24"/>
      <w:lang w:eastAsia="en-GB"/>
    </w:rPr>
  </w:style>
  <w:style w:type="character" w:customStyle="1" w:styleId="CharChar12">
    <w:name w:val="Char Char12"/>
    <w:rsid w:val="007916A9"/>
    <w:rPr>
      <w:rFonts w:ascii="Cambria" w:eastAsia="Times New Roman" w:hAnsi="Cambria" w:cs="Times New Roman"/>
      <w:b/>
      <w:bCs/>
      <w:color w:val="365F91"/>
      <w:sz w:val="28"/>
      <w:szCs w:val="28"/>
      <w:lang w:eastAsia="en-GB"/>
    </w:rPr>
  </w:style>
  <w:style w:type="character" w:customStyle="1" w:styleId="CharChar10">
    <w:name w:val="Char Char10"/>
    <w:rsid w:val="007916A9"/>
    <w:rPr>
      <w:rFonts w:ascii="Arial" w:eastAsia="Times New Roman" w:hAnsi="Arial" w:cs="Arial"/>
      <w:b/>
      <w:bCs/>
      <w:sz w:val="26"/>
      <w:szCs w:val="26"/>
      <w:lang w:eastAsia="en-GB"/>
    </w:rPr>
  </w:style>
  <w:style w:type="character" w:customStyle="1" w:styleId="CharChar9">
    <w:name w:val="Char Char9"/>
    <w:rsid w:val="007916A9"/>
    <w:rPr>
      <w:rFonts w:ascii="Times New Roman" w:eastAsia="Times New Roman" w:hAnsi="Times New Roman" w:cs="Times New Roman"/>
      <w:i/>
      <w:iCs/>
      <w:sz w:val="24"/>
      <w:szCs w:val="24"/>
      <w:lang w:eastAsia="en-GB"/>
    </w:rPr>
  </w:style>
  <w:style w:type="character" w:customStyle="1" w:styleId="CharChar2">
    <w:name w:val="Char Char2"/>
    <w:rsid w:val="007916A9"/>
    <w:rPr>
      <w:rFonts w:ascii="Arial" w:eastAsia="Times New Roman" w:hAnsi="Arial" w:cs="Times New Roman"/>
      <w:sz w:val="24"/>
      <w:szCs w:val="20"/>
    </w:rPr>
  </w:style>
  <w:style w:type="character" w:customStyle="1" w:styleId="CharChar">
    <w:name w:val="Char Char"/>
    <w:rsid w:val="007916A9"/>
    <w:rPr>
      <w:rFonts w:ascii="Times New Roman" w:eastAsia="Times New Roman" w:hAnsi="Times New Roman" w:cs="Times New Roman"/>
      <w:b/>
      <w:bCs/>
      <w:sz w:val="24"/>
      <w:szCs w:val="24"/>
    </w:rPr>
  </w:style>
  <w:style w:type="character" w:styleId="CommentReference">
    <w:name w:val="annotation reference"/>
    <w:rsid w:val="007916A9"/>
    <w:rPr>
      <w:sz w:val="16"/>
      <w:szCs w:val="16"/>
    </w:rPr>
  </w:style>
  <w:style w:type="paragraph" w:customStyle="1" w:styleId="intro">
    <w:name w:val="intro"/>
    <w:basedOn w:val="Normal"/>
    <w:rsid w:val="007916A9"/>
    <w:pPr>
      <w:spacing w:before="100" w:beforeAutospacing="1" w:after="100" w:afterAutospacing="1"/>
    </w:pPr>
    <w:rPr>
      <w:rFonts w:ascii="Times New Roman" w:hAnsi="Times New Roman"/>
      <w:color w:val="003366"/>
      <w:sz w:val="29"/>
      <w:szCs w:val="29"/>
      <w:lang w:eastAsia="en-GB"/>
    </w:rPr>
  </w:style>
  <w:style w:type="paragraph" w:styleId="Index1">
    <w:name w:val="index 1"/>
    <w:basedOn w:val="Normal"/>
    <w:next w:val="Normal"/>
    <w:autoRedefine/>
    <w:rsid w:val="007916A9"/>
    <w:pPr>
      <w:ind w:left="240" w:hanging="240"/>
    </w:pPr>
    <w:rPr>
      <w:rFonts w:ascii="Times New Roman" w:hAnsi="Times New Roman"/>
      <w:szCs w:val="24"/>
      <w:lang w:eastAsia="en-GB"/>
    </w:rPr>
  </w:style>
  <w:style w:type="paragraph" w:customStyle="1" w:styleId="FooterAssetFinanceflyers">
    <w:name w:val="Footer (Asset Finance flyers)"/>
    <w:basedOn w:val="Normal"/>
    <w:rsid w:val="007916A9"/>
    <w:pPr>
      <w:suppressAutoHyphens/>
      <w:autoSpaceDE w:val="0"/>
      <w:autoSpaceDN w:val="0"/>
      <w:adjustRightInd w:val="0"/>
      <w:spacing w:line="200" w:lineRule="atLeast"/>
      <w:jc w:val="both"/>
      <w:textAlignment w:val="center"/>
    </w:pPr>
    <w:rPr>
      <w:rFonts w:ascii="Bliss 2 Regular" w:hAnsi="Bliss 2 Regular" w:cs="Bliss 2 Regular"/>
      <w:color w:val="006792"/>
      <w:spacing w:val="-5"/>
      <w:sz w:val="16"/>
      <w:szCs w:val="16"/>
    </w:rPr>
  </w:style>
  <w:style w:type="character" w:customStyle="1" w:styleId="normaltext1">
    <w:name w:val="normaltext1"/>
    <w:rsid w:val="007916A9"/>
    <w:rPr>
      <w:rFonts w:ascii="Arial" w:hAnsi="Arial" w:cs="Arial" w:hint="default"/>
      <w:i w:val="0"/>
      <w:iCs w:val="0"/>
      <w:color w:val="666666"/>
      <w:sz w:val="13"/>
      <w:szCs w:val="13"/>
    </w:rPr>
  </w:style>
  <w:style w:type="character" w:customStyle="1" w:styleId="enquiry1">
    <w:name w:val="enquiry1"/>
    <w:rsid w:val="007916A9"/>
    <w:rPr>
      <w:rFonts w:ascii="Verdana" w:hAnsi="Verdana" w:hint="default"/>
      <w:b w:val="0"/>
      <w:bCs w:val="0"/>
      <w:i w:val="0"/>
      <w:iCs w:val="0"/>
      <w:strike w:val="0"/>
      <w:dstrike w:val="0"/>
      <w:color w:val="333366"/>
      <w:sz w:val="15"/>
      <w:szCs w:val="15"/>
      <w:u w:val="none"/>
      <w:effect w:val="none"/>
    </w:rPr>
  </w:style>
  <w:style w:type="character" w:customStyle="1" w:styleId="StyleComplexArialComplex11pt">
    <w:name w:val="Style (Complex) Arial (Complex) 11 pt"/>
    <w:rsid w:val="007916A9"/>
    <w:rPr>
      <w:rFonts w:cs="Arial"/>
      <w:sz w:val="22"/>
      <w:szCs w:val="22"/>
    </w:rPr>
  </w:style>
  <w:style w:type="paragraph" w:customStyle="1" w:styleId="ecxmsonormal">
    <w:name w:val="ecxmsonormal"/>
    <w:basedOn w:val="Normal"/>
    <w:rsid w:val="007916A9"/>
    <w:pPr>
      <w:spacing w:after="324"/>
    </w:pPr>
    <w:rPr>
      <w:rFonts w:ascii="Times New Roman" w:hAnsi="Times New Roman"/>
      <w:szCs w:val="24"/>
      <w:lang w:val="en-US"/>
    </w:rPr>
  </w:style>
  <w:style w:type="character" w:customStyle="1" w:styleId="SectionHeadingCharChar">
    <w:name w:val="Section Heading Char Char"/>
    <w:locked/>
    <w:rsid w:val="007916A9"/>
    <w:rPr>
      <w:rFonts w:ascii="Arial" w:hAnsi="Arial"/>
      <w:b/>
      <w:sz w:val="22"/>
      <w:lang w:val="en-GB" w:eastAsia="en-US" w:bidi="ar-SA"/>
    </w:rPr>
  </w:style>
  <w:style w:type="character" w:customStyle="1" w:styleId="CharChar19">
    <w:name w:val="Char Char19"/>
    <w:locked/>
    <w:rsid w:val="007916A9"/>
    <w:rPr>
      <w:rFonts w:ascii="Arial" w:hAnsi="Arial"/>
      <w:b/>
      <w:i/>
      <w:sz w:val="22"/>
      <w:lang w:val="en-GB" w:eastAsia="en-US" w:bidi="ar-SA"/>
    </w:rPr>
  </w:style>
  <w:style w:type="character" w:customStyle="1" w:styleId="CharChar18">
    <w:name w:val="Char Char18"/>
    <w:locked/>
    <w:rsid w:val="007916A9"/>
    <w:rPr>
      <w:rFonts w:ascii="Arial" w:hAnsi="Arial"/>
      <w:b/>
      <w:sz w:val="22"/>
      <w:lang w:val="en-GB" w:eastAsia="en-US" w:bidi="ar-SA"/>
    </w:rPr>
  </w:style>
  <w:style w:type="character" w:customStyle="1" w:styleId="CharChar17">
    <w:name w:val="Char Char17"/>
    <w:locked/>
    <w:rsid w:val="007916A9"/>
    <w:rPr>
      <w:rFonts w:ascii="Arial" w:hAnsi="Arial"/>
      <w:sz w:val="24"/>
      <w:lang w:val="en-GB" w:eastAsia="en-US" w:bidi="ar-SA"/>
    </w:rPr>
  </w:style>
  <w:style w:type="character" w:customStyle="1" w:styleId="CharChar16">
    <w:name w:val="Char Char16"/>
    <w:locked/>
    <w:rsid w:val="007916A9"/>
    <w:rPr>
      <w:rFonts w:ascii="Arial" w:hAnsi="Arial"/>
      <w:sz w:val="24"/>
      <w:lang w:val="en-GB" w:eastAsia="en-US" w:bidi="ar-SA"/>
    </w:rPr>
  </w:style>
  <w:style w:type="character" w:customStyle="1" w:styleId="CharChar15">
    <w:name w:val="Char Char15"/>
    <w:locked/>
    <w:rsid w:val="007916A9"/>
    <w:rPr>
      <w:rFonts w:ascii="Arial" w:hAnsi="Arial"/>
      <w:sz w:val="22"/>
      <w:lang w:val="en-GB" w:eastAsia="en-US" w:bidi="ar-SA"/>
    </w:rPr>
  </w:style>
  <w:style w:type="character" w:customStyle="1" w:styleId="CharChar14">
    <w:name w:val="Char Char14"/>
    <w:locked/>
    <w:rsid w:val="007916A9"/>
    <w:rPr>
      <w:rFonts w:ascii="Arial" w:hAnsi="Arial"/>
      <w:b/>
      <w:sz w:val="22"/>
      <w:lang w:val="en-GB" w:eastAsia="en-US" w:bidi="ar-SA"/>
    </w:rPr>
  </w:style>
  <w:style w:type="character" w:customStyle="1" w:styleId="CharChar8">
    <w:name w:val="Char Char8"/>
    <w:locked/>
    <w:rsid w:val="007916A9"/>
    <w:rPr>
      <w:rFonts w:ascii="Arial" w:hAnsi="Arial"/>
      <w:sz w:val="18"/>
      <w:lang w:val="en-GB" w:eastAsia="en-US" w:bidi="ar-SA"/>
    </w:rPr>
  </w:style>
  <w:style w:type="paragraph" w:customStyle="1" w:styleId="Tablecopy">
    <w:name w:val="Table copy"/>
    <w:rsid w:val="007916A9"/>
    <w:rPr>
      <w:rFonts w:ascii="Calibri" w:eastAsia="Bliss 2 Regular" w:hAnsi="Calibri" w:cs="Calibri"/>
      <w:color w:val="3A3B3C"/>
      <w:szCs w:val="22"/>
      <w:lang w:eastAsia="en-US"/>
    </w:rPr>
  </w:style>
  <w:style w:type="paragraph" w:styleId="CommentSubject">
    <w:name w:val="annotation subject"/>
    <w:basedOn w:val="CommentText"/>
    <w:next w:val="CommentText"/>
    <w:link w:val="CommentSubjectChar"/>
    <w:rsid w:val="007916A9"/>
    <w:rPr>
      <w:b/>
      <w:bCs/>
    </w:rPr>
  </w:style>
  <w:style w:type="character" w:customStyle="1" w:styleId="CommentSubjectChar">
    <w:name w:val="Comment Subject Char"/>
    <w:basedOn w:val="CommentTextChar"/>
    <w:link w:val="CommentSubject"/>
    <w:rsid w:val="007916A9"/>
    <w:rPr>
      <w:rFonts w:ascii="Arial" w:hAnsi="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3073415">
      <w:bodyDiv w:val="1"/>
      <w:marLeft w:val="0"/>
      <w:marRight w:val="0"/>
      <w:marTop w:val="0"/>
      <w:marBottom w:val="0"/>
      <w:divBdr>
        <w:top w:val="none" w:sz="0" w:space="0" w:color="auto"/>
        <w:left w:val="none" w:sz="0" w:space="0" w:color="auto"/>
        <w:bottom w:val="none" w:sz="0" w:space="0" w:color="auto"/>
        <w:right w:val="none" w:sz="0" w:space="0" w:color="auto"/>
      </w:divBdr>
      <w:divsChild>
        <w:div w:id="1862359313">
          <w:marLeft w:val="0"/>
          <w:marRight w:val="0"/>
          <w:marTop w:val="0"/>
          <w:marBottom w:val="0"/>
          <w:divBdr>
            <w:top w:val="none" w:sz="0" w:space="0" w:color="auto"/>
            <w:left w:val="none" w:sz="0" w:space="0" w:color="auto"/>
            <w:bottom w:val="none" w:sz="0" w:space="0" w:color="auto"/>
            <w:right w:val="none" w:sz="0" w:space="0" w:color="auto"/>
          </w:divBdr>
          <w:divsChild>
            <w:div w:id="20062039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58529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8026508">
      <w:bodyDiv w:val="1"/>
      <w:marLeft w:val="0"/>
      <w:marRight w:val="0"/>
      <w:marTop w:val="0"/>
      <w:marBottom w:val="0"/>
      <w:divBdr>
        <w:top w:val="none" w:sz="0" w:space="0" w:color="auto"/>
        <w:left w:val="none" w:sz="0" w:space="0" w:color="auto"/>
        <w:bottom w:val="none" w:sz="0" w:space="0" w:color="auto"/>
        <w:right w:val="none" w:sz="0" w:space="0" w:color="auto"/>
      </w:divBdr>
    </w:div>
    <w:div w:id="1861167040">
      <w:bodyDiv w:val="1"/>
      <w:marLeft w:val="0"/>
      <w:marRight w:val="0"/>
      <w:marTop w:val="0"/>
      <w:marBottom w:val="0"/>
      <w:divBdr>
        <w:top w:val="none" w:sz="0" w:space="0" w:color="auto"/>
        <w:left w:val="none" w:sz="0" w:space="0" w:color="auto"/>
        <w:bottom w:val="none" w:sz="0" w:space="0" w:color="auto"/>
        <w:right w:val="none" w:sz="0" w:space="0" w:color="auto"/>
      </w:divBdr>
    </w:div>
    <w:div w:id="19082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watford.gov.uk/intranettrdc" TargetMode="External"/><Relationship Id="rId13" Type="http://schemas.openxmlformats.org/officeDocument/2006/relationships/image" Target="media/image4.emf"/><Relationship Id="rId18" Type="http://schemas.openxmlformats.org/officeDocument/2006/relationships/image" Target="media/image9.emf"/><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header" Target="header3.xml"/><Relationship Id="rId2" Type="http://schemas.openxmlformats.org/officeDocument/2006/relationships/styles" Target="styles.xml"/><Relationship Id="rId16" Type="http://schemas.openxmlformats.org/officeDocument/2006/relationships/image" Target="media/image7.emf"/><Relationship Id="rId20" Type="http://schemas.openxmlformats.org/officeDocument/2006/relationships/image" Target="media/image11.emf"/><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emf"/><Relationship Id="rId24"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footer" Target="footer3.xml"/><Relationship Id="rId10" Type="http://schemas.openxmlformats.org/officeDocument/2006/relationships/footer" Target="footer1.xml"/><Relationship Id="rId19" Type="http://schemas.openxmlformats.org/officeDocument/2006/relationships/image" Target="media/image10.emf"/><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oter" Target="footer2.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TotalTime>
  <Pages>27</Pages>
  <Words>6740</Words>
  <Characters>37223</Characters>
  <Application>Microsoft Office Word</Application>
  <DocSecurity>0</DocSecurity>
  <Lines>310</Lines>
  <Paragraphs>87</Paragraphs>
  <ScaleCrop>false</ScaleCrop>
  <HeadingPairs>
    <vt:vector size="2" baseType="variant">
      <vt:variant>
        <vt:lpstr>Title</vt:lpstr>
      </vt:variant>
      <vt:variant>
        <vt:i4>1</vt:i4>
      </vt:variant>
    </vt:vector>
  </HeadingPairs>
  <TitlesOfParts>
    <vt:vector size="1" baseType="lpstr">
      <vt:lpstr>COUNCIL 22 FEBRUARY 2011</vt:lpstr>
    </vt:vector>
  </TitlesOfParts>
  <Company>Three Rivers District Council</Company>
  <LinksUpToDate>false</LinksUpToDate>
  <CharactersWithSpaces>43876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COUNCIL 22 FEBRUARY 2011</dc:title>
  <dc:creator>David Gardner</dc:creator>
  <cp:lastModifiedBy>Sarah Haythorpe</cp:lastModifiedBy>
  <cp:revision>9</cp:revision>
  <cp:lastPrinted>2017-02-20T11:38:00Z</cp:lastPrinted>
  <dcterms:created xsi:type="dcterms:W3CDTF">2017-02-20T11:03:00Z</dcterms:created>
  <dcterms:modified xsi:type="dcterms:W3CDTF">2017-02-22T10:00:00Z</dcterms:modified>
</cp:coreProperties>
</file>