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9E" w:rsidRPr="0017696A" w:rsidRDefault="002E4B9E">
      <w:pPr>
        <w:pStyle w:val="Title"/>
        <w:spacing w:line="238" w:lineRule="exact"/>
        <w:outlineLvl w:val="0"/>
      </w:pPr>
      <w:r w:rsidRPr="0017696A">
        <w:t>COUNCIL</w:t>
      </w:r>
      <w:r w:rsidR="00F0303B" w:rsidRPr="0017696A">
        <w:t xml:space="preserve"> </w:t>
      </w:r>
      <w:r w:rsidRPr="0017696A">
        <w:t>- 2</w:t>
      </w:r>
      <w:r w:rsidR="00FB5B08" w:rsidRPr="0017696A">
        <w:t>1</w:t>
      </w:r>
      <w:r w:rsidRPr="0017696A">
        <w:t xml:space="preserve"> FEBRUARY </w:t>
      </w:r>
      <w:r w:rsidR="000B0ACC">
        <w:t>2017</w:t>
      </w:r>
    </w:p>
    <w:p w:rsidR="00805362" w:rsidRPr="0017696A" w:rsidRDefault="00805362">
      <w:pPr>
        <w:spacing w:line="238" w:lineRule="exact"/>
        <w:ind w:left="720" w:hanging="720"/>
        <w:rPr>
          <w:b/>
          <w:sz w:val="22"/>
        </w:rPr>
      </w:pPr>
    </w:p>
    <w:p w:rsidR="002E4B9E" w:rsidRPr="0017696A" w:rsidRDefault="00F40DE9">
      <w:pPr>
        <w:spacing w:line="238" w:lineRule="exact"/>
        <w:ind w:left="720" w:hanging="720"/>
        <w:rPr>
          <w:b/>
          <w:sz w:val="22"/>
          <w:u w:val="single"/>
        </w:rPr>
      </w:pPr>
      <w:r>
        <w:rPr>
          <w:b/>
          <w:sz w:val="22"/>
        </w:rPr>
        <w:t>7</w:t>
      </w:r>
      <w:r w:rsidR="002E4B9E" w:rsidRPr="0017696A">
        <w:rPr>
          <w:b/>
          <w:sz w:val="22"/>
        </w:rPr>
        <w:t>.</w:t>
      </w:r>
      <w:r w:rsidR="002E4B9E" w:rsidRPr="0017696A">
        <w:rPr>
          <w:b/>
          <w:sz w:val="22"/>
        </w:rPr>
        <w:tab/>
        <w:t>COUNCIL TAX</w:t>
      </w:r>
      <w:r w:rsidR="0074184B" w:rsidRPr="0017696A">
        <w:rPr>
          <w:b/>
          <w:sz w:val="22"/>
        </w:rPr>
        <w:t xml:space="preserve"> – DISTRICT ELEMENT</w:t>
      </w:r>
    </w:p>
    <w:p w:rsidR="002E4B9E" w:rsidRPr="0017696A" w:rsidRDefault="002E4B9E">
      <w:pPr>
        <w:spacing w:line="238" w:lineRule="exact"/>
        <w:ind w:left="720" w:hanging="720"/>
        <w:rPr>
          <w:sz w:val="22"/>
        </w:rPr>
      </w:pPr>
      <w:r w:rsidRPr="0017696A">
        <w:rPr>
          <w:sz w:val="22"/>
        </w:rPr>
        <w:tab/>
        <w:t>(D</w:t>
      </w:r>
      <w:r w:rsidR="00F57FF1" w:rsidRPr="0017696A">
        <w:rPr>
          <w:sz w:val="22"/>
        </w:rPr>
        <w:t>F</w:t>
      </w:r>
      <w:r w:rsidRPr="0017696A">
        <w:rPr>
          <w:sz w:val="22"/>
        </w:rPr>
        <w:t>)</w:t>
      </w:r>
    </w:p>
    <w:p w:rsidR="002E4B9E" w:rsidRPr="00FB5B08" w:rsidRDefault="002E4B9E">
      <w:pPr>
        <w:spacing w:line="238" w:lineRule="exact"/>
        <w:ind w:left="720" w:hanging="720"/>
        <w:rPr>
          <w:color w:val="4F81BD" w:themeColor="accent1"/>
          <w:sz w:val="22"/>
        </w:rPr>
      </w:pPr>
    </w:p>
    <w:p w:rsidR="002E4B9E" w:rsidRPr="0017696A" w:rsidRDefault="002E4B9E" w:rsidP="001B68C1">
      <w:pPr>
        <w:spacing w:line="238" w:lineRule="exact"/>
        <w:ind w:left="720" w:hanging="720"/>
        <w:jc w:val="both"/>
        <w:rPr>
          <w:b/>
          <w:sz w:val="22"/>
        </w:rPr>
      </w:pPr>
      <w:r w:rsidRPr="0017696A">
        <w:rPr>
          <w:sz w:val="22"/>
        </w:rPr>
        <w:t>1.</w:t>
      </w:r>
      <w:r w:rsidRPr="0017696A">
        <w:rPr>
          <w:sz w:val="22"/>
        </w:rPr>
        <w:tab/>
      </w:r>
      <w:r w:rsidRPr="0017696A">
        <w:rPr>
          <w:b/>
          <w:sz w:val="22"/>
        </w:rPr>
        <w:t>Summary</w:t>
      </w:r>
    </w:p>
    <w:p w:rsidR="002E4B9E" w:rsidRPr="0017696A" w:rsidRDefault="002E4B9E" w:rsidP="001B68C1">
      <w:pPr>
        <w:spacing w:line="238" w:lineRule="exact"/>
        <w:ind w:left="720" w:hanging="720"/>
        <w:jc w:val="both"/>
        <w:rPr>
          <w:b/>
          <w:sz w:val="22"/>
          <w:u w:val="single"/>
        </w:rPr>
      </w:pPr>
    </w:p>
    <w:p w:rsidR="002E4B9E" w:rsidRPr="0017696A" w:rsidRDefault="002E4B9E" w:rsidP="001B68C1">
      <w:pPr>
        <w:spacing w:line="238" w:lineRule="exact"/>
        <w:ind w:left="720" w:hanging="720"/>
        <w:jc w:val="both"/>
        <w:rPr>
          <w:sz w:val="22"/>
        </w:rPr>
      </w:pPr>
      <w:r w:rsidRPr="0017696A">
        <w:rPr>
          <w:sz w:val="22"/>
        </w:rPr>
        <w:t>1.1</w:t>
      </w:r>
      <w:r w:rsidRPr="0017696A">
        <w:rPr>
          <w:sz w:val="22"/>
        </w:rPr>
        <w:tab/>
        <w:t>This report allows the Council to set</w:t>
      </w:r>
      <w:r w:rsidR="00641697" w:rsidRPr="0017696A">
        <w:rPr>
          <w:sz w:val="22"/>
        </w:rPr>
        <w:t xml:space="preserve"> the district</w:t>
      </w:r>
      <w:r w:rsidR="0002439C" w:rsidRPr="0017696A">
        <w:rPr>
          <w:sz w:val="22"/>
        </w:rPr>
        <w:t xml:space="preserve"> element of </w:t>
      </w:r>
      <w:r w:rsidRPr="0017696A">
        <w:rPr>
          <w:sz w:val="22"/>
        </w:rPr>
        <w:t xml:space="preserve">the Council Tax for </w:t>
      </w:r>
      <w:r w:rsidR="0017696A" w:rsidRPr="0017696A">
        <w:rPr>
          <w:sz w:val="22"/>
        </w:rPr>
        <w:t>2017/2018</w:t>
      </w:r>
      <w:r w:rsidRPr="0017696A">
        <w:rPr>
          <w:sz w:val="22"/>
        </w:rPr>
        <w:t>.</w:t>
      </w:r>
      <w:r w:rsidR="00641697" w:rsidRPr="0017696A">
        <w:rPr>
          <w:sz w:val="22"/>
        </w:rPr>
        <w:t xml:space="preserve"> This includes the parish precepts.</w:t>
      </w:r>
    </w:p>
    <w:p w:rsidR="002E4B9E" w:rsidRPr="0017696A" w:rsidRDefault="002E4B9E" w:rsidP="001B68C1">
      <w:pPr>
        <w:spacing w:line="238" w:lineRule="exact"/>
        <w:ind w:left="720" w:hanging="720"/>
        <w:jc w:val="both"/>
        <w:rPr>
          <w:sz w:val="22"/>
        </w:rPr>
      </w:pPr>
    </w:p>
    <w:p w:rsidR="001B68C1" w:rsidRPr="0017696A" w:rsidRDefault="001B68C1" w:rsidP="001B68C1">
      <w:pPr>
        <w:ind w:left="720" w:hanging="720"/>
        <w:jc w:val="both"/>
        <w:rPr>
          <w:b/>
          <w:sz w:val="22"/>
        </w:rPr>
      </w:pPr>
      <w:r w:rsidRPr="0017696A">
        <w:rPr>
          <w:sz w:val="22"/>
        </w:rPr>
        <w:t>2.</w:t>
      </w:r>
      <w:r w:rsidRPr="0017696A">
        <w:rPr>
          <w:sz w:val="22"/>
        </w:rPr>
        <w:tab/>
      </w:r>
      <w:r w:rsidRPr="0017696A">
        <w:rPr>
          <w:b/>
          <w:sz w:val="22"/>
        </w:rPr>
        <w:t>Background</w:t>
      </w:r>
    </w:p>
    <w:p w:rsidR="001B68C1" w:rsidRPr="0017696A" w:rsidRDefault="001B68C1" w:rsidP="001B68C1">
      <w:pPr>
        <w:ind w:left="720" w:hanging="720"/>
        <w:jc w:val="both"/>
        <w:rPr>
          <w:b/>
          <w:sz w:val="22"/>
          <w:u w:val="single"/>
        </w:rPr>
      </w:pPr>
    </w:p>
    <w:p w:rsidR="00F01736" w:rsidRPr="0017696A" w:rsidRDefault="001B68C1" w:rsidP="001B68C1">
      <w:pPr>
        <w:ind w:left="720" w:hanging="720"/>
        <w:jc w:val="both"/>
        <w:rPr>
          <w:sz w:val="22"/>
        </w:rPr>
      </w:pPr>
      <w:r w:rsidRPr="0017696A">
        <w:rPr>
          <w:sz w:val="22"/>
        </w:rPr>
        <w:t>2.1</w:t>
      </w:r>
      <w:r w:rsidRPr="0017696A">
        <w:rPr>
          <w:sz w:val="22"/>
        </w:rPr>
        <w:tab/>
        <w:t>The</w:t>
      </w:r>
      <w:r w:rsidR="002A3E91" w:rsidRPr="0017696A">
        <w:rPr>
          <w:sz w:val="22"/>
        </w:rPr>
        <w:t xml:space="preserve"> </w:t>
      </w:r>
      <w:r w:rsidR="00F01736" w:rsidRPr="0017696A">
        <w:rPr>
          <w:sz w:val="22"/>
        </w:rPr>
        <w:t>calculations below comply with the Loc</w:t>
      </w:r>
      <w:r w:rsidRPr="0017696A">
        <w:rPr>
          <w:sz w:val="22"/>
        </w:rPr>
        <w:t>al Government Finance Act 1992</w:t>
      </w:r>
      <w:r w:rsidR="004279B1" w:rsidRPr="0017696A">
        <w:rPr>
          <w:sz w:val="22"/>
        </w:rPr>
        <w:t xml:space="preserve"> (“The Act”)</w:t>
      </w:r>
      <w:r w:rsidR="002A3E91" w:rsidRPr="0017696A">
        <w:rPr>
          <w:sz w:val="22"/>
        </w:rPr>
        <w:t xml:space="preserve">, </w:t>
      </w:r>
      <w:r w:rsidR="00F01736" w:rsidRPr="0017696A">
        <w:rPr>
          <w:sz w:val="22"/>
        </w:rPr>
        <w:t>as amended by the Localism Act 2011.</w:t>
      </w:r>
    </w:p>
    <w:p w:rsidR="001B68C1" w:rsidRPr="0017696A" w:rsidRDefault="001B68C1" w:rsidP="001B68C1">
      <w:pPr>
        <w:ind w:left="720" w:hanging="720"/>
        <w:jc w:val="both"/>
        <w:rPr>
          <w:sz w:val="22"/>
        </w:rPr>
      </w:pPr>
    </w:p>
    <w:p w:rsidR="001B68C1" w:rsidRPr="0017696A" w:rsidRDefault="001B68C1" w:rsidP="001B68C1">
      <w:pPr>
        <w:ind w:left="720" w:hanging="720"/>
        <w:jc w:val="both"/>
        <w:rPr>
          <w:sz w:val="22"/>
        </w:rPr>
      </w:pPr>
      <w:r w:rsidRPr="0017696A">
        <w:rPr>
          <w:sz w:val="22"/>
        </w:rPr>
        <w:t>2.2</w:t>
      </w:r>
      <w:r w:rsidRPr="0017696A">
        <w:rPr>
          <w:sz w:val="22"/>
        </w:rPr>
        <w:tab/>
        <w:t>The details below show the calculations made in arriving at the recommendations and are cross referenced accordingly.</w:t>
      </w:r>
    </w:p>
    <w:p w:rsidR="001B68C1" w:rsidRPr="0017696A" w:rsidRDefault="001B68C1" w:rsidP="001B68C1">
      <w:pPr>
        <w:ind w:left="720" w:hanging="720"/>
        <w:jc w:val="both"/>
        <w:rPr>
          <w:sz w:val="22"/>
        </w:rPr>
      </w:pPr>
    </w:p>
    <w:p w:rsidR="001B68C1" w:rsidRPr="0017696A" w:rsidRDefault="001B68C1" w:rsidP="001B68C1">
      <w:pPr>
        <w:ind w:left="720" w:hanging="720"/>
        <w:jc w:val="both"/>
        <w:rPr>
          <w:b/>
          <w:sz w:val="22"/>
        </w:rPr>
      </w:pPr>
      <w:r w:rsidRPr="0017696A">
        <w:rPr>
          <w:sz w:val="22"/>
        </w:rPr>
        <w:t>3.</w:t>
      </w:r>
      <w:r w:rsidRPr="0017696A">
        <w:rPr>
          <w:sz w:val="22"/>
        </w:rPr>
        <w:tab/>
      </w:r>
      <w:r w:rsidRPr="0017696A">
        <w:rPr>
          <w:b/>
          <w:sz w:val="22"/>
        </w:rPr>
        <w:t>Details</w:t>
      </w:r>
    </w:p>
    <w:p w:rsidR="00947F60" w:rsidRPr="0017696A" w:rsidRDefault="00947F60" w:rsidP="001B68C1">
      <w:pPr>
        <w:ind w:left="720" w:hanging="720"/>
        <w:jc w:val="both"/>
        <w:rPr>
          <w:b/>
          <w:sz w:val="22"/>
        </w:rPr>
      </w:pPr>
    </w:p>
    <w:p w:rsidR="00947F60" w:rsidRPr="0017696A" w:rsidRDefault="00052076" w:rsidP="00947F60">
      <w:pPr>
        <w:ind w:left="720" w:hanging="720"/>
        <w:jc w:val="both"/>
        <w:outlineLvl w:val="0"/>
        <w:rPr>
          <w:b/>
          <w:i/>
          <w:sz w:val="22"/>
        </w:rPr>
      </w:pPr>
      <w:r w:rsidRPr="0017696A">
        <w:rPr>
          <w:sz w:val="22"/>
        </w:rPr>
        <w:t>3.1</w:t>
      </w:r>
      <w:r w:rsidR="00947F60" w:rsidRPr="0017696A">
        <w:rPr>
          <w:sz w:val="22"/>
        </w:rPr>
        <w:tab/>
      </w:r>
      <w:r w:rsidR="00947F60" w:rsidRPr="0017696A">
        <w:rPr>
          <w:b/>
          <w:i/>
          <w:sz w:val="22"/>
        </w:rPr>
        <w:t>The Council Tax Base</w:t>
      </w:r>
    </w:p>
    <w:p w:rsidR="00947F60" w:rsidRPr="0017696A" w:rsidRDefault="00947F60" w:rsidP="00947F60">
      <w:pPr>
        <w:ind w:left="720" w:hanging="720"/>
        <w:jc w:val="both"/>
        <w:rPr>
          <w:b/>
          <w:sz w:val="22"/>
          <w:u w:val="single"/>
        </w:rPr>
      </w:pPr>
    </w:p>
    <w:p w:rsidR="00C34850" w:rsidRPr="000B1852" w:rsidRDefault="00947F60" w:rsidP="00C34850">
      <w:pPr>
        <w:ind w:left="720" w:hanging="720"/>
        <w:jc w:val="both"/>
        <w:rPr>
          <w:sz w:val="22"/>
        </w:rPr>
      </w:pPr>
      <w:r w:rsidRPr="0017696A">
        <w:rPr>
          <w:sz w:val="22"/>
        </w:rPr>
        <w:tab/>
      </w:r>
      <w:r w:rsidR="00AA7DE1" w:rsidRPr="0017696A">
        <w:rPr>
          <w:sz w:val="22"/>
        </w:rPr>
        <w:t xml:space="preserve">At its meeting on </w:t>
      </w:r>
      <w:r w:rsidR="0017696A" w:rsidRPr="0017696A">
        <w:rPr>
          <w:sz w:val="22"/>
        </w:rPr>
        <w:t>13</w:t>
      </w:r>
      <w:r w:rsidR="00AA7DE1" w:rsidRPr="0017696A">
        <w:rPr>
          <w:sz w:val="22"/>
        </w:rPr>
        <w:t xml:space="preserve"> December 201</w:t>
      </w:r>
      <w:r w:rsidR="0017696A" w:rsidRPr="0017696A">
        <w:rPr>
          <w:sz w:val="22"/>
        </w:rPr>
        <w:t>6</w:t>
      </w:r>
      <w:r w:rsidR="00AA7DE1" w:rsidRPr="0017696A">
        <w:rPr>
          <w:sz w:val="22"/>
        </w:rPr>
        <w:t>, t</w:t>
      </w:r>
      <w:r w:rsidRPr="0017696A">
        <w:rPr>
          <w:sz w:val="22"/>
        </w:rPr>
        <w:t>h</w:t>
      </w:r>
      <w:r w:rsidR="00C34850" w:rsidRPr="0017696A">
        <w:rPr>
          <w:sz w:val="22"/>
        </w:rPr>
        <w:t>e</w:t>
      </w:r>
      <w:r w:rsidRPr="0017696A">
        <w:rPr>
          <w:sz w:val="22"/>
        </w:rPr>
        <w:t xml:space="preserve"> </w:t>
      </w:r>
      <w:r w:rsidR="00C34850" w:rsidRPr="0017696A">
        <w:rPr>
          <w:sz w:val="22"/>
        </w:rPr>
        <w:t>Council</w:t>
      </w:r>
      <w:r w:rsidR="00AA7DE1" w:rsidRPr="0017696A">
        <w:rPr>
          <w:sz w:val="22"/>
        </w:rPr>
        <w:t xml:space="preserve"> </w:t>
      </w:r>
      <w:r w:rsidR="00C34850" w:rsidRPr="0017696A">
        <w:rPr>
          <w:sz w:val="22"/>
        </w:rPr>
        <w:t>approved the</w:t>
      </w:r>
      <w:r w:rsidRPr="0017696A">
        <w:rPr>
          <w:sz w:val="22"/>
        </w:rPr>
        <w:t xml:space="preserve"> Council Tax Base for </w:t>
      </w:r>
      <w:r w:rsidR="0017696A" w:rsidRPr="0017696A">
        <w:rPr>
          <w:sz w:val="22"/>
        </w:rPr>
        <w:t xml:space="preserve">2017/18 </w:t>
      </w:r>
      <w:r w:rsidR="00C34850" w:rsidRPr="0017696A">
        <w:rPr>
          <w:sz w:val="22"/>
        </w:rPr>
        <w:t>as follows;</w:t>
      </w:r>
    </w:p>
    <w:p w:rsidR="00C34850" w:rsidRPr="000B1852" w:rsidRDefault="00C34850" w:rsidP="00C34850">
      <w:pPr>
        <w:ind w:left="720" w:hanging="720"/>
        <w:jc w:val="both"/>
        <w:rPr>
          <w:sz w:val="22"/>
        </w:rPr>
      </w:pPr>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1701"/>
      </w:tblGrid>
      <w:tr w:rsidR="00C34850" w:rsidRPr="000B1852" w:rsidTr="00C34850">
        <w:tc>
          <w:tcPr>
            <w:tcW w:w="1984" w:type="dxa"/>
          </w:tcPr>
          <w:p w:rsidR="00C34850" w:rsidRPr="000B1852" w:rsidRDefault="00C34850" w:rsidP="00C34850">
            <w:pPr>
              <w:ind w:left="-1570" w:firstLine="1570"/>
              <w:rPr>
                <w:sz w:val="22"/>
              </w:rPr>
            </w:pPr>
            <w:r w:rsidRPr="000B1852">
              <w:rPr>
                <w:sz w:val="22"/>
              </w:rPr>
              <w:t>Abbots Langley</w:t>
            </w:r>
          </w:p>
        </w:tc>
        <w:tc>
          <w:tcPr>
            <w:tcW w:w="1701" w:type="dxa"/>
          </w:tcPr>
          <w:p w:rsidR="00C34850" w:rsidRPr="000B1852" w:rsidRDefault="00C34850" w:rsidP="0017696A">
            <w:pPr>
              <w:keepNext/>
              <w:tabs>
                <w:tab w:val="decimal" w:pos="1152"/>
              </w:tabs>
              <w:rPr>
                <w:sz w:val="22"/>
                <w:szCs w:val="22"/>
              </w:rPr>
            </w:pPr>
            <w:r w:rsidRPr="000B1852">
              <w:rPr>
                <w:sz w:val="22"/>
                <w:szCs w:val="22"/>
              </w:rPr>
              <w:t>8,</w:t>
            </w:r>
            <w:r w:rsidR="0017696A" w:rsidRPr="000B1852">
              <w:rPr>
                <w:sz w:val="22"/>
                <w:szCs w:val="22"/>
              </w:rPr>
              <w:t>227.5</w:t>
            </w:r>
          </w:p>
        </w:tc>
      </w:tr>
      <w:tr w:rsidR="00C34850" w:rsidRPr="000B1852" w:rsidTr="00C34850">
        <w:tc>
          <w:tcPr>
            <w:tcW w:w="1984" w:type="dxa"/>
          </w:tcPr>
          <w:p w:rsidR="00C34850" w:rsidRPr="000B1852" w:rsidRDefault="00C34850" w:rsidP="009B2697">
            <w:pPr>
              <w:rPr>
                <w:sz w:val="22"/>
              </w:rPr>
            </w:pPr>
            <w:r w:rsidRPr="000B1852">
              <w:rPr>
                <w:sz w:val="22"/>
              </w:rPr>
              <w:t>Chorleywood</w:t>
            </w:r>
          </w:p>
        </w:tc>
        <w:tc>
          <w:tcPr>
            <w:tcW w:w="1701" w:type="dxa"/>
          </w:tcPr>
          <w:p w:rsidR="00C34850" w:rsidRPr="000B1852" w:rsidRDefault="0017696A" w:rsidP="009B2697">
            <w:pPr>
              <w:keepNext/>
              <w:tabs>
                <w:tab w:val="decimal" w:pos="1152"/>
              </w:tabs>
              <w:rPr>
                <w:sz w:val="22"/>
                <w:szCs w:val="22"/>
              </w:rPr>
            </w:pPr>
            <w:r w:rsidRPr="000B1852">
              <w:rPr>
                <w:sz w:val="22"/>
                <w:szCs w:val="22"/>
              </w:rPr>
              <w:t>6,185.1</w:t>
            </w:r>
          </w:p>
        </w:tc>
      </w:tr>
      <w:tr w:rsidR="00C34850" w:rsidRPr="000B1852" w:rsidTr="00C34850">
        <w:tc>
          <w:tcPr>
            <w:tcW w:w="1984" w:type="dxa"/>
          </w:tcPr>
          <w:p w:rsidR="00C34850" w:rsidRPr="000B1852" w:rsidRDefault="00C34850" w:rsidP="009B2697">
            <w:pPr>
              <w:rPr>
                <w:sz w:val="22"/>
              </w:rPr>
            </w:pPr>
            <w:r w:rsidRPr="000B1852">
              <w:rPr>
                <w:sz w:val="22"/>
              </w:rPr>
              <w:t>Croxley Green</w:t>
            </w:r>
          </w:p>
        </w:tc>
        <w:tc>
          <w:tcPr>
            <w:tcW w:w="1701" w:type="dxa"/>
          </w:tcPr>
          <w:p w:rsidR="00C34850" w:rsidRPr="000B1852" w:rsidRDefault="0017696A" w:rsidP="009B2697">
            <w:pPr>
              <w:keepNext/>
              <w:tabs>
                <w:tab w:val="decimal" w:pos="1152"/>
              </w:tabs>
              <w:rPr>
                <w:sz w:val="22"/>
                <w:szCs w:val="22"/>
              </w:rPr>
            </w:pPr>
            <w:r w:rsidRPr="000B1852">
              <w:rPr>
                <w:sz w:val="22"/>
                <w:szCs w:val="22"/>
              </w:rPr>
              <w:t>5,492.5</w:t>
            </w:r>
          </w:p>
        </w:tc>
      </w:tr>
      <w:tr w:rsidR="00C34850" w:rsidRPr="000B1852" w:rsidTr="00C34850">
        <w:tc>
          <w:tcPr>
            <w:tcW w:w="1984" w:type="dxa"/>
          </w:tcPr>
          <w:p w:rsidR="00C34850" w:rsidRPr="000B1852" w:rsidRDefault="00C34850" w:rsidP="009B2697">
            <w:pPr>
              <w:rPr>
                <w:sz w:val="22"/>
              </w:rPr>
            </w:pPr>
            <w:r w:rsidRPr="000B1852">
              <w:rPr>
                <w:sz w:val="22"/>
              </w:rPr>
              <w:t>Sarratt</w:t>
            </w:r>
          </w:p>
        </w:tc>
        <w:tc>
          <w:tcPr>
            <w:tcW w:w="1701" w:type="dxa"/>
          </w:tcPr>
          <w:p w:rsidR="00C34850" w:rsidRPr="000B1852" w:rsidRDefault="0017696A" w:rsidP="009B2697">
            <w:pPr>
              <w:keepNext/>
              <w:tabs>
                <w:tab w:val="decimal" w:pos="1152"/>
              </w:tabs>
              <w:rPr>
                <w:sz w:val="22"/>
                <w:szCs w:val="22"/>
              </w:rPr>
            </w:pPr>
            <w:r w:rsidRPr="000B1852">
              <w:rPr>
                <w:sz w:val="22"/>
                <w:szCs w:val="22"/>
              </w:rPr>
              <w:t>1,080.7</w:t>
            </w:r>
          </w:p>
        </w:tc>
      </w:tr>
      <w:tr w:rsidR="00C34850" w:rsidRPr="000B1852" w:rsidTr="00C34850">
        <w:tc>
          <w:tcPr>
            <w:tcW w:w="1984" w:type="dxa"/>
          </w:tcPr>
          <w:p w:rsidR="00C34850" w:rsidRPr="000B1852" w:rsidRDefault="00C34850" w:rsidP="009B2697">
            <w:pPr>
              <w:rPr>
                <w:sz w:val="22"/>
              </w:rPr>
            </w:pPr>
            <w:r w:rsidRPr="000B1852">
              <w:rPr>
                <w:sz w:val="22"/>
              </w:rPr>
              <w:t>Watford Rural</w:t>
            </w:r>
          </w:p>
        </w:tc>
        <w:tc>
          <w:tcPr>
            <w:tcW w:w="1701" w:type="dxa"/>
          </w:tcPr>
          <w:p w:rsidR="00C34850" w:rsidRPr="000B1852" w:rsidRDefault="0017696A" w:rsidP="009B2697">
            <w:pPr>
              <w:keepNext/>
              <w:tabs>
                <w:tab w:val="decimal" w:pos="1152"/>
              </w:tabs>
              <w:rPr>
                <w:sz w:val="22"/>
                <w:szCs w:val="22"/>
              </w:rPr>
            </w:pPr>
            <w:r w:rsidRPr="000B1852">
              <w:rPr>
                <w:sz w:val="22"/>
                <w:szCs w:val="22"/>
              </w:rPr>
              <w:t>6,915.2</w:t>
            </w:r>
          </w:p>
        </w:tc>
      </w:tr>
      <w:tr w:rsidR="000B1852" w:rsidRPr="000B1852" w:rsidTr="00C34850">
        <w:tc>
          <w:tcPr>
            <w:tcW w:w="1984" w:type="dxa"/>
          </w:tcPr>
          <w:p w:rsidR="0017696A" w:rsidRPr="000B1852" w:rsidRDefault="0017696A" w:rsidP="009B2697">
            <w:pPr>
              <w:rPr>
                <w:sz w:val="22"/>
              </w:rPr>
            </w:pPr>
            <w:proofErr w:type="spellStart"/>
            <w:r w:rsidRPr="000B1852">
              <w:rPr>
                <w:sz w:val="22"/>
              </w:rPr>
              <w:t>Batchworth</w:t>
            </w:r>
            <w:proofErr w:type="spellEnd"/>
          </w:p>
        </w:tc>
        <w:tc>
          <w:tcPr>
            <w:tcW w:w="1701" w:type="dxa"/>
          </w:tcPr>
          <w:p w:rsidR="0017696A" w:rsidRPr="000B1852" w:rsidRDefault="0017696A" w:rsidP="0017696A">
            <w:pPr>
              <w:keepNext/>
              <w:tabs>
                <w:tab w:val="decimal" w:pos="1152"/>
              </w:tabs>
              <w:rPr>
                <w:sz w:val="22"/>
                <w:szCs w:val="22"/>
              </w:rPr>
            </w:pPr>
            <w:r w:rsidRPr="000B1852">
              <w:rPr>
                <w:sz w:val="22"/>
                <w:szCs w:val="22"/>
              </w:rPr>
              <w:t>6,140.9</w:t>
            </w:r>
          </w:p>
        </w:tc>
      </w:tr>
      <w:tr w:rsidR="00C34850" w:rsidRPr="000B1852" w:rsidTr="00C34850">
        <w:tc>
          <w:tcPr>
            <w:tcW w:w="1984" w:type="dxa"/>
          </w:tcPr>
          <w:p w:rsidR="00C34850" w:rsidRPr="000B1852" w:rsidRDefault="00C34850" w:rsidP="009B2697">
            <w:pPr>
              <w:rPr>
                <w:sz w:val="22"/>
              </w:rPr>
            </w:pPr>
            <w:r w:rsidRPr="000B1852">
              <w:rPr>
                <w:sz w:val="22"/>
              </w:rPr>
              <w:t>Unparished Area</w:t>
            </w:r>
          </w:p>
        </w:tc>
        <w:tc>
          <w:tcPr>
            <w:tcW w:w="1701" w:type="dxa"/>
          </w:tcPr>
          <w:p w:rsidR="00C34850" w:rsidRPr="000B1852" w:rsidRDefault="0017696A" w:rsidP="009B2697">
            <w:pPr>
              <w:keepNext/>
              <w:tabs>
                <w:tab w:val="decimal" w:pos="1152"/>
              </w:tabs>
              <w:rPr>
                <w:sz w:val="22"/>
                <w:szCs w:val="22"/>
              </w:rPr>
            </w:pPr>
            <w:r w:rsidRPr="000B1852">
              <w:rPr>
                <w:sz w:val="22"/>
                <w:szCs w:val="22"/>
              </w:rPr>
              <w:t>3,770.2</w:t>
            </w:r>
          </w:p>
        </w:tc>
      </w:tr>
    </w:tbl>
    <w:p w:rsidR="0068362C" w:rsidRPr="00FB5B08" w:rsidRDefault="00C34850" w:rsidP="00947F60">
      <w:pPr>
        <w:ind w:left="720" w:hanging="720"/>
        <w:jc w:val="both"/>
        <w:rPr>
          <w:color w:val="4F81BD" w:themeColor="accent1"/>
          <w:sz w:val="22"/>
        </w:rPr>
      </w:pPr>
      <w:r w:rsidRPr="00FB5B08">
        <w:rPr>
          <w:color w:val="4F81BD" w:themeColor="accent1"/>
          <w:sz w:val="22"/>
        </w:rPr>
        <w:tab/>
      </w:r>
      <w:r w:rsidRPr="00FB5B08">
        <w:rPr>
          <w:color w:val="4F81BD" w:themeColor="accent1"/>
          <w:sz w:val="22"/>
        </w:rPr>
        <w:tab/>
      </w:r>
    </w:p>
    <w:p w:rsidR="001B68C1" w:rsidRPr="000B1852" w:rsidRDefault="004279B1" w:rsidP="001B68C1">
      <w:pPr>
        <w:ind w:left="720" w:hanging="720"/>
        <w:jc w:val="both"/>
        <w:outlineLvl w:val="0"/>
        <w:rPr>
          <w:b/>
          <w:sz w:val="22"/>
          <w:u w:val="single"/>
        </w:rPr>
      </w:pPr>
      <w:r w:rsidRPr="000B1852">
        <w:rPr>
          <w:sz w:val="22"/>
        </w:rPr>
        <w:t>3.2</w:t>
      </w:r>
      <w:r w:rsidR="001B68C1" w:rsidRPr="000B1852">
        <w:rPr>
          <w:sz w:val="22"/>
        </w:rPr>
        <w:tab/>
      </w:r>
      <w:r w:rsidR="001B68C1" w:rsidRPr="000B1852">
        <w:rPr>
          <w:b/>
          <w:i/>
          <w:sz w:val="22"/>
        </w:rPr>
        <w:t xml:space="preserve">Calculation of </w:t>
      </w:r>
      <w:r w:rsidR="00947F60" w:rsidRPr="000B1852">
        <w:rPr>
          <w:b/>
          <w:i/>
          <w:sz w:val="22"/>
        </w:rPr>
        <w:t>Council Tax</w:t>
      </w:r>
      <w:r w:rsidR="001B68C1" w:rsidRPr="000B1852">
        <w:rPr>
          <w:b/>
          <w:i/>
          <w:sz w:val="22"/>
        </w:rPr>
        <w:t xml:space="preserve"> Requirement</w:t>
      </w:r>
    </w:p>
    <w:p w:rsidR="001B68C1" w:rsidRPr="000B1852" w:rsidRDefault="001B68C1" w:rsidP="001B68C1">
      <w:pPr>
        <w:ind w:left="720" w:hanging="720"/>
        <w:jc w:val="both"/>
        <w:rPr>
          <w:b/>
          <w:sz w:val="22"/>
          <w:u w:val="single"/>
        </w:rPr>
      </w:pPr>
    </w:p>
    <w:p w:rsidR="001B68C1" w:rsidRPr="000B1852" w:rsidRDefault="001B68C1" w:rsidP="001B68C1">
      <w:pPr>
        <w:ind w:left="720" w:hanging="720"/>
        <w:jc w:val="both"/>
        <w:rPr>
          <w:sz w:val="22"/>
        </w:rPr>
      </w:pPr>
      <w:r w:rsidRPr="000B1852">
        <w:rPr>
          <w:sz w:val="22"/>
        </w:rPr>
        <w:tab/>
        <w:t>The Council must calculate:-</w:t>
      </w:r>
    </w:p>
    <w:p w:rsidR="001B68C1" w:rsidRPr="000B1852" w:rsidRDefault="001B68C1" w:rsidP="001B68C1">
      <w:pPr>
        <w:ind w:left="720" w:hanging="720"/>
        <w:jc w:val="both"/>
        <w:rPr>
          <w:sz w:val="22"/>
        </w:rPr>
      </w:pPr>
    </w:p>
    <w:p w:rsidR="001B68C1" w:rsidRPr="000B1852" w:rsidRDefault="001B68C1" w:rsidP="001B68C1">
      <w:pPr>
        <w:ind w:left="1418" w:hanging="567"/>
        <w:jc w:val="both"/>
        <w:rPr>
          <w:sz w:val="22"/>
        </w:rPr>
      </w:pPr>
      <w:r w:rsidRPr="000B1852">
        <w:rPr>
          <w:sz w:val="22"/>
        </w:rPr>
        <w:t>(a)</w:t>
      </w:r>
      <w:r w:rsidRPr="000B1852">
        <w:rPr>
          <w:sz w:val="22"/>
        </w:rPr>
        <w:tab/>
      </w:r>
      <w:proofErr w:type="gramStart"/>
      <w:r w:rsidRPr="000B1852">
        <w:rPr>
          <w:sz w:val="22"/>
        </w:rPr>
        <w:t>its</w:t>
      </w:r>
      <w:proofErr w:type="gramEnd"/>
      <w:r w:rsidRPr="000B1852">
        <w:rPr>
          <w:sz w:val="22"/>
        </w:rPr>
        <w:t xml:space="preserve"> aggregate expenditure </w:t>
      </w:r>
    </w:p>
    <w:p w:rsidR="001B68C1" w:rsidRPr="000B1852" w:rsidRDefault="001B68C1" w:rsidP="001B68C1">
      <w:pPr>
        <w:ind w:left="1418" w:hanging="567"/>
        <w:jc w:val="both"/>
        <w:rPr>
          <w:sz w:val="22"/>
        </w:rPr>
      </w:pPr>
      <w:r w:rsidRPr="000B1852">
        <w:rPr>
          <w:sz w:val="22"/>
        </w:rPr>
        <w:t>(b)</w:t>
      </w:r>
      <w:r w:rsidRPr="000B1852">
        <w:rPr>
          <w:sz w:val="22"/>
        </w:rPr>
        <w:tab/>
      </w:r>
      <w:proofErr w:type="gramStart"/>
      <w:r w:rsidRPr="000B1852">
        <w:rPr>
          <w:sz w:val="22"/>
        </w:rPr>
        <w:t>its</w:t>
      </w:r>
      <w:proofErr w:type="gramEnd"/>
      <w:r w:rsidRPr="000B1852">
        <w:rPr>
          <w:sz w:val="22"/>
        </w:rPr>
        <w:t xml:space="preserve"> aggregate income; and,</w:t>
      </w:r>
    </w:p>
    <w:p w:rsidR="001B68C1" w:rsidRPr="00FB5B08" w:rsidRDefault="001B68C1" w:rsidP="000B0ACC">
      <w:pPr>
        <w:ind w:left="1418" w:hanging="567"/>
        <w:jc w:val="both"/>
        <w:rPr>
          <w:color w:val="4F81BD" w:themeColor="accent1"/>
          <w:sz w:val="22"/>
        </w:rPr>
      </w:pPr>
      <w:r w:rsidRPr="000B1852">
        <w:rPr>
          <w:sz w:val="22"/>
        </w:rPr>
        <w:t>(c)</w:t>
      </w:r>
      <w:r w:rsidRPr="000B1852">
        <w:rPr>
          <w:sz w:val="22"/>
        </w:rPr>
        <w:tab/>
      </w:r>
      <w:proofErr w:type="gramStart"/>
      <w:r w:rsidRPr="000B1852">
        <w:rPr>
          <w:sz w:val="22"/>
        </w:rPr>
        <w:t>the</w:t>
      </w:r>
      <w:proofErr w:type="gramEnd"/>
      <w:r w:rsidRPr="000B1852">
        <w:rPr>
          <w:sz w:val="22"/>
        </w:rPr>
        <w:t xml:space="preserve"> difference between the two, being termed the </w:t>
      </w:r>
      <w:r w:rsidR="0068362C" w:rsidRPr="000B1852">
        <w:rPr>
          <w:sz w:val="22"/>
        </w:rPr>
        <w:t>Council Tax</w:t>
      </w:r>
      <w:r w:rsidRPr="000B1852">
        <w:rPr>
          <w:sz w:val="22"/>
        </w:rPr>
        <w:t xml:space="preserve"> Requirement.</w:t>
      </w:r>
    </w:p>
    <w:p w:rsidR="00506651" w:rsidRPr="00FB5B08" w:rsidRDefault="001B68C1" w:rsidP="00F01406">
      <w:pPr>
        <w:ind w:left="720" w:hanging="720"/>
        <w:jc w:val="both"/>
        <w:rPr>
          <w:color w:val="4F81BD" w:themeColor="accent1"/>
          <w:sz w:val="22"/>
        </w:rPr>
      </w:pPr>
      <w:r w:rsidRPr="00FB5B08">
        <w:rPr>
          <w:color w:val="4F81BD" w:themeColor="accent1"/>
          <w:sz w:val="22"/>
        </w:rPr>
        <w:tab/>
      </w:r>
      <w:r w:rsidR="00506651" w:rsidRPr="00FB5B08">
        <w:rPr>
          <w:color w:val="4F81BD" w:themeColor="accent1"/>
          <w:sz w:val="22"/>
        </w:rPr>
        <w:tab/>
      </w:r>
      <w:r w:rsidR="00506651" w:rsidRPr="00FB5B08">
        <w:rPr>
          <w:color w:val="4F81BD" w:themeColor="accent1"/>
          <w:sz w:val="22"/>
        </w:rPr>
        <w:tab/>
      </w:r>
    </w:p>
    <w:tbl>
      <w:tblPr>
        <w:tblW w:w="5103" w:type="dxa"/>
        <w:tblInd w:w="1526" w:type="dxa"/>
        <w:tblLook w:val="0000" w:firstRow="0" w:lastRow="0" w:firstColumn="0" w:lastColumn="0" w:noHBand="0" w:noVBand="0"/>
      </w:tblPr>
      <w:tblGrid>
        <w:gridCol w:w="3544"/>
        <w:gridCol w:w="1559"/>
      </w:tblGrid>
      <w:tr w:rsidR="000B0ACC" w:rsidRPr="00FB5B08" w:rsidTr="002302AA">
        <w:trPr>
          <w:trHeight w:val="300"/>
        </w:trPr>
        <w:tc>
          <w:tcPr>
            <w:tcW w:w="3544" w:type="dxa"/>
            <w:tcBorders>
              <w:top w:val="single" w:sz="4" w:space="0" w:color="auto"/>
              <w:left w:val="single" w:sz="4" w:space="0" w:color="auto"/>
              <w:bottom w:val="single" w:sz="4" w:space="0" w:color="auto"/>
              <w:right w:val="nil"/>
            </w:tcBorders>
            <w:shd w:val="clear" w:color="auto" w:fill="auto"/>
            <w:noWrap/>
            <w:vAlign w:val="bottom"/>
          </w:tcPr>
          <w:p w:rsidR="00506651" w:rsidRPr="000B0ACC" w:rsidRDefault="00506651" w:rsidP="00506651">
            <w:pPr>
              <w:jc w:val="center"/>
              <w:rPr>
                <w:rFonts w:cs="Arial"/>
                <w:b/>
                <w:bCs/>
                <w:sz w:val="22"/>
                <w:szCs w:val="22"/>
                <w:lang w:eastAsia="en-GB"/>
              </w:rPr>
            </w:pPr>
            <w:r w:rsidRPr="000B0ACC">
              <w:rPr>
                <w:rFonts w:cs="Arial"/>
                <w:b/>
                <w:bCs/>
                <w:sz w:val="22"/>
                <w:szCs w:val="22"/>
                <w:lang w:eastAsia="en-GB"/>
              </w:rPr>
              <w:t>Council Tax Requirement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06651" w:rsidRPr="000B0ACC" w:rsidRDefault="00506651" w:rsidP="00506651">
            <w:pPr>
              <w:jc w:val="center"/>
              <w:rPr>
                <w:rFonts w:cs="Arial"/>
                <w:b/>
                <w:bCs/>
                <w:color w:val="4F81BD" w:themeColor="accent1"/>
                <w:sz w:val="22"/>
                <w:szCs w:val="22"/>
                <w:lang w:eastAsia="en-GB"/>
              </w:rPr>
            </w:pPr>
            <w:r w:rsidRPr="000B0ACC">
              <w:rPr>
                <w:rFonts w:cs="Arial"/>
                <w:b/>
                <w:bCs/>
                <w:sz w:val="22"/>
                <w:szCs w:val="22"/>
                <w:lang w:eastAsia="en-GB"/>
              </w:rPr>
              <w:t>£</w:t>
            </w:r>
          </w:p>
        </w:tc>
      </w:tr>
      <w:tr w:rsidR="000B0ACC" w:rsidRPr="00FB5B08" w:rsidTr="002302AA">
        <w:trPr>
          <w:trHeight w:val="300"/>
        </w:trPr>
        <w:tc>
          <w:tcPr>
            <w:tcW w:w="3544" w:type="dxa"/>
            <w:tcBorders>
              <w:top w:val="nil"/>
              <w:left w:val="single" w:sz="4" w:space="0" w:color="auto"/>
              <w:bottom w:val="nil"/>
              <w:right w:val="single" w:sz="4" w:space="0" w:color="auto"/>
            </w:tcBorders>
            <w:shd w:val="clear" w:color="auto" w:fill="auto"/>
            <w:noWrap/>
            <w:vAlign w:val="center"/>
          </w:tcPr>
          <w:p w:rsidR="00506651" w:rsidRPr="000B0ACC" w:rsidRDefault="00506651" w:rsidP="002302AA">
            <w:pPr>
              <w:rPr>
                <w:rFonts w:cs="Arial"/>
                <w:sz w:val="22"/>
                <w:szCs w:val="22"/>
                <w:lang w:eastAsia="en-GB"/>
              </w:rPr>
            </w:pPr>
            <w:r w:rsidRPr="000B0ACC">
              <w:rPr>
                <w:rFonts w:cs="Arial"/>
                <w:sz w:val="22"/>
                <w:szCs w:val="22"/>
                <w:lang w:eastAsia="en-GB"/>
              </w:rPr>
              <w:t>Aggregate Expenditure  (a)</w:t>
            </w:r>
          </w:p>
        </w:tc>
        <w:tc>
          <w:tcPr>
            <w:tcW w:w="1559" w:type="dxa"/>
            <w:tcBorders>
              <w:top w:val="nil"/>
              <w:left w:val="nil"/>
              <w:bottom w:val="nil"/>
              <w:right w:val="single" w:sz="4" w:space="0" w:color="auto"/>
            </w:tcBorders>
            <w:shd w:val="clear" w:color="auto" w:fill="auto"/>
            <w:noWrap/>
            <w:vAlign w:val="center"/>
          </w:tcPr>
          <w:p w:rsidR="00506651" w:rsidRPr="00FB02C7" w:rsidRDefault="00506651" w:rsidP="00FB02C7">
            <w:pPr>
              <w:jc w:val="center"/>
              <w:rPr>
                <w:rFonts w:cs="Arial"/>
                <w:sz w:val="22"/>
                <w:szCs w:val="22"/>
                <w:lang w:eastAsia="en-GB"/>
              </w:rPr>
            </w:pPr>
            <w:r w:rsidRPr="00FB02C7">
              <w:rPr>
                <w:rFonts w:cs="Arial"/>
                <w:sz w:val="22"/>
                <w:szCs w:val="22"/>
                <w:lang w:eastAsia="en-GB"/>
              </w:rPr>
              <w:t>4</w:t>
            </w:r>
            <w:r w:rsidR="000B0ACC" w:rsidRPr="00FB02C7">
              <w:rPr>
                <w:rFonts w:cs="Arial"/>
                <w:sz w:val="22"/>
                <w:szCs w:val="22"/>
                <w:lang w:eastAsia="en-GB"/>
              </w:rPr>
              <w:t>8,1</w:t>
            </w:r>
            <w:r w:rsidR="00FB02C7" w:rsidRPr="00FB02C7">
              <w:rPr>
                <w:rFonts w:cs="Arial"/>
                <w:sz w:val="22"/>
                <w:szCs w:val="22"/>
                <w:lang w:eastAsia="en-GB"/>
              </w:rPr>
              <w:t>9</w:t>
            </w:r>
            <w:r w:rsidR="000B0ACC" w:rsidRPr="00FB02C7">
              <w:rPr>
                <w:rFonts w:cs="Arial"/>
                <w:sz w:val="22"/>
                <w:szCs w:val="22"/>
                <w:lang w:eastAsia="en-GB"/>
              </w:rPr>
              <w:t>9,879</w:t>
            </w:r>
          </w:p>
        </w:tc>
      </w:tr>
      <w:tr w:rsidR="000B0ACC" w:rsidRPr="00FB5B08" w:rsidTr="002302AA">
        <w:trPr>
          <w:trHeight w:val="315"/>
        </w:trPr>
        <w:tc>
          <w:tcPr>
            <w:tcW w:w="3544" w:type="dxa"/>
            <w:tcBorders>
              <w:top w:val="nil"/>
              <w:left w:val="single" w:sz="4" w:space="0" w:color="auto"/>
              <w:bottom w:val="nil"/>
              <w:right w:val="single" w:sz="4" w:space="0" w:color="auto"/>
            </w:tcBorders>
            <w:shd w:val="clear" w:color="auto" w:fill="auto"/>
            <w:noWrap/>
            <w:vAlign w:val="center"/>
          </w:tcPr>
          <w:p w:rsidR="00506651" w:rsidRPr="000B0ACC" w:rsidRDefault="00506651" w:rsidP="002302AA">
            <w:pPr>
              <w:rPr>
                <w:rFonts w:cs="Arial"/>
                <w:sz w:val="22"/>
                <w:szCs w:val="22"/>
                <w:lang w:eastAsia="en-GB"/>
              </w:rPr>
            </w:pPr>
            <w:r w:rsidRPr="000B0ACC">
              <w:rPr>
                <w:rFonts w:cs="Arial"/>
                <w:sz w:val="22"/>
                <w:szCs w:val="22"/>
                <w:lang w:eastAsia="en-GB"/>
              </w:rPr>
              <w:t>Aggregate Income (b)</w:t>
            </w:r>
          </w:p>
        </w:tc>
        <w:tc>
          <w:tcPr>
            <w:tcW w:w="1559" w:type="dxa"/>
            <w:tcBorders>
              <w:top w:val="nil"/>
              <w:left w:val="nil"/>
              <w:bottom w:val="single" w:sz="4" w:space="0" w:color="auto"/>
              <w:right w:val="single" w:sz="4" w:space="0" w:color="auto"/>
            </w:tcBorders>
            <w:shd w:val="clear" w:color="auto" w:fill="auto"/>
            <w:noWrap/>
            <w:vAlign w:val="center"/>
          </w:tcPr>
          <w:p w:rsidR="00506651" w:rsidRPr="00FB02C7" w:rsidRDefault="000B0ACC" w:rsidP="00FB02C7">
            <w:pPr>
              <w:jc w:val="center"/>
              <w:rPr>
                <w:rFonts w:cs="Arial"/>
                <w:sz w:val="22"/>
                <w:szCs w:val="22"/>
                <w:lang w:eastAsia="en-GB"/>
              </w:rPr>
            </w:pPr>
            <w:r w:rsidRPr="00FB02C7">
              <w:rPr>
                <w:rFonts w:cs="Arial"/>
                <w:sz w:val="22"/>
                <w:szCs w:val="22"/>
                <w:lang w:eastAsia="en-GB"/>
              </w:rPr>
              <w:t>40,1</w:t>
            </w:r>
            <w:r w:rsidR="00FB02C7" w:rsidRPr="00FB02C7">
              <w:rPr>
                <w:rFonts w:cs="Arial"/>
                <w:sz w:val="22"/>
                <w:szCs w:val="22"/>
                <w:lang w:eastAsia="en-GB"/>
              </w:rPr>
              <w:t>7</w:t>
            </w:r>
            <w:r w:rsidRPr="00FB02C7">
              <w:rPr>
                <w:rFonts w:cs="Arial"/>
                <w:sz w:val="22"/>
                <w:szCs w:val="22"/>
                <w:lang w:eastAsia="en-GB"/>
              </w:rPr>
              <w:t>8,099</w:t>
            </w:r>
          </w:p>
        </w:tc>
      </w:tr>
      <w:tr w:rsidR="000B0ACC" w:rsidRPr="00FB5B08" w:rsidTr="002302AA">
        <w:trPr>
          <w:trHeight w:val="330"/>
        </w:trPr>
        <w:tc>
          <w:tcPr>
            <w:tcW w:w="3544" w:type="dxa"/>
            <w:tcBorders>
              <w:top w:val="nil"/>
              <w:left w:val="single" w:sz="4" w:space="0" w:color="auto"/>
              <w:bottom w:val="single" w:sz="4" w:space="0" w:color="auto"/>
              <w:right w:val="single" w:sz="4" w:space="0" w:color="auto"/>
            </w:tcBorders>
            <w:shd w:val="clear" w:color="auto" w:fill="auto"/>
            <w:noWrap/>
            <w:vAlign w:val="center"/>
          </w:tcPr>
          <w:p w:rsidR="00506651" w:rsidRPr="000B0ACC" w:rsidRDefault="00506651" w:rsidP="002302AA">
            <w:pPr>
              <w:rPr>
                <w:rFonts w:cs="Arial"/>
                <w:sz w:val="22"/>
                <w:szCs w:val="22"/>
                <w:lang w:eastAsia="en-GB"/>
              </w:rPr>
            </w:pPr>
            <w:r w:rsidRPr="000B0ACC">
              <w:rPr>
                <w:rFonts w:cs="Arial"/>
                <w:sz w:val="22"/>
                <w:szCs w:val="22"/>
                <w:lang w:eastAsia="en-GB"/>
              </w:rPr>
              <w:t>Council Tax Requirement (c)</w:t>
            </w:r>
          </w:p>
        </w:tc>
        <w:tc>
          <w:tcPr>
            <w:tcW w:w="1559" w:type="dxa"/>
            <w:tcBorders>
              <w:top w:val="nil"/>
              <w:left w:val="nil"/>
              <w:bottom w:val="single" w:sz="4" w:space="0" w:color="auto"/>
              <w:right w:val="single" w:sz="4" w:space="0" w:color="auto"/>
            </w:tcBorders>
            <w:shd w:val="clear" w:color="auto" w:fill="auto"/>
            <w:noWrap/>
            <w:vAlign w:val="center"/>
          </w:tcPr>
          <w:p w:rsidR="00506651" w:rsidRPr="00FB02C7" w:rsidRDefault="000B0ACC" w:rsidP="002302AA">
            <w:pPr>
              <w:jc w:val="center"/>
              <w:rPr>
                <w:rFonts w:cs="Arial"/>
                <w:bCs/>
                <w:sz w:val="22"/>
                <w:szCs w:val="22"/>
                <w:lang w:eastAsia="en-GB"/>
              </w:rPr>
            </w:pPr>
            <w:r w:rsidRPr="00FB02C7">
              <w:rPr>
                <w:rFonts w:cs="Arial"/>
                <w:bCs/>
                <w:sz w:val="22"/>
                <w:szCs w:val="22"/>
                <w:lang w:eastAsia="en-GB"/>
              </w:rPr>
              <w:t>8,021,780</w:t>
            </w:r>
          </w:p>
        </w:tc>
      </w:tr>
    </w:tbl>
    <w:p w:rsidR="00652C84" w:rsidRPr="00FB5B08" w:rsidRDefault="00652C84" w:rsidP="00652C84">
      <w:pPr>
        <w:ind w:left="720" w:firstLine="131"/>
        <w:jc w:val="both"/>
        <w:rPr>
          <w:color w:val="4F81BD" w:themeColor="accent1"/>
          <w:sz w:val="22"/>
        </w:rPr>
      </w:pPr>
      <w:r w:rsidRPr="00FB5B08">
        <w:rPr>
          <w:color w:val="4F81BD" w:themeColor="accent1"/>
          <w:sz w:val="22"/>
        </w:rPr>
        <w:tab/>
      </w:r>
    </w:p>
    <w:p w:rsidR="001B68C1" w:rsidRPr="000B1852" w:rsidRDefault="00894EF4" w:rsidP="001B68C1">
      <w:pPr>
        <w:ind w:left="720" w:hanging="720"/>
        <w:outlineLvl w:val="0"/>
        <w:rPr>
          <w:b/>
          <w:sz w:val="22"/>
          <w:u w:val="single"/>
        </w:rPr>
      </w:pPr>
      <w:r w:rsidRPr="000B1852">
        <w:rPr>
          <w:sz w:val="22"/>
        </w:rPr>
        <w:t>3.3</w:t>
      </w:r>
      <w:r w:rsidR="001B68C1" w:rsidRPr="000B1852">
        <w:rPr>
          <w:sz w:val="22"/>
        </w:rPr>
        <w:tab/>
      </w:r>
      <w:r w:rsidR="001B68C1" w:rsidRPr="000B1852">
        <w:rPr>
          <w:b/>
          <w:i/>
          <w:sz w:val="22"/>
        </w:rPr>
        <w:t>Basic Amount of Tax</w:t>
      </w:r>
    </w:p>
    <w:p w:rsidR="001B68C1" w:rsidRPr="000B1852" w:rsidRDefault="001B68C1" w:rsidP="001B68C1">
      <w:pPr>
        <w:ind w:left="720" w:hanging="720"/>
        <w:rPr>
          <w:b/>
          <w:sz w:val="22"/>
          <w:u w:val="single"/>
        </w:rPr>
      </w:pPr>
    </w:p>
    <w:p w:rsidR="001B68C1" w:rsidRPr="000B1852" w:rsidRDefault="001B68C1" w:rsidP="001B68C1">
      <w:pPr>
        <w:ind w:left="720" w:hanging="720"/>
        <w:rPr>
          <w:sz w:val="22"/>
        </w:rPr>
      </w:pPr>
      <w:r w:rsidRPr="000B1852">
        <w:rPr>
          <w:sz w:val="22"/>
        </w:rPr>
        <w:tab/>
        <w:t>Calculated as follows:-</w:t>
      </w:r>
    </w:p>
    <w:p w:rsidR="001B68C1" w:rsidRPr="000B1852" w:rsidRDefault="001B68C1" w:rsidP="001B68C1">
      <w:pPr>
        <w:ind w:left="720" w:hanging="720"/>
        <w:rPr>
          <w:b/>
          <w:sz w:val="22"/>
          <w:u w:val="single"/>
        </w:rPr>
      </w:pPr>
    </w:p>
    <w:tbl>
      <w:tblPr>
        <w:tblW w:w="0" w:type="auto"/>
        <w:tblInd w:w="2093" w:type="dxa"/>
        <w:tblLayout w:type="fixed"/>
        <w:tblLook w:val="0000" w:firstRow="0" w:lastRow="0" w:firstColumn="0" w:lastColumn="0" w:noHBand="0" w:noVBand="0"/>
      </w:tblPr>
      <w:tblGrid>
        <w:gridCol w:w="3260"/>
        <w:gridCol w:w="2693"/>
      </w:tblGrid>
      <w:tr w:rsidR="00D651CA" w:rsidRPr="000B1852" w:rsidTr="00D651CA">
        <w:tc>
          <w:tcPr>
            <w:tcW w:w="3260" w:type="dxa"/>
            <w:tcBorders>
              <w:bottom w:val="single" w:sz="6" w:space="0" w:color="auto"/>
            </w:tcBorders>
          </w:tcPr>
          <w:p w:rsidR="00D651CA" w:rsidRPr="000B1852" w:rsidRDefault="00D651CA" w:rsidP="009B4155">
            <w:pPr>
              <w:jc w:val="center"/>
              <w:rPr>
                <w:sz w:val="22"/>
              </w:rPr>
            </w:pPr>
            <w:r w:rsidRPr="000B1852">
              <w:rPr>
                <w:sz w:val="22"/>
              </w:rPr>
              <w:t>Council Tax Requirement</w:t>
            </w:r>
          </w:p>
        </w:tc>
        <w:tc>
          <w:tcPr>
            <w:tcW w:w="2693" w:type="dxa"/>
          </w:tcPr>
          <w:p w:rsidR="00D651CA" w:rsidRPr="000B1852" w:rsidRDefault="00D651CA" w:rsidP="00D651CA">
            <w:pPr>
              <w:rPr>
                <w:sz w:val="22"/>
              </w:rPr>
            </w:pPr>
            <w:r w:rsidRPr="000B1852">
              <w:rPr>
                <w:sz w:val="22"/>
              </w:rPr>
              <w:t>=  Basic Amount of Tax</w:t>
            </w:r>
          </w:p>
        </w:tc>
      </w:tr>
      <w:tr w:rsidR="00D651CA" w:rsidRPr="000B1852" w:rsidTr="00D651CA">
        <w:tc>
          <w:tcPr>
            <w:tcW w:w="3260" w:type="dxa"/>
          </w:tcPr>
          <w:p w:rsidR="00D651CA" w:rsidRPr="000B1852" w:rsidRDefault="00D651CA" w:rsidP="009B4155">
            <w:pPr>
              <w:jc w:val="center"/>
              <w:rPr>
                <w:sz w:val="22"/>
              </w:rPr>
            </w:pPr>
            <w:r w:rsidRPr="000B1852">
              <w:rPr>
                <w:sz w:val="22"/>
              </w:rPr>
              <w:t>Council Tax Base</w:t>
            </w:r>
          </w:p>
        </w:tc>
        <w:tc>
          <w:tcPr>
            <w:tcW w:w="2693" w:type="dxa"/>
          </w:tcPr>
          <w:p w:rsidR="00D651CA" w:rsidRPr="000B1852" w:rsidRDefault="00D651CA" w:rsidP="009B4155">
            <w:pPr>
              <w:jc w:val="center"/>
              <w:rPr>
                <w:sz w:val="22"/>
              </w:rPr>
            </w:pPr>
          </w:p>
        </w:tc>
      </w:tr>
    </w:tbl>
    <w:p w:rsidR="00D651CA" w:rsidRPr="00FB5B08" w:rsidRDefault="00D651CA" w:rsidP="001B68C1">
      <w:pPr>
        <w:ind w:left="720" w:hanging="720"/>
        <w:rPr>
          <w:b/>
          <w:color w:val="4F81BD" w:themeColor="accent1"/>
          <w:sz w:val="22"/>
          <w:u w:val="single"/>
        </w:rPr>
      </w:pPr>
    </w:p>
    <w:tbl>
      <w:tblPr>
        <w:tblW w:w="0" w:type="auto"/>
        <w:tblInd w:w="2093" w:type="dxa"/>
        <w:tblLayout w:type="fixed"/>
        <w:tblLook w:val="0000" w:firstRow="0" w:lastRow="0" w:firstColumn="0" w:lastColumn="0" w:noHBand="0" w:noVBand="0"/>
      </w:tblPr>
      <w:tblGrid>
        <w:gridCol w:w="3260"/>
        <w:gridCol w:w="2405"/>
      </w:tblGrid>
      <w:tr w:rsidR="000B0ACC" w:rsidRPr="00FB5B08" w:rsidTr="00D651CA">
        <w:tc>
          <w:tcPr>
            <w:tcW w:w="3260" w:type="dxa"/>
            <w:tcBorders>
              <w:bottom w:val="single" w:sz="6" w:space="0" w:color="auto"/>
            </w:tcBorders>
          </w:tcPr>
          <w:p w:rsidR="001B68C1" w:rsidRPr="00FB02C7" w:rsidRDefault="00652C84" w:rsidP="000B0ACC">
            <w:pPr>
              <w:jc w:val="center"/>
              <w:rPr>
                <w:color w:val="4F81BD" w:themeColor="accent1"/>
                <w:sz w:val="22"/>
              </w:rPr>
            </w:pPr>
            <w:r w:rsidRPr="00FB02C7">
              <w:rPr>
                <w:sz w:val="22"/>
              </w:rPr>
              <w:t>£</w:t>
            </w:r>
            <w:r w:rsidR="000B0ACC" w:rsidRPr="00FB02C7">
              <w:rPr>
                <w:sz w:val="22"/>
              </w:rPr>
              <w:t>8,021,780</w:t>
            </w:r>
          </w:p>
        </w:tc>
        <w:tc>
          <w:tcPr>
            <w:tcW w:w="2405" w:type="dxa"/>
          </w:tcPr>
          <w:p w:rsidR="001B68C1" w:rsidRPr="00FB02C7" w:rsidRDefault="00652C84" w:rsidP="000B0ACC">
            <w:pPr>
              <w:rPr>
                <w:color w:val="4F81BD" w:themeColor="accent1"/>
                <w:sz w:val="22"/>
              </w:rPr>
            </w:pPr>
            <w:r w:rsidRPr="00FB02C7">
              <w:rPr>
                <w:sz w:val="22"/>
              </w:rPr>
              <w:t>= £</w:t>
            </w:r>
            <w:r w:rsidR="000B0ACC" w:rsidRPr="00FB02C7">
              <w:rPr>
                <w:sz w:val="22"/>
              </w:rPr>
              <w:t>212.15</w:t>
            </w:r>
          </w:p>
        </w:tc>
      </w:tr>
      <w:tr w:rsidR="001B68C1" w:rsidRPr="00FB5B08" w:rsidTr="00D651CA">
        <w:tc>
          <w:tcPr>
            <w:tcW w:w="3260" w:type="dxa"/>
          </w:tcPr>
          <w:p w:rsidR="001B68C1" w:rsidRPr="00FB02C7" w:rsidRDefault="00652C84" w:rsidP="000B0ACC">
            <w:pPr>
              <w:jc w:val="center"/>
              <w:rPr>
                <w:color w:val="4F81BD" w:themeColor="accent1"/>
                <w:sz w:val="22"/>
              </w:rPr>
            </w:pPr>
            <w:r w:rsidRPr="00FB02C7">
              <w:rPr>
                <w:sz w:val="22"/>
              </w:rPr>
              <w:t>3</w:t>
            </w:r>
            <w:r w:rsidR="00280AC7" w:rsidRPr="00FB02C7">
              <w:rPr>
                <w:sz w:val="22"/>
              </w:rPr>
              <w:t>7</w:t>
            </w:r>
            <w:r w:rsidRPr="00FB02C7">
              <w:rPr>
                <w:sz w:val="22"/>
              </w:rPr>
              <w:t>,</w:t>
            </w:r>
            <w:r w:rsidR="000B0ACC" w:rsidRPr="00FB02C7">
              <w:rPr>
                <w:sz w:val="22"/>
              </w:rPr>
              <w:t>812.1</w:t>
            </w:r>
          </w:p>
        </w:tc>
        <w:tc>
          <w:tcPr>
            <w:tcW w:w="2405" w:type="dxa"/>
          </w:tcPr>
          <w:p w:rsidR="001B68C1" w:rsidRPr="00FB02C7" w:rsidRDefault="001B68C1" w:rsidP="00850519">
            <w:pPr>
              <w:jc w:val="center"/>
              <w:rPr>
                <w:color w:val="4F81BD" w:themeColor="accent1"/>
                <w:sz w:val="22"/>
              </w:rPr>
            </w:pPr>
          </w:p>
        </w:tc>
      </w:tr>
    </w:tbl>
    <w:p w:rsidR="001B68C1" w:rsidRPr="00FB5B08" w:rsidRDefault="001B68C1" w:rsidP="001B68C1">
      <w:pPr>
        <w:ind w:left="720" w:hanging="720"/>
        <w:rPr>
          <w:b/>
          <w:color w:val="4F81BD" w:themeColor="accent1"/>
          <w:sz w:val="22"/>
          <w:u w:val="single"/>
        </w:rPr>
      </w:pPr>
    </w:p>
    <w:p w:rsidR="001B68C1" w:rsidRPr="000B1852" w:rsidRDefault="001B68C1" w:rsidP="001B68C1">
      <w:pPr>
        <w:ind w:left="720" w:hanging="720"/>
        <w:rPr>
          <w:sz w:val="22"/>
        </w:rPr>
      </w:pPr>
      <w:r w:rsidRPr="00FB5B08">
        <w:rPr>
          <w:color w:val="4F81BD" w:themeColor="accent1"/>
          <w:sz w:val="22"/>
        </w:rPr>
        <w:lastRenderedPageBreak/>
        <w:tab/>
      </w:r>
      <w:r w:rsidRPr="000B1852">
        <w:rPr>
          <w:sz w:val="22"/>
        </w:rPr>
        <w:t xml:space="preserve">This is the charge that, were there </w:t>
      </w:r>
      <w:r w:rsidR="00C34850" w:rsidRPr="000B1852">
        <w:rPr>
          <w:sz w:val="22"/>
        </w:rPr>
        <w:t xml:space="preserve">are </w:t>
      </w:r>
      <w:r w:rsidRPr="000B1852">
        <w:rPr>
          <w:sz w:val="22"/>
        </w:rPr>
        <w:t xml:space="preserve">no special </w:t>
      </w:r>
      <w:r w:rsidR="0002439C" w:rsidRPr="000B1852">
        <w:rPr>
          <w:sz w:val="22"/>
        </w:rPr>
        <w:t>items</w:t>
      </w:r>
      <w:r w:rsidRPr="000B1852">
        <w:rPr>
          <w:sz w:val="22"/>
        </w:rPr>
        <w:t xml:space="preserve"> in a part of the area, would be levied on a Band D property to meet District and Parish expenditure.</w:t>
      </w:r>
    </w:p>
    <w:p w:rsidR="001B68C1" w:rsidRPr="000B1852" w:rsidRDefault="001B68C1" w:rsidP="001B68C1">
      <w:pPr>
        <w:ind w:left="720" w:hanging="720"/>
        <w:rPr>
          <w:sz w:val="22"/>
        </w:rPr>
      </w:pPr>
      <w:r w:rsidRPr="000B1852">
        <w:rPr>
          <w:sz w:val="22"/>
        </w:rPr>
        <w:tab/>
      </w:r>
    </w:p>
    <w:p w:rsidR="001B68C1" w:rsidRPr="000B1852" w:rsidRDefault="00894EF4" w:rsidP="001B68C1">
      <w:pPr>
        <w:ind w:left="720" w:hanging="720"/>
        <w:outlineLvl w:val="0"/>
        <w:rPr>
          <w:b/>
          <w:sz w:val="22"/>
          <w:u w:val="single"/>
        </w:rPr>
      </w:pPr>
      <w:r w:rsidRPr="000B1852">
        <w:rPr>
          <w:sz w:val="22"/>
        </w:rPr>
        <w:t>3.4</w:t>
      </w:r>
      <w:r w:rsidR="001B68C1" w:rsidRPr="000B1852">
        <w:rPr>
          <w:sz w:val="22"/>
        </w:rPr>
        <w:tab/>
      </w:r>
      <w:r w:rsidR="001B68C1" w:rsidRPr="000B1852">
        <w:rPr>
          <w:b/>
          <w:i/>
          <w:sz w:val="22"/>
        </w:rPr>
        <w:t>Aggregate Amount of Special Items</w:t>
      </w:r>
    </w:p>
    <w:p w:rsidR="001B68C1" w:rsidRPr="000B1852" w:rsidRDefault="001B68C1" w:rsidP="001B68C1">
      <w:pPr>
        <w:ind w:left="720" w:hanging="720"/>
        <w:rPr>
          <w:b/>
          <w:sz w:val="22"/>
          <w:u w:val="single"/>
        </w:rPr>
      </w:pPr>
    </w:p>
    <w:p w:rsidR="001B68C1" w:rsidRPr="000B1852" w:rsidRDefault="001B68C1" w:rsidP="001B68C1">
      <w:pPr>
        <w:ind w:left="720" w:hanging="720"/>
        <w:rPr>
          <w:sz w:val="22"/>
        </w:rPr>
      </w:pPr>
      <w:r w:rsidRPr="000B1852">
        <w:rPr>
          <w:sz w:val="22"/>
        </w:rPr>
        <w:tab/>
        <w:t>Special items include both Parish Precepts and Special Expenses:-</w:t>
      </w:r>
    </w:p>
    <w:p w:rsidR="00BA6CE2" w:rsidRPr="000B1852" w:rsidRDefault="00BA6CE2" w:rsidP="001B68C1">
      <w:pPr>
        <w:ind w:left="720" w:hanging="720"/>
        <w:rPr>
          <w:sz w:val="22"/>
        </w:rPr>
      </w:pPr>
    </w:p>
    <w:tbl>
      <w:tblPr>
        <w:tblW w:w="7371" w:type="dxa"/>
        <w:tblInd w:w="817" w:type="dxa"/>
        <w:tblLook w:val="0000" w:firstRow="0" w:lastRow="0" w:firstColumn="0" w:lastColumn="0" w:noHBand="0" w:noVBand="0"/>
      </w:tblPr>
      <w:tblGrid>
        <w:gridCol w:w="2835"/>
        <w:gridCol w:w="1418"/>
        <w:gridCol w:w="1559"/>
        <w:gridCol w:w="1559"/>
      </w:tblGrid>
      <w:tr w:rsidR="00D200AE" w:rsidRPr="00FB5B08" w:rsidTr="003F3F2A">
        <w:trPr>
          <w:trHeight w:val="375"/>
        </w:trPr>
        <w:tc>
          <w:tcPr>
            <w:tcW w:w="2835" w:type="dxa"/>
            <w:tcBorders>
              <w:top w:val="single" w:sz="4" w:space="0" w:color="auto"/>
              <w:left w:val="single" w:sz="4" w:space="0" w:color="auto"/>
              <w:bottom w:val="nil"/>
              <w:right w:val="single" w:sz="4" w:space="0" w:color="auto"/>
            </w:tcBorders>
            <w:shd w:val="clear" w:color="auto" w:fill="auto"/>
            <w:noWrap/>
            <w:vAlign w:val="bottom"/>
          </w:tcPr>
          <w:p w:rsidR="00D200AE" w:rsidRPr="003F3F2A" w:rsidRDefault="00D200AE" w:rsidP="00506651">
            <w:pPr>
              <w:rPr>
                <w:rFonts w:cs="Arial"/>
                <w:b/>
                <w:sz w:val="22"/>
                <w:szCs w:val="22"/>
                <w:lang w:eastAsia="en-GB"/>
              </w:rPr>
            </w:pPr>
            <w:r w:rsidRPr="003F3F2A">
              <w:rPr>
                <w:rFonts w:cs="Arial"/>
                <w:b/>
                <w:sz w:val="22"/>
                <w:szCs w:val="22"/>
                <w:lang w:eastAsia="en-GB"/>
              </w:rPr>
              <w:t>Special items</w:t>
            </w:r>
          </w:p>
        </w:tc>
        <w:tc>
          <w:tcPr>
            <w:tcW w:w="1418" w:type="dxa"/>
            <w:tcBorders>
              <w:top w:val="single" w:sz="4" w:space="0" w:color="auto"/>
              <w:left w:val="nil"/>
              <w:bottom w:val="nil"/>
              <w:right w:val="single" w:sz="4" w:space="0" w:color="auto"/>
            </w:tcBorders>
            <w:shd w:val="clear" w:color="auto" w:fill="auto"/>
            <w:vAlign w:val="center"/>
          </w:tcPr>
          <w:p w:rsidR="00D200AE" w:rsidRPr="003F3F2A" w:rsidRDefault="00D200AE" w:rsidP="00506651">
            <w:pPr>
              <w:jc w:val="center"/>
              <w:rPr>
                <w:rFonts w:cs="Arial"/>
                <w:b/>
                <w:bCs/>
                <w:sz w:val="22"/>
                <w:szCs w:val="22"/>
                <w:lang w:eastAsia="en-GB"/>
              </w:rPr>
            </w:pPr>
            <w:r w:rsidRPr="003F3F2A">
              <w:rPr>
                <w:rFonts w:cs="Arial"/>
                <w:b/>
                <w:bCs/>
                <w:sz w:val="22"/>
                <w:szCs w:val="22"/>
                <w:lang w:eastAsia="en-GB"/>
              </w:rPr>
              <w:t>£</w:t>
            </w:r>
          </w:p>
        </w:tc>
        <w:tc>
          <w:tcPr>
            <w:tcW w:w="1559" w:type="dxa"/>
            <w:tcBorders>
              <w:top w:val="single" w:sz="4" w:space="0" w:color="auto"/>
              <w:left w:val="nil"/>
              <w:bottom w:val="nil"/>
              <w:right w:val="single" w:sz="4" w:space="0" w:color="auto"/>
            </w:tcBorders>
            <w:vAlign w:val="center"/>
          </w:tcPr>
          <w:p w:rsidR="00D200AE" w:rsidRPr="003F3F2A" w:rsidRDefault="00D200AE" w:rsidP="003F3F2A">
            <w:pPr>
              <w:jc w:val="center"/>
              <w:rPr>
                <w:rFonts w:cs="Arial"/>
                <w:b/>
                <w:bCs/>
                <w:sz w:val="22"/>
                <w:szCs w:val="22"/>
                <w:lang w:eastAsia="en-GB"/>
              </w:rPr>
            </w:pPr>
            <w:r w:rsidRPr="003F3F2A">
              <w:rPr>
                <w:rFonts w:cs="Arial"/>
                <w:b/>
                <w:bCs/>
                <w:sz w:val="22"/>
                <w:szCs w:val="22"/>
                <w:lang w:eastAsia="en-GB"/>
              </w:rPr>
              <w:t>£</w:t>
            </w:r>
          </w:p>
        </w:tc>
        <w:tc>
          <w:tcPr>
            <w:tcW w:w="1559" w:type="dxa"/>
            <w:tcBorders>
              <w:top w:val="single" w:sz="4" w:space="0" w:color="auto"/>
              <w:left w:val="nil"/>
              <w:bottom w:val="nil"/>
              <w:right w:val="single" w:sz="4" w:space="0" w:color="auto"/>
            </w:tcBorders>
            <w:vAlign w:val="center"/>
          </w:tcPr>
          <w:p w:rsidR="00D200AE" w:rsidRPr="003F3F2A" w:rsidRDefault="00D200AE" w:rsidP="003F3F2A">
            <w:pPr>
              <w:jc w:val="center"/>
              <w:rPr>
                <w:rFonts w:cs="Arial"/>
                <w:b/>
                <w:bCs/>
                <w:sz w:val="22"/>
                <w:szCs w:val="22"/>
                <w:lang w:eastAsia="en-GB"/>
              </w:rPr>
            </w:pPr>
            <w:r w:rsidRPr="003F3F2A">
              <w:rPr>
                <w:rFonts w:cs="Arial"/>
                <w:b/>
                <w:bCs/>
                <w:sz w:val="22"/>
                <w:szCs w:val="22"/>
                <w:lang w:eastAsia="en-GB"/>
              </w:rPr>
              <w:t>£</w:t>
            </w:r>
          </w:p>
        </w:tc>
      </w:tr>
      <w:tr w:rsidR="00D200AE" w:rsidRPr="00FB5B08" w:rsidTr="00D200AE">
        <w:trPr>
          <w:trHeight w:val="405"/>
        </w:trPr>
        <w:tc>
          <w:tcPr>
            <w:tcW w:w="2835" w:type="dxa"/>
            <w:tcBorders>
              <w:top w:val="single" w:sz="4" w:space="0" w:color="auto"/>
              <w:left w:val="single" w:sz="4" w:space="0" w:color="auto"/>
              <w:bottom w:val="nil"/>
              <w:right w:val="single" w:sz="4" w:space="0" w:color="auto"/>
            </w:tcBorders>
            <w:shd w:val="clear" w:color="auto" w:fill="auto"/>
            <w:noWrap/>
            <w:vAlign w:val="bottom"/>
          </w:tcPr>
          <w:p w:rsidR="00D200AE" w:rsidRPr="003F3F2A" w:rsidRDefault="00D200AE" w:rsidP="00D200AE">
            <w:pPr>
              <w:rPr>
                <w:rFonts w:cs="Arial"/>
                <w:b/>
                <w:bCs/>
                <w:sz w:val="22"/>
                <w:szCs w:val="22"/>
                <w:lang w:eastAsia="en-GB"/>
              </w:rPr>
            </w:pPr>
            <w:r w:rsidRPr="003F3F2A">
              <w:rPr>
                <w:rFonts w:cs="Arial"/>
                <w:b/>
                <w:bCs/>
                <w:sz w:val="22"/>
                <w:szCs w:val="22"/>
                <w:lang w:eastAsia="en-GB"/>
              </w:rPr>
              <w:t xml:space="preserve">Area </w:t>
            </w:r>
          </w:p>
        </w:tc>
        <w:tc>
          <w:tcPr>
            <w:tcW w:w="1418" w:type="dxa"/>
            <w:tcBorders>
              <w:top w:val="single" w:sz="4" w:space="0" w:color="auto"/>
              <w:left w:val="nil"/>
              <w:bottom w:val="nil"/>
              <w:right w:val="single" w:sz="4" w:space="0" w:color="auto"/>
            </w:tcBorders>
            <w:shd w:val="clear" w:color="auto" w:fill="auto"/>
            <w:noWrap/>
            <w:vAlign w:val="center"/>
          </w:tcPr>
          <w:p w:rsidR="00D200AE" w:rsidRPr="003F3F2A" w:rsidRDefault="00D200AE" w:rsidP="00D200AE">
            <w:pPr>
              <w:jc w:val="center"/>
              <w:rPr>
                <w:rFonts w:ascii="Wingdings 2" w:hAnsi="Wingdings 2" w:cs="Arial"/>
                <w:sz w:val="22"/>
                <w:szCs w:val="22"/>
                <w:lang w:eastAsia="en-GB"/>
              </w:rPr>
            </w:pPr>
            <w:r w:rsidRPr="003F3F2A">
              <w:rPr>
                <w:rFonts w:cs="Arial"/>
                <w:b/>
                <w:bCs/>
                <w:sz w:val="22"/>
                <w:szCs w:val="22"/>
                <w:lang w:eastAsia="en-GB"/>
              </w:rPr>
              <w:t>Precepts</w:t>
            </w:r>
          </w:p>
        </w:tc>
        <w:tc>
          <w:tcPr>
            <w:tcW w:w="1559" w:type="dxa"/>
            <w:tcBorders>
              <w:top w:val="single" w:sz="4" w:space="0" w:color="auto"/>
              <w:left w:val="nil"/>
              <w:bottom w:val="nil"/>
              <w:right w:val="single" w:sz="4" w:space="0" w:color="auto"/>
            </w:tcBorders>
          </w:tcPr>
          <w:p w:rsidR="00D200AE" w:rsidRPr="003F3F2A" w:rsidRDefault="00D200AE" w:rsidP="00506651">
            <w:pPr>
              <w:jc w:val="center"/>
              <w:rPr>
                <w:rFonts w:ascii="Wingdings 2" w:hAnsi="Wingdings 2" w:cs="Arial"/>
                <w:sz w:val="22"/>
                <w:szCs w:val="22"/>
                <w:lang w:eastAsia="en-GB"/>
              </w:rPr>
            </w:pPr>
            <w:r w:rsidRPr="003F3F2A">
              <w:rPr>
                <w:rFonts w:cs="Arial"/>
                <w:b/>
                <w:bCs/>
                <w:sz w:val="22"/>
                <w:szCs w:val="22"/>
                <w:lang w:eastAsia="en-GB"/>
              </w:rPr>
              <w:t>Special Expenses</w:t>
            </w:r>
          </w:p>
        </w:tc>
        <w:tc>
          <w:tcPr>
            <w:tcW w:w="1559" w:type="dxa"/>
            <w:tcBorders>
              <w:top w:val="single" w:sz="4" w:space="0" w:color="auto"/>
              <w:left w:val="nil"/>
              <w:bottom w:val="nil"/>
              <w:right w:val="single" w:sz="4" w:space="0" w:color="auto"/>
            </w:tcBorders>
            <w:vAlign w:val="center"/>
          </w:tcPr>
          <w:p w:rsidR="00D200AE" w:rsidRPr="003F3F2A" w:rsidRDefault="00D200AE" w:rsidP="00D200AE">
            <w:pPr>
              <w:jc w:val="center"/>
              <w:rPr>
                <w:rFonts w:ascii="Wingdings 2" w:hAnsi="Wingdings 2" w:cs="Arial"/>
                <w:sz w:val="22"/>
                <w:szCs w:val="22"/>
                <w:lang w:eastAsia="en-GB"/>
              </w:rPr>
            </w:pPr>
            <w:r w:rsidRPr="003F3F2A">
              <w:rPr>
                <w:rFonts w:cs="Arial"/>
                <w:b/>
                <w:bCs/>
                <w:sz w:val="22"/>
                <w:szCs w:val="22"/>
                <w:lang w:eastAsia="en-GB"/>
              </w:rPr>
              <w:t>Total</w:t>
            </w:r>
          </w:p>
        </w:tc>
      </w:tr>
      <w:tr w:rsidR="00D200AE" w:rsidRPr="00FB5B08" w:rsidTr="00FB02C7">
        <w:trPr>
          <w:trHeight w:val="36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r w:rsidRPr="003F3F2A">
              <w:rPr>
                <w:rFonts w:cs="Arial"/>
                <w:sz w:val="22"/>
                <w:szCs w:val="22"/>
                <w:lang w:eastAsia="en-GB"/>
              </w:rPr>
              <w:t xml:space="preserve">Abbots Langley </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652,275</w:t>
            </w:r>
          </w:p>
        </w:tc>
        <w:tc>
          <w:tcPr>
            <w:tcW w:w="1559" w:type="dxa"/>
            <w:tcBorders>
              <w:top w:val="nil"/>
              <w:left w:val="nil"/>
              <w:bottom w:val="nil"/>
              <w:right w:val="single" w:sz="4" w:space="0" w:color="auto"/>
            </w:tcBorders>
            <w:shd w:val="clear" w:color="auto" w:fill="auto"/>
            <w:vAlign w:val="center"/>
          </w:tcPr>
          <w:p w:rsidR="00D200AE" w:rsidRPr="00FB02C7" w:rsidRDefault="00D200AE" w:rsidP="00D200AE">
            <w:pPr>
              <w:jc w:val="right"/>
              <w:rPr>
                <w:rFonts w:cs="Arial"/>
                <w:sz w:val="22"/>
                <w:szCs w:val="22"/>
                <w:lang w:eastAsia="en-GB"/>
              </w:rPr>
            </w:pPr>
            <w:r w:rsidRPr="00FB02C7">
              <w:rPr>
                <w:rFonts w:cs="Arial"/>
                <w:sz w:val="22"/>
                <w:szCs w:val="22"/>
                <w:lang w:eastAsia="en-GB"/>
              </w:rPr>
              <w:t>2,160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654,435</w:t>
            </w:r>
          </w:p>
        </w:tc>
      </w:tr>
      <w:tr w:rsidR="00D200AE" w:rsidRPr="00FB5B08" w:rsidTr="00FB02C7">
        <w:trPr>
          <w:trHeight w:val="30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r w:rsidRPr="003F3F2A">
              <w:rPr>
                <w:rFonts w:cs="Arial"/>
                <w:sz w:val="22"/>
                <w:szCs w:val="22"/>
                <w:lang w:eastAsia="en-GB"/>
              </w:rPr>
              <w:t xml:space="preserve">Chorleywood </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450,000</w:t>
            </w:r>
          </w:p>
        </w:tc>
        <w:tc>
          <w:tcPr>
            <w:tcW w:w="1559" w:type="dxa"/>
            <w:tcBorders>
              <w:top w:val="nil"/>
              <w:left w:val="nil"/>
              <w:bottom w:val="nil"/>
              <w:right w:val="single" w:sz="4" w:space="0" w:color="auto"/>
            </w:tcBorders>
            <w:shd w:val="clear" w:color="auto" w:fill="auto"/>
            <w:vAlign w:val="center"/>
          </w:tcPr>
          <w:p w:rsidR="00D200AE" w:rsidRPr="00FB02C7" w:rsidRDefault="00D200AE" w:rsidP="00D200AE">
            <w:pPr>
              <w:jc w:val="right"/>
              <w:rPr>
                <w:rFonts w:cs="Arial"/>
                <w:sz w:val="22"/>
                <w:szCs w:val="22"/>
                <w:lang w:eastAsia="en-GB"/>
              </w:rPr>
            </w:pPr>
            <w:r w:rsidRPr="00FB02C7">
              <w:rPr>
                <w:rFonts w:cs="Arial"/>
                <w:sz w:val="22"/>
                <w:szCs w:val="22"/>
                <w:lang w:eastAsia="en-GB"/>
              </w:rPr>
              <w:t>98,790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548,790</w:t>
            </w:r>
          </w:p>
        </w:tc>
      </w:tr>
      <w:tr w:rsidR="00D200AE" w:rsidRPr="00FB5B08" w:rsidTr="00FB02C7">
        <w:trPr>
          <w:trHeight w:val="30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r w:rsidRPr="003F3F2A">
              <w:rPr>
                <w:rFonts w:cs="Arial"/>
                <w:sz w:val="22"/>
                <w:szCs w:val="22"/>
                <w:lang w:eastAsia="en-GB"/>
              </w:rPr>
              <w:t xml:space="preserve">Croxley Green </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286,944</w:t>
            </w:r>
          </w:p>
        </w:tc>
        <w:tc>
          <w:tcPr>
            <w:tcW w:w="1559" w:type="dxa"/>
            <w:tcBorders>
              <w:top w:val="nil"/>
              <w:left w:val="nil"/>
              <w:bottom w:val="nil"/>
              <w:right w:val="single" w:sz="4" w:space="0" w:color="auto"/>
            </w:tcBorders>
            <w:shd w:val="clear" w:color="auto" w:fill="auto"/>
            <w:vAlign w:val="center"/>
          </w:tcPr>
          <w:p w:rsidR="00D200AE" w:rsidRPr="00FB02C7" w:rsidRDefault="00D200AE" w:rsidP="00D200AE">
            <w:pPr>
              <w:jc w:val="right"/>
              <w:rPr>
                <w:rFonts w:cs="Arial"/>
                <w:sz w:val="22"/>
                <w:szCs w:val="22"/>
                <w:lang w:eastAsia="en-GB"/>
              </w:rPr>
            </w:pPr>
            <w:r w:rsidRPr="00FB02C7">
              <w:rPr>
                <w:rFonts w:cs="Arial"/>
                <w:sz w:val="22"/>
                <w:szCs w:val="22"/>
                <w:lang w:eastAsia="en-GB"/>
              </w:rPr>
              <w:t>130,130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417,074</w:t>
            </w:r>
          </w:p>
        </w:tc>
      </w:tr>
      <w:tr w:rsidR="00D200AE" w:rsidRPr="00FB5B08" w:rsidTr="00FB02C7">
        <w:trPr>
          <w:trHeight w:val="30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r w:rsidRPr="003F3F2A">
              <w:rPr>
                <w:rFonts w:cs="Arial"/>
                <w:sz w:val="22"/>
                <w:szCs w:val="22"/>
                <w:lang w:eastAsia="en-GB"/>
              </w:rPr>
              <w:t xml:space="preserve">Sarratt </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89,586</w:t>
            </w:r>
          </w:p>
        </w:tc>
        <w:tc>
          <w:tcPr>
            <w:tcW w:w="1559" w:type="dxa"/>
            <w:tcBorders>
              <w:top w:val="nil"/>
              <w:left w:val="nil"/>
              <w:bottom w:val="nil"/>
              <w:right w:val="single" w:sz="4" w:space="0" w:color="auto"/>
            </w:tcBorders>
            <w:shd w:val="clear" w:color="auto" w:fill="auto"/>
            <w:vAlign w:val="center"/>
          </w:tcPr>
          <w:p w:rsidR="00D200AE" w:rsidRPr="00FB02C7" w:rsidRDefault="00D200AE" w:rsidP="00D200AE">
            <w:pPr>
              <w:jc w:val="right"/>
              <w:rPr>
                <w:rFonts w:cs="Arial"/>
                <w:sz w:val="22"/>
                <w:szCs w:val="22"/>
                <w:lang w:eastAsia="en-GB"/>
              </w:rPr>
            </w:pPr>
            <w:r w:rsidRPr="00FB02C7">
              <w:rPr>
                <w:rFonts w:cs="Arial"/>
                <w:sz w:val="22"/>
                <w:szCs w:val="22"/>
                <w:lang w:eastAsia="en-GB"/>
              </w:rPr>
              <w:t>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89,586</w:t>
            </w:r>
          </w:p>
        </w:tc>
      </w:tr>
      <w:tr w:rsidR="00D200AE" w:rsidRPr="00FB5B08" w:rsidTr="00FB02C7">
        <w:trPr>
          <w:trHeight w:val="30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r w:rsidRPr="003F3F2A">
              <w:rPr>
                <w:rFonts w:cs="Arial"/>
                <w:sz w:val="22"/>
                <w:szCs w:val="22"/>
                <w:lang w:eastAsia="en-GB"/>
              </w:rPr>
              <w:t xml:space="preserve">Watford Rural </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240,012</w:t>
            </w:r>
          </w:p>
        </w:tc>
        <w:tc>
          <w:tcPr>
            <w:tcW w:w="1559" w:type="dxa"/>
            <w:tcBorders>
              <w:top w:val="nil"/>
              <w:left w:val="nil"/>
              <w:bottom w:val="nil"/>
              <w:right w:val="single" w:sz="4" w:space="0" w:color="auto"/>
            </w:tcBorders>
            <w:shd w:val="clear" w:color="auto" w:fill="auto"/>
            <w:vAlign w:val="center"/>
          </w:tcPr>
          <w:p w:rsidR="00D200AE" w:rsidRPr="00FB02C7" w:rsidRDefault="00D200AE" w:rsidP="00D200AE">
            <w:pPr>
              <w:jc w:val="right"/>
              <w:rPr>
                <w:rFonts w:cs="Arial"/>
                <w:sz w:val="22"/>
                <w:szCs w:val="22"/>
                <w:lang w:eastAsia="en-GB"/>
              </w:rPr>
            </w:pPr>
            <w:r w:rsidRPr="00FB02C7">
              <w:rPr>
                <w:rFonts w:cs="Arial"/>
                <w:sz w:val="22"/>
                <w:szCs w:val="22"/>
                <w:lang w:eastAsia="en-GB"/>
              </w:rPr>
              <w:t>263,620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503,632</w:t>
            </w:r>
          </w:p>
        </w:tc>
      </w:tr>
      <w:tr w:rsidR="00D200AE" w:rsidRPr="00FB5B08" w:rsidTr="00FB02C7">
        <w:trPr>
          <w:trHeight w:val="30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proofErr w:type="spellStart"/>
            <w:r w:rsidRPr="003F3F2A">
              <w:rPr>
                <w:rFonts w:cs="Arial"/>
                <w:sz w:val="22"/>
                <w:szCs w:val="22"/>
                <w:lang w:eastAsia="en-GB"/>
              </w:rPr>
              <w:t>Batchworth</w:t>
            </w:r>
            <w:proofErr w:type="spellEnd"/>
            <w:r w:rsidRPr="003F3F2A">
              <w:rPr>
                <w:rFonts w:cs="Arial"/>
                <w:sz w:val="22"/>
                <w:szCs w:val="22"/>
                <w:lang w:eastAsia="en-GB"/>
              </w:rPr>
              <w:t xml:space="preserve"> </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105,560</w:t>
            </w:r>
          </w:p>
        </w:tc>
        <w:tc>
          <w:tcPr>
            <w:tcW w:w="1559" w:type="dxa"/>
            <w:tcBorders>
              <w:top w:val="nil"/>
              <w:left w:val="nil"/>
              <w:bottom w:val="nil"/>
              <w:right w:val="single" w:sz="4" w:space="0" w:color="auto"/>
            </w:tcBorders>
            <w:shd w:val="clear" w:color="auto" w:fill="auto"/>
            <w:vAlign w:val="center"/>
          </w:tcPr>
          <w:p w:rsidR="00D200AE" w:rsidRPr="00FB02C7" w:rsidRDefault="00D200AE" w:rsidP="00D200AE">
            <w:pPr>
              <w:jc w:val="right"/>
              <w:rPr>
                <w:rFonts w:cs="Arial"/>
                <w:sz w:val="22"/>
                <w:szCs w:val="22"/>
                <w:lang w:eastAsia="en-GB"/>
              </w:rPr>
            </w:pPr>
            <w:r w:rsidRPr="00FB02C7">
              <w:rPr>
                <w:rFonts w:cs="Arial"/>
                <w:sz w:val="22"/>
                <w:szCs w:val="22"/>
                <w:lang w:eastAsia="en-GB"/>
              </w:rPr>
              <w:t>399,570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505,130</w:t>
            </w:r>
          </w:p>
        </w:tc>
      </w:tr>
      <w:tr w:rsidR="00D200AE" w:rsidRPr="00FB5B08" w:rsidTr="00FB02C7">
        <w:trPr>
          <w:trHeight w:val="300"/>
        </w:trPr>
        <w:tc>
          <w:tcPr>
            <w:tcW w:w="2835" w:type="dxa"/>
            <w:tcBorders>
              <w:top w:val="nil"/>
              <w:left w:val="single" w:sz="4" w:space="0" w:color="auto"/>
              <w:bottom w:val="nil"/>
              <w:right w:val="single" w:sz="4" w:space="0" w:color="auto"/>
            </w:tcBorders>
            <w:shd w:val="clear" w:color="auto" w:fill="auto"/>
            <w:noWrap/>
            <w:vAlign w:val="center"/>
          </w:tcPr>
          <w:p w:rsidR="00D200AE" w:rsidRPr="003F3F2A" w:rsidRDefault="00D200AE" w:rsidP="00D200AE">
            <w:pPr>
              <w:rPr>
                <w:rFonts w:cs="Arial"/>
                <w:sz w:val="22"/>
                <w:szCs w:val="22"/>
                <w:lang w:eastAsia="en-GB"/>
              </w:rPr>
            </w:pPr>
            <w:r w:rsidRPr="003F3F2A">
              <w:rPr>
                <w:rFonts w:cs="Arial"/>
                <w:sz w:val="22"/>
                <w:szCs w:val="22"/>
                <w:lang w:eastAsia="en-GB"/>
              </w:rPr>
              <w:t>Unparished</w:t>
            </w:r>
          </w:p>
        </w:tc>
        <w:tc>
          <w:tcPr>
            <w:tcW w:w="1418" w:type="dxa"/>
            <w:tcBorders>
              <w:top w:val="nil"/>
              <w:left w:val="nil"/>
              <w:bottom w:val="nil"/>
              <w:right w:val="single" w:sz="4" w:space="0" w:color="auto"/>
            </w:tcBorders>
            <w:shd w:val="clear" w:color="auto" w:fill="auto"/>
            <w:noWrap/>
            <w:vAlign w:val="center"/>
          </w:tcPr>
          <w:p w:rsidR="00D200AE" w:rsidRPr="003F3F2A" w:rsidRDefault="00D200AE" w:rsidP="00D200AE">
            <w:pPr>
              <w:jc w:val="right"/>
              <w:rPr>
                <w:rFonts w:cs="Arial"/>
                <w:sz w:val="22"/>
                <w:szCs w:val="22"/>
                <w:lang w:eastAsia="en-GB"/>
              </w:rPr>
            </w:pPr>
            <w:r w:rsidRPr="003F3F2A">
              <w:rPr>
                <w:rFonts w:cs="Arial"/>
                <w:sz w:val="22"/>
                <w:szCs w:val="22"/>
                <w:lang w:eastAsia="en-GB"/>
              </w:rPr>
              <w:t>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235,310</w:t>
            </w:r>
          </w:p>
        </w:tc>
        <w:tc>
          <w:tcPr>
            <w:tcW w:w="1559" w:type="dxa"/>
            <w:tcBorders>
              <w:top w:val="nil"/>
              <w:left w:val="nil"/>
              <w:bottom w:val="nil"/>
              <w:right w:val="single" w:sz="4" w:space="0" w:color="auto"/>
            </w:tcBorders>
            <w:shd w:val="clear" w:color="auto" w:fill="auto"/>
            <w:vAlign w:val="center"/>
          </w:tcPr>
          <w:p w:rsidR="00D200AE" w:rsidRPr="00FB02C7" w:rsidRDefault="003F3F2A" w:rsidP="00D200AE">
            <w:pPr>
              <w:jc w:val="right"/>
              <w:rPr>
                <w:rFonts w:cs="Arial"/>
                <w:sz w:val="22"/>
                <w:szCs w:val="22"/>
                <w:lang w:eastAsia="en-GB"/>
              </w:rPr>
            </w:pPr>
            <w:r w:rsidRPr="00FB02C7">
              <w:rPr>
                <w:rFonts w:cs="Arial"/>
                <w:sz w:val="22"/>
                <w:szCs w:val="22"/>
                <w:lang w:eastAsia="en-GB"/>
              </w:rPr>
              <w:t>235,310</w:t>
            </w:r>
          </w:p>
        </w:tc>
      </w:tr>
      <w:tr w:rsidR="00D200AE" w:rsidRPr="00FB5B08" w:rsidTr="00FB02C7">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0AE" w:rsidRPr="003F3F2A" w:rsidRDefault="00D200AE" w:rsidP="003F3F2A">
            <w:pPr>
              <w:rPr>
                <w:rFonts w:cs="Arial"/>
                <w:b/>
                <w:bCs/>
                <w:sz w:val="22"/>
                <w:szCs w:val="22"/>
                <w:lang w:eastAsia="en-GB"/>
              </w:rPr>
            </w:pPr>
            <w:r w:rsidRPr="003F3F2A">
              <w:rPr>
                <w:rFonts w:cs="Arial"/>
                <w:b/>
                <w:bCs/>
                <w:sz w:val="22"/>
                <w:szCs w:val="22"/>
                <w:lang w:eastAsia="en-GB"/>
              </w:rPr>
              <w:t xml:space="preserve">Total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200AE" w:rsidRPr="003F3F2A" w:rsidRDefault="00D200AE" w:rsidP="00D200AE">
            <w:pPr>
              <w:jc w:val="right"/>
              <w:rPr>
                <w:rFonts w:cs="Arial"/>
                <w:b/>
                <w:bCs/>
                <w:sz w:val="22"/>
                <w:szCs w:val="22"/>
                <w:lang w:eastAsia="en-GB"/>
              </w:rPr>
            </w:pPr>
            <w:r w:rsidRPr="003F3F2A">
              <w:rPr>
                <w:rFonts w:cs="Arial"/>
                <w:b/>
                <w:bCs/>
                <w:sz w:val="22"/>
                <w:szCs w:val="22"/>
                <w:lang w:eastAsia="en-GB"/>
              </w:rPr>
              <w:t>1,824,377</w:t>
            </w:r>
          </w:p>
        </w:tc>
        <w:tc>
          <w:tcPr>
            <w:tcW w:w="1559" w:type="dxa"/>
            <w:tcBorders>
              <w:top w:val="single" w:sz="4" w:space="0" w:color="auto"/>
              <w:left w:val="nil"/>
              <w:bottom w:val="single" w:sz="4" w:space="0" w:color="auto"/>
              <w:right w:val="single" w:sz="4" w:space="0" w:color="auto"/>
            </w:tcBorders>
            <w:shd w:val="clear" w:color="auto" w:fill="auto"/>
            <w:vAlign w:val="center"/>
          </w:tcPr>
          <w:p w:rsidR="00D200AE" w:rsidRPr="00FB02C7" w:rsidRDefault="003F3F2A" w:rsidP="00D200AE">
            <w:pPr>
              <w:jc w:val="right"/>
              <w:rPr>
                <w:rFonts w:cs="Arial"/>
                <w:b/>
                <w:bCs/>
                <w:sz w:val="22"/>
                <w:szCs w:val="22"/>
                <w:lang w:eastAsia="en-GB"/>
              </w:rPr>
            </w:pPr>
            <w:r w:rsidRPr="00FB02C7">
              <w:rPr>
                <w:rFonts w:cs="Arial"/>
                <w:b/>
                <w:bCs/>
                <w:sz w:val="22"/>
                <w:szCs w:val="22"/>
                <w:lang w:eastAsia="en-GB"/>
              </w:rPr>
              <w:t>1,129,580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00AE" w:rsidRPr="00FB02C7" w:rsidRDefault="003F3F2A" w:rsidP="00D200AE">
            <w:pPr>
              <w:jc w:val="right"/>
              <w:rPr>
                <w:rFonts w:cs="Arial"/>
                <w:b/>
                <w:bCs/>
                <w:sz w:val="22"/>
                <w:szCs w:val="22"/>
                <w:lang w:eastAsia="en-GB"/>
              </w:rPr>
            </w:pPr>
            <w:r w:rsidRPr="00FB02C7">
              <w:rPr>
                <w:rFonts w:cs="Arial"/>
                <w:b/>
                <w:bCs/>
                <w:sz w:val="22"/>
                <w:szCs w:val="22"/>
                <w:lang w:eastAsia="en-GB"/>
              </w:rPr>
              <w:t>2,953,957</w:t>
            </w:r>
          </w:p>
        </w:tc>
      </w:tr>
    </w:tbl>
    <w:p w:rsidR="00652C84" w:rsidRPr="00FB5B08" w:rsidRDefault="00652C84" w:rsidP="001B68C1">
      <w:pPr>
        <w:ind w:left="720" w:hanging="720"/>
        <w:rPr>
          <w:color w:val="4F81BD" w:themeColor="accent1"/>
          <w:sz w:val="22"/>
        </w:rPr>
      </w:pPr>
    </w:p>
    <w:p w:rsidR="001B68C1" w:rsidRPr="000B1852" w:rsidRDefault="00894EF4" w:rsidP="00C34850">
      <w:pPr>
        <w:ind w:left="720" w:hanging="720"/>
        <w:rPr>
          <w:b/>
          <w:i/>
          <w:sz w:val="22"/>
        </w:rPr>
      </w:pPr>
      <w:r w:rsidRPr="000B1852">
        <w:rPr>
          <w:sz w:val="22"/>
        </w:rPr>
        <w:t>3.5</w:t>
      </w:r>
      <w:r w:rsidR="001B68C1" w:rsidRPr="000B1852">
        <w:rPr>
          <w:sz w:val="22"/>
        </w:rPr>
        <w:tab/>
      </w:r>
      <w:r w:rsidR="001B68C1" w:rsidRPr="000B1852">
        <w:rPr>
          <w:b/>
          <w:i/>
          <w:sz w:val="22"/>
        </w:rPr>
        <w:t>Basic Amount of Council Tax for Dwellings in a Part of the District Were No Special Items to Apply</w:t>
      </w:r>
    </w:p>
    <w:p w:rsidR="001B68C1" w:rsidRPr="000B1852" w:rsidRDefault="001B68C1" w:rsidP="001B68C1">
      <w:pPr>
        <w:ind w:left="720" w:hanging="720"/>
        <w:rPr>
          <w:b/>
          <w:sz w:val="22"/>
          <w:u w:val="single"/>
        </w:rPr>
      </w:pPr>
    </w:p>
    <w:p w:rsidR="001B68C1" w:rsidRPr="000B1852" w:rsidRDefault="001B68C1" w:rsidP="001B68C1">
      <w:pPr>
        <w:ind w:left="720" w:hanging="720"/>
        <w:rPr>
          <w:sz w:val="22"/>
        </w:rPr>
      </w:pPr>
      <w:r w:rsidRPr="000B1852">
        <w:rPr>
          <w:sz w:val="22"/>
        </w:rPr>
        <w:tab/>
        <w:t xml:space="preserve">This calculation gives a basic amount of tax for a dwelling in a part of the area to which no special item relates. In fact there is no dwelling in the District to which this applies but the figure is calculated to enable special items in </w:t>
      </w:r>
      <w:r w:rsidR="0002439C" w:rsidRPr="000B1852">
        <w:rPr>
          <w:sz w:val="22"/>
        </w:rPr>
        <w:t xml:space="preserve">each </w:t>
      </w:r>
      <w:r w:rsidRPr="000B1852">
        <w:rPr>
          <w:sz w:val="22"/>
        </w:rPr>
        <w:t>part of the District to be subsequently added back:-</w:t>
      </w:r>
    </w:p>
    <w:p w:rsidR="00C34850" w:rsidRPr="000B1852" w:rsidRDefault="00C34850" w:rsidP="001B68C1">
      <w:pPr>
        <w:ind w:left="720" w:hanging="720"/>
        <w:rPr>
          <w:sz w:val="22"/>
        </w:rPr>
      </w:pPr>
    </w:p>
    <w:tbl>
      <w:tblPr>
        <w:tblW w:w="0" w:type="auto"/>
        <w:tblInd w:w="828" w:type="dxa"/>
        <w:tblLayout w:type="fixed"/>
        <w:tblLook w:val="0000" w:firstRow="0" w:lastRow="0" w:firstColumn="0" w:lastColumn="0" w:noHBand="0" w:noVBand="0"/>
      </w:tblPr>
      <w:tblGrid>
        <w:gridCol w:w="3600"/>
        <w:gridCol w:w="306"/>
        <w:gridCol w:w="4554"/>
      </w:tblGrid>
      <w:tr w:rsidR="003F3F2A" w:rsidRPr="000B1852" w:rsidTr="003F3F2A">
        <w:trPr>
          <w:trHeight w:val="464"/>
        </w:trPr>
        <w:tc>
          <w:tcPr>
            <w:tcW w:w="3600" w:type="dxa"/>
          </w:tcPr>
          <w:p w:rsidR="001B68C1" w:rsidRPr="00D200AE" w:rsidRDefault="001B68C1" w:rsidP="00850519">
            <w:pPr>
              <w:jc w:val="center"/>
              <w:rPr>
                <w:sz w:val="22"/>
                <w:szCs w:val="22"/>
              </w:rPr>
            </w:pPr>
            <w:r w:rsidRPr="00D200AE">
              <w:rPr>
                <w:sz w:val="22"/>
                <w:szCs w:val="22"/>
              </w:rPr>
              <w:t>Basic Amount of Tax</w:t>
            </w:r>
          </w:p>
          <w:p w:rsidR="001B68C1" w:rsidRPr="00D200AE" w:rsidRDefault="001B68C1" w:rsidP="00850519">
            <w:pPr>
              <w:jc w:val="center"/>
              <w:rPr>
                <w:sz w:val="22"/>
                <w:szCs w:val="22"/>
              </w:rPr>
            </w:pPr>
          </w:p>
        </w:tc>
        <w:tc>
          <w:tcPr>
            <w:tcW w:w="306" w:type="dxa"/>
          </w:tcPr>
          <w:p w:rsidR="001B68C1" w:rsidRPr="00D200AE" w:rsidRDefault="001B68C1" w:rsidP="00850519">
            <w:pPr>
              <w:rPr>
                <w:sz w:val="22"/>
                <w:szCs w:val="22"/>
              </w:rPr>
            </w:pPr>
          </w:p>
          <w:p w:rsidR="001B68C1" w:rsidRPr="00D200AE" w:rsidRDefault="001B68C1" w:rsidP="00850519">
            <w:pPr>
              <w:rPr>
                <w:sz w:val="22"/>
                <w:szCs w:val="22"/>
              </w:rPr>
            </w:pPr>
            <w:r w:rsidRPr="00D200AE">
              <w:rPr>
                <w:sz w:val="22"/>
                <w:szCs w:val="22"/>
              </w:rPr>
              <w:t>-</w:t>
            </w:r>
          </w:p>
        </w:tc>
        <w:tc>
          <w:tcPr>
            <w:tcW w:w="4554" w:type="dxa"/>
          </w:tcPr>
          <w:p w:rsidR="001B68C1" w:rsidRPr="00D200AE" w:rsidRDefault="001B68C1" w:rsidP="00850519">
            <w:pPr>
              <w:pBdr>
                <w:bottom w:val="single" w:sz="6" w:space="1" w:color="auto"/>
              </w:pBdr>
              <w:jc w:val="center"/>
              <w:rPr>
                <w:sz w:val="22"/>
                <w:szCs w:val="22"/>
              </w:rPr>
            </w:pPr>
            <w:r w:rsidRPr="00D200AE">
              <w:rPr>
                <w:sz w:val="22"/>
                <w:szCs w:val="22"/>
              </w:rPr>
              <w:t>Aggregate of Specia</w:t>
            </w:r>
            <w:r w:rsidR="00894EF4" w:rsidRPr="00D200AE">
              <w:rPr>
                <w:sz w:val="22"/>
                <w:szCs w:val="22"/>
              </w:rPr>
              <w:t xml:space="preserve">l Items           </w:t>
            </w:r>
          </w:p>
        </w:tc>
      </w:tr>
      <w:tr w:rsidR="003F3F2A" w:rsidRPr="000B1852" w:rsidTr="00850519">
        <w:tc>
          <w:tcPr>
            <w:tcW w:w="3600" w:type="dxa"/>
          </w:tcPr>
          <w:p w:rsidR="001B68C1" w:rsidRPr="00D200AE" w:rsidRDefault="001B68C1" w:rsidP="00850519">
            <w:pPr>
              <w:rPr>
                <w:sz w:val="22"/>
                <w:szCs w:val="22"/>
              </w:rPr>
            </w:pPr>
          </w:p>
        </w:tc>
        <w:tc>
          <w:tcPr>
            <w:tcW w:w="306" w:type="dxa"/>
          </w:tcPr>
          <w:p w:rsidR="001B68C1" w:rsidRPr="00D200AE" w:rsidRDefault="001B68C1" w:rsidP="00850519">
            <w:pPr>
              <w:rPr>
                <w:sz w:val="22"/>
                <w:szCs w:val="22"/>
              </w:rPr>
            </w:pPr>
          </w:p>
        </w:tc>
        <w:tc>
          <w:tcPr>
            <w:tcW w:w="4554" w:type="dxa"/>
          </w:tcPr>
          <w:p w:rsidR="001B68C1" w:rsidRPr="00D200AE" w:rsidRDefault="001B68C1" w:rsidP="00850519">
            <w:pPr>
              <w:jc w:val="center"/>
              <w:rPr>
                <w:sz w:val="22"/>
                <w:szCs w:val="22"/>
              </w:rPr>
            </w:pPr>
            <w:r w:rsidRPr="00D200AE">
              <w:rPr>
                <w:sz w:val="22"/>
                <w:szCs w:val="22"/>
              </w:rPr>
              <w:t>Council’s Total Tax Base</w:t>
            </w:r>
          </w:p>
        </w:tc>
      </w:tr>
    </w:tbl>
    <w:p w:rsidR="001B68C1" w:rsidRPr="00FB5B08" w:rsidRDefault="001B68C1" w:rsidP="001B68C1">
      <w:pPr>
        <w:ind w:left="720" w:hanging="720"/>
        <w:rPr>
          <w:color w:val="4F81BD" w:themeColor="accent1"/>
          <w:sz w:val="20"/>
        </w:rPr>
      </w:pPr>
    </w:p>
    <w:tbl>
      <w:tblPr>
        <w:tblW w:w="0" w:type="auto"/>
        <w:tblInd w:w="1998" w:type="dxa"/>
        <w:tblLayout w:type="fixed"/>
        <w:tblLook w:val="0000" w:firstRow="0" w:lastRow="0" w:firstColumn="0" w:lastColumn="0" w:noHBand="0" w:noVBand="0"/>
      </w:tblPr>
      <w:tblGrid>
        <w:gridCol w:w="1939"/>
        <w:gridCol w:w="543"/>
        <w:gridCol w:w="1298"/>
        <w:gridCol w:w="720"/>
        <w:gridCol w:w="2070"/>
      </w:tblGrid>
      <w:tr w:rsidR="003F3F2A" w:rsidRPr="00FB5B08" w:rsidTr="00850519">
        <w:tc>
          <w:tcPr>
            <w:tcW w:w="1939" w:type="dxa"/>
          </w:tcPr>
          <w:p w:rsidR="001B68C1" w:rsidRPr="00FB02C7" w:rsidRDefault="00652C84" w:rsidP="003F3F2A">
            <w:pPr>
              <w:jc w:val="right"/>
              <w:rPr>
                <w:sz w:val="22"/>
                <w:szCs w:val="22"/>
              </w:rPr>
            </w:pPr>
            <w:r w:rsidRPr="00FB02C7">
              <w:rPr>
                <w:sz w:val="22"/>
                <w:szCs w:val="22"/>
              </w:rPr>
              <w:t>£</w:t>
            </w:r>
            <w:r w:rsidR="003F3F2A" w:rsidRPr="00FB02C7">
              <w:rPr>
                <w:sz w:val="22"/>
                <w:szCs w:val="22"/>
              </w:rPr>
              <w:t>212.15</w:t>
            </w:r>
          </w:p>
        </w:tc>
        <w:tc>
          <w:tcPr>
            <w:tcW w:w="543" w:type="dxa"/>
          </w:tcPr>
          <w:p w:rsidR="001B68C1" w:rsidRPr="00FB02C7" w:rsidRDefault="001B68C1" w:rsidP="00850519">
            <w:pPr>
              <w:jc w:val="center"/>
              <w:rPr>
                <w:sz w:val="22"/>
                <w:szCs w:val="22"/>
              </w:rPr>
            </w:pPr>
            <w:r w:rsidRPr="00FB02C7">
              <w:rPr>
                <w:sz w:val="22"/>
                <w:szCs w:val="22"/>
              </w:rPr>
              <w:t>-</w:t>
            </w:r>
          </w:p>
        </w:tc>
        <w:tc>
          <w:tcPr>
            <w:tcW w:w="1298" w:type="dxa"/>
            <w:tcBorders>
              <w:bottom w:val="single" w:sz="6" w:space="0" w:color="auto"/>
            </w:tcBorders>
          </w:tcPr>
          <w:p w:rsidR="001B68C1" w:rsidRPr="00FB02C7" w:rsidRDefault="003F3F2A" w:rsidP="00850519">
            <w:pPr>
              <w:jc w:val="center"/>
              <w:rPr>
                <w:sz w:val="22"/>
                <w:szCs w:val="22"/>
              </w:rPr>
            </w:pPr>
            <w:r w:rsidRPr="00FB02C7">
              <w:rPr>
                <w:sz w:val="22"/>
                <w:szCs w:val="22"/>
              </w:rPr>
              <w:t>2,953,957</w:t>
            </w:r>
          </w:p>
        </w:tc>
        <w:tc>
          <w:tcPr>
            <w:tcW w:w="720" w:type="dxa"/>
          </w:tcPr>
          <w:p w:rsidR="001B68C1" w:rsidRPr="00FB02C7" w:rsidRDefault="001B68C1" w:rsidP="00850519">
            <w:pPr>
              <w:jc w:val="center"/>
              <w:rPr>
                <w:color w:val="4F81BD" w:themeColor="accent1"/>
                <w:sz w:val="22"/>
                <w:szCs w:val="22"/>
              </w:rPr>
            </w:pPr>
            <w:r w:rsidRPr="00FB02C7">
              <w:rPr>
                <w:sz w:val="22"/>
                <w:szCs w:val="22"/>
              </w:rPr>
              <w:t>=</w:t>
            </w:r>
          </w:p>
        </w:tc>
        <w:tc>
          <w:tcPr>
            <w:tcW w:w="2070" w:type="dxa"/>
          </w:tcPr>
          <w:p w:rsidR="001B68C1" w:rsidRPr="00FB02C7" w:rsidRDefault="00652C84" w:rsidP="003F3F2A">
            <w:pPr>
              <w:rPr>
                <w:color w:val="4F81BD" w:themeColor="accent1"/>
                <w:sz w:val="22"/>
                <w:szCs w:val="22"/>
              </w:rPr>
            </w:pPr>
            <w:r w:rsidRPr="00FB02C7">
              <w:rPr>
                <w:sz w:val="22"/>
                <w:szCs w:val="22"/>
              </w:rPr>
              <w:t>£</w:t>
            </w:r>
            <w:r w:rsidR="003F3F2A" w:rsidRPr="00FB02C7">
              <w:rPr>
                <w:sz w:val="22"/>
                <w:szCs w:val="22"/>
              </w:rPr>
              <w:t>134.03</w:t>
            </w:r>
          </w:p>
        </w:tc>
      </w:tr>
      <w:tr w:rsidR="001B68C1" w:rsidRPr="00FB5B08" w:rsidTr="00850519">
        <w:tc>
          <w:tcPr>
            <w:tcW w:w="1939" w:type="dxa"/>
          </w:tcPr>
          <w:p w:rsidR="001B68C1" w:rsidRPr="00FB02C7" w:rsidRDefault="001B68C1" w:rsidP="00850519">
            <w:pPr>
              <w:rPr>
                <w:sz w:val="22"/>
                <w:szCs w:val="22"/>
              </w:rPr>
            </w:pPr>
          </w:p>
        </w:tc>
        <w:tc>
          <w:tcPr>
            <w:tcW w:w="543" w:type="dxa"/>
          </w:tcPr>
          <w:p w:rsidR="001B68C1" w:rsidRPr="00FB02C7" w:rsidRDefault="001B68C1" w:rsidP="00850519">
            <w:pPr>
              <w:rPr>
                <w:sz w:val="22"/>
                <w:szCs w:val="22"/>
              </w:rPr>
            </w:pPr>
          </w:p>
        </w:tc>
        <w:tc>
          <w:tcPr>
            <w:tcW w:w="1298" w:type="dxa"/>
          </w:tcPr>
          <w:p w:rsidR="001B68C1" w:rsidRPr="00FB02C7" w:rsidRDefault="003F3F2A" w:rsidP="00850519">
            <w:pPr>
              <w:jc w:val="center"/>
              <w:rPr>
                <w:sz w:val="22"/>
                <w:szCs w:val="22"/>
              </w:rPr>
            </w:pPr>
            <w:r w:rsidRPr="00FB02C7">
              <w:rPr>
                <w:sz w:val="22"/>
                <w:szCs w:val="22"/>
              </w:rPr>
              <w:t>37,812.1</w:t>
            </w:r>
          </w:p>
        </w:tc>
        <w:tc>
          <w:tcPr>
            <w:tcW w:w="720" w:type="dxa"/>
          </w:tcPr>
          <w:p w:rsidR="001B68C1" w:rsidRPr="00FB02C7" w:rsidRDefault="001B68C1" w:rsidP="00850519">
            <w:pPr>
              <w:rPr>
                <w:color w:val="4F81BD" w:themeColor="accent1"/>
                <w:sz w:val="22"/>
                <w:szCs w:val="22"/>
              </w:rPr>
            </w:pPr>
          </w:p>
        </w:tc>
        <w:tc>
          <w:tcPr>
            <w:tcW w:w="2070" w:type="dxa"/>
          </w:tcPr>
          <w:p w:rsidR="001B68C1" w:rsidRPr="00FB02C7" w:rsidRDefault="001B68C1" w:rsidP="00850519">
            <w:pPr>
              <w:rPr>
                <w:color w:val="4F81BD" w:themeColor="accent1"/>
                <w:sz w:val="22"/>
                <w:szCs w:val="22"/>
              </w:rPr>
            </w:pPr>
          </w:p>
        </w:tc>
      </w:tr>
    </w:tbl>
    <w:p w:rsidR="001B68C1" w:rsidRPr="00FB5B08" w:rsidRDefault="001B68C1" w:rsidP="001B68C1">
      <w:pPr>
        <w:ind w:left="720" w:hanging="720"/>
        <w:rPr>
          <w:color w:val="4F81BD" w:themeColor="accent1"/>
          <w:sz w:val="22"/>
        </w:rPr>
      </w:pPr>
    </w:p>
    <w:p w:rsidR="001B68C1" w:rsidRPr="000B1852" w:rsidRDefault="001B68C1" w:rsidP="001B68C1">
      <w:pPr>
        <w:ind w:left="720" w:hanging="720"/>
        <w:outlineLvl w:val="0"/>
        <w:rPr>
          <w:sz w:val="22"/>
        </w:rPr>
      </w:pPr>
      <w:r w:rsidRPr="00FB5B08">
        <w:rPr>
          <w:color w:val="4F81BD" w:themeColor="accent1"/>
          <w:sz w:val="22"/>
        </w:rPr>
        <w:tab/>
      </w:r>
      <w:r w:rsidRPr="000B1852">
        <w:rPr>
          <w:sz w:val="22"/>
        </w:rPr>
        <w:t>This figure equates to the District Council’s charge for “General Expenses”.</w:t>
      </w:r>
    </w:p>
    <w:p w:rsidR="001B68C1" w:rsidRPr="000B1852" w:rsidRDefault="001B68C1" w:rsidP="001B68C1">
      <w:pPr>
        <w:ind w:left="720" w:hanging="720"/>
        <w:rPr>
          <w:sz w:val="22"/>
        </w:rPr>
      </w:pPr>
    </w:p>
    <w:p w:rsidR="001B68C1" w:rsidRPr="000B1852" w:rsidRDefault="001B68C1" w:rsidP="00C34850">
      <w:pPr>
        <w:ind w:hanging="720"/>
        <w:rPr>
          <w:sz w:val="22"/>
        </w:rPr>
      </w:pPr>
      <w:r w:rsidRPr="000B1852">
        <w:rPr>
          <w:sz w:val="22"/>
        </w:rPr>
        <w:tab/>
      </w:r>
      <w:r w:rsidR="00894EF4" w:rsidRPr="000B1852">
        <w:rPr>
          <w:sz w:val="22"/>
        </w:rPr>
        <w:t>3.6</w:t>
      </w:r>
      <w:r w:rsidRPr="000B1852">
        <w:rPr>
          <w:sz w:val="22"/>
        </w:rPr>
        <w:tab/>
      </w:r>
      <w:r w:rsidRPr="000B1852">
        <w:rPr>
          <w:b/>
          <w:i/>
          <w:sz w:val="22"/>
        </w:rPr>
        <w:t>Council Tax for Part of the Council’s Area</w:t>
      </w:r>
    </w:p>
    <w:p w:rsidR="001B68C1" w:rsidRPr="000B1852" w:rsidRDefault="001B68C1" w:rsidP="001B68C1">
      <w:pPr>
        <w:ind w:left="720" w:hanging="720"/>
        <w:rPr>
          <w:sz w:val="22"/>
        </w:rPr>
      </w:pPr>
    </w:p>
    <w:p w:rsidR="008C4C99" w:rsidRPr="000B1852" w:rsidRDefault="001B68C1" w:rsidP="001B68C1">
      <w:pPr>
        <w:ind w:left="720" w:hanging="720"/>
        <w:rPr>
          <w:sz w:val="22"/>
        </w:rPr>
      </w:pPr>
      <w:r w:rsidRPr="000B1852">
        <w:rPr>
          <w:sz w:val="22"/>
        </w:rPr>
        <w:tab/>
        <w:t>This calculation adds back to the calculation at paragraph 3.</w:t>
      </w:r>
      <w:r w:rsidR="00894EF4" w:rsidRPr="000B1852">
        <w:rPr>
          <w:sz w:val="22"/>
        </w:rPr>
        <w:t>5</w:t>
      </w:r>
      <w:r w:rsidRPr="000B1852">
        <w:rPr>
          <w:sz w:val="22"/>
        </w:rPr>
        <w:t xml:space="preserve"> above, the Special items that relate to each part of the District with regard to the tax base in each part</w:t>
      </w:r>
      <w:r w:rsidR="00EA38A8" w:rsidRPr="000B1852">
        <w:rPr>
          <w:sz w:val="22"/>
        </w:rPr>
        <w:t>:-</w:t>
      </w:r>
    </w:p>
    <w:p w:rsidR="008C4C99" w:rsidRDefault="00ED2363" w:rsidP="001B68C1">
      <w:pPr>
        <w:ind w:left="720" w:hanging="720"/>
        <w:rPr>
          <w:color w:val="4F81BD" w:themeColor="accent1"/>
          <w:sz w:val="22"/>
        </w:rPr>
      </w:pPr>
      <w:r w:rsidRPr="00FB5B08">
        <w:rPr>
          <w:color w:val="4F81BD" w:themeColor="accent1"/>
          <w:sz w:val="22"/>
        </w:rPr>
        <w:tab/>
      </w:r>
    </w:p>
    <w:p w:rsidR="00ED2363" w:rsidRPr="00FB5B08" w:rsidRDefault="00FB02C7" w:rsidP="001B68C1">
      <w:pPr>
        <w:ind w:left="720" w:hanging="720"/>
        <w:rPr>
          <w:color w:val="4F81BD" w:themeColor="accent1"/>
        </w:rPr>
      </w:pPr>
      <w:r w:rsidRPr="00FB02C7">
        <w:drawing>
          <wp:inline distT="0" distB="0" distL="0" distR="0" wp14:anchorId="7726CF81" wp14:editId="26F36ED1">
            <wp:extent cx="577215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975" cy="1627879"/>
                    </a:xfrm>
                    <a:prstGeom prst="rect">
                      <a:avLst/>
                    </a:prstGeom>
                    <a:noFill/>
                    <a:ln>
                      <a:noFill/>
                    </a:ln>
                  </pic:spPr>
                </pic:pic>
              </a:graphicData>
            </a:graphic>
          </wp:inline>
        </w:drawing>
      </w:r>
    </w:p>
    <w:p w:rsidR="008C4C99" w:rsidRDefault="008C4C99" w:rsidP="001B68C1">
      <w:pPr>
        <w:ind w:left="720" w:hanging="720"/>
        <w:outlineLvl w:val="0"/>
        <w:rPr>
          <w:sz w:val="22"/>
        </w:rPr>
      </w:pPr>
    </w:p>
    <w:p w:rsidR="001B68C1" w:rsidRPr="00E45BA8" w:rsidRDefault="008C4C99" w:rsidP="001B68C1">
      <w:pPr>
        <w:ind w:left="720" w:hanging="720"/>
        <w:outlineLvl w:val="0"/>
        <w:rPr>
          <w:sz w:val="22"/>
        </w:rPr>
      </w:pPr>
      <w:r>
        <w:rPr>
          <w:sz w:val="22"/>
        </w:rPr>
        <w:t>3</w:t>
      </w:r>
      <w:r w:rsidR="00894EF4" w:rsidRPr="00E45BA8">
        <w:rPr>
          <w:sz w:val="22"/>
        </w:rPr>
        <w:t>.7</w:t>
      </w:r>
      <w:r w:rsidR="001B68C1" w:rsidRPr="00E45BA8">
        <w:rPr>
          <w:sz w:val="22"/>
        </w:rPr>
        <w:tab/>
      </w:r>
      <w:r w:rsidR="001B68C1" w:rsidRPr="00E45BA8">
        <w:rPr>
          <w:b/>
          <w:i/>
          <w:sz w:val="22"/>
        </w:rPr>
        <w:t>Charges for Each Band</w:t>
      </w:r>
      <w:r w:rsidR="001B68C1" w:rsidRPr="00E45BA8">
        <w:rPr>
          <w:i/>
          <w:sz w:val="22"/>
        </w:rPr>
        <w:tab/>
      </w:r>
      <w:r w:rsidR="001B68C1" w:rsidRPr="00E45BA8">
        <w:rPr>
          <w:sz w:val="22"/>
        </w:rPr>
        <w:tab/>
      </w:r>
    </w:p>
    <w:p w:rsidR="001B68C1" w:rsidRPr="00E45BA8" w:rsidRDefault="001B68C1" w:rsidP="001B68C1">
      <w:pPr>
        <w:ind w:left="720" w:hanging="720"/>
        <w:rPr>
          <w:sz w:val="22"/>
        </w:rPr>
      </w:pPr>
    </w:p>
    <w:p w:rsidR="001B68C1" w:rsidRPr="00E45BA8" w:rsidRDefault="001B68C1" w:rsidP="001B68C1">
      <w:pPr>
        <w:ind w:left="720" w:hanging="720"/>
        <w:rPr>
          <w:sz w:val="22"/>
        </w:rPr>
      </w:pPr>
      <w:r w:rsidRPr="00E45BA8">
        <w:rPr>
          <w:sz w:val="22"/>
        </w:rPr>
        <w:tab/>
        <w:t xml:space="preserve">The </w:t>
      </w:r>
      <w:r w:rsidR="002302AA" w:rsidRPr="00E45BA8">
        <w:rPr>
          <w:sz w:val="22"/>
        </w:rPr>
        <w:t>figures for each band of property are</w:t>
      </w:r>
      <w:r w:rsidRPr="00E45BA8">
        <w:rPr>
          <w:sz w:val="22"/>
        </w:rPr>
        <w:t xml:space="preserve"> arrived at by taking the charge for a </w:t>
      </w:r>
      <w:r w:rsidR="002302AA">
        <w:rPr>
          <w:sz w:val="22"/>
        </w:rPr>
        <w:t>b</w:t>
      </w:r>
      <w:r w:rsidRPr="00E45BA8">
        <w:rPr>
          <w:sz w:val="22"/>
        </w:rPr>
        <w:t xml:space="preserve">and D property and </w:t>
      </w:r>
      <w:r w:rsidR="002302AA">
        <w:rPr>
          <w:sz w:val="22"/>
        </w:rPr>
        <w:t>applying the following</w:t>
      </w:r>
      <w:r w:rsidRPr="00E45BA8">
        <w:rPr>
          <w:sz w:val="22"/>
        </w:rPr>
        <w:t xml:space="preserve"> proportions</w:t>
      </w:r>
      <w:r w:rsidR="002302AA">
        <w:rPr>
          <w:sz w:val="22"/>
        </w:rPr>
        <w:t>:</w:t>
      </w:r>
      <w:r w:rsidRPr="00E45BA8">
        <w:rPr>
          <w:sz w:val="22"/>
        </w:rPr>
        <w:t>-</w:t>
      </w:r>
    </w:p>
    <w:tbl>
      <w:tblPr>
        <w:tblW w:w="0" w:type="auto"/>
        <w:tblInd w:w="3708" w:type="dxa"/>
        <w:tblLayout w:type="fixed"/>
        <w:tblLook w:val="0000" w:firstRow="0" w:lastRow="0" w:firstColumn="0" w:lastColumn="0" w:noHBand="0" w:noVBand="0"/>
      </w:tblPr>
      <w:tblGrid>
        <w:gridCol w:w="990"/>
        <w:gridCol w:w="810"/>
        <w:gridCol w:w="270"/>
      </w:tblGrid>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lastRenderedPageBreak/>
              <w:t>Band</w:t>
            </w:r>
          </w:p>
        </w:tc>
        <w:tc>
          <w:tcPr>
            <w:tcW w:w="810" w:type="dxa"/>
            <w:tcBorders>
              <w:top w:val="single" w:sz="6" w:space="0" w:color="auto"/>
              <w:left w:val="nil"/>
            </w:tcBorders>
          </w:tcPr>
          <w:p w:rsidR="001B68C1" w:rsidRPr="00E45BA8" w:rsidRDefault="001B68C1" w:rsidP="00850519">
            <w:pPr>
              <w:jc w:val="right"/>
              <w:rPr>
                <w:sz w:val="22"/>
              </w:rPr>
            </w:pP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A</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6:9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B</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7:9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C</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8:9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D</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9:9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E</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11:9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F</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13:9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G</w:t>
            </w:r>
          </w:p>
        </w:tc>
        <w:tc>
          <w:tcPr>
            <w:tcW w:w="810" w:type="dxa"/>
            <w:tcBorders>
              <w:top w:val="single" w:sz="6" w:space="0" w:color="auto"/>
              <w:left w:val="nil"/>
            </w:tcBorders>
          </w:tcPr>
          <w:p w:rsidR="001B68C1" w:rsidRPr="00E45BA8" w:rsidRDefault="001B68C1" w:rsidP="00850519">
            <w:pPr>
              <w:jc w:val="right"/>
              <w:rPr>
                <w:sz w:val="22"/>
              </w:rPr>
            </w:pPr>
            <w:r w:rsidRPr="00E45BA8">
              <w:rPr>
                <w:sz w:val="22"/>
              </w:rPr>
              <w:t>15:9</w:t>
            </w:r>
          </w:p>
        </w:tc>
        <w:tc>
          <w:tcPr>
            <w:tcW w:w="270" w:type="dxa"/>
            <w:tcBorders>
              <w:top w:val="single" w:sz="6" w:space="0" w:color="auto"/>
              <w:right w:val="single" w:sz="6" w:space="0" w:color="auto"/>
            </w:tcBorders>
          </w:tcPr>
          <w:p w:rsidR="001B68C1" w:rsidRPr="00E45BA8" w:rsidRDefault="001B68C1" w:rsidP="00850519">
            <w:pPr>
              <w:jc w:val="right"/>
              <w:rPr>
                <w:sz w:val="22"/>
              </w:rPr>
            </w:pPr>
          </w:p>
        </w:tc>
      </w:tr>
      <w:tr w:rsidR="001B68C1" w:rsidRPr="00E45BA8" w:rsidTr="00850519">
        <w:tc>
          <w:tcPr>
            <w:tcW w:w="990" w:type="dxa"/>
            <w:tcBorders>
              <w:top w:val="single" w:sz="6" w:space="0" w:color="auto"/>
              <w:left w:val="single" w:sz="6" w:space="0" w:color="auto"/>
              <w:bottom w:val="single" w:sz="6" w:space="0" w:color="auto"/>
              <w:right w:val="single" w:sz="6" w:space="0" w:color="auto"/>
            </w:tcBorders>
          </w:tcPr>
          <w:p w:rsidR="001B68C1" w:rsidRPr="00E45BA8" w:rsidRDefault="001B68C1" w:rsidP="00850519">
            <w:pPr>
              <w:jc w:val="center"/>
              <w:rPr>
                <w:sz w:val="22"/>
              </w:rPr>
            </w:pPr>
            <w:r w:rsidRPr="00E45BA8">
              <w:rPr>
                <w:sz w:val="22"/>
              </w:rPr>
              <w:t>H</w:t>
            </w:r>
          </w:p>
        </w:tc>
        <w:tc>
          <w:tcPr>
            <w:tcW w:w="810" w:type="dxa"/>
            <w:tcBorders>
              <w:top w:val="single" w:sz="6" w:space="0" w:color="auto"/>
              <w:left w:val="nil"/>
              <w:bottom w:val="single" w:sz="6" w:space="0" w:color="auto"/>
            </w:tcBorders>
          </w:tcPr>
          <w:p w:rsidR="001B68C1" w:rsidRPr="00E45BA8" w:rsidRDefault="001B68C1" w:rsidP="00850519">
            <w:pPr>
              <w:jc w:val="right"/>
              <w:rPr>
                <w:sz w:val="22"/>
              </w:rPr>
            </w:pPr>
            <w:r w:rsidRPr="00E45BA8">
              <w:rPr>
                <w:sz w:val="22"/>
              </w:rPr>
              <w:t>18:9</w:t>
            </w:r>
          </w:p>
        </w:tc>
        <w:tc>
          <w:tcPr>
            <w:tcW w:w="270" w:type="dxa"/>
            <w:tcBorders>
              <w:top w:val="single" w:sz="6" w:space="0" w:color="auto"/>
              <w:bottom w:val="single" w:sz="6" w:space="0" w:color="auto"/>
              <w:right w:val="single" w:sz="6" w:space="0" w:color="auto"/>
            </w:tcBorders>
          </w:tcPr>
          <w:p w:rsidR="001B68C1" w:rsidRPr="00E45BA8" w:rsidRDefault="001B68C1" w:rsidP="00850519">
            <w:pPr>
              <w:jc w:val="right"/>
              <w:rPr>
                <w:sz w:val="22"/>
              </w:rPr>
            </w:pPr>
          </w:p>
        </w:tc>
      </w:tr>
    </w:tbl>
    <w:p w:rsidR="00894EF4" w:rsidRPr="008E5FF4" w:rsidRDefault="001B68C1" w:rsidP="001B68C1">
      <w:pPr>
        <w:ind w:left="720" w:hanging="720"/>
        <w:rPr>
          <w:sz w:val="22"/>
        </w:rPr>
      </w:pPr>
      <w:r w:rsidRPr="008E5FF4">
        <w:rPr>
          <w:sz w:val="22"/>
        </w:rPr>
        <w:tab/>
      </w:r>
    </w:p>
    <w:p w:rsidR="002E4B9E" w:rsidRPr="00E45BA8" w:rsidRDefault="00894EF4">
      <w:pPr>
        <w:ind w:left="720" w:hanging="720"/>
        <w:outlineLvl w:val="0"/>
        <w:rPr>
          <w:b/>
          <w:sz w:val="22"/>
          <w:u w:val="single"/>
        </w:rPr>
      </w:pPr>
      <w:r w:rsidRPr="008E5FF4">
        <w:rPr>
          <w:sz w:val="22"/>
        </w:rPr>
        <w:t>3.8</w:t>
      </w:r>
      <w:r w:rsidR="002E4B9E" w:rsidRPr="00E45BA8">
        <w:rPr>
          <w:sz w:val="22"/>
        </w:rPr>
        <w:tab/>
      </w:r>
      <w:r w:rsidR="002E4B9E" w:rsidRPr="00E45BA8">
        <w:rPr>
          <w:b/>
          <w:i/>
          <w:sz w:val="22"/>
        </w:rPr>
        <w:t>Major Precepting Authorities</w:t>
      </w:r>
    </w:p>
    <w:p w:rsidR="002E4B9E" w:rsidRPr="00E45BA8" w:rsidRDefault="002E4B9E">
      <w:pPr>
        <w:ind w:left="720" w:hanging="720"/>
        <w:rPr>
          <w:b/>
          <w:sz w:val="22"/>
          <w:u w:val="single"/>
        </w:rPr>
      </w:pPr>
    </w:p>
    <w:p w:rsidR="00CA2909" w:rsidRPr="00E45BA8" w:rsidRDefault="002E4B9E" w:rsidP="00955971">
      <w:pPr>
        <w:pStyle w:val="BodyTextIndent"/>
      </w:pPr>
      <w:r w:rsidRPr="00E45BA8">
        <w:tab/>
        <w:t xml:space="preserve">The </w:t>
      </w:r>
      <w:r w:rsidR="00392152" w:rsidRPr="00E45BA8">
        <w:t>Police and Crime Commissioner for Hertfordshire</w:t>
      </w:r>
      <w:r w:rsidR="004F05B8" w:rsidRPr="00E45BA8">
        <w:t xml:space="preserve"> and Hertfordshire County Council have agreed their </w:t>
      </w:r>
      <w:r w:rsidR="00E45BA8" w:rsidRPr="00E45BA8">
        <w:t>2017/18</w:t>
      </w:r>
      <w:r w:rsidR="004F05B8" w:rsidRPr="00E45BA8">
        <w:t xml:space="preserve"> precepts issued to the Council, in accordance with Section 40 of the Act. </w:t>
      </w:r>
      <w:r w:rsidRPr="00E45BA8">
        <w:t xml:space="preserve"> Precepts </w:t>
      </w:r>
      <w:r w:rsidR="0002439C" w:rsidRPr="00E45BA8">
        <w:t xml:space="preserve">for these authorities </w:t>
      </w:r>
      <w:r w:rsidR="002302AA">
        <w:t>are</w:t>
      </w:r>
      <w:r w:rsidR="0002439C" w:rsidRPr="00E45BA8">
        <w:t xml:space="preserve"> ad</w:t>
      </w:r>
      <w:r w:rsidR="00392152" w:rsidRPr="00E45BA8">
        <w:t>ded to this Council’s charges</w:t>
      </w:r>
      <w:r w:rsidR="00392152" w:rsidRPr="008E5FF4">
        <w:t xml:space="preserve"> </w:t>
      </w:r>
      <w:r w:rsidR="00392152" w:rsidRPr="00E45BA8">
        <w:t>to arrive at a total council tax charge.</w:t>
      </w:r>
      <w:r w:rsidR="00CA2909" w:rsidRPr="00E45BA8">
        <w:t xml:space="preserve"> </w:t>
      </w:r>
    </w:p>
    <w:p w:rsidR="002E4B9E" w:rsidRPr="00FB5B08" w:rsidRDefault="002E4B9E">
      <w:pPr>
        <w:ind w:left="720" w:hanging="720"/>
        <w:rPr>
          <w:color w:val="4F81BD" w:themeColor="accent1"/>
          <w:sz w:val="22"/>
        </w:rPr>
      </w:pPr>
    </w:p>
    <w:p w:rsidR="002E4B9E" w:rsidRPr="00E45BA8" w:rsidRDefault="002E4B9E">
      <w:pPr>
        <w:ind w:left="720" w:hanging="720"/>
        <w:rPr>
          <w:sz w:val="22"/>
        </w:rPr>
      </w:pPr>
      <w:r w:rsidRPr="00E45BA8">
        <w:rPr>
          <w:sz w:val="22"/>
        </w:rPr>
        <w:t>4</w:t>
      </w:r>
      <w:r w:rsidRPr="00E45BA8">
        <w:rPr>
          <w:sz w:val="22"/>
        </w:rPr>
        <w:tab/>
      </w:r>
      <w:r w:rsidRPr="00E45BA8">
        <w:rPr>
          <w:b/>
          <w:sz w:val="22"/>
        </w:rPr>
        <w:t>Options/Reasons for Recommendation</w:t>
      </w:r>
    </w:p>
    <w:p w:rsidR="002E4B9E" w:rsidRPr="00E45BA8" w:rsidRDefault="002E4B9E">
      <w:pPr>
        <w:rPr>
          <w:sz w:val="22"/>
        </w:rPr>
      </w:pPr>
    </w:p>
    <w:p w:rsidR="002E4B9E" w:rsidRPr="00E45BA8" w:rsidRDefault="002E4B9E">
      <w:pPr>
        <w:numPr>
          <w:ilvl w:val="1"/>
          <w:numId w:val="2"/>
        </w:numPr>
        <w:rPr>
          <w:sz w:val="22"/>
        </w:rPr>
      </w:pPr>
      <w:r w:rsidRPr="00E45BA8">
        <w:rPr>
          <w:sz w:val="22"/>
        </w:rPr>
        <w:t>The report is made to set th</w:t>
      </w:r>
      <w:r w:rsidR="00955971" w:rsidRPr="00E45BA8">
        <w:rPr>
          <w:sz w:val="22"/>
        </w:rPr>
        <w:t>is Council’s element of the</w:t>
      </w:r>
      <w:r w:rsidRPr="00E45BA8">
        <w:rPr>
          <w:sz w:val="22"/>
        </w:rPr>
        <w:t xml:space="preserve"> Council Tax for </w:t>
      </w:r>
      <w:r w:rsidR="00E45BA8" w:rsidRPr="00E45BA8">
        <w:rPr>
          <w:sz w:val="22"/>
        </w:rPr>
        <w:t>2017/2018</w:t>
      </w:r>
      <w:r w:rsidRPr="00E45BA8">
        <w:rPr>
          <w:sz w:val="22"/>
        </w:rPr>
        <w:t>.</w:t>
      </w:r>
    </w:p>
    <w:p w:rsidR="002E4B9E" w:rsidRPr="00E45BA8" w:rsidRDefault="002E4B9E">
      <w:pPr>
        <w:rPr>
          <w:sz w:val="22"/>
        </w:rPr>
      </w:pPr>
    </w:p>
    <w:p w:rsidR="002E4B9E" w:rsidRPr="00E45BA8" w:rsidRDefault="002E4B9E">
      <w:pPr>
        <w:ind w:left="720" w:hanging="720"/>
        <w:rPr>
          <w:sz w:val="22"/>
        </w:rPr>
      </w:pPr>
      <w:r w:rsidRPr="00E45BA8">
        <w:rPr>
          <w:sz w:val="22"/>
        </w:rPr>
        <w:t>5</w:t>
      </w:r>
      <w:r w:rsidRPr="00E45BA8">
        <w:rPr>
          <w:sz w:val="22"/>
        </w:rPr>
        <w:tab/>
      </w:r>
      <w:r w:rsidRPr="00E45BA8">
        <w:rPr>
          <w:b/>
          <w:sz w:val="22"/>
        </w:rPr>
        <w:t>Policy/Budget</w:t>
      </w:r>
    </w:p>
    <w:p w:rsidR="002E4B9E" w:rsidRPr="00E45BA8" w:rsidRDefault="002E4B9E">
      <w:pPr>
        <w:rPr>
          <w:sz w:val="22"/>
        </w:rPr>
      </w:pPr>
    </w:p>
    <w:p w:rsidR="002E4B9E" w:rsidRPr="00E45BA8" w:rsidRDefault="002E4B9E">
      <w:pPr>
        <w:pStyle w:val="BodyTextIndent"/>
      </w:pPr>
      <w:r w:rsidRPr="00E45BA8">
        <w:t>5.1</w:t>
      </w:r>
      <w:r w:rsidRPr="00E45BA8">
        <w:tab/>
        <w:t>The recommendations in this report are within the Council’s agreed policy and budgets.</w:t>
      </w:r>
    </w:p>
    <w:p w:rsidR="00A12212" w:rsidRPr="00E45BA8" w:rsidRDefault="00A12212">
      <w:pPr>
        <w:pStyle w:val="BodyTextIndent"/>
      </w:pPr>
    </w:p>
    <w:p w:rsidR="002E4B9E" w:rsidRPr="00E45BA8" w:rsidRDefault="002E4B9E">
      <w:pPr>
        <w:ind w:left="720" w:hanging="720"/>
        <w:rPr>
          <w:sz w:val="22"/>
        </w:rPr>
      </w:pPr>
      <w:r w:rsidRPr="00E45BA8">
        <w:rPr>
          <w:sz w:val="22"/>
        </w:rPr>
        <w:t>6</w:t>
      </w:r>
      <w:r w:rsidRPr="00E45BA8">
        <w:rPr>
          <w:sz w:val="22"/>
        </w:rPr>
        <w:tab/>
      </w:r>
      <w:r w:rsidRPr="00E45BA8">
        <w:rPr>
          <w:b/>
          <w:sz w:val="22"/>
        </w:rPr>
        <w:t xml:space="preserve">Equal Opportunities, </w:t>
      </w:r>
      <w:r w:rsidR="00955971" w:rsidRPr="00E45BA8">
        <w:rPr>
          <w:b/>
          <w:sz w:val="22"/>
        </w:rPr>
        <w:t xml:space="preserve">Staffing, Environmental, </w:t>
      </w:r>
      <w:r w:rsidRPr="00E45BA8">
        <w:rPr>
          <w:b/>
          <w:sz w:val="22"/>
        </w:rPr>
        <w:t xml:space="preserve">Community Safety, </w:t>
      </w:r>
      <w:r w:rsidR="00955971" w:rsidRPr="00E45BA8">
        <w:rPr>
          <w:b/>
          <w:sz w:val="22"/>
        </w:rPr>
        <w:t>Customer Services Centre, Communications &amp; Website,</w:t>
      </w:r>
      <w:r w:rsidR="00955971" w:rsidRPr="00E45BA8">
        <w:rPr>
          <w:b/>
        </w:rPr>
        <w:t xml:space="preserve"> </w:t>
      </w:r>
      <w:r w:rsidRPr="00E45BA8">
        <w:rPr>
          <w:b/>
          <w:sz w:val="22"/>
        </w:rPr>
        <w:t>Risk Management and</w:t>
      </w:r>
      <w:r w:rsidR="00955971" w:rsidRPr="00E45BA8">
        <w:rPr>
          <w:b/>
          <w:sz w:val="22"/>
        </w:rPr>
        <w:t xml:space="preserve"> Health &amp; Safety</w:t>
      </w:r>
      <w:r w:rsidRPr="00E45BA8">
        <w:rPr>
          <w:b/>
          <w:sz w:val="22"/>
        </w:rPr>
        <w:t xml:space="preserve"> Implications</w:t>
      </w:r>
    </w:p>
    <w:p w:rsidR="002E4B9E" w:rsidRPr="00E45BA8" w:rsidRDefault="002E4B9E">
      <w:pPr>
        <w:ind w:left="720" w:hanging="720"/>
        <w:rPr>
          <w:b/>
          <w:sz w:val="22"/>
          <w:u w:val="single"/>
        </w:rPr>
      </w:pPr>
    </w:p>
    <w:p w:rsidR="002E4B9E" w:rsidRPr="00E45BA8" w:rsidRDefault="002E4B9E">
      <w:pPr>
        <w:pStyle w:val="BodyTextIndent"/>
      </w:pPr>
      <w:r w:rsidRPr="00E45BA8">
        <w:t>6.1</w:t>
      </w:r>
      <w:r w:rsidRPr="00E45BA8">
        <w:tab/>
        <w:t>None specific.</w:t>
      </w:r>
    </w:p>
    <w:p w:rsidR="002E4B9E" w:rsidRPr="00E45BA8" w:rsidRDefault="002E4B9E">
      <w:pPr>
        <w:pStyle w:val="BodyTextIndent"/>
      </w:pPr>
    </w:p>
    <w:p w:rsidR="002E4B9E" w:rsidRPr="00E45BA8" w:rsidRDefault="002E4B9E">
      <w:pPr>
        <w:pStyle w:val="BodyTextIndent"/>
        <w:rPr>
          <w:u w:val="single"/>
        </w:rPr>
      </w:pPr>
      <w:r w:rsidRPr="00E45BA8">
        <w:t>7.</w:t>
      </w:r>
      <w:r w:rsidRPr="00E45BA8">
        <w:tab/>
      </w:r>
      <w:r w:rsidRPr="00E45BA8">
        <w:rPr>
          <w:b/>
        </w:rPr>
        <w:t>Financial Implications</w:t>
      </w:r>
    </w:p>
    <w:p w:rsidR="002E4B9E" w:rsidRPr="00E45BA8" w:rsidRDefault="002E4B9E">
      <w:pPr>
        <w:ind w:left="720" w:hanging="720"/>
        <w:rPr>
          <w:b/>
          <w:sz w:val="22"/>
          <w:u w:val="single"/>
        </w:rPr>
      </w:pPr>
    </w:p>
    <w:p w:rsidR="002E4B9E" w:rsidRPr="00E45BA8" w:rsidRDefault="002E4B9E">
      <w:pPr>
        <w:ind w:left="720" w:hanging="720"/>
        <w:rPr>
          <w:sz w:val="22"/>
        </w:rPr>
      </w:pPr>
      <w:r w:rsidRPr="00E45BA8">
        <w:rPr>
          <w:sz w:val="22"/>
        </w:rPr>
        <w:t>7.1</w:t>
      </w:r>
      <w:r w:rsidRPr="00E45BA8">
        <w:rPr>
          <w:sz w:val="22"/>
        </w:rPr>
        <w:tab/>
        <w:t>Applying the charges will generate the income required to meet District and Parish Councils’ expenditure after discounts and non-payment, allowance for which has been included in the Council Tax Base.</w:t>
      </w:r>
    </w:p>
    <w:p w:rsidR="002E4B9E" w:rsidRPr="00E45BA8" w:rsidRDefault="002E4B9E">
      <w:pPr>
        <w:ind w:left="720" w:hanging="720"/>
        <w:rPr>
          <w:sz w:val="22"/>
        </w:rPr>
      </w:pPr>
    </w:p>
    <w:p w:rsidR="002E4B9E" w:rsidRPr="00E45BA8" w:rsidRDefault="002E4B9E">
      <w:pPr>
        <w:ind w:left="720" w:hanging="720"/>
        <w:rPr>
          <w:b/>
          <w:sz w:val="22"/>
          <w:u w:val="single"/>
        </w:rPr>
      </w:pPr>
      <w:r w:rsidRPr="00E45BA8">
        <w:rPr>
          <w:sz w:val="22"/>
        </w:rPr>
        <w:t>8.</w:t>
      </w:r>
      <w:r w:rsidRPr="00E45BA8">
        <w:rPr>
          <w:sz w:val="22"/>
        </w:rPr>
        <w:tab/>
      </w:r>
      <w:r w:rsidRPr="00E45BA8">
        <w:rPr>
          <w:b/>
          <w:sz w:val="22"/>
        </w:rPr>
        <w:t>Legal Implications</w:t>
      </w:r>
    </w:p>
    <w:p w:rsidR="002E4B9E" w:rsidRPr="00E45BA8" w:rsidRDefault="002E4B9E">
      <w:pPr>
        <w:ind w:left="720" w:hanging="720"/>
        <w:rPr>
          <w:b/>
          <w:sz w:val="22"/>
          <w:u w:val="single"/>
        </w:rPr>
      </w:pPr>
    </w:p>
    <w:p w:rsidR="002E4B9E" w:rsidRPr="00E45BA8" w:rsidRDefault="002E4B9E">
      <w:pPr>
        <w:ind w:left="720" w:hanging="720"/>
        <w:rPr>
          <w:sz w:val="22"/>
        </w:rPr>
      </w:pPr>
      <w:r w:rsidRPr="00E45BA8">
        <w:rPr>
          <w:sz w:val="22"/>
        </w:rPr>
        <w:t>8.1</w:t>
      </w:r>
      <w:r w:rsidRPr="00E45BA8">
        <w:rPr>
          <w:sz w:val="22"/>
        </w:rPr>
        <w:tab/>
        <w:t>This report and its recommendations comply with the requirements of the Local Government Finance Act 1992</w:t>
      </w:r>
      <w:r w:rsidR="00002DAB" w:rsidRPr="00E45BA8">
        <w:rPr>
          <w:sz w:val="22"/>
        </w:rPr>
        <w:t xml:space="preserve"> as amended</w:t>
      </w:r>
      <w:r w:rsidRPr="00E45BA8">
        <w:rPr>
          <w:sz w:val="22"/>
        </w:rPr>
        <w:t>.</w:t>
      </w:r>
    </w:p>
    <w:p w:rsidR="00D84469" w:rsidRPr="00E45BA8" w:rsidRDefault="00D84469" w:rsidP="00D84469">
      <w:pPr>
        <w:pStyle w:val="NormalWeb"/>
        <w:ind w:left="720" w:hanging="720"/>
        <w:rPr>
          <w:rFonts w:ascii="Arial" w:hAnsi="Arial" w:cs="Arial"/>
          <w:sz w:val="22"/>
          <w:szCs w:val="22"/>
        </w:rPr>
      </w:pPr>
      <w:r w:rsidRPr="008E5FF4">
        <w:rPr>
          <w:rFonts w:ascii="Arial" w:hAnsi="Arial" w:cs="Arial"/>
          <w:sz w:val="22"/>
          <w:szCs w:val="22"/>
        </w:rPr>
        <w:t>8.</w:t>
      </w:r>
      <w:r w:rsidRPr="00E45BA8">
        <w:rPr>
          <w:rFonts w:ascii="Arial" w:hAnsi="Arial" w:cs="Arial"/>
          <w:sz w:val="22"/>
          <w:szCs w:val="22"/>
        </w:rPr>
        <w:t>2</w:t>
      </w:r>
      <w:r w:rsidRPr="00E45BA8">
        <w:rPr>
          <w:rFonts w:ascii="Arial" w:hAnsi="Arial" w:cs="Arial"/>
          <w:sz w:val="22"/>
          <w:szCs w:val="22"/>
        </w:rPr>
        <w:tab/>
      </w:r>
      <w:r w:rsidR="00E45BA8" w:rsidRPr="00E45BA8">
        <w:rPr>
          <w:rFonts w:ascii="Arial" w:hAnsi="Arial" w:cs="Arial"/>
          <w:sz w:val="22"/>
          <w:szCs w:val="22"/>
        </w:rPr>
        <w:t>T</w:t>
      </w:r>
      <w:r w:rsidRPr="00E45BA8">
        <w:rPr>
          <w:rFonts w:ascii="Arial" w:hAnsi="Arial" w:cs="Arial"/>
          <w:sz w:val="22"/>
          <w:szCs w:val="22"/>
        </w:rPr>
        <w:t xml:space="preserve">he Government announced that </w:t>
      </w:r>
      <w:r w:rsidRPr="00E45BA8">
        <w:rPr>
          <w:rFonts w:ascii="Arial" w:hAnsi="Arial" w:cs="Arial"/>
          <w:iCs/>
          <w:sz w:val="22"/>
          <w:szCs w:val="22"/>
        </w:rPr>
        <w:t xml:space="preserve">for district councils, their relevant basic amount of council tax in </w:t>
      </w:r>
      <w:r w:rsidR="00E45BA8" w:rsidRPr="00E45BA8">
        <w:rPr>
          <w:rFonts w:ascii="Arial" w:hAnsi="Arial" w:cs="Arial"/>
          <w:iCs/>
          <w:sz w:val="22"/>
          <w:szCs w:val="22"/>
        </w:rPr>
        <w:t>2017/18</w:t>
      </w:r>
      <w:r w:rsidRPr="00E45BA8">
        <w:rPr>
          <w:rFonts w:ascii="Arial" w:hAnsi="Arial" w:cs="Arial"/>
          <w:iCs/>
          <w:sz w:val="22"/>
          <w:szCs w:val="22"/>
        </w:rPr>
        <w:t xml:space="preserve"> will require a referendum if it is either: </w:t>
      </w:r>
    </w:p>
    <w:p w:rsidR="00D84469" w:rsidRPr="00E45BA8" w:rsidRDefault="00D84469" w:rsidP="00D84469">
      <w:pPr>
        <w:pStyle w:val="NormalWeb"/>
        <w:rPr>
          <w:rFonts w:ascii="Arial" w:hAnsi="Arial" w:cs="Arial"/>
          <w:sz w:val="22"/>
          <w:szCs w:val="22"/>
        </w:rPr>
      </w:pPr>
      <w:r w:rsidRPr="00E45BA8">
        <w:rPr>
          <w:rFonts w:ascii="Arial" w:hAnsi="Arial" w:cs="Arial"/>
          <w:iCs/>
          <w:sz w:val="22"/>
          <w:szCs w:val="22"/>
        </w:rPr>
        <w:t> </w:t>
      </w:r>
      <w:r w:rsidRPr="00E45BA8">
        <w:rPr>
          <w:rFonts w:ascii="Arial" w:hAnsi="Arial" w:cs="Arial"/>
          <w:iCs/>
          <w:sz w:val="22"/>
          <w:szCs w:val="22"/>
        </w:rPr>
        <w:tab/>
        <w:t>- 2%; or more than 2% above its 201</w:t>
      </w:r>
      <w:r w:rsidR="00E45BA8" w:rsidRPr="00E45BA8">
        <w:rPr>
          <w:rFonts w:ascii="Arial" w:hAnsi="Arial" w:cs="Arial"/>
          <w:iCs/>
          <w:sz w:val="22"/>
          <w:szCs w:val="22"/>
        </w:rPr>
        <w:t>6/</w:t>
      </w:r>
      <w:r w:rsidRPr="00E45BA8">
        <w:rPr>
          <w:rFonts w:ascii="Arial" w:hAnsi="Arial" w:cs="Arial"/>
          <w:iCs/>
          <w:sz w:val="22"/>
          <w:szCs w:val="22"/>
        </w:rPr>
        <w:t>1</w:t>
      </w:r>
      <w:r w:rsidR="00E45BA8" w:rsidRPr="00E45BA8">
        <w:rPr>
          <w:rFonts w:ascii="Arial" w:hAnsi="Arial" w:cs="Arial"/>
          <w:iCs/>
          <w:sz w:val="22"/>
          <w:szCs w:val="22"/>
        </w:rPr>
        <w:t>7</w:t>
      </w:r>
      <w:r w:rsidR="00DA44C4">
        <w:rPr>
          <w:rFonts w:ascii="Arial" w:hAnsi="Arial" w:cs="Arial"/>
          <w:iCs/>
          <w:sz w:val="22"/>
          <w:szCs w:val="22"/>
        </w:rPr>
        <w:t xml:space="preserve"> </w:t>
      </w:r>
      <w:r w:rsidRPr="00E45BA8">
        <w:rPr>
          <w:rFonts w:ascii="Arial" w:hAnsi="Arial" w:cs="Arial"/>
          <w:iCs/>
          <w:sz w:val="22"/>
          <w:szCs w:val="22"/>
        </w:rPr>
        <w:t xml:space="preserve">level; and </w:t>
      </w:r>
    </w:p>
    <w:p w:rsidR="00DA44C4" w:rsidRDefault="00D84469" w:rsidP="00DA44C4">
      <w:pPr>
        <w:pStyle w:val="NormalWeb"/>
        <w:ind w:firstLine="720"/>
        <w:rPr>
          <w:rFonts w:ascii="Arial" w:hAnsi="Arial" w:cs="Arial"/>
          <w:iCs/>
          <w:sz w:val="22"/>
          <w:szCs w:val="22"/>
        </w:rPr>
      </w:pPr>
      <w:r w:rsidRPr="008E5FF4">
        <w:rPr>
          <w:rFonts w:ascii="Arial" w:hAnsi="Arial" w:cs="Arial"/>
          <w:iCs/>
          <w:sz w:val="22"/>
          <w:szCs w:val="22"/>
        </w:rPr>
        <w:t xml:space="preserve">- </w:t>
      </w:r>
      <w:proofErr w:type="gramStart"/>
      <w:r w:rsidRPr="008E5FF4">
        <w:rPr>
          <w:rFonts w:ascii="Arial" w:hAnsi="Arial" w:cs="Arial"/>
          <w:iCs/>
          <w:sz w:val="22"/>
          <w:szCs w:val="22"/>
        </w:rPr>
        <w:t>more</w:t>
      </w:r>
      <w:proofErr w:type="gramEnd"/>
      <w:r w:rsidRPr="008E5FF4">
        <w:rPr>
          <w:rFonts w:ascii="Arial" w:hAnsi="Arial" w:cs="Arial"/>
          <w:iCs/>
          <w:sz w:val="22"/>
          <w:szCs w:val="22"/>
        </w:rPr>
        <w:t xml:space="preserve"> than £5 above its 201</w:t>
      </w:r>
      <w:r w:rsidR="00E45BA8" w:rsidRPr="008E5FF4">
        <w:rPr>
          <w:rFonts w:ascii="Arial" w:hAnsi="Arial" w:cs="Arial"/>
          <w:iCs/>
          <w:sz w:val="22"/>
          <w:szCs w:val="22"/>
        </w:rPr>
        <w:t>6/</w:t>
      </w:r>
      <w:r w:rsidRPr="008E5FF4">
        <w:rPr>
          <w:rFonts w:ascii="Arial" w:hAnsi="Arial" w:cs="Arial"/>
          <w:iCs/>
          <w:sz w:val="22"/>
          <w:szCs w:val="22"/>
        </w:rPr>
        <w:t>1</w:t>
      </w:r>
      <w:r w:rsidR="00E45BA8" w:rsidRPr="008E5FF4">
        <w:rPr>
          <w:rFonts w:ascii="Arial" w:hAnsi="Arial" w:cs="Arial"/>
          <w:iCs/>
          <w:sz w:val="22"/>
          <w:szCs w:val="22"/>
        </w:rPr>
        <w:t>7</w:t>
      </w:r>
      <w:r w:rsidRPr="008E5FF4">
        <w:rPr>
          <w:rFonts w:ascii="Arial" w:hAnsi="Arial" w:cs="Arial"/>
          <w:iCs/>
          <w:sz w:val="22"/>
          <w:szCs w:val="22"/>
        </w:rPr>
        <w:t xml:space="preserve"> level </w:t>
      </w:r>
    </w:p>
    <w:p w:rsidR="00D84469" w:rsidRPr="008E5FF4" w:rsidRDefault="00D84469" w:rsidP="00DA44C4">
      <w:pPr>
        <w:pStyle w:val="NormalWeb"/>
        <w:ind w:left="720"/>
        <w:rPr>
          <w:rFonts w:ascii="Arial" w:hAnsi="Arial" w:cs="Arial"/>
          <w:sz w:val="22"/>
          <w:szCs w:val="22"/>
        </w:rPr>
      </w:pPr>
      <w:r w:rsidRPr="008E5FF4">
        <w:rPr>
          <w:rFonts w:ascii="Arial" w:hAnsi="Arial" w:cs="Arial"/>
          <w:iCs/>
          <w:sz w:val="22"/>
          <w:szCs w:val="22"/>
        </w:rPr>
        <w:t xml:space="preserve">This means the authority would need to exceed </w:t>
      </w:r>
      <w:r w:rsidRPr="008E5FF4">
        <w:rPr>
          <w:rFonts w:ascii="Arial" w:hAnsi="Arial" w:cs="Arial"/>
          <w:b/>
          <w:bCs/>
          <w:iCs/>
          <w:sz w:val="22"/>
          <w:szCs w:val="22"/>
        </w:rPr>
        <w:t xml:space="preserve">both </w:t>
      </w:r>
      <w:r w:rsidRPr="008E5FF4">
        <w:rPr>
          <w:rFonts w:ascii="Arial" w:hAnsi="Arial" w:cs="Arial"/>
          <w:iCs/>
          <w:sz w:val="22"/>
          <w:szCs w:val="22"/>
        </w:rPr>
        <w:t xml:space="preserve">referendum principles in order to be subject to a referendum; exceeding one principle but not the other would not require a referendum. The average increase in the district for </w:t>
      </w:r>
      <w:r w:rsidR="00E45BA8" w:rsidRPr="008E5FF4">
        <w:rPr>
          <w:rFonts w:ascii="Arial" w:hAnsi="Arial" w:cs="Arial"/>
          <w:iCs/>
          <w:sz w:val="22"/>
          <w:szCs w:val="22"/>
        </w:rPr>
        <w:t>2017/18</w:t>
      </w:r>
      <w:r w:rsidRPr="008E5FF4">
        <w:rPr>
          <w:rFonts w:ascii="Arial" w:hAnsi="Arial" w:cs="Arial"/>
          <w:iCs/>
          <w:sz w:val="22"/>
          <w:szCs w:val="22"/>
        </w:rPr>
        <w:t xml:space="preserve"> for a Band D property is £</w:t>
      </w:r>
      <w:r w:rsidR="00E45BA8" w:rsidRPr="008E5FF4">
        <w:rPr>
          <w:rFonts w:ascii="Arial" w:hAnsi="Arial" w:cs="Arial"/>
          <w:iCs/>
          <w:sz w:val="22"/>
          <w:szCs w:val="22"/>
        </w:rPr>
        <w:t>5</w:t>
      </w:r>
      <w:r w:rsidRPr="008E5FF4">
        <w:rPr>
          <w:rFonts w:ascii="Arial" w:hAnsi="Arial" w:cs="Arial"/>
          <w:iCs/>
          <w:sz w:val="22"/>
          <w:szCs w:val="22"/>
        </w:rPr>
        <w:t xml:space="preserve"> (</w:t>
      </w:r>
      <w:r w:rsidR="00E53ECE" w:rsidRPr="008E5FF4">
        <w:rPr>
          <w:rFonts w:ascii="Arial" w:hAnsi="Arial" w:cs="Arial"/>
          <w:iCs/>
          <w:sz w:val="22"/>
          <w:szCs w:val="22"/>
        </w:rPr>
        <w:t>3.15</w:t>
      </w:r>
      <w:r w:rsidRPr="008E5FF4">
        <w:rPr>
          <w:rFonts w:ascii="Arial" w:hAnsi="Arial" w:cs="Arial"/>
          <w:iCs/>
          <w:sz w:val="22"/>
          <w:szCs w:val="22"/>
        </w:rPr>
        <w:t xml:space="preserve">%). Therefore there is no need for a referendum on the </w:t>
      </w:r>
      <w:r w:rsidR="008E5FF4" w:rsidRPr="008E5FF4">
        <w:rPr>
          <w:rFonts w:ascii="Arial" w:hAnsi="Arial" w:cs="Arial"/>
          <w:iCs/>
          <w:sz w:val="22"/>
          <w:szCs w:val="22"/>
        </w:rPr>
        <w:t>2017/18</w:t>
      </w:r>
      <w:r w:rsidRPr="008E5FF4">
        <w:rPr>
          <w:rFonts w:ascii="Arial" w:hAnsi="Arial" w:cs="Arial"/>
          <w:iCs/>
          <w:sz w:val="22"/>
          <w:szCs w:val="22"/>
        </w:rPr>
        <w:t xml:space="preserve"> district element of the council tax charge.</w:t>
      </w:r>
    </w:p>
    <w:p w:rsidR="002E4B9E" w:rsidRPr="008E5FF4" w:rsidRDefault="002E4B9E">
      <w:pPr>
        <w:ind w:left="720" w:hanging="720"/>
        <w:rPr>
          <w:b/>
          <w:sz w:val="22"/>
        </w:rPr>
      </w:pPr>
      <w:r w:rsidRPr="008E5FF4">
        <w:rPr>
          <w:sz w:val="22"/>
        </w:rPr>
        <w:t>9.</w:t>
      </w:r>
      <w:r w:rsidRPr="008E5FF4">
        <w:rPr>
          <w:sz w:val="22"/>
        </w:rPr>
        <w:tab/>
      </w:r>
      <w:r w:rsidRPr="008E5FF4">
        <w:rPr>
          <w:b/>
          <w:sz w:val="22"/>
        </w:rPr>
        <w:t>Recommendations</w:t>
      </w:r>
    </w:p>
    <w:p w:rsidR="001B68C1" w:rsidRPr="008E5FF4" w:rsidRDefault="001B68C1" w:rsidP="001B68C1">
      <w:pPr>
        <w:ind w:left="720" w:hanging="720"/>
        <w:rPr>
          <w:sz w:val="22"/>
        </w:rPr>
      </w:pPr>
    </w:p>
    <w:p w:rsidR="001B68C1" w:rsidRPr="00FB5B08" w:rsidRDefault="001B68C1" w:rsidP="00DA44C4">
      <w:pPr>
        <w:pStyle w:val="BodyTextIndent"/>
        <w:rPr>
          <w:color w:val="4F81BD" w:themeColor="accent1"/>
        </w:rPr>
      </w:pPr>
      <w:r w:rsidRPr="008E5FF4">
        <w:t>9.</w:t>
      </w:r>
      <w:r w:rsidR="00BA6CE2" w:rsidRPr="008E5FF4">
        <w:t>1</w:t>
      </w:r>
      <w:r w:rsidRPr="008E5FF4">
        <w:tab/>
        <w:t xml:space="preserve">That the following amounts be calculated for the year </w:t>
      </w:r>
      <w:r w:rsidR="008E5FF4" w:rsidRPr="008E5FF4">
        <w:t>2017/2018</w:t>
      </w:r>
      <w:r w:rsidRPr="008E5FF4">
        <w:t xml:space="preserve"> in accordance with Sections 3</w:t>
      </w:r>
      <w:r w:rsidR="00947F60" w:rsidRPr="008E5FF4">
        <w:t>1</w:t>
      </w:r>
      <w:r w:rsidRPr="008E5FF4">
        <w:t xml:space="preserve"> to 36 of the Local Government Finance Act 1992:-</w:t>
      </w:r>
    </w:p>
    <w:p w:rsidR="00163FE7" w:rsidRPr="00FB5B08" w:rsidRDefault="00163FE7" w:rsidP="001B68C1">
      <w:pPr>
        <w:ind w:left="720" w:hanging="720"/>
        <w:rPr>
          <w:color w:val="4F81BD" w:themeColor="accent1"/>
          <w:sz w:val="22"/>
        </w:rPr>
      </w:pPr>
    </w:p>
    <w:tbl>
      <w:tblPr>
        <w:tblW w:w="8919" w:type="dxa"/>
        <w:tblInd w:w="828" w:type="dxa"/>
        <w:tblLayout w:type="fixed"/>
        <w:tblLook w:val="0000" w:firstRow="0" w:lastRow="0" w:firstColumn="0" w:lastColumn="0" w:noHBand="0" w:noVBand="0"/>
      </w:tblPr>
      <w:tblGrid>
        <w:gridCol w:w="540"/>
        <w:gridCol w:w="1530"/>
        <w:gridCol w:w="6849"/>
      </w:tblGrid>
      <w:tr w:rsidR="001A607D" w:rsidRPr="00FB5B08" w:rsidTr="001A607D">
        <w:tc>
          <w:tcPr>
            <w:tcW w:w="540" w:type="dxa"/>
          </w:tcPr>
          <w:p w:rsidR="001B68C1" w:rsidRPr="008E5FF4" w:rsidRDefault="001B68C1" w:rsidP="00850519">
            <w:pPr>
              <w:rPr>
                <w:sz w:val="22"/>
              </w:rPr>
            </w:pPr>
            <w:r w:rsidRPr="008E5FF4">
              <w:rPr>
                <w:sz w:val="22"/>
              </w:rPr>
              <w:t>(a)</w:t>
            </w:r>
          </w:p>
        </w:tc>
        <w:tc>
          <w:tcPr>
            <w:tcW w:w="1530" w:type="dxa"/>
          </w:tcPr>
          <w:p w:rsidR="001B68C1" w:rsidRPr="00791AEE" w:rsidRDefault="00146564" w:rsidP="00791AEE">
            <w:pPr>
              <w:rPr>
                <w:sz w:val="22"/>
                <w:szCs w:val="22"/>
              </w:rPr>
            </w:pPr>
            <w:r w:rsidRPr="00791AEE">
              <w:rPr>
                <w:sz w:val="22"/>
                <w:szCs w:val="22"/>
              </w:rPr>
              <w:t>£</w:t>
            </w:r>
            <w:r w:rsidR="00233879" w:rsidRPr="00791AEE">
              <w:rPr>
                <w:rFonts w:cs="Arial"/>
                <w:sz w:val="22"/>
                <w:szCs w:val="22"/>
                <w:lang w:eastAsia="en-GB"/>
              </w:rPr>
              <w:t>4</w:t>
            </w:r>
            <w:r w:rsidR="008E5FF4" w:rsidRPr="00791AEE">
              <w:rPr>
                <w:rFonts w:cs="Arial"/>
                <w:sz w:val="22"/>
                <w:szCs w:val="22"/>
                <w:lang w:eastAsia="en-GB"/>
              </w:rPr>
              <w:t>8,1</w:t>
            </w:r>
            <w:r w:rsidR="00791AEE" w:rsidRPr="00791AEE">
              <w:rPr>
                <w:rFonts w:cs="Arial"/>
                <w:sz w:val="22"/>
                <w:szCs w:val="22"/>
                <w:lang w:eastAsia="en-GB"/>
              </w:rPr>
              <w:t>9</w:t>
            </w:r>
            <w:r w:rsidR="008E5FF4" w:rsidRPr="00791AEE">
              <w:rPr>
                <w:rFonts w:cs="Arial"/>
                <w:sz w:val="22"/>
                <w:szCs w:val="22"/>
                <w:lang w:eastAsia="en-GB"/>
              </w:rPr>
              <w:t>9,879</w:t>
            </w:r>
          </w:p>
        </w:tc>
        <w:tc>
          <w:tcPr>
            <w:tcW w:w="6849" w:type="dxa"/>
          </w:tcPr>
          <w:p w:rsidR="001B68C1" w:rsidRPr="008E5FF4" w:rsidRDefault="001B68C1" w:rsidP="00DA44C4">
            <w:pPr>
              <w:rPr>
                <w:sz w:val="22"/>
              </w:rPr>
            </w:pPr>
            <w:proofErr w:type="gramStart"/>
            <w:r w:rsidRPr="008E5FF4">
              <w:rPr>
                <w:sz w:val="22"/>
              </w:rPr>
              <w:t>being</w:t>
            </w:r>
            <w:proofErr w:type="gramEnd"/>
            <w:r w:rsidRPr="008E5FF4">
              <w:rPr>
                <w:sz w:val="22"/>
              </w:rPr>
              <w:t xml:space="preserve"> the aggregate of the amounts which the Council estimates for the items set out in Section </w:t>
            </w:r>
            <w:r w:rsidR="00947F60" w:rsidRPr="008E5FF4">
              <w:rPr>
                <w:sz w:val="22"/>
              </w:rPr>
              <w:t>31A</w:t>
            </w:r>
            <w:r w:rsidRPr="008E5FF4">
              <w:rPr>
                <w:sz w:val="22"/>
              </w:rPr>
              <w:t>(2) of the Act</w:t>
            </w:r>
            <w:r w:rsidR="00947F60" w:rsidRPr="008E5FF4">
              <w:rPr>
                <w:sz w:val="22"/>
              </w:rPr>
              <w:t xml:space="preserve"> taking into account all precepts issued to it by parish councils</w:t>
            </w:r>
            <w:r w:rsidRPr="008E5FF4">
              <w:rPr>
                <w:sz w:val="22"/>
              </w:rPr>
              <w:t>.</w:t>
            </w:r>
          </w:p>
        </w:tc>
      </w:tr>
      <w:tr w:rsidR="001A607D" w:rsidRPr="00FB5B08" w:rsidTr="001A607D">
        <w:tc>
          <w:tcPr>
            <w:tcW w:w="540" w:type="dxa"/>
          </w:tcPr>
          <w:p w:rsidR="001B68C1" w:rsidRPr="008E5FF4" w:rsidRDefault="001B68C1" w:rsidP="00850519">
            <w:pPr>
              <w:rPr>
                <w:sz w:val="22"/>
              </w:rPr>
            </w:pPr>
            <w:r w:rsidRPr="008E5FF4">
              <w:rPr>
                <w:sz w:val="22"/>
              </w:rPr>
              <w:t>(b)</w:t>
            </w:r>
          </w:p>
        </w:tc>
        <w:tc>
          <w:tcPr>
            <w:tcW w:w="1530" w:type="dxa"/>
          </w:tcPr>
          <w:p w:rsidR="001B68C1" w:rsidRPr="00791AEE" w:rsidRDefault="00146564" w:rsidP="00791AEE">
            <w:pPr>
              <w:rPr>
                <w:sz w:val="22"/>
                <w:szCs w:val="22"/>
              </w:rPr>
            </w:pPr>
            <w:r w:rsidRPr="00791AEE">
              <w:rPr>
                <w:sz w:val="22"/>
                <w:szCs w:val="22"/>
              </w:rPr>
              <w:t>£</w:t>
            </w:r>
            <w:r w:rsidR="008E5FF4" w:rsidRPr="00791AEE">
              <w:rPr>
                <w:rFonts w:cs="Arial"/>
                <w:sz w:val="22"/>
                <w:szCs w:val="22"/>
                <w:lang w:eastAsia="en-GB"/>
              </w:rPr>
              <w:t>40,1</w:t>
            </w:r>
            <w:r w:rsidR="00791AEE" w:rsidRPr="00791AEE">
              <w:rPr>
                <w:rFonts w:cs="Arial"/>
                <w:sz w:val="22"/>
                <w:szCs w:val="22"/>
                <w:lang w:eastAsia="en-GB"/>
              </w:rPr>
              <w:t>7</w:t>
            </w:r>
            <w:r w:rsidR="008E5FF4" w:rsidRPr="00791AEE">
              <w:rPr>
                <w:rFonts w:cs="Arial"/>
                <w:sz w:val="22"/>
                <w:szCs w:val="22"/>
                <w:lang w:eastAsia="en-GB"/>
              </w:rPr>
              <w:t>8,099</w:t>
            </w:r>
          </w:p>
        </w:tc>
        <w:tc>
          <w:tcPr>
            <w:tcW w:w="6849" w:type="dxa"/>
          </w:tcPr>
          <w:p w:rsidR="001B68C1" w:rsidRPr="008E5FF4" w:rsidRDefault="001B68C1" w:rsidP="00850519">
            <w:pPr>
              <w:rPr>
                <w:sz w:val="22"/>
              </w:rPr>
            </w:pPr>
            <w:proofErr w:type="gramStart"/>
            <w:r w:rsidRPr="008E5FF4">
              <w:rPr>
                <w:sz w:val="22"/>
              </w:rPr>
              <w:t>being</w:t>
            </w:r>
            <w:proofErr w:type="gramEnd"/>
            <w:r w:rsidRPr="008E5FF4">
              <w:rPr>
                <w:sz w:val="22"/>
              </w:rPr>
              <w:t xml:space="preserve"> the aggregate of the amounts which the Council estimates for the items set out in Section 3</w:t>
            </w:r>
            <w:r w:rsidR="00947F60" w:rsidRPr="008E5FF4">
              <w:rPr>
                <w:sz w:val="22"/>
              </w:rPr>
              <w:t>1A</w:t>
            </w:r>
            <w:r w:rsidRPr="008E5FF4">
              <w:rPr>
                <w:sz w:val="22"/>
              </w:rPr>
              <w:t>(3) of the Act.</w:t>
            </w:r>
          </w:p>
        </w:tc>
      </w:tr>
      <w:tr w:rsidR="001A607D" w:rsidRPr="00FB5B08" w:rsidTr="001A607D">
        <w:tc>
          <w:tcPr>
            <w:tcW w:w="540" w:type="dxa"/>
          </w:tcPr>
          <w:p w:rsidR="001B68C1" w:rsidRPr="008E5FF4" w:rsidRDefault="001B68C1" w:rsidP="00850519">
            <w:pPr>
              <w:rPr>
                <w:sz w:val="22"/>
              </w:rPr>
            </w:pPr>
            <w:r w:rsidRPr="008E5FF4">
              <w:rPr>
                <w:sz w:val="22"/>
              </w:rPr>
              <w:t>(c)</w:t>
            </w:r>
          </w:p>
        </w:tc>
        <w:tc>
          <w:tcPr>
            <w:tcW w:w="1530" w:type="dxa"/>
          </w:tcPr>
          <w:p w:rsidR="001B68C1" w:rsidRPr="00791AEE" w:rsidRDefault="00146564" w:rsidP="008E5FF4">
            <w:pPr>
              <w:rPr>
                <w:sz w:val="22"/>
                <w:szCs w:val="22"/>
              </w:rPr>
            </w:pPr>
            <w:r w:rsidRPr="00791AEE">
              <w:rPr>
                <w:sz w:val="22"/>
                <w:szCs w:val="22"/>
              </w:rPr>
              <w:t>£</w:t>
            </w:r>
            <w:r w:rsidR="008E5FF4" w:rsidRPr="00791AEE">
              <w:rPr>
                <w:rFonts w:cs="Arial"/>
                <w:bCs/>
                <w:sz w:val="22"/>
                <w:szCs w:val="22"/>
                <w:lang w:eastAsia="en-GB"/>
              </w:rPr>
              <w:t>8,021,780</w:t>
            </w:r>
          </w:p>
        </w:tc>
        <w:tc>
          <w:tcPr>
            <w:tcW w:w="6849" w:type="dxa"/>
          </w:tcPr>
          <w:p w:rsidR="001B68C1" w:rsidRPr="008E5FF4" w:rsidRDefault="001B68C1" w:rsidP="00C46F4E">
            <w:pPr>
              <w:rPr>
                <w:sz w:val="22"/>
              </w:rPr>
            </w:pPr>
            <w:proofErr w:type="gramStart"/>
            <w:r w:rsidRPr="008E5FF4">
              <w:rPr>
                <w:sz w:val="22"/>
              </w:rPr>
              <w:t>being</w:t>
            </w:r>
            <w:proofErr w:type="gramEnd"/>
            <w:r w:rsidRPr="008E5FF4">
              <w:rPr>
                <w:sz w:val="22"/>
              </w:rPr>
              <w:t xml:space="preserve"> the amount by which the aggregate (a) ab</w:t>
            </w:r>
            <w:r w:rsidR="00C31F01" w:rsidRPr="008E5FF4">
              <w:rPr>
                <w:sz w:val="22"/>
              </w:rPr>
              <w:t xml:space="preserve">ove exceeds the aggregate at </w:t>
            </w:r>
            <w:r w:rsidRPr="008E5FF4">
              <w:rPr>
                <w:sz w:val="22"/>
              </w:rPr>
              <w:t>(b) above</w:t>
            </w:r>
            <w:r w:rsidR="00C31F01" w:rsidRPr="008E5FF4">
              <w:rPr>
                <w:sz w:val="22"/>
              </w:rPr>
              <w:t>.</w:t>
            </w:r>
          </w:p>
        </w:tc>
      </w:tr>
      <w:tr w:rsidR="001A607D" w:rsidRPr="00FB5B08" w:rsidTr="001A607D">
        <w:tc>
          <w:tcPr>
            <w:tcW w:w="540" w:type="dxa"/>
          </w:tcPr>
          <w:p w:rsidR="001B68C1" w:rsidRPr="008E5FF4" w:rsidRDefault="001B68C1" w:rsidP="00850519">
            <w:pPr>
              <w:rPr>
                <w:sz w:val="22"/>
              </w:rPr>
            </w:pPr>
            <w:r w:rsidRPr="008E5FF4">
              <w:rPr>
                <w:sz w:val="22"/>
              </w:rPr>
              <w:t>(</w:t>
            </w:r>
            <w:r w:rsidR="00E809B5" w:rsidRPr="008E5FF4">
              <w:rPr>
                <w:sz w:val="22"/>
              </w:rPr>
              <w:t>d</w:t>
            </w:r>
            <w:r w:rsidRPr="008E5FF4">
              <w:rPr>
                <w:sz w:val="22"/>
              </w:rPr>
              <w:t>)</w:t>
            </w:r>
          </w:p>
        </w:tc>
        <w:tc>
          <w:tcPr>
            <w:tcW w:w="1530" w:type="dxa"/>
          </w:tcPr>
          <w:p w:rsidR="001B68C1" w:rsidRPr="00791AEE" w:rsidRDefault="00146564" w:rsidP="008E5FF4">
            <w:pPr>
              <w:rPr>
                <w:sz w:val="22"/>
              </w:rPr>
            </w:pPr>
            <w:r w:rsidRPr="00791AEE">
              <w:rPr>
                <w:sz w:val="22"/>
              </w:rPr>
              <w:t>£</w:t>
            </w:r>
            <w:r w:rsidR="008E5FF4" w:rsidRPr="00791AEE">
              <w:rPr>
                <w:sz w:val="22"/>
              </w:rPr>
              <w:t>212.15</w:t>
            </w:r>
          </w:p>
        </w:tc>
        <w:tc>
          <w:tcPr>
            <w:tcW w:w="6849" w:type="dxa"/>
          </w:tcPr>
          <w:p w:rsidR="001B68C1" w:rsidRPr="008E5FF4" w:rsidRDefault="001B68C1" w:rsidP="00C46F4E">
            <w:pPr>
              <w:rPr>
                <w:sz w:val="22"/>
              </w:rPr>
            </w:pPr>
            <w:proofErr w:type="gramStart"/>
            <w:r w:rsidRPr="008E5FF4">
              <w:rPr>
                <w:sz w:val="22"/>
              </w:rPr>
              <w:t>being</w:t>
            </w:r>
            <w:proofErr w:type="gramEnd"/>
            <w:r w:rsidRPr="008E5FF4">
              <w:rPr>
                <w:sz w:val="22"/>
              </w:rPr>
              <w:t xml:space="preserve"> the amount at (c) above divided by the </w:t>
            </w:r>
            <w:r w:rsidR="00C31F01" w:rsidRPr="008E5FF4">
              <w:rPr>
                <w:sz w:val="22"/>
              </w:rPr>
              <w:t>council tax base</w:t>
            </w:r>
            <w:r w:rsidRPr="008E5FF4">
              <w:rPr>
                <w:sz w:val="22"/>
              </w:rPr>
              <w:t>, as the basic amount of its Council Tax for the year</w:t>
            </w:r>
            <w:r w:rsidR="00E809B5" w:rsidRPr="008E5FF4">
              <w:rPr>
                <w:sz w:val="22"/>
              </w:rPr>
              <w:t xml:space="preserve"> (including parish precepts)</w:t>
            </w:r>
            <w:r w:rsidRPr="008E5FF4">
              <w:rPr>
                <w:sz w:val="22"/>
              </w:rPr>
              <w:t>.</w:t>
            </w:r>
          </w:p>
        </w:tc>
      </w:tr>
      <w:tr w:rsidR="001A607D" w:rsidRPr="00FB5B08" w:rsidTr="001A607D">
        <w:tc>
          <w:tcPr>
            <w:tcW w:w="540" w:type="dxa"/>
          </w:tcPr>
          <w:p w:rsidR="001B68C1" w:rsidRPr="008E5FF4" w:rsidRDefault="00E809B5" w:rsidP="00850519">
            <w:pPr>
              <w:rPr>
                <w:sz w:val="22"/>
              </w:rPr>
            </w:pPr>
            <w:r w:rsidRPr="008E5FF4">
              <w:rPr>
                <w:sz w:val="22"/>
              </w:rPr>
              <w:t>(e</w:t>
            </w:r>
            <w:r w:rsidR="001B68C1" w:rsidRPr="008E5FF4">
              <w:rPr>
                <w:sz w:val="22"/>
              </w:rPr>
              <w:t>)</w:t>
            </w:r>
          </w:p>
        </w:tc>
        <w:tc>
          <w:tcPr>
            <w:tcW w:w="1530" w:type="dxa"/>
          </w:tcPr>
          <w:p w:rsidR="001B68C1" w:rsidRPr="00791AEE" w:rsidRDefault="00F0418D" w:rsidP="008E5FF4">
            <w:pPr>
              <w:rPr>
                <w:sz w:val="22"/>
              </w:rPr>
            </w:pPr>
            <w:r w:rsidRPr="00791AEE">
              <w:rPr>
                <w:sz w:val="22"/>
              </w:rPr>
              <w:t>£2,</w:t>
            </w:r>
            <w:r w:rsidR="008E5FF4" w:rsidRPr="00791AEE">
              <w:rPr>
                <w:sz w:val="22"/>
              </w:rPr>
              <w:t>953,957</w:t>
            </w:r>
          </w:p>
        </w:tc>
        <w:tc>
          <w:tcPr>
            <w:tcW w:w="6849" w:type="dxa"/>
          </w:tcPr>
          <w:p w:rsidR="001B68C1" w:rsidRPr="008E5FF4" w:rsidRDefault="001B68C1" w:rsidP="00850519">
            <w:pPr>
              <w:rPr>
                <w:sz w:val="22"/>
              </w:rPr>
            </w:pPr>
            <w:r w:rsidRPr="008E5FF4">
              <w:rPr>
                <w:sz w:val="22"/>
              </w:rPr>
              <w:t xml:space="preserve">being the aggregate amount of all special items </w:t>
            </w:r>
            <w:r w:rsidR="00E809B5" w:rsidRPr="008E5FF4">
              <w:rPr>
                <w:sz w:val="22"/>
              </w:rPr>
              <w:t xml:space="preserve">(parish precepts and special expenses) </w:t>
            </w:r>
          </w:p>
        </w:tc>
      </w:tr>
      <w:tr w:rsidR="001A607D" w:rsidRPr="00FB5B08" w:rsidTr="001A607D">
        <w:tc>
          <w:tcPr>
            <w:tcW w:w="540" w:type="dxa"/>
          </w:tcPr>
          <w:p w:rsidR="001B68C1" w:rsidRPr="008E5FF4" w:rsidRDefault="001B68C1" w:rsidP="00850519">
            <w:pPr>
              <w:rPr>
                <w:sz w:val="22"/>
              </w:rPr>
            </w:pPr>
            <w:r w:rsidRPr="008E5FF4">
              <w:rPr>
                <w:sz w:val="22"/>
              </w:rPr>
              <w:t>(</w:t>
            </w:r>
            <w:r w:rsidR="00E809B5" w:rsidRPr="008E5FF4">
              <w:rPr>
                <w:sz w:val="22"/>
              </w:rPr>
              <w:t>f</w:t>
            </w:r>
            <w:r w:rsidRPr="008E5FF4">
              <w:rPr>
                <w:sz w:val="22"/>
              </w:rPr>
              <w:t>)</w:t>
            </w:r>
          </w:p>
        </w:tc>
        <w:tc>
          <w:tcPr>
            <w:tcW w:w="1530" w:type="dxa"/>
          </w:tcPr>
          <w:p w:rsidR="001B68C1" w:rsidRPr="008C4C99" w:rsidRDefault="00F0418D" w:rsidP="008E5FF4">
            <w:pPr>
              <w:rPr>
                <w:sz w:val="22"/>
                <w:highlight w:val="yellow"/>
              </w:rPr>
            </w:pPr>
            <w:r w:rsidRPr="00791AEE">
              <w:rPr>
                <w:sz w:val="22"/>
              </w:rPr>
              <w:t>£</w:t>
            </w:r>
            <w:r w:rsidR="008E5FF4" w:rsidRPr="00791AEE">
              <w:rPr>
                <w:sz w:val="22"/>
              </w:rPr>
              <w:t>134.03</w:t>
            </w:r>
          </w:p>
        </w:tc>
        <w:tc>
          <w:tcPr>
            <w:tcW w:w="6849" w:type="dxa"/>
          </w:tcPr>
          <w:p w:rsidR="001B68C1" w:rsidRPr="008E5FF4" w:rsidRDefault="001B68C1" w:rsidP="00850519">
            <w:pPr>
              <w:rPr>
                <w:sz w:val="22"/>
              </w:rPr>
            </w:pPr>
            <w:proofErr w:type="gramStart"/>
            <w:r w:rsidRPr="008E5FF4">
              <w:rPr>
                <w:sz w:val="22"/>
              </w:rPr>
              <w:t>being</w:t>
            </w:r>
            <w:proofErr w:type="gramEnd"/>
            <w:r w:rsidRPr="008E5FF4">
              <w:rPr>
                <w:sz w:val="22"/>
              </w:rPr>
              <w:t xml:space="preserve"> the basic amount of its Council Tax for the year for dwellings in those parts of the area to which no special item relates.</w:t>
            </w:r>
          </w:p>
        </w:tc>
      </w:tr>
    </w:tbl>
    <w:p w:rsidR="001B68C1" w:rsidRPr="00FB5B08" w:rsidRDefault="001B68C1" w:rsidP="001B68C1">
      <w:pPr>
        <w:ind w:left="720" w:hanging="720"/>
        <w:rPr>
          <w:color w:val="4F81BD" w:themeColor="accent1"/>
          <w:sz w:val="22"/>
        </w:rPr>
      </w:pPr>
    </w:p>
    <w:tbl>
      <w:tblPr>
        <w:tblW w:w="0" w:type="auto"/>
        <w:tblInd w:w="828" w:type="dxa"/>
        <w:tblLayout w:type="fixed"/>
        <w:tblLook w:val="0000" w:firstRow="0" w:lastRow="0" w:firstColumn="0" w:lastColumn="0" w:noHBand="0" w:noVBand="0"/>
      </w:tblPr>
      <w:tblGrid>
        <w:gridCol w:w="1980"/>
        <w:gridCol w:w="3248"/>
        <w:gridCol w:w="1792"/>
      </w:tblGrid>
      <w:tr w:rsidR="001B68C1" w:rsidRPr="00FB5B08" w:rsidTr="00850519">
        <w:tc>
          <w:tcPr>
            <w:tcW w:w="1980" w:type="dxa"/>
          </w:tcPr>
          <w:p w:rsidR="001B68C1" w:rsidRPr="001A607D" w:rsidRDefault="00E804BA" w:rsidP="00850519">
            <w:pPr>
              <w:rPr>
                <w:sz w:val="22"/>
              </w:rPr>
            </w:pPr>
            <w:r w:rsidRPr="001A607D">
              <w:rPr>
                <w:sz w:val="22"/>
              </w:rPr>
              <w:t>(g</w:t>
            </w:r>
            <w:r w:rsidR="001B68C1" w:rsidRPr="001A607D">
              <w:rPr>
                <w:sz w:val="22"/>
              </w:rPr>
              <w:t>)</w:t>
            </w:r>
          </w:p>
        </w:tc>
        <w:tc>
          <w:tcPr>
            <w:tcW w:w="3248" w:type="dxa"/>
            <w:tcBorders>
              <w:top w:val="single" w:sz="6" w:space="0" w:color="auto"/>
              <w:left w:val="single" w:sz="6" w:space="0" w:color="auto"/>
              <w:bottom w:val="single" w:sz="6" w:space="0" w:color="auto"/>
              <w:right w:val="single" w:sz="6" w:space="0" w:color="auto"/>
            </w:tcBorders>
          </w:tcPr>
          <w:p w:rsidR="001B68C1" w:rsidRPr="001A607D" w:rsidRDefault="001B68C1" w:rsidP="00850519">
            <w:pPr>
              <w:jc w:val="center"/>
              <w:rPr>
                <w:sz w:val="22"/>
              </w:rPr>
            </w:pPr>
            <w:r w:rsidRPr="001A607D">
              <w:rPr>
                <w:sz w:val="22"/>
              </w:rPr>
              <w:t>Parts of the Council’s Area</w:t>
            </w:r>
          </w:p>
        </w:tc>
        <w:tc>
          <w:tcPr>
            <w:tcW w:w="1792" w:type="dxa"/>
            <w:tcBorders>
              <w:top w:val="single" w:sz="6" w:space="0" w:color="auto"/>
              <w:left w:val="single" w:sz="6" w:space="0" w:color="auto"/>
              <w:bottom w:val="single" w:sz="6" w:space="0" w:color="auto"/>
              <w:right w:val="single" w:sz="6" w:space="0" w:color="auto"/>
            </w:tcBorders>
          </w:tcPr>
          <w:p w:rsidR="001B68C1" w:rsidRPr="00FB5B08" w:rsidRDefault="001B68C1" w:rsidP="00850519">
            <w:pPr>
              <w:jc w:val="center"/>
              <w:rPr>
                <w:color w:val="4F81BD" w:themeColor="accent1"/>
                <w:sz w:val="22"/>
              </w:rPr>
            </w:pPr>
            <w:r w:rsidRPr="00DA44C4">
              <w:rPr>
                <w:sz w:val="22"/>
              </w:rPr>
              <w:t>£</w:t>
            </w:r>
          </w:p>
        </w:tc>
      </w:tr>
      <w:tr w:rsidR="001B68C1" w:rsidRPr="00FB5B08" w:rsidTr="00850519">
        <w:tc>
          <w:tcPr>
            <w:tcW w:w="1980" w:type="dxa"/>
          </w:tcPr>
          <w:p w:rsidR="001B68C1" w:rsidRPr="00FB5B08" w:rsidRDefault="001B68C1"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1B68C1" w:rsidRPr="00DA44C4" w:rsidRDefault="001B68C1" w:rsidP="00850519">
            <w:pPr>
              <w:rPr>
                <w:sz w:val="22"/>
              </w:rPr>
            </w:pPr>
            <w:r w:rsidRPr="00DA44C4">
              <w:rPr>
                <w:sz w:val="22"/>
              </w:rPr>
              <w:t>Abbots Langley</w:t>
            </w:r>
          </w:p>
        </w:tc>
        <w:tc>
          <w:tcPr>
            <w:tcW w:w="1792" w:type="dxa"/>
            <w:tcBorders>
              <w:top w:val="single" w:sz="6" w:space="0" w:color="auto"/>
              <w:left w:val="single" w:sz="6" w:space="0" w:color="auto"/>
              <w:bottom w:val="single" w:sz="6" w:space="0" w:color="auto"/>
              <w:right w:val="single" w:sz="6" w:space="0" w:color="auto"/>
            </w:tcBorders>
          </w:tcPr>
          <w:p w:rsidR="001B68C1" w:rsidRPr="00791AEE" w:rsidRDefault="008C4C99" w:rsidP="00850519">
            <w:pPr>
              <w:keepNext/>
              <w:tabs>
                <w:tab w:val="decimal" w:pos="1152"/>
              </w:tabs>
              <w:rPr>
                <w:sz w:val="22"/>
                <w:szCs w:val="22"/>
              </w:rPr>
            </w:pPr>
            <w:r w:rsidRPr="00791AEE">
              <w:rPr>
                <w:sz w:val="22"/>
                <w:szCs w:val="22"/>
              </w:rPr>
              <w:t>213.57</w:t>
            </w:r>
          </w:p>
        </w:tc>
      </w:tr>
      <w:tr w:rsidR="00791AEE" w:rsidRPr="00FB5B08" w:rsidTr="00850519">
        <w:tc>
          <w:tcPr>
            <w:tcW w:w="1980" w:type="dxa"/>
          </w:tcPr>
          <w:p w:rsidR="00791AEE" w:rsidRPr="00FB5B08" w:rsidRDefault="00791AEE"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791AEE" w:rsidRPr="00DA44C4" w:rsidRDefault="00791AEE" w:rsidP="00850519">
            <w:pPr>
              <w:rPr>
                <w:sz w:val="22"/>
              </w:rPr>
            </w:pPr>
            <w:proofErr w:type="spellStart"/>
            <w:r>
              <w:rPr>
                <w:sz w:val="22"/>
              </w:rPr>
              <w:t>Batchworth</w:t>
            </w:r>
            <w:proofErr w:type="spellEnd"/>
          </w:p>
        </w:tc>
        <w:tc>
          <w:tcPr>
            <w:tcW w:w="1792" w:type="dxa"/>
            <w:tcBorders>
              <w:top w:val="single" w:sz="6" w:space="0" w:color="auto"/>
              <w:left w:val="single" w:sz="6" w:space="0" w:color="auto"/>
              <w:bottom w:val="single" w:sz="6" w:space="0" w:color="auto"/>
              <w:right w:val="single" w:sz="6" w:space="0" w:color="auto"/>
            </w:tcBorders>
          </w:tcPr>
          <w:p w:rsidR="00791AEE" w:rsidRPr="00791AEE" w:rsidRDefault="00791AEE" w:rsidP="008C4C99">
            <w:pPr>
              <w:keepNext/>
              <w:tabs>
                <w:tab w:val="decimal" w:pos="1152"/>
              </w:tabs>
              <w:rPr>
                <w:sz w:val="22"/>
                <w:szCs w:val="22"/>
              </w:rPr>
            </w:pPr>
            <w:r w:rsidRPr="00791AEE">
              <w:rPr>
                <w:sz w:val="22"/>
                <w:szCs w:val="22"/>
              </w:rPr>
              <w:t>216.29</w:t>
            </w:r>
          </w:p>
        </w:tc>
      </w:tr>
      <w:tr w:rsidR="001B68C1" w:rsidRPr="00FB5B08" w:rsidTr="00850519">
        <w:tc>
          <w:tcPr>
            <w:tcW w:w="1980" w:type="dxa"/>
          </w:tcPr>
          <w:p w:rsidR="001B68C1" w:rsidRPr="00FB5B08" w:rsidRDefault="001B68C1"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1B68C1" w:rsidRPr="00DA44C4" w:rsidRDefault="001B68C1" w:rsidP="00850519">
            <w:pPr>
              <w:rPr>
                <w:sz w:val="22"/>
              </w:rPr>
            </w:pPr>
            <w:r w:rsidRPr="00DA44C4">
              <w:rPr>
                <w:sz w:val="22"/>
              </w:rPr>
              <w:t>Chorleywood</w:t>
            </w:r>
          </w:p>
        </w:tc>
        <w:tc>
          <w:tcPr>
            <w:tcW w:w="1792" w:type="dxa"/>
            <w:tcBorders>
              <w:top w:val="single" w:sz="6" w:space="0" w:color="auto"/>
              <w:left w:val="single" w:sz="6" w:space="0" w:color="auto"/>
              <w:bottom w:val="single" w:sz="6" w:space="0" w:color="auto"/>
              <w:right w:val="single" w:sz="6" w:space="0" w:color="auto"/>
            </w:tcBorders>
          </w:tcPr>
          <w:p w:rsidR="001B68C1" w:rsidRPr="00791AEE" w:rsidRDefault="008C4C99" w:rsidP="008C4C99">
            <w:pPr>
              <w:keepNext/>
              <w:tabs>
                <w:tab w:val="decimal" w:pos="1152"/>
              </w:tabs>
              <w:rPr>
                <w:sz w:val="22"/>
                <w:szCs w:val="22"/>
              </w:rPr>
            </w:pPr>
            <w:r w:rsidRPr="00791AEE">
              <w:rPr>
                <w:sz w:val="22"/>
                <w:szCs w:val="22"/>
              </w:rPr>
              <w:t>222.76</w:t>
            </w:r>
          </w:p>
        </w:tc>
      </w:tr>
      <w:tr w:rsidR="001B68C1" w:rsidRPr="00FB5B08" w:rsidTr="00850519">
        <w:tc>
          <w:tcPr>
            <w:tcW w:w="1980" w:type="dxa"/>
          </w:tcPr>
          <w:p w:rsidR="001B68C1" w:rsidRPr="00FB5B08" w:rsidRDefault="001B68C1"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1B68C1" w:rsidRPr="00DA44C4" w:rsidRDefault="001B68C1" w:rsidP="00850519">
            <w:pPr>
              <w:rPr>
                <w:sz w:val="22"/>
              </w:rPr>
            </w:pPr>
            <w:r w:rsidRPr="00DA44C4">
              <w:rPr>
                <w:sz w:val="22"/>
              </w:rPr>
              <w:t>Croxley Green</w:t>
            </w:r>
          </w:p>
        </w:tc>
        <w:tc>
          <w:tcPr>
            <w:tcW w:w="1792" w:type="dxa"/>
            <w:tcBorders>
              <w:top w:val="single" w:sz="6" w:space="0" w:color="auto"/>
              <w:left w:val="single" w:sz="6" w:space="0" w:color="auto"/>
              <w:bottom w:val="single" w:sz="6" w:space="0" w:color="auto"/>
              <w:right w:val="single" w:sz="6" w:space="0" w:color="auto"/>
            </w:tcBorders>
          </w:tcPr>
          <w:p w:rsidR="001B68C1" w:rsidRPr="00791AEE" w:rsidRDefault="008C4C99" w:rsidP="00850519">
            <w:pPr>
              <w:keepNext/>
              <w:tabs>
                <w:tab w:val="decimal" w:pos="1152"/>
              </w:tabs>
              <w:rPr>
                <w:sz w:val="22"/>
                <w:szCs w:val="22"/>
              </w:rPr>
            </w:pPr>
            <w:r w:rsidRPr="00791AEE">
              <w:rPr>
                <w:sz w:val="22"/>
                <w:szCs w:val="22"/>
              </w:rPr>
              <w:t>209.97</w:t>
            </w:r>
          </w:p>
        </w:tc>
      </w:tr>
      <w:tr w:rsidR="001B68C1" w:rsidRPr="00FB5B08" w:rsidTr="00850519">
        <w:tc>
          <w:tcPr>
            <w:tcW w:w="1980" w:type="dxa"/>
          </w:tcPr>
          <w:p w:rsidR="001B68C1" w:rsidRPr="00FB5B08" w:rsidRDefault="001B68C1"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1B68C1" w:rsidRPr="00DA44C4" w:rsidRDefault="001B68C1" w:rsidP="00850519">
            <w:pPr>
              <w:rPr>
                <w:sz w:val="22"/>
              </w:rPr>
            </w:pPr>
            <w:r w:rsidRPr="00DA44C4">
              <w:rPr>
                <w:sz w:val="22"/>
              </w:rPr>
              <w:t>Sarratt</w:t>
            </w:r>
          </w:p>
        </w:tc>
        <w:tc>
          <w:tcPr>
            <w:tcW w:w="1792" w:type="dxa"/>
            <w:tcBorders>
              <w:top w:val="single" w:sz="6" w:space="0" w:color="auto"/>
              <w:left w:val="single" w:sz="6" w:space="0" w:color="auto"/>
              <w:bottom w:val="single" w:sz="6" w:space="0" w:color="auto"/>
              <w:right w:val="single" w:sz="6" w:space="0" w:color="auto"/>
            </w:tcBorders>
          </w:tcPr>
          <w:p w:rsidR="001B68C1" w:rsidRPr="00791AEE" w:rsidRDefault="008C4C99" w:rsidP="00850519">
            <w:pPr>
              <w:keepNext/>
              <w:tabs>
                <w:tab w:val="decimal" w:pos="1152"/>
              </w:tabs>
              <w:rPr>
                <w:sz w:val="22"/>
                <w:szCs w:val="22"/>
              </w:rPr>
            </w:pPr>
            <w:r w:rsidRPr="00791AEE">
              <w:rPr>
                <w:sz w:val="22"/>
                <w:szCs w:val="22"/>
              </w:rPr>
              <w:t>216.93</w:t>
            </w:r>
          </w:p>
        </w:tc>
      </w:tr>
      <w:tr w:rsidR="001B68C1" w:rsidRPr="00FB5B08" w:rsidTr="00850519">
        <w:tc>
          <w:tcPr>
            <w:tcW w:w="1980" w:type="dxa"/>
          </w:tcPr>
          <w:p w:rsidR="001B68C1" w:rsidRPr="00FB5B08" w:rsidRDefault="001B68C1"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1B68C1" w:rsidRPr="00DA44C4" w:rsidRDefault="001B68C1" w:rsidP="00850519">
            <w:pPr>
              <w:rPr>
                <w:sz w:val="22"/>
              </w:rPr>
            </w:pPr>
            <w:r w:rsidRPr="00DA44C4">
              <w:rPr>
                <w:sz w:val="22"/>
              </w:rPr>
              <w:t>Watford Rural</w:t>
            </w:r>
          </w:p>
        </w:tc>
        <w:tc>
          <w:tcPr>
            <w:tcW w:w="1792" w:type="dxa"/>
            <w:tcBorders>
              <w:top w:val="single" w:sz="6" w:space="0" w:color="auto"/>
              <w:left w:val="single" w:sz="6" w:space="0" w:color="auto"/>
              <w:bottom w:val="single" w:sz="6" w:space="0" w:color="auto"/>
              <w:right w:val="single" w:sz="6" w:space="0" w:color="auto"/>
            </w:tcBorders>
          </w:tcPr>
          <w:p w:rsidR="001B68C1" w:rsidRPr="00791AEE" w:rsidRDefault="008C4C99" w:rsidP="00850519">
            <w:pPr>
              <w:keepNext/>
              <w:tabs>
                <w:tab w:val="decimal" w:pos="1152"/>
              </w:tabs>
              <w:rPr>
                <w:sz w:val="22"/>
                <w:szCs w:val="22"/>
              </w:rPr>
            </w:pPr>
            <w:r w:rsidRPr="00791AEE">
              <w:rPr>
                <w:sz w:val="22"/>
                <w:szCs w:val="22"/>
              </w:rPr>
              <w:t>206.86</w:t>
            </w:r>
          </w:p>
        </w:tc>
      </w:tr>
      <w:tr w:rsidR="001B68C1" w:rsidRPr="00FB5B08" w:rsidTr="00850519">
        <w:tc>
          <w:tcPr>
            <w:tcW w:w="1980" w:type="dxa"/>
          </w:tcPr>
          <w:p w:rsidR="001B68C1" w:rsidRPr="00FB5B08" w:rsidRDefault="001B68C1" w:rsidP="00850519">
            <w:pPr>
              <w:rPr>
                <w:color w:val="4F81BD" w:themeColor="accent1"/>
                <w:sz w:val="22"/>
              </w:rPr>
            </w:pPr>
          </w:p>
        </w:tc>
        <w:tc>
          <w:tcPr>
            <w:tcW w:w="3248" w:type="dxa"/>
            <w:tcBorders>
              <w:top w:val="single" w:sz="6" w:space="0" w:color="auto"/>
              <w:left w:val="single" w:sz="6" w:space="0" w:color="auto"/>
              <w:bottom w:val="single" w:sz="6" w:space="0" w:color="auto"/>
              <w:right w:val="single" w:sz="6" w:space="0" w:color="auto"/>
            </w:tcBorders>
          </w:tcPr>
          <w:p w:rsidR="001B68C1" w:rsidRPr="00DA44C4" w:rsidRDefault="001B68C1" w:rsidP="00850519">
            <w:pPr>
              <w:rPr>
                <w:sz w:val="22"/>
              </w:rPr>
            </w:pPr>
            <w:r w:rsidRPr="00DA44C4">
              <w:rPr>
                <w:sz w:val="22"/>
              </w:rPr>
              <w:t>Unparished</w:t>
            </w:r>
          </w:p>
        </w:tc>
        <w:tc>
          <w:tcPr>
            <w:tcW w:w="1792" w:type="dxa"/>
            <w:tcBorders>
              <w:top w:val="single" w:sz="6" w:space="0" w:color="auto"/>
              <w:left w:val="single" w:sz="6" w:space="0" w:color="auto"/>
              <w:bottom w:val="single" w:sz="6" w:space="0" w:color="auto"/>
              <w:right w:val="single" w:sz="6" w:space="0" w:color="auto"/>
            </w:tcBorders>
          </w:tcPr>
          <w:p w:rsidR="001B68C1" w:rsidRPr="00791AEE" w:rsidRDefault="008C4C99" w:rsidP="00850519">
            <w:pPr>
              <w:keepNext/>
              <w:tabs>
                <w:tab w:val="decimal" w:pos="1152"/>
              </w:tabs>
              <w:rPr>
                <w:sz w:val="22"/>
                <w:szCs w:val="22"/>
              </w:rPr>
            </w:pPr>
            <w:r w:rsidRPr="00791AEE">
              <w:rPr>
                <w:sz w:val="22"/>
                <w:szCs w:val="22"/>
              </w:rPr>
              <w:t>196.44</w:t>
            </w:r>
          </w:p>
        </w:tc>
      </w:tr>
    </w:tbl>
    <w:p w:rsidR="001B68C1" w:rsidRPr="00FB5B08" w:rsidRDefault="001B68C1" w:rsidP="001B68C1">
      <w:pPr>
        <w:ind w:left="720" w:hanging="720"/>
        <w:rPr>
          <w:color w:val="4F81BD" w:themeColor="accent1"/>
          <w:sz w:val="22"/>
        </w:rPr>
      </w:pPr>
    </w:p>
    <w:tbl>
      <w:tblPr>
        <w:tblW w:w="0" w:type="auto"/>
        <w:tblInd w:w="828" w:type="dxa"/>
        <w:tblLayout w:type="fixed"/>
        <w:tblLook w:val="0000" w:firstRow="0" w:lastRow="0" w:firstColumn="0" w:lastColumn="0" w:noHBand="0" w:noVBand="0"/>
      </w:tblPr>
      <w:tblGrid>
        <w:gridCol w:w="540"/>
        <w:gridCol w:w="1408"/>
        <w:gridCol w:w="6692"/>
      </w:tblGrid>
      <w:tr w:rsidR="001B68C1" w:rsidRPr="00FB5B08" w:rsidTr="00850519">
        <w:tc>
          <w:tcPr>
            <w:tcW w:w="540" w:type="dxa"/>
          </w:tcPr>
          <w:p w:rsidR="001B68C1" w:rsidRPr="00FB5B08" w:rsidRDefault="001B68C1" w:rsidP="00850519">
            <w:pPr>
              <w:rPr>
                <w:color w:val="4F81BD" w:themeColor="accent1"/>
                <w:sz w:val="22"/>
              </w:rPr>
            </w:pPr>
          </w:p>
        </w:tc>
        <w:tc>
          <w:tcPr>
            <w:tcW w:w="1408" w:type="dxa"/>
          </w:tcPr>
          <w:p w:rsidR="001B68C1" w:rsidRPr="00FB5B08" w:rsidRDefault="001B68C1" w:rsidP="00850519">
            <w:pPr>
              <w:rPr>
                <w:color w:val="4F81BD" w:themeColor="accent1"/>
                <w:sz w:val="22"/>
              </w:rPr>
            </w:pPr>
          </w:p>
        </w:tc>
        <w:tc>
          <w:tcPr>
            <w:tcW w:w="6692" w:type="dxa"/>
          </w:tcPr>
          <w:p w:rsidR="001B68C1" w:rsidRPr="00FB5B08" w:rsidRDefault="001B68C1" w:rsidP="00C46F4E">
            <w:pPr>
              <w:rPr>
                <w:color w:val="4F81BD" w:themeColor="accent1"/>
                <w:sz w:val="22"/>
              </w:rPr>
            </w:pPr>
            <w:r w:rsidRPr="00DA44C4">
              <w:rPr>
                <w:sz w:val="22"/>
              </w:rPr>
              <w:t>being the amounts given by adding to the amount at (</w:t>
            </w:r>
            <w:r w:rsidR="00E804BA" w:rsidRPr="00DA44C4">
              <w:rPr>
                <w:sz w:val="22"/>
              </w:rPr>
              <w:t>f</w:t>
            </w:r>
            <w:r w:rsidRPr="00DA44C4">
              <w:rPr>
                <w:sz w:val="22"/>
              </w:rPr>
              <w:t xml:space="preserve">) above the amounts of the special item or items relating to the dwellings in those parts of the Council’s area </w:t>
            </w:r>
            <w:r w:rsidR="00E804BA" w:rsidRPr="00DA44C4">
              <w:rPr>
                <w:sz w:val="22"/>
              </w:rPr>
              <w:t>listed</w:t>
            </w:r>
            <w:r w:rsidRPr="00DA44C4">
              <w:rPr>
                <w:sz w:val="22"/>
              </w:rPr>
              <w:t xml:space="preserve"> above divided </w:t>
            </w:r>
            <w:r w:rsidR="00C31F01" w:rsidRPr="00DA44C4">
              <w:rPr>
                <w:sz w:val="22"/>
              </w:rPr>
              <w:t>by the council tax base</w:t>
            </w:r>
            <w:r w:rsidRPr="00DA44C4">
              <w:rPr>
                <w:sz w:val="22"/>
              </w:rPr>
              <w:t>, as the basic amounts of its Council Tax for the year for dwellings in those parts of its area to which one or more special items relate.</w:t>
            </w:r>
          </w:p>
        </w:tc>
      </w:tr>
    </w:tbl>
    <w:p w:rsidR="00146564" w:rsidRPr="00FB5B08" w:rsidRDefault="00F35631" w:rsidP="00280AC7">
      <w:pPr>
        <w:ind w:left="720" w:hanging="720"/>
        <w:rPr>
          <w:color w:val="4F81BD" w:themeColor="accent1"/>
        </w:rPr>
      </w:pPr>
      <w:r w:rsidRPr="00FB5B08">
        <w:rPr>
          <w:color w:val="4F81BD" w:themeColor="accent1"/>
          <w:sz w:val="22"/>
        </w:rPr>
        <w:tab/>
      </w:r>
      <w:r w:rsidR="00AA30E2" w:rsidRPr="00DA44C4">
        <w:rPr>
          <w:sz w:val="22"/>
        </w:rPr>
        <w:t>(h)</w:t>
      </w:r>
      <w:r w:rsidR="001365AE" w:rsidRPr="00DA44C4">
        <w:rPr>
          <w:highlight w:val="yellow"/>
        </w:rPr>
        <w:t xml:space="preserve"> </w:t>
      </w:r>
      <w:r w:rsidR="000152CE" w:rsidRPr="000152CE">
        <w:rPr>
          <w:noProof/>
          <w:lang w:eastAsia="en-GB"/>
        </w:rPr>
        <w:drawing>
          <wp:inline distT="0" distB="0" distL="0" distR="0" wp14:anchorId="058AC8BF" wp14:editId="3843E9DB">
            <wp:extent cx="5768975" cy="1896159"/>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975" cy="1896159"/>
                    </a:xfrm>
                    <a:prstGeom prst="rect">
                      <a:avLst/>
                    </a:prstGeom>
                    <a:noFill/>
                    <a:ln>
                      <a:noFill/>
                    </a:ln>
                  </pic:spPr>
                </pic:pic>
              </a:graphicData>
            </a:graphic>
          </wp:inline>
        </w:drawing>
      </w:r>
    </w:p>
    <w:tbl>
      <w:tblPr>
        <w:tblW w:w="8640" w:type="dxa"/>
        <w:tblInd w:w="828" w:type="dxa"/>
        <w:tblLayout w:type="fixed"/>
        <w:tblLook w:val="0000" w:firstRow="0" w:lastRow="0" w:firstColumn="0" w:lastColumn="0" w:noHBand="0" w:noVBand="0"/>
      </w:tblPr>
      <w:tblGrid>
        <w:gridCol w:w="540"/>
        <w:gridCol w:w="1408"/>
        <w:gridCol w:w="6692"/>
      </w:tblGrid>
      <w:tr w:rsidR="00F35631" w:rsidRPr="00FB5B08" w:rsidTr="00146564">
        <w:tc>
          <w:tcPr>
            <w:tcW w:w="540" w:type="dxa"/>
          </w:tcPr>
          <w:p w:rsidR="00F35631" w:rsidRPr="00FB5B08" w:rsidRDefault="00F35631" w:rsidP="00D64D4A">
            <w:pPr>
              <w:rPr>
                <w:color w:val="4F81BD" w:themeColor="accent1"/>
                <w:sz w:val="22"/>
              </w:rPr>
            </w:pPr>
          </w:p>
        </w:tc>
        <w:tc>
          <w:tcPr>
            <w:tcW w:w="1408" w:type="dxa"/>
          </w:tcPr>
          <w:p w:rsidR="00F35631" w:rsidRPr="00FB5B08" w:rsidRDefault="00F35631" w:rsidP="00D64D4A">
            <w:pPr>
              <w:rPr>
                <w:color w:val="4F81BD" w:themeColor="accent1"/>
                <w:sz w:val="22"/>
              </w:rPr>
            </w:pPr>
          </w:p>
        </w:tc>
        <w:tc>
          <w:tcPr>
            <w:tcW w:w="6692" w:type="dxa"/>
          </w:tcPr>
          <w:p w:rsidR="00F35631" w:rsidRPr="00FB5B08" w:rsidRDefault="00F35631" w:rsidP="00C46F4E">
            <w:pPr>
              <w:rPr>
                <w:color w:val="4F81BD" w:themeColor="accent1"/>
                <w:sz w:val="22"/>
              </w:rPr>
            </w:pPr>
            <w:proofErr w:type="gramStart"/>
            <w:r w:rsidRPr="00DA44C4">
              <w:rPr>
                <w:sz w:val="22"/>
              </w:rPr>
              <w:t>being</w:t>
            </w:r>
            <w:proofErr w:type="gramEnd"/>
            <w:r w:rsidRPr="00DA44C4">
              <w:rPr>
                <w:sz w:val="22"/>
              </w:rPr>
              <w:t xml:space="preserve"> the amounts given by multiplying the amounts at (</w:t>
            </w:r>
            <w:r w:rsidR="00E804BA" w:rsidRPr="00DA44C4">
              <w:rPr>
                <w:sz w:val="22"/>
              </w:rPr>
              <w:t>g</w:t>
            </w:r>
            <w:r w:rsidRPr="00DA44C4">
              <w:rPr>
                <w:sz w:val="22"/>
              </w:rPr>
              <w:t>) above by the proportion</w:t>
            </w:r>
            <w:r w:rsidR="00C46F4E">
              <w:rPr>
                <w:sz w:val="22"/>
              </w:rPr>
              <w:t xml:space="preserve"> in paragraph 3.7.</w:t>
            </w:r>
          </w:p>
        </w:tc>
      </w:tr>
    </w:tbl>
    <w:p w:rsidR="002E1B38" w:rsidRPr="00FB5B08" w:rsidRDefault="002E1B38">
      <w:pPr>
        <w:ind w:left="720" w:hanging="720"/>
        <w:outlineLvl w:val="0"/>
        <w:rPr>
          <w:b/>
          <w:color w:val="4F81BD" w:themeColor="accent1"/>
          <w:sz w:val="22"/>
        </w:rPr>
      </w:pPr>
    </w:p>
    <w:p w:rsidR="007442EA" w:rsidRPr="00DA44C4" w:rsidRDefault="002E4B9E">
      <w:pPr>
        <w:ind w:left="720" w:hanging="720"/>
        <w:outlineLvl w:val="0"/>
        <w:rPr>
          <w:b/>
          <w:sz w:val="22"/>
        </w:rPr>
      </w:pPr>
      <w:r w:rsidRPr="00DA44C4">
        <w:rPr>
          <w:b/>
          <w:sz w:val="22"/>
        </w:rPr>
        <w:t xml:space="preserve">Report Prepared by: </w:t>
      </w:r>
    </w:p>
    <w:p w:rsidR="002E4B9E" w:rsidRPr="00DA44C4" w:rsidRDefault="00D250CD">
      <w:pPr>
        <w:ind w:left="720" w:hanging="720"/>
        <w:outlineLvl w:val="0"/>
        <w:rPr>
          <w:sz w:val="22"/>
        </w:rPr>
      </w:pPr>
      <w:r w:rsidRPr="00DA44C4">
        <w:rPr>
          <w:sz w:val="22"/>
        </w:rPr>
        <w:t>Nigel Pollard –</w:t>
      </w:r>
      <w:r w:rsidR="00A40CE7" w:rsidRPr="00DA44C4">
        <w:rPr>
          <w:sz w:val="22"/>
        </w:rPr>
        <w:t xml:space="preserve"> </w:t>
      </w:r>
      <w:r w:rsidR="00DA44C4" w:rsidRPr="00DA44C4">
        <w:rPr>
          <w:sz w:val="22"/>
        </w:rPr>
        <w:t>Section Head Accountancy</w:t>
      </w:r>
      <w:r w:rsidRPr="00DA44C4">
        <w:rPr>
          <w:sz w:val="22"/>
        </w:rPr>
        <w:t xml:space="preserve"> (</w:t>
      </w:r>
      <w:r w:rsidR="00DA44C4" w:rsidRPr="00DA44C4">
        <w:rPr>
          <w:sz w:val="22"/>
        </w:rPr>
        <w:t xml:space="preserve">Finance </w:t>
      </w:r>
      <w:r w:rsidRPr="00DA44C4">
        <w:rPr>
          <w:sz w:val="22"/>
        </w:rPr>
        <w:t>Shared Services)</w:t>
      </w:r>
    </w:p>
    <w:p w:rsidR="002E4B9E" w:rsidRPr="00DA44C4" w:rsidRDefault="002E4B9E">
      <w:pPr>
        <w:outlineLvl w:val="0"/>
        <w:rPr>
          <w:b/>
          <w:sz w:val="22"/>
        </w:rPr>
      </w:pPr>
      <w:r w:rsidRPr="00DA44C4">
        <w:rPr>
          <w:b/>
          <w:sz w:val="22"/>
        </w:rPr>
        <w:t>Background Papers:</w:t>
      </w:r>
    </w:p>
    <w:p w:rsidR="002E4B9E" w:rsidRPr="00DA44C4" w:rsidRDefault="002E4B9E">
      <w:pPr>
        <w:rPr>
          <w:sz w:val="22"/>
        </w:rPr>
      </w:pPr>
      <w:r w:rsidRPr="00DA44C4">
        <w:rPr>
          <w:sz w:val="22"/>
        </w:rPr>
        <w:t>Local Government Finance Act 1992</w:t>
      </w:r>
      <w:r w:rsidR="00052076" w:rsidRPr="00DA44C4">
        <w:rPr>
          <w:sz w:val="22"/>
        </w:rPr>
        <w:t xml:space="preserve">, as </w:t>
      </w:r>
      <w:r w:rsidR="00280AC7" w:rsidRPr="00DA44C4">
        <w:rPr>
          <w:sz w:val="22"/>
        </w:rPr>
        <w:t>amended</w:t>
      </w:r>
      <w:r w:rsidRPr="00DA44C4">
        <w:rPr>
          <w:sz w:val="22"/>
        </w:rPr>
        <w:t xml:space="preserve"> and Regulations made thereunder.</w:t>
      </w:r>
    </w:p>
    <w:p w:rsidR="002E4B9E" w:rsidRPr="00DA44C4" w:rsidRDefault="00DA44C4">
      <w:pPr>
        <w:rPr>
          <w:sz w:val="22"/>
        </w:rPr>
      </w:pPr>
      <w:r w:rsidRPr="00DA44C4">
        <w:rPr>
          <w:sz w:val="22"/>
        </w:rPr>
        <w:t>The Administration approved budget</w:t>
      </w:r>
      <w:r w:rsidR="002E4B9E" w:rsidRPr="00DA44C4">
        <w:rPr>
          <w:sz w:val="22"/>
        </w:rPr>
        <w:t xml:space="preserve"> for </w:t>
      </w:r>
      <w:r w:rsidRPr="00DA44C4">
        <w:rPr>
          <w:sz w:val="22"/>
        </w:rPr>
        <w:t>2017/18</w:t>
      </w:r>
    </w:p>
    <w:p w:rsidR="00791AEE" w:rsidRDefault="00DA44C4">
      <w:pPr>
        <w:rPr>
          <w:sz w:val="22"/>
        </w:rPr>
      </w:pPr>
      <w:r w:rsidRPr="00DA44C4">
        <w:rPr>
          <w:sz w:val="22"/>
        </w:rPr>
        <w:t>Council 13</w:t>
      </w:r>
      <w:r w:rsidR="00A40CE7" w:rsidRPr="00DA44C4">
        <w:rPr>
          <w:sz w:val="22"/>
        </w:rPr>
        <w:t xml:space="preserve"> December 201</w:t>
      </w:r>
      <w:r w:rsidRPr="00DA44C4">
        <w:rPr>
          <w:sz w:val="22"/>
        </w:rPr>
        <w:t>6</w:t>
      </w:r>
      <w:r>
        <w:rPr>
          <w:sz w:val="22"/>
        </w:rPr>
        <w:t xml:space="preserve"> - The Council Tax Base report</w:t>
      </w:r>
    </w:p>
    <w:p w:rsidR="00516F3A" w:rsidRDefault="00516F3A">
      <w:pPr>
        <w:rPr>
          <w:b/>
          <w:sz w:val="22"/>
        </w:rPr>
      </w:pPr>
    </w:p>
    <w:p w:rsidR="00146564" w:rsidRPr="00DA44C4" w:rsidRDefault="009E7A95">
      <w:pPr>
        <w:rPr>
          <w:sz w:val="22"/>
        </w:rPr>
      </w:pPr>
      <w:bookmarkStart w:id="0" w:name="_GoBack"/>
      <w:bookmarkEnd w:id="0"/>
      <w:r w:rsidRPr="00DA44C4">
        <w:rPr>
          <w:b/>
          <w:sz w:val="22"/>
        </w:rPr>
        <w:t>Appendix</w:t>
      </w:r>
      <w:r w:rsidR="007D7927" w:rsidRPr="00DA44C4">
        <w:rPr>
          <w:b/>
          <w:sz w:val="22"/>
        </w:rPr>
        <w:t xml:space="preserve"> 1</w:t>
      </w:r>
      <w:r w:rsidR="00280AC7" w:rsidRPr="00DA44C4">
        <w:rPr>
          <w:b/>
          <w:sz w:val="22"/>
        </w:rPr>
        <w:t xml:space="preserve"> - </w:t>
      </w:r>
      <w:r w:rsidRPr="00DA44C4">
        <w:rPr>
          <w:sz w:val="22"/>
        </w:rPr>
        <w:t>Special Items</w:t>
      </w:r>
    </w:p>
    <w:p w:rsidR="00146564" w:rsidRPr="00FB5B08" w:rsidRDefault="00146564">
      <w:pPr>
        <w:rPr>
          <w:color w:val="4F81BD" w:themeColor="accent1"/>
          <w:sz w:val="22"/>
        </w:rPr>
        <w:sectPr w:rsidR="00146564" w:rsidRPr="00FB5B08">
          <w:headerReference w:type="default" r:id="rId10"/>
          <w:footerReference w:type="default" r:id="rId11"/>
          <w:pgSz w:w="11909" w:h="16834" w:code="9"/>
          <w:pgMar w:top="397" w:right="1412" w:bottom="397" w:left="1412" w:header="709" w:footer="709" w:gutter="0"/>
          <w:cols w:space="720"/>
        </w:sectPr>
      </w:pPr>
    </w:p>
    <w:p w:rsidR="00146564" w:rsidRPr="00C17CCB" w:rsidRDefault="00146564" w:rsidP="00146564">
      <w:pPr>
        <w:jc w:val="right"/>
        <w:rPr>
          <w:b/>
          <w:sz w:val="22"/>
        </w:rPr>
      </w:pPr>
      <w:r w:rsidRPr="00C17CCB">
        <w:rPr>
          <w:b/>
          <w:sz w:val="22"/>
        </w:rPr>
        <w:lastRenderedPageBreak/>
        <w:t>APPENDIX 1</w:t>
      </w:r>
    </w:p>
    <w:p w:rsidR="00146564" w:rsidRPr="00FB5B08" w:rsidRDefault="00146564">
      <w:pPr>
        <w:rPr>
          <w:color w:val="4F81BD" w:themeColor="accent1"/>
          <w:sz w:val="22"/>
        </w:rPr>
      </w:pPr>
    </w:p>
    <w:p w:rsidR="00146564" w:rsidRPr="00FB5B08" w:rsidRDefault="00146564" w:rsidP="00146564">
      <w:pPr>
        <w:ind w:left="993"/>
        <w:rPr>
          <w:color w:val="4F81BD" w:themeColor="accent1"/>
        </w:rPr>
      </w:pPr>
    </w:p>
    <w:p w:rsidR="00146564" w:rsidRPr="00FB5B08" w:rsidRDefault="00146564">
      <w:pPr>
        <w:rPr>
          <w:color w:val="4F81BD" w:themeColor="accent1"/>
          <w:sz w:val="22"/>
        </w:rPr>
      </w:pPr>
    </w:p>
    <w:p w:rsidR="00146564" w:rsidRPr="00FB5B08" w:rsidRDefault="00CF6148">
      <w:pPr>
        <w:rPr>
          <w:color w:val="4F81BD" w:themeColor="accent1"/>
          <w:sz w:val="22"/>
        </w:rPr>
      </w:pPr>
      <w:r w:rsidRPr="00CF6148">
        <w:drawing>
          <wp:inline distT="0" distB="0" distL="0" distR="0" wp14:anchorId="34CBD14B" wp14:editId="0A28FF5E">
            <wp:extent cx="10185400" cy="395691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85400" cy="3956918"/>
                    </a:xfrm>
                    <a:prstGeom prst="rect">
                      <a:avLst/>
                    </a:prstGeom>
                    <a:noFill/>
                    <a:ln>
                      <a:noFill/>
                    </a:ln>
                  </pic:spPr>
                </pic:pic>
              </a:graphicData>
            </a:graphic>
          </wp:inline>
        </w:drawing>
      </w:r>
    </w:p>
    <w:sectPr w:rsidR="00146564" w:rsidRPr="00FB5B08" w:rsidSect="00146564">
      <w:pgSz w:w="16834" w:h="11909" w:orient="landscape" w:code="9"/>
      <w:pgMar w:top="1412" w:right="397" w:bottom="1412" w:left="3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697" w:rsidRDefault="009B2697">
      <w:r>
        <w:separator/>
      </w:r>
    </w:p>
  </w:endnote>
  <w:endnote w:type="continuationSeparator" w:id="0">
    <w:p w:rsidR="009B2697" w:rsidRDefault="009B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01" w:rsidRDefault="00C31F01">
    <w:pPr>
      <w:pStyle w:val="Footer"/>
      <w:tabs>
        <w:tab w:val="clear" w:pos="4153"/>
        <w:tab w:val="clear" w:pos="8306"/>
        <w:tab w:val="center" w:pos="450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697" w:rsidRDefault="009B2697">
      <w:r>
        <w:separator/>
      </w:r>
    </w:p>
  </w:footnote>
  <w:footnote w:type="continuationSeparator" w:id="0">
    <w:p w:rsidR="009B2697" w:rsidRDefault="009B2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F01" w:rsidRDefault="00C31F01">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E3F"/>
    <w:multiLevelType w:val="singleLevel"/>
    <w:tmpl w:val="9EF46BA2"/>
    <w:lvl w:ilvl="0">
      <w:start w:val="5"/>
      <w:numFmt w:val="decimal"/>
      <w:lvlText w:val="%1"/>
      <w:lvlJc w:val="left"/>
      <w:pPr>
        <w:tabs>
          <w:tab w:val="num" w:pos="720"/>
        </w:tabs>
        <w:ind w:left="720" w:hanging="720"/>
      </w:pPr>
      <w:rPr>
        <w:rFonts w:hint="default"/>
      </w:rPr>
    </w:lvl>
  </w:abstractNum>
  <w:abstractNum w:abstractNumId="1">
    <w:nsid w:val="1EB41CC9"/>
    <w:multiLevelType w:val="multilevel"/>
    <w:tmpl w:val="E27C47AE"/>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4ABB36E9"/>
    <w:multiLevelType w:val="hybridMultilevel"/>
    <w:tmpl w:val="CB900D70"/>
    <w:lvl w:ilvl="0" w:tplc="14BE2182">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5D4F5919"/>
    <w:multiLevelType w:val="multilevel"/>
    <w:tmpl w:val="C43E35F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9E"/>
    <w:rsid w:val="00002879"/>
    <w:rsid w:val="00002DAB"/>
    <w:rsid w:val="000152CE"/>
    <w:rsid w:val="0002439C"/>
    <w:rsid w:val="00052076"/>
    <w:rsid w:val="00052ACE"/>
    <w:rsid w:val="00061699"/>
    <w:rsid w:val="000642C6"/>
    <w:rsid w:val="00074F02"/>
    <w:rsid w:val="000A5FC4"/>
    <w:rsid w:val="000B0ACC"/>
    <w:rsid w:val="000B1852"/>
    <w:rsid w:val="000B316F"/>
    <w:rsid w:val="000F69B9"/>
    <w:rsid w:val="00113EE1"/>
    <w:rsid w:val="0012275D"/>
    <w:rsid w:val="00123B07"/>
    <w:rsid w:val="001365AE"/>
    <w:rsid w:val="00146564"/>
    <w:rsid w:val="00152504"/>
    <w:rsid w:val="00163FE7"/>
    <w:rsid w:val="0017696A"/>
    <w:rsid w:val="0017778E"/>
    <w:rsid w:val="001806DC"/>
    <w:rsid w:val="00184EFC"/>
    <w:rsid w:val="00191B38"/>
    <w:rsid w:val="0019397E"/>
    <w:rsid w:val="001A607D"/>
    <w:rsid w:val="001B323F"/>
    <w:rsid w:val="001B68C1"/>
    <w:rsid w:val="001E147D"/>
    <w:rsid w:val="001E44AE"/>
    <w:rsid w:val="001E47D9"/>
    <w:rsid w:val="00204A69"/>
    <w:rsid w:val="00216D2C"/>
    <w:rsid w:val="00216F7A"/>
    <w:rsid w:val="00224E4B"/>
    <w:rsid w:val="002302AA"/>
    <w:rsid w:val="00233879"/>
    <w:rsid w:val="00251B41"/>
    <w:rsid w:val="00280AC7"/>
    <w:rsid w:val="00287184"/>
    <w:rsid w:val="00296633"/>
    <w:rsid w:val="002A3E91"/>
    <w:rsid w:val="002C400A"/>
    <w:rsid w:val="002E1B38"/>
    <w:rsid w:val="002E4B9E"/>
    <w:rsid w:val="002F0EB3"/>
    <w:rsid w:val="00300669"/>
    <w:rsid w:val="00322E21"/>
    <w:rsid w:val="00332CB0"/>
    <w:rsid w:val="00343208"/>
    <w:rsid w:val="00345F4F"/>
    <w:rsid w:val="00355BA4"/>
    <w:rsid w:val="003817C2"/>
    <w:rsid w:val="00392152"/>
    <w:rsid w:val="00393B27"/>
    <w:rsid w:val="003E1814"/>
    <w:rsid w:val="003E1ABE"/>
    <w:rsid w:val="003F3F2A"/>
    <w:rsid w:val="0040276A"/>
    <w:rsid w:val="00405A9D"/>
    <w:rsid w:val="004279B1"/>
    <w:rsid w:val="00427D87"/>
    <w:rsid w:val="004300DE"/>
    <w:rsid w:val="00431DCE"/>
    <w:rsid w:val="004428B0"/>
    <w:rsid w:val="00443A00"/>
    <w:rsid w:val="00447A3D"/>
    <w:rsid w:val="0045707B"/>
    <w:rsid w:val="004A3D6F"/>
    <w:rsid w:val="004B114A"/>
    <w:rsid w:val="004C0C2B"/>
    <w:rsid w:val="004D2C27"/>
    <w:rsid w:val="004E0167"/>
    <w:rsid w:val="004F05B8"/>
    <w:rsid w:val="004F261A"/>
    <w:rsid w:val="00506651"/>
    <w:rsid w:val="00514806"/>
    <w:rsid w:val="00515193"/>
    <w:rsid w:val="00516F3A"/>
    <w:rsid w:val="005240C7"/>
    <w:rsid w:val="00540523"/>
    <w:rsid w:val="00550949"/>
    <w:rsid w:val="005535E2"/>
    <w:rsid w:val="005803E5"/>
    <w:rsid w:val="005903BC"/>
    <w:rsid w:val="005C0584"/>
    <w:rsid w:val="006024D0"/>
    <w:rsid w:val="00624B9E"/>
    <w:rsid w:val="00641697"/>
    <w:rsid w:val="00651865"/>
    <w:rsid w:val="00651976"/>
    <w:rsid w:val="00652C84"/>
    <w:rsid w:val="00653B5A"/>
    <w:rsid w:val="00680BA6"/>
    <w:rsid w:val="0068362C"/>
    <w:rsid w:val="0069625C"/>
    <w:rsid w:val="006D3D60"/>
    <w:rsid w:val="006E6ACB"/>
    <w:rsid w:val="007107FB"/>
    <w:rsid w:val="007164AE"/>
    <w:rsid w:val="00723218"/>
    <w:rsid w:val="00727156"/>
    <w:rsid w:val="0074184B"/>
    <w:rsid w:val="00742009"/>
    <w:rsid w:val="007442EA"/>
    <w:rsid w:val="00746DBD"/>
    <w:rsid w:val="00760FB6"/>
    <w:rsid w:val="00791521"/>
    <w:rsid w:val="00791AEE"/>
    <w:rsid w:val="00793214"/>
    <w:rsid w:val="007A4361"/>
    <w:rsid w:val="007D1801"/>
    <w:rsid w:val="007D7927"/>
    <w:rsid w:val="00805362"/>
    <w:rsid w:val="00810354"/>
    <w:rsid w:val="00822570"/>
    <w:rsid w:val="00850519"/>
    <w:rsid w:val="00894EF4"/>
    <w:rsid w:val="008C4C99"/>
    <w:rsid w:val="008C703C"/>
    <w:rsid w:val="008D20C4"/>
    <w:rsid w:val="008E5FF4"/>
    <w:rsid w:val="008F1BC1"/>
    <w:rsid w:val="00914B12"/>
    <w:rsid w:val="00930578"/>
    <w:rsid w:val="00942D48"/>
    <w:rsid w:val="00947F60"/>
    <w:rsid w:val="00955971"/>
    <w:rsid w:val="00962BFC"/>
    <w:rsid w:val="00963569"/>
    <w:rsid w:val="00985385"/>
    <w:rsid w:val="00997629"/>
    <w:rsid w:val="009A3DEB"/>
    <w:rsid w:val="009B2697"/>
    <w:rsid w:val="009B4155"/>
    <w:rsid w:val="009D0536"/>
    <w:rsid w:val="009E50F7"/>
    <w:rsid w:val="009E7A95"/>
    <w:rsid w:val="00A078E3"/>
    <w:rsid w:val="00A12212"/>
    <w:rsid w:val="00A40CE7"/>
    <w:rsid w:val="00A77C3E"/>
    <w:rsid w:val="00A93A5F"/>
    <w:rsid w:val="00AA1644"/>
    <w:rsid w:val="00AA30E2"/>
    <w:rsid w:val="00AA7DE1"/>
    <w:rsid w:val="00AB4B57"/>
    <w:rsid w:val="00B13F4B"/>
    <w:rsid w:val="00B45C4C"/>
    <w:rsid w:val="00B51C6E"/>
    <w:rsid w:val="00B65BC2"/>
    <w:rsid w:val="00BA6CE2"/>
    <w:rsid w:val="00BE5D25"/>
    <w:rsid w:val="00C003B3"/>
    <w:rsid w:val="00C01C28"/>
    <w:rsid w:val="00C17CCB"/>
    <w:rsid w:val="00C31F01"/>
    <w:rsid w:val="00C33D1C"/>
    <w:rsid w:val="00C34850"/>
    <w:rsid w:val="00C42A15"/>
    <w:rsid w:val="00C46F4E"/>
    <w:rsid w:val="00C51E0E"/>
    <w:rsid w:val="00C77411"/>
    <w:rsid w:val="00CA2909"/>
    <w:rsid w:val="00CA70EB"/>
    <w:rsid w:val="00CC327A"/>
    <w:rsid w:val="00CC5939"/>
    <w:rsid w:val="00CF6148"/>
    <w:rsid w:val="00D17E64"/>
    <w:rsid w:val="00D200AE"/>
    <w:rsid w:val="00D250CD"/>
    <w:rsid w:val="00D37728"/>
    <w:rsid w:val="00D40300"/>
    <w:rsid w:val="00D64D4A"/>
    <w:rsid w:val="00D651CA"/>
    <w:rsid w:val="00D717BE"/>
    <w:rsid w:val="00D84469"/>
    <w:rsid w:val="00D906D7"/>
    <w:rsid w:val="00DA44C4"/>
    <w:rsid w:val="00DB1C91"/>
    <w:rsid w:val="00DC71C6"/>
    <w:rsid w:val="00DD41CD"/>
    <w:rsid w:val="00E07C4A"/>
    <w:rsid w:val="00E17173"/>
    <w:rsid w:val="00E27554"/>
    <w:rsid w:val="00E45BA8"/>
    <w:rsid w:val="00E52341"/>
    <w:rsid w:val="00E53ECE"/>
    <w:rsid w:val="00E554AB"/>
    <w:rsid w:val="00E571F0"/>
    <w:rsid w:val="00E804BA"/>
    <w:rsid w:val="00E809B5"/>
    <w:rsid w:val="00EA38A8"/>
    <w:rsid w:val="00ED2363"/>
    <w:rsid w:val="00ED3CE2"/>
    <w:rsid w:val="00EE0BCE"/>
    <w:rsid w:val="00EE2319"/>
    <w:rsid w:val="00F001F7"/>
    <w:rsid w:val="00F01406"/>
    <w:rsid w:val="00F01736"/>
    <w:rsid w:val="00F0303B"/>
    <w:rsid w:val="00F0418D"/>
    <w:rsid w:val="00F125B2"/>
    <w:rsid w:val="00F35631"/>
    <w:rsid w:val="00F40DE9"/>
    <w:rsid w:val="00F41627"/>
    <w:rsid w:val="00F45058"/>
    <w:rsid w:val="00F548E6"/>
    <w:rsid w:val="00F57FF1"/>
    <w:rsid w:val="00F70B3B"/>
    <w:rsid w:val="00FB02C7"/>
    <w:rsid w:val="00FB5B08"/>
    <w:rsid w:val="00FB6649"/>
    <w:rsid w:val="00FC0398"/>
    <w:rsid w:val="00FC709A"/>
    <w:rsid w:val="00FD1FB1"/>
    <w:rsid w:val="00FF3198"/>
    <w:rsid w:val="00FF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ind w:left="720" w:hanging="720"/>
      <w:jc w:val="center"/>
    </w:pPr>
    <w:rPr>
      <w:b/>
      <w:sz w:val="22"/>
    </w:rPr>
  </w:style>
  <w:style w:type="paragraph" w:styleId="BodyTextIndent">
    <w:name w:val="Body Text Indent"/>
    <w:basedOn w:val="Normal"/>
    <w:pPr>
      <w:ind w:left="720" w:hanging="720"/>
    </w:pPr>
    <w:rPr>
      <w:sz w:val="22"/>
    </w:rPr>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rsid w:val="00D84469"/>
    <w:pPr>
      <w:spacing w:before="100" w:beforeAutospacing="1" w:after="100" w:afterAutospacing="1"/>
    </w:pPr>
    <w:rPr>
      <w:rFonts w:ascii="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720" w:hanging="72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ind w:left="720" w:hanging="720"/>
      <w:jc w:val="center"/>
    </w:pPr>
    <w:rPr>
      <w:b/>
      <w:sz w:val="22"/>
    </w:rPr>
  </w:style>
  <w:style w:type="paragraph" w:styleId="BodyTextIndent">
    <w:name w:val="Body Text Indent"/>
    <w:basedOn w:val="Normal"/>
    <w:pPr>
      <w:ind w:left="720" w:hanging="720"/>
    </w:pPr>
    <w:rPr>
      <w:sz w:val="22"/>
    </w:rPr>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rsid w:val="00D84469"/>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4514">
      <w:bodyDiv w:val="1"/>
      <w:marLeft w:val="0"/>
      <w:marRight w:val="0"/>
      <w:marTop w:val="0"/>
      <w:marBottom w:val="0"/>
      <w:divBdr>
        <w:top w:val="none" w:sz="0" w:space="0" w:color="auto"/>
        <w:left w:val="none" w:sz="0" w:space="0" w:color="auto"/>
        <w:bottom w:val="none" w:sz="0" w:space="0" w:color="auto"/>
        <w:right w:val="none" w:sz="0" w:space="0" w:color="auto"/>
      </w:divBdr>
    </w:div>
    <w:div w:id="577062317">
      <w:bodyDiv w:val="1"/>
      <w:marLeft w:val="0"/>
      <w:marRight w:val="0"/>
      <w:marTop w:val="0"/>
      <w:marBottom w:val="0"/>
      <w:divBdr>
        <w:top w:val="none" w:sz="0" w:space="0" w:color="auto"/>
        <w:left w:val="none" w:sz="0" w:space="0" w:color="auto"/>
        <w:bottom w:val="none" w:sz="0" w:space="0" w:color="auto"/>
        <w:right w:val="none" w:sz="0" w:space="0" w:color="auto"/>
      </w:divBdr>
    </w:div>
    <w:div w:id="760953080">
      <w:bodyDiv w:val="1"/>
      <w:marLeft w:val="0"/>
      <w:marRight w:val="0"/>
      <w:marTop w:val="0"/>
      <w:marBottom w:val="0"/>
      <w:divBdr>
        <w:top w:val="none" w:sz="0" w:space="0" w:color="auto"/>
        <w:left w:val="none" w:sz="0" w:space="0" w:color="auto"/>
        <w:bottom w:val="none" w:sz="0" w:space="0" w:color="auto"/>
        <w:right w:val="none" w:sz="0" w:space="0" w:color="auto"/>
      </w:divBdr>
    </w:div>
    <w:div w:id="822353377">
      <w:bodyDiv w:val="1"/>
      <w:marLeft w:val="0"/>
      <w:marRight w:val="0"/>
      <w:marTop w:val="0"/>
      <w:marBottom w:val="0"/>
      <w:divBdr>
        <w:top w:val="none" w:sz="0" w:space="0" w:color="auto"/>
        <w:left w:val="none" w:sz="0" w:space="0" w:color="auto"/>
        <w:bottom w:val="none" w:sz="0" w:space="0" w:color="auto"/>
        <w:right w:val="none" w:sz="0" w:space="0" w:color="auto"/>
      </w:divBdr>
    </w:div>
    <w:div w:id="1164974964">
      <w:bodyDiv w:val="1"/>
      <w:marLeft w:val="0"/>
      <w:marRight w:val="0"/>
      <w:marTop w:val="0"/>
      <w:marBottom w:val="0"/>
      <w:divBdr>
        <w:top w:val="none" w:sz="0" w:space="0" w:color="auto"/>
        <w:left w:val="none" w:sz="0" w:space="0" w:color="auto"/>
        <w:bottom w:val="none" w:sz="0" w:space="0" w:color="auto"/>
        <w:right w:val="none" w:sz="0" w:space="0" w:color="auto"/>
      </w:divBdr>
      <w:divsChild>
        <w:div w:id="1771390516">
          <w:marLeft w:val="0"/>
          <w:marRight w:val="0"/>
          <w:marTop w:val="0"/>
          <w:marBottom w:val="0"/>
          <w:divBdr>
            <w:top w:val="none" w:sz="0" w:space="0" w:color="auto"/>
            <w:left w:val="none" w:sz="0" w:space="0" w:color="auto"/>
            <w:bottom w:val="none" w:sz="0" w:space="0" w:color="auto"/>
            <w:right w:val="none" w:sz="0" w:space="0" w:color="auto"/>
          </w:divBdr>
          <w:divsChild>
            <w:div w:id="1664549454">
              <w:marLeft w:val="0"/>
              <w:marRight w:val="0"/>
              <w:marTop w:val="0"/>
              <w:marBottom w:val="0"/>
              <w:divBdr>
                <w:top w:val="none" w:sz="0" w:space="0" w:color="auto"/>
                <w:left w:val="none" w:sz="0" w:space="0" w:color="auto"/>
                <w:bottom w:val="none" w:sz="0" w:space="0" w:color="auto"/>
                <w:right w:val="none" w:sz="0" w:space="0" w:color="auto"/>
              </w:divBdr>
              <w:divsChild>
                <w:div w:id="6214953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419778">
                      <w:marLeft w:val="0"/>
                      <w:marRight w:val="0"/>
                      <w:marTop w:val="0"/>
                      <w:marBottom w:val="0"/>
                      <w:divBdr>
                        <w:top w:val="none" w:sz="0" w:space="0" w:color="auto"/>
                        <w:left w:val="none" w:sz="0" w:space="0" w:color="auto"/>
                        <w:bottom w:val="none" w:sz="0" w:space="0" w:color="auto"/>
                        <w:right w:val="none" w:sz="0" w:space="0" w:color="auto"/>
                      </w:divBdr>
                      <w:divsChild>
                        <w:div w:id="2173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478305">
      <w:bodyDiv w:val="1"/>
      <w:marLeft w:val="0"/>
      <w:marRight w:val="0"/>
      <w:marTop w:val="0"/>
      <w:marBottom w:val="0"/>
      <w:divBdr>
        <w:top w:val="none" w:sz="0" w:space="0" w:color="auto"/>
        <w:left w:val="none" w:sz="0" w:space="0" w:color="auto"/>
        <w:bottom w:val="none" w:sz="0" w:space="0" w:color="auto"/>
        <w:right w:val="none" w:sz="0" w:space="0" w:color="auto"/>
      </w:divBdr>
      <w:divsChild>
        <w:div w:id="1893998162">
          <w:marLeft w:val="0"/>
          <w:marRight w:val="0"/>
          <w:marTop w:val="0"/>
          <w:marBottom w:val="0"/>
          <w:divBdr>
            <w:top w:val="none" w:sz="0" w:space="0" w:color="auto"/>
            <w:left w:val="none" w:sz="0" w:space="0" w:color="auto"/>
            <w:bottom w:val="none" w:sz="0" w:space="0" w:color="auto"/>
            <w:right w:val="none" w:sz="0" w:space="0" w:color="auto"/>
          </w:divBdr>
          <w:divsChild>
            <w:div w:id="103352457">
              <w:marLeft w:val="0"/>
              <w:marRight w:val="0"/>
              <w:marTop w:val="0"/>
              <w:marBottom w:val="0"/>
              <w:divBdr>
                <w:top w:val="none" w:sz="0" w:space="0" w:color="auto"/>
                <w:left w:val="none" w:sz="0" w:space="0" w:color="auto"/>
                <w:bottom w:val="none" w:sz="0" w:space="0" w:color="auto"/>
                <w:right w:val="none" w:sz="0" w:space="0" w:color="auto"/>
              </w:divBdr>
              <w:divsChild>
                <w:div w:id="19822696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3492135">
                      <w:marLeft w:val="0"/>
                      <w:marRight w:val="0"/>
                      <w:marTop w:val="0"/>
                      <w:marBottom w:val="0"/>
                      <w:divBdr>
                        <w:top w:val="none" w:sz="0" w:space="0" w:color="auto"/>
                        <w:left w:val="none" w:sz="0" w:space="0" w:color="auto"/>
                        <w:bottom w:val="none" w:sz="0" w:space="0" w:color="auto"/>
                        <w:right w:val="none" w:sz="0" w:space="0" w:color="auto"/>
                      </w:divBdr>
                      <w:divsChild>
                        <w:div w:id="17920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1589">
      <w:bodyDiv w:val="1"/>
      <w:marLeft w:val="0"/>
      <w:marRight w:val="0"/>
      <w:marTop w:val="0"/>
      <w:marBottom w:val="0"/>
      <w:divBdr>
        <w:top w:val="none" w:sz="0" w:space="0" w:color="auto"/>
        <w:left w:val="none" w:sz="0" w:space="0" w:color="auto"/>
        <w:bottom w:val="none" w:sz="0" w:space="0" w:color="auto"/>
        <w:right w:val="none" w:sz="0" w:space="0" w:color="auto"/>
      </w:divBdr>
    </w:div>
    <w:div w:id="1456294850">
      <w:bodyDiv w:val="1"/>
      <w:marLeft w:val="0"/>
      <w:marRight w:val="0"/>
      <w:marTop w:val="0"/>
      <w:marBottom w:val="0"/>
      <w:divBdr>
        <w:top w:val="none" w:sz="0" w:space="0" w:color="auto"/>
        <w:left w:val="none" w:sz="0" w:space="0" w:color="auto"/>
        <w:bottom w:val="none" w:sz="0" w:space="0" w:color="auto"/>
        <w:right w:val="none" w:sz="0" w:space="0" w:color="auto"/>
      </w:divBdr>
    </w:div>
    <w:div w:id="19107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COUNCIL - 19 FEBRUARY 1997</vt:lpstr>
    </vt:vector>
  </TitlesOfParts>
  <Company>Pre-installed Company</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- 19 FEBRUARY 1997</dc:title>
  <dc:creator>Townshs</dc:creator>
  <cp:lastModifiedBy>Nigel Pollard</cp:lastModifiedBy>
  <cp:revision>6</cp:revision>
  <cp:lastPrinted>2016-02-22T16:49:00Z</cp:lastPrinted>
  <dcterms:created xsi:type="dcterms:W3CDTF">2017-02-20T15:05:00Z</dcterms:created>
  <dcterms:modified xsi:type="dcterms:W3CDTF">2017-02-20T15:50:00Z</dcterms:modified>
</cp:coreProperties>
</file>