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05" w:rsidRDefault="008A2B9D" w:rsidP="008A2B9D">
      <w:pPr>
        <w:jc w:val="center"/>
        <w:rPr>
          <w:b/>
        </w:rPr>
      </w:pPr>
      <w:r>
        <w:rPr>
          <w:b/>
        </w:rPr>
        <w:t>GENERAL PUBLIC SERVICES AND COMMUNITY SAFETY COMMITTEE</w:t>
      </w:r>
      <w:r w:rsidR="005F1F05">
        <w:rPr>
          <w:b/>
        </w:rPr>
        <w:t xml:space="preserve"> – </w:t>
      </w:r>
    </w:p>
    <w:p w:rsidR="008A2B9D" w:rsidRDefault="008A2B9D" w:rsidP="008A2B9D">
      <w:pPr>
        <w:jc w:val="center"/>
        <w:rPr>
          <w:b/>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sidR="005125BF">
        <w:rPr>
          <w:b/>
        </w:rPr>
        <w:t>7</w:t>
      </w:r>
      <w:r>
        <w:rPr>
          <w:b/>
        </w:rPr>
        <w:t xml:space="preserve"> DECEMBER 2017</w:t>
      </w:r>
    </w:p>
    <w:p w:rsidR="005F1F05" w:rsidRDefault="005F1F05" w:rsidP="008A2B9D">
      <w:pPr>
        <w:jc w:val="center"/>
        <w:rPr>
          <w:b/>
          <w:i/>
        </w:rPr>
      </w:pPr>
    </w:p>
    <w:p w:rsidR="008A2B9D" w:rsidRDefault="008A2B9D" w:rsidP="008A2B9D">
      <w:pPr>
        <w:jc w:val="center"/>
        <w:rPr>
          <w:b/>
        </w:rPr>
      </w:pPr>
      <w:r w:rsidRPr="004F03DB">
        <w:rPr>
          <w:b/>
        </w:rPr>
        <w:t xml:space="preserve">PART </w:t>
      </w:r>
      <w:r w:rsidRPr="004F03DB">
        <w:rPr>
          <w:b/>
        </w:rPr>
        <w:fldChar w:fldCharType="begin"/>
      </w:r>
      <w:r w:rsidRPr="004F03DB">
        <w:rPr>
          <w:b/>
        </w:rPr>
        <w:instrText xml:space="preserve">  </w:instrText>
      </w:r>
      <w:r w:rsidRPr="004F03DB">
        <w:rPr>
          <w:b/>
        </w:rPr>
        <w:fldChar w:fldCharType="end"/>
      </w:r>
      <w:r w:rsidRPr="004F03DB">
        <w:rPr>
          <w:b/>
        </w:rPr>
        <w:t>I – DELEGATED</w:t>
      </w:r>
    </w:p>
    <w:p w:rsidR="005F1F05" w:rsidRDefault="005F1F05" w:rsidP="008A2B9D">
      <w:pPr>
        <w:jc w:val="center"/>
        <w:rPr>
          <w:b/>
        </w:rPr>
      </w:pPr>
    </w:p>
    <w:p w:rsidR="005F1F05" w:rsidRPr="005F1F05" w:rsidRDefault="005F1F05" w:rsidP="005F1F05">
      <w:pPr>
        <w:keepNext/>
        <w:rPr>
          <w:rFonts w:ascii="Arial Bold" w:hAnsi="Arial Bold"/>
          <w:b/>
          <w:caps/>
        </w:rPr>
      </w:pPr>
      <w:r>
        <w:rPr>
          <w:rFonts w:ascii="Arial Bold" w:hAnsi="Arial Bold"/>
          <w:b/>
          <w:caps/>
        </w:rPr>
        <w:t>8.</w:t>
      </w:r>
      <w:r w:rsidRPr="005F1F05">
        <w:rPr>
          <w:rFonts w:ascii="Arial Bold" w:hAnsi="Arial Bold"/>
          <w:b/>
          <w:caps/>
        </w:rPr>
        <w:fldChar w:fldCharType="begin"/>
      </w:r>
      <w:r w:rsidRPr="005F1F05">
        <w:rPr>
          <w:rFonts w:ascii="Arial Bold" w:hAnsi="Arial Bold"/>
          <w:b/>
          <w:caps/>
        </w:rPr>
        <w:instrText xml:space="preserve">  </w:instrText>
      </w:r>
      <w:r w:rsidRPr="005F1F05">
        <w:rPr>
          <w:rFonts w:ascii="Arial Bold" w:hAnsi="Arial Bold"/>
          <w:b/>
          <w:caps/>
        </w:rPr>
        <w:fldChar w:fldCharType="end"/>
      </w:r>
      <w:r w:rsidRPr="005F1F05">
        <w:rPr>
          <w:rFonts w:ascii="Arial Bold" w:hAnsi="Arial Bold"/>
          <w:caps/>
        </w:rPr>
        <w:tab/>
      </w:r>
      <w:r w:rsidRPr="005F1F05">
        <w:rPr>
          <w:rFonts w:ascii="Arial Bold" w:hAnsi="Arial Bold"/>
          <w:b/>
          <w:caps/>
        </w:rPr>
        <w:t>Garden waste; review of the chargeable service</w:t>
      </w:r>
    </w:p>
    <w:p w:rsidR="005F1F05" w:rsidRDefault="005F1F05" w:rsidP="005F1F05">
      <w:pPr>
        <w:keepNext/>
        <w:ind w:left="1267" w:hanging="1267"/>
      </w:pPr>
      <w:r>
        <w:tab/>
        <w:t>(DCES)</w:t>
      </w:r>
    </w:p>
    <w:p w:rsidR="00A47F0D" w:rsidRPr="00F24403" w:rsidRDefault="00A47F0D" w:rsidP="005F1F05">
      <w:pPr>
        <w:keepNext/>
        <w:ind w:left="1267" w:hanging="1267"/>
      </w:pPr>
    </w:p>
    <w:p w:rsidR="005F1F05" w:rsidRPr="00F24403" w:rsidRDefault="005F1F05" w:rsidP="005F1F05">
      <w:pPr>
        <w:keepNext/>
        <w:ind w:left="1267" w:hanging="1267"/>
      </w:pPr>
      <w:r w:rsidRPr="00F24403">
        <w:t>1.</w:t>
      </w:r>
      <w:r w:rsidRPr="00F24403">
        <w:tab/>
      </w:r>
      <w:r w:rsidRPr="00F24403">
        <w:rPr>
          <w:b/>
        </w:rPr>
        <w:t>Summary</w:t>
      </w:r>
    </w:p>
    <w:p w:rsidR="005F1F05" w:rsidRPr="00F24403" w:rsidRDefault="005F1F05" w:rsidP="005F1F05">
      <w:pPr>
        <w:keepNext/>
        <w:ind w:left="1267" w:hanging="1267"/>
      </w:pPr>
    </w:p>
    <w:p w:rsidR="005F1F05" w:rsidRDefault="005F1F05" w:rsidP="005F1F05">
      <w:pPr>
        <w:keepNext/>
      </w:pPr>
      <w:r w:rsidRPr="00F24403">
        <w:t>1.1</w:t>
      </w:r>
      <w:r w:rsidRPr="00F24403">
        <w:tab/>
      </w:r>
      <w:r w:rsidRPr="00F24403">
        <w:fldChar w:fldCharType="begin"/>
      </w:r>
      <w:r w:rsidRPr="00F24403">
        <w:instrText xml:space="preserve">  </w:instrText>
      </w:r>
      <w:r w:rsidRPr="00F24403">
        <w:fldChar w:fldCharType="end"/>
      </w:r>
      <w:r w:rsidRPr="00F24403">
        <w:t xml:space="preserve">To </w:t>
      </w:r>
      <w:r>
        <w:t>update Members on the progress of the chargeable garden waste service.</w:t>
      </w:r>
    </w:p>
    <w:p w:rsidR="005F1F05" w:rsidRDefault="005F1F05" w:rsidP="005F1F05">
      <w:pPr>
        <w:keepNext/>
      </w:pPr>
    </w:p>
    <w:p w:rsidR="005F1F05" w:rsidRDefault="005F1F05" w:rsidP="005F1F05">
      <w:pPr>
        <w:keepNext/>
        <w:rPr>
          <w:b/>
        </w:rPr>
      </w:pPr>
      <w:r>
        <w:t>2.</w:t>
      </w:r>
      <w:r>
        <w:tab/>
      </w:r>
      <w:r w:rsidRPr="00F24403">
        <w:rPr>
          <w:b/>
        </w:rPr>
        <w:t>Details</w:t>
      </w:r>
    </w:p>
    <w:p w:rsidR="005F1F05" w:rsidRDefault="005F1F05" w:rsidP="005F1F05">
      <w:pPr>
        <w:keepNext/>
        <w:ind w:left="1267" w:hanging="1267"/>
        <w:rPr>
          <w:b/>
        </w:rPr>
      </w:pPr>
    </w:p>
    <w:p w:rsidR="005F1F05" w:rsidRPr="004F1B15" w:rsidRDefault="005F1F05" w:rsidP="005F1F05">
      <w:pPr>
        <w:keepNext/>
        <w:ind w:left="1267" w:hanging="1267"/>
      </w:pPr>
      <w:r w:rsidRPr="004F1B15">
        <w:t>2.1</w:t>
      </w:r>
      <w:r w:rsidRPr="004F1B15">
        <w:tab/>
      </w:r>
      <w:r w:rsidRPr="005F1F05">
        <w:rPr>
          <w:b/>
          <w:i/>
        </w:rPr>
        <w:t>Background</w:t>
      </w:r>
    </w:p>
    <w:p w:rsidR="005F1F05" w:rsidRPr="004F1B15" w:rsidRDefault="005F1F05" w:rsidP="005F1F05">
      <w:pPr>
        <w:keepNext/>
        <w:ind w:left="1267" w:hanging="1267"/>
      </w:pPr>
    </w:p>
    <w:p w:rsidR="005F1F05" w:rsidRDefault="005F1F05" w:rsidP="005F1F05">
      <w:pPr>
        <w:keepNext/>
        <w:ind w:left="1267" w:hanging="1267"/>
        <w:rPr>
          <w:rFonts w:ascii="TTE290F4F8t00" w:eastAsiaTheme="minorHAnsi" w:hAnsi="TTE290F4F8t00" w:cs="TTE290F4F8t00"/>
          <w:szCs w:val="22"/>
          <w:lang w:eastAsia="en-US"/>
        </w:rPr>
      </w:pPr>
      <w:r w:rsidRPr="004F1B15">
        <w:t>2.1.1</w:t>
      </w:r>
      <w:r>
        <w:rPr>
          <w:b/>
        </w:rPr>
        <w:tab/>
      </w:r>
      <w:r w:rsidRPr="0041045F">
        <w:tab/>
      </w:r>
      <w:r>
        <w:rPr>
          <w:rFonts w:ascii="TTE290F4F8t00" w:eastAsiaTheme="minorHAnsi" w:hAnsi="TTE290F4F8t00" w:cs="TTE290F4F8t00"/>
          <w:szCs w:val="22"/>
          <w:lang w:eastAsia="en-US"/>
        </w:rPr>
        <w:t>Waste collections by Local Authorities are governed by the Environmental Protection</w:t>
      </w:r>
      <w:r>
        <w:t xml:space="preserve"> </w:t>
      </w:r>
      <w:r>
        <w:rPr>
          <w:rFonts w:ascii="TTE290F4F8t00" w:eastAsiaTheme="minorHAnsi" w:hAnsi="TTE290F4F8t00" w:cs="TTE290F4F8t00"/>
          <w:szCs w:val="22"/>
          <w:lang w:eastAsia="en-US"/>
        </w:rPr>
        <w:t>Act 1990 and the Controlled Waste Regulations 2012. Within these regulations garden</w:t>
      </w:r>
      <w:r>
        <w:t xml:space="preserve"> </w:t>
      </w:r>
      <w:r>
        <w:rPr>
          <w:rFonts w:ascii="TTE290F4F8t00" w:eastAsiaTheme="minorHAnsi" w:hAnsi="TTE290F4F8t00" w:cs="TTE290F4F8t00"/>
          <w:szCs w:val="22"/>
          <w:lang w:eastAsia="en-US"/>
        </w:rPr>
        <w:t>waste is included in Schedule two ‘Types of household waste for which a charge for</w:t>
      </w:r>
      <w:r>
        <w:t xml:space="preserve"> </w:t>
      </w:r>
      <w:r>
        <w:rPr>
          <w:rFonts w:ascii="TTE290F4F8t00" w:eastAsiaTheme="minorHAnsi" w:hAnsi="TTE290F4F8t00" w:cs="TTE290F4F8t00"/>
          <w:szCs w:val="22"/>
          <w:lang w:eastAsia="en-US"/>
        </w:rPr>
        <w:t>collection may be made’. This differs from residual household waste, listed under</w:t>
      </w:r>
      <w:r>
        <w:t xml:space="preserve"> </w:t>
      </w:r>
      <w:r>
        <w:rPr>
          <w:rFonts w:ascii="TTE290F4F8t00" w:eastAsiaTheme="minorHAnsi" w:hAnsi="TTE290F4F8t00" w:cs="TTE290F4F8t00"/>
          <w:szCs w:val="22"/>
          <w:lang w:eastAsia="en-US"/>
        </w:rPr>
        <w:t>Schedule one for which the local authorities must provide a free collection service.</w:t>
      </w:r>
    </w:p>
    <w:p w:rsidR="005F1F05" w:rsidRDefault="005F1F05" w:rsidP="008A2B9D">
      <w:pPr>
        <w:jc w:val="center"/>
        <w:rPr>
          <w:b/>
        </w:rPr>
      </w:pPr>
    </w:p>
    <w:p w:rsidR="005F1F05" w:rsidRDefault="005F1F05" w:rsidP="005F1F05">
      <w:pPr>
        <w:keepNext/>
        <w:ind w:left="1267" w:hanging="1267"/>
        <w:rPr>
          <w:rFonts w:ascii="TTE290F4F8t00" w:eastAsiaTheme="minorHAnsi" w:hAnsi="TTE290F4F8t00" w:cs="TTE290F4F8t00"/>
          <w:szCs w:val="22"/>
          <w:lang w:eastAsia="en-US"/>
        </w:rPr>
      </w:pPr>
      <w:r>
        <w:rPr>
          <w:rFonts w:ascii="TTE290F4F8t00" w:eastAsiaTheme="minorHAnsi" w:hAnsi="TTE290F4F8t00" w:cs="TTE290F4F8t00"/>
          <w:szCs w:val="22"/>
          <w:lang w:eastAsia="en-US"/>
        </w:rPr>
        <w:t>2.</w:t>
      </w:r>
      <w:r w:rsidR="0020324A">
        <w:rPr>
          <w:rFonts w:ascii="TTE290F4F8t00" w:eastAsiaTheme="minorHAnsi" w:hAnsi="TTE290F4F8t00" w:cs="TTE290F4F8t00"/>
          <w:szCs w:val="22"/>
          <w:lang w:eastAsia="en-US"/>
        </w:rPr>
        <w:t>1</w:t>
      </w:r>
      <w:r>
        <w:rPr>
          <w:rFonts w:ascii="TTE290F4F8t00" w:eastAsiaTheme="minorHAnsi" w:hAnsi="TTE290F4F8t00" w:cs="TTE290F4F8t00"/>
          <w:szCs w:val="22"/>
          <w:lang w:eastAsia="en-US"/>
        </w:rPr>
        <w:t>.2</w:t>
      </w:r>
      <w:r>
        <w:rPr>
          <w:rFonts w:ascii="TTE290F4F8t00" w:eastAsiaTheme="minorHAnsi" w:hAnsi="TTE290F4F8t00" w:cs="TTE290F4F8t00"/>
          <w:szCs w:val="22"/>
          <w:lang w:eastAsia="en-US"/>
        </w:rPr>
        <w:tab/>
        <w:t xml:space="preserve">Further to a number of reports to Committee and a public consultation it was agreed that TRDC would impose a charge for garden waste.  This was publicised from May 2016 and the charging period commenced from 1 July 2016. </w:t>
      </w:r>
    </w:p>
    <w:p w:rsidR="005F1F05" w:rsidRDefault="005F1F05" w:rsidP="005F1F05">
      <w:pPr>
        <w:keepNext/>
        <w:ind w:left="1267" w:hanging="1267"/>
        <w:rPr>
          <w:rFonts w:ascii="TTE290F4F8t00" w:eastAsiaTheme="minorHAnsi" w:hAnsi="TTE290F4F8t00" w:cs="TTE290F4F8t00"/>
          <w:szCs w:val="22"/>
          <w:lang w:eastAsia="en-US"/>
        </w:rPr>
      </w:pPr>
    </w:p>
    <w:p w:rsidR="005F1F05" w:rsidRDefault="005F1F05" w:rsidP="005F1F05">
      <w:pPr>
        <w:keepNext/>
        <w:ind w:left="1267" w:hanging="1267"/>
        <w:rPr>
          <w:rFonts w:ascii="TTE290F4F8t00" w:eastAsiaTheme="minorHAnsi" w:hAnsi="TTE290F4F8t00" w:cs="TTE290F4F8t00"/>
          <w:szCs w:val="22"/>
          <w:lang w:eastAsia="en-US"/>
        </w:rPr>
      </w:pPr>
      <w:r>
        <w:rPr>
          <w:rFonts w:ascii="TTE290F4F8t00" w:eastAsiaTheme="minorHAnsi" w:hAnsi="TTE290F4F8t00" w:cs="TTE290F4F8t00"/>
          <w:szCs w:val="22"/>
          <w:lang w:eastAsia="en-US"/>
        </w:rPr>
        <w:t>2.</w:t>
      </w:r>
      <w:r w:rsidR="0020324A">
        <w:rPr>
          <w:rFonts w:ascii="TTE290F4F8t00" w:eastAsiaTheme="minorHAnsi" w:hAnsi="TTE290F4F8t00" w:cs="TTE290F4F8t00"/>
          <w:szCs w:val="22"/>
          <w:lang w:eastAsia="en-US"/>
        </w:rPr>
        <w:t>1</w:t>
      </w:r>
      <w:r>
        <w:rPr>
          <w:rFonts w:ascii="TTE290F4F8t00" w:eastAsiaTheme="minorHAnsi" w:hAnsi="TTE290F4F8t00" w:cs="TTE290F4F8t00"/>
          <w:szCs w:val="22"/>
          <w:lang w:eastAsia="en-US"/>
        </w:rPr>
        <w:t>.3</w:t>
      </w:r>
      <w:r>
        <w:rPr>
          <w:rFonts w:ascii="TTE290F4F8t00" w:eastAsiaTheme="minorHAnsi" w:hAnsi="TTE290F4F8t00" w:cs="TTE290F4F8t00"/>
          <w:szCs w:val="22"/>
          <w:lang w:eastAsia="en-US"/>
        </w:rPr>
        <w:tab/>
        <w:t>The TRDC recycling rate, including how garden waste contributes to the overall percentage is shown below:</w:t>
      </w:r>
    </w:p>
    <w:p w:rsidR="005F1F05" w:rsidRDefault="005F1F05" w:rsidP="005F1F05">
      <w:pPr>
        <w:keepNext/>
        <w:ind w:left="1267" w:hanging="1267"/>
        <w:rPr>
          <w:rFonts w:ascii="TTE290F4F8t00" w:eastAsiaTheme="minorHAnsi" w:hAnsi="TTE290F4F8t00" w:cs="TTE290F4F8t00"/>
          <w:szCs w:val="22"/>
          <w:lang w:eastAsia="en-US"/>
        </w:rPr>
      </w:pPr>
    </w:p>
    <w:tbl>
      <w:tblPr>
        <w:tblStyle w:val="TableGrid"/>
        <w:tblW w:w="0" w:type="auto"/>
        <w:tblInd w:w="1973" w:type="dxa"/>
        <w:tblLook w:val="04A0" w:firstRow="1" w:lastRow="0" w:firstColumn="1" w:lastColumn="0" w:noHBand="0" w:noVBand="1"/>
      </w:tblPr>
      <w:tblGrid>
        <w:gridCol w:w="1012"/>
        <w:gridCol w:w="3081"/>
        <w:gridCol w:w="1957"/>
      </w:tblGrid>
      <w:tr w:rsidR="005F1F05" w:rsidTr="007A3E30">
        <w:trPr>
          <w:trHeight w:val="255"/>
        </w:trPr>
        <w:tc>
          <w:tcPr>
            <w:tcW w:w="1012" w:type="dxa"/>
          </w:tcPr>
          <w:p w:rsidR="005F1F05" w:rsidRPr="00052441" w:rsidRDefault="005F1F05" w:rsidP="007A3E30">
            <w:pPr>
              <w:keepNext/>
              <w:jc w:val="center"/>
              <w:rPr>
                <w:rFonts w:ascii="TTE290F4F8t00" w:hAnsi="TTE290F4F8t00" w:cs="TTE290F4F8t00"/>
                <w:b/>
                <w:szCs w:val="22"/>
                <w:lang w:eastAsia="en-US"/>
              </w:rPr>
            </w:pPr>
            <w:r w:rsidRPr="00052441">
              <w:rPr>
                <w:rFonts w:ascii="TTE290F4F8t00" w:hAnsi="TTE290F4F8t00" w:cs="TTE290F4F8t00"/>
                <w:b/>
                <w:szCs w:val="22"/>
                <w:lang w:eastAsia="en-US"/>
              </w:rPr>
              <w:t>Year</w:t>
            </w:r>
          </w:p>
        </w:tc>
        <w:tc>
          <w:tcPr>
            <w:tcW w:w="3081" w:type="dxa"/>
          </w:tcPr>
          <w:p w:rsidR="005F1F05" w:rsidRPr="00052441" w:rsidRDefault="005F1F05" w:rsidP="007A3E30">
            <w:pPr>
              <w:keepNext/>
              <w:jc w:val="center"/>
              <w:rPr>
                <w:rFonts w:ascii="TTE290F4F8t00" w:hAnsi="TTE290F4F8t00" w:cs="TTE290F4F8t00"/>
                <w:b/>
                <w:szCs w:val="22"/>
                <w:lang w:eastAsia="en-US"/>
              </w:rPr>
            </w:pPr>
            <w:r w:rsidRPr="00052441">
              <w:rPr>
                <w:rFonts w:ascii="TTE290F4F8t00" w:hAnsi="TTE290F4F8t00" w:cs="TTE290F4F8t00"/>
                <w:b/>
                <w:szCs w:val="22"/>
                <w:lang w:eastAsia="en-US"/>
              </w:rPr>
              <w:t>Overall recycling rate %</w:t>
            </w:r>
          </w:p>
        </w:tc>
        <w:tc>
          <w:tcPr>
            <w:tcW w:w="1957" w:type="dxa"/>
          </w:tcPr>
          <w:p w:rsidR="005F1F05" w:rsidRPr="00052441" w:rsidRDefault="005F1F05" w:rsidP="007A3E30">
            <w:pPr>
              <w:keepNext/>
              <w:jc w:val="center"/>
              <w:rPr>
                <w:rFonts w:ascii="TTE290F4F8t00" w:hAnsi="TTE290F4F8t00" w:cs="TTE290F4F8t00"/>
                <w:b/>
                <w:szCs w:val="22"/>
                <w:lang w:eastAsia="en-US"/>
              </w:rPr>
            </w:pPr>
            <w:r w:rsidRPr="00052441">
              <w:rPr>
                <w:rFonts w:ascii="TTE290F4F8t00" w:hAnsi="TTE290F4F8t00" w:cs="TTE290F4F8t00"/>
                <w:b/>
                <w:szCs w:val="22"/>
                <w:lang w:eastAsia="en-US"/>
              </w:rPr>
              <w:t>Garden waste %</w:t>
            </w:r>
          </w:p>
        </w:tc>
      </w:tr>
      <w:tr w:rsidR="005F1F05" w:rsidTr="007A3E30">
        <w:trPr>
          <w:trHeight w:val="243"/>
        </w:trPr>
        <w:tc>
          <w:tcPr>
            <w:tcW w:w="1012" w:type="dxa"/>
          </w:tcPr>
          <w:p w:rsidR="005F1F05" w:rsidRDefault="005F1F05" w:rsidP="007A3E30">
            <w:pPr>
              <w:keepNext/>
              <w:jc w:val="center"/>
              <w:rPr>
                <w:rFonts w:ascii="TTE290F4F8t00" w:hAnsi="TTE290F4F8t00" w:cs="TTE290F4F8t00"/>
                <w:szCs w:val="22"/>
                <w:lang w:eastAsia="en-US"/>
              </w:rPr>
            </w:pPr>
            <w:r>
              <w:rPr>
                <w:rFonts w:ascii="TTE290F4F8t00" w:hAnsi="TTE290F4F8t00" w:cs="TTE290F4F8t00"/>
                <w:szCs w:val="22"/>
                <w:lang w:eastAsia="en-US"/>
              </w:rPr>
              <w:t>2014/15</w:t>
            </w:r>
          </w:p>
        </w:tc>
        <w:tc>
          <w:tcPr>
            <w:tcW w:w="3081" w:type="dxa"/>
          </w:tcPr>
          <w:p w:rsidR="005F1F05" w:rsidRDefault="005F1F05" w:rsidP="007A3E30">
            <w:pPr>
              <w:keepNext/>
              <w:jc w:val="center"/>
              <w:rPr>
                <w:rFonts w:ascii="TTE290F4F8t00" w:hAnsi="TTE290F4F8t00" w:cs="TTE290F4F8t00"/>
                <w:szCs w:val="22"/>
                <w:lang w:eastAsia="en-US"/>
              </w:rPr>
            </w:pPr>
            <w:r>
              <w:rPr>
                <w:rFonts w:ascii="TTE290F4F8t00" w:hAnsi="TTE290F4F8t00" w:cs="TTE290F4F8t00"/>
                <w:szCs w:val="22"/>
                <w:lang w:eastAsia="en-US"/>
              </w:rPr>
              <w:t>63.2</w:t>
            </w:r>
          </w:p>
        </w:tc>
        <w:tc>
          <w:tcPr>
            <w:tcW w:w="1957" w:type="dxa"/>
          </w:tcPr>
          <w:p w:rsidR="005F1F05" w:rsidRDefault="005F1F05" w:rsidP="007A3E30">
            <w:pPr>
              <w:keepNext/>
              <w:jc w:val="center"/>
              <w:rPr>
                <w:rFonts w:ascii="TTE290F4F8t00" w:hAnsi="TTE290F4F8t00" w:cs="TTE290F4F8t00"/>
                <w:szCs w:val="22"/>
                <w:lang w:eastAsia="en-US"/>
              </w:rPr>
            </w:pPr>
            <w:r>
              <w:rPr>
                <w:rFonts w:ascii="TTE290F4F8t00" w:hAnsi="TTE290F4F8t00" w:cs="TTE290F4F8t00"/>
                <w:szCs w:val="22"/>
                <w:lang w:eastAsia="en-US"/>
              </w:rPr>
              <w:t>37.32</w:t>
            </w:r>
          </w:p>
        </w:tc>
      </w:tr>
      <w:tr w:rsidR="005F1F05" w:rsidTr="007A3E30">
        <w:trPr>
          <w:trHeight w:val="255"/>
        </w:trPr>
        <w:tc>
          <w:tcPr>
            <w:tcW w:w="1012" w:type="dxa"/>
          </w:tcPr>
          <w:p w:rsidR="005F1F05" w:rsidRDefault="005F1F05" w:rsidP="007A3E30">
            <w:pPr>
              <w:keepNext/>
              <w:jc w:val="center"/>
              <w:rPr>
                <w:rFonts w:ascii="TTE290F4F8t00" w:hAnsi="TTE290F4F8t00" w:cs="TTE290F4F8t00"/>
                <w:szCs w:val="22"/>
                <w:lang w:eastAsia="en-US"/>
              </w:rPr>
            </w:pPr>
            <w:r>
              <w:rPr>
                <w:rFonts w:ascii="TTE290F4F8t00" w:hAnsi="TTE290F4F8t00" w:cs="TTE290F4F8t00"/>
                <w:szCs w:val="22"/>
                <w:lang w:eastAsia="en-US"/>
              </w:rPr>
              <w:t>2015/16</w:t>
            </w:r>
          </w:p>
        </w:tc>
        <w:tc>
          <w:tcPr>
            <w:tcW w:w="3081" w:type="dxa"/>
          </w:tcPr>
          <w:p w:rsidR="005F1F05" w:rsidRDefault="005F1F05" w:rsidP="007A3E30">
            <w:pPr>
              <w:keepNext/>
              <w:jc w:val="center"/>
              <w:rPr>
                <w:rFonts w:ascii="TTE290F4F8t00" w:hAnsi="TTE290F4F8t00" w:cs="TTE290F4F8t00"/>
                <w:szCs w:val="22"/>
                <w:lang w:eastAsia="en-US"/>
              </w:rPr>
            </w:pPr>
            <w:r>
              <w:rPr>
                <w:rFonts w:ascii="TTE290F4F8t00" w:hAnsi="TTE290F4F8t00" w:cs="TTE290F4F8t00"/>
                <w:szCs w:val="22"/>
                <w:lang w:eastAsia="en-US"/>
              </w:rPr>
              <w:t>59.4</w:t>
            </w:r>
          </w:p>
        </w:tc>
        <w:tc>
          <w:tcPr>
            <w:tcW w:w="1957" w:type="dxa"/>
          </w:tcPr>
          <w:p w:rsidR="005F1F05" w:rsidRDefault="005F1F05" w:rsidP="007A3E30">
            <w:pPr>
              <w:keepNext/>
              <w:jc w:val="center"/>
              <w:rPr>
                <w:rFonts w:ascii="TTE290F4F8t00" w:hAnsi="TTE290F4F8t00" w:cs="TTE290F4F8t00"/>
                <w:szCs w:val="22"/>
                <w:lang w:eastAsia="en-US"/>
              </w:rPr>
            </w:pPr>
            <w:r>
              <w:rPr>
                <w:rFonts w:ascii="TTE290F4F8t00" w:hAnsi="TTE290F4F8t00" w:cs="TTE290F4F8t00"/>
                <w:szCs w:val="22"/>
                <w:lang w:eastAsia="en-US"/>
              </w:rPr>
              <w:t>32.05</w:t>
            </w:r>
          </w:p>
        </w:tc>
      </w:tr>
      <w:tr w:rsidR="005F1F05" w:rsidTr="007A3E30">
        <w:trPr>
          <w:trHeight w:val="267"/>
        </w:trPr>
        <w:tc>
          <w:tcPr>
            <w:tcW w:w="1012" w:type="dxa"/>
          </w:tcPr>
          <w:p w:rsidR="005F1F05" w:rsidRDefault="005F1F05" w:rsidP="007A3E30">
            <w:pPr>
              <w:keepNext/>
              <w:jc w:val="center"/>
              <w:rPr>
                <w:rFonts w:ascii="TTE290F4F8t00" w:hAnsi="TTE290F4F8t00" w:cs="TTE290F4F8t00"/>
                <w:szCs w:val="22"/>
                <w:lang w:eastAsia="en-US"/>
              </w:rPr>
            </w:pPr>
            <w:r>
              <w:rPr>
                <w:rFonts w:ascii="TTE290F4F8t00" w:hAnsi="TTE290F4F8t00" w:cs="TTE290F4F8t00"/>
                <w:szCs w:val="22"/>
                <w:lang w:eastAsia="en-US"/>
              </w:rPr>
              <w:t>2016/17</w:t>
            </w:r>
          </w:p>
        </w:tc>
        <w:tc>
          <w:tcPr>
            <w:tcW w:w="3081" w:type="dxa"/>
          </w:tcPr>
          <w:p w:rsidR="005F1F05" w:rsidRDefault="005F1F05" w:rsidP="007A3E30">
            <w:pPr>
              <w:keepNext/>
              <w:jc w:val="center"/>
              <w:rPr>
                <w:rFonts w:ascii="TTE290F4F8t00" w:hAnsi="TTE290F4F8t00" w:cs="TTE290F4F8t00"/>
                <w:szCs w:val="22"/>
                <w:lang w:eastAsia="en-US"/>
              </w:rPr>
            </w:pPr>
            <w:r>
              <w:rPr>
                <w:rFonts w:ascii="TTE290F4F8t00" w:hAnsi="TTE290F4F8t00" w:cs="TTE290F4F8t00"/>
                <w:szCs w:val="22"/>
                <w:lang w:eastAsia="en-US"/>
              </w:rPr>
              <w:t>61.9</w:t>
            </w:r>
          </w:p>
        </w:tc>
        <w:tc>
          <w:tcPr>
            <w:tcW w:w="1957" w:type="dxa"/>
          </w:tcPr>
          <w:p w:rsidR="005F1F05" w:rsidRDefault="005F1F05" w:rsidP="007A3E30">
            <w:pPr>
              <w:keepNext/>
              <w:jc w:val="center"/>
              <w:rPr>
                <w:rFonts w:ascii="TTE290F4F8t00" w:hAnsi="TTE290F4F8t00" w:cs="TTE290F4F8t00"/>
                <w:szCs w:val="22"/>
                <w:lang w:eastAsia="en-US"/>
              </w:rPr>
            </w:pPr>
            <w:r>
              <w:rPr>
                <w:rFonts w:ascii="TTE290F4F8t00" w:hAnsi="TTE290F4F8t00" w:cs="TTE290F4F8t00"/>
                <w:szCs w:val="22"/>
                <w:lang w:eastAsia="en-US"/>
              </w:rPr>
              <w:t>31.61</w:t>
            </w:r>
          </w:p>
        </w:tc>
      </w:tr>
    </w:tbl>
    <w:p w:rsidR="005F1F05" w:rsidRPr="00415650" w:rsidRDefault="005F1F05" w:rsidP="005F1F05">
      <w:pPr>
        <w:keepNext/>
        <w:jc w:val="left"/>
      </w:pPr>
    </w:p>
    <w:p w:rsidR="005F1F05" w:rsidRDefault="005F1F05" w:rsidP="005F1F05">
      <w:pPr>
        <w:keepNext/>
        <w:ind w:left="1267" w:hanging="1267"/>
        <w:jc w:val="left"/>
        <w:rPr>
          <w:b/>
        </w:rPr>
      </w:pPr>
      <w:r w:rsidRPr="00F24403">
        <w:t>2.</w:t>
      </w:r>
      <w:r>
        <w:t>2</w:t>
      </w:r>
      <w:r w:rsidRPr="00F24403">
        <w:rPr>
          <w:b/>
        </w:rPr>
        <w:tab/>
      </w:r>
      <w:r w:rsidRPr="005F1F05">
        <w:rPr>
          <w:b/>
          <w:i/>
        </w:rPr>
        <w:t>Garden waste review</w:t>
      </w:r>
    </w:p>
    <w:p w:rsidR="005F1F05" w:rsidRDefault="005F1F05" w:rsidP="005F1F05">
      <w:pPr>
        <w:keepNext/>
        <w:ind w:left="1267" w:hanging="1267"/>
        <w:jc w:val="left"/>
        <w:rPr>
          <w:b/>
        </w:rPr>
      </w:pPr>
    </w:p>
    <w:p w:rsidR="005F1F05" w:rsidRDefault="005F1F05" w:rsidP="005F1F05">
      <w:pPr>
        <w:keepNext/>
        <w:ind w:left="1267" w:hanging="1267"/>
      </w:pPr>
      <w:r w:rsidRPr="004F37ED">
        <w:t>2.2.1</w:t>
      </w:r>
      <w:r>
        <w:rPr>
          <w:b/>
        </w:rPr>
        <w:tab/>
      </w:r>
      <w:r w:rsidRPr="00E42743">
        <w:t>On</w:t>
      </w:r>
      <w:r>
        <w:t xml:space="preserve"> 1 July 2016 the chargeable garden waste service (referred to as the Service) commenced.  Annual payments were adjusted pro-rata to £25 and £20 respectively to account for the payment period starting in July rather than April.  Second brown bins were offered for £70 (no concessions).  Due to it not being a full year the part year reduction for residents signing up after 1 October was not offered.</w:t>
      </w:r>
    </w:p>
    <w:p w:rsidR="005F1F05" w:rsidRDefault="005F1F05" w:rsidP="005F1F05">
      <w:pPr>
        <w:keepNext/>
      </w:pPr>
    </w:p>
    <w:p w:rsidR="005F1F05" w:rsidRDefault="005F1F05" w:rsidP="005F1F05">
      <w:pPr>
        <w:keepNext/>
        <w:ind w:left="1260" w:hanging="1260"/>
      </w:pPr>
      <w:r>
        <w:t>2.2.2</w:t>
      </w:r>
      <w:r>
        <w:tab/>
        <w:t xml:space="preserve">On 1 April 2017 the full annual charge came into effect; £35, with a reduced rate of £28 for residents in receipt of Council administered benefits.  Residents are entitled to a 50% reduction if signing up between 1 October and 31 March.  Second and third brown bins are charged £70 each, with no reduction or concession. A household can have a maximum of three brown bins. Anyone not providing Direct Debit details at time of sign up is charged an additional £5. </w:t>
      </w:r>
    </w:p>
    <w:p w:rsidR="005F1F05" w:rsidRPr="001E222D" w:rsidRDefault="005F1F05" w:rsidP="008A2B9D">
      <w:pPr>
        <w:jc w:val="center"/>
      </w:pPr>
    </w:p>
    <w:p w:rsidR="005F1F05" w:rsidRDefault="005F1F05" w:rsidP="005F1F05">
      <w:pPr>
        <w:keepNext/>
        <w:ind w:left="1260" w:hanging="1260"/>
      </w:pPr>
      <w:r>
        <w:lastRenderedPageBreak/>
        <w:t>2.2.3</w:t>
      </w:r>
      <w:r>
        <w:tab/>
        <w:t xml:space="preserve">During 2016/17 (part year) the target set for sign ups was 14,500 households, which was far exceeded.  Current figures (as of mid-October 2017) show that 22,380 households are signed up for one bin, 868 for two and 50 for three.  </w:t>
      </w:r>
    </w:p>
    <w:p w:rsidR="005F1F05" w:rsidRDefault="005F1F05" w:rsidP="005F1F05">
      <w:pPr>
        <w:keepNext/>
      </w:pPr>
    </w:p>
    <w:p w:rsidR="008A2B9D" w:rsidRDefault="008A2B9D" w:rsidP="008A2B9D">
      <w:pPr>
        <w:keepNext/>
        <w:ind w:left="1260" w:hanging="1260"/>
      </w:pPr>
      <w:r>
        <w:t>2.2.4</w:t>
      </w:r>
      <w:r>
        <w:tab/>
        <w:t xml:space="preserve">Stickers are issued upon receipt of </w:t>
      </w:r>
      <w:proofErr w:type="gramStart"/>
      <w:r>
        <w:t>payment,</w:t>
      </w:r>
      <w:proofErr w:type="gramEnd"/>
      <w:r>
        <w:t xml:space="preserve"> these include a unique reference number.  Following discussions it was agreed in the second year (from April 2017) to include the address as well the reference number. This helps the crew to identify where the bin needs to be returned to, as well as making it easier for the resident to identify their bin and to try and tighten up on bins being moved around the </w:t>
      </w:r>
      <w:r w:rsidR="005F1F05">
        <w:t>District.</w:t>
      </w:r>
    </w:p>
    <w:p w:rsidR="005F1F05" w:rsidRDefault="005F1F05" w:rsidP="008A2B9D">
      <w:pPr>
        <w:keepNext/>
        <w:ind w:left="1260" w:hanging="1260"/>
      </w:pPr>
    </w:p>
    <w:p w:rsidR="008A2B9D" w:rsidRDefault="008A2B9D" w:rsidP="008A2B9D">
      <w:pPr>
        <w:keepNext/>
        <w:ind w:left="1260" w:hanging="1260"/>
        <w:rPr>
          <w:color w:val="FF0000"/>
        </w:rPr>
      </w:pPr>
      <w:r w:rsidRPr="004A4336">
        <w:t>2.2.</w:t>
      </w:r>
      <w:r>
        <w:t>5</w:t>
      </w:r>
      <w:r>
        <w:rPr>
          <w:color w:val="FF0000"/>
        </w:rPr>
        <w:tab/>
      </w:r>
      <w:r w:rsidRPr="00136288">
        <w:t>The work involved in administering the Service is somewhat greater than initi</w:t>
      </w:r>
      <w:r>
        <w:t>ally planned for. H</w:t>
      </w:r>
      <w:r w:rsidRPr="00136288">
        <w:t>owever staff f</w:t>
      </w:r>
      <w:r>
        <w:t>rom Environmental Protection, Fi</w:t>
      </w:r>
      <w:r w:rsidRPr="00136288">
        <w:t xml:space="preserve">nance, the Customer Service Centre and Customer Contract Programme worked well together to ensure it was introduced seamlessly and </w:t>
      </w:r>
      <w:r>
        <w:t xml:space="preserve">it </w:t>
      </w:r>
      <w:r w:rsidRPr="00136288">
        <w:t xml:space="preserve">continues to run </w:t>
      </w:r>
      <w:r>
        <w:t xml:space="preserve">well.  </w:t>
      </w:r>
    </w:p>
    <w:p w:rsidR="008A2B9D" w:rsidRDefault="008A2B9D" w:rsidP="008A2B9D">
      <w:pPr>
        <w:keepNext/>
        <w:ind w:left="1260" w:hanging="1260"/>
        <w:rPr>
          <w:color w:val="FF0000"/>
        </w:rPr>
      </w:pPr>
    </w:p>
    <w:p w:rsidR="008A2B9D" w:rsidRPr="00BE5ED2" w:rsidRDefault="008A2B9D" w:rsidP="008A2B9D">
      <w:pPr>
        <w:keepNext/>
        <w:ind w:left="1260" w:hanging="1260"/>
        <w:rPr>
          <w:color w:val="FF0000"/>
        </w:rPr>
      </w:pPr>
      <w:r w:rsidRPr="004A4336">
        <w:t>2.2.</w:t>
      </w:r>
      <w:r>
        <w:t>6</w:t>
      </w:r>
      <w:r>
        <w:rPr>
          <w:color w:val="FF0000"/>
        </w:rPr>
        <w:tab/>
      </w:r>
      <w:r w:rsidRPr="00BE5ED2">
        <w:t xml:space="preserve">Firmstep and the back office system used by Environmental Protection; </w:t>
      </w:r>
      <w:r w:rsidR="001C2F20">
        <w:t>Collective, has</w:t>
      </w:r>
      <w:r w:rsidR="00212DD0">
        <w:t xml:space="preserve"> been </w:t>
      </w:r>
      <w:r w:rsidR="001C2F20">
        <w:t>partially integrated. There are some instances, such as updating second and third</w:t>
      </w:r>
      <w:r w:rsidR="00F221B4">
        <w:t xml:space="preserve"> brown </w:t>
      </w:r>
      <w:proofErr w:type="gramStart"/>
      <w:r w:rsidR="00F221B4">
        <w:t>bins, that</w:t>
      </w:r>
      <w:proofErr w:type="gramEnd"/>
      <w:r w:rsidR="00F221B4">
        <w:t xml:space="preserve"> still require</w:t>
      </w:r>
      <w:r w:rsidR="001C2F20">
        <w:t xml:space="preserve"> manual intervention by the Environmental Support team.</w:t>
      </w:r>
    </w:p>
    <w:p w:rsidR="008A2B9D" w:rsidRDefault="008A2B9D" w:rsidP="008A2B9D">
      <w:pPr>
        <w:keepNext/>
      </w:pPr>
    </w:p>
    <w:p w:rsidR="008A2B9D" w:rsidRDefault="008A2B9D" w:rsidP="008A2B9D">
      <w:pPr>
        <w:keepNext/>
        <w:ind w:left="1260" w:hanging="1260"/>
      </w:pPr>
      <w:r>
        <w:t>2.2.7</w:t>
      </w:r>
      <w:r>
        <w:tab/>
        <w:t xml:space="preserve">There has been a small increase in the number of reported garden waste fly tips </w:t>
      </w:r>
      <w:r w:rsidR="001C2F20">
        <w:t xml:space="preserve">(as recorded on Waste Data Flow) </w:t>
      </w:r>
      <w:r>
        <w:t xml:space="preserve">that are of a small van size or less. However, the levels are low and are not of </w:t>
      </w:r>
      <w:r w:rsidR="00AF60F1">
        <w:t xml:space="preserve">undue </w:t>
      </w:r>
      <w:r>
        <w:t xml:space="preserve">concern to Officers. It should be noted that the Hertfordshire Waste Partnership Fly Tipping Group, is currently undertaking a county-wide campaign on fly tipping to ensure residents are aware of their duty of care for their waste.  The Environmental Strategy Manager is the lead for this promotional campaign, so any publicity materials will be widely promoted in Three Rivers with the assistance of the Enforcement, Community Safety and Communications teams. £22,000 of Police Crime Commissioner funding was approved for this campaign, with the remaining £10,000 coming from the WasteAware budget. </w:t>
      </w:r>
    </w:p>
    <w:p w:rsidR="008A2B9D" w:rsidRDefault="008A2B9D" w:rsidP="008A2B9D">
      <w:pPr>
        <w:keepNext/>
      </w:pPr>
    </w:p>
    <w:p w:rsidR="008A2B9D" w:rsidRDefault="008A2B9D" w:rsidP="008A2B9D">
      <w:pPr>
        <w:keepNext/>
        <w:ind w:left="1260" w:hanging="1260"/>
      </w:pPr>
      <w:r>
        <w:t>2.2.8</w:t>
      </w:r>
      <w:r>
        <w:tab/>
        <w:t xml:space="preserve">The recycling rate in Three Rivers increased by 2.5% in 2016/17, from 59.4% in 2015/16 to 61.9%, although the composting rate on its own decreased.  However this only decreased by 305 tonnes compared with the previous year, which was more than compensated for by an increase in recycling tonnage (868 tonnes) and a reduction of residual waste (1,051 tonnes). Three Rivers continues to have the highest recycling rate in Hertfordshire. </w:t>
      </w:r>
    </w:p>
    <w:p w:rsidR="008A2B9D" w:rsidRDefault="008A2B9D" w:rsidP="008A2B9D">
      <w:pPr>
        <w:keepNext/>
        <w:ind w:left="1267" w:hanging="1267"/>
      </w:pPr>
    </w:p>
    <w:p w:rsidR="008A2B9D" w:rsidRDefault="008A2B9D" w:rsidP="008A2B9D">
      <w:pPr>
        <w:keepNext/>
        <w:ind w:left="1267" w:hanging="1267"/>
      </w:pPr>
      <w:r>
        <w:t>2.2.9</w:t>
      </w:r>
      <w:r>
        <w:tab/>
        <w:t xml:space="preserve">Since the charge has been introduced in Three Rivers two other </w:t>
      </w:r>
      <w:r w:rsidR="005F1F05">
        <w:t>A</w:t>
      </w:r>
      <w:r>
        <w:t>uthorities in Hertfordshire have also started charging in a similar way; Welwyn Hatfield Borough Council (although no separate collection of food waste is offered), and Broxbourne Borough Council. Watford Borough Council and Dacorum Borough Council each offer one bin free of charge, with additional bins req</w:t>
      </w:r>
      <w:r w:rsidR="00D3264B">
        <w:t>uiring payment</w:t>
      </w:r>
      <w:r>
        <w:t xml:space="preserve"> (See Appendix </w:t>
      </w:r>
      <w:bookmarkStart w:id="0" w:name="_GoBack"/>
      <w:bookmarkEnd w:id="0"/>
      <w:r>
        <w:t>A for a comparison of current charges)</w:t>
      </w:r>
      <w:r w:rsidR="00D3264B">
        <w:t>.</w:t>
      </w:r>
    </w:p>
    <w:p w:rsidR="008A2B9D" w:rsidRDefault="008A2B9D" w:rsidP="008A2B9D">
      <w:pPr>
        <w:keepNext/>
        <w:ind w:left="1267" w:hanging="1267"/>
      </w:pPr>
    </w:p>
    <w:p w:rsidR="008A2B9D" w:rsidRDefault="008A2B9D" w:rsidP="008A2B9D">
      <w:pPr>
        <w:keepNext/>
        <w:ind w:left="1267" w:hanging="1267"/>
      </w:pPr>
      <w:r>
        <w:t>2.2.10</w:t>
      </w:r>
      <w:r>
        <w:tab/>
      </w:r>
      <w:proofErr w:type="gramStart"/>
      <w:r>
        <w:t>At</w:t>
      </w:r>
      <w:proofErr w:type="gramEnd"/>
      <w:r>
        <w:t xml:space="preserve"> the current time the charges of Three Rivers, Welwyn and Broxbourne are broadly similar, although Three Rivers offers concessions and part year reductions.  </w:t>
      </w:r>
    </w:p>
    <w:p w:rsidR="008A2B9D" w:rsidRDefault="008A2B9D" w:rsidP="008A2B9D">
      <w:pPr>
        <w:keepNext/>
        <w:ind w:left="1267" w:hanging="1267"/>
      </w:pPr>
    </w:p>
    <w:p w:rsidR="008A2B9D" w:rsidRDefault="008A2B9D" w:rsidP="008A2B9D">
      <w:pPr>
        <w:keepNext/>
        <w:ind w:left="1267" w:hanging="1267"/>
      </w:pPr>
      <w:r>
        <w:t>2.2.11</w:t>
      </w:r>
      <w:r>
        <w:tab/>
      </w:r>
      <w:r>
        <w:tab/>
      </w:r>
      <w:proofErr w:type="gramStart"/>
      <w:r>
        <w:t>Having</w:t>
      </w:r>
      <w:proofErr w:type="gramEnd"/>
      <w:r>
        <w:t xml:space="preserve"> consulted the other District/Boroughs none are considering reviewing their charges at the current time, although it should be noted they are in effect ‘a year behind’ TRDC in this regard and this is subject to change. </w:t>
      </w:r>
    </w:p>
    <w:p w:rsidR="008A2B9D" w:rsidRPr="001E222D" w:rsidRDefault="008A2B9D" w:rsidP="008A2B9D">
      <w:pPr>
        <w:keepNext/>
        <w:ind w:left="1267" w:hanging="1267"/>
        <w:rPr>
          <w:sz w:val="18"/>
          <w:szCs w:val="18"/>
        </w:rPr>
      </w:pPr>
    </w:p>
    <w:p w:rsidR="008A2B9D" w:rsidRPr="001E222D" w:rsidRDefault="008A2B9D" w:rsidP="008A2B9D">
      <w:pPr>
        <w:keepNext/>
        <w:ind w:left="1267" w:hanging="1267"/>
        <w:rPr>
          <w:sz w:val="18"/>
          <w:szCs w:val="18"/>
        </w:rPr>
      </w:pPr>
      <w:r>
        <w:lastRenderedPageBreak/>
        <w:t>2.2.12</w:t>
      </w:r>
      <w:r>
        <w:tab/>
        <w:t>H</w:t>
      </w:r>
      <w:r w:rsidR="0050543A">
        <w:t xml:space="preserve">ertfordshire </w:t>
      </w:r>
      <w:r>
        <w:t>C</w:t>
      </w:r>
      <w:r w:rsidR="0050543A">
        <w:t xml:space="preserve">ounty </w:t>
      </w:r>
      <w:r>
        <w:t>C</w:t>
      </w:r>
      <w:r w:rsidR="0050543A">
        <w:t>ouncil</w:t>
      </w:r>
      <w:r>
        <w:t xml:space="preserve"> a</w:t>
      </w:r>
      <w:r w:rsidR="0050543A">
        <w:t>re the client on behalf of the Boroughs/Di</w:t>
      </w:r>
      <w:r>
        <w:t xml:space="preserve">stricts when it comes to arranging disposal of organic waste, be </w:t>
      </w:r>
      <w:r w:rsidR="006474A4">
        <w:t>th</w:t>
      </w:r>
      <w:r>
        <w:t>at via windrow, anaerobic digestion or in-vessel composting.  They have to ensure the right tonnage and mix of material is sent to the right f</w:t>
      </w:r>
      <w:r w:rsidR="001E222D">
        <w:t>acility.</w:t>
      </w:r>
    </w:p>
    <w:p w:rsidR="008A2B9D" w:rsidRPr="001E222D" w:rsidRDefault="008A2B9D" w:rsidP="008A2B9D">
      <w:pPr>
        <w:keepNext/>
        <w:rPr>
          <w:sz w:val="18"/>
          <w:szCs w:val="18"/>
        </w:rPr>
      </w:pPr>
    </w:p>
    <w:p w:rsidR="006474A4" w:rsidRPr="001E222D" w:rsidRDefault="008A2B9D" w:rsidP="006474A4">
      <w:pPr>
        <w:keepNext/>
        <w:ind w:left="1267" w:hanging="1267"/>
        <w:rPr>
          <w:sz w:val="18"/>
          <w:szCs w:val="18"/>
        </w:rPr>
      </w:pPr>
      <w:r>
        <w:t>2.2.13</w:t>
      </w:r>
      <w:r>
        <w:tab/>
      </w:r>
      <w:r w:rsidRPr="00415650">
        <w:t>The West London Composting contract for windrow composting</w:t>
      </w:r>
      <w:r>
        <w:t>, used by T</w:t>
      </w:r>
      <w:r w:rsidR="0050543A">
        <w:t xml:space="preserve">hree </w:t>
      </w:r>
      <w:r>
        <w:t>R</w:t>
      </w:r>
      <w:r w:rsidR="0050543A">
        <w:t>ivers,</w:t>
      </w:r>
      <w:r w:rsidRPr="00415650">
        <w:t xml:space="preserve"> is currently being considered</w:t>
      </w:r>
      <w:r>
        <w:t>, by Hertfordshire County Council,</w:t>
      </w:r>
      <w:r w:rsidRPr="00415650">
        <w:t xml:space="preserve"> for extension (by one year) from the current expiry date of 7 April 2018.</w:t>
      </w:r>
      <w:r>
        <w:t xml:space="preserve">  Once this contract expires H</w:t>
      </w:r>
      <w:r w:rsidR="006474A4">
        <w:t xml:space="preserve">ertfordshire </w:t>
      </w:r>
      <w:r>
        <w:t>C</w:t>
      </w:r>
      <w:r w:rsidR="006474A4">
        <w:t xml:space="preserve">ounty </w:t>
      </w:r>
      <w:r>
        <w:t>C</w:t>
      </w:r>
      <w:r w:rsidR="006474A4">
        <w:t>ouncil</w:t>
      </w:r>
      <w:r>
        <w:t xml:space="preserve"> may request our garden waste tonnage is delivered to an alternative processing facility.  This is an operational matter and will require further discussion between T</w:t>
      </w:r>
      <w:r w:rsidR="006474A4">
        <w:t>hree Rivers and the County Council</w:t>
      </w:r>
      <w:r>
        <w:t xml:space="preserve"> using recent round optimisation work, funded by the Hertfordshire Waste Partnership, and local knowledge and trials to determine if it is possible. </w:t>
      </w:r>
      <w:r w:rsidR="001C2F20">
        <w:t>The County Council</w:t>
      </w:r>
      <w:r w:rsidR="006474A4">
        <w:t xml:space="preserve"> pay a contribution to the costs of delivering to facilities that are unreasonably far from the administrative area through a transport subsidy, so if directed elsewhere it is likely these payments would increase.</w:t>
      </w:r>
    </w:p>
    <w:p w:rsidR="008A2B9D" w:rsidRPr="001E222D" w:rsidRDefault="008A2B9D" w:rsidP="008A2B9D">
      <w:pPr>
        <w:keepNext/>
        <w:ind w:left="1267" w:hanging="1267"/>
        <w:rPr>
          <w:sz w:val="18"/>
          <w:szCs w:val="18"/>
        </w:rPr>
      </w:pPr>
    </w:p>
    <w:p w:rsidR="008A2B9D" w:rsidRDefault="008A2B9D" w:rsidP="00237E81">
      <w:pPr>
        <w:keepNext/>
        <w:ind w:left="1267" w:hanging="1267"/>
      </w:pPr>
      <w:r>
        <w:t>2.2.14</w:t>
      </w:r>
      <w:r>
        <w:tab/>
        <w:t>Updated Terms and Conditions are included as Appendix B, however the charges are subject to change.  There is a separate report on this. The main change</w:t>
      </w:r>
      <w:r w:rsidR="00237E81">
        <w:t>s</w:t>
      </w:r>
      <w:r w:rsidR="004C46D2">
        <w:t xml:space="preserve"> to the Terms and Conditions are</w:t>
      </w:r>
      <w:r>
        <w:t xml:space="preserve"> an update in wording to clau</w:t>
      </w:r>
      <w:r w:rsidR="0050543A">
        <w:t>s</w:t>
      </w:r>
      <w:r>
        <w:t>e</w:t>
      </w:r>
      <w:r w:rsidR="00237E81">
        <w:t xml:space="preserve">s </w:t>
      </w:r>
      <w:r w:rsidR="009F4DD5">
        <w:t>5</w:t>
      </w:r>
      <w:r w:rsidR="00237E81">
        <w:t xml:space="preserve"> and</w:t>
      </w:r>
      <w:r>
        <w:t xml:space="preserve"> 8</w:t>
      </w:r>
      <w:r w:rsidR="009F4DD5">
        <w:t xml:space="preserve"> and the introduction of Clause 20</w:t>
      </w:r>
      <w:r>
        <w:t xml:space="preserve">. </w:t>
      </w:r>
      <w:r w:rsidR="00237E81">
        <w:t xml:space="preserve">Clause </w:t>
      </w:r>
      <w:r w:rsidR="009F4DD5">
        <w:t>5</w:t>
      </w:r>
      <w:r w:rsidR="00237E81">
        <w:t xml:space="preserve"> has minor wording change to ensure residents know the new price (to be confirmed) includes a reduction for payment by Direct Debit.  Clause 8 has been amended </w:t>
      </w:r>
      <w:r>
        <w:t xml:space="preserve">to ensure residents understand the difference between our </w:t>
      </w:r>
      <w:r w:rsidR="00237E81">
        <w:t xml:space="preserve">£5 charge and the change in law re </w:t>
      </w:r>
      <w:r>
        <w:t xml:space="preserve">card handling payments. </w:t>
      </w:r>
      <w:r w:rsidR="00237E81">
        <w:t xml:space="preserve">Clause 20 has been added to discourage the practice of residents supplying Direct Debit details to avoid paying the £5 charge, and subsequently cancelling the Direct Debit.  The Council wants to encourage all residents to pay by Direct Debit. </w:t>
      </w:r>
      <w:r w:rsidR="009F4DD5">
        <w:t xml:space="preserve"> Clause 6 will also be updated with the new price once confirmed. </w:t>
      </w:r>
    </w:p>
    <w:p w:rsidR="008A2B9D" w:rsidRPr="001E222D" w:rsidRDefault="008A2B9D" w:rsidP="008A2B9D">
      <w:pPr>
        <w:keepNext/>
        <w:rPr>
          <w:sz w:val="18"/>
          <w:szCs w:val="18"/>
        </w:rPr>
      </w:pPr>
      <w:r w:rsidRPr="001E222D">
        <w:rPr>
          <w:sz w:val="18"/>
          <w:szCs w:val="18"/>
        </w:rPr>
        <w:fldChar w:fldCharType="begin"/>
      </w:r>
      <w:r w:rsidRPr="001E222D">
        <w:rPr>
          <w:sz w:val="18"/>
          <w:szCs w:val="18"/>
        </w:rPr>
        <w:instrText xml:space="preserve">  </w:instrText>
      </w:r>
      <w:r w:rsidRPr="001E222D">
        <w:rPr>
          <w:sz w:val="18"/>
          <w:szCs w:val="18"/>
        </w:rPr>
        <w:fldChar w:fldCharType="end"/>
      </w:r>
    </w:p>
    <w:p w:rsidR="008A2B9D" w:rsidRDefault="008A2B9D" w:rsidP="008A2B9D">
      <w:pPr>
        <w:keepNext/>
        <w:ind w:left="1267" w:hanging="1267"/>
        <w:rPr>
          <w:b/>
        </w:rPr>
      </w:pPr>
      <w:r>
        <w:t>3.</w:t>
      </w:r>
      <w:r>
        <w:tab/>
      </w:r>
      <w:r>
        <w:rPr>
          <w:b/>
        </w:rPr>
        <w:t>Options/Reasons for Recommendation</w:t>
      </w:r>
    </w:p>
    <w:p w:rsidR="008A2B9D" w:rsidRPr="001E222D" w:rsidRDefault="008A2B9D" w:rsidP="008A2B9D">
      <w:pPr>
        <w:keepNext/>
        <w:ind w:left="1267" w:hanging="1267"/>
        <w:rPr>
          <w:sz w:val="18"/>
          <w:szCs w:val="18"/>
        </w:rPr>
      </w:pPr>
    </w:p>
    <w:p w:rsidR="008A2B9D" w:rsidRDefault="008A2B9D" w:rsidP="008A2B9D">
      <w:pPr>
        <w:keepNext/>
        <w:ind w:left="1267" w:hanging="1267"/>
        <w:rPr>
          <w:color w:val="FF0000"/>
        </w:rPr>
      </w:pPr>
      <w:r>
        <w:t>3.1</w:t>
      </w:r>
      <w:r>
        <w:tab/>
      </w:r>
      <w:r w:rsidRPr="00F221B4">
        <w:t xml:space="preserve">The Terms and Conditions have been reviewed and updated to </w:t>
      </w:r>
      <w:r w:rsidR="00237E81">
        <w:t xml:space="preserve">ensure residents </w:t>
      </w:r>
      <w:r w:rsidR="00237E81" w:rsidRPr="00237E81">
        <w:t xml:space="preserve">are fully aware of the £5 administration charge, the explanation of card handling fees and the discounted Direct Debit fee. </w:t>
      </w:r>
    </w:p>
    <w:p w:rsidR="008A2B9D" w:rsidRPr="005F1F05" w:rsidRDefault="008A2B9D" w:rsidP="008A2B9D">
      <w:pPr>
        <w:keepNext/>
        <w:ind w:left="1267" w:hanging="1267"/>
        <w:rPr>
          <w:color w:val="FF0000"/>
          <w:sz w:val="18"/>
          <w:szCs w:val="18"/>
        </w:rPr>
      </w:pPr>
      <w:r>
        <w:rPr>
          <w:color w:val="FF0000"/>
        </w:rPr>
        <w:tab/>
      </w:r>
    </w:p>
    <w:p w:rsidR="008A2B9D" w:rsidRDefault="008A2B9D" w:rsidP="008A2B9D">
      <w:pPr>
        <w:keepNext/>
        <w:ind w:left="1267" w:hanging="1267"/>
      </w:pPr>
      <w:r>
        <w:t>4.</w:t>
      </w:r>
      <w:r>
        <w:tab/>
      </w:r>
      <w:r>
        <w:rPr>
          <w:b/>
        </w:rPr>
        <w:t>Policy/Budget Reference and Implications</w:t>
      </w:r>
    </w:p>
    <w:p w:rsidR="008A2B9D" w:rsidRPr="005F1F05" w:rsidRDefault="008A2B9D" w:rsidP="008A2B9D">
      <w:pPr>
        <w:ind w:left="1267" w:hanging="1267"/>
        <w:rPr>
          <w:sz w:val="18"/>
          <w:szCs w:val="18"/>
        </w:rPr>
      </w:pPr>
    </w:p>
    <w:p w:rsidR="008A2B9D" w:rsidRPr="0020324A" w:rsidRDefault="008A2B9D" w:rsidP="008A2B9D">
      <w:pPr>
        <w:ind w:left="1267" w:hanging="1267"/>
        <w:rPr>
          <w:b/>
          <w:i/>
          <w:color w:val="008000"/>
          <w:sz w:val="18"/>
          <w:szCs w:val="18"/>
        </w:rPr>
      </w:pPr>
      <w:r>
        <w:t>4.1</w:t>
      </w:r>
      <w:r>
        <w:tab/>
        <w:t>None specific</w:t>
      </w:r>
      <w:r w:rsidR="005F1F05">
        <w:t>.</w:t>
      </w:r>
    </w:p>
    <w:p w:rsidR="008A2B9D" w:rsidRPr="0020324A" w:rsidRDefault="008A2B9D" w:rsidP="008A2B9D">
      <w:pPr>
        <w:rPr>
          <w:b/>
          <w:sz w:val="18"/>
          <w:szCs w:val="18"/>
        </w:rPr>
      </w:pPr>
    </w:p>
    <w:p w:rsidR="008A2B9D" w:rsidRPr="00790195" w:rsidRDefault="008A2B9D" w:rsidP="008A2B9D">
      <w:pPr>
        <w:keepNext/>
        <w:ind w:left="1267" w:hanging="1267"/>
      </w:pPr>
      <w:r>
        <w:t>5.</w:t>
      </w:r>
      <w:r>
        <w:tab/>
      </w:r>
      <w:r>
        <w:rPr>
          <w:b/>
        </w:rPr>
        <w:t>Financial Implications</w:t>
      </w:r>
      <w:r>
        <w:fldChar w:fldCharType="begin"/>
      </w:r>
      <w:r>
        <w:instrText xml:space="preserve">  </w:instrText>
      </w:r>
      <w:r>
        <w:fldChar w:fldCharType="end"/>
      </w:r>
    </w:p>
    <w:p w:rsidR="008A2B9D" w:rsidRPr="005F1F05" w:rsidRDefault="008A2B9D" w:rsidP="008A2B9D">
      <w:pPr>
        <w:rPr>
          <w:sz w:val="18"/>
          <w:szCs w:val="18"/>
        </w:rPr>
      </w:pPr>
    </w:p>
    <w:p w:rsidR="008A2B9D" w:rsidRPr="001E222D" w:rsidRDefault="00F221B4" w:rsidP="00F221B4">
      <w:pPr>
        <w:tabs>
          <w:tab w:val="clear" w:pos="1260"/>
          <w:tab w:val="left" w:pos="1276"/>
        </w:tabs>
        <w:ind w:left="1267" w:hanging="1267"/>
        <w:rPr>
          <w:sz w:val="18"/>
          <w:szCs w:val="18"/>
        </w:rPr>
      </w:pPr>
      <w:r>
        <w:t>5.1</w:t>
      </w:r>
      <w:r>
        <w:tab/>
        <w:t>The initial income target set for Garden waste when it was introduced in 2016/17 was £248,900. This was reviewed and adjusted to £584,000 as demand grew beyond initial expectations. The 2017/18 income target</w:t>
      </w:r>
      <w:r w:rsidR="00D3264B">
        <w:t xml:space="preserve"> at</w:t>
      </w:r>
      <w:r>
        <w:t xml:space="preserve"> the start of the year was £798,000. This has been revised to £828,000 and we have</w:t>
      </w:r>
      <w:r w:rsidR="00D3264B">
        <w:t>,</w:t>
      </w:r>
      <w:r>
        <w:t xml:space="preserve"> as at</w:t>
      </w:r>
      <w:r w:rsidR="00D3264B">
        <w:t xml:space="preserve"> end of</w:t>
      </w:r>
      <w:r>
        <w:t xml:space="preserve"> October</w:t>
      </w:r>
      <w:r w:rsidR="00D3264B">
        <w:t>,</w:t>
      </w:r>
      <w:r>
        <w:t xml:space="preserve"> collected actuals of £842,</w:t>
      </w:r>
      <w:r w:rsidR="001E222D">
        <w:t>761.</w:t>
      </w:r>
    </w:p>
    <w:tbl>
      <w:tblPr>
        <w:tblW w:w="8480" w:type="dxa"/>
        <w:tblInd w:w="93" w:type="dxa"/>
        <w:tblLook w:val="04A0" w:firstRow="1" w:lastRow="0" w:firstColumn="1" w:lastColumn="0" w:noHBand="0" w:noVBand="1"/>
      </w:tblPr>
      <w:tblGrid>
        <w:gridCol w:w="1580"/>
        <w:gridCol w:w="1200"/>
        <w:gridCol w:w="1420"/>
        <w:gridCol w:w="1240"/>
        <w:gridCol w:w="960"/>
        <w:gridCol w:w="2080"/>
      </w:tblGrid>
      <w:tr w:rsidR="00145CB3" w:rsidRPr="001E222D" w:rsidTr="0020324A">
        <w:trPr>
          <w:trHeight w:val="249"/>
        </w:trPr>
        <w:tc>
          <w:tcPr>
            <w:tcW w:w="1580" w:type="dxa"/>
            <w:tcBorders>
              <w:top w:val="nil"/>
              <w:left w:val="nil"/>
              <w:bottom w:val="nil"/>
              <w:right w:val="nil"/>
            </w:tcBorders>
            <w:shd w:val="clear" w:color="auto" w:fill="auto"/>
            <w:noWrap/>
            <w:vAlign w:val="bottom"/>
            <w:hideMark/>
          </w:tcPr>
          <w:p w:rsidR="00145CB3" w:rsidRPr="001E222D" w:rsidRDefault="00145CB3" w:rsidP="00F14038">
            <w:pPr>
              <w:tabs>
                <w:tab w:val="clear" w:pos="1260"/>
                <w:tab w:val="clear" w:pos="1980"/>
                <w:tab w:val="clear" w:pos="2700"/>
                <w:tab w:val="clear" w:pos="3420"/>
              </w:tabs>
              <w:jc w:val="left"/>
              <w:rPr>
                <w:rFonts w:cs="Arial"/>
                <w:b/>
                <w:color w:val="000000"/>
                <w:sz w:val="18"/>
                <w:szCs w:val="18"/>
              </w:rPr>
            </w:pPr>
          </w:p>
        </w:tc>
        <w:tc>
          <w:tcPr>
            <w:tcW w:w="1200" w:type="dxa"/>
            <w:tcBorders>
              <w:top w:val="nil"/>
              <w:left w:val="nil"/>
              <w:bottom w:val="single" w:sz="8" w:space="0" w:color="808080"/>
              <w:right w:val="nil"/>
            </w:tcBorders>
            <w:shd w:val="clear" w:color="auto" w:fill="auto"/>
            <w:noWrap/>
            <w:vAlign w:val="bottom"/>
            <w:hideMark/>
          </w:tcPr>
          <w:p w:rsidR="00145CB3" w:rsidRPr="001E222D" w:rsidRDefault="00145CB3" w:rsidP="00F14038">
            <w:pPr>
              <w:tabs>
                <w:tab w:val="clear" w:pos="1260"/>
                <w:tab w:val="clear" w:pos="1980"/>
                <w:tab w:val="clear" w:pos="2700"/>
                <w:tab w:val="clear" w:pos="3420"/>
              </w:tabs>
              <w:jc w:val="left"/>
              <w:rPr>
                <w:rFonts w:cs="Arial"/>
                <w:color w:val="000000"/>
                <w:sz w:val="18"/>
                <w:szCs w:val="18"/>
              </w:rPr>
            </w:pPr>
            <w:r w:rsidRPr="001E222D">
              <w:rPr>
                <w:rFonts w:cs="Arial"/>
                <w:color w:val="000000"/>
                <w:sz w:val="18"/>
                <w:szCs w:val="18"/>
              </w:rPr>
              <w:t> </w:t>
            </w:r>
          </w:p>
        </w:tc>
        <w:tc>
          <w:tcPr>
            <w:tcW w:w="1420" w:type="dxa"/>
            <w:tcBorders>
              <w:top w:val="nil"/>
              <w:left w:val="nil"/>
              <w:bottom w:val="single" w:sz="8" w:space="0" w:color="808080"/>
              <w:right w:val="nil"/>
            </w:tcBorders>
            <w:shd w:val="clear" w:color="auto" w:fill="auto"/>
            <w:noWrap/>
            <w:vAlign w:val="bottom"/>
            <w:hideMark/>
          </w:tcPr>
          <w:p w:rsidR="00145CB3" w:rsidRPr="001E222D" w:rsidRDefault="00145CB3" w:rsidP="00F14038">
            <w:pPr>
              <w:tabs>
                <w:tab w:val="clear" w:pos="1260"/>
                <w:tab w:val="clear" w:pos="1980"/>
                <w:tab w:val="clear" w:pos="2700"/>
                <w:tab w:val="clear" w:pos="3420"/>
              </w:tabs>
              <w:jc w:val="left"/>
              <w:rPr>
                <w:rFonts w:cs="Arial"/>
                <w:color w:val="000000"/>
                <w:sz w:val="18"/>
                <w:szCs w:val="18"/>
              </w:rPr>
            </w:pPr>
            <w:r w:rsidRPr="001E222D">
              <w:rPr>
                <w:rFonts w:cs="Arial"/>
                <w:color w:val="000000"/>
                <w:sz w:val="18"/>
                <w:szCs w:val="18"/>
              </w:rPr>
              <w:t> </w:t>
            </w:r>
          </w:p>
        </w:tc>
        <w:tc>
          <w:tcPr>
            <w:tcW w:w="1240" w:type="dxa"/>
            <w:tcBorders>
              <w:top w:val="nil"/>
              <w:left w:val="nil"/>
              <w:bottom w:val="single" w:sz="8" w:space="0" w:color="808080"/>
              <w:right w:val="nil"/>
            </w:tcBorders>
            <w:shd w:val="clear" w:color="auto" w:fill="auto"/>
            <w:noWrap/>
            <w:vAlign w:val="bottom"/>
            <w:hideMark/>
          </w:tcPr>
          <w:p w:rsidR="00145CB3" w:rsidRPr="001E222D" w:rsidRDefault="00145CB3" w:rsidP="00F14038">
            <w:pPr>
              <w:tabs>
                <w:tab w:val="clear" w:pos="1260"/>
                <w:tab w:val="clear" w:pos="1980"/>
                <w:tab w:val="clear" w:pos="2700"/>
                <w:tab w:val="clear" w:pos="3420"/>
              </w:tabs>
              <w:jc w:val="left"/>
              <w:rPr>
                <w:rFonts w:cs="Arial"/>
                <w:color w:val="000000"/>
                <w:sz w:val="18"/>
                <w:szCs w:val="18"/>
              </w:rPr>
            </w:pPr>
            <w:r w:rsidRPr="001E222D">
              <w:rPr>
                <w:rFonts w:cs="Arial"/>
                <w:color w:val="000000"/>
                <w:sz w:val="18"/>
                <w:szCs w:val="18"/>
              </w:rPr>
              <w:t> </w:t>
            </w:r>
          </w:p>
        </w:tc>
        <w:tc>
          <w:tcPr>
            <w:tcW w:w="960" w:type="dxa"/>
            <w:tcBorders>
              <w:top w:val="nil"/>
              <w:left w:val="nil"/>
              <w:bottom w:val="single" w:sz="8" w:space="0" w:color="808080"/>
              <w:right w:val="nil"/>
            </w:tcBorders>
            <w:shd w:val="clear" w:color="auto" w:fill="auto"/>
            <w:noWrap/>
            <w:vAlign w:val="bottom"/>
            <w:hideMark/>
          </w:tcPr>
          <w:p w:rsidR="00145CB3" w:rsidRPr="001E222D" w:rsidRDefault="00145CB3" w:rsidP="00F14038">
            <w:pPr>
              <w:tabs>
                <w:tab w:val="clear" w:pos="1260"/>
                <w:tab w:val="clear" w:pos="1980"/>
                <w:tab w:val="clear" w:pos="2700"/>
                <w:tab w:val="clear" w:pos="3420"/>
              </w:tabs>
              <w:jc w:val="left"/>
              <w:rPr>
                <w:rFonts w:cs="Arial"/>
                <w:color w:val="000000"/>
                <w:sz w:val="18"/>
                <w:szCs w:val="18"/>
              </w:rPr>
            </w:pPr>
            <w:r w:rsidRPr="001E222D">
              <w:rPr>
                <w:rFonts w:cs="Arial"/>
                <w:color w:val="000000"/>
                <w:sz w:val="18"/>
                <w:szCs w:val="18"/>
              </w:rPr>
              <w:t> </w:t>
            </w:r>
          </w:p>
        </w:tc>
        <w:tc>
          <w:tcPr>
            <w:tcW w:w="2080" w:type="dxa"/>
            <w:tcBorders>
              <w:top w:val="nil"/>
              <w:left w:val="nil"/>
              <w:bottom w:val="single" w:sz="8" w:space="0" w:color="808080"/>
              <w:right w:val="nil"/>
            </w:tcBorders>
            <w:shd w:val="clear" w:color="auto" w:fill="auto"/>
            <w:noWrap/>
            <w:vAlign w:val="bottom"/>
            <w:hideMark/>
          </w:tcPr>
          <w:p w:rsidR="00145CB3" w:rsidRPr="001E222D" w:rsidRDefault="00145CB3" w:rsidP="00F14038">
            <w:pPr>
              <w:tabs>
                <w:tab w:val="clear" w:pos="1260"/>
                <w:tab w:val="clear" w:pos="1980"/>
                <w:tab w:val="clear" w:pos="2700"/>
                <w:tab w:val="clear" w:pos="3420"/>
              </w:tabs>
              <w:jc w:val="left"/>
              <w:rPr>
                <w:rFonts w:cs="Arial"/>
                <w:color w:val="000000"/>
                <w:sz w:val="18"/>
                <w:szCs w:val="18"/>
              </w:rPr>
            </w:pPr>
            <w:r w:rsidRPr="001E222D">
              <w:rPr>
                <w:rFonts w:cs="Arial"/>
                <w:color w:val="000000"/>
                <w:sz w:val="18"/>
                <w:szCs w:val="18"/>
              </w:rPr>
              <w:t> </w:t>
            </w:r>
          </w:p>
        </w:tc>
      </w:tr>
      <w:tr w:rsidR="00145CB3" w:rsidRPr="004F5CD0" w:rsidTr="00F14038">
        <w:trPr>
          <w:trHeight w:val="600"/>
        </w:trPr>
        <w:tc>
          <w:tcPr>
            <w:tcW w:w="1580" w:type="dxa"/>
            <w:tcBorders>
              <w:top w:val="nil"/>
              <w:left w:val="nil"/>
              <w:bottom w:val="nil"/>
              <w:right w:val="single" w:sz="8" w:space="0" w:color="808080"/>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left"/>
              <w:rPr>
                <w:rFonts w:cs="Arial"/>
                <w:color w:val="000000"/>
                <w:sz w:val="20"/>
              </w:rPr>
            </w:pPr>
            <w:r w:rsidRPr="00145CB3">
              <w:rPr>
                <w:rFonts w:cs="Arial"/>
                <w:color w:val="000000"/>
                <w:sz w:val="20"/>
              </w:rPr>
              <w:t> </w:t>
            </w:r>
          </w:p>
        </w:tc>
        <w:tc>
          <w:tcPr>
            <w:tcW w:w="120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left"/>
              <w:rPr>
                <w:rFonts w:cs="Arial"/>
                <w:color w:val="000000"/>
                <w:sz w:val="20"/>
              </w:rPr>
            </w:pPr>
          </w:p>
        </w:tc>
        <w:tc>
          <w:tcPr>
            <w:tcW w:w="1420" w:type="dxa"/>
            <w:tcBorders>
              <w:top w:val="nil"/>
              <w:left w:val="nil"/>
              <w:bottom w:val="nil"/>
              <w:right w:val="nil"/>
            </w:tcBorders>
            <w:shd w:val="clear" w:color="auto" w:fill="auto"/>
            <w:vAlign w:val="bottom"/>
            <w:hideMark/>
          </w:tcPr>
          <w:p w:rsidR="00145CB3" w:rsidRPr="00145CB3" w:rsidRDefault="00145CB3" w:rsidP="00F14038">
            <w:pPr>
              <w:tabs>
                <w:tab w:val="clear" w:pos="1260"/>
                <w:tab w:val="clear" w:pos="1980"/>
                <w:tab w:val="clear" w:pos="2700"/>
                <w:tab w:val="clear" w:pos="3420"/>
              </w:tabs>
              <w:jc w:val="center"/>
              <w:rPr>
                <w:rFonts w:cs="Arial"/>
                <w:b/>
                <w:bCs/>
                <w:color w:val="000000"/>
                <w:sz w:val="20"/>
              </w:rPr>
            </w:pPr>
            <w:r w:rsidRPr="00145CB3">
              <w:rPr>
                <w:rFonts w:cs="Arial"/>
                <w:b/>
                <w:bCs/>
                <w:color w:val="000000"/>
                <w:sz w:val="20"/>
              </w:rPr>
              <w:t xml:space="preserve">Original Budget </w:t>
            </w:r>
          </w:p>
        </w:tc>
        <w:tc>
          <w:tcPr>
            <w:tcW w:w="1240" w:type="dxa"/>
            <w:tcBorders>
              <w:top w:val="nil"/>
              <w:left w:val="nil"/>
              <w:bottom w:val="nil"/>
              <w:right w:val="nil"/>
            </w:tcBorders>
            <w:shd w:val="clear" w:color="auto" w:fill="auto"/>
            <w:vAlign w:val="bottom"/>
            <w:hideMark/>
          </w:tcPr>
          <w:p w:rsidR="00145CB3" w:rsidRPr="00145CB3" w:rsidRDefault="00145CB3" w:rsidP="00F14038">
            <w:pPr>
              <w:tabs>
                <w:tab w:val="clear" w:pos="1260"/>
                <w:tab w:val="clear" w:pos="1980"/>
                <w:tab w:val="clear" w:pos="2700"/>
                <w:tab w:val="clear" w:pos="3420"/>
              </w:tabs>
              <w:jc w:val="center"/>
              <w:rPr>
                <w:rFonts w:cs="Arial"/>
                <w:b/>
                <w:bCs/>
                <w:color w:val="000000"/>
                <w:sz w:val="20"/>
              </w:rPr>
            </w:pPr>
            <w:r w:rsidRPr="00145CB3">
              <w:rPr>
                <w:rFonts w:cs="Arial"/>
                <w:b/>
                <w:bCs/>
                <w:color w:val="000000"/>
                <w:sz w:val="20"/>
              </w:rPr>
              <w:t xml:space="preserve">Latest Budget </w:t>
            </w:r>
          </w:p>
        </w:tc>
        <w:tc>
          <w:tcPr>
            <w:tcW w:w="960" w:type="dxa"/>
            <w:tcBorders>
              <w:top w:val="nil"/>
              <w:left w:val="nil"/>
              <w:bottom w:val="nil"/>
              <w:right w:val="nil"/>
            </w:tcBorders>
            <w:shd w:val="clear" w:color="auto" w:fill="auto"/>
            <w:vAlign w:val="bottom"/>
            <w:hideMark/>
          </w:tcPr>
          <w:p w:rsidR="00145CB3" w:rsidRPr="00145CB3" w:rsidRDefault="00145CB3" w:rsidP="00F14038">
            <w:pPr>
              <w:tabs>
                <w:tab w:val="clear" w:pos="1260"/>
                <w:tab w:val="clear" w:pos="1980"/>
                <w:tab w:val="clear" w:pos="2700"/>
                <w:tab w:val="clear" w:pos="3420"/>
              </w:tabs>
              <w:jc w:val="center"/>
              <w:rPr>
                <w:rFonts w:cs="Arial"/>
                <w:b/>
                <w:bCs/>
                <w:color w:val="000000"/>
                <w:sz w:val="20"/>
              </w:rPr>
            </w:pPr>
            <w:r w:rsidRPr="00145CB3">
              <w:rPr>
                <w:rFonts w:cs="Arial"/>
                <w:b/>
                <w:bCs/>
                <w:color w:val="000000"/>
                <w:sz w:val="20"/>
              </w:rPr>
              <w:t xml:space="preserve">Actuals </w:t>
            </w:r>
          </w:p>
        </w:tc>
        <w:tc>
          <w:tcPr>
            <w:tcW w:w="2080" w:type="dxa"/>
            <w:tcBorders>
              <w:top w:val="nil"/>
              <w:left w:val="nil"/>
              <w:bottom w:val="nil"/>
              <w:right w:val="single" w:sz="8" w:space="0" w:color="808080"/>
            </w:tcBorders>
            <w:shd w:val="clear" w:color="auto" w:fill="auto"/>
            <w:vAlign w:val="bottom"/>
            <w:hideMark/>
          </w:tcPr>
          <w:p w:rsidR="00145CB3" w:rsidRPr="00145CB3" w:rsidRDefault="00145CB3" w:rsidP="00F14038">
            <w:pPr>
              <w:tabs>
                <w:tab w:val="clear" w:pos="1260"/>
                <w:tab w:val="clear" w:pos="1980"/>
                <w:tab w:val="clear" w:pos="2700"/>
                <w:tab w:val="clear" w:pos="3420"/>
              </w:tabs>
              <w:jc w:val="center"/>
              <w:rPr>
                <w:rFonts w:cs="Arial"/>
                <w:b/>
                <w:bCs/>
                <w:color w:val="000000"/>
                <w:sz w:val="20"/>
              </w:rPr>
            </w:pPr>
            <w:r w:rsidRPr="00145CB3">
              <w:rPr>
                <w:rFonts w:cs="Arial"/>
                <w:b/>
                <w:bCs/>
                <w:color w:val="000000"/>
                <w:sz w:val="20"/>
              </w:rPr>
              <w:t xml:space="preserve">% achieved above target </w:t>
            </w:r>
          </w:p>
        </w:tc>
      </w:tr>
      <w:tr w:rsidR="00145CB3" w:rsidRPr="004F5CD0" w:rsidTr="00F14038">
        <w:trPr>
          <w:trHeight w:val="555"/>
        </w:trPr>
        <w:tc>
          <w:tcPr>
            <w:tcW w:w="1580" w:type="dxa"/>
            <w:tcBorders>
              <w:top w:val="nil"/>
              <w:left w:val="nil"/>
              <w:bottom w:val="nil"/>
              <w:right w:val="single" w:sz="8" w:space="0" w:color="808080"/>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left"/>
              <w:rPr>
                <w:rFonts w:cs="Arial"/>
                <w:color w:val="000000"/>
                <w:sz w:val="20"/>
              </w:rPr>
            </w:pPr>
            <w:r w:rsidRPr="00145CB3">
              <w:rPr>
                <w:rFonts w:cs="Arial"/>
                <w:color w:val="000000"/>
                <w:sz w:val="20"/>
              </w:rPr>
              <w:t> </w:t>
            </w:r>
          </w:p>
        </w:tc>
        <w:tc>
          <w:tcPr>
            <w:tcW w:w="120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left"/>
              <w:rPr>
                <w:rFonts w:cs="Arial"/>
                <w:b/>
                <w:bCs/>
                <w:color w:val="000000"/>
                <w:sz w:val="20"/>
              </w:rPr>
            </w:pPr>
            <w:r w:rsidRPr="00145CB3">
              <w:rPr>
                <w:rFonts w:cs="Arial"/>
                <w:b/>
                <w:bCs/>
                <w:color w:val="000000"/>
                <w:sz w:val="20"/>
              </w:rPr>
              <w:t>2016/17</w:t>
            </w:r>
          </w:p>
        </w:tc>
        <w:tc>
          <w:tcPr>
            <w:tcW w:w="142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r w:rsidRPr="00145CB3">
              <w:rPr>
                <w:rFonts w:cs="Arial"/>
                <w:color w:val="000000"/>
                <w:sz w:val="20"/>
              </w:rPr>
              <w:t xml:space="preserve">248,900 </w:t>
            </w:r>
          </w:p>
        </w:tc>
        <w:tc>
          <w:tcPr>
            <w:tcW w:w="124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r w:rsidRPr="00145CB3">
              <w:rPr>
                <w:rFonts w:cs="Arial"/>
                <w:color w:val="000000"/>
                <w:sz w:val="20"/>
              </w:rPr>
              <w:t xml:space="preserve">584,000 </w:t>
            </w:r>
          </w:p>
        </w:tc>
        <w:tc>
          <w:tcPr>
            <w:tcW w:w="96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r w:rsidRPr="00145CB3">
              <w:rPr>
                <w:rFonts w:cs="Arial"/>
                <w:color w:val="000000"/>
                <w:sz w:val="20"/>
              </w:rPr>
              <w:t xml:space="preserve">585,200 </w:t>
            </w:r>
          </w:p>
        </w:tc>
        <w:tc>
          <w:tcPr>
            <w:tcW w:w="2080" w:type="dxa"/>
            <w:tcBorders>
              <w:top w:val="nil"/>
              <w:left w:val="nil"/>
              <w:bottom w:val="nil"/>
              <w:right w:val="single" w:sz="8" w:space="0" w:color="808080"/>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r w:rsidRPr="00145CB3">
              <w:rPr>
                <w:rFonts w:cs="Arial"/>
                <w:color w:val="000000"/>
                <w:sz w:val="20"/>
              </w:rPr>
              <w:t>0.2%</w:t>
            </w:r>
          </w:p>
        </w:tc>
      </w:tr>
      <w:tr w:rsidR="00145CB3" w:rsidRPr="004F5CD0" w:rsidTr="00F14038">
        <w:trPr>
          <w:trHeight w:val="300"/>
        </w:trPr>
        <w:tc>
          <w:tcPr>
            <w:tcW w:w="1580" w:type="dxa"/>
            <w:tcBorders>
              <w:top w:val="nil"/>
              <w:left w:val="nil"/>
              <w:bottom w:val="nil"/>
              <w:right w:val="single" w:sz="8" w:space="0" w:color="808080"/>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left"/>
              <w:rPr>
                <w:rFonts w:cs="Arial"/>
                <w:color w:val="000000"/>
                <w:sz w:val="20"/>
              </w:rPr>
            </w:pPr>
            <w:r w:rsidRPr="00145CB3">
              <w:rPr>
                <w:rFonts w:cs="Arial"/>
                <w:color w:val="000000"/>
                <w:sz w:val="20"/>
              </w:rPr>
              <w:t> </w:t>
            </w:r>
          </w:p>
        </w:tc>
        <w:tc>
          <w:tcPr>
            <w:tcW w:w="120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left"/>
              <w:rPr>
                <w:rFonts w:cs="Arial"/>
                <w:b/>
                <w:bCs/>
                <w:color w:val="000000"/>
                <w:sz w:val="20"/>
              </w:rPr>
            </w:pPr>
          </w:p>
        </w:tc>
        <w:tc>
          <w:tcPr>
            <w:tcW w:w="142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p>
        </w:tc>
        <w:tc>
          <w:tcPr>
            <w:tcW w:w="124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p>
        </w:tc>
        <w:tc>
          <w:tcPr>
            <w:tcW w:w="96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p>
        </w:tc>
        <w:tc>
          <w:tcPr>
            <w:tcW w:w="2080" w:type="dxa"/>
            <w:tcBorders>
              <w:top w:val="nil"/>
              <w:left w:val="nil"/>
              <w:bottom w:val="nil"/>
              <w:right w:val="single" w:sz="8" w:space="0" w:color="808080"/>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r w:rsidRPr="00145CB3">
              <w:rPr>
                <w:rFonts w:cs="Arial"/>
                <w:color w:val="000000"/>
                <w:sz w:val="20"/>
              </w:rPr>
              <w:t> </w:t>
            </w:r>
          </w:p>
        </w:tc>
      </w:tr>
      <w:tr w:rsidR="00145CB3" w:rsidRPr="004F5CD0" w:rsidTr="00F14038">
        <w:trPr>
          <w:trHeight w:val="300"/>
        </w:trPr>
        <w:tc>
          <w:tcPr>
            <w:tcW w:w="1580" w:type="dxa"/>
            <w:tcBorders>
              <w:top w:val="nil"/>
              <w:left w:val="nil"/>
              <w:bottom w:val="nil"/>
              <w:right w:val="single" w:sz="8" w:space="0" w:color="808080"/>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left"/>
              <w:rPr>
                <w:rFonts w:cs="Arial"/>
                <w:color w:val="000000"/>
                <w:sz w:val="20"/>
              </w:rPr>
            </w:pPr>
            <w:r w:rsidRPr="00145CB3">
              <w:rPr>
                <w:rFonts w:cs="Arial"/>
                <w:color w:val="000000"/>
                <w:sz w:val="20"/>
              </w:rPr>
              <w:t> </w:t>
            </w:r>
          </w:p>
        </w:tc>
        <w:tc>
          <w:tcPr>
            <w:tcW w:w="120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left"/>
              <w:rPr>
                <w:rFonts w:cs="Arial"/>
                <w:b/>
                <w:bCs/>
                <w:color w:val="000000"/>
                <w:sz w:val="20"/>
              </w:rPr>
            </w:pPr>
            <w:r w:rsidRPr="00145CB3">
              <w:rPr>
                <w:rFonts w:cs="Arial"/>
                <w:b/>
                <w:bCs/>
                <w:color w:val="000000"/>
                <w:sz w:val="20"/>
              </w:rPr>
              <w:t xml:space="preserve">2017/18 </w:t>
            </w:r>
          </w:p>
        </w:tc>
        <w:tc>
          <w:tcPr>
            <w:tcW w:w="142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r w:rsidRPr="00145CB3">
              <w:rPr>
                <w:rFonts w:cs="Arial"/>
                <w:color w:val="000000"/>
                <w:sz w:val="20"/>
              </w:rPr>
              <w:t xml:space="preserve">798,000 </w:t>
            </w:r>
          </w:p>
        </w:tc>
        <w:tc>
          <w:tcPr>
            <w:tcW w:w="124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r w:rsidRPr="00145CB3">
              <w:rPr>
                <w:rFonts w:cs="Arial"/>
                <w:color w:val="000000"/>
                <w:sz w:val="20"/>
              </w:rPr>
              <w:t xml:space="preserve">828,000 </w:t>
            </w:r>
          </w:p>
        </w:tc>
        <w:tc>
          <w:tcPr>
            <w:tcW w:w="960" w:type="dxa"/>
            <w:tcBorders>
              <w:top w:val="nil"/>
              <w:left w:val="nil"/>
              <w:bottom w:val="nil"/>
              <w:right w:val="nil"/>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r w:rsidRPr="00145CB3">
              <w:rPr>
                <w:rFonts w:cs="Arial"/>
                <w:color w:val="000000"/>
                <w:sz w:val="20"/>
              </w:rPr>
              <w:t xml:space="preserve">842,800 </w:t>
            </w:r>
          </w:p>
        </w:tc>
        <w:tc>
          <w:tcPr>
            <w:tcW w:w="2080" w:type="dxa"/>
            <w:tcBorders>
              <w:top w:val="nil"/>
              <w:left w:val="nil"/>
              <w:bottom w:val="nil"/>
              <w:right w:val="single" w:sz="8" w:space="0" w:color="808080"/>
            </w:tcBorders>
            <w:shd w:val="clear" w:color="auto" w:fill="auto"/>
            <w:noWrap/>
            <w:vAlign w:val="bottom"/>
            <w:hideMark/>
          </w:tcPr>
          <w:p w:rsidR="00145CB3" w:rsidRPr="00145CB3" w:rsidRDefault="00145CB3" w:rsidP="00F14038">
            <w:pPr>
              <w:tabs>
                <w:tab w:val="clear" w:pos="1260"/>
                <w:tab w:val="clear" w:pos="1980"/>
                <w:tab w:val="clear" w:pos="2700"/>
                <w:tab w:val="clear" w:pos="3420"/>
              </w:tabs>
              <w:jc w:val="center"/>
              <w:rPr>
                <w:rFonts w:cs="Arial"/>
                <w:color w:val="000000"/>
                <w:sz w:val="20"/>
              </w:rPr>
            </w:pPr>
            <w:r w:rsidRPr="00145CB3">
              <w:rPr>
                <w:rFonts w:cs="Arial"/>
                <w:color w:val="000000"/>
                <w:sz w:val="20"/>
              </w:rPr>
              <w:t>1.8%</w:t>
            </w:r>
          </w:p>
        </w:tc>
      </w:tr>
      <w:tr w:rsidR="00145CB3" w:rsidRPr="004F5CD0" w:rsidTr="00F14038">
        <w:trPr>
          <w:trHeight w:val="315"/>
        </w:trPr>
        <w:tc>
          <w:tcPr>
            <w:tcW w:w="1580" w:type="dxa"/>
            <w:tcBorders>
              <w:top w:val="nil"/>
              <w:left w:val="nil"/>
              <w:bottom w:val="nil"/>
              <w:right w:val="single" w:sz="8" w:space="0" w:color="808080"/>
            </w:tcBorders>
            <w:shd w:val="clear" w:color="auto" w:fill="auto"/>
            <w:noWrap/>
            <w:vAlign w:val="bottom"/>
            <w:hideMark/>
          </w:tcPr>
          <w:p w:rsidR="00145CB3" w:rsidRPr="004F5CD0" w:rsidRDefault="00145CB3" w:rsidP="00F14038">
            <w:pPr>
              <w:tabs>
                <w:tab w:val="clear" w:pos="1260"/>
                <w:tab w:val="clear" w:pos="1980"/>
                <w:tab w:val="clear" w:pos="2700"/>
                <w:tab w:val="clear" w:pos="3420"/>
              </w:tabs>
              <w:jc w:val="left"/>
              <w:rPr>
                <w:rFonts w:cs="Arial"/>
                <w:color w:val="000000"/>
                <w:sz w:val="24"/>
                <w:szCs w:val="22"/>
              </w:rPr>
            </w:pPr>
            <w:r w:rsidRPr="004F5CD0">
              <w:rPr>
                <w:rFonts w:cs="Arial"/>
                <w:color w:val="000000"/>
                <w:sz w:val="24"/>
                <w:szCs w:val="22"/>
              </w:rPr>
              <w:t> </w:t>
            </w:r>
          </w:p>
        </w:tc>
        <w:tc>
          <w:tcPr>
            <w:tcW w:w="1200" w:type="dxa"/>
            <w:tcBorders>
              <w:top w:val="nil"/>
              <w:left w:val="nil"/>
              <w:bottom w:val="single" w:sz="8" w:space="0" w:color="808080"/>
              <w:right w:val="nil"/>
            </w:tcBorders>
            <w:shd w:val="clear" w:color="auto" w:fill="auto"/>
            <w:noWrap/>
            <w:vAlign w:val="bottom"/>
            <w:hideMark/>
          </w:tcPr>
          <w:p w:rsidR="00145CB3" w:rsidRPr="004F5CD0" w:rsidRDefault="00145CB3" w:rsidP="00F14038">
            <w:pPr>
              <w:tabs>
                <w:tab w:val="clear" w:pos="1260"/>
                <w:tab w:val="clear" w:pos="1980"/>
                <w:tab w:val="clear" w:pos="2700"/>
                <w:tab w:val="clear" w:pos="3420"/>
              </w:tabs>
              <w:jc w:val="left"/>
              <w:rPr>
                <w:rFonts w:cs="Arial"/>
                <w:color w:val="000000"/>
                <w:sz w:val="24"/>
                <w:szCs w:val="22"/>
              </w:rPr>
            </w:pPr>
            <w:r w:rsidRPr="004F5CD0">
              <w:rPr>
                <w:rFonts w:cs="Arial"/>
                <w:color w:val="000000"/>
                <w:sz w:val="24"/>
                <w:szCs w:val="22"/>
              </w:rPr>
              <w:t> </w:t>
            </w:r>
          </w:p>
        </w:tc>
        <w:tc>
          <w:tcPr>
            <w:tcW w:w="1420" w:type="dxa"/>
            <w:tcBorders>
              <w:top w:val="nil"/>
              <w:left w:val="nil"/>
              <w:bottom w:val="single" w:sz="8" w:space="0" w:color="808080"/>
              <w:right w:val="nil"/>
            </w:tcBorders>
            <w:shd w:val="clear" w:color="auto" w:fill="auto"/>
            <w:noWrap/>
            <w:vAlign w:val="bottom"/>
            <w:hideMark/>
          </w:tcPr>
          <w:p w:rsidR="00145CB3" w:rsidRPr="004F5CD0" w:rsidRDefault="00145CB3" w:rsidP="00F14038">
            <w:pPr>
              <w:tabs>
                <w:tab w:val="clear" w:pos="1260"/>
                <w:tab w:val="clear" w:pos="1980"/>
                <w:tab w:val="clear" w:pos="2700"/>
                <w:tab w:val="clear" w:pos="3420"/>
              </w:tabs>
              <w:jc w:val="left"/>
              <w:rPr>
                <w:rFonts w:cs="Arial"/>
                <w:color w:val="000000"/>
                <w:sz w:val="24"/>
                <w:szCs w:val="22"/>
              </w:rPr>
            </w:pPr>
            <w:r w:rsidRPr="004F5CD0">
              <w:rPr>
                <w:rFonts w:cs="Arial"/>
                <w:color w:val="000000"/>
                <w:sz w:val="24"/>
                <w:szCs w:val="22"/>
              </w:rPr>
              <w:t> </w:t>
            </w:r>
          </w:p>
        </w:tc>
        <w:tc>
          <w:tcPr>
            <w:tcW w:w="1240" w:type="dxa"/>
            <w:tcBorders>
              <w:top w:val="nil"/>
              <w:left w:val="nil"/>
              <w:bottom w:val="single" w:sz="8" w:space="0" w:color="808080"/>
              <w:right w:val="nil"/>
            </w:tcBorders>
            <w:shd w:val="clear" w:color="auto" w:fill="auto"/>
            <w:noWrap/>
            <w:vAlign w:val="bottom"/>
            <w:hideMark/>
          </w:tcPr>
          <w:p w:rsidR="00145CB3" w:rsidRPr="004F5CD0" w:rsidRDefault="00145CB3" w:rsidP="00F14038">
            <w:pPr>
              <w:tabs>
                <w:tab w:val="clear" w:pos="1260"/>
                <w:tab w:val="clear" w:pos="1980"/>
                <w:tab w:val="clear" w:pos="2700"/>
                <w:tab w:val="clear" w:pos="3420"/>
              </w:tabs>
              <w:jc w:val="left"/>
              <w:rPr>
                <w:rFonts w:cs="Arial"/>
                <w:color w:val="000000"/>
                <w:sz w:val="24"/>
                <w:szCs w:val="22"/>
              </w:rPr>
            </w:pPr>
            <w:r w:rsidRPr="004F5CD0">
              <w:rPr>
                <w:rFonts w:cs="Arial"/>
                <w:color w:val="000000"/>
                <w:sz w:val="24"/>
                <w:szCs w:val="22"/>
              </w:rPr>
              <w:t> </w:t>
            </w:r>
          </w:p>
        </w:tc>
        <w:tc>
          <w:tcPr>
            <w:tcW w:w="960" w:type="dxa"/>
            <w:tcBorders>
              <w:top w:val="nil"/>
              <w:left w:val="nil"/>
              <w:bottom w:val="single" w:sz="8" w:space="0" w:color="808080"/>
              <w:right w:val="nil"/>
            </w:tcBorders>
            <w:shd w:val="clear" w:color="auto" w:fill="auto"/>
            <w:noWrap/>
            <w:vAlign w:val="bottom"/>
            <w:hideMark/>
          </w:tcPr>
          <w:p w:rsidR="00145CB3" w:rsidRPr="004F5CD0" w:rsidRDefault="00145CB3" w:rsidP="00F14038">
            <w:pPr>
              <w:tabs>
                <w:tab w:val="clear" w:pos="1260"/>
                <w:tab w:val="clear" w:pos="1980"/>
                <w:tab w:val="clear" w:pos="2700"/>
                <w:tab w:val="clear" w:pos="3420"/>
              </w:tabs>
              <w:jc w:val="left"/>
              <w:rPr>
                <w:rFonts w:cs="Arial"/>
                <w:color w:val="000000"/>
                <w:sz w:val="24"/>
                <w:szCs w:val="22"/>
              </w:rPr>
            </w:pPr>
            <w:r w:rsidRPr="004F5CD0">
              <w:rPr>
                <w:rFonts w:cs="Arial"/>
                <w:color w:val="000000"/>
                <w:sz w:val="24"/>
                <w:szCs w:val="22"/>
              </w:rPr>
              <w:t> </w:t>
            </w:r>
          </w:p>
        </w:tc>
        <w:tc>
          <w:tcPr>
            <w:tcW w:w="2080" w:type="dxa"/>
            <w:tcBorders>
              <w:top w:val="nil"/>
              <w:left w:val="nil"/>
              <w:bottom w:val="single" w:sz="8" w:space="0" w:color="808080"/>
              <w:right w:val="single" w:sz="8" w:space="0" w:color="808080"/>
            </w:tcBorders>
            <w:shd w:val="clear" w:color="auto" w:fill="auto"/>
            <w:noWrap/>
            <w:vAlign w:val="bottom"/>
            <w:hideMark/>
          </w:tcPr>
          <w:p w:rsidR="00145CB3" w:rsidRPr="004F5CD0" w:rsidRDefault="00145CB3" w:rsidP="00F14038">
            <w:pPr>
              <w:tabs>
                <w:tab w:val="clear" w:pos="1260"/>
                <w:tab w:val="clear" w:pos="1980"/>
                <w:tab w:val="clear" w:pos="2700"/>
                <w:tab w:val="clear" w:pos="3420"/>
              </w:tabs>
              <w:jc w:val="left"/>
              <w:rPr>
                <w:rFonts w:cs="Arial"/>
                <w:color w:val="000000"/>
                <w:sz w:val="24"/>
                <w:szCs w:val="22"/>
              </w:rPr>
            </w:pPr>
            <w:r w:rsidRPr="004F5CD0">
              <w:rPr>
                <w:rFonts w:cs="Arial"/>
                <w:color w:val="000000"/>
                <w:sz w:val="24"/>
                <w:szCs w:val="22"/>
              </w:rPr>
              <w:t> </w:t>
            </w:r>
          </w:p>
        </w:tc>
      </w:tr>
    </w:tbl>
    <w:p w:rsidR="008A2B9D" w:rsidRDefault="008A2B9D" w:rsidP="008A2B9D">
      <w:pPr>
        <w:keepNext/>
        <w:ind w:left="1267" w:hanging="1267"/>
        <w:rPr>
          <w:b/>
        </w:rPr>
      </w:pPr>
      <w:r>
        <w:lastRenderedPageBreak/>
        <w:t>6.</w:t>
      </w:r>
      <w:r>
        <w:tab/>
      </w:r>
      <w:r>
        <w:rPr>
          <w:b/>
        </w:rPr>
        <w:t>Equal Opportunities Implications</w:t>
      </w:r>
    </w:p>
    <w:p w:rsidR="008A2B9D" w:rsidRDefault="008A2B9D" w:rsidP="008A2B9D">
      <w:pPr>
        <w:keepNext/>
        <w:ind w:left="1267" w:hanging="1267"/>
        <w:rPr>
          <w:b/>
        </w:rPr>
      </w:pPr>
    </w:p>
    <w:p w:rsidR="008A2B9D" w:rsidRDefault="008A2B9D" w:rsidP="008A2B9D">
      <w:pPr>
        <w:keepNext/>
        <w:keepLines/>
        <w:ind w:left="1259" w:hanging="1259"/>
        <w:rPr>
          <w:b/>
        </w:rPr>
      </w:pPr>
      <w:r>
        <w:t>6.1</w:t>
      </w:r>
      <w:r>
        <w:tab/>
      </w:r>
      <w:r w:rsidRPr="005F1F05">
        <w:rPr>
          <w:b/>
          <w:i/>
        </w:rPr>
        <w:t>Relevance Test</w:t>
      </w:r>
    </w:p>
    <w:p w:rsidR="008A2B9D" w:rsidRDefault="008A2B9D" w:rsidP="008A2B9D">
      <w:pPr>
        <w:keepNext/>
        <w:keepLines/>
        <w:ind w:left="1259" w:hanging="1259"/>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8A2B9D" w:rsidTr="00DA22BA">
        <w:tc>
          <w:tcPr>
            <w:tcW w:w="6096" w:type="dxa"/>
          </w:tcPr>
          <w:p w:rsidR="008A2B9D" w:rsidRDefault="008A2B9D" w:rsidP="00DA22BA">
            <w:pPr>
              <w:keepNext/>
              <w:keepLines/>
            </w:pPr>
            <w:r>
              <w:t>Has a relevance test been completed for Equality Impact?</w:t>
            </w:r>
            <w:r>
              <w:rPr>
                <w:b/>
                <w:i/>
                <w:color w:val="008000"/>
              </w:rPr>
              <w:t xml:space="preserve"> </w:t>
            </w:r>
          </w:p>
        </w:tc>
        <w:tc>
          <w:tcPr>
            <w:tcW w:w="1984" w:type="dxa"/>
          </w:tcPr>
          <w:p w:rsidR="008A2B9D" w:rsidRDefault="008A2B9D" w:rsidP="00DA22BA">
            <w:pPr>
              <w:rPr>
                <w:i/>
                <w:color w:val="FF0000"/>
              </w:rPr>
            </w:pPr>
            <w:r>
              <w:t>No</w:t>
            </w:r>
          </w:p>
        </w:tc>
      </w:tr>
      <w:tr w:rsidR="008A2B9D" w:rsidTr="00DA22BA">
        <w:tc>
          <w:tcPr>
            <w:tcW w:w="6096" w:type="dxa"/>
          </w:tcPr>
          <w:p w:rsidR="008A2B9D" w:rsidRDefault="008A2B9D" w:rsidP="001E222D">
            <w:pPr>
              <w:keepNext/>
              <w:keepLines/>
              <w:rPr>
                <w:i/>
                <w:color w:val="FF0000"/>
              </w:rPr>
            </w:pPr>
            <w:r>
              <w:t>Did the relevance test conclude a full impact assessment was required?</w:t>
            </w:r>
          </w:p>
        </w:tc>
        <w:tc>
          <w:tcPr>
            <w:tcW w:w="1984" w:type="dxa"/>
          </w:tcPr>
          <w:p w:rsidR="008A2B9D" w:rsidRDefault="008A2B9D" w:rsidP="00DA22BA">
            <w:r>
              <w:t>N/A</w:t>
            </w:r>
          </w:p>
        </w:tc>
      </w:tr>
    </w:tbl>
    <w:p w:rsidR="008A2B9D" w:rsidRDefault="008A2B9D" w:rsidP="008A2B9D"/>
    <w:p w:rsidR="008A2B9D" w:rsidRDefault="008A2B9D" w:rsidP="008A2B9D">
      <w:pPr>
        <w:keepNext/>
        <w:ind w:left="1267" w:hanging="1267"/>
      </w:pPr>
      <w:r>
        <w:t>7.</w:t>
      </w:r>
      <w:r>
        <w:tab/>
      </w:r>
      <w:r>
        <w:rPr>
          <w:b/>
        </w:rPr>
        <w:t xml:space="preserve">Staffing Implications / Community Safety / Legal / Public Health / Community Safety / Health and Safety / Customer Service Centre Implications </w:t>
      </w:r>
    </w:p>
    <w:p w:rsidR="008A2B9D" w:rsidRDefault="008A2B9D" w:rsidP="008A2B9D">
      <w:pPr>
        <w:keepNext/>
        <w:ind w:left="1267" w:hanging="1267"/>
      </w:pPr>
    </w:p>
    <w:p w:rsidR="008A2B9D" w:rsidRDefault="008A2B9D" w:rsidP="008A2B9D">
      <w:r>
        <w:t>7.1</w:t>
      </w:r>
      <w:r>
        <w:tab/>
      </w:r>
      <w:r>
        <w:fldChar w:fldCharType="begin"/>
      </w:r>
      <w:r>
        <w:instrText xml:space="preserve">  </w:instrText>
      </w:r>
      <w:r>
        <w:fldChar w:fldCharType="end"/>
      </w:r>
      <w:r>
        <w:t>None specific</w:t>
      </w:r>
      <w:r w:rsidR="005F1F05">
        <w:t>.</w:t>
      </w:r>
    </w:p>
    <w:p w:rsidR="008A2B9D" w:rsidRDefault="008A2B9D" w:rsidP="008A2B9D"/>
    <w:p w:rsidR="008A2B9D" w:rsidRDefault="008A2B9D" w:rsidP="008A2B9D">
      <w:pPr>
        <w:keepNext/>
        <w:ind w:left="1267" w:hanging="1267"/>
      </w:pPr>
      <w:r>
        <w:t>8.</w:t>
      </w:r>
      <w:r>
        <w:tab/>
      </w:r>
      <w:r>
        <w:rPr>
          <w:b/>
        </w:rPr>
        <w:t>Environmental Implications</w:t>
      </w:r>
    </w:p>
    <w:p w:rsidR="008A2B9D" w:rsidRDefault="008A2B9D" w:rsidP="008A2B9D">
      <w:pPr>
        <w:keepNext/>
        <w:ind w:left="1267" w:hanging="1267"/>
      </w:pPr>
    </w:p>
    <w:p w:rsidR="008A2B9D" w:rsidRDefault="008A2B9D" w:rsidP="008A2B9D">
      <w:pPr>
        <w:ind w:left="1260" w:hanging="1260"/>
      </w:pPr>
      <w:r>
        <w:t>8.1</w:t>
      </w:r>
      <w:r>
        <w:tab/>
      </w:r>
      <w:r>
        <w:fldChar w:fldCharType="begin"/>
      </w:r>
      <w:r>
        <w:instrText xml:space="preserve">  </w:instrText>
      </w:r>
      <w:r>
        <w:fldChar w:fldCharType="end"/>
      </w:r>
      <w:r>
        <w:t>The recycling rate in Three Rivers remains the highest in the County and increased by 2.5% to 61.9% in 2016/17 compared to 2015/16.</w:t>
      </w:r>
    </w:p>
    <w:p w:rsidR="008A2B9D" w:rsidRDefault="008A2B9D" w:rsidP="008A2B9D"/>
    <w:p w:rsidR="008A2B9D" w:rsidRPr="00DF6E55" w:rsidRDefault="008A2B9D" w:rsidP="008A2B9D">
      <w:pPr>
        <w:keepNext/>
        <w:ind w:left="1267" w:hanging="1267"/>
      </w:pPr>
      <w:r>
        <w:t>9.</w:t>
      </w:r>
      <w:r>
        <w:tab/>
      </w:r>
      <w:r>
        <w:rPr>
          <w:b/>
        </w:rPr>
        <w:t>Communications and</w:t>
      </w:r>
      <w:r>
        <w:t xml:space="preserve"> </w:t>
      </w:r>
      <w:r>
        <w:rPr>
          <w:b/>
        </w:rPr>
        <w:t>Website Implications</w:t>
      </w:r>
    </w:p>
    <w:p w:rsidR="008A2B9D" w:rsidRDefault="008A2B9D" w:rsidP="008A2B9D">
      <w:pPr>
        <w:keepNext/>
        <w:ind w:left="1267" w:hanging="1267"/>
      </w:pPr>
    </w:p>
    <w:p w:rsidR="008A2B9D" w:rsidRDefault="008A2B9D" w:rsidP="008A2B9D">
      <w:pPr>
        <w:ind w:left="1260" w:hanging="1260"/>
      </w:pPr>
      <w:r>
        <w:t>9.1</w:t>
      </w:r>
      <w:r>
        <w:tab/>
      </w:r>
      <w:r>
        <w:fldChar w:fldCharType="begin"/>
      </w:r>
      <w:r>
        <w:instrText xml:space="preserve">  </w:instrText>
      </w:r>
      <w:r>
        <w:fldChar w:fldCharType="end"/>
      </w:r>
      <w:r>
        <w:t>Any changes to the service, including changes to Terms and Conditions will be updat</w:t>
      </w:r>
      <w:r w:rsidR="005F1F05">
        <w:t xml:space="preserve">ed on </w:t>
      </w:r>
      <w:proofErr w:type="spellStart"/>
      <w:r w:rsidR="005F1F05">
        <w:t>Firmstep</w:t>
      </w:r>
      <w:proofErr w:type="spellEnd"/>
      <w:r w:rsidR="005F1F05">
        <w:t xml:space="preserve"> and the website.</w:t>
      </w:r>
    </w:p>
    <w:p w:rsidR="008A2B9D" w:rsidRDefault="008A2B9D" w:rsidP="008A2B9D">
      <w:pPr>
        <w:pStyle w:val="Header"/>
        <w:tabs>
          <w:tab w:val="clear" w:pos="4153"/>
          <w:tab w:val="clear" w:pos="8306"/>
          <w:tab w:val="left" w:pos="1260"/>
          <w:tab w:val="left" w:pos="1980"/>
          <w:tab w:val="left" w:pos="2700"/>
          <w:tab w:val="left" w:pos="3420"/>
        </w:tabs>
      </w:pPr>
    </w:p>
    <w:p w:rsidR="008A2B9D" w:rsidRDefault="008A2B9D" w:rsidP="008A2B9D">
      <w:pPr>
        <w:keepNext/>
        <w:ind w:left="1267" w:hanging="1267"/>
        <w:rPr>
          <w:b/>
        </w:rPr>
      </w:pPr>
      <w:r>
        <w:t>10.</w:t>
      </w:r>
      <w:r>
        <w:tab/>
      </w:r>
      <w:r>
        <w:rPr>
          <w:b/>
        </w:rPr>
        <w:t>Risk Management and Health &amp; Safety Implications</w:t>
      </w:r>
    </w:p>
    <w:p w:rsidR="008A2B9D" w:rsidRDefault="008A2B9D" w:rsidP="008A2B9D">
      <w:pPr>
        <w:keepNext/>
        <w:ind w:left="1267" w:hanging="1267"/>
      </w:pPr>
    </w:p>
    <w:p w:rsidR="008A2B9D" w:rsidRDefault="008A2B9D" w:rsidP="00145CB3">
      <w:pPr>
        <w:ind w:left="1276" w:hanging="1276"/>
      </w:pPr>
      <w:r>
        <w:t>10.1</w:t>
      </w:r>
      <w:r>
        <w:tab/>
      </w:r>
      <w:r w:rsidR="00145CB3">
        <w:t>None specific</w:t>
      </w:r>
      <w:r w:rsidR="005F1F05">
        <w:t>.</w:t>
      </w:r>
    </w:p>
    <w:p w:rsidR="008A2B9D" w:rsidRDefault="008A2B9D" w:rsidP="008A2B9D">
      <w:pPr>
        <w:pStyle w:val="BodyTextIndent"/>
      </w:pPr>
    </w:p>
    <w:p w:rsidR="008A2B9D" w:rsidRDefault="008A2B9D" w:rsidP="008A2B9D">
      <w:pPr>
        <w:keepNext/>
        <w:ind w:left="1267" w:hanging="1267"/>
      </w:pPr>
      <w:r>
        <w:t>11.</w:t>
      </w:r>
      <w:r>
        <w:fldChar w:fldCharType="begin"/>
      </w:r>
      <w:r>
        <w:instrText xml:space="preserve">  </w:instrText>
      </w:r>
      <w:r>
        <w:fldChar w:fldCharType="end"/>
      </w:r>
      <w:r>
        <w:tab/>
      </w:r>
      <w:r>
        <w:rPr>
          <w:b/>
        </w:rPr>
        <w:t>Recommendation</w:t>
      </w:r>
    </w:p>
    <w:p w:rsidR="008A2B9D" w:rsidRDefault="008A2B9D" w:rsidP="008A2B9D">
      <w:pPr>
        <w:ind w:left="1276" w:hanging="1276"/>
      </w:pPr>
    </w:p>
    <w:p w:rsidR="008A2B9D" w:rsidRPr="00BE5ED2" w:rsidRDefault="008A2B9D" w:rsidP="008A2B9D">
      <w:pPr>
        <w:ind w:left="1276" w:hanging="1276"/>
      </w:pPr>
      <w:r>
        <w:t>11.1</w:t>
      </w:r>
      <w:r w:rsidRPr="00BE5ED2">
        <w:tab/>
      </w:r>
      <w:r>
        <w:t>The Terms and Conditions in Appendix B are agreed, subject to the charging level being updated by Officers once approved by Members.</w:t>
      </w:r>
    </w:p>
    <w:p w:rsidR="008A2B9D" w:rsidRDefault="008A2B9D" w:rsidP="008A2B9D"/>
    <w:p w:rsidR="008A2B9D" w:rsidRDefault="008A2B9D" w:rsidP="008A2B9D">
      <w:r>
        <w:rPr>
          <w:b/>
          <w:i/>
          <w:color w:val="008000"/>
        </w:rPr>
        <w:fldChar w:fldCharType="begin"/>
      </w:r>
      <w:r>
        <w:rPr>
          <w:b/>
          <w:i/>
          <w:color w:val="008000"/>
        </w:rPr>
        <w:instrText xml:space="preserve">  </w:instrText>
      </w:r>
      <w:r>
        <w:rPr>
          <w:b/>
          <w:i/>
          <w:color w:val="008000"/>
        </w:rPr>
        <w:fldChar w:fldCharType="end"/>
      </w:r>
      <w:r>
        <w:rPr>
          <w:b/>
          <w:i/>
          <w:color w:val="008000"/>
        </w:rPr>
        <w:fldChar w:fldCharType="begin"/>
      </w:r>
      <w:r>
        <w:rPr>
          <w:b/>
          <w:i/>
          <w:color w:val="008000"/>
        </w:rPr>
        <w:instrText xml:space="preserve">  </w:instrText>
      </w:r>
      <w:r>
        <w:rPr>
          <w:b/>
          <w:i/>
          <w:color w:val="008000"/>
        </w:rPr>
        <w:fldChar w:fldCharType="end"/>
      </w:r>
    </w:p>
    <w:p w:rsidR="008A2B9D" w:rsidRDefault="008A2B9D" w:rsidP="008A2B9D">
      <w:r>
        <w:tab/>
        <w:t>Report prepared by:</w:t>
      </w:r>
      <w:r>
        <w:tab/>
      </w:r>
      <w:r>
        <w:fldChar w:fldCharType="begin"/>
      </w:r>
      <w:r>
        <w:instrText xml:space="preserve">  </w:instrText>
      </w:r>
      <w:r>
        <w:fldChar w:fldCharType="end"/>
      </w:r>
      <w:r>
        <w:t>Jennie Probert, Environmental Strategy Manager</w:t>
      </w:r>
    </w:p>
    <w:p w:rsidR="00802830" w:rsidRDefault="00802830" w:rsidP="008A2B9D">
      <w:r>
        <w:tab/>
      </w:r>
      <w:r>
        <w:tab/>
      </w:r>
      <w:r>
        <w:tab/>
      </w:r>
      <w:r>
        <w:tab/>
        <w:t>Malcolm Clarke, Waste and Environment Manager</w:t>
      </w:r>
    </w:p>
    <w:p w:rsidR="008A2B9D" w:rsidRDefault="008A2B9D" w:rsidP="008A2B9D">
      <w:pPr>
        <w:keepNext/>
        <w:keepLines/>
        <w:ind w:left="1267" w:hanging="1267"/>
        <w:outlineLvl w:val="0"/>
        <w:rPr>
          <w:b/>
          <w:i/>
          <w:color w:val="008000"/>
        </w:rPr>
      </w:pPr>
      <w:r>
        <w:tab/>
      </w:r>
    </w:p>
    <w:p w:rsidR="00145CB3" w:rsidRDefault="008A2B9D" w:rsidP="008A2B9D">
      <w:r>
        <w:rPr>
          <w:i/>
        </w:rPr>
        <w:tab/>
      </w:r>
      <w:r>
        <w:t>Data checked by: Malcolm Clarke, Waste and Environment Manager</w:t>
      </w:r>
    </w:p>
    <w:p w:rsidR="008A2B9D" w:rsidRDefault="00145CB3" w:rsidP="008A2B9D">
      <w:r>
        <w:tab/>
      </w:r>
      <w:r>
        <w:tab/>
      </w:r>
      <w:r>
        <w:tab/>
        <w:t xml:space="preserve">      </w:t>
      </w:r>
      <w:proofErr w:type="spellStart"/>
      <w:r>
        <w:t>Temi</w:t>
      </w:r>
      <w:proofErr w:type="spellEnd"/>
      <w:r>
        <w:t xml:space="preserve"> </w:t>
      </w:r>
      <w:proofErr w:type="spellStart"/>
      <w:r>
        <w:t>Opeyemi</w:t>
      </w:r>
      <w:proofErr w:type="spellEnd"/>
      <w:r>
        <w:t>, Finance Manager</w:t>
      </w:r>
      <w:r w:rsidR="008A2B9D">
        <w:fldChar w:fldCharType="begin"/>
      </w:r>
      <w:r w:rsidR="008A2B9D">
        <w:instrText xml:space="preserve"> ASK   \* MERGEFORMAT </w:instrText>
      </w:r>
      <w:r w:rsidR="008A2B9D">
        <w:fldChar w:fldCharType="end"/>
      </w:r>
    </w:p>
    <w:p w:rsidR="008A2B9D" w:rsidRDefault="008A2B9D" w:rsidP="008A2B9D">
      <w:pPr>
        <w:ind w:left="1260" w:hanging="1260"/>
        <w:rPr>
          <w:b/>
          <w:i/>
          <w:color w:val="008000"/>
        </w:rPr>
      </w:pPr>
      <w:r>
        <w:rPr>
          <w:b/>
          <w:i/>
        </w:rPr>
        <w:tab/>
      </w:r>
    </w:p>
    <w:p w:rsidR="008A2B9D" w:rsidRDefault="008A2B9D" w:rsidP="008A2B9D">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8A2B9D" w:rsidTr="00DA22BA">
        <w:trPr>
          <w:trHeight w:hRule="exact" w:val="346"/>
        </w:trPr>
        <w:tc>
          <w:tcPr>
            <w:tcW w:w="392" w:type="dxa"/>
            <w:vAlign w:val="center"/>
          </w:tcPr>
          <w:p w:rsidR="008A2B9D" w:rsidRDefault="008A2B9D" w:rsidP="00DA22BA">
            <w:pPr>
              <w:keepNext/>
              <w:keepLines/>
            </w:pPr>
            <w:r>
              <w:t>1</w:t>
            </w:r>
          </w:p>
        </w:tc>
        <w:tc>
          <w:tcPr>
            <w:tcW w:w="1276" w:type="dxa"/>
            <w:vAlign w:val="center"/>
          </w:tcPr>
          <w:p w:rsidR="008A2B9D" w:rsidRDefault="008A2B9D" w:rsidP="00DA22BA">
            <w:pPr>
              <w:keepNext/>
              <w:keepLines/>
            </w:pPr>
            <w:r>
              <w:t>Poor</w:t>
            </w:r>
          </w:p>
        </w:tc>
        <w:tc>
          <w:tcPr>
            <w:tcW w:w="492" w:type="dxa"/>
            <w:vAlign w:val="center"/>
          </w:tcPr>
          <w:p w:rsidR="008A2B9D" w:rsidRDefault="008A2B9D" w:rsidP="00DA22BA">
            <w:pPr>
              <w:keepNext/>
              <w:keepLines/>
              <w:jc w:val="center"/>
            </w:pPr>
          </w:p>
        </w:tc>
      </w:tr>
      <w:tr w:rsidR="008A2B9D" w:rsidTr="00DA22BA">
        <w:trPr>
          <w:trHeight w:hRule="exact" w:val="346"/>
        </w:trPr>
        <w:tc>
          <w:tcPr>
            <w:tcW w:w="392" w:type="dxa"/>
            <w:vAlign w:val="center"/>
          </w:tcPr>
          <w:p w:rsidR="008A2B9D" w:rsidRDefault="008A2B9D" w:rsidP="00DA22BA">
            <w:pPr>
              <w:keepNext/>
              <w:keepLines/>
            </w:pPr>
            <w:r>
              <w:t>2</w:t>
            </w:r>
          </w:p>
        </w:tc>
        <w:tc>
          <w:tcPr>
            <w:tcW w:w="1276" w:type="dxa"/>
            <w:vAlign w:val="center"/>
          </w:tcPr>
          <w:p w:rsidR="008A2B9D" w:rsidRDefault="008A2B9D" w:rsidP="00DA22BA">
            <w:pPr>
              <w:keepNext/>
              <w:keepLines/>
            </w:pPr>
            <w:r>
              <w:t>Sufficient</w:t>
            </w:r>
          </w:p>
        </w:tc>
        <w:tc>
          <w:tcPr>
            <w:tcW w:w="492" w:type="dxa"/>
            <w:vAlign w:val="center"/>
          </w:tcPr>
          <w:p w:rsidR="008A2B9D" w:rsidRDefault="008A2B9D" w:rsidP="00DA22BA">
            <w:pPr>
              <w:keepNext/>
              <w:keepLines/>
              <w:jc w:val="center"/>
            </w:pPr>
            <w:r>
              <w:rPr>
                <w:b/>
                <w:szCs w:val="22"/>
              </w:rPr>
              <w:sym w:font="Wingdings" w:char="F0FC"/>
            </w:r>
          </w:p>
        </w:tc>
      </w:tr>
      <w:tr w:rsidR="008A2B9D" w:rsidTr="00DA22BA">
        <w:trPr>
          <w:trHeight w:hRule="exact" w:val="346"/>
        </w:trPr>
        <w:tc>
          <w:tcPr>
            <w:tcW w:w="392" w:type="dxa"/>
            <w:vAlign w:val="center"/>
          </w:tcPr>
          <w:p w:rsidR="008A2B9D" w:rsidRDefault="008A2B9D" w:rsidP="00DA22BA">
            <w:pPr>
              <w:keepNext/>
              <w:keepLines/>
            </w:pPr>
            <w:r>
              <w:t>3</w:t>
            </w:r>
          </w:p>
        </w:tc>
        <w:tc>
          <w:tcPr>
            <w:tcW w:w="1276" w:type="dxa"/>
            <w:vAlign w:val="center"/>
          </w:tcPr>
          <w:p w:rsidR="008A2B9D" w:rsidRDefault="008A2B9D" w:rsidP="00DA22BA">
            <w:pPr>
              <w:keepNext/>
              <w:keepLines/>
            </w:pPr>
            <w:r>
              <w:t>High</w:t>
            </w:r>
          </w:p>
        </w:tc>
        <w:tc>
          <w:tcPr>
            <w:tcW w:w="492" w:type="dxa"/>
            <w:vAlign w:val="center"/>
          </w:tcPr>
          <w:p w:rsidR="008A2B9D" w:rsidRDefault="008A2B9D" w:rsidP="00DA22BA">
            <w:pPr>
              <w:keepNext/>
              <w:keepLines/>
              <w:jc w:val="center"/>
            </w:pPr>
          </w:p>
        </w:tc>
      </w:tr>
    </w:tbl>
    <w:p w:rsidR="008A2B9D" w:rsidRDefault="008A2B9D" w:rsidP="008A2B9D">
      <w:pPr>
        <w:ind w:left="1253" w:hanging="1253"/>
      </w:pPr>
    </w:p>
    <w:p w:rsidR="008A2B9D" w:rsidRDefault="008A2B9D" w:rsidP="008A2B9D">
      <w:pPr>
        <w:keepNext/>
      </w:pPr>
    </w:p>
    <w:p w:rsidR="005F1F05" w:rsidRDefault="008A2B9D" w:rsidP="008A2B9D">
      <w:r>
        <w:tab/>
      </w:r>
    </w:p>
    <w:p w:rsidR="00A47F0D" w:rsidRDefault="00A47F0D" w:rsidP="008A2B9D"/>
    <w:p w:rsidR="008A2B9D" w:rsidRDefault="008A2B9D" w:rsidP="008A2B9D">
      <w:r>
        <w:fldChar w:fldCharType="begin"/>
      </w:r>
      <w:r>
        <w:instrText xml:space="preserve">  </w:instrText>
      </w:r>
      <w:r>
        <w:fldChar w:fldCharType="end"/>
      </w:r>
    </w:p>
    <w:p w:rsidR="008A2B9D" w:rsidRDefault="008A2B9D" w:rsidP="008A2B9D"/>
    <w:p w:rsidR="007B499A" w:rsidRDefault="007B499A" w:rsidP="008A2B9D"/>
    <w:p w:rsidR="007B499A" w:rsidRDefault="007B499A" w:rsidP="008A2B9D"/>
    <w:p w:rsidR="007B499A" w:rsidRDefault="007B499A" w:rsidP="008A2B9D"/>
    <w:p w:rsidR="008A2B9D" w:rsidRPr="00462451" w:rsidRDefault="008A2B9D" w:rsidP="008A2B9D">
      <w:r>
        <w:rPr>
          <w:b/>
        </w:rPr>
        <w:lastRenderedPageBreak/>
        <w:t>Appendix A – Comparison of current charges</w:t>
      </w:r>
    </w:p>
    <w:p w:rsidR="008A2B9D" w:rsidRDefault="008A2B9D" w:rsidP="008A2B9D"/>
    <w:p w:rsidR="008A2B9D" w:rsidRPr="00D3264B" w:rsidRDefault="00D3264B" w:rsidP="008A2B9D">
      <w:pPr>
        <w:rPr>
          <w:sz w:val="20"/>
        </w:rPr>
      </w:pPr>
      <w:r w:rsidRPr="00D3264B">
        <w:rPr>
          <w:sz w:val="20"/>
        </w:rPr>
        <w:t>NB: North Herts have just agreed to start charging from May 2018 and will charge £40 further details to be confirmed.</w:t>
      </w:r>
    </w:p>
    <w:tbl>
      <w:tblPr>
        <w:tblW w:w="0" w:type="auto"/>
        <w:tblCellMar>
          <w:left w:w="0" w:type="dxa"/>
          <w:right w:w="0" w:type="dxa"/>
        </w:tblCellMar>
        <w:tblLook w:val="04A0" w:firstRow="1" w:lastRow="0" w:firstColumn="1" w:lastColumn="0" w:noHBand="0" w:noVBand="1"/>
      </w:tblPr>
      <w:tblGrid>
        <w:gridCol w:w="2224"/>
        <w:gridCol w:w="3937"/>
        <w:gridCol w:w="3081"/>
      </w:tblGrid>
      <w:tr w:rsidR="008A2B9D" w:rsidRPr="00D3264B" w:rsidTr="00DA22BA">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2B9D" w:rsidRPr="00D3264B" w:rsidRDefault="008A2B9D" w:rsidP="00DA22BA">
            <w:pPr>
              <w:rPr>
                <w:rFonts w:eastAsiaTheme="minorHAnsi" w:cs="Arial"/>
                <w:b/>
                <w:bCs/>
                <w:sz w:val="20"/>
                <w:lang w:eastAsia="en-US"/>
              </w:rPr>
            </w:pPr>
            <w:r w:rsidRPr="00D3264B">
              <w:rPr>
                <w:b/>
                <w:bCs/>
                <w:sz w:val="20"/>
                <w:lang w:eastAsia="en-US"/>
              </w:rPr>
              <w:t>Council</w:t>
            </w:r>
          </w:p>
        </w:tc>
        <w:tc>
          <w:tcPr>
            <w:tcW w:w="39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B9D" w:rsidRPr="00D3264B" w:rsidRDefault="008A2B9D" w:rsidP="00DA22BA">
            <w:pPr>
              <w:rPr>
                <w:rFonts w:eastAsiaTheme="minorHAnsi" w:cs="Arial"/>
                <w:b/>
                <w:bCs/>
                <w:sz w:val="20"/>
                <w:lang w:eastAsia="en-US"/>
              </w:rPr>
            </w:pPr>
            <w:r w:rsidRPr="00D3264B">
              <w:rPr>
                <w:b/>
                <w:bCs/>
                <w:sz w:val="20"/>
                <w:lang w:eastAsia="en-US"/>
              </w:rPr>
              <w:t>Charge for first bin</w:t>
            </w:r>
          </w:p>
        </w:tc>
        <w:tc>
          <w:tcPr>
            <w:tcW w:w="3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2B9D" w:rsidRPr="00D3264B" w:rsidRDefault="008A2B9D" w:rsidP="00DA22BA">
            <w:pPr>
              <w:rPr>
                <w:rFonts w:eastAsiaTheme="minorHAnsi" w:cs="Arial"/>
                <w:b/>
                <w:bCs/>
                <w:sz w:val="20"/>
                <w:lang w:eastAsia="en-US"/>
              </w:rPr>
            </w:pPr>
            <w:r w:rsidRPr="00D3264B">
              <w:rPr>
                <w:b/>
                <w:bCs/>
                <w:sz w:val="20"/>
                <w:lang w:eastAsia="en-US"/>
              </w:rPr>
              <w:t>Charge for subsequent bins</w:t>
            </w:r>
          </w:p>
        </w:tc>
      </w:tr>
      <w:tr w:rsidR="008A2B9D" w:rsidRPr="00D3264B" w:rsidTr="00DA22B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B9D" w:rsidRPr="00D3264B" w:rsidRDefault="008A2B9D" w:rsidP="00DA22BA">
            <w:pPr>
              <w:rPr>
                <w:rFonts w:eastAsiaTheme="minorHAnsi" w:cs="Arial"/>
                <w:sz w:val="20"/>
                <w:lang w:eastAsia="en-US"/>
              </w:rPr>
            </w:pPr>
            <w:r w:rsidRPr="00D3264B">
              <w:rPr>
                <w:sz w:val="20"/>
                <w:lang w:eastAsia="en-US"/>
              </w:rPr>
              <w:t>Three Rivers District Council</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sz w:val="20"/>
                <w:lang w:eastAsia="en-US"/>
              </w:rPr>
              <w:t xml:space="preserve">£35 </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£28 for Council administered benefits.</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50% reduction if signing up between 1</w:t>
            </w:r>
            <w:r w:rsidRPr="00D3264B">
              <w:rPr>
                <w:sz w:val="20"/>
                <w:vertAlign w:val="superscript"/>
                <w:lang w:eastAsia="en-US"/>
              </w:rPr>
              <w:t>st</w:t>
            </w:r>
            <w:r w:rsidRPr="00D3264B">
              <w:rPr>
                <w:sz w:val="20"/>
                <w:lang w:eastAsia="en-US"/>
              </w:rPr>
              <w:t xml:space="preserve"> October and 31 March.</w:t>
            </w:r>
          </w:p>
          <w:p w:rsidR="008A2B9D" w:rsidRPr="00D3264B" w:rsidRDefault="008A2B9D" w:rsidP="00DA22BA">
            <w:pPr>
              <w:rPr>
                <w:sz w:val="20"/>
                <w:lang w:eastAsia="en-US"/>
              </w:rPr>
            </w:pPr>
          </w:p>
          <w:p w:rsidR="008A2B9D" w:rsidRPr="00D3264B" w:rsidRDefault="008A2B9D" w:rsidP="00DA22BA">
            <w:pPr>
              <w:rPr>
                <w:rFonts w:eastAsiaTheme="minorHAnsi" w:cs="Arial"/>
                <w:sz w:val="20"/>
                <w:lang w:eastAsia="en-US"/>
              </w:rPr>
            </w:pPr>
            <w:r w:rsidRPr="00D3264B">
              <w:rPr>
                <w:sz w:val="20"/>
                <w:lang w:eastAsia="en-US"/>
              </w:rPr>
              <w:t>£5 extra charge if not paying by Direct Debit</w:t>
            </w:r>
          </w:p>
        </w:tc>
        <w:tc>
          <w:tcPr>
            <w:tcW w:w="3101"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sz w:val="20"/>
                <w:lang w:eastAsia="en-US"/>
              </w:rPr>
              <w:t>£70 each.</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 xml:space="preserve">A maximum of three bins. </w:t>
            </w:r>
          </w:p>
          <w:p w:rsidR="008A2B9D" w:rsidRPr="00D3264B" w:rsidRDefault="008A2B9D" w:rsidP="00DA22BA">
            <w:pPr>
              <w:rPr>
                <w:sz w:val="20"/>
                <w:lang w:eastAsia="en-US"/>
              </w:rPr>
            </w:pPr>
          </w:p>
          <w:p w:rsidR="008A2B9D" w:rsidRPr="00D3264B" w:rsidRDefault="008A2B9D" w:rsidP="00DA22BA">
            <w:pPr>
              <w:rPr>
                <w:rFonts w:eastAsiaTheme="minorHAnsi" w:cs="Arial"/>
                <w:sz w:val="20"/>
                <w:lang w:eastAsia="en-US"/>
              </w:rPr>
            </w:pPr>
            <w:r w:rsidRPr="00D3264B">
              <w:rPr>
                <w:sz w:val="20"/>
                <w:lang w:eastAsia="en-US"/>
              </w:rPr>
              <w:t xml:space="preserve">No concessions or part year reductions. </w:t>
            </w:r>
          </w:p>
        </w:tc>
      </w:tr>
      <w:tr w:rsidR="008A2B9D" w:rsidRPr="00D3264B" w:rsidTr="00DA22B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B9D" w:rsidRPr="00D3264B" w:rsidRDefault="008A2B9D" w:rsidP="00DA22BA">
            <w:pPr>
              <w:rPr>
                <w:rFonts w:eastAsiaTheme="minorHAnsi" w:cs="Arial"/>
                <w:sz w:val="20"/>
                <w:lang w:eastAsia="en-US"/>
              </w:rPr>
            </w:pPr>
            <w:r w:rsidRPr="00D3264B">
              <w:rPr>
                <w:sz w:val="20"/>
                <w:lang w:eastAsia="en-US"/>
              </w:rPr>
              <w:t>Welwyn Hatfield Borough Council</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sz w:val="20"/>
                <w:lang w:eastAsia="en-US"/>
              </w:rPr>
              <w:t>£35</w:t>
            </w:r>
          </w:p>
          <w:p w:rsidR="008A2B9D" w:rsidRPr="00D3264B" w:rsidRDefault="008A2B9D" w:rsidP="00DA22BA">
            <w:pPr>
              <w:rPr>
                <w:sz w:val="20"/>
                <w:lang w:eastAsia="en-US"/>
              </w:rPr>
            </w:pPr>
          </w:p>
          <w:p w:rsidR="008A2B9D" w:rsidRPr="00D3264B" w:rsidRDefault="008A2B9D" w:rsidP="00DA22BA">
            <w:pPr>
              <w:rPr>
                <w:rFonts w:eastAsiaTheme="minorHAnsi" w:cs="Arial"/>
                <w:sz w:val="20"/>
                <w:lang w:eastAsia="en-US"/>
              </w:rPr>
            </w:pPr>
            <w:r w:rsidRPr="00D3264B">
              <w:rPr>
                <w:sz w:val="20"/>
                <w:lang w:eastAsia="en-US"/>
              </w:rPr>
              <w:t xml:space="preserve">No concessions or part year reductions. </w:t>
            </w:r>
          </w:p>
        </w:tc>
        <w:tc>
          <w:tcPr>
            <w:tcW w:w="3101"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sz w:val="20"/>
                <w:lang w:eastAsia="en-US"/>
              </w:rPr>
              <w:t>£60</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A maximum of two bins.</w:t>
            </w:r>
          </w:p>
          <w:p w:rsidR="008A2B9D" w:rsidRPr="00D3264B" w:rsidRDefault="008A2B9D" w:rsidP="00DA22BA">
            <w:pPr>
              <w:rPr>
                <w:sz w:val="20"/>
                <w:lang w:eastAsia="en-US"/>
              </w:rPr>
            </w:pPr>
          </w:p>
          <w:p w:rsidR="008A2B9D" w:rsidRPr="00D3264B" w:rsidRDefault="008A2B9D" w:rsidP="00DA22BA">
            <w:pPr>
              <w:rPr>
                <w:rFonts w:eastAsiaTheme="minorHAnsi" w:cs="Arial"/>
                <w:sz w:val="20"/>
                <w:lang w:eastAsia="en-US"/>
              </w:rPr>
            </w:pPr>
            <w:r w:rsidRPr="00D3264B">
              <w:rPr>
                <w:sz w:val="20"/>
                <w:lang w:eastAsia="en-US"/>
              </w:rPr>
              <w:t xml:space="preserve">No concessions or part year reductions. </w:t>
            </w:r>
          </w:p>
        </w:tc>
      </w:tr>
      <w:tr w:rsidR="008A2B9D" w:rsidRPr="00D3264B" w:rsidTr="00DA22B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B9D" w:rsidRPr="00D3264B" w:rsidRDefault="008A2B9D" w:rsidP="00DA22BA">
            <w:pPr>
              <w:rPr>
                <w:rFonts w:eastAsiaTheme="minorHAnsi" w:cs="Arial"/>
                <w:sz w:val="20"/>
                <w:lang w:eastAsia="en-US"/>
              </w:rPr>
            </w:pPr>
            <w:r w:rsidRPr="00D3264B">
              <w:rPr>
                <w:sz w:val="20"/>
                <w:lang w:eastAsia="en-US"/>
              </w:rPr>
              <w:t>Broxbourne Borough Council</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sz w:val="20"/>
                <w:lang w:eastAsia="en-US"/>
              </w:rPr>
              <w:t>£34</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 xml:space="preserve">£39 if </w:t>
            </w:r>
            <w:proofErr w:type="gramStart"/>
            <w:r w:rsidRPr="00D3264B">
              <w:rPr>
                <w:sz w:val="20"/>
                <w:lang w:eastAsia="en-US"/>
              </w:rPr>
              <w:t>not paying</w:t>
            </w:r>
            <w:proofErr w:type="gramEnd"/>
            <w:r w:rsidRPr="00D3264B">
              <w:rPr>
                <w:sz w:val="20"/>
                <w:lang w:eastAsia="en-US"/>
              </w:rPr>
              <w:t xml:space="preserve"> by Direct Debit. </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No concessions or part year reductions. (no signs ups allowed from 1</w:t>
            </w:r>
            <w:r w:rsidRPr="00D3264B">
              <w:rPr>
                <w:sz w:val="20"/>
                <w:vertAlign w:val="superscript"/>
                <w:lang w:eastAsia="en-US"/>
              </w:rPr>
              <w:t>st</w:t>
            </w:r>
            <w:r w:rsidRPr="00D3264B">
              <w:rPr>
                <w:sz w:val="20"/>
                <w:lang w:eastAsia="en-US"/>
              </w:rPr>
              <w:t xml:space="preserve"> December to 31</w:t>
            </w:r>
            <w:r w:rsidRPr="00D3264B">
              <w:rPr>
                <w:sz w:val="20"/>
                <w:vertAlign w:val="superscript"/>
                <w:lang w:eastAsia="en-US"/>
              </w:rPr>
              <w:t>st</w:t>
            </w:r>
            <w:r w:rsidRPr="00D3264B">
              <w:rPr>
                <w:sz w:val="20"/>
                <w:lang w:eastAsia="en-US"/>
              </w:rPr>
              <w:t xml:space="preserve"> March)</w:t>
            </w:r>
          </w:p>
          <w:p w:rsidR="008A2B9D" w:rsidRPr="00D3264B" w:rsidRDefault="008A2B9D" w:rsidP="00DA22BA">
            <w:pPr>
              <w:rPr>
                <w:rFonts w:eastAsiaTheme="minorHAnsi" w:cs="Arial"/>
                <w:sz w:val="20"/>
                <w:lang w:eastAsia="en-US"/>
              </w:rPr>
            </w:pPr>
          </w:p>
        </w:tc>
        <w:tc>
          <w:tcPr>
            <w:tcW w:w="3101"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rFonts w:eastAsiaTheme="minorHAnsi" w:cs="Arial"/>
                <w:sz w:val="20"/>
                <w:lang w:eastAsia="en-US"/>
              </w:rPr>
              <w:t>£38.25 per bin plus annual subscription.</w:t>
            </w:r>
          </w:p>
          <w:p w:rsidR="008A2B9D" w:rsidRPr="00D3264B" w:rsidRDefault="008A2B9D" w:rsidP="00DA22BA">
            <w:pPr>
              <w:rPr>
                <w:rFonts w:eastAsiaTheme="minorHAnsi" w:cs="Arial"/>
                <w:sz w:val="20"/>
                <w:lang w:eastAsia="en-US"/>
              </w:rPr>
            </w:pPr>
          </w:p>
          <w:p w:rsidR="008A2B9D" w:rsidRPr="00D3264B" w:rsidRDefault="008A2B9D" w:rsidP="00DA22BA">
            <w:pPr>
              <w:rPr>
                <w:rFonts w:eastAsiaTheme="minorHAnsi" w:cs="Arial"/>
                <w:sz w:val="20"/>
                <w:lang w:eastAsia="en-US"/>
              </w:rPr>
            </w:pPr>
            <w:r w:rsidRPr="00D3264B">
              <w:rPr>
                <w:rFonts w:eastAsiaTheme="minorHAnsi" w:cs="Arial"/>
                <w:sz w:val="20"/>
                <w:lang w:eastAsia="en-US"/>
              </w:rPr>
              <w:t xml:space="preserve">No limit on number of bins. </w:t>
            </w:r>
          </w:p>
          <w:p w:rsidR="008A2B9D" w:rsidRPr="00D3264B" w:rsidRDefault="008A2B9D" w:rsidP="00DA22BA">
            <w:pPr>
              <w:rPr>
                <w:rFonts w:eastAsiaTheme="minorHAnsi" w:cs="Arial"/>
                <w:sz w:val="20"/>
                <w:lang w:eastAsia="en-US"/>
              </w:rPr>
            </w:pPr>
          </w:p>
          <w:p w:rsidR="008A2B9D" w:rsidRPr="00D3264B" w:rsidRDefault="008A2B9D" w:rsidP="00DA22BA">
            <w:pPr>
              <w:rPr>
                <w:rFonts w:eastAsiaTheme="minorHAnsi" w:cs="Arial"/>
                <w:sz w:val="20"/>
                <w:lang w:eastAsia="en-US"/>
              </w:rPr>
            </w:pPr>
            <w:r w:rsidRPr="00D3264B">
              <w:rPr>
                <w:rFonts w:eastAsiaTheme="minorHAnsi" w:cs="Arial"/>
                <w:sz w:val="20"/>
                <w:lang w:eastAsia="en-US"/>
              </w:rPr>
              <w:t xml:space="preserve">No concessions or part year reductions. </w:t>
            </w:r>
          </w:p>
        </w:tc>
      </w:tr>
      <w:tr w:rsidR="008A2B9D" w:rsidRPr="00D3264B" w:rsidTr="00DA22BA">
        <w:tc>
          <w:tcPr>
            <w:tcW w:w="2235" w:type="dxa"/>
            <w:tcBorders>
              <w:top w:val="nil"/>
              <w:left w:val="single" w:sz="8" w:space="0" w:color="auto"/>
              <w:bottom w:val="single" w:sz="8" w:space="0" w:color="auto"/>
              <w:right w:val="single" w:sz="8" w:space="0" w:color="auto"/>
            </w:tcBorders>
            <w:shd w:val="clear" w:color="auto" w:fill="808080"/>
            <w:tcMar>
              <w:top w:w="0" w:type="dxa"/>
              <w:left w:w="108" w:type="dxa"/>
              <w:bottom w:w="0" w:type="dxa"/>
              <w:right w:w="108" w:type="dxa"/>
            </w:tcMar>
          </w:tcPr>
          <w:p w:rsidR="008A2B9D" w:rsidRPr="00D3264B" w:rsidRDefault="008A2B9D" w:rsidP="00DA22BA">
            <w:pPr>
              <w:rPr>
                <w:rFonts w:eastAsiaTheme="minorHAnsi" w:cs="Arial"/>
                <w:sz w:val="20"/>
                <w:lang w:eastAsia="en-US"/>
              </w:rPr>
            </w:pPr>
          </w:p>
        </w:tc>
        <w:tc>
          <w:tcPr>
            <w:tcW w:w="3967" w:type="dxa"/>
            <w:tcBorders>
              <w:top w:val="nil"/>
              <w:left w:val="nil"/>
              <w:bottom w:val="single" w:sz="8" w:space="0" w:color="auto"/>
              <w:right w:val="single" w:sz="8" w:space="0" w:color="auto"/>
            </w:tcBorders>
            <w:shd w:val="clear" w:color="auto" w:fill="808080"/>
            <w:tcMar>
              <w:top w:w="0" w:type="dxa"/>
              <w:left w:w="108" w:type="dxa"/>
              <w:bottom w:w="0" w:type="dxa"/>
              <w:right w:w="108" w:type="dxa"/>
            </w:tcMar>
          </w:tcPr>
          <w:p w:rsidR="008A2B9D" w:rsidRPr="00D3264B" w:rsidRDefault="008A2B9D" w:rsidP="00DA22BA">
            <w:pPr>
              <w:rPr>
                <w:rFonts w:eastAsiaTheme="minorHAnsi" w:cs="Arial"/>
                <w:sz w:val="20"/>
                <w:lang w:eastAsia="en-US"/>
              </w:rPr>
            </w:pPr>
          </w:p>
        </w:tc>
        <w:tc>
          <w:tcPr>
            <w:tcW w:w="3101" w:type="dxa"/>
            <w:tcBorders>
              <w:top w:val="nil"/>
              <w:left w:val="nil"/>
              <w:bottom w:val="single" w:sz="8" w:space="0" w:color="auto"/>
              <w:right w:val="single" w:sz="8" w:space="0" w:color="auto"/>
            </w:tcBorders>
            <w:shd w:val="clear" w:color="auto" w:fill="808080"/>
            <w:tcMar>
              <w:top w:w="0" w:type="dxa"/>
              <w:left w:w="108" w:type="dxa"/>
              <w:bottom w:w="0" w:type="dxa"/>
              <w:right w:w="108" w:type="dxa"/>
            </w:tcMar>
          </w:tcPr>
          <w:p w:rsidR="008A2B9D" w:rsidRPr="00D3264B" w:rsidRDefault="008A2B9D" w:rsidP="00DA22BA">
            <w:pPr>
              <w:rPr>
                <w:rFonts w:eastAsiaTheme="minorHAnsi" w:cs="Arial"/>
                <w:sz w:val="20"/>
                <w:lang w:eastAsia="en-US"/>
              </w:rPr>
            </w:pPr>
          </w:p>
        </w:tc>
      </w:tr>
      <w:tr w:rsidR="008A2B9D" w:rsidRPr="00D3264B" w:rsidTr="00DA22B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B9D" w:rsidRPr="00D3264B" w:rsidRDefault="008A2B9D" w:rsidP="00DA22BA">
            <w:pPr>
              <w:rPr>
                <w:rFonts w:eastAsiaTheme="minorHAnsi" w:cs="Arial"/>
                <w:sz w:val="20"/>
                <w:lang w:eastAsia="en-US"/>
              </w:rPr>
            </w:pPr>
            <w:r w:rsidRPr="00D3264B">
              <w:rPr>
                <w:sz w:val="20"/>
                <w:lang w:eastAsia="en-US"/>
              </w:rPr>
              <w:t>Dacorum Borough Council</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sz w:val="20"/>
                <w:lang w:eastAsia="en-US"/>
              </w:rPr>
              <w:t>None.</w:t>
            </w:r>
          </w:p>
          <w:p w:rsidR="008A2B9D" w:rsidRPr="00D3264B" w:rsidRDefault="008A2B9D" w:rsidP="00DA22BA">
            <w:pPr>
              <w:rPr>
                <w:sz w:val="20"/>
                <w:lang w:eastAsia="en-US"/>
              </w:rPr>
            </w:pPr>
          </w:p>
          <w:p w:rsidR="008A2B9D" w:rsidRPr="00D3264B" w:rsidRDefault="008A2B9D" w:rsidP="00DA22BA">
            <w:pPr>
              <w:rPr>
                <w:rFonts w:eastAsiaTheme="minorHAnsi" w:cs="Arial"/>
                <w:sz w:val="20"/>
                <w:lang w:eastAsia="en-US"/>
              </w:rPr>
            </w:pPr>
            <w:r w:rsidRPr="00D3264B">
              <w:rPr>
                <w:sz w:val="20"/>
                <w:lang w:eastAsia="en-US"/>
              </w:rPr>
              <w:t>(food waste is collected separately)</w:t>
            </w:r>
          </w:p>
        </w:tc>
        <w:tc>
          <w:tcPr>
            <w:tcW w:w="3101"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sz w:val="20"/>
                <w:lang w:eastAsia="en-US"/>
              </w:rPr>
              <w:t xml:space="preserve">£25 to purchase each additional bin.  </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£50 annual charge to empty each additional bin.</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No limit on number of bins.</w:t>
            </w:r>
          </w:p>
          <w:p w:rsidR="008A2B9D" w:rsidRPr="00D3264B" w:rsidRDefault="008A2B9D" w:rsidP="00DA22BA">
            <w:pPr>
              <w:rPr>
                <w:sz w:val="20"/>
                <w:lang w:eastAsia="en-US"/>
              </w:rPr>
            </w:pPr>
          </w:p>
          <w:p w:rsidR="008A2B9D" w:rsidRPr="00D3264B" w:rsidRDefault="008A2B9D" w:rsidP="00DA22BA">
            <w:pPr>
              <w:rPr>
                <w:rFonts w:eastAsiaTheme="minorHAnsi" w:cs="Arial"/>
                <w:sz w:val="20"/>
                <w:lang w:eastAsia="en-US"/>
              </w:rPr>
            </w:pPr>
            <w:r w:rsidRPr="00D3264B">
              <w:rPr>
                <w:sz w:val="20"/>
                <w:lang w:eastAsia="en-US"/>
              </w:rPr>
              <w:t xml:space="preserve">No concessions or part year reductions. </w:t>
            </w:r>
          </w:p>
        </w:tc>
      </w:tr>
      <w:tr w:rsidR="008A2B9D" w:rsidRPr="00D3264B" w:rsidTr="00DA22BA">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A2B9D" w:rsidRPr="00D3264B" w:rsidRDefault="008A2B9D" w:rsidP="00DA22BA">
            <w:pPr>
              <w:rPr>
                <w:rFonts w:eastAsiaTheme="minorHAnsi" w:cs="Arial"/>
                <w:sz w:val="20"/>
                <w:lang w:eastAsia="en-US"/>
              </w:rPr>
            </w:pPr>
            <w:r w:rsidRPr="00D3264B">
              <w:rPr>
                <w:sz w:val="20"/>
                <w:lang w:eastAsia="en-US"/>
              </w:rPr>
              <w:t>Watford Borough Council</w:t>
            </w:r>
          </w:p>
        </w:tc>
        <w:tc>
          <w:tcPr>
            <w:tcW w:w="3967"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sz w:val="20"/>
                <w:lang w:eastAsia="en-US"/>
              </w:rPr>
              <w:t>None.</w:t>
            </w:r>
          </w:p>
          <w:p w:rsidR="008A2B9D" w:rsidRPr="00D3264B" w:rsidRDefault="008A2B9D" w:rsidP="00DA22BA">
            <w:pPr>
              <w:rPr>
                <w:sz w:val="20"/>
                <w:lang w:eastAsia="en-US"/>
              </w:rPr>
            </w:pPr>
          </w:p>
          <w:p w:rsidR="008A2B9D" w:rsidRPr="00D3264B" w:rsidRDefault="008A2B9D" w:rsidP="00DA22BA">
            <w:pPr>
              <w:rPr>
                <w:rFonts w:eastAsiaTheme="minorHAnsi" w:cs="Arial"/>
                <w:sz w:val="20"/>
                <w:lang w:eastAsia="en-US"/>
              </w:rPr>
            </w:pPr>
            <w:r w:rsidRPr="00D3264B">
              <w:rPr>
                <w:sz w:val="20"/>
                <w:lang w:eastAsia="en-US"/>
              </w:rPr>
              <w:t>(food waste included with green waste)</w:t>
            </w:r>
          </w:p>
        </w:tc>
        <w:tc>
          <w:tcPr>
            <w:tcW w:w="3101" w:type="dxa"/>
            <w:tcBorders>
              <w:top w:val="nil"/>
              <w:left w:val="nil"/>
              <w:bottom w:val="single" w:sz="8" w:space="0" w:color="auto"/>
              <w:right w:val="single" w:sz="8" w:space="0" w:color="auto"/>
            </w:tcBorders>
            <w:tcMar>
              <w:top w:w="0" w:type="dxa"/>
              <w:left w:w="108" w:type="dxa"/>
              <w:bottom w:w="0" w:type="dxa"/>
              <w:right w:w="108" w:type="dxa"/>
            </w:tcMar>
          </w:tcPr>
          <w:p w:rsidR="008A2B9D" w:rsidRPr="00D3264B" w:rsidRDefault="008A2B9D" w:rsidP="00DA22BA">
            <w:pPr>
              <w:rPr>
                <w:rFonts w:eastAsiaTheme="minorHAnsi" w:cs="Arial"/>
                <w:sz w:val="20"/>
                <w:lang w:eastAsia="en-US"/>
              </w:rPr>
            </w:pPr>
            <w:r w:rsidRPr="00D3264B">
              <w:rPr>
                <w:sz w:val="20"/>
                <w:lang w:eastAsia="en-US"/>
              </w:rPr>
              <w:t>£35</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A maximum of six bins</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£5 reduction for Council related benefits.</w:t>
            </w:r>
          </w:p>
          <w:p w:rsidR="008A2B9D" w:rsidRPr="00D3264B" w:rsidRDefault="008A2B9D" w:rsidP="00DA22BA">
            <w:pPr>
              <w:rPr>
                <w:sz w:val="20"/>
                <w:lang w:eastAsia="en-US"/>
              </w:rPr>
            </w:pPr>
          </w:p>
          <w:p w:rsidR="008A2B9D" w:rsidRPr="00D3264B" w:rsidRDefault="008A2B9D" w:rsidP="00DA22BA">
            <w:pPr>
              <w:rPr>
                <w:sz w:val="20"/>
                <w:lang w:eastAsia="en-US"/>
              </w:rPr>
            </w:pPr>
            <w:r w:rsidRPr="00D3264B">
              <w:rPr>
                <w:sz w:val="20"/>
                <w:lang w:eastAsia="en-US"/>
              </w:rPr>
              <w:t>50% reduction for part year payments (1</w:t>
            </w:r>
            <w:r w:rsidRPr="00D3264B">
              <w:rPr>
                <w:sz w:val="20"/>
                <w:vertAlign w:val="superscript"/>
                <w:lang w:eastAsia="en-US"/>
              </w:rPr>
              <w:t>st</w:t>
            </w:r>
            <w:r w:rsidRPr="00D3264B">
              <w:rPr>
                <w:sz w:val="20"/>
                <w:lang w:eastAsia="en-US"/>
              </w:rPr>
              <w:t xml:space="preserve"> Feb – 31</w:t>
            </w:r>
            <w:r w:rsidRPr="00D3264B">
              <w:rPr>
                <w:sz w:val="20"/>
                <w:vertAlign w:val="superscript"/>
                <w:lang w:eastAsia="en-US"/>
              </w:rPr>
              <w:t>st</w:t>
            </w:r>
            <w:r w:rsidRPr="00D3264B">
              <w:rPr>
                <w:sz w:val="20"/>
                <w:lang w:eastAsia="en-US"/>
              </w:rPr>
              <w:t xml:space="preserve"> May, bearing in mind their annual charge is from August-July). </w:t>
            </w:r>
          </w:p>
          <w:p w:rsidR="008A2B9D" w:rsidRPr="00D3264B" w:rsidRDefault="008A2B9D" w:rsidP="00DA22BA">
            <w:pPr>
              <w:rPr>
                <w:sz w:val="20"/>
                <w:lang w:eastAsia="en-US"/>
              </w:rPr>
            </w:pPr>
          </w:p>
          <w:p w:rsidR="008A2B9D" w:rsidRPr="00D3264B" w:rsidRDefault="008A2B9D" w:rsidP="00DA22BA">
            <w:pPr>
              <w:rPr>
                <w:rFonts w:eastAsiaTheme="minorHAnsi" w:cs="Arial"/>
                <w:sz w:val="20"/>
                <w:lang w:eastAsia="en-US"/>
              </w:rPr>
            </w:pPr>
            <w:r w:rsidRPr="00D3264B">
              <w:rPr>
                <w:sz w:val="20"/>
                <w:lang w:eastAsia="en-US"/>
              </w:rPr>
              <w:t>£5.50 for delivery of a bin, or residents can collect for free</w:t>
            </w:r>
            <w:r w:rsidR="00D3264B" w:rsidRPr="00D3264B">
              <w:rPr>
                <w:sz w:val="20"/>
                <w:lang w:eastAsia="en-US"/>
              </w:rPr>
              <w:t>.</w:t>
            </w:r>
          </w:p>
        </w:tc>
      </w:tr>
    </w:tbl>
    <w:p w:rsidR="00D3264B" w:rsidRDefault="00D3264B" w:rsidP="008A2B9D">
      <w:pPr>
        <w:rPr>
          <w:b/>
          <w:sz w:val="20"/>
        </w:rPr>
      </w:pPr>
    </w:p>
    <w:p w:rsidR="00D3264B" w:rsidRDefault="00D3264B" w:rsidP="008A2B9D">
      <w:pPr>
        <w:rPr>
          <w:b/>
          <w:sz w:val="20"/>
        </w:rPr>
      </w:pPr>
    </w:p>
    <w:p w:rsidR="00D3264B" w:rsidRDefault="00D3264B" w:rsidP="008A2B9D">
      <w:pPr>
        <w:rPr>
          <w:b/>
          <w:sz w:val="20"/>
        </w:rPr>
      </w:pPr>
    </w:p>
    <w:p w:rsidR="00D3264B" w:rsidRDefault="00D3264B" w:rsidP="008A2B9D">
      <w:pPr>
        <w:rPr>
          <w:b/>
          <w:sz w:val="20"/>
        </w:rPr>
      </w:pPr>
    </w:p>
    <w:p w:rsidR="00D3264B" w:rsidRDefault="00D3264B" w:rsidP="008A2B9D">
      <w:pPr>
        <w:rPr>
          <w:b/>
          <w:sz w:val="20"/>
        </w:rPr>
      </w:pPr>
    </w:p>
    <w:p w:rsidR="00D3264B" w:rsidRDefault="00D3264B" w:rsidP="008A2B9D">
      <w:pPr>
        <w:rPr>
          <w:b/>
          <w:sz w:val="20"/>
        </w:rPr>
      </w:pPr>
    </w:p>
    <w:p w:rsidR="008A2B9D" w:rsidRPr="00D3264B" w:rsidRDefault="008A2B9D" w:rsidP="008A2B9D">
      <w:pPr>
        <w:rPr>
          <w:b/>
          <w:sz w:val="20"/>
        </w:rPr>
      </w:pPr>
      <w:r w:rsidRPr="00D3264B">
        <w:rPr>
          <w:b/>
          <w:sz w:val="20"/>
        </w:rPr>
        <w:lastRenderedPageBreak/>
        <w:t>Appendix B – Draft Terms and Conditions</w:t>
      </w:r>
    </w:p>
    <w:p w:rsidR="008A2B9D" w:rsidRDefault="008A2B9D" w:rsidP="008A2B9D"/>
    <w:p w:rsidR="008A2B9D" w:rsidRPr="006F16F2" w:rsidRDefault="008A2B9D" w:rsidP="008A2B9D">
      <w:pPr>
        <w:widowControl w:val="0"/>
        <w:tabs>
          <w:tab w:val="clear" w:pos="1260"/>
          <w:tab w:val="clear" w:pos="1980"/>
          <w:tab w:val="clear" w:pos="2700"/>
          <w:tab w:val="clear" w:pos="3420"/>
        </w:tabs>
        <w:autoSpaceDE w:val="0"/>
        <w:autoSpaceDN w:val="0"/>
        <w:adjustRightInd w:val="0"/>
        <w:spacing w:line="239" w:lineRule="auto"/>
        <w:ind w:left="760"/>
        <w:jc w:val="left"/>
        <w:rPr>
          <w:rFonts w:ascii="Times New Roman" w:eastAsiaTheme="minorEastAsia" w:hAnsi="Times New Roman"/>
          <w:sz w:val="24"/>
          <w:szCs w:val="24"/>
        </w:rPr>
      </w:pPr>
      <w:bookmarkStart w:id="1" w:name="page1"/>
      <w:bookmarkEnd w:id="1"/>
      <w:r w:rsidRPr="006F16F2">
        <w:rPr>
          <w:rFonts w:ascii="Helvetica" w:eastAsiaTheme="minorEastAsia" w:hAnsi="Helvetica" w:cs="Helvetica"/>
          <w:b/>
          <w:bCs/>
          <w:szCs w:val="22"/>
        </w:rPr>
        <w:t>Terms and Conditions of the Garden Waste Subscription Service</w:t>
      </w:r>
      <w:r w:rsidR="00134AC7">
        <w:rPr>
          <w:rFonts w:ascii="Helvetica" w:eastAsiaTheme="minorEastAsia" w:hAnsi="Helvetica" w:cs="Helvetica"/>
          <w:b/>
          <w:bCs/>
          <w:szCs w:val="22"/>
        </w:rPr>
        <w:t xml:space="preserve"> 2018/19</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Times New Roman" w:eastAsiaTheme="minorEastAsia" w:hAnsi="Times New Roman"/>
          <w:sz w:val="24"/>
          <w:szCs w:val="24"/>
        </w:rPr>
      </w:pPr>
    </w:p>
    <w:p w:rsidR="008A2B9D" w:rsidRPr="006F16F2" w:rsidRDefault="008A2B9D" w:rsidP="008A2B9D">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This agreement is made between the resident (‘the customer’) and Three Rivers District Council (‘the Council’) of Three Rivers House, Northway, Rickmansworth, WD3 1RL and sets out the terms and conditions under which the customer may use the Council’s garden waste fortnightly collection service (‘the service)’ The Council may vary or change these terms and conditions at any time. You will be given 10 days written notice of any such changes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In line with the Distance Selling Regulations, you have seven working days from receipt of these Terms and Conditions to request cancellation of this service. Requests to cancel the service must be in writing to Waste Services, Three Rivers District Council, Three Rivers House, Northway, Rickmansworth WD3 1LU or emailed to enquiries@threerivers.gov.uk. Cancellations cannot be accepted by phone.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Collections for the garden waste service will only be available to customers who have subscribed for the service in advance. Our crew will not empty any brown garden waste bin that does not display a valid current sticker, with a unique reference number applicable to your property, unless instructed to by a supervisor. It is the responsibility of the customer to place the sticker on the brown garden waste bin. If your sticker becomes detached or lost, contact us on 01923 776611. We will not return to collect any brown garden waste bin which does not have a valid sticker on it.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EA70D7" w:rsidRDefault="008A2B9D" w:rsidP="008A2B9D">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Customer subscriptions are renewable annually. Only customers who have </w:t>
      </w:r>
      <w:r w:rsidRPr="00EA70D7">
        <w:rPr>
          <w:rFonts w:ascii="Helvetica" w:eastAsiaTheme="minorEastAsia" w:hAnsi="Helvetica" w:cs="Helvetica"/>
          <w:szCs w:val="22"/>
        </w:rPr>
        <w:t xml:space="preserve">paid their subscription in advance are eligible to receive the service. Renewed subscription is required every year on or before 15 March. You will be notified of any price increases at least 10 working days before this date. If you don’t pay by this date, we will withdraw the service.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The subscription consists of an annual charge for one brown garden waste bin to the customer which has been set by the Council for the period April to March at </w:t>
      </w:r>
      <w:r w:rsidRPr="00145CB3">
        <w:rPr>
          <w:rFonts w:ascii="Helvetica" w:eastAsiaTheme="minorEastAsia" w:hAnsi="Helvetica" w:cs="Helvetica"/>
          <w:szCs w:val="22"/>
        </w:rPr>
        <w:t>£</w:t>
      </w:r>
      <w:r w:rsidR="00145CB3">
        <w:rPr>
          <w:rFonts w:ascii="Helvetica" w:eastAsiaTheme="minorEastAsia" w:hAnsi="Helvetica" w:cs="Helvetica"/>
          <w:szCs w:val="22"/>
        </w:rPr>
        <w:t>XX</w:t>
      </w:r>
      <w:r w:rsidRPr="00145CB3">
        <w:rPr>
          <w:rFonts w:ascii="Helvetica" w:eastAsiaTheme="minorEastAsia" w:hAnsi="Helvetica" w:cs="Helvetica"/>
          <w:szCs w:val="22"/>
        </w:rPr>
        <w:t>. Customers in receipt of Council-administered benefits will be entitled to a concessionary rate of £</w:t>
      </w:r>
      <w:r w:rsidR="00145CB3">
        <w:rPr>
          <w:rFonts w:ascii="Helvetica" w:eastAsiaTheme="minorEastAsia" w:hAnsi="Helvetica" w:cs="Helvetica"/>
          <w:szCs w:val="22"/>
        </w:rPr>
        <w:t>XX</w:t>
      </w:r>
      <w:r w:rsidRPr="00145CB3">
        <w:rPr>
          <w:rFonts w:ascii="Helvetica" w:eastAsiaTheme="minorEastAsia" w:hAnsi="Helvetica" w:cs="Helvetica"/>
          <w:szCs w:val="22"/>
        </w:rPr>
        <w:t>. Subscription prices including concessionary rates are subject to review</w:t>
      </w:r>
      <w:r w:rsidRPr="006F16F2">
        <w:rPr>
          <w:rFonts w:ascii="Helvetica" w:eastAsiaTheme="minorEastAsia" w:hAnsi="Helvetica" w:cs="Helvetica"/>
          <w:szCs w:val="22"/>
        </w:rPr>
        <w:t xml:space="preserve"> at the Council’s discretion. </w:t>
      </w:r>
      <w:r w:rsidR="00237E81">
        <w:rPr>
          <w:rFonts w:ascii="Helvetica" w:eastAsiaTheme="minorEastAsia" w:hAnsi="Helvetica" w:cs="Helvetica"/>
          <w:szCs w:val="22"/>
        </w:rPr>
        <w:t xml:space="preserve">These prices include a </w:t>
      </w:r>
      <w:r w:rsidR="00440178">
        <w:rPr>
          <w:rFonts w:ascii="Helvetica" w:eastAsiaTheme="minorEastAsia" w:hAnsi="Helvetica" w:cs="Helvetica"/>
          <w:szCs w:val="22"/>
        </w:rPr>
        <w:t>discount</w:t>
      </w:r>
      <w:r w:rsidR="00237E81">
        <w:rPr>
          <w:rFonts w:ascii="Helvetica" w:eastAsiaTheme="minorEastAsia" w:hAnsi="Helvetica" w:cs="Helvetica"/>
          <w:szCs w:val="22"/>
        </w:rPr>
        <w:t xml:space="preserve"> for payment by Direct Debit.</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145CB3" w:rsidRDefault="008A2B9D" w:rsidP="008A2B9D">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ight="160"/>
        <w:rPr>
          <w:rFonts w:ascii="Helvetica" w:eastAsiaTheme="minorEastAsia" w:hAnsi="Helvetica" w:cs="Helvetica"/>
          <w:sz w:val="21"/>
          <w:szCs w:val="21"/>
        </w:rPr>
      </w:pPr>
      <w:r w:rsidRPr="00145CB3">
        <w:rPr>
          <w:rFonts w:ascii="Helvetica" w:eastAsiaTheme="minorEastAsia" w:hAnsi="Helvetica" w:cs="Helvetica"/>
          <w:sz w:val="21"/>
          <w:szCs w:val="21"/>
        </w:rPr>
        <w:t xml:space="preserve">There is the option of a maximum of three brown garden waste bins supplied per property. </w:t>
      </w:r>
      <w:r w:rsidRPr="00145CB3">
        <w:rPr>
          <w:rFonts w:ascii="Helvetica" w:eastAsiaTheme="minorEastAsia" w:hAnsi="Helvetica" w:cs="Helvetica"/>
          <w:bCs/>
          <w:sz w:val="21"/>
          <w:szCs w:val="21"/>
        </w:rPr>
        <w:t>The</w:t>
      </w:r>
      <w:r w:rsidRPr="00145CB3">
        <w:rPr>
          <w:rFonts w:ascii="Helvetica" w:eastAsiaTheme="minorEastAsia" w:hAnsi="Helvetica" w:cs="Helvetica"/>
          <w:sz w:val="21"/>
          <w:szCs w:val="21"/>
        </w:rPr>
        <w:t xml:space="preserve"> </w:t>
      </w:r>
      <w:r w:rsidRPr="00145CB3">
        <w:rPr>
          <w:rFonts w:ascii="Helvetica" w:eastAsiaTheme="minorEastAsia" w:hAnsi="Helvetica" w:cs="Helvetica"/>
          <w:bCs/>
          <w:sz w:val="21"/>
          <w:szCs w:val="21"/>
        </w:rPr>
        <w:t>second and third brown garden waste bin will each be charged at an additional £</w:t>
      </w:r>
      <w:r w:rsidR="00145CB3" w:rsidRPr="00145CB3">
        <w:rPr>
          <w:rFonts w:ascii="Helvetica" w:eastAsiaTheme="minorEastAsia" w:hAnsi="Helvetica" w:cs="Helvetica"/>
          <w:bCs/>
          <w:sz w:val="21"/>
          <w:szCs w:val="21"/>
        </w:rPr>
        <w:t>XX</w:t>
      </w:r>
      <w:r w:rsidRPr="00145CB3">
        <w:rPr>
          <w:rFonts w:ascii="Helvetica" w:eastAsiaTheme="minorEastAsia" w:hAnsi="Helvetica" w:cs="Helvetica"/>
          <w:bCs/>
          <w:sz w:val="21"/>
          <w:szCs w:val="21"/>
        </w:rPr>
        <w:t xml:space="preserve"> for all properties (no concessionary rate will apply to the second or third brown bin</w:t>
      </w:r>
      <w:r w:rsidRPr="00145CB3">
        <w:rPr>
          <w:rFonts w:ascii="Times" w:eastAsiaTheme="minorEastAsia" w:hAnsi="Times" w:cs="Times"/>
          <w:bCs/>
          <w:szCs w:val="22"/>
        </w:rPr>
        <w:t>)</w:t>
      </w:r>
      <w:r w:rsidRPr="00145CB3">
        <w:rPr>
          <w:rFonts w:ascii="Times" w:eastAsiaTheme="minorEastAsia" w:hAnsi="Times" w:cs="Times"/>
          <w:szCs w:val="22"/>
        </w:rPr>
        <w:t>.</w:t>
      </w:r>
      <w:r w:rsidRPr="00145CB3">
        <w:rPr>
          <w:rFonts w:ascii="Helvetica" w:eastAsiaTheme="minorEastAsia" w:hAnsi="Helvetica" w:cs="Helvetica"/>
          <w:bCs/>
          <w:sz w:val="21"/>
          <w:szCs w:val="21"/>
        </w:rPr>
        <w:t xml:space="preserve">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 w:val="21"/>
          <w:szCs w:val="21"/>
        </w:rPr>
      </w:pPr>
    </w:p>
    <w:p w:rsidR="008A2B9D" w:rsidRPr="006F16F2" w:rsidRDefault="008A2B9D" w:rsidP="008A2B9D">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Customers who join the scheme during the first 6 months of the financial year (April to September inclusive) will be expected to pay the full costs. However, there will be a 50% reduction for those joining between October and March of any one year. The 50% half year reduction only applies to the first bin.  Second and third bins are charged at the full annual rate regardless of when they are paid for in the year.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145CB3" w:rsidRPr="00237E81" w:rsidRDefault="008A2B9D" w:rsidP="00145CB3">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For new subscriptions initial payments are made by credit or debit card. Customers are requested to then complete a direct debit mandate for all future payments. </w:t>
      </w:r>
      <w:r w:rsidRPr="006F16F2">
        <w:rPr>
          <w:rFonts w:eastAsiaTheme="minorEastAsia" w:cs="Arial"/>
          <w:szCs w:val="22"/>
        </w:rPr>
        <w:t>There will be a surcharge of £5 to cover administration costs for anyone not providing direct debit details for future payments from April 2017 onwards.</w:t>
      </w:r>
      <w:r w:rsidR="00237E81">
        <w:rPr>
          <w:rFonts w:eastAsiaTheme="minorEastAsia" w:cs="Arial"/>
          <w:szCs w:val="22"/>
        </w:rPr>
        <w:t xml:space="preserve">  This does not include card handling fees, which are paid by the Council.</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Default="008A2B9D" w:rsidP="008A2B9D">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The Council empties brown garden waste bins fortnightly, except for a short period over Christmas and New Year or when other factors affect the service, such as extreme </w:t>
      </w:r>
      <w:r w:rsidRPr="006F16F2">
        <w:rPr>
          <w:rFonts w:ascii="Helvetica" w:eastAsiaTheme="minorEastAsia" w:hAnsi="Helvetica" w:cs="Helvetica"/>
          <w:szCs w:val="22"/>
        </w:rPr>
        <w:lastRenderedPageBreak/>
        <w:t xml:space="preserve">weather conditions. If we miss your brown garden waste bin, we will do our best to collect it as soon as possible. </w:t>
      </w:r>
    </w:p>
    <w:p w:rsidR="008A2B9D" w:rsidRPr="006F16F2" w:rsidRDefault="008A2B9D" w:rsidP="008A2B9D">
      <w:pPr>
        <w:widowControl w:val="0"/>
        <w:tabs>
          <w:tab w:val="clear" w:pos="1260"/>
          <w:tab w:val="clear" w:pos="1980"/>
          <w:tab w:val="clear" w:pos="2700"/>
          <w:tab w:val="clear" w:pos="3420"/>
        </w:tabs>
        <w:overflowPunct w:val="0"/>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360"/>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We will not return to empty and do not give refunds for missing or being unable to empty a brown garden waste bin for access issues, if the bin was not on the boundary (except assisted collection), contaminated, too heavy or due to frozen contents. Refunds will only be issued in the following exceptional circumstances, as detailed below.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Times New Roman" w:eastAsiaTheme="minorEastAsia" w:hAnsi="Times New Roman"/>
          <w:sz w:val="24"/>
          <w:szCs w:val="24"/>
        </w:rPr>
      </w:pPr>
      <w:bookmarkStart w:id="2" w:name="page2"/>
      <w:bookmarkEnd w:id="2"/>
    </w:p>
    <w:p w:rsidR="008A2B9D" w:rsidRPr="006F16F2" w:rsidRDefault="008A2B9D" w:rsidP="008A2B9D">
      <w:pPr>
        <w:widowControl w:val="0"/>
        <w:numPr>
          <w:ilvl w:val="0"/>
          <w:numId w:val="1"/>
        </w:numPr>
        <w:tabs>
          <w:tab w:val="clear" w:pos="1260"/>
          <w:tab w:val="clear" w:pos="1980"/>
          <w:tab w:val="clear" w:pos="2700"/>
          <w:tab w:val="clear" w:pos="3420"/>
          <w:tab w:val="num" w:pos="284"/>
        </w:tabs>
        <w:overflowPunct w:val="0"/>
        <w:autoSpaceDE w:val="0"/>
        <w:autoSpaceDN w:val="0"/>
        <w:adjustRightInd w:val="0"/>
        <w:ind w:left="426" w:hanging="426"/>
        <w:rPr>
          <w:rFonts w:ascii="Helvetica" w:eastAsiaTheme="minorEastAsia" w:hAnsi="Helvetica" w:cs="Helvetica"/>
          <w:szCs w:val="22"/>
        </w:rPr>
      </w:pPr>
      <w:r w:rsidRPr="006F16F2">
        <w:rPr>
          <w:rFonts w:ascii="Helvetica" w:eastAsiaTheme="minorEastAsia" w:hAnsi="Helvetica" w:cs="Helvetica"/>
          <w:szCs w:val="22"/>
        </w:rPr>
        <w:t xml:space="preserve">Partial refunds, for the service, depending upon the given facts, will only be considered where there has been a complete service failure as detailed below: </w:t>
      </w:r>
    </w:p>
    <w:p w:rsidR="008A2B9D" w:rsidRPr="006F16F2" w:rsidRDefault="008A2B9D" w:rsidP="008A2B9D">
      <w:pPr>
        <w:widowControl w:val="0"/>
        <w:tabs>
          <w:tab w:val="clear" w:pos="1260"/>
          <w:tab w:val="clear" w:pos="1980"/>
          <w:tab w:val="clear" w:pos="2700"/>
          <w:tab w:val="clear" w:pos="3420"/>
          <w:tab w:val="num" w:pos="284"/>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1"/>
          <w:numId w:val="1"/>
        </w:numPr>
        <w:tabs>
          <w:tab w:val="clear" w:pos="1260"/>
          <w:tab w:val="clear" w:pos="1980"/>
          <w:tab w:val="clear" w:pos="2700"/>
          <w:tab w:val="clear" w:pos="3420"/>
          <w:tab w:val="num" w:pos="284"/>
        </w:tabs>
        <w:overflowPunct w:val="0"/>
        <w:autoSpaceDE w:val="0"/>
        <w:autoSpaceDN w:val="0"/>
        <w:adjustRightInd w:val="0"/>
        <w:ind w:left="426" w:hanging="66"/>
        <w:rPr>
          <w:rFonts w:ascii="Helvetica" w:eastAsiaTheme="minorEastAsia" w:hAnsi="Helvetica" w:cs="Helvetica"/>
          <w:szCs w:val="22"/>
        </w:rPr>
      </w:pPr>
      <w:r w:rsidRPr="006F16F2">
        <w:rPr>
          <w:rFonts w:ascii="Helvetica" w:eastAsiaTheme="minorEastAsia" w:hAnsi="Helvetica" w:cs="Helvetica"/>
          <w:szCs w:val="22"/>
        </w:rPr>
        <w:t xml:space="preserve">If the Council fail to deliver a brown garden waste bin within 6 weeks of the date on which the customer should have had their first collection, and/or </w:t>
      </w:r>
    </w:p>
    <w:p w:rsidR="008A2B9D" w:rsidRPr="006F16F2" w:rsidRDefault="008A2B9D" w:rsidP="008A2B9D">
      <w:pPr>
        <w:widowControl w:val="0"/>
        <w:tabs>
          <w:tab w:val="clear" w:pos="1260"/>
          <w:tab w:val="clear" w:pos="1980"/>
          <w:tab w:val="clear" w:pos="2700"/>
          <w:tab w:val="clear" w:pos="3420"/>
          <w:tab w:val="num" w:pos="284"/>
        </w:tabs>
        <w:autoSpaceDE w:val="0"/>
        <w:autoSpaceDN w:val="0"/>
        <w:adjustRightInd w:val="0"/>
        <w:ind w:left="426" w:hanging="66"/>
        <w:rPr>
          <w:rFonts w:ascii="Helvetica" w:eastAsiaTheme="minorEastAsia" w:hAnsi="Helvetica" w:cs="Helvetica"/>
          <w:szCs w:val="22"/>
        </w:rPr>
      </w:pPr>
    </w:p>
    <w:p w:rsidR="008A2B9D" w:rsidRPr="006F16F2" w:rsidRDefault="008A2B9D" w:rsidP="008A2B9D">
      <w:pPr>
        <w:widowControl w:val="0"/>
        <w:numPr>
          <w:ilvl w:val="1"/>
          <w:numId w:val="1"/>
        </w:numPr>
        <w:tabs>
          <w:tab w:val="clear" w:pos="1260"/>
          <w:tab w:val="clear" w:pos="1980"/>
          <w:tab w:val="clear" w:pos="2700"/>
          <w:tab w:val="clear" w:pos="3420"/>
          <w:tab w:val="num" w:pos="284"/>
        </w:tabs>
        <w:overflowPunct w:val="0"/>
        <w:autoSpaceDE w:val="0"/>
        <w:autoSpaceDN w:val="0"/>
        <w:adjustRightInd w:val="0"/>
        <w:ind w:left="426" w:hanging="66"/>
        <w:rPr>
          <w:rFonts w:ascii="Helvetica" w:eastAsiaTheme="minorEastAsia" w:hAnsi="Helvetica" w:cs="Helvetica"/>
          <w:szCs w:val="22"/>
        </w:rPr>
      </w:pPr>
      <w:r w:rsidRPr="006F16F2">
        <w:rPr>
          <w:rFonts w:ascii="Helvetica" w:eastAsiaTheme="minorEastAsia" w:hAnsi="Helvetica" w:cs="Helvetica"/>
          <w:szCs w:val="22"/>
        </w:rPr>
        <w:t xml:space="preserve">If the Council fail to replace a brown garden waste bin within 6 weeks of the date on which the Council reported that they had damaged a brown garden waste bin; and/or </w:t>
      </w:r>
    </w:p>
    <w:p w:rsidR="008A2B9D" w:rsidRPr="006F16F2" w:rsidRDefault="008A2B9D" w:rsidP="008A2B9D">
      <w:pPr>
        <w:widowControl w:val="0"/>
        <w:tabs>
          <w:tab w:val="clear" w:pos="1260"/>
          <w:tab w:val="clear" w:pos="1980"/>
          <w:tab w:val="clear" w:pos="2700"/>
          <w:tab w:val="clear" w:pos="3420"/>
          <w:tab w:val="num" w:pos="284"/>
        </w:tabs>
        <w:autoSpaceDE w:val="0"/>
        <w:autoSpaceDN w:val="0"/>
        <w:adjustRightInd w:val="0"/>
        <w:ind w:left="426" w:hanging="66"/>
        <w:rPr>
          <w:rFonts w:ascii="Helvetica" w:eastAsiaTheme="minorEastAsia" w:hAnsi="Helvetica" w:cs="Helvetica"/>
          <w:szCs w:val="22"/>
        </w:rPr>
      </w:pPr>
    </w:p>
    <w:p w:rsidR="008A2B9D" w:rsidRPr="006F16F2" w:rsidRDefault="008A2B9D" w:rsidP="008A2B9D">
      <w:pPr>
        <w:widowControl w:val="0"/>
        <w:numPr>
          <w:ilvl w:val="1"/>
          <w:numId w:val="1"/>
        </w:numPr>
        <w:tabs>
          <w:tab w:val="clear" w:pos="1260"/>
          <w:tab w:val="clear" w:pos="1980"/>
          <w:tab w:val="clear" w:pos="2700"/>
          <w:tab w:val="clear" w:pos="3420"/>
          <w:tab w:val="num" w:pos="284"/>
        </w:tabs>
        <w:overflowPunct w:val="0"/>
        <w:autoSpaceDE w:val="0"/>
        <w:autoSpaceDN w:val="0"/>
        <w:adjustRightInd w:val="0"/>
        <w:ind w:left="426" w:hanging="66"/>
        <w:rPr>
          <w:rFonts w:ascii="Helvetica" w:eastAsiaTheme="minorEastAsia" w:hAnsi="Helvetica" w:cs="Helvetica"/>
          <w:szCs w:val="22"/>
        </w:rPr>
      </w:pPr>
      <w:r w:rsidRPr="006F16F2">
        <w:rPr>
          <w:rFonts w:ascii="Helvetica" w:eastAsiaTheme="minorEastAsia" w:hAnsi="Helvetica" w:cs="Helvetica"/>
          <w:szCs w:val="22"/>
        </w:rPr>
        <w:t xml:space="preserve">If, without reasonable cause, the Council fail to rectify a report of a missed garden waste collection on 3 consecutive cycles.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284"/>
        </w:tabs>
        <w:overflowPunct w:val="0"/>
        <w:autoSpaceDE w:val="0"/>
        <w:autoSpaceDN w:val="0"/>
        <w:adjustRightInd w:val="0"/>
        <w:ind w:left="360" w:hanging="426"/>
        <w:rPr>
          <w:rFonts w:ascii="Helvetica" w:eastAsiaTheme="minorEastAsia" w:hAnsi="Helvetica" w:cs="Helvetica"/>
          <w:szCs w:val="22"/>
        </w:rPr>
      </w:pPr>
      <w:r w:rsidRPr="006F16F2">
        <w:rPr>
          <w:rFonts w:ascii="Helvetica" w:eastAsiaTheme="minorEastAsia" w:hAnsi="Helvetica" w:cs="Helvetica"/>
          <w:szCs w:val="22"/>
        </w:rPr>
        <w:t xml:space="preserve"> Customers will be responsible for the brown garden waste bins, which must remain with the property in the event of the customer(s) moving home during the year. The new householder will therefore benefit from the provision of the garden waste brown bin (whether or not they sign up to the scheme) for the remainder of the year and there will be no refund payment to the former customer who has moved from that property.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284"/>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There are no refunds or part refunds for the cancellation of the service part way through the year. If there is evidence of misuse of the service or the brown garden waste bin by you, then the service may be cancelled. There will be no refund in these circumstances.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284"/>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Your brown garden waste bin(s) must only be used for garden waste from your property. Only garden waste may be placed loose in the bin. Garden waste includes grass cuttings, hedge clippings, tree </w:t>
      </w:r>
      <w:proofErr w:type="spellStart"/>
      <w:r w:rsidRPr="006F16F2">
        <w:rPr>
          <w:rFonts w:ascii="Helvetica" w:eastAsiaTheme="minorEastAsia" w:hAnsi="Helvetica" w:cs="Helvetica"/>
          <w:szCs w:val="22"/>
        </w:rPr>
        <w:t>loppings</w:t>
      </w:r>
      <w:proofErr w:type="spellEnd"/>
      <w:r w:rsidRPr="006F16F2">
        <w:rPr>
          <w:rFonts w:ascii="Helvetica" w:eastAsiaTheme="minorEastAsia" w:hAnsi="Helvetica" w:cs="Helvetica"/>
          <w:szCs w:val="22"/>
        </w:rPr>
        <w:t xml:space="preserve">, twigs, bark, leaves, straw, hay, flowers, plants, small branches, fallen fruit and rabbit bedding.  Unacceptable items are large branches, Japanese Knotweed, turf, earth, soil, stones, </w:t>
      </w:r>
      <w:proofErr w:type="gramStart"/>
      <w:r w:rsidRPr="006F16F2">
        <w:rPr>
          <w:rFonts w:ascii="Helvetica" w:eastAsiaTheme="minorEastAsia" w:hAnsi="Helvetica" w:cs="Helvetica"/>
          <w:szCs w:val="22"/>
        </w:rPr>
        <w:t>gravel</w:t>
      </w:r>
      <w:proofErr w:type="gramEnd"/>
      <w:r w:rsidRPr="006F16F2">
        <w:rPr>
          <w:rFonts w:ascii="Helvetica" w:eastAsiaTheme="minorEastAsia" w:hAnsi="Helvetica" w:cs="Helvetica"/>
          <w:szCs w:val="22"/>
        </w:rPr>
        <w:t>, wood that has been treated or painted, food or kitchen waste including peelings, cat or dog faeces, plastic trays, cat litter etc. No plastic of any kind may be put in the brown garden waste bin. Any such items will be treated as contamination.</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284"/>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Contaminated brown garden waste bins (i.e. bins containing incorrect materials) will not be emptied. If your brown garden waste bin is contaminated, it is your responsibility to remove the item(s) of contamination prior to the next collection. If the contamination continues, we may remove the brown garden waste bin(s). There will be no refunds issued for occasions on which your brown garden waste bin is not emptied, due to contamination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284"/>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The customer will be responsible for not overfilling the brown garden waste bin and making it too heavy for the bin lift. If a brown garden waste bin is left by the collectors, as it is deemed too heavy (more than 95kg), it will be the customers responsibility to remove a portion of the contents before next collection. The Council will not be responsible for returning to collect the brown garden waste bin before the next specified collection date and will not give a refund for the missed collection. Should the brown garden waste bin actually break on the bin lift, due to its being too heavy, the Council will reserve the right to recharge for a </w:t>
      </w:r>
      <w:proofErr w:type="gramStart"/>
      <w:r w:rsidRPr="006F16F2">
        <w:rPr>
          <w:rFonts w:ascii="Helvetica" w:eastAsiaTheme="minorEastAsia" w:hAnsi="Helvetica" w:cs="Helvetica"/>
          <w:szCs w:val="22"/>
        </w:rPr>
        <w:t>replacement.</w:t>
      </w:r>
      <w:proofErr w:type="gramEnd"/>
      <w:r w:rsidRPr="006F16F2">
        <w:rPr>
          <w:rFonts w:ascii="Helvetica" w:eastAsiaTheme="minorEastAsia" w:hAnsi="Helvetica" w:cs="Helvetica"/>
          <w:szCs w:val="22"/>
        </w:rPr>
        <w:t xml:space="preserve"> The Council will endeavour to deliver the replacement brown garden waste bin as quickly as possible, after payment is received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6F16F2" w:rsidRDefault="008A2B9D" w:rsidP="008A2B9D">
      <w:pPr>
        <w:widowControl w:val="0"/>
        <w:numPr>
          <w:ilvl w:val="0"/>
          <w:numId w:val="1"/>
        </w:numPr>
        <w:tabs>
          <w:tab w:val="clear" w:pos="1260"/>
          <w:tab w:val="clear" w:pos="1980"/>
          <w:tab w:val="clear" w:pos="2700"/>
          <w:tab w:val="clear" w:pos="3420"/>
          <w:tab w:val="num" w:pos="284"/>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The brown garden waste bin(s) must be presented at the property boundary by 6.00a.m. </w:t>
      </w:r>
      <w:proofErr w:type="gramStart"/>
      <w:r w:rsidRPr="006F16F2">
        <w:rPr>
          <w:rFonts w:ascii="Helvetica" w:eastAsiaTheme="minorEastAsia" w:hAnsi="Helvetica" w:cs="Helvetica"/>
          <w:szCs w:val="22"/>
        </w:rPr>
        <w:t>on</w:t>
      </w:r>
      <w:proofErr w:type="gramEnd"/>
      <w:r w:rsidRPr="006F16F2">
        <w:rPr>
          <w:rFonts w:ascii="Helvetica" w:eastAsiaTheme="minorEastAsia" w:hAnsi="Helvetica" w:cs="Helvetica"/>
          <w:szCs w:val="22"/>
        </w:rPr>
        <w:t xml:space="preserve"> the designated collection day. If the customer is unable to move it there they must apply to the Council in advance for an assisted collection. The bin lid(s) must be completely closed and no side waste will be collected, i.e. no extra waste next to the bin(s) or placed on the lid(s). </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Helvetica" w:eastAsiaTheme="minorEastAsia" w:hAnsi="Helvetica" w:cs="Helvetica"/>
          <w:szCs w:val="22"/>
        </w:rPr>
      </w:pPr>
    </w:p>
    <w:p w:rsidR="008A2B9D" w:rsidRPr="00EA70D7" w:rsidRDefault="008A2B9D" w:rsidP="008A2B9D">
      <w:pPr>
        <w:widowControl w:val="0"/>
        <w:numPr>
          <w:ilvl w:val="0"/>
          <w:numId w:val="1"/>
        </w:numPr>
        <w:tabs>
          <w:tab w:val="clear" w:pos="1260"/>
          <w:tab w:val="clear" w:pos="1980"/>
          <w:tab w:val="clear" w:pos="2700"/>
          <w:tab w:val="clear" w:pos="3420"/>
          <w:tab w:val="num" w:pos="284"/>
        </w:tabs>
        <w:overflowPunct w:val="0"/>
        <w:autoSpaceDE w:val="0"/>
        <w:autoSpaceDN w:val="0"/>
        <w:adjustRightInd w:val="0"/>
        <w:ind w:left="360"/>
        <w:rPr>
          <w:rFonts w:ascii="Helvetica" w:eastAsiaTheme="minorEastAsia" w:hAnsi="Helvetica" w:cs="Helvetica"/>
          <w:szCs w:val="22"/>
        </w:rPr>
      </w:pPr>
      <w:r w:rsidRPr="006F16F2">
        <w:rPr>
          <w:rFonts w:ascii="Helvetica" w:eastAsiaTheme="minorEastAsia" w:hAnsi="Helvetica" w:cs="Helvetica"/>
          <w:szCs w:val="22"/>
        </w:rPr>
        <w:t xml:space="preserve">The brown garden waste bin(s) is provided for use by Customers, but remains the property of the Council. Customers joining the Scheme may not receive a new brown garden waste bin, but will receive one which is washed and deemed fit for purpose. Garden waste presented in any other receptacle will not be collected. The only exception will be for real Christmas trees (free of all </w:t>
      </w:r>
      <w:bookmarkStart w:id="3" w:name="page3"/>
      <w:bookmarkEnd w:id="3"/>
      <w:r w:rsidRPr="00EA70D7">
        <w:rPr>
          <w:rFonts w:ascii="Helvetica" w:eastAsiaTheme="minorEastAsia" w:hAnsi="Helvetica" w:cs="Helvetica"/>
          <w:szCs w:val="22"/>
        </w:rPr>
        <w:t>decorations) in January, which will be collected if left out on garden waste collection week</w:t>
      </w:r>
    </w:p>
    <w:p w:rsidR="008A2B9D" w:rsidRPr="006F16F2" w:rsidRDefault="008A2B9D" w:rsidP="008A2B9D">
      <w:pPr>
        <w:widowControl w:val="0"/>
        <w:tabs>
          <w:tab w:val="clear" w:pos="1260"/>
          <w:tab w:val="clear" w:pos="1980"/>
          <w:tab w:val="clear" w:pos="2700"/>
          <w:tab w:val="clear" w:pos="3420"/>
        </w:tabs>
        <w:autoSpaceDE w:val="0"/>
        <w:autoSpaceDN w:val="0"/>
        <w:adjustRightInd w:val="0"/>
        <w:rPr>
          <w:rFonts w:ascii="Times New Roman" w:eastAsiaTheme="minorEastAsia" w:hAnsi="Times New Roman"/>
          <w:sz w:val="24"/>
          <w:szCs w:val="24"/>
        </w:rPr>
      </w:pPr>
    </w:p>
    <w:p w:rsidR="008A2B9D" w:rsidRDefault="008A2B9D" w:rsidP="008A2B9D">
      <w:pPr>
        <w:widowControl w:val="0"/>
        <w:numPr>
          <w:ilvl w:val="0"/>
          <w:numId w:val="1"/>
        </w:numPr>
        <w:tabs>
          <w:tab w:val="clear" w:pos="1260"/>
          <w:tab w:val="clear" w:pos="1980"/>
          <w:tab w:val="clear" w:pos="2700"/>
          <w:tab w:val="clear" w:pos="3420"/>
          <w:tab w:val="num" w:pos="284"/>
          <w:tab w:val="left" w:pos="426"/>
        </w:tabs>
        <w:overflowPunct w:val="0"/>
        <w:autoSpaceDE w:val="0"/>
        <w:autoSpaceDN w:val="0"/>
        <w:adjustRightInd w:val="0"/>
        <w:ind w:left="284" w:hanging="284"/>
        <w:rPr>
          <w:rFonts w:ascii="Helvetica" w:eastAsiaTheme="minorEastAsia" w:hAnsi="Helvetica" w:cs="Helvetica"/>
          <w:szCs w:val="22"/>
        </w:rPr>
      </w:pPr>
      <w:r w:rsidRPr="006F16F2">
        <w:rPr>
          <w:rFonts w:ascii="Helvetica" w:eastAsiaTheme="minorEastAsia" w:hAnsi="Helvetica" w:cs="Helvetica"/>
          <w:szCs w:val="22"/>
        </w:rPr>
        <w:t>If your brown garden waste bin becomes damaged we will repair or replace it, free of charge, as soon as is reasonably practical. However if the brown garden waste bin is damaged through neglect or misuse, the cost of repair or replacement may be recharged to you. If your brown garden waste bin is damaged, please c</w:t>
      </w:r>
      <w:r w:rsidR="00237E81">
        <w:rPr>
          <w:rFonts w:ascii="Helvetica" w:eastAsiaTheme="minorEastAsia" w:hAnsi="Helvetica" w:cs="Helvetica"/>
          <w:szCs w:val="22"/>
        </w:rPr>
        <w:t>all the Council on 01923 776611.</w:t>
      </w:r>
    </w:p>
    <w:p w:rsidR="00237E81" w:rsidRDefault="00237E81" w:rsidP="00237E81">
      <w:pPr>
        <w:pStyle w:val="ListParagraph"/>
        <w:rPr>
          <w:rFonts w:ascii="Helvetica" w:eastAsiaTheme="minorEastAsia" w:hAnsi="Helvetica" w:cs="Helvetica"/>
          <w:szCs w:val="22"/>
        </w:rPr>
      </w:pPr>
    </w:p>
    <w:p w:rsidR="00237E81" w:rsidRPr="006F16F2" w:rsidRDefault="00134AC7" w:rsidP="008A2B9D">
      <w:pPr>
        <w:widowControl w:val="0"/>
        <w:numPr>
          <w:ilvl w:val="0"/>
          <w:numId w:val="1"/>
        </w:numPr>
        <w:tabs>
          <w:tab w:val="clear" w:pos="1260"/>
          <w:tab w:val="clear" w:pos="1980"/>
          <w:tab w:val="clear" w:pos="2700"/>
          <w:tab w:val="clear" w:pos="3420"/>
          <w:tab w:val="num" w:pos="284"/>
          <w:tab w:val="left" w:pos="426"/>
        </w:tabs>
        <w:overflowPunct w:val="0"/>
        <w:autoSpaceDE w:val="0"/>
        <w:autoSpaceDN w:val="0"/>
        <w:adjustRightInd w:val="0"/>
        <w:ind w:left="284" w:hanging="284"/>
        <w:rPr>
          <w:rFonts w:ascii="Helvetica" w:eastAsiaTheme="minorEastAsia" w:hAnsi="Helvetica" w:cs="Helvetica"/>
          <w:szCs w:val="22"/>
        </w:rPr>
      </w:pPr>
      <w:r>
        <w:rPr>
          <w:rFonts w:ascii="Helvetica" w:eastAsiaTheme="minorEastAsia" w:hAnsi="Helvetica" w:cs="Helvetica"/>
          <w:szCs w:val="22"/>
        </w:rPr>
        <w:t>Should</w:t>
      </w:r>
      <w:r w:rsidR="00237E81">
        <w:rPr>
          <w:rFonts w:ascii="Helvetica" w:eastAsiaTheme="minorEastAsia" w:hAnsi="Helvetica" w:cs="Helvetica"/>
          <w:szCs w:val="22"/>
        </w:rPr>
        <w:t xml:space="preserve"> Direct Debit details be given, to receive the discounted rate, and subsequently cancelled, the £5 administration charge will apply for future sign ups. </w:t>
      </w:r>
    </w:p>
    <w:p w:rsidR="008A2B9D" w:rsidRDefault="008A2B9D" w:rsidP="008A2B9D"/>
    <w:p w:rsidR="008A2B9D" w:rsidRDefault="008A2B9D" w:rsidP="008A2B9D"/>
    <w:p w:rsidR="008A2B9D" w:rsidRDefault="008A2B9D" w:rsidP="008A2B9D"/>
    <w:p w:rsidR="008A2B9D" w:rsidRPr="00987E68" w:rsidRDefault="008A2B9D" w:rsidP="008A2B9D">
      <w:pPr>
        <w:tabs>
          <w:tab w:val="clear" w:pos="1260"/>
          <w:tab w:val="clear" w:pos="1980"/>
          <w:tab w:val="clear" w:pos="2700"/>
          <w:tab w:val="clear" w:pos="3420"/>
        </w:tabs>
        <w:rPr>
          <w:rFonts w:eastAsiaTheme="minorHAnsi" w:cs="Arial"/>
          <w:i/>
          <w:szCs w:val="22"/>
          <w:lang w:eastAsia="en-US"/>
        </w:rPr>
      </w:pPr>
    </w:p>
    <w:p w:rsidR="008A2B9D" w:rsidRDefault="008A2B9D"/>
    <w:p w:rsidR="008A2B9D" w:rsidRDefault="008A2B9D"/>
    <w:sectPr w:rsidR="008A2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TTE290F4F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9D"/>
    <w:rsid w:val="0008679E"/>
    <w:rsid w:val="00090D81"/>
    <w:rsid w:val="00134AC7"/>
    <w:rsid w:val="00145CB3"/>
    <w:rsid w:val="001C2F20"/>
    <w:rsid w:val="001E222D"/>
    <w:rsid w:val="0020324A"/>
    <w:rsid w:val="00212DD0"/>
    <w:rsid w:val="00237E81"/>
    <w:rsid w:val="00301763"/>
    <w:rsid w:val="00440178"/>
    <w:rsid w:val="004C46D2"/>
    <w:rsid w:val="0050543A"/>
    <w:rsid w:val="005125BF"/>
    <w:rsid w:val="005F055E"/>
    <w:rsid w:val="005F1F05"/>
    <w:rsid w:val="006474A4"/>
    <w:rsid w:val="00694EBE"/>
    <w:rsid w:val="007B499A"/>
    <w:rsid w:val="00802830"/>
    <w:rsid w:val="008717D7"/>
    <w:rsid w:val="008A2B9D"/>
    <w:rsid w:val="009F4DD5"/>
    <w:rsid w:val="00A47F0D"/>
    <w:rsid w:val="00AF60F1"/>
    <w:rsid w:val="00D3264B"/>
    <w:rsid w:val="00DF1308"/>
    <w:rsid w:val="00F2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9D"/>
    <w:pPr>
      <w:tabs>
        <w:tab w:val="left" w:pos="1260"/>
        <w:tab w:val="left" w:pos="1980"/>
        <w:tab w:val="left" w:pos="2700"/>
        <w:tab w:val="left" w:pos="3420"/>
      </w:tabs>
      <w:spacing w:after="0" w:line="240" w:lineRule="auto"/>
      <w:jc w:val="both"/>
    </w:pPr>
    <w:rPr>
      <w:rFonts w:ascii="Arial"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2B9D"/>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8A2B9D"/>
    <w:rPr>
      <w:rFonts w:ascii="Arial" w:hAnsi="Arial" w:cs="Times New Roman"/>
      <w:szCs w:val="20"/>
      <w:lang w:eastAsia="en-GB"/>
    </w:rPr>
  </w:style>
  <w:style w:type="paragraph" w:styleId="BodyTextIndent">
    <w:name w:val="Body Text Indent"/>
    <w:basedOn w:val="Normal"/>
    <w:link w:val="BodyTextIndentChar"/>
    <w:rsid w:val="008A2B9D"/>
    <w:pPr>
      <w:ind w:left="1276" w:hanging="1276"/>
    </w:pPr>
  </w:style>
  <w:style w:type="character" w:customStyle="1" w:styleId="BodyTextIndentChar">
    <w:name w:val="Body Text Indent Char"/>
    <w:basedOn w:val="DefaultParagraphFont"/>
    <w:link w:val="BodyTextIndent"/>
    <w:rsid w:val="008A2B9D"/>
    <w:rPr>
      <w:rFonts w:ascii="Arial" w:hAnsi="Arial" w:cs="Times New Roman"/>
      <w:szCs w:val="20"/>
      <w:lang w:eastAsia="en-GB"/>
    </w:rPr>
  </w:style>
  <w:style w:type="character" w:styleId="CommentReference">
    <w:name w:val="annotation reference"/>
    <w:basedOn w:val="DefaultParagraphFont"/>
    <w:uiPriority w:val="99"/>
    <w:semiHidden/>
    <w:unhideWhenUsed/>
    <w:rsid w:val="008A2B9D"/>
    <w:rPr>
      <w:sz w:val="16"/>
      <w:szCs w:val="16"/>
    </w:rPr>
  </w:style>
  <w:style w:type="paragraph" w:styleId="CommentText">
    <w:name w:val="annotation text"/>
    <w:basedOn w:val="Normal"/>
    <w:link w:val="CommentTextChar"/>
    <w:uiPriority w:val="99"/>
    <w:semiHidden/>
    <w:unhideWhenUsed/>
    <w:rsid w:val="008A2B9D"/>
    <w:rPr>
      <w:sz w:val="20"/>
    </w:rPr>
  </w:style>
  <w:style w:type="character" w:customStyle="1" w:styleId="CommentTextChar">
    <w:name w:val="Comment Text Char"/>
    <w:basedOn w:val="DefaultParagraphFont"/>
    <w:link w:val="CommentText"/>
    <w:uiPriority w:val="99"/>
    <w:semiHidden/>
    <w:rsid w:val="008A2B9D"/>
    <w:rPr>
      <w:rFonts w:ascii="Arial" w:hAnsi="Arial" w:cs="Times New Roman"/>
      <w:sz w:val="20"/>
      <w:szCs w:val="20"/>
      <w:lang w:eastAsia="en-GB"/>
    </w:rPr>
  </w:style>
  <w:style w:type="table" w:styleId="TableGrid">
    <w:name w:val="Table Grid"/>
    <w:basedOn w:val="TableNormal"/>
    <w:uiPriority w:val="39"/>
    <w:rsid w:val="008A2B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B9D"/>
    <w:rPr>
      <w:rFonts w:ascii="Tahoma" w:hAnsi="Tahoma" w:cs="Tahoma"/>
      <w:sz w:val="16"/>
      <w:szCs w:val="16"/>
    </w:rPr>
  </w:style>
  <w:style w:type="character" w:customStyle="1" w:styleId="BalloonTextChar">
    <w:name w:val="Balloon Text Char"/>
    <w:basedOn w:val="DefaultParagraphFont"/>
    <w:link w:val="BalloonText"/>
    <w:uiPriority w:val="99"/>
    <w:semiHidden/>
    <w:rsid w:val="008A2B9D"/>
    <w:rPr>
      <w:rFonts w:ascii="Tahoma" w:hAnsi="Tahoma" w:cs="Tahoma"/>
      <w:sz w:val="16"/>
      <w:szCs w:val="16"/>
      <w:lang w:eastAsia="en-GB"/>
    </w:rPr>
  </w:style>
  <w:style w:type="paragraph" w:styleId="ListParagraph">
    <w:name w:val="List Paragraph"/>
    <w:basedOn w:val="Normal"/>
    <w:uiPriority w:val="34"/>
    <w:qFormat/>
    <w:rsid w:val="00145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B9D"/>
    <w:pPr>
      <w:tabs>
        <w:tab w:val="left" w:pos="1260"/>
        <w:tab w:val="left" w:pos="1980"/>
        <w:tab w:val="left" w:pos="2700"/>
        <w:tab w:val="left" w:pos="3420"/>
      </w:tabs>
      <w:spacing w:after="0" w:line="240" w:lineRule="auto"/>
      <w:jc w:val="both"/>
    </w:pPr>
    <w:rPr>
      <w:rFonts w:ascii="Arial"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2B9D"/>
    <w:pPr>
      <w:tabs>
        <w:tab w:val="clear" w:pos="1260"/>
        <w:tab w:val="clear" w:pos="1980"/>
        <w:tab w:val="clear" w:pos="2700"/>
        <w:tab w:val="clear" w:pos="3420"/>
        <w:tab w:val="center" w:pos="4153"/>
        <w:tab w:val="right" w:pos="8306"/>
      </w:tabs>
    </w:pPr>
  </w:style>
  <w:style w:type="character" w:customStyle="1" w:styleId="HeaderChar">
    <w:name w:val="Header Char"/>
    <w:basedOn w:val="DefaultParagraphFont"/>
    <w:link w:val="Header"/>
    <w:uiPriority w:val="99"/>
    <w:rsid w:val="008A2B9D"/>
    <w:rPr>
      <w:rFonts w:ascii="Arial" w:hAnsi="Arial" w:cs="Times New Roman"/>
      <w:szCs w:val="20"/>
      <w:lang w:eastAsia="en-GB"/>
    </w:rPr>
  </w:style>
  <w:style w:type="paragraph" w:styleId="BodyTextIndent">
    <w:name w:val="Body Text Indent"/>
    <w:basedOn w:val="Normal"/>
    <w:link w:val="BodyTextIndentChar"/>
    <w:rsid w:val="008A2B9D"/>
    <w:pPr>
      <w:ind w:left="1276" w:hanging="1276"/>
    </w:pPr>
  </w:style>
  <w:style w:type="character" w:customStyle="1" w:styleId="BodyTextIndentChar">
    <w:name w:val="Body Text Indent Char"/>
    <w:basedOn w:val="DefaultParagraphFont"/>
    <w:link w:val="BodyTextIndent"/>
    <w:rsid w:val="008A2B9D"/>
    <w:rPr>
      <w:rFonts w:ascii="Arial" w:hAnsi="Arial" w:cs="Times New Roman"/>
      <w:szCs w:val="20"/>
      <w:lang w:eastAsia="en-GB"/>
    </w:rPr>
  </w:style>
  <w:style w:type="character" w:styleId="CommentReference">
    <w:name w:val="annotation reference"/>
    <w:basedOn w:val="DefaultParagraphFont"/>
    <w:uiPriority w:val="99"/>
    <w:semiHidden/>
    <w:unhideWhenUsed/>
    <w:rsid w:val="008A2B9D"/>
    <w:rPr>
      <w:sz w:val="16"/>
      <w:szCs w:val="16"/>
    </w:rPr>
  </w:style>
  <w:style w:type="paragraph" w:styleId="CommentText">
    <w:name w:val="annotation text"/>
    <w:basedOn w:val="Normal"/>
    <w:link w:val="CommentTextChar"/>
    <w:uiPriority w:val="99"/>
    <w:semiHidden/>
    <w:unhideWhenUsed/>
    <w:rsid w:val="008A2B9D"/>
    <w:rPr>
      <w:sz w:val="20"/>
    </w:rPr>
  </w:style>
  <w:style w:type="character" w:customStyle="1" w:styleId="CommentTextChar">
    <w:name w:val="Comment Text Char"/>
    <w:basedOn w:val="DefaultParagraphFont"/>
    <w:link w:val="CommentText"/>
    <w:uiPriority w:val="99"/>
    <w:semiHidden/>
    <w:rsid w:val="008A2B9D"/>
    <w:rPr>
      <w:rFonts w:ascii="Arial" w:hAnsi="Arial" w:cs="Times New Roman"/>
      <w:sz w:val="20"/>
      <w:szCs w:val="20"/>
      <w:lang w:eastAsia="en-GB"/>
    </w:rPr>
  </w:style>
  <w:style w:type="table" w:styleId="TableGrid">
    <w:name w:val="Table Grid"/>
    <w:basedOn w:val="TableNormal"/>
    <w:uiPriority w:val="39"/>
    <w:rsid w:val="008A2B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B9D"/>
    <w:rPr>
      <w:rFonts w:ascii="Tahoma" w:hAnsi="Tahoma" w:cs="Tahoma"/>
      <w:sz w:val="16"/>
      <w:szCs w:val="16"/>
    </w:rPr>
  </w:style>
  <w:style w:type="character" w:customStyle="1" w:styleId="BalloonTextChar">
    <w:name w:val="Balloon Text Char"/>
    <w:basedOn w:val="DefaultParagraphFont"/>
    <w:link w:val="BalloonText"/>
    <w:uiPriority w:val="99"/>
    <w:semiHidden/>
    <w:rsid w:val="008A2B9D"/>
    <w:rPr>
      <w:rFonts w:ascii="Tahoma" w:hAnsi="Tahoma" w:cs="Tahoma"/>
      <w:sz w:val="16"/>
      <w:szCs w:val="16"/>
      <w:lang w:eastAsia="en-GB"/>
    </w:rPr>
  </w:style>
  <w:style w:type="paragraph" w:styleId="ListParagraph">
    <w:name w:val="List Paragraph"/>
    <w:basedOn w:val="Normal"/>
    <w:uiPriority w:val="34"/>
    <w:qFormat/>
    <w:rsid w:val="0014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956">
      <w:bodyDiv w:val="1"/>
      <w:marLeft w:val="0"/>
      <w:marRight w:val="0"/>
      <w:marTop w:val="0"/>
      <w:marBottom w:val="0"/>
      <w:divBdr>
        <w:top w:val="none" w:sz="0" w:space="0" w:color="auto"/>
        <w:left w:val="none" w:sz="0" w:space="0" w:color="auto"/>
        <w:bottom w:val="none" w:sz="0" w:space="0" w:color="auto"/>
        <w:right w:val="none" w:sz="0" w:space="0" w:color="auto"/>
      </w:divBdr>
    </w:div>
    <w:div w:id="64383794">
      <w:bodyDiv w:val="1"/>
      <w:marLeft w:val="0"/>
      <w:marRight w:val="0"/>
      <w:marTop w:val="0"/>
      <w:marBottom w:val="0"/>
      <w:divBdr>
        <w:top w:val="none" w:sz="0" w:space="0" w:color="auto"/>
        <w:left w:val="none" w:sz="0" w:space="0" w:color="auto"/>
        <w:bottom w:val="none" w:sz="0" w:space="0" w:color="auto"/>
        <w:right w:val="none" w:sz="0" w:space="0" w:color="auto"/>
      </w:divBdr>
    </w:div>
    <w:div w:id="19149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2933</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Glenn</dc:creator>
  <cp:lastModifiedBy>Sarah Haythorpe</cp:lastModifiedBy>
  <cp:revision>9</cp:revision>
  <dcterms:created xsi:type="dcterms:W3CDTF">2017-11-21T07:56:00Z</dcterms:created>
  <dcterms:modified xsi:type="dcterms:W3CDTF">2017-11-29T11:36:00Z</dcterms:modified>
</cp:coreProperties>
</file>