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99" w:rsidRDefault="000D4B99" w:rsidP="00B7461B">
      <w:pPr>
        <w:jc w:val="center"/>
        <w:rPr>
          <w:b/>
          <w:i/>
        </w:rPr>
      </w:pP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 w:rsidR="00B7461B">
        <w:rPr>
          <w:b/>
        </w:rPr>
        <w:t>AUDIT</w:t>
      </w:r>
      <w:r>
        <w:rPr>
          <w:b/>
        </w:rPr>
        <w:t xml:space="preserve"> COMMITTEE </w:t>
      </w:r>
      <w:r w:rsidR="00B7461B">
        <w:rPr>
          <w:b/>
        </w:rPr>
        <w:t>–</w:t>
      </w:r>
      <w:r>
        <w:rPr>
          <w:b/>
        </w:rPr>
        <w:t xml:space="preserve"> </w:t>
      </w:r>
      <w:r w:rsidR="00226D34">
        <w:rPr>
          <w:b/>
        </w:rPr>
        <w:t>2</w:t>
      </w:r>
      <w:r w:rsidR="00CD716E">
        <w:rPr>
          <w:b/>
        </w:rPr>
        <w:t>8</w:t>
      </w:r>
      <w:r w:rsidR="00226D34">
        <w:rPr>
          <w:b/>
        </w:rPr>
        <w:t xml:space="preserve"> </w:t>
      </w:r>
      <w:r w:rsidR="00CD716E">
        <w:rPr>
          <w:b/>
        </w:rPr>
        <w:t>MARCH 2017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</w:p>
    <w:p w:rsidR="000D4B99" w:rsidRDefault="000D4B99">
      <w:pPr>
        <w:jc w:val="center"/>
      </w:pPr>
    </w:p>
    <w:p w:rsidR="000D4B99" w:rsidRDefault="000D4B99">
      <w:pPr>
        <w:jc w:val="center"/>
        <w:rPr>
          <w:i/>
          <w:color w:val="FF0000"/>
        </w:rPr>
      </w:pPr>
      <w:r>
        <w:rPr>
          <w:b/>
        </w:rPr>
        <w:t xml:space="preserve">PART 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 xml:space="preserve">I - 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>DELEGATED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</w:p>
    <w:p w:rsidR="00723221" w:rsidRDefault="00723221"/>
    <w:p w:rsidR="000D4B99" w:rsidRDefault="004D0BCD" w:rsidP="002D69A9">
      <w:pPr>
        <w:keepNext/>
        <w:ind w:left="1267" w:hanging="1267"/>
        <w:jc w:val="left"/>
        <w:rPr>
          <w:i/>
          <w:color w:val="FF0000"/>
        </w:rPr>
      </w:pPr>
      <w:r>
        <w:rPr>
          <w:b/>
        </w:rPr>
        <w:t>6</w:t>
      </w:r>
      <w:r w:rsidR="00B7461B">
        <w:rPr>
          <w:b/>
        </w:rPr>
        <w:t>.</w:t>
      </w:r>
      <w:r w:rsidR="00B7461B">
        <w:rPr>
          <w:b/>
        </w:rPr>
        <w:tab/>
      </w:r>
      <w:r w:rsidR="000D4B99">
        <w:rPr>
          <w:b/>
        </w:rPr>
        <w:fldChar w:fldCharType="begin"/>
      </w:r>
      <w:r w:rsidR="000D4B99">
        <w:rPr>
          <w:b/>
        </w:rPr>
        <w:instrText xml:space="preserve">  </w:instrText>
      </w:r>
      <w:r w:rsidR="000D4B99">
        <w:rPr>
          <w:b/>
        </w:rPr>
        <w:fldChar w:fldCharType="end"/>
      </w:r>
      <w:r w:rsidR="00EA46C8">
        <w:rPr>
          <w:b/>
        </w:rPr>
        <w:tab/>
      </w:r>
      <w:r w:rsidR="004356BA">
        <w:rPr>
          <w:b/>
        </w:rPr>
        <w:t xml:space="preserve">ANNUAL GOVERNANCE </w:t>
      </w:r>
      <w:r w:rsidR="00EA46C8">
        <w:rPr>
          <w:b/>
        </w:rPr>
        <w:t>STATEMENT</w:t>
      </w:r>
      <w:r w:rsidR="007D5741">
        <w:rPr>
          <w:b/>
        </w:rPr>
        <w:t xml:space="preserve"> (AGS)</w:t>
      </w:r>
      <w:r w:rsidR="00EA46C8">
        <w:rPr>
          <w:b/>
        </w:rPr>
        <w:t xml:space="preserve"> – ACTION PLAN UPDATE</w:t>
      </w:r>
      <w:r w:rsidR="000D4B99">
        <w:rPr>
          <w:b/>
        </w:rPr>
        <w:fldChar w:fldCharType="begin"/>
      </w:r>
      <w:r w:rsidR="000D4B99">
        <w:rPr>
          <w:b/>
        </w:rPr>
        <w:instrText xml:space="preserve">  </w:instrText>
      </w:r>
      <w:r w:rsidR="000D4B99">
        <w:rPr>
          <w:b/>
        </w:rPr>
        <w:fldChar w:fldCharType="end"/>
      </w:r>
    </w:p>
    <w:p w:rsidR="000D4B99" w:rsidRDefault="000D4B99">
      <w:pPr>
        <w:keepNext/>
        <w:ind w:left="1267" w:hanging="1267"/>
        <w:rPr>
          <w:i/>
          <w:color w:val="FF0000"/>
        </w:rPr>
      </w:pPr>
      <w:r>
        <w:rPr>
          <w:b/>
        </w:rPr>
        <w:tab/>
      </w:r>
      <w:r>
        <w:t>(</w:t>
      </w:r>
      <w:proofErr w:type="spellStart"/>
      <w:r w:rsidR="00A263A6">
        <w:t>DoF</w:t>
      </w:r>
      <w:proofErr w:type="spellEnd"/>
      <w:r>
        <w:fldChar w:fldCharType="begin"/>
      </w:r>
      <w:r>
        <w:instrText xml:space="preserve">  </w:instrText>
      </w:r>
      <w:r>
        <w:fldChar w:fldCharType="end"/>
      </w:r>
      <w:r>
        <w:t>)</w:t>
      </w:r>
      <w:r>
        <w:rPr>
          <w:b/>
          <w:i/>
          <w:sz w:val="24"/>
        </w:rPr>
        <w:fldChar w:fldCharType="begin"/>
      </w:r>
      <w:r>
        <w:rPr>
          <w:b/>
          <w:i/>
          <w:sz w:val="24"/>
        </w:rPr>
        <w:instrText xml:space="preserve">  </w:instrText>
      </w:r>
      <w:r>
        <w:rPr>
          <w:b/>
          <w:i/>
          <w:sz w:val="24"/>
        </w:rPr>
        <w:fldChar w:fldCharType="end"/>
      </w:r>
      <w:r>
        <w:rPr>
          <w:b/>
          <w:i/>
          <w:sz w:val="24"/>
        </w:rPr>
        <w:fldChar w:fldCharType="begin"/>
      </w:r>
      <w:r>
        <w:rPr>
          <w:b/>
          <w:i/>
          <w:sz w:val="24"/>
        </w:rPr>
        <w:instrText xml:space="preserve">  </w:instrText>
      </w:r>
      <w:r>
        <w:rPr>
          <w:b/>
          <w:i/>
          <w:sz w:val="24"/>
        </w:rPr>
        <w:fldChar w:fldCharType="end"/>
      </w:r>
    </w:p>
    <w:p w:rsidR="000D4B99" w:rsidRDefault="000D4B99">
      <w:pPr>
        <w:ind w:left="1267" w:hanging="1267"/>
      </w:pPr>
    </w:p>
    <w:p w:rsidR="000D4B99" w:rsidRDefault="000D4B99">
      <w:pPr>
        <w:keepNext/>
        <w:ind w:left="1267" w:hanging="1267"/>
      </w:pPr>
      <w:r>
        <w:t>1.</w:t>
      </w:r>
      <w:r>
        <w:tab/>
      </w:r>
      <w:r>
        <w:rPr>
          <w:b/>
        </w:rPr>
        <w:t>Summary</w:t>
      </w:r>
    </w:p>
    <w:p w:rsidR="000D4B99" w:rsidRDefault="000D4B99">
      <w:pPr>
        <w:keepNext/>
        <w:ind w:left="1267" w:hanging="1267"/>
      </w:pPr>
    </w:p>
    <w:p w:rsidR="00EA46C8" w:rsidRDefault="000D4B99">
      <w:pPr>
        <w:ind w:left="1267" w:hanging="1267"/>
      </w:pPr>
      <w:r>
        <w:t>1.1</w:t>
      </w:r>
      <w:r>
        <w:tab/>
      </w:r>
      <w:r w:rsidR="00B7461B">
        <w:t xml:space="preserve">This report gives </w:t>
      </w:r>
      <w:r w:rsidR="00EA46C8">
        <w:t xml:space="preserve">details of the progress resulting from the </w:t>
      </w:r>
      <w:r w:rsidR="004356BA">
        <w:t xml:space="preserve">Annual Governance </w:t>
      </w:r>
      <w:r w:rsidR="00EA46C8">
        <w:t>Statement.</w:t>
      </w:r>
    </w:p>
    <w:p w:rsidR="000D4B99" w:rsidRDefault="000D4B99">
      <w:pPr>
        <w:ind w:left="1267" w:hanging="1267"/>
      </w:pPr>
    </w:p>
    <w:p w:rsidR="000D4B99" w:rsidRDefault="000D4B99">
      <w:pPr>
        <w:keepNext/>
        <w:ind w:left="1267" w:hanging="1267"/>
        <w:rPr>
          <w:b/>
        </w:rPr>
      </w:pPr>
      <w:r>
        <w:t>2.</w:t>
      </w:r>
      <w:r>
        <w:tab/>
      </w:r>
      <w:r>
        <w:rPr>
          <w:b/>
        </w:rPr>
        <w:t>Details</w:t>
      </w:r>
    </w:p>
    <w:p w:rsidR="00F30E22" w:rsidRDefault="000D4B99" w:rsidP="00723221">
      <w:pPr>
        <w:spacing w:before="100" w:beforeAutospacing="1" w:after="100" w:afterAutospacing="1"/>
        <w:ind w:left="1276" w:hanging="1276"/>
        <w:rPr>
          <w:rFonts w:cs="Arial"/>
          <w:szCs w:val="22"/>
        </w:rPr>
      </w:pPr>
      <w:r w:rsidRPr="00723221">
        <w:rPr>
          <w:rFonts w:cs="Arial"/>
          <w:szCs w:val="22"/>
        </w:rPr>
        <w:t>2.1</w:t>
      </w:r>
      <w:r w:rsidRPr="00723221">
        <w:rPr>
          <w:rFonts w:cs="Arial"/>
          <w:szCs w:val="22"/>
        </w:rPr>
        <w:tab/>
      </w:r>
      <w:r w:rsidRPr="00723221">
        <w:rPr>
          <w:rFonts w:cs="Arial"/>
          <w:szCs w:val="22"/>
        </w:rPr>
        <w:fldChar w:fldCharType="begin"/>
      </w:r>
      <w:r w:rsidRPr="00723221">
        <w:rPr>
          <w:rFonts w:cs="Arial"/>
          <w:szCs w:val="22"/>
        </w:rPr>
        <w:instrText xml:space="preserve">  </w:instrText>
      </w:r>
      <w:r w:rsidRPr="00723221">
        <w:rPr>
          <w:rFonts w:cs="Arial"/>
          <w:szCs w:val="22"/>
        </w:rPr>
        <w:fldChar w:fldCharType="end"/>
      </w:r>
      <w:r w:rsidR="00B7461B">
        <w:rPr>
          <w:rFonts w:cs="Arial"/>
          <w:szCs w:val="22"/>
        </w:rPr>
        <w:t xml:space="preserve">The </w:t>
      </w:r>
      <w:r w:rsidR="00AF626C">
        <w:rPr>
          <w:rFonts w:cs="Arial"/>
          <w:szCs w:val="22"/>
        </w:rPr>
        <w:t>20</w:t>
      </w:r>
      <w:r w:rsidR="00FC1330">
        <w:rPr>
          <w:rFonts w:cs="Arial"/>
          <w:szCs w:val="22"/>
        </w:rPr>
        <w:t>1</w:t>
      </w:r>
      <w:r w:rsidR="00226D34">
        <w:rPr>
          <w:rFonts w:cs="Arial"/>
          <w:szCs w:val="22"/>
        </w:rPr>
        <w:t>5</w:t>
      </w:r>
      <w:r w:rsidR="00AF626C">
        <w:rPr>
          <w:rFonts w:cs="Arial"/>
          <w:szCs w:val="22"/>
        </w:rPr>
        <w:t>/1</w:t>
      </w:r>
      <w:r w:rsidR="00226D34">
        <w:rPr>
          <w:rFonts w:cs="Arial"/>
          <w:szCs w:val="22"/>
        </w:rPr>
        <w:t>6</w:t>
      </w:r>
      <w:r w:rsidR="00EA4937">
        <w:rPr>
          <w:rFonts w:cs="Arial"/>
          <w:szCs w:val="22"/>
        </w:rPr>
        <w:t xml:space="preserve"> </w:t>
      </w:r>
      <w:r w:rsidR="004356BA">
        <w:rPr>
          <w:rFonts w:cs="Arial"/>
          <w:szCs w:val="22"/>
        </w:rPr>
        <w:t>Annual Governance Stat</w:t>
      </w:r>
      <w:r w:rsidR="00B17F0A">
        <w:rPr>
          <w:rFonts w:cs="Arial"/>
          <w:szCs w:val="22"/>
        </w:rPr>
        <w:t xml:space="preserve">ement </w:t>
      </w:r>
      <w:r w:rsidR="00EA4937">
        <w:rPr>
          <w:rFonts w:cs="Arial"/>
          <w:szCs w:val="22"/>
        </w:rPr>
        <w:t>was</w:t>
      </w:r>
      <w:r w:rsidR="00B17F0A">
        <w:rPr>
          <w:rFonts w:cs="Arial"/>
          <w:szCs w:val="22"/>
        </w:rPr>
        <w:t xml:space="preserve"> published with the Statement of Accounts and contain</w:t>
      </w:r>
      <w:r w:rsidR="00DE55D8">
        <w:rPr>
          <w:rFonts w:cs="Arial"/>
          <w:szCs w:val="22"/>
        </w:rPr>
        <w:t>s</w:t>
      </w:r>
      <w:r w:rsidR="00B17F0A">
        <w:rPr>
          <w:rFonts w:cs="Arial"/>
          <w:szCs w:val="22"/>
        </w:rPr>
        <w:t xml:space="preserve"> a high level action plan to ensure continuous improvement of the system of internal control. An update of action taken is attached </w:t>
      </w:r>
      <w:r w:rsidR="00B7461B">
        <w:rPr>
          <w:rFonts w:cs="Arial"/>
          <w:szCs w:val="22"/>
        </w:rPr>
        <w:t>at Appendix 1.</w:t>
      </w:r>
      <w:r w:rsidR="006D4C70">
        <w:rPr>
          <w:rFonts w:cs="Arial"/>
          <w:szCs w:val="22"/>
        </w:rPr>
        <w:t xml:space="preserve"> </w:t>
      </w:r>
    </w:p>
    <w:p w:rsidR="007D5741" w:rsidRPr="007D5741" w:rsidRDefault="00F30E22" w:rsidP="004D0BCD">
      <w:pPr>
        <w:spacing w:before="100" w:beforeAutospacing="1" w:after="100" w:afterAutospacing="1"/>
        <w:ind w:left="1276" w:hanging="1276"/>
        <w:rPr>
          <w:szCs w:val="22"/>
        </w:rPr>
      </w:pPr>
      <w:r>
        <w:rPr>
          <w:rFonts w:cs="Arial"/>
          <w:szCs w:val="22"/>
        </w:rPr>
        <w:t>2.2</w:t>
      </w:r>
      <w:r>
        <w:rPr>
          <w:rFonts w:cs="Arial"/>
          <w:szCs w:val="22"/>
        </w:rPr>
        <w:tab/>
      </w:r>
      <w:r w:rsidR="005943E8">
        <w:rPr>
          <w:rFonts w:cs="Arial"/>
          <w:szCs w:val="22"/>
        </w:rPr>
        <w:t>There are two</w:t>
      </w:r>
      <w:r w:rsidR="007E7F44">
        <w:rPr>
          <w:rFonts w:cs="Arial"/>
          <w:szCs w:val="22"/>
        </w:rPr>
        <w:t xml:space="preserve"> outstanding </w:t>
      </w:r>
      <w:r w:rsidR="00CA77E6">
        <w:rPr>
          <w:rFonts w:cs="Arial"/>
          <w:szCs w:val="22"/>
        </w:rPr>
        <w:t xml:space="preserve">significant </w:t>
      </w:r>
      <w:r w:rsidR="00B933A0">
        <w:rPr>
          <w:rFonts w:cs="Arial"/>
          <w:szCs w:val="22"/>
        </w:rPr>
        <w:t>governance issues relat</w:t>
      </w:r>
      <w:r w:rsidR="005943E8">
        <w:rPr>
          <w:rFonts w:cs="Arial"/>
          <w:szCs w:val="22"/>
        </w:rPr>
        <w:t>ing</w:t>
      </w:r>
      <w:r w:rsidR="005055DE">
        <w:rPr>
          <w:rFonts w:cs="Arial"/>
          <w:szCs w:val="22"/>
        </w:rPr>
        <w:t xml:space="preserve"> </w:t>
      </w:r>
      <w:r w:rsidR="005123AE">
        <w:rPr>
          <w:rFonts w:cs="Arial"/>
          <w:szCs w:val="22"/>
        </w:rPr>
        <w:t>ICT</w:t>
      </w:r>
      <w:r w:rsidR="005943E8">
        <w:rPr>
          <w:rFonts w:cs="Arial"/>
          <w:szCs w:val="22"/>
        </w:rPr>
        <w:t xml:space="preserve"> which are to be</w:t>
      </w:r>
      <w:r w:rsidR="00CA77E6">
        <w:rPr>
          <w:rFonts w:cs="Arial"/>
          <w:szCs w:val="22"/>
        </w:rPr>
        <w:t xml:space="preserve"> reviewed by the internal audit service as part of future audits to ensure compliance. </w:t>
      </w:r>
    </w:p>
    <w:p w:rsidR="000D4B99" w:rsidRDefault="000D4B99">
      <w:pPr>
        <w:keepNext/>
        <w:ind w:left="1267" w:hanging="1267"/>
      </w:pPr>
      <w:r>
        <w:t>3.</w:t>
      </w:r>
      <w:r>
        <w:tab/>
      </w:r>
      <w:r>
        <w:rPr>
          <w:b/>
        </w:rPr>
        <w:t>Options/Reasons for Recommendation</w:t>
      </w:r>
    </w:p>
    <w:p w:rsidR="000D4B99" w:rsidRDefault="000D4B99">
      <w:pPr>
        <w:keepNext/>
        <w:ind w:left="1267" w:hanging="1267"/>
      </w:pPr>
    </w:p>
    <w:p w:rsidR="00B7461B" w:rsidRDefault="000D4B99">
      <w:pPr>
        <w:ind w:left="1267" w:hanging="1267"/>
      </w:pPr>
      <w:r>
        <w:t>3.1</w:t>
      </w:r>
      <w:r w:rsidR="00B7461B">
        <w:tab/>
      </w:r>
      <w:r>
        <w:tab/>
      </w:r>
      <w:r>
        <w:fldChar w:fldCharType="begin"/>
      </w:r>
      <w:r>
        <w:instrText xml:space="preserve">  </w:instrText>
      </w:r>
      <w:r>
        <w:fldChar w:fldCharType="end"/>
      </w:r>
      <w:r w:rsidR="00723221">
        <w:t>The recommendation enables the Committee to note the</w:t>
      </w:r>
      <w:r w:rsidR="00B17F0A">
        <w:t xml:space="preserve"> progress made against the action plan.</w:t>
      </w:r>
    </w:p>
    <w:p w:rsidR="00B7461B" w:rsidRDefault="00B7461B">
      <w:pPr>
        <w:ind w:left="1267" w:hanging="1267"/>
      </w:pPr>
    </w:p>
    <w:p w:rsidR="000D4B99" w:rsidRDefault="000D4B99">
      <w:pPr>
        <w:keepNext/>
        <w:ind w:left="1267" w:hanging="1267"/>
      </w:pPr>
      <w:r>
        <w:t>4.</w:t>
      </w:r>
      <w:r>
        <w:tab/>
      </w:r>
      <w:r>
        <w:rPr>
          <w:b/>
        </w:rPr>
        <w:t>Policy/Budget Implications</w:t>
      </w:r>
    </w:p>
    <w:p w:rsidR="000D4B99" w:rsidRDefault="000D4B99">
      <w:pPr>
        <w:keepNext/>
        <w:ind w:left="1267" w:hanging="1267"/>
      </w:pPr>
    </w:p>
    <w:p w:rsidR="000D4B99" w:rsidRDefault="000D4B99">
      <w:pPr>
        <w:ind w:left="1267" w:hanging="1267"/>
      </w:pPr>
      <w:r>
        <w:t>4.1</w:t>
      </w:r>
      <w:r>
        <w:tab/>
        <w:t>The recommendations in this report are within the Council’s agreed policy and budgets.</w:t>
      </w:r>
      <w:r>
        <w:fldChar w:fldCharType="begin"/>
      </w:r>
      <w:r>
        <w:instrText xml:space="preserve">  </w:instrText>
      </w:r>
      <w:r>
        <w:fldChar w:fldCharType="end"/>
      </w:r>
    </w:p>
    <w:p w:rsidR="000D4B99" w:rsidRDefault="000D4B99">
      <w:pPr>
        <w:ind w:left="1267" w:hanging="1267"/>
      </w:pPr>
    </w:p>
    <w:p w:rsidR="000D4B99" w:rsidRDefault="00B7461B">
      <w:pPr>
        <w:keepNext/>
        <w:ind w:left="1267" w:hanging="1267"/>
      </w:pPr>
      <w:r>
        <w:t>5.</w:t>
      </w:r>
      <w:r w:rsidR="000D4B99">
        <w:fldChar w:fldCharType="begin"/>
      </w:r>
      <w:r w:rsidR="000D4B99">
        <w:instrText xml:space="preserve">  </w:instrText>
      </w:r>
      <w:r w:rsidR="000D4B99">
        <w:fldChar w:fldCharType="end"/>
      </w:r>
      <w:r w:rsidR="000D4B99">
        <w:tab/>
      </w:r>
      <w:r w:rsidR="000D4B99">
        <w:rPr>
          <w:b/>
        </w:rPr>
        <w:t xml:space="preserve">Legal, Equal Opportunities, Staffing, Environmental, Community Safety, Customer Services Centre </w:t>
      </w:r>
      <w:r w:rsidR="002D69A9">
        <w:rPr>
          <w:b/>
        </w:rPr>
        <w:t xml:space="preserve">and </w:t>
      </w:r>
      <w:r w:rsidR="000D4B99">
        <w:rPr>
          <w:b/>
        </w:rPr>
        <w:t>Website Implications</w:t>
      </w:r>
    </w:p>
    <w:p w:rsidR="000D4B99" w:rsidRDefault="000D4B99">
      <w:pPr>
        <w:keepNext/>
        <w:ind w:left="1267" w:hanging="1267"/>
      </w:pPr>
    </w:p>
    <w:p w:rsidR="000D4B99" w:rsidRDefault="00B7461B">
      <w:pPr>
        <w:ind w:left="1267" w:hanging="1267"/>
      </w:pPr>
      <w:r>
        <w:t>5.1</w:t>
      </w:r>
      <w:r w:rsidR="000D4B99">
        <w:fldChar w:fldCharType="begin"/>
      </w:r>
      <w:r w:rsidR="000D4B99">
        <w:instrText xml:space="preserve">  </w:instrText>
      </w:r>
      <w:r w:rsidR="000D4B99">
        <w:fldChar w:fldCharType="end"/>
      </w:r>
      <w:r w:rsidR="000D4B99">
        <w:tab/>
        <w:t>None specific.</w:t>
      </w:r>
    </w:p>
    <w:p w:rsidR="000D4B99" w:rsidRDefault="000D4B99">
      <w:pPr>
        <w:ind w:left="1267" w:hanging="1267"/>
      </w:pPr>
    </w:p>
    <w:p w:rsidR="000D4B99" w:rsidRDefault="00A71D22">
      <w:pPr>
        <w:keepNext/>
        <w:ind w:left="1267" w:hanging="1267"/>
      </w:pPr>
      <w:r>
        <w:t>6</w:t>
      </w:r>
      <w:r w:rsidR="000D4B99">
        <w:t>.</w:t>
      </w:r>
      <w:r w:rsidR="000D4B99">
        <w:tab/>
      </w:r>
      <w:r w:rsidR="000D4B99">
        <w:rPr>
          <w:b/>
        </w:rPr>
        <w:t>Financial Implications</w:t>
      </w:r>
    </w:p>
    <w:p w:rsidR="000D4B99" w:rsidRDefault="000D4B99">
      <w:pPr>
        <w:keepNext/>
        <w:ind w:left="1267" w:hanging="1267"/>
        <w:jc w:val="left"/>
      </w:pPr>
    </w:p>
    <w:p w:rsidR="000D4B99" w:rsidRPr="00B7461B" w:rsidRDefault="00A71D22">
      <w:pPr>
        <w:tabs>
          <w:tab w:val="left" w:pos="3330"/>
        </w:tabs>
        <w:ind w:left="1267" w:hanging="1267"/>
      </w:pPr>
      <w:r>
        <w:t>6</w:t>
      </w:r>
      <w:r w:rsidR="000D4B99">
        <w:t>.1</w:t>
      </w:r>
      <w:r w:rsidR="000D4B99">
        <w:rPr>
          <w:i/>
        </w:rPr>
        <w:tab/>
      </w:r>
      <w:r w:rsidR="000D4B99" w:rsidRPr="00B7461B">
        <w:fldChar w:fldCharType="begin"/>
      </w:r>
      <w:r w:rsidR="000D4B99" w:rsidRPr="00B7461B">
        <w:instrText xml:space="preserve">  </w:instrText>
      </w:r>
      <w:r w:rsidR="000D4B99" w:rsidRPr="00B7461B">
        <w:fldChar w:fldCharType="end"/>
      </w:r>
      <w:r w:rsidR="00B7461B" w:rsidRPr="00B7461B">
        <w:t>T</w:t>
      </w:r>
      <w:r w:rsidR="000D4B99" w:rsidRPr="00B7461B">
        <w:t>here are no changes to the budget already agreed by Members</w:t>
      </w:r>
      <w:r w:rsidR="00B7461B">
        <w:t xml:space="preserve"> as a result of this report</w:t>
      </w:r>
      <w:r w:rsidR="000D4B99" w:rsidRPr="00B7461B">
        <w:t xml:space="preserve">. </w:t>
      </w:r>
    </w:p>
    <w:p w:rsidR="000D4B99" w:rsidRDefault="000D4B99">
      <w:pPr>
        <w:ind w:left="1267" w:hanging="1267"/>
      </w:pPr>
    </w:p>
    <w:p w:rsidR="000D4B99" w:rsidRDefault="00A71D22">
      <w:pPr>
        <w:keepNext/>
        <w:ind w:left="1267" w:hanging="1267"/>
      </w:pPr>
      <w:r>
        <w:t>7</w:t>
      </w:r>
      <w:r w:rsidR="000D4B99">
        <w:t>.</w:t>
      </w:r>
      <w:r w:rsidR="000D4B99">
        <w:tab/>
      </w:r>
      <w:r w:rsidR="000D4B99">
        <w:rPr>
          <w:b/>
        </w:rPr>
        <w:t>Risk Management Implications</w:t>
      </w:r>
    </w:p>
    <w:p w:rsidR="000D4B99" w:rsidRDefault="000D4B99">
      <w:pPr>
        <w:keepNext/>
        <w:ind w:left="1267" w:hanging="1267"/>
      </w:pPr>
    </w:p>
    <w:p w:rsidR="002D69A9" w:rsidRDefault="00A71D22" w:rsidP="00C5170B">
      <w:pPr>
        <w:ind w:left="1276" w:hanging="1276"/>
      </w:pPr>
      <w:r>
        <w:t>7</w:t>
      </w:r>
      <w:r w:rsidR="00C5170B" w:rsidRPr="00107D1F">
        <w:t>.1</w:t>
      </w:r>
      <w:r w:rsidR="00C5170B" w:rsidRPr="00107D1F">
        <w:tab/>
        <w:t>The</w:t>
      </w:r>
      <w:r w:rsidR="002D69A9">
        <w:t>re are no risks associated with the decision members are being asked to take.</w:t>
      </w:r>
    </w:p>
    <w:p w:rsidR="002D69A9" w:rsidRDefault="002D69A9" w:rsidP="00C5170B">
      <w:pPr>
        <w:ind w:left="1276" w:hanging="1276"/>
      </w:pPr>
    </w:p>
    <w:p w:rsidR="000D4B99" w:rsidRDefault="00A71D22">
      <w:pPr>
        <w:keepNext/>
        <w:ind w:left="1267" w:hanging="1267"/>
      </w:pPr>
      <w:r>
        <w:t>8</w:t>
      </w:r>
      <w:r w:rsidR="000D4B99">
        <w:t>.</w:t>
      </w:r>
      <w:r w:rsidR="000D4B99">
        <w:fldChar w:fldCharType="begin"/>
      </w:r>
      <w:r w:rsidR="000D4B99">
        <w:instrText xml:space="preserve">  </w:instrText>
      </w:r>
      <w:r w:rsidR="000D4B99">
        <w:fldChar w:fldCharType="end"/>
      </w:r>
      <w:r w:rsidR="000D4B99">
        <w:tab/>
      </w:r>
      <w:r w:rsidR="000D4B99">
        <w:rPr>
          <w:b/>
        </w:rPr>
        <w:t>Recommendation</w:t>
      </w:r>
    </w:p>
    <w:p w:rsidR="000D4B99" w:rsidRDefault="000D4B99">
      <w:pPr>
        <w:keepNext/>
        <w:ind w:left="1267" w:hanging="1267"/>
      </w:pPr>
    </w:p>
    <w:p w:rsidR="00B17F0A" w:rsidRDefault="00A71D22" w:rsidP="00B17F0A">
      <w:pPr>
        <w:ind w:left="1267" w:hanging="1267"/>
      </w:pPr>
      <w:r>
        <w:t>8</w:t>
      </w:r>
      <w:r w:rsidR="000D4B99">
        <w:t>.1</w:t>
      </w:r>
      <w:r w:rsidR="000D4B99">
        <w:tab/>
        <w:t xml:space="preserve">That </w:t>
      </w:r>
      <w:r w:rsidR="002D69A9">
        <w:t xml:space="preserve">the Committee notes the </w:t>
      </w:r>
      <w:r w:rsidR="00B17F0A">
        <w:t>progress made against the action plan.</w:t>
      </w:r>
    </w:p>
    <w:p w:rsidR="00CD716E" w:rsidRDefault="00CD716E" w:rsidP="002D69A9">
      <w:pPr>
        <w:jc w:val="left"/>
      </w:pPr>
    </w:p>
    <w:p w:rsidR="001C2D74" w:rsidRDefault="00902C5C" w:rsidP="002D69A9">
      <w:pPr>
        <w:jc w:val="left"/>
      </w:pPr>
      <w:r>
        <w:tab/>
      </w:r>
      <w:r w:rsidR="00B17F0A">
        <w:t>R</w:t>
      </w:r>
      <w:r w:rsidR="000D4B99">
        <w:t>eport prepared by:</w:t>
      </w:r>
      <w:r w:rsidR="002D69A9">
        <w:t xml:space="preserve"> </w:t>
      </w:r>
      <w:r w:rsidR="00D45545">
        <w:t>Bob Watson</w:t>
      </w:r>
      <w:r w:rsidR="00A263A6">
        <w:t xml:space="preserve"> –</w:t>
      </w:r>
      <w:r w:rsidR="00FC1330">
        <w:t xml:space="preserve"> </w:t>
      </w:r>
      <w:r w:rsidR="00A263A6">
        <w:t>Head of Finance</w:t>
      </w:r>
    </w:p>
    <w:p w:rsidR="00A263A6" w:rsidRDefault="00A263A6" w:rsidP="002D69A9">
      <w:pPr>
        <w:jc w:val="left"/>
      </w:pPr>
      <w:bookmarkStart w:id="0" w:name="_GoBack"/>
      <w:bookmarkEnd w:id="0"/>
      <w:r>
        <w:t xml:space="preserve"> </w:t>
      </w:r>
    </w:p>
    <w:p w:rsidR="000E0CFF" w:rsidRDefault="000E0CFF" w:rsidP="000E0CFF">
      <w:pPr>
        <w:keepNext/>
        <w:ind w:left="1267" w:hanging="1267"/>
      </w:pPr>
      <w:r>
        <w:tab/>
      </w:r>
      <w:r>
        <w:rPr>
          <w:b/>
        </w:rPr>
        <w:t xml:space="preserve">Background Papers: </w:t>
      </w:r>
      <w:r>
        <w:tab/>
      </w:r>
      <w:r w:rsidR="00D8355D">
        <w:t>Annual Statement of Accounts 2015/16</w:t>
      </w:r>
    </w:p>
    <w:p w:rsidR="000E0CFF" w:rsidRDefault="000E0CFF">
      <w:pPr>
        <w:keepNext/>
        <w:ind w:left="1267" w:hanging="1267"/>
      </w:pPr>
    </w:p>
    <w:p w:rsidR="000D4B99" w:rsidRDefault="000D4B99">
      <w:pPr>
        <w:keepNext/>
        <w:ind w:left="1267" w:hanging="1267"/>
        <w:rPr>
          <w:b/>
        </w:rPr>
      </w:pPr>
      <w:r>
        <w:tab/>
      </w:r>
      <w:r w:rsidR="00B17F0A">
        <w:tab/>
      </w:r>
      <w:r>
        <w:rPr>
          <w:b/>
        </w:rPr>
        <w:t xml:space="preserve">APPENDICES </w:t>
      </w:r>
    </w:p>
    <w:p w:rsidR="00902C5C" w:rsidRDefault="00902C5C">
      <w:pPr>
        <w:keepNext/>
        <w:ind w:left="1267" w:hanging="1267"/>
      </w:pPr>
    </w:p>
    <w:p w:rsidR="00D915C6" w:rsidRDefault="000D4B99" w:rsidP="00571154">
      <w:pPr>
        <w:ind w:left="1276" w:hanging="1276"/>
        <w:jc w:val="left"/>
        <w:sectPr w:rsidR="00D915C6" w:rsidSect="00571154">
          <w:pgSz w:w="11909" w:h="16834" w:code="9"/>
          <w:pgMar w:top="720" w:right="1412" w:bottom="403" w:left="1412" w:header="709" w:footer="709" w:gutter="0"/>
          <w:cols w:space="720"/>
        </w:sectPr>
      </w:pPr>
      <w:r>
        <w:tab/>
      </w:r>
      <w:r w:rsidR="00A71D22">
        <w:t xml:space="preserve">Appendix 1 </w:t>
      </w:r>
      <w:r w:rsidR="004356BA">
        <w:t>–</w:t>
      </w:r>
      <w:r w:rsidR="00A71D22">
        <w:t xml:space="preserve"> </w:t>
      </w:r>
      <w:r w:rsidR="004356BA">
        <w:t xml:space="preserve">Annual Governance </w:t>
      </w:r>
      <w:r>
        <w:fldChar w:fldCharType="begin"/>
      </w:r>
      <w:r>
        <w:instrText xml:space="preserve">  </w:instrText>
      </w:r>
      <w:r>
        <w:fldChar w:fldCharType="end"/>
      </w:r>
      <w:r w:rsidR="00B17F0A">
        <w:t>Statement – High Level Action Plan</w:t>
      </w:r>
    </w:p>
    <w:p w:rsidR="00EA46C8" w:rsidRDefault="00EA46C8" w:rsidP="00571154">
      <w:pPr>
        <w:ind w:left="1276" w:hanging="1276"/>
        <w:jc w:val="left"/>
      </w:pPr>
    </w:p>
    <w:p w:rsidR="00D915C6" w:rsidRDefault="00D915C6" w:rsidP="00571154">
      <w:pPr>
        <w:ind w:left="1276" w:hanging="1276"/>
        <w:jc w:val="left"/>
      </w:pPr>
      <w:r w:rsidRPr="00D915C6">
        <w:rPr>
          <w:noProof/>
        </w:rPr>
        <w:drawing>
          <wp:inline distT="0" distB="0" distL="0" distR="0">
            <wp:extent cx="9648825" cy="5381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825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15C6" w:rsidSect="00D915C6">
      <w:pgSz w:w="16834" w:h="11909" w:orient="landscape" w:code="9"/>
      <w:pgMar w:top="1412" w:right="720" w:bottom="1412" w:left="403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DEB" w:rsidRDefault="00C42DEB">
      <w:r>
        <w:separator/>
      </w:r>
    </w:p>
  </w:endnote>
  <w:endnote w:type="continuationSeparator" w:id="0">
    <w:p w:rsidR="00C42DEB" w:rsidRDefault="00C4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DEB" w:rsidRDefault="00C42DEB">
      <w:r>
        <w:separator/>
      </w:r>
    </w:p>
  </w:footnote>
  <w:footnote w:type="continuationSeparator" w:id="0">
    <w:p w:rsidR="00C42DEB" w:rsidRDefault="00C42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45D5"/>
    <w:multiLevelType w:val="multilevel"/>
    <w:tmpl w:val="70EC669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96B34F8"/>
    <w:multiLevelType w:val="multilevel"/>
    <w:tmpl w:val="BB34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277EA"/>
    <w:multiLevelType w:val="hybridMultilevel"/>
    <w:tmpl w:val="8932CD06"/>
    <w:lvl w:ilvl="0" w:tplc="0EECEC80">
      <w:start w:val="10"/>
      <w:numFmt w:val="bullet"/>
      <w:lvlText w:val=""/>
      <w:lvlJc w:val="left"/>
      <w:pPr>
        <w:tabs>
          <w:tab w:val="num" w:pos="1620"/>
        </w:tabs>
        <w:ind w:left="1620" w:hanging="12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F8"/>
    <w:rsid w:val="0001039D"/>
    <w:rsid w:val="00031D9F"/>
    <w:rsid w:val="000357CA"/>
    <w:rsid w:val="000453ED"/>
    <w:rsid w:val="000710A6"/>
    <w:rsid w:val="000D20A0"/>
    <w:rsid w:val="000D32DA"/>
    <w:rsid w:val="000D4B99"/>
    <w:rsid w:val="000E0CFF"/>
    <w:rsid w:val="000F61E1"/>
    <w:rsid w:val="00114717"/>
    <w:rsid w:val="00114CBA"/>
    <w:rsid w:val="00155D7C"/>
    <w:rsid w:val="00161E78"/>
    <w:rsid w:val="00195D86"/>
    <w:rsid w:val="001A027A"/>
    <w:rsid w:val="001A7082"/>
    <w:rsid w:val="001C2D74"/>
    <w:rsid w:val="001D40C7"/>
    <w:rsid w:val="00201291"/>
    <w:rsid w:val="00223033"/>
    <w:rsid w:val="00226D34"/>
    <w:rsid w:val="00232AD3"/>
    <w:rsid w:val="00245FB9"/>
    <w:rsid w:val="00263068"/>
    <w:rsid w:val="0027219C"/>
    <w:rsid w:val="00273383"/>
    <w:rsid w:val="0027724A"/>
    <w:rsid w:val="00281C37"/>
    <w:rsid w:val="00282B36"/>
    <w:rsid w:val="00282C6C"/>
    <w:rsid w:val="00295EC2"/>
    <w:rsid w:val="002B513E"/>
    <w:rsid w:val="002B6CBA"/>
    <w:rsid w:val="002D5875"/>
    <w:rsid w:val="002D69A9"/>
    <w:rsid w:val="002E13F3"/>
    <w:rsid w:val="002E72D9"/>
    <w:rsid w:val="002F7BC3"/>
    <w:rsid w:val="00307BAA"/>
    <w:rsid w:val="00311C81"/>
    <w:rsid w:val="0031308E"/>
    <w:rsid w:val="0031719A"/>
    <w:rsid w:val="00323833"/>
    <w:rsid w:val="003417EB"/>
    <w:rsid w:val="00351060"/>
    <w:rsid w:val="00365ADD"/>
    <w:rsid w:val="003749E5"/>
    <w:rsid w:val="00396A40"/>
    <w:rsid w:val="003B3544"/>
    <w:rsid w:val="003B49AB"/>
    <w:rsid w:val="003C76D4"/>
    <w:rsid w:val="003E1ABF"/>
    <w:rsid w:val="003F540E"/>
    <w:rsid w:val="00407A8A"/>
    <w:rsid w:val="004228D5"/>
    <w:rsid w:val="00427F59"/>
    <w:rsid w:val="004356BA"/>
    <w:rsid w:val="00436095"/>
    <w:rsid w:val="0045057B"/>
    <w:rsid w:val="00495E7B"/>
    <w:rsid w:val="004C431B"/>
    <w:rsid w:val="004D0BCD"/>
    <w:rsid w:val="004E39DB"/>
    <w:rsid w:val="00505057"/>
    <w:rsid w:val="005055DE"/>
    <w:rsid w:val="005123AE"/>
    <w:rsid w:val="00516AFD"/>
    <w:rsid w:val="00536953"/>
    <w:rsid w:val="00550B8C"/>
    <w:rsid w:val="00554A1D"/>
    <w:rsid w:val="005651D9"/>
    <w:rsid w:val="00565C4A"/>
    <w:rsid w:val="00566553"/>
    <w:rsid w:val="00566554"/>
    <w:rsid w:val="00570F96"/>
    <w:rsid w:val="00571154"/>
    <w:rsid w:val="0057635F"/>
    <w:rsid w:val="005943E8"/>
    <w:rsid w:val="005A2A83"/>
    <w:rsid w:val="005A2FA4"/>
    <w:rsid w:val="005C7FEA"/>
    <w:rsid w:val="005E5A74"/>
    <w:rsid w:val="00600596"/>
    <w:rsid w:val="006023E3"/>
    <w:rsid w:val="0064394A"/>
    <w:rsid w:val="00685803"/>
    <w:rsid w:val="0069529D"/>
    <w:rsid w:val="006A7B67"/>
    <w:rsid w:val="006D45A5"/>
    <w:rsid w:val="006D4C70"/>
    <w:rsid w:val="00723221"/>
    <w:rsid w:val="00725802"/>
    <w:rsid w:val="007321B3"/>
    <w:rsid w:val="007378A4"/>
    <w:rsid w:val="00747389"/>
    <w:rsid w:val="007474C3"/>
    <w:rsid w:val="00753CE4"/>
    <w:rsid w:val="00755CA6"/>
    <w:rsid w:val="00783EB7"/>
    <w:rsid w:val="00793C12"/>
    <w:rsid w:val="007C6B35"/>
    <w:rsid w:val="007D369D"/>
    <w:rsid w:val="007D5741"/>
    <w:rsid w:val="007E7CB3"/>
    <w:rsid w:val="007E7F44"/>
    <w:rsid w:val="007F69AD"/>
    <w:rsid w:val="00810B7E"/>
    <w:rsid w:val="00826610"/>
    <w:rsid w:val="00826BF5"/>
    <w:rsid w:val="00857CDE"/>
    <w:rsid w:val="00860D2A"/>
    <w:rsid w:val="00864C7F"/>
    <w:rsid w:val="00871349"/>
    <w:rsid w:val="008723B7"/>
    <w:rsid w:val="00872E4A"/>
    <w:rsid w:val="00886050"/>
    <w:rsid w:val="008A14B4"/>
    <w:rsid w:val="008A41A7"/>
    <w:rsid w:val="008A4323"/>
    <w:rsid w:val="008B7538"/>
    <w:rsid w:val="008D40EB"/>
    <w:rsid w:val="0090192E"/>
    <w:rsid w:val="00902C5C"/>
    <w:rsid w:val="009268B0"/>
    <w:rsid w:val="0093198C"/>
    <w:rsid w:val="009424C0"/>
    <w:rsid w:val="009604B3"/>
    <w:rsid w:val="00964406"/>
    <w:rsid w:val="00964CF4"/>
    <w:rsid w:val="0096525A"/>
    <w:rsid w:val="00996255"/>
    <w:rsid w:val="00996D25"/>
    <w:rsid w:val="009B27B0"/>
    <w:rsid w:val="009D7BA4"/>
    <w:rsid w:val="009F2C3E"/>
    <w:rsid w:val="00A0131C"/>
    <w:rsid w:val="00A263A6"/>
    <w:rsid w:val="00A302AE"/>
    <w:rsid w:val="00A378B5"/>
    <w:rsid w:val="00A42CAC"/>
    <w:rsid w:val="00A64F96"/>
    <w:rsid w:val="00A71D22"/>
    <w:rsid w:val="00A75AFE"/>
    <w:rsid w:val="00A85174"/>
    <w:rsid w:val="00A922E0"/>
    <w:rsid w:val="00AA7D48"/>
    <w:rsid w:val="00AB2C4F"/>
    <w:rsid w:val="00AC2BE9"/>
    <w:rsid w:val="00AD7CDF"/>
    <w:rsid w:val="00AE5251"/>
    <w:rsid w:val="00AF626C"/>
    <w:rsid w:val="00B13659"/>
    <w:rsid w:val="00B17F0A"/>
    <w:rsid w:val="00B228B1"/>
    <w:rsid w:val="00B33BFB"/>
    <w:rsid w:val="00B42EB4"/>
    <w:rsid w:val="00B43C75"/>
    <w:rsid w:val="00B56FBE"/>
    <w:rsid w:val="00B7461B"/>
    <w:rsid w:val="00B933A0"/>
    <w:rsid w:val="00BB0025"/>
    <w:rsid w:val="00BC2D43"/>
    <w:rsid w:val="00BC6FEA"/>
    <w:rsid w:val="00BD584E"/>
    <w:rsid w:val="00BE2305"/>
    <w:rsid w:val="00BF0BF9"/>
    <w:rsid w:val="00C17F08"/>
    <w:rsid w:val="00C258F7"/>
    <w:rsid w:val="00C26192"/>
    <w:rsid w:val="00C42DEB"/>
    <w:rsid w:val="00C5170B"/>
    <w:rsid w:val="00C57C6C"/>
    <w:rsid w:val="00C773EC"/>
    <w:rsid w:val="00C814DB"/>
    <w:rsid w:val="00C842B9"/>
    <w:rsid w:val="00C854C8"/>
    <w:rsid w:val="00CA5CA1"/>
    <w:rsid w:val="00CA64A1"/>
    <w:rsid w:val="00CA77E6"/>
    <w:rsid w:val="00CB1134"/>
    <w:rsid w:val="00CC2F84"/>
    <w:rsid w:val="00CD716E"/>
    <w:rsid w:val="00CD7353"/>
    <w:rsid w:val="00CE15FA"/>
    <w:rsid w:val="00CF56BA"/>
    <w:rsid w:val="00D174AD"/>
    <w:rsid w:val="00D27230"/>
    <w:rsid w:val="00D27EBA"/>
    <w:rsid w:val="00D45545"/>
    <w:rsid w:val="00D537F4"/>
    <w:rsid w:val="00D5550D"/>
    <w:rsid w:val="00D673AA"/>
    <w:rsid w:val="00D7356D"/>
    <w:rsid w:val="00D82826"/>
    <w:rsid w:val="00D8355D"/>
    <w:rsid w:val="00D901F2"/>
    <w:rsid w:val="00D915C6"/>
    <w:rsid w:val="00D93D5C"/>
    <w:rsid w:val="00DC3595"/>
    <w:rsid w:val="00DE55D8"/>
    <w:rsid w:val="00DF4070"/>
    <w:rsid w:val="00E225B7"/>
    <w:rsid w:val="00E27967"/>
    <w:rsid w:val="00E27ADA"/>
    <w:rsid w:val="00E31A0B"/>
    <w:rsid w:val="00E32C70"/>
    <w:rsid w:val="00E3583A"/>
    <w:rsid w:val="00E426D4"/>
    <w:rsid w:val="00E538DF"/>
    <w:rsid w:val="00E562BA"/>
    <w:rsid w:val="00E754EE"/>
    <w:rsid w:val="00E777DC"/>
    <w:rsid w:val="00E875A5"/>
    <w:rsid w:val="00EA0F6F"/>
    <w:rsid w:val="00EA14E4"/>
    <w:rsid w:val="00EA46C8"/>
    <w:rsid w:val="00EA4937"/>
    <w:rsid w:val="00EB39A0"/>
    <w:rsid w:val="00EB4368"/>
    <w:rsid w:val="00EB44CF"/>
    <w:rsid w:val="00EC6CB0"/>
    <w:rsid w:val="00ED08D8"/>
    <w:rsid w:val="00EF1B52"/>
    <w:rsid w:val="00F01C01"/>
    <w:rsid w:val="00F14A9C"/>
    <w:rsid w:val="00F16851"/>
    <w:rsid w:val="00F20914"/>
    <w:rsid w:val="00F2136F"/>
    <w:rsid w:val="00F223DA"/>
    <w:rsid w:val="00F30E22"/>
    <w:rsid w:val="00F34C39"/>
    <w:rsid w:val="00F456E2"/>
    <w:rsid w:val="00F63BB5"/>
    <w:rsid w:val="00F65759"/>
    <w:rsid w:val="00F70E26"/>
    <w:rsid w:val="00F72C39"/>
    <w:rsid w:val="00F825F8"/>
    <w:rsid w:val="00F8298A"/>
    <w:rsid w:val="00F9168A"/>
    <w:rsid w:val="00FB0A0E"/>
    <w:rsid w:val="00FB37FD"/>
    <w:rsid w:val="00FC1330"/>
    <w:rsid w:val="00FC5398"/>
    <w:rsid w:val="00FC6F84"/>
    <w:rsid w:val="00FD584D"/>
    <w:rsid w:val="00FD77EC"/>
    <w:rsid w:val="00FE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1260"/>
        <w:tab w:val="left" w:pos="1980"/>
        <w:tab w:val="left" w:pos="2700"/>
        <w:tab w:val="left" w:pos="3420"/>
      </w:tabs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0"/>
    </w:pPr>
  </w:style>
  <w:style w:type="paragraph" w:styleId="Heading2">
    <w:name w:val="heading 2"/>
    <w:aliases w:val="2,Level 2 Heading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1"/>
    </w:pPr>
  </w:style>
  <w:style w:type="paragraph" w:styleId="Heading3">
    <w:name w:val="heading 3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2"/>
    </w:pPr>
  </w:style>
  <w:style w:type="paragraph" w:styleId="Heading5">
    <w:name w:val="heading 5"/>
    <w:basedOn w:val="Normal"/>
    <w:next w:val="Normal"/>
    <w:qFormat/>
    <w:pPr>
      <w:keepNext/>
      <w:tabs>
        <w:tab w:val="clear" w:pos="1260"/>
        <w:tab w:val="clear" w:pos="1980"/>
        <w:tab w:val="clear" w:pos="2700"/>
        <w:tab w:val="clear" w:pos="3420"/>
      </w:tabs>
      <w:jc w:val="center"/>
      <w:outlineLvl w:val="4"/>
    </w:pPr>
    <w:rPr>
      <w:b/>
    </w:rPr>
  </w:style>
  <w:style w:type="paragraph" w:styleId="Heading7">
    <w:name w:val="heading 7"/>
    <w:basedOn w:val="Normal"/>
    <w:next w:val="Normal"/>
    <w:qFormat/>
    <w:rsid w:val="00EA46C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1260"/>
        <w:tab w:val="clear" w:pos="1980"/>
        <w:tab w:val="clear" w:pos="2700"/>
        <w:tab w:val="clear" w:pos="3420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Arial" w:hAnsi="Arial"/>
      <w:sz w:val="22"/>
    </w:rPr>
  </w:style>
  <w:style w:type="paragraph" w:styleId="BodyTextIndent">
    <w:name w:val="Body Text Indent"/>
    <w:basedOn w:val="Normal"/>
    <w:pPr>
      <w:ind w:left="1276" w:hanging="1276"/>
    </w:pPr>
  </w:style>
  <w:style w:type="paragraph" w:styleId="BodyTextIndent2">
    <w:name w:val="Body Text Indent 2"/>
    <w:basedOn w:val="Normal"/>
    <w:pPr>
      <w:ind w:left="2707" w:hanging="2707"/>
    </w:pPr>
  </w:style>
  <w:style w:type="table" w:styleId="TableGrid">
    <w:name w:val="Table Grid"/>
    <w:basedOn w:val="TableNormal"/>
    <w:rsid w:val="00C5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2B513E"/>
    <w:rPr>
      <w:sz w:val="16"/>
      <w:szCs w:val="16"/>
    </w:rPr>
  </w:style>
  <w:style w:type="paragraph" w:styleId="BalloonText">
    <w:name w:val="Balloon Text"/>
    <w:basedOn w:val="Normal"/>
    <w:semiHidden/>
    <w:rsid w:val="00D27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1260"/>
        <w:tab w:val="left" w:pos="1980"/>
        <w:tab w:val="left" w:pos="2700"/>
        <w:tab w:val="left" w:pos="3420"/>
      </w:tabs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0"/>
    </w:pPr>
  </w:style>
  <w:style w:type="paragraph" w:styleId="Heading2">
    <w:name w:val="heading 2"/>
    <w:aliases w:val="2,Level 2 Heading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1"/>
    </w:pPr>
  </w:style>
  <w:style w:type="paragraph" w:styleId="Heading3">
    <w:name w:val="heading 3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2"/>
    </w:pPr>
  </w:style>
  <w:style w:type="paragraph" w:styleId="Heading5">
    <w:name w:val="heading 5"/>
    <w:basedOn w:val="Normal"/>
    <w:next w:val="Normal"/>
    <w:qFormat/>
    <w:pPr>
      <w:keepNext/>
      <w:tabs>
        <w:tab w:val="clear" w:pos="1260"/>
        <w:tab w:val="clear" w:pos="1980"/>
        <w:tab w:val="clear" w:pos="2700"/>
        <w:tab w:val="clear" w:pos="3420"/>
      </w:tabs>
      <w:jc w:val="center"/>
      <w:outlineLvl w:val="4"/>
    </w:pPr>
    <w:rPr>
      <w:b/>
    </w:rPr>
  </w:style>
  <w:style w:type="paragraph" w:styleId="Heading7">
    <w:name w:val="heading 7"/>
    <w:basedOn w:val="Normal"/>
    <w:next w:val="Normal"/>
    <w:qFormat/>
    <w:rsid w:val="00EA46C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1260"/>
        <w:tab w:val="clear" w:pos="1980"/>
        <w:tab w:val="clear" w:pos="2700"/>
        <w:tab w:val="clear" w:pos="3420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Arial" w:hAnsi="Arial"/>
      <w:sz w:val="22"/>
    </w:rPr>
  </w:style>
  <w:style w:type="paragraph" w:styleId="BodyTextIndent">
    <w:name w:val="Body Text Indent"/>
    <w:basedOn w:val="Normal"/>
    <w:pPr>
      <w:ind w:left="1276" w:hanging="1276"/>
    </w:pPr>
  </w:style>
  <w:style w:type="paragraph" w:styleId="BodyTextIndent2">
    <w:name w:val="Body Text Indent 2"/>
    <w:basedOn w:val="Normal"/>
    <w:pPr>
      <w:ind w:left="2707" w:hanging="2707"/>
    </w:pPr>
  </w:style>
  <w:style w:type="table" w:styleId="TableGrid">
    <w:name w:val="Table Grid"/>
    <w:basedOn w:val="TableNormal"/>
    <w:rsid w:val="00C5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2B513E"/>
    <w:rPr>
      <w:sz w:val="16"/>
      <w:szCs w:val="16"/>
    </w:rPr>
  </w:style>
  <w:style w:type="paragraph" w:styleId="BalloonText">
    <w:name w:val="Balloon Text"/>
    <w:basedOn w:val="Normal"/>
    <w:semiHidden/>
    <w:rsid w:val="00D27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Report: Audit Committee 12.12..07: part i - (08) sic action plan</vt:lpstr>
    </vt:vector>
  </TitlesOfParts>
  <Company>Pre-installed Company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Report: Audit Committee 12.12..07: part i - (08) sic action plan</dc:title>
  <dc:creator>Three Rivers DC</dc:creator>
  <cp:lastModifiedBy>Sarah Haythorpe</cp:lastModifiedBy>
  <cp:revision>6</cp:revision>
  <cp:lastPrinted>2016-03-11T11:03:00Z</cp:lastPrinted>
  <dcterms:created xsi:type="dcterms:W3CDTF">2016-11-11T15:37:00Z</dcterms:created>
  <dcterms:modified xsi:type="dcterms:W3CDTF">2017-03-20T14:46:00Z</dcterms:modified>
</cp:coreProperties>
</file>