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4D" w:rsidRDefault="007C0F52" w:rsidP="00E05827">
      <w:pPr>
        <w:jc w:val="center"/>
        <w:outlineLvl w:val="0"/>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6223E6">
        <w:rPr>
          <w:b/>
        </w:rPr>
        <w:t>AUDIT</w:t>
      </w:r>
      <w:r>
        <w:rPr>
          <w:b/>
        </w:rPr>
        <w:t xml:space="preserve"> COMMITTEE </w:t>
      </w:r>
    </w:p>
    <w:p w:rsidR="002E584D" w:rsidRDefault="002E584D" w:rsidP="00E05827">
      <w:pPr>
        <w:jc w:val="center"/>
        <w:outlineLvl w:val="0"/>
        <w:rPr>
          <w:b/>
        </w:rPr>
      </w:pPr>
    </w:p>
    <w:p w:rsidR="00EB128F" w:rsidRDefault="00F03ECA" w:rsidP="00E05827">
      <w:pPr>
        <w:jc w:val="center"/>
        <w:outlineLvl w:val="0"/>
        <w:rPr>
          <w:b/>
        </w:rPr>
      </w:pPr>
      <w:r>
        <w:rPr>
          <w:b/>
        </w:rPr>
        <w:t>2</w:t>
      </w:r>
      <w:r w:rsidR="00F52AE0">
        <w:rPr>
          <w:b/>
        </w:rPr>
        <w:t>8</w:t>
      </w:r>
      <w:r w:rsidR="004072B9">
        <w:rPr>
          <w:b/>
        </w:rPr>
        <w:t xml:space="preserve"> </w:t>
      </w:r>
      <w:r w:rsidR="001C4C97">
        <w:rPr>
          <w:b/>
        </w:rPr>
        <w:t>JUNE</w:t>
      </w:r>
      <w:r w:rsidR="004072B9">
        <w:rPr>
          <w:b/>
        </w:rPr>
        <w:t xml:space="preserve"> 201</w:t>
      </w:r>
      <w:r w:rsidR="00F52AE0">
        <w:rPr>
          <w:b/>
        </w:rPr>
        <w:t>6</w:t>
      </w:r>
    </w:p>
    <w:p w:rsidR="007C0F52" w:rsidRDefault="007C0F52" w:rsidP="006223E6">
      <w:pPr>
        <w:jc w:val="center"/>
      </w:pPr>
    </w:p>
    <w:p w:rsidR="00EB128F" w:rsidRDefault="007C0F52" w:rsidP="00E05827">
      <w:pPr>
        <w:jc w:val="center"/>
        <w:outlineLvl w:val="0"/>
        <w:rPr>
          <w:b/>
        </w:rPr>
      </w:pPr>
      <w:r>
        <w:rPr>
          <w:b/>
        </w:rPr>
        <w:t xml:space="preserve">PART </w:t>
      </w:r>
      <w:r>
        <w:rPr>
          <w:b/>
        </w:rPr>
        <w:fldChar w:fldCharType="begin"/>
      </w:r>
      <w:r>
        <w:rPr>
          <w:b/>
        </w:rPr>
        <w:instrText xml:space="preserve">  </w:instrText>
      </w:r>
      <w:r>
        <w:rPr>
          <w:b/>
        </w:rPr>
        <w:fldChar w:fldCharType="end"/>
      </w:r>
      <w:r>
        <w:rPr>
          <w:b/>
        </w:rPr>
        <w:t xml:space="preserve">I </w:t>
      </w:r>
      <w:r w:rsidR="00EB128F">
        <w:rPr>
          <w:b/>
        </w:rPr>
        <w:t>–</w:t>
      </w:r>
      <w:r>
        <w:rPr>
          <w:b/>
        </w:rPr>
        <w:t xml:space="preserve"> </w:t>
      </w:r>
      <w:r>
        <w:rPr>
          <w:b/>
        </w:rPr>
        <w:fldChar w:fldCharType="begin"/>
      </w:r>
      <w:r>
        <w:rPr>
          <w:b/>
        </w:rPr>
        <w:instrText xml:space="preserve">  </w:instrText>
      </w:r>
      <w:r>
        <w:rPr>
          <w:b/>
        </w:rPr>
        <w:fldChar w:fldCharType="end"/>
      </w:r>
      <w:r>
        <w:rPr>
          <w:b/>
        </w:rPr>
        <w:t>DELEGATED</w:t>
      </w:r>
    </w:p>
    <w:p w:rsidR="007C0F52" w:rsidRDefault="007C0F52">
      <w:pPr>
        <w:jc w:val="center"/>
        <w:rPr>
          <w:i/>
          <w:color w:val="FF0000"/>
        </w:rPr>
      </w:pPr>
      <w:r>
        <w:rPr>
          <w:b/>
        </w:rPr>
        <w:fldChar w:fldCharType="begin"/>
      </w:r>
      <w:r>
        <w:rPr>
          <w:b/>
        </w:rPr>
        <w:instrText xml:space="preserve">  </w:instrText>
      </w:r>
      <w:r>
        <w:rPr>
          <w:b/>
        </w:rPr>
        <w:fldChar w:fldCharType="end"/>
      </w:r>
    </w:p>
    <w:p w:rsidR="007C0F52" w:rsidRDefault="007C0F52"/>
    <w:p w:rsidR="006223E6" w:rsidRDefault="002E584D" w:rsidP="001F2A81">
      <w:pPr>
        <w:keepNext/>
        <w:ind w:left="1267" w:hanging="1267"/>
        <w:jc w:val="left"/>
        <w:rPr>
          <w:b/>
        </w:rPr>
      </w:pPr>
      <w:r>
        <w:rPr>
          <w:b/>
        </w:rPr>
        <w:t>9</w:t>
      </w:r>
      <w:r w:rsidR="006223E6">
        <w:rPr>
          <w:b/>
        </w:rPr>
        <w:t>.</w:t>
      </w:r>
      <w:r w:rsidR="007C0F52">
        <w:rPr>
          <w:b/>
        </w:rPr>
        <w:fldChar w:fldCharType="begin"/>
      </w:r>
      <w:r w:rsidR="007C0F52">
        <w:rPr>
          <w:b/>
        </w:rPr>
        <w:instrText xml:space="preserve">  </w:instrText>
      </w:r>
      <w:r w:rsidR="007C0F52">
        <w:rPr>
          <w:b/>
        </w:rPr>
        <w:fldChar w:fldCharType="end"/>
      </w:r>
      <w:r w:rsidR="007C0F52">
        <w:rPr>
          <w:b/>
        </w:rPr>
        <w:tab/>
      </w:r>
      <w:r w:rsidR="008314A2" w:rsidRPr="0043078C">
        <w:rPr>
          <w:rFonts w:cs="Arial"/>
          <w:b/>
        </w:rPr>
        <w:t>INTERNAL AUDIT ANNUAL REPORT 2015/2016</w:t>
      </w:r>
    </w:p>
    <w:p w:rsidR="007C0F52" w:rsidRDefault="007C0F52">
      <w:pPr>
        <w:keepNext/>
        <w:ind w:left="1267" w:hanging="1267"/>
      </w:pPr>
      <w:r>
        <w:rPr>
          <w:b/>
        </w:rPr>
        <w:tab/>
      </w:r>
      <w:r>
        <w:t>(</w:t>
      </w:r>
      <w:proofErr w:type="spellStart"/>
      <w:r w:rsidR="006F5703">
        <w:t>D</w:t>
      </w:r>
      <w:r w:rsidR="00340B38">
        <w:t>oF</w:t>
      </w:r>
      <w:proofErr w:type="spellEnd"/>
      <w:r w:rsidR="001F2A81">
        <w:t>)</w:t>
      </w:r>
      <w:r>
        <w:fldChar w:fldCharType="begin"/>
      </w:r>
      <w:r>
        <w:instrText xml:space="preserve">  </w:instrText>
      </w:r>
      <w:r>
        <w:fldChar w:fldCharType="end"/>
      </w:r>
    </w:p>
    <w:p w:rsidR="007C0F52" w:rsidRDefault="007C0F52">
      <w:pPr>
        <w:ind w:left="1260" w:hanging="1260"/>
      </w:pPr>
    </w:p>
    <w:p w:rsidR="007C0F52" w:rsidRDefault="007C0F52">
      <w:pPr>
        <w:keepNext/>
        <w:ind w:left="1267" w:hanging="1267"/>
      </w:pPr>
      <w:r>
        <w:t>1.</w:t>
      </w:r>
      <w:r>
        <w:tab/>
      </w:r>
      <w:r>
        <w:rPr>
          <w:b/>
        </w:rPr>
        <w:t>Summary</w:t>
      </w:r>
    </w:p>
    <w:p w:rsidR="007C0F52" w:rsidRDefault="007C0F52">
      <w:pPr>
        <w:keepNext/>
        <w:ind w:left="1267" w:hanging="1267"/>
      </w:pPr>
    </w:p>
    <w:p w:rsidR="00E05B81" w:rsidRPr="00E05B81" w:rsidRDefault="007C0F52" w:rsidP="00E05B81">
      <w:pPr>
        <w:ind w:left="1276" w:hanging="1276"/>
        <w:rPr>
          <w:lang w:val="en-US"/>
        </w:rPr>
      </w:pPr>
      <w:r>
        <w:t>1.1</w:t>
      </w:r>
      <w:r>
        <w:tab/>
      </w:r>
      <w:r w:rsidR="00E05B81" w:rsidRPr="00E05B81">
        <w:rPr>
          <w:lang w:val="en-US"/>
        </w:rPr>
        <w:t xml:space="preserve">This report gives details of the activities of </w:t>
      </w:r>
      <w:smartTag w:uri="urn:schemas-microsoft-com:office:smarttags" w:element="PersonName">
        <w:r w:rsidR="00E05B81" w:rsidRPr="00E05B81">
          <w:rPr>
            <w:lang w:val="en-US"/>
          </w:rPr>
          <w:t>Internal Audit</w:t>
        </w:r>
      </w:smartTag>
      <w:r w:rsidR="00E05B81" w:rsidRPr="00E05B81">
        <w:rPr>
          <w:lang w:val="en-US"/>
        </w:rPr>
        <w:t xml:space="preserve"> during 2015/2016 and provides an opinion on the adequacy and effectiveness of the Council’s internal control environment.</w:t>
      </w:r>
    </w:p>
    <w:p w:rsidR="007C0F52" w:rsidRDefault="007C0F52" w:rsidP="00E05B81">
      <w:pPr>
        <w:ind w:left="1276" w:hanging="1276"/>
      </w:pPr>
    </w:p>
    <w:p w:rsidR="007C0F52" w:rsidRDefault="007C0F52">
      <w:pPr>
        <w:keepNext/>
        <w:ind w:left="1267" w:hanging="1267"/>
        <w:rPr>
          <w:b/>
        </w:rPr>
      </w:pPr>
      <w:r>
        <w:t>2.</w:t>
      </w:r>
      <w:r>
        <w:tab/>
      </w:r>
      <w:r>
        <w:rPr>
          <w:b/>
        </w:rPr>
        <w:t>Details</w:t>
      </w:r>
    </w:p>
    <w:p w:rsidR="007C0F52" w:rsidRDefault="007C0F52">
      <w:pPr>
        <w:keepNext/>
        <w:ind w:left="1267" w:hanging="1267"/>
        <w:rPr>
          <w:b/>
          <w:u w:val="single"/>
        </w:rPr>
      </w:pPr>
    </w:p>
    <w:p w:rsidR="00E05B81" w:rsidRPr="00E05B81" w:rsidRDefault="007C0F52" w:rsidP="00E05B81">
      <w:pPr>
        <w:ind w:left="1276" w:hanging="1276"/>
        <w:rPr>
          <w:lang w:val="en-US"/>
        </w:rPr>
      </w:pPr>
      <w:r>
        <w:t>2.1</w:t>
      </w:r>
      <w:r>
        <w:tab/>
      </w:r>
      <w:r>
        <w:fldChar w:fldCharType="begin"/>
      </w:r>
      <w:r>
        <w:instrText xml:space="preserve">  </w:instrText>
      </w:r>
      <w:r>
        <w:fldChar w:fldCharType="end"/>
      </w:r>
      <w:r w:rsidR="00E05B81" w:rsidRPr="00E05B81">
        <w:rPr>
          <w:rFonts w:asciiTheme="minorHAnsi" w:hAnsiTheme="minorHAnsi" w:cs="Arial"/>
          <w:sz w:val="24"/>
          <w:szCs w:val="24"/>
          <w:lang w:val="en-US" w:eastAsia="en-US"/>
        </w:rPr>
        <w:t xml:space="preserve"> </w:t>
      </w:r>
      <w:r w:rsidR="00E05B81" w:rsidRPr="00E05B81">
        <w:rPr>
          <w:lang w:val="en-US"/>
        </w:rPr>
        <w:t>Attached at Appendix 1 to this report are the 201</w:t>
      </w:r>
      <w:r w:rsidR="00E05B81">
        <w:rPr>
          <w:lang w:val="en-US"/>
        </w:rPr>
        <w:t>5</w:t>
      </w:r>
      <w:r w:rsidR="00E05B81" w:rsidRPr="00E05B81">
        <w:rPr>
          <w:lang w:val="en-US"/>
        </w:rPr>
        <w:t>/1</w:t>
      </w:r>
      <w:r w:rsidR="00E05B81">
        <w:rPr>
          <w:lang w:val="en-US"/>
        </w:rPr>
        <w:t>6</w:t>
      </w:r>
      <w:r w:rsidR="00E05B81" w:rsidRPr="00E05B81">
        <w:rPr>
          <w:lang w:val="en-US"/>
        </w:rPr>
        <w:t xml:space="preserve"> Annual Assurance Statement and Internal Audit Annual Report.</w:t>
      </w:r>
    </w:p>
    <w:p w:rsidR="00F52AE0" w:rsidRDefault="00F52AE0" w:rsidP="00E05B81"/>
    <w:p w:rsidR="00E05B81" w:rsidRPr="00E05B81" w:rsidRDefault="006223E6" w:rsidP="00E05B81">
      <w:pPr>
        <w:ind w:left="1267" w:hanging="1267"/>
        <w:rPr>
          <w:lang w:val="en-US"/>
        </w:rPr>
      </w:pPr>
      <w:r w:rsidRPr="00E05827">
        <w:t>2.</w:t>
      </w:r>
      <w:r w:rsidR="00885536">
        <w:t>2</w:t>
      </w:r>
      <w:r w:rsidRPr="00E05827">
        <w:tab/>
      </w:r>
      <w:r w:rsidR="00E05B81" w:rsidRPr="00E05B81">
        <w:rPr>
          <w:lang w:val="en-US"/>
        </w:rPr>
        <w:t>The Head of Assurance for Internal Audit has provided an opinion on the adequacy and effectiveness of the Council’s control environment, broken down between financial and non-financial systems. There are no qualifications to this assurance.</w:t>
      </w:r>
    </w:p>
    <w:p w:rsidR="006223E6" w:rsidRDefault="006223E6">
      <w:pPr>
        <w:ind w:left="1267" w:hanging="1267"/>
      </w:pPr>
    </w:p>
    <w:p w:rsidR="00E05B81" w:rsidRPr="00E05B81" w:rsidRDefault="00E05B81" w:rsidP="00E05B81">
      <w:pPr>
        <w:ind w:left="1267" w:hanging="1267"/>
        <w:rPr>
          <w:lang w:val="en-US"/>
        </w:rPr>
      </w:pPr>
      <w:r>
        <w:t>2.3</w:t>
      </w:r>
      <w:r>
        <w:tab/>
      </w:r>
      <w:r w:rsidRPr="00E05B81">
        <w:rPr>
          <w:lang w:val="en-US"/>
        </w:rPr>
        <w:t>Under Public Sector Internal Audit Standards, it is the role of the Audit Committee to seek assurance that there are no inappropriate limitations on the scope or resources of internal audit. Paragraph 2.4 of the Annual Report gives this assurance from an internal audit viewpoint and this is confirmed as being the case by the Council’s Section 151 Officer (the Director of Finance) on behalf of management.</w:t>
      </w:r>
    </w:p>
    <w:p w:rsidR="00E05B81" w:rsidRDefault="00E05B81">
      <w:pPr>
        <w:ind w:left="1267" w:hanging="1267"/>
      </w:pPr>
    </w:p>
    <w:p w:rsidR="00E05B81" w:rsidRDefault="00E05B81">
      <w:pPr>
        <w:ind w:left="1267" w:hanging="1267"/>
      </w:pPr>
    </w:p>
    <w:p w:rsidR="006223E6" w:rsidRDefault="006223E6" w:rsidP="006223E6">
      <w:pPr>
        <w:keepNext/>
        <w:ind w:left="1267" w:hanging="1267"/>
      </w:pPr>
      <w:r>
        <w:t>3.</w:t>
      </w:r>
      <w:r>
        <w:tab/>
      </w:r>
      <w:r>
        <w:rPr>
          <w:b/>
        </w:rPr>
        <w:t>Options/Reasons for Recommendation</w:t>
      </w:r>
    </w:p>
    <w:p w:rsidR="006223E6" w:rsidRDefault="006223E6" w:rsidP="006223E6">
      <w:pPr>
        <w:keepNext/>
        <w:ind w:left="1267" w:hanging="1267"/>
      </w:pPr>
    </w:p>
    <w:p w:rsidR="006223E6" w:rsidRDefault="006223E6" w:rsidP="006223E6">
      <w:pPr>
        <w:ind w:left="1267" w:hanging="1267"/>
      </w:pPr>
      <w:r>
        <w:t>3.1</w:t>
      </w:r>
      <w:r>
        <w:tab/>
      </w:r>
      <w:r>
        <w:fldChar w:fldCharType="begin"/>
      </w:r>
      <w:r>
        <w:instrText xml:space="preserve">  </w:instrText>
      </w:r>
      <w:r>
        <w:fldChar w:fldCharType="end"/>
      </w:r>
      <w:r>
        <w:t>The recommendation allows members to note the contents of the</w:t>
      </w:r>
      <w:r w:rsidR="00126067">
        <w:t xml:space="preserve"> </w:t>
      </w:r>
      <w:r w:rsidR="00E05B81">
        <w:t>In</w:t>
      </w:r>
      <w:r w:rsidR="00126067">
        <w:t>ternal Auditors</w:t>
      </w:r>
      <w:r w:rsidR="00D65D16">
        <w:t>’</w:t>
      </w:r>
      <w:r w:rsidR="00126067">
        <w:t xml:space="preserve"> </w:t>
      </w:r>
      <w:r w:rsidR="00E05B81">
        <w:t>Annual</w:t>
      </w:r>
      <w:r w:rsidR="00F52AE0">
        <w:t xml:space="preserve"> Report at Appendix 1.</w:t>
      </w:r>
    </w:p>
    <w:p w:rsidR="006223E6" w:rsidRDefault="006223E6" w:rsidP="006223E6">
      <w:pPr>
        <w:ind w:left="1267" w:hanging="1267"/>
      </w:pPr>
    </w:p>
    <w:p w:rsidR="006223E6" w:rsidRDefault="006223E6" w:rsidP="006223E6">
      <w:pPr>
        <w:keepNext/>
        <w:ind w:left="1267" w:hanging="1267"/>
      </w:pPr>
      <w:r>
        <w:t>4.</w:t>
      </w:r>
      <w:r>
        <w:tab/>
      </w:r>
      <w:r>
        <w:rPr>
          <w:b/>
        </w:rPr>
        <w:t>Policy/Budget Implications</w:t>
      </w:r>
    </w:p>
    <w:p w:rsidR="006223E6" w:rsidRDefault="006223E6" w:rsidP="006223E6">
      <w:pPr>
        <w:keepNext/>
        <w:ind w:left="1267" w:hanging="1267"/>
      </w:pPr>
    </w:p>
    <w:p w:rsidR="006E3D8A" w:rsidRDefault="006223E6" w:rsidP="006223E6">
      <w:pPr>
        <w:ind w:left="1267" w:hanging="1267"/>
      </w:pPr>
      <w:r>
        <w:t>4.1</w:t>
      </w:r>
      <w:r>
        <w:tab/>
        <w:t>The recommendations in this report are within the Council’s agreed policy and budgets.</w:t>
      </w:r>
    </w:p>
    <w:p w:rsidR="006223E6" w:rsidRDefault="006223E6" w:rsidP="006223E6">
      <w:pPr>
        <w:ind w:left="1267" w:hanging="1267"/>
      </w:pPr>
      <w:r>
        <w:fldChar w:fldCharType="begin"/>
      </w:r>
      <w:r>
        <w:instrText xml:space="preserve">  </w:instrText>
      </w:r>
      <w:r>
        <w:fldChar w:fldCharType="end"/>
      </w:r>
    </w:p>
    <w:p w:rsidR="006223E6" w:rsidRDefault="007B1957" w:rsidP="006223E6">
      <w:pPr>
        <w:keepNext/>
        <w:ind w:left="1267" w:hanging="1267"/>
      </w:pPr>
      <w:r>
        <w:t>5</w:t>
      </w:r>
      <w:r w:rsidR="006223E6">
        <w:t>.</w:t>
      </w:r>
      <w:r w:rsidR="006223E6">
        <w:fldChar w:fldCharType="begin"/>
      </w:r>
      <w:r w:rsidR="006223E6">
        <w:instrText xml:space="preserve">  </w:instrText>
      </w:r>
      <w:r w:rsidR="006223E6">
        <w:fldChar w:fldCharType="end"/>
      </w:r>
      <w:r w:rsidR="006223E6">
        <w:tab/>
      </w:r>
      <w:r>
        <w:rPr>
          <w:b/>
        </w:rPr>
        <w:t xml:space="preserve">Financial, </w:t>
      </w:r>
      <w:r w:rsidR="006223E6">
        <w:rPr>
          <w:b/>
        </w:rPr>
        <w:t>Legal, Equal Opportunities, Staffing, Environmental, Community Safety, and Customer Services Centre</w:t>
      </w:r>
      <w:r w:rsidR="00126067">
        <w:rPr>
          <w:b/>
        </w:rPr>
        <w:t>, Website and Risk Management</w:t>
      </w:r>
      <w:r w:rsidR="006223E6">
        <w:rPr>
          <w:b/>
        </w:rPr>
        <w:t xml:space="preserve"> Implications</w:t>
      </w:r>
    </w:p>
    <w:p w:rsidR="006223E6" w:rsidRDefault="006223E6" w:rsidP="006223E6">
      <w:pPr>
        <w:keepNext/>
        <w:ind w:left="1267" w:hanging="1267"/>
      </w:pPr>
    </w:p>
    <w:p w:rsidR="006223E6" w:rsidRDefault="007B1957" w:rsidP="006223E6">
      <w:pPr>
        <w:ind w:left="1267" w:hanging="1267"/>
      </w:pPr>
      <w:r>
        <w:t>5</w:t>
      </w:r>
      <w:r w:rsidR="006223E6">
        <w:t>.1</w:t>
      </w:r>
      <w:r w:rsidR="006223E6">
        <w:fldChar w:fldCharType="begin"/>
      </w:r>
      <w:r w:rsidR="006223E6">
        <w:instrText xml:space="preserve">  </w:instrText>
      </w:r>
      <w:r w:rsidR="006223E6">
        <w:fldChar w:fldCharType="end"/>
      </w:r>
      <w:r w:rsidR="006223E6">
        <w:tab/>
        <w:t>None specific.</w:t>
      </w:r>
    </w:p>
    <w:p w:rsidR="00EB128F" w:rsidRDefault="00EB128F" w:rsidP="006223E6">
      <w:pPr>
        <w:pStyle w:val="BodyTextIndent"/>
      </w:pPr>
    </w:p>
    <w:p w:rsidR="006223E6" w:rsidRDefault="007B1957" w:rsidP="006223E6">
      <w:pPr>
        <w:keepNext/>
        <w:ind w:left="1267" w:hanging="1267"/>
      </w:pPr>
      <w:r>
        <w:t>6</w:t>
      </w:r>
      <w:r w:rsidR="006223E6">
        <w:t>.</w:t>
      </w:r>
      <w:r w:rsidR="006223E6">
        <w:fldChar w:fldCharType="begin"/>
      </w:r>
      <w:r w:rsidR="006223E6">
        <w:instrText xml:space="preserve">  </w:instrText>
      </w:r>
      <w:r w:rsidR="006223E6">
        <w:fldChar w:fldCharType="end"/>
      </w:r>
      <w:r w:rsidR="006223E6">
        <w:tab/>
      </w:r>
      <w:r w:rsidR="006223E6">
        <w:rPr>
          <w:b/>
        </w:rPr>
        <w:t>Recommendation</w:t>
      </w:r>
    </w:p>
    <w:p w:rsidR="006223E6" w:rsidRDefault="006223E6" w:rsidP="006223E6">
      <w:pPr>
        <w:keepNext/>
        <w:ind w:left="1267" w:hanging="1267"/>
      </w:pPr>
    </w:p>
    <w:p w:rsidR="00FF112C" w:rsidRPr="00FF112C" w:rsidRDefault="007B1957" w:rsidP="00FF112C">
      <w:pPr>
        <w:ind w:left="1267" w:hanging="1267"/>
        <w:rPr>
          <w:lang w:val="en-US"/>
        </w:rPr>
      </w:pPr>
      <w:r>
        <w:t>6</w:t>
      </w:r>
      <w:r w:rsidR="006223E6">
        <w:t>.1</w:t>
      </w:r>
      <w:r w:rsidR="006223E6">
        <w:tab/>
      </w:r>
      <w:r w:rsidR="00FF112C" w:rsidRPr="00FF112C">
        <w:rPr>
          <w:lang w:val="en-US"/>
        </w:rPr>
        <w:t xml:space="preserve">That </w:t>
      </w:r>
      <w:r w:rsidR="00FF112C" w:rsidRPr="00FF112C">
        <w:rPr>
          <w:lang w:val="en-US"/>
        </w:rPr>
        <w:fldChar w:fldCharType="begin"/>
      </w:r>
      <w:r w:rsidR="00FF112C" w:rsidRPr="00FF112C">
        <w:rPr>
          <w:lang w:val="en-US"/>
        </w:rPr>
        <w:instrText xml:space="preserve">  </w:instrText>
      </w:r>
      <w:r w:rsidR="00FF112C" w:rsidRPr="00FF112C">
        <w:fldChar w:fldCharType="end"/>
      </w:r>
      <w:r w:rsidR="00FF112C" w:rsidRPr="00FF112C">
        <w:rPr>
          <w:lang w:val="en-US"/>
        </w:rPr>
        <w:t>the Committee notes the contents of the annual internal audit report and the annual assurance statement.</w:t>
      </w:r>
    </w:p>
    <w:p w:rsidR="006223E6" w:rsidRDefault="006223E6" w:rsidP="006223E6">
      <w:pPr>
        <w:ind w:left="1267" w:hanging="1267"/>
      </w:pPr>
    </w:p>
    <w:p w:rsidR="00FF112C" w:rsidRPr="00FF112C" w:rsidRDefault="00FF112C" w:rsidP="00FF112C">
      <w:pPr>
        <w:ind w:left="1260" w:hanging="1260"/>
        <w:rPr>
          <w:lang w:val="en-US"/>
        </w:rPr>
      </w:pPr>
      <w:r>
        <w:t>6.2</w:t>
      </w:r>
      <w:r>
        <w:tab/>
      </w:r>
      <w:r w:rsidRPr="00FF112C">
        <w:rPr>
          <w:lang w:val="en-US"/>
        </w:rPr>
        <w:t>That the Committee acknowledges the assurance from management that the scope and resources for internal audit were subject to no inappropriate limitations in 2015/16.</w:t>
      </w:r>
    </w:p>
    <w:p w:rsidR="00FF112C" w:rsidRDefault="00FF112C" w:rsidP="006223E6"/>
    <w:p w:rsidR="00FF112C" w:rsidRDefault="00FF112C" w:rsidP="00FF112C">
      <w:pPr>
        <w:ind w:left="1260" w:hanging="1260"/>
        <w:rPr>
          <w:lang w:val="en-US"/>
        </w:rPr>
      </w:pPr>
      <w:r>
        <w:t>6.3</w:t>
      </w:r>
      <w:r>
        <w:tab/>
      </w:r>
      <w:r w:rsidRPr="00FF112C">
        <w:rPr>
          <w:lang w:val="en-US"/>
        </w:rPr>
        <w:t xml:space="preserve">Note the results of the self-assessment as required by both the Public Sector Internal Audit Standards and the Quality Assurance and Improvement </w:t>
      </w:r>
      <w:proofErr w:type="spellStart"/>
      <w:r w:rsidRPr="00FF112C">
        <w:rPr>
          <w:lang w:val="en-US"/>
        </w:rPr>
        <w:t>Programme</w:t>
      </w:r>
      <w:proofErr w:type="spellEnd"/>
      <w:r w:rsidRPr="00FF112C">
        <w:rPr>
          <w:lang w:val="en-US"/>
        </w:rPr>
        <w:t>.</w:t>
      </w:r>
    </w:p>
    <w:p w:rsidR="00FF112C" w:rsidRDefault="00FF112C" w:rsidP="00FF112C">
      <w:pPr>
        <w:rPr>
          <w:lang w:val="en-US"/>
        </w:rPr>
      </w:pPr>
    </w:p>
    <w:p w:rsidR="00FF112C" w:rsidRPr="00FF112C" w:rsidRDefault="00FF112C" w:rsidP="00FF112C">
      <w:pPr>
        <w:rPr>
          <w:lang w:val="en-US"/>
        </w:rPr>
      </w:pPr>
      <w:r>
        <w:rPr>
          <w:lang w:val="en-US"/>
        </w:rPr>
        <w:t>6.4</w:t>
      </w:r>
      <w:r>
        <w:rPr>
          <w:lang w:val="en-US"/>
        </w:rPr>
        <w:tab/>
      </w:r>
      <w:r w:rsidRPr="00FF112C">
        <w:rPr>
          <w:lang w:val="en-US"/>
        </w:rPr>
        <w:t xml:space="preserve">Accept the SIAS Audit Charter </w:t>
      </w:r>
    </w:p>
    <w:p w:rsidR="00FF112C" w:rsidRPr="00FF112C" w:rsidRDefault="00FF112C" w:rsidP="00FF112C">
      <w:pPr>
        <w:rPr>
          <w:lang w:val="en-US"/>
        </w:rPr>
      </w:pPr>
    </w:p>
    <w:p w:rsidR="00FF112C" w:rsidRDefault="00FF112C" w:rsidP="006223E6"/>
    <w:p w:rsidR="00FF112C" w:rsidRDefault="00FF112C" w:rsidP="006223E6"/>
    <w:p w:rsidR="00FF112C" w:rsidRDefault="00FF112C" w:rsidP="006223E6"/>
    <w:p w:rsidR="006223E6" w:rsidRDefault="006223E6" w:rsidP="00885536">
      <w:pPr>
        <w:keepNext/>
        <w:ind w:left="1267" w:hanging="1267"/>
        <w:outlineLvl w:val="0"/>
      </w:pPr>
      <w:r>
        <w:tab/>
      </w:r>
      <w:r>
        <w:rPr>
          <w:b/>
        </w:rPr>
        <w:t>Background Papers</w:t>
      </w:r>
      <w:r w:rsidR="00885536">
        <w:rPr>
          <w:b/>
        </w:rPr>
        <w:t xml:space="preserve">  </w:t>
      </w:r>
      <w:r>
        <w:tab/>
      </w:r>
      <w:r w:rsidR="00970277">
        <w:t>None</w:t>
      </w:r>
    </w:p>
    <w:p w:rsidR="006223E6" w:rsidRDefault="006223E6" w:rsidP="006223E6">
      <w:pPr>
        <w:ind w:left="1267" w:hanging="1267"/>
        <w:rPr>
          <w:b/>
        </w:rPr>
      </w:pPr>
    </w:p>
    <w:p w:rsidR="006223E6" w:rsidRDefault="006223E6" w:rsidP="006223E6">
      <w:r>
        <w:tab/>
        <w:t>Report prepared by:</w:t>
      </w:r>
      <w:r>
        <w:tab/>
      </w:r>
      <w:bookmarkStart w:id="0" w:name="_GoBack"/>
      <w:bookmarkEnd w:id="0"/>
      <w:r w:rsidR="00885536">
        <w:t>Bob Watson</w:t>
      </w:r>
      <w:r>
        <w:t xml:space="preserve"> – </w:t>
      </w:r>
      <w:r w:rsidR="00F03ECA">
        <w:t>Head of Finance</w:t>
      </w:r>
    </w:p>
    <w:p w:rsidR="006223E6" w:rsidRDefault="006223E6" w:rsidP="006223E6"/>
    <w:p w:rsidR="006223E6" w:rsidRDefault="006223E6" w:rsidP="00E05827">
      <w:pPr>
        <w:keepNext/>
        <w:ind w:left="1267" w:hanging="1267"/>
        <w:outlineLvl w:val="0"/>
      </w:pPr>
      <w:r>
        <w:tab/>
      </w:r>
      <w:r>
        <w:rPr>
          <w:b/>
        </w:rPr>
        <w:t>APPENDICES / ATTACHMENTS</w:t>
      </w:r>
    </w:p>
    <w:p w:rsidR="006223E6" w:rsidRDefault="006223E6" w:rsidP="006223E6">
      <w:pPr>
        <w:keepNext/>
        <w:ind w:left="1267" w:hanging="1267"/>
      </w:pPr>
    </w:p>
    <w:p w:rsidR="00FF112C" w:rsidRPr="00FF112C" w:rsidRDefault="006223E6" w:rsidP="00FF112C">
      <w:pPr>
        <w:ind w:left="1276" w:hanging="1276"/>
        <w:rPr>
          <w:lang w:val="en-US"/>
        </w:rPr>
      </w:pPr>
      <w:r>
        <w:tab/>
      </w:r>
      <w:r w:rsidR="00FF112C" w:rsidRPr="00FF112C">
        <w:rPr>
          <w:lang w:val="en-US"/>
        </w:rPr>
        <w:t>Appendix 1</w:t>
      </w:r>
      <w:r w:rsidR="00FF112C" w:rsidRPr="00FF112C">
        <w:rPr>
          <w:lang w:val="en-US"/>
        </w:rPr>
        <w:tab/>
      </w:r>
      <w:r w:rsidR="00FF112C" w:rsidRPr="00FF112C">
        <w:rPr>
          <w:lang w:val="en-US"/>
        </w:rPr>
        <w:fldChar w:fldCharType="begin"/>
      </w:r>
      <w:r w:rsidR="00FF112C" w:rsidRPr="00FF112C">
        <w:rPr>
          <w:lang w:val="en-US"/>
        </w:rPr>
        <w:instrText xml:space="preserve">  </w:instrText>
      </w:r>
      <w:r w:rsidR="00FF112C" w:rsidRPr="00FF112C">
        <w:fldChar w:fldCharType="end"/>
      </w:r>
      <w:r w:rsidR="00FF112C" w:rsidRPr="00FF112C">
        <w:rPr>
          <w:lang w:val="en-US"/>
        </w:rPr>
        <w:t xml:space="preserve">2015/16 Annual Assurance Statement and Internal Audit Annual Report. </w:t>
      </w:r>
    </w:p>
    <w:p w:rsidR="007C0F52" w:rsidRDefault="007C0F52" w:rsidP="00FF112C">
      <w:pPr>
        <w:ind w:left="1276" w:hanging="1276"/>
      </w:pPr>
    </w:p>
    <w:sectPr w:rsidR="007C0F52">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81" w:rsidRDefault="00E05B81">
      <w:r>
        <w:separator/>
      </w:r>
    </w:p>
  </w:endnote>
  <w:endnote w:type="continuationSeparator" w:id="0">
    <w:p w:rsidR="00E05B81" w:rsidRDefault="00E0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81" w:rsidRDefault="00E05B81">
      <w:r>
        <w:separator/>
      </w:r>
    </w:p>
  </w:footnote>
  <w:footnote w:type="continuationSeparator" w:id="0">
    <w:p w:rsidR="00E05B81" w:rsidRDefault="00E05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B0AE5"/>
    <w:multiLevelType w:val="hybridMultilevel"/>
    <w:tmpl w:val="634489A0"/>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nsid w:val="4C360B83"/>
    <w:multiLevelType w:val="hybridMultilevel"/>
    <w:tmpl w:val="A2FE525A"/>
    <w:lvl w:ilvl="0" w:tplc="7904053A">
      <w:start w:val="1"/>
      <w:numFmt w:val="decimal"/>
      <w:lvlText w:val="%1."/>
      <w:lvlJc w:val="left"/>
      <w:pPr>
        <w:tabs>
          <w:tab w:val="num" w:pos="720"/>
        </w:tabs>
        <w:ind w:left="720" w:hanging="360"/>
      </w:pPr>
    </w:lvl>
    <w:lvl w:ilvl="1" w:tplc="CA6630D4" w:tentative="1">
      <w:start w:val="1"/>
      <w:numFmt w:val="decimal"/>
      <w:lvlText w:val="%2."/>
      <w:lvlJc w:val="left"/>
      <w:pPr>
        <w:tabs>
          <w:tab w:val="num" w:pos="1440"/>
        </w:tabs>
        <w:ind w:left="1440" w:hanging="360"/>
      </w:pPr>
    </w:lvl>
    <w:lvl w:ilvl="2" w:tplc="04090005">
      <w:start w:val="1"/>
      <w:numFmt w:val="bullet"/>
      <w:lvlText w:val=""/>
      <w:lvlJc w:val="left"/>
      <w:pPr>
        <w:tabs>
          <w:tab w:val="num" w:pos="2062"/>
        </w:tabs>
        <w:ind w:left="2062" w:hanging="360"/>
      </w:pPr>
      <w:rPr>
        <w:rFonts w:ascii="Wingdings" w:hAnsi="Wingdings" w:hint="default"/>
      </w:rPr>
    </w:lvl>
    <w:lvl w:ilvl="3" w:tplc="DFAA40E6" w:tentative="1">
      <w:start w:val="1"/>
      <w:numFmt w:val="decimal"/>
      <w:lvlText w:val="%4."/>
      <w:lvlJc w:val="left"/>
      <w:pPr>
        <w:tabs>
          <w:tab w:val="num" w:pos="2880"/>
        </w:tabs>
        <w:ind w:left="2880" w:hanging="360"/>
      </w:pPr>
    </w:lvl>
    <w:lvl w:ilvl="4" w:tplc="12A8106A" w:tentative="1">
      <w:start w:val="1"/>
      <w:numFmt w:val="decimal"/>
      <w:lvlText w:val="%5."/>
      <w:lvlJc w:val="left"/>
      <w:pPr>
        <w:tabs>
          <w:tab w:val="num" w:pos="3600"/>
        </w:tabs>
        <w:ind w:left="3600" w:hanging="360"/>
      </w:pPr>
    </w:lvl>
    <w:lvl w:ilvl="5" w:tplc="35BCC2B2" w:tentative="1">
      <w:start w:val="1"/>
      <w:numFmt w:val="decimal"/>
      <w:lvlText w:val="%6."/>
      <w:lvlJc w:val="left"/>
      <w:pPr>
        <w:tabs>
          <w:tab w:val="num" w:pos="4320"/>
        </w:tabs>
        <w:ind w:left="4320" w:hanging="360"/>
      </w:pPr>
    </w:lvl>
    <w:lvl w:ilvl="6" w:tplc="B3AEAC04" w:tentative="1">
      <w:start w:val="1"/>
      <w:numFmt w:val="decimal"/>
      <w:lvlText w:val="%7."/>
      <w:lvlJc w:val="left"/>
      <w:pPr>
        <w:tabs>
          <w:tab w:val="num" w:pos="5040"/>
        </w:tabs>
        <w:ind w:left="5040" w:hanging="360"/>
      </w:pPr>
    </w:lvl>
    <w:lvl w:ilvl="7" w:tplc="8CEA7278" w:tentative="1">
      <w:start w:val="1"/>
      <w:numFmt w:val="decimal"/>
      <w:lvlText w:val="%8."/>
      <w:lvlJc w:val="left"/>
      <w:pPr>
        <w:tabs>
          <w:tab w:val="num" w:pos="5760"/>
        </w:tabs>
        <w:ind w:left="5760" w:hanging="360"/>
      </w:pPr>
    </w:lvl>
    <w:lvl w:ilvl="8" w:tplc="E0CA6380" w:tentative="1">
      <w:start w:val="1"/>
      <w:numFmt w:val="decimal"/>
      <w:lvlText w:val="%9."/>
      <w:lvlJc w:val="left"/>
      <w:pPr>
        <w:tabs>
          <w:tab w:val="num" w:pos="6480"/>
        </w:tabs>
        <w:ind w:left="6480" w:hanging="360"/>
      </w:pPr>
    </w:lvl>
  </w:abstractNum>
  <w:abstractNum w:abstractNumId="2">
    <w:nsid w:val="6BD218C1"/>
    <w:multiLevelType w:val="hybridMultilevel"/>
    <w:tmpl w:val="A22E4AA2"/>
    <w:lvl w:ilvl="0" w:tplc="7904053A">
      <w:start w:val="1"/>
      <w:numFmt w:val="decimal"/>
      <w:lvlText w:val="%1."/>
      <w:lvlJc w:val="left"/>
      <w:pPr>
        <w:tabs>
          <w:tab w:val="num" w:pos="720"/>
        </w:tabs>
        <w:ind w:left="720" w:hanging="360"/>
      </w:pPr>
    </w:lvl>
    <w:lvl w:ilvl="1" w:tplc="CA6630D4" w:tentative="1">
      <w:start w:val="1"/>
      <w:numFmt w:val="decimal"/>
      <w:lvlText w:val="%2."/>
      <w:lvlJc w:val="left"/>
      <w:pPr>
        <w:tabs>
          <w:tab w:val="num" w:pos="1440"/>
        </w:tabs>
        <w:ind w:left="1440" w:hanging="360"/>
      </w:pPr>
    </w:lvl>
    <w:lvl w:ilvl="2" w:tplc="AA4A585A">
      <w:start w:val="1"/>
      <w:numFmt w:val="decimal"/>
      <w:lvlText w:val="%3."/>
      <w:lvlJc w:val="left"/>
      <w:pPr>
        <w:tabs>
          <w:tab w:val="num" w:pos="2160"/>
        </w:tabs>
        <w:ind w:left="2160" w:hanging="360"/>
      </w:pPr>
    </w:lvl>
    <w:lvl w:ilvl="3" w:tplc="DFAA40E6" w:tentative="1">
      <w:start w:val="1"/>
      <w:numFmt w:val="decimal"/>
      <w:lvlText w:val="%4."/>
      <w:lvlJc w:val="left"/>
      <w:pPr>
        <w:tabs>
          <w:tab w:val="num" w:pos="2880"/>
        </w:tabs>
        <w:ind w:left="2880" w:hanging="360"/>
      </w:pPr>
    </w:lvl>
    <w:lvl w:ilvl="4" w:tplc="12A8106A" w:tentative="1">
      <w:start w:val="1"/>
      <w:numFmt w:val="decimal"/>
      <w:lvlText w:val="%5."/>
      <w:lvlJc w:val="left"/>
      <w:pPr>
        <w:tabs>
          <w:tab w:val="num" w:pos="3600"/>
        </w:tabs>
        <w:ind w:left="3600" w:hanging="360"/>
      </w:pPr>
    </w:lvl>
    <w:lvl w:ilvl="5" w:tplc="35BCC2B2" w:tentative="1">
      <w:start w:val="1"/>
      <w:numFmt w:val="decimal"/>
      <w:lvlText w:val="%6."/>
      <w:lvlJc w:val="left"/>
      <w:pPr>
        <w:tabs>
          <w:tab w:val="num" w:pos="4320"/>
        </w:tabs>
        <w:ind w:left="4320" w:hanging="360"/>
      </w:pPr>
    </w:lvl>
    <w:lvl w:ilvl="6" w:tplc="B3AEAC04" w:tentative="1">
      <w:start w:val="1"/>
      <w:numFmt w:val="decimal"/>
      <w:lvlText w:val="%7."/>
      <w:lvlJc w:val="left"/>
      <w:pPr>
        <w:tabs>
          <w:tab w:val="num" w:pos="5040"/>
        </w:tabs>
        <w:ind w:left="5040" w:hanging="360"/>
      </w:pPr>
    </w:lvl>
    <w:lvl w:ilvl="7" w:tplc="8CEA7278" w:tentative="1">
      <w:start w:val="1"/>
      <w:numFmt w:val="decimal"/>
      <w:lvlText w:val="%8."/>
      <w:lvlJc w:val="left"/>
      <w:pPr>
        <w:tabs>
          <w:tab w:val="num" w:pos="5760"/>
        </w:tabs>
        <w:ind w:left="5760" w:hanging="360"/>
      </w:pPr>
    </w:lvl>
    <w:lvl w:ilvl="8" w:tplc="E0CA6380" w:tentative="1">
      <w:start w:val="1"/>
      <w:numFmt w:val="decimal"/>
      <w:lvlText w:val="%9."/>
      <w:lvlJc w:val="left"/>
      <w:pPr>
        <w:tabs>
          <w:tab w:val="num" w:pos="6480"/>
        </w:tabs>
        <w:ind w:left="6480" w:hanging="360"/>
      </w:pPr>
    </w:lvl>
  </w:abstractNum>
  <w:abstractNum w:abstractNumId="3">
    <w:nsid w:val="755D41D8"/>
    <w:multiLevelType w:val="multilevel"/>
    <w:tmpl w:val="A22E4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DD"/>
    <w:rsid w:val="000234BD"/>
    <w:rsid w:val="0003116E"/>
    <w:rsid w:val="00057CB9"/>
    <w:rsid w:val="00085258"/>
    <w:rsid w:val="00092414"/>
    <w:rsid w:val="000A66FA"/>
    <w:rsid w:val="000B2715"/>
    <w:rsid w:val="000C06ED"/>
    <w:rsid w:val="000D0E5C"/>
    <w:rsid w:val="00126067"/>
    <w:rsid w:val="00130C4D"/>
    <w:rsid w:val="001464B1"/>
    <w:rsid w:val="001625E4"/>
    <w:rsid w:val="001C4C97"/>
    <w:rsid w:val="001F2A81"/>
    <w:rsid w:val="002859FC"/>
    <w:rsid w:val="002E584D"/>
    <w:rsid w:val="00322F63"/>
    <w:rsid w:val="0032522E"/>
    <w:rsid w:val="00340B38"/>
    <w:rsid w:val="00361C57"/>
    <w:rsid w:val="004072B9"/>
    <w:rsid w:val="004242C6"/>
    <w:rsid w:val="004453B2"/>
    <w:rsid w:val="00495264"/>
    <w:rsid w:val="0049582C"/>
    <w:rsid w:val="005267C9"/>
    <w:rsid w:val="005305AD"/>
    <w:rsid w:val="00611E53"/>
    <w:rsid w:val="006223E6"/>
    <w:rsid w:val="00624AC1"/>
    <w:rsid w:val="00625630"/>
    <w:rsid w:val="006501AE"/>
    <w:rsid w:val="006615CE"/>
    <w:rsid w:val="006739DD"/>
    <w:rsid w:val="006A02CC"/>
    <w:rsid w:val="006C3598"/>
    <w:rsid w:val="006E3D8A"/>
    <w:rsid w:val="006F5703"/>
    <w:rsid w:val="00707141"/>
    <w:rsid w:val="00707348"/>
    <w:rsid w:val="007B1957"/>
    <w:rsid w:val="007B34B3"/>
    <w:rsid w:val="007C0F52"/>
    <w:rsid w:val="007C7392"/>
    <w:rsid w:val="007D2D5B"/>
    <w:rsid w:val="007E54C2"/>
    <w:rsid w:val="00800471"/>
    <w:rsid w:val="0081151C"/>
    <w:rsid w:val="00813DF2"/>
    <w:rsid w:val="008314A2"/>
    <w:rsid w:val="00856557"/>
    <w:rsid w:val="00864B68"/>
    <w:rsid w:val="00867B9B"/>
    <w:rsid w:val="00885536"/>
    <w:rsid w:val="008B55B3"/>
    <w:rsid w:val="00955BB9"/>
    <w:rsid w:val="00960D2A"/>
    <w:rsid w:val="009671FB"/>
    <w:rsid w:val="00970277"/>
    <w:rsid w:val="00A1715A"/>
    <w:rsid w:val="00A1768F"/>
    <w:rsid w:val="00A32CF9"/>
    <w:rsid w:val="00A43F16"/>
    <w:rsid w:val="00A544D4"/>
    <w:rsid w:val="00A81011"/>
    <w:rsid w:val="00AA0989"/>
    <w:rsid w:val="00B04677"/>
    <w:rsid w:val="00B11A8C"/>
    <w:rsid w:val="00B54E79"/>
    <w:rsid w:val="00B86524"/>
    <w:rsid w:val="00BE0E63"/>
    <w:rsid w:val="00C27553"/>
    <w:rsid w:val="00C42F64"/>
    <w:rsid w:val="00CA0E84"/>
    <w:rsid w:val="00CA3413"/>
    <w:rsid w:val="00CD5B98"/>
    <w:rsid w:val="00CF431B"/>
    <w:rsid w:val="00D65D16"/>
    <w:rsid w:val="00D66E75"/>
    <w:rsid w:val="00D67CA7"/>
    <w:rsid w:val="00DF4975"/>
    <w:rsid w:val="00E05827"/>
    <w:rsid w:val="00E05B81"/>
    <w:rsid w:val="00EB128F"/>
    <w:rsid w:val="00EF2545"/>
    <w:rsid w:val="00F03ECA"/>
    <w:rsid w:val="00F52AE0"/>
    <w:rsid w:val="00FB7964"/>
    <w:rsid w:val="00FE4983"/>
    <w:rsid w:val="00FF1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DocumentMap">
    <w:name w:val="Document Map"/>
    <w:basedOn w:val="Normal"/>
    <w:semiHidden/>
    <w:rsid w:val="00E05827"/>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DocumentMap">
    <w:name w:val="Document Map"/>
    <w:basedOn w:val="Normal"/>
    <w:semiHidden/>
    <w:rsid w:val="00E05827"/>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349319">
      <w:bodyDiv w:val="1"/>
      <w:marLeft w:val="0"/>
      <w:marRight w:val="0"/>
      <w:marTop w:val="0"/>
      <w:marBottom w:val="0"/>
      <w:divBdr>
        <w:top w:val="none" w:sz="0" w:space="0" w:color="auto"/>
        <w:left w:val="none" w:sz="0" w:space="0" w:color="auto"/>
        <w:bottom w:val="none" w:sz="0" w:space="0" w:color="auto"/>
        <w:right w:val="none" w:sz="0" w:space="0" w:color="auto"/>
      </w:divBdr>
      <w:divsChild>
        <w:div w:id="1834025436">
          <w:marLeft w:val="0"/>
          <w:marRight w:val="0"/>
          <w:marTop w:val="0"/>
          <w:marBottom w:val="0"/>
          <w:divBdr>
            <w:top w:val="none" w:sz="0" w:space="0" w:color="auto"/>
            <w:left w:val="none" w:sz="0" w:space="0" w:color="auto"/>
            <w:bottom w:val="none" w:sz="0" w:space="0" w:color="auto"/>
            <w:right w:val="none" w:sz="0" w:space="0" w:color="auto"/>
          </w:divBdr>
          <w:divsChild>
            <w:div w:id="71244064">
              <w:marLeft w:val="0"/>
              <w:marRight w:val="0"/>
              <w:marTop w:val="0"/>
              <w:marBottom w:val="0"/>
              <w:divBdr>
                <w:top w:val="none" w:sz="0" w:space="0" w:color="auto"/>
                <w:left w:val="none" w:sz="0" w:space="0" w:color="auto"/>
                <w:bottom w:val="none" w:sz="0" w:space="0" w:color="auto"/>
                <w:right w:val="none" w:sz="0" w:space="0" w:color="auto"/>
              </w:divBdr>
            </w:div>
            <w:div w:id="402146488">
              <w:marLeft w:val="0"/>
              <w:marRight w:val="0"/>
              <w:marTop w:val="0"/>
              <w:marBottom w:val="0"/>
              <w:divBdr>
                <w:top w:val="none" w:sz="0" w:space="0" w:color="auto"/>
                <w:left w:val="none" w:sz="0" w:space="0" w:color="auto"/>
                <w:bottom w:val="none" w:sz="0" w:space="0" w:color="auto"/>
                <w:right w:val="none" w:sz="0" w:space="0" w:color="auto"/>
              </w:divBdr>
            </w:div>
            <w:div w:id="881481542">
              <w:marLeft w:val="0"/>
              <w:marRight w:val="0"/>
              <w:marTop w:val="0"/>
              <w:marBottom w:val="0"/>
              <w:divBdr>
                <w:top w:val="none" w:sz="0" w:space="0" w:color="auto"/>
                <w:left w:val="none" w:sz="0" w:space="0" w:color="auto"/>
                <w:bottom w:val="none" w:sz="0" w:space="0" w:color="auto"/>
                <w:right w:val="none" w:sz="0" w:space="0" w:color="auto"/>
              </w:divBdr>
            </w:div>
            <w:div w:id="1011840101">
              <w:marLeft w:val="0"/>
              <w:marRight w:val="0"/>
              <w:marTop w:val="0"/>
              <w:marBottom w:val="0"/>
              <w:divBdr>
                <w:top w:val="none" w:sz="0" w:space="0" w:color="auto"/>
                <w:left w:val="none" w:sz="0" w:space="0" w:color="auto"/>
                <w:bottom w:val="none" w:sz="0" w:space="0" w:color="auto"/>
                <w:right w:val="none" w:sz="0" w:space="0" w:color="auto"/>
              </w:divBdr>
            </w:div>
            <w:div w:id="1223828879">
              <w:marLeft w:val="0"/>
              <w:marRight w:val="0"/>
              <w:marTop w:val="0"/>
              <w:marBottom w:val="0"/>
              <w:divBdr>
                <w:top w:val="none" w:sz="0" w:space="0" w:color="auto"/>
                <w:left w:val="none" w:sz="0" w:space="0" w:color="auto"/>
                <w:bottom w:val="none" w:sz="0" w:space="0" w:color="auto"/>
                <w:right w:val="none" w:sz="0" w:space="0" w:color="auto"/>
              </w:divBdr>
            </w:div>
            <w:div w:id="1616519491">
              <w:marLeft w:val="0"/>
              <w:marRight w:val="0"/>
              <w:marTop w:val="0"/>
              <w:marBottom w:val="0"/>
              <w:divBdr>
                <w:top w:val="none" w:sz="0" w:space="0" w:color="auto"/>
                <w:left w:val="none" w:sz="0" w:space="0" w:color="auto"/>
                <w:bottom w:val="none" w:sz="0" w:space="0" w:color="auto"/>
                <w:right w:val="none" w:sz="0" w:space="0" w:color="auto"/>
              </w:divBdr>
            </w:div>
            <w:div w:id="1636636863">
              <w:marLeft w:val="0"/>
              <w:marRight w:val="0"/>
              <w:marTop w:val="0"/>
              <w:marBottom w:val="0"/>
              <w:divBdr>
                <w:top w:val="none" w:sz="0" w:space="0" w:color="auto"/>
                <w:left w:val="none" w:sz="0" w:space="0" w:color="auto"/>
                <w:bottom w:val="none" w:sz="0" w:space="0" w:color="auto"/>
                <w:right w:val="none" w:sz="0" w:space="0" w:color="auto"/>
              </w:divBdr>
            </w:div>
            <w:div w:id="1637485520">
              <w:marLeft w:val="0"/>
              <w:marRight w:val="0"/>
              <w:marTop w:val="0"/>
              <w:marBottom w:val="0"/>
              <w:divBdr>
                <w:top w:val="none" w:sz="0" w:space="0" w:color="auto"/>
                <w:left w:val="none" w:sz="0" w:space="0" w:color="auto"/>
                <w:bottom w:val="none" w:sz="0" w:space="0" w:color="auto"/>
                <w:right w:val="none" w:sz="0" w:space="0" w:color="auto"/>
              </w:divBdr>
            </w:div>
            <w:div w:id="17846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Report: Audit Committee 13.06.13: part i - (06) external audit plan</vt:lpstr>
    </vt:vector>
  </TitlesOfParts>
  <Company>Pre-installed Company</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(06) external audit plan</dc:title>
  <dc:creator>Three Rivers DC</dc:creator>
  <cp:lastModifiedBy>Helen Wailling</cp:lastModifiedBy>
  <cp:revision>5</cp:revision>
  <cp:lastPrinted>2013-05-29T10:56:00Z</cp:lastPrinted>
  <dcterms:created xsi:type="dcterms:W3CDTF">2016-06-20T15:31:00Z</dcterms:created>
  <dcterms:modified xsi:type="dcterms:W3CDTF">2016-06-20T15:39:00Z</dcterms:modified>
</cp:coreProperties>
</file>