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128F" w:rsidRDefault="007C0F52" w:rsidP="00E05827">
      <w:pPr>
        <w:jc w:val="center"/>
        <w:outlineLvl w:val="0"/>
        <w:rPr>
          <w:b/>
        </w:rPr>
      </w:pPr>
      <w:r>
        <w:rPr>
          <w:b/>
        </w:rPr>
        <w:fldChar w:fldCharType="begin"/>
      </w:r>
      <w:r>
        <w:rPr>
          <w:b/>
        </w:rPr>
        <w:instrText xml:space="preserve">  </w:instrText>
      </w:r>
      <w:r>
        <w:rPr>
          <w:b/>
        </w:rPr>
        <w:fldChar w:fldCharType="end"/>
      </w:r>
      <w:r>
        <w:rPr>
          <w:b/>
        </w:rPr>
        <w:fldChar w:fldCharType="begin"/>
      </w:r>
      <w:r>
        <w:rPr>
          <w:b/>
        </w:rPr>
        <w:instrText xml:space="preserve">  </w:instrText>
      </w:r>
      <w:r>
        <w:rPr>
          <w:b/>
        </w:rPr>
        <w:fldChar w:fldCharType="end"/>
      </w:r>
      <w:r w:rsidR="006223E6">
        <w:rPr>
          <w:b/>
        </w:rPr>
        <w:t>AUDIT</w:t>
      </w:r>
      <w:r>
        <w:rPr>
          <w:b/>
        </w:rPr>
        <w:t xml:space="preserve"> COMMITTEE </w:t>
      </w:r>
      <w:r w:rsidR="006223E6">
        <w:rPr>
          <w:b/>
        </w:rPr>
        <w:t>–</w:t>
      </w:r>
      <w:r>
        <w:rPr>
          <w:b/>
        </w:rPr>
        <w:t xml:space="preserve"> </w:t>
      </w:r>
      <w:r w:rsidR="00F03ECA">
        <w:rPr>
          <w:b/>
        </w:rPr>
        <w:t>2</w:t>
      </w:r>
      <w:r w:rsidR="00F52AE0">
        <w:rPr>
          <w:b/>
        </w:rPr>
        <w:t>8</w:t>
      </w:r>
      <w:r w:rsidR="004072B9">
        <w:rPr>
          <w:b/>
        </w:rPr>
        <w:t xml:space="preserve"> </w:t>
      </w:r>
      <w:r w:rsidR="001C4C97">
        <w:rPr>
          <w:b/>
        </w:rPr>
        <w:t>JUNE</w:t>
      </w:r>
      <w:r w:rsidR="004072B9">
        <w:rPr>
          <w:b/>
        </w:rPr>
        <w:t xml:space="preserve"> 201</w:t>
      </w:r>
      <w:r w:rsidR="00F52AE0">
        <w:rPr>
          <w:b/>
        </w:rPr>
        <w:t>6</w:t>
      </w:r>
    </w:p>
    <w:p w:rsidR="007C0F52" w:rsidRDefault="007C0F52" w:rsidP="006223E6">
      <w:pPr>
        <w:jc w:val="center"/>
      </w:pPr>
    </w:p>
    <w:p w:rsidR="00EB128F" w:rsidRDefault="007C0F52" w:rsidP="00E05827">
      <w:pPr>
        <w:jc w:val="center"/>
        <w:outlineLvl w:val="0"/>
        <w:rPr>
          <w:b/>
        </w:rPr>
      </w:pPr>
      <w:r>
        <w:rPr>
          <w:b/>
        </w:rPr>
        <w:t xml:space="preserve">PART </w:t>
      </w:r>
      <w:r>
        <w:rPr>
          <w:b/>
        </w:rPr>
        <w:fldChar w:fldCharType="begin"/>
      </w:r>
      <w:r>
        <w:rPr>
          <w:b/>
        </w:rPr>
        <w:instrText xml:space="preserve">  </w:instrText>
      </w:r>
      <w:r>
        <w:rPr>
          <w:b/>
        </w:rPr>
        <w:fldChar w:fldCharType="end"/>
      </w:r>
      <w:r>
        <w:rPr>
          <w:b/>
        </w:rPr>
        <w:t xml:space="preserve">I </w:t>
      </w:r>
      <w:r w:rsidR="00EB128F">
        <w:rPr>
          <w:b/>
        </w:rPr>
        <w:t>–</w:t>
      </w:r>
      <w:r>
        <w:rPr>
          <w:b/>
        </w:rPr>
        <w:t xml:space="preserve"> </w:t>
      </w:r>
      <w:r>
        <w:rPr>
          <w:b/>
        </w:rPr>
        <w:fldChar w:fldCharType="begin"/>
      </w:r>
      <w:r>
        <w:rPr>
          <w:b/>
        </w:rPr>
        <w:instrText xml:space="preserve">  </w:instrText>
      </w:r>
      <w:r>
        <w:rPr>
          <w:b/>
        </w:rPr>
        <w:fldChar w:fldCharType="end"/>
      </w:r>
      <w:r>
        <w:rPr>
          <w:b/>
        </w:rPr>
        <w:t>DELEGATED</w:t>
      </w:r>
    </w:p>
    <w:p w:rsidR="007C0F52" w:rsidRDefault="007C0F52">
      <w:pPr>
        <w:jc w:val="center"/>
        <w:rPr>
          <w:i/>
          <w:color w:val="FF0000"/>
        </w:rPr>
      </w:pPr>
      <w:r>
        <w:rPr>
          <w:b/>
        </w:rPr>
        <w:fldChar w:fldCharType="begin"/>
      </w:r>
      <w:r>
        <w:rPr>
          <w:b/>
        </w:rPr>
        <w:instrText xml:space="preserve">  </w:instrText>
      </w:r>
      <w:r>
        <w:rPr>
          <w:b/>
        </w:rPr>
        <w:fldChar w:fldCharType="end"/>
      </w:r>
    </w:p>
    <w:p w:rsidR="007C0F52" w:rsidRDefault="007C0F52"/>
    <w:p w:rsidR="006223E6" w:rsidRDefault="00E05827" w:rsidP="001F2A81">
      <w:pPr>
        <w:keepNext/>
        <w:ind w:left="1267" w:hanging="1267"/>
        <w:jc w:val="left"/>
        <w:rPr>
          <w:b/>
        </w:rPr>
      </w:pPr>
      <w:r>
        <w:rPr>
          <w:b/>
        </w:rPr>
        <w:t>1</w:t>
      </w:r>
      <w:r w:rsidR="001641C9">
        <w:rPr>
          <w:b/>
        </w:rPr>
        <w:t>0</w:t>
      </w:r>
      <w:r w:rsidR="006223E6">
        <w:rPr>
          <w:b/>
        </w:rPr>
        <w:t>.</w:t>
      </w:r>
      <w:r w:rsidR="007C0F52">
        <w:rPr>
          <w:b/>
        </w:rPr>
        <w:fldChar w:fldCharType="begin"/>
      </w:r>
      <w:r w:rsidR="007C0F52">
        <w:rPr>
          <w:b/>
        </w:rPr>
        <w:instrText xml:space="preserve">  </w:instrText>
      </w:r>
      <w:r w:rsidR="007C0F52">
        <w:rPr>
          <w:b/>
        </w:rPr>
        <w:fldChar w:fldCharType="end"/>
      </w:r>
      <w:r w:rsidR="007C0F52">
        <w:rPr>
          <w:b/>
        </w:rPr>
        <w:tab/>
      </w:r>
      <w:r w:rsidR="00096831" w:rsidRPr="00096831">
        <w:rPr>
          <w:rFonts w:cs="Arial"/>
          <w:b/>
          <w:caps/>
          <w:lang w:val="en-US"/>
        </w:rPr>
        <w:t xml:space="preserve">Internal Audit </w:t>
      </w:r>
      <w:r w:rsidR="00A14AA6">
        <w:rPr>
          <w:rFonts w:cs="Arial"/>
          <w:b/>
          <w:caps/>
          <w:lang w:val="en-US"/>
        </w:rPr>
        <w:t>RECOMMENDATIONS</w:t>
      </w:r>
    </w:p>
    <w:p w:rsidR="007C0F52" w:rsidRDefault="007C0F52">
      <w:pPr>
        <w:keepNext/>
        <w:ind w:left="1267" w:hanging="1267"/>
      </w:pPr>
      <w:r>
        <w:rPr>
          <w:b/>
        </w:rPr>
        <w:tab/>
      </w:r>
      <w:r>
        <w:t>(</w:t>
      </w:r>
      <w:proofErr w:type="spellStart"/>
      <w:r w:rsidR="006F5703">
        <w:t>D</w:t>
      </w:r>
      <w:r w:rsidR="00340B38">
        <w:t>oF</w:t>
      </w:r>
      <w:proofErr w:type="spellEnd"/>
      <w:r w:rsidR="001F2A81">
        <w:t>)</w:t>
      </w:r>
      <w:r>
        <w:fldChar w:fldCharType="begin"/>
      </w:r>
      <w:r>
        <w:instrText xml:space="preserve">  </w:instrText>
      </w:r>
      <w:r>
        <w:fldChar w:fldCharType="end"/>
      </w:r>
    </w:p>
    <w:p w:rsidR="007C0F52" w:rsidRDefault="007C0F52">
      <w:pPr>
        <w:ind w:left="1260" w:hanging="1260"/>
      </w:pPr>
    </w:p>
    <w:p w:rsidR="007C0F52" w:rsidRDefault="007C0F52">
      <w:pPr>
        <w:keepNext/>
        <w:ind w:left="1267" w:hanging="1267"/>
      </w:pPr>
      <w:r>
        <w:t>1.</w:t>
      </w:r>
      <w:r>
        <w:tab/>
      </w:r>
      <w:r>
        <w:rPr>
          <w:b/>
        </w:rPr>
        <w:t>Summary</w:t>
      </w:r>
    </w:p>
    <w:p w:rsidR="007C0F52" w:rsidRDefault="007C0F52">
      <w:pPr>
        <w:keepNext/>
        <w:ind w:left="1267" w:hanging="1267"/>
      </w:pPr>
    </w:p>
    <w:p w:rsidR="00096831" w:rsidRPr="00096831" w:rsidRDefault="007C0F52" w:rsidP="00096831">
      <w:pPr>
        <w:ind w:left="1276" w:hanging="1276"/>
        <w:rPr>
          <w:lang w:val="en-US"/>
        </w:rPr>
      </w:pPr>
      <w:r>
        <w:t>1.1</w:t>
      </w:r>
      <w:r>
        <w:tab/>
      </w:r>
      <w:r w:rsidR="00096831" w:rsidRPr="00096831">
        <w:rPr>
          <w:lang w:val="en-US"/>
        </w:rPr>
        <w:t>This report gives details of the progress made in implementing the recommendations of the internal audi</w:t>
      </w:r>
      <w:smartTag w:uri="urn:schemas-microsoft-com:office:smarttags" w:element="PersonName">
        <w:r w:rsidR="00096831" w:rsidRPr="00096831">
          <w:rPr>
            <w:lang w:val="en-US"/>
          </w:rPr>
          <w:t>to</w:t>
        </w:r>
      </w:smartTag>
      <w:r w:rsidR="00096831" w:rsidRPr="00096831">
        <w:rPr>
          <w:lang w:val="en-US"/>
        </w:rPr>
        <w:t>r.</w:t>
      </w:r>
    </w:p>
    <w:p w:rsidR="007C0F52" w:rsidRDefault="007C0F52" w:rsidP="00E05B81">
      <w:pPr>
        <w:ind w:left="1276" w:hanging="1276"/>
      </w:pPr>
    </w:p>
    <w:p w:rsidR="007C0F52" w:rsidRDefault="007C0F52">
      <w:pPr>
        <w:keepNext/>
        <w:ind w:left="1267" w:hanging="1267"/>
        <w:rPr>
          <w:b/>
        </w:rPr>
      </w:pPr>
      <w:r>
        <w:t>2.</w:t>
      </w:r>
      <w:r>
        <w:tab/>
      </w:r>
      <w:r>
        <w:rPr>
          <w:b/>
        </w:rPr>
        <w:t>Details</w:t>
      </w:r>
    </w:p>
    <w:p w:rsidR="007C0F52" w:rsidRDefault="007C0F52">
      <w:pPr>
        <w:keepNext/>
        <w:ind w:left="1267" w:hanging="1267"/>
        <w:rPr>
          <w:b/>
          <w:u w:val="single"/>
        </w:rPr>
      </w:pPr>
    </w:p>
    <w:p w:rsidR="00C6427B" w:rsidRPr="00C6427B" w:rsidRDefault="007C0F52" w:rsidP="00C6427B">
      <w:pPr>
        <w:ind w:left="1276" w:hanging="1276"/>
        <w:rPr>
          <w:lang w:val="en-US"/>
        </w:rPr>
      </w:pPr>
      <w:r>
        <w:t>2.1</w:t>
      </w:r>
      <w:r>
        <w:tab/>
      </w:r>
      <w:r>
        <w:fldChar w:fldCharType="begin"/>
      </w:r>
      <w:r>
        <w:instrText xml:space="preserve">  </w:instrText>
      </w:r>
      <w:r>
        <w:fldChar w:fldCharType="end"/>
      </w:r>
      <w:r w:rsidR="00C6427B" w:rsidRPr="00C6427B">
        <w:rPr>
          <w:rFonts w:asciiTheme="minorHAnsi" w:hAnsiTheme="minorHAnsi" w:cs="Arial"/>
          <w:sz w:val="24"/>
          <w:lang w:val="en-US" w:eastAsia="en-US"/>
        </w:rPr>
        <w:t xml:space="preserve"> </w:t>
      </w:r>
      <w:r w:rsidR="00C6427B" w:rsidRPr="00C6427B">
        <w:rPr>
          <w:lang w:val="en-US"/>
        </w:rPr>
        <w:t xml:space="preserve">The Shared Internal Audit Service (SIAS) latest Progress Report is attached at Appendix 1. </w:t>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fldChar w:fldCharType="begin"/>
      </w:r>
      <w:r w:rsidR="00C6427B" w:rsidRPr="00C6427B">
        <w:rPr>
          <w:lang w:val="en-US"/>
        </w:rPr>
        <w:instrText xml:space="preserve">  </w:instrText>
      </w:r>
      <w:r w:rsidR="00C6427B" w:rsidRPr="00C6427B">
        <w:fldChar w:fldCharType="end"/>
      </w:r>
      <w:r w:rsidR="00C6427B" w:rsidRPr="00C6427B">
        <w:rPr>
          <w:lang w:val="en-US"/>
        </w:rPr>
        <w:t xml:space="preserve"> </w:t>
      </w:r>
    </w:p>
    <w:p w:rsidR="00E05B81" w:rsidRPr="00E05B81" w:rsidRDefault="00E05B81" w:rsidP="00E05B81">
      <w:pPr>
        <w:ind w:left="1276" w:hanging="1276"/>
        <w:rPr>
          <w:lang w:val="en-US"/>
        </w:rPr>
      </w:pPr>
    </w:p>
    <w:p w:rsidR="00F52AE0" w:rsidRDefault="00F52AE0" w:rsidP="00E05B81"/>
    <w:p w:rsidR="00E05B81" w:rsidRPr="00E05B81" w:rsidRDefault="006223E6" w:rsidP="00E05B81">
      <w:pPr>
        <w:ind w:left="1267" w:hanging="1267"/>
        <w:rPr>
          <w:lang w:val="en-US"/>
        </w:rPr>
      </w:pPr>
      <w:r w:rsidRPr="00E05827">
        <w:t>2.</w:t>
      </w:r>
      <w:r w:rsidR="00885536">
        <w:t>2</w:t>
      </w:r>
      <w:r w:rsidRPr="00E05827">
        <w:tab/>
      </w:r>
      <w:r w:rsidR="00E05B81" w:rsidRPr="00E05B81">
        <w:rPr>
          <w:lang w:val="en-US"/>
        </w:rPr>
        <w:t>The Head of Assurance for Internal Audit has provided an opinion on the adequacy and effectiveness of the Council’s control environment, broken down between financial and non-financial systems. There are no qualifications to this assurance.</w:t>
      </w:r>
    </w:p>
    <w:p w:rsidR="006223E6" w:rsidRDefault="006223E6">
      <w:pPr>
        <w:ind w:left="1267" w:hanging="1267"/>
      </w:pPr>
    </w:p>
    <w:p w:rsidR="00E05B81" w:rsidRDefault="00E05B81" w:rsidP="00E05B81">
      <w:pPr>
        <w:ind w:left="1267" w:hanging="1267"/>
        <w:rPr>
          <w:lang w:val="en-US"/>
        </w:rPr>
      </w:pPr>
      <w:r>
        <w:t>2.3</w:t>
      </w:r>
      <w:r>
        <w:tab/>
      </w:r>
      <w:r w:rsidRPr="00E05B81">
        <w:rPr>
          <w:lang w:val="en-US"/>
        </w:rPr>
        <w:t>Under Public Sector Internal Audit Standards, it is the role of the Audit Committee to seek assurance that there are no inappropriate limitations on the scope or resources of internal audit. Paragraph 2.4 of the Annual Report gives this assurance from an internal audit viewpoint and this is confirmed as being the case by the Council’s Section 151 Officer (the Director of Finance) on behalf of management.</w:t>
      </w:r>
    </w:p>
    <w:p w:rsidR="00C6427B" w:rsidRDefault="00C6427B" w:rsidP="00E05B81">
      <w:pPr>
        <w:ind w:left="1267" w:hanging="1267"/>
        <w:rPr>
          <w:lang w:val="en-US"/>
        </w:rPr>
      </w:pPr>
    </w:p>
    <w:p w:rsidR="00C6427B" w:rsidRPr="00C6427B" w:rsidRDefault="00C6427B" w:rsidP="00C6427B">
      <w:pPr>
        <w:ind w:left="1267" w:hanging="1267"/>
        <w:rPr>
          <w:lang w:val="en-US"/>
        </w:rPr>
      </w:pPr>
      <w:r>
        <w:rPr>
          <w:lang w:val="en-US"/>
        </w:rPr>
        <w:t>2.4</w:t>
      </w:r>
      <w:r>
        <w:rPr>
          <w:lang w:val="en-US"/>
        </w:rPr>
        <w:tab/>
      </w:r>
      <w:r w:rsidRPr="00C6427B">
        <w:rPr>
          <w:u w:val="single"/>
          <w:lang w:val="en-US"/>
        </w:rPr>
        <w:t>ICT recommendations</w:t>
      </w:r>
      <w:r w:rsidRPr="00C6427B">
        <w:rPr>
          <w:lang w:val="en-US"/>
        </w:rPr>
        <w:t xml:space="preserve">.  At the previous Audit Committee meeting, the Head of Finance was tasked with reviewing the list of outstanding ICT recommendations and the progress to date in conjunction with SIAS.  This was in the light of the pending contractor change and the restructure of the ICT service due from 1 July 2016.  The review concluded that the history of management comments and actions to date should be removed from Appendices to the Committee report for the following audits: </w:t>
      </w:r>
    </w:p>
    <w:p w:rsidR="00C6427B" w:rsidRPr="00C6427B" w:rsidRDefault="00C6427B" w:rsidP="00C6427B">
      <w:pPr>
        <w:ind w:left="1267" w:hanging="1267"/>
        <w:rPr>
          <w:lang w:val="en-US"/>
        </w:rPr>
      </w:pPr>
      <w:r w:rsidRPr="00C6427B">
        <w:rPr>
          <w:lang w:val="en-US"/>
        </w:rPr>
        <w:t> </w:t>
      </w:r>
    </w:p>
    <w:p w:rsidR="00C6427B" w:rsidRPr="00C6427B" w:rsidRDefault="00C6427B" w:rsidP="00C6427B">
      <w:pPr>
        <w:numPr>
          <w:ilvl w:val="0"/>
          <w:numId w:val="5"/>
        </w:numPr>
        <w:ind w:firstLine="1265"/>
      </w:pPr>
      <w:r w:rsidRPr="00C6427B">
        <w:t>Network Infrastructure (2009/10)</w:t>
      </w:r>
    </w:p>
    <w:p w:rsidR="00C6427B" w:rsidRPr="00C6427B" w:rsidRDefault="00C6427B" w:rsidP="00C6427B">
      <w:pPr>
        <w:numPr>
          <w:ilvl w:val="0"/>
          <w:numId w:val="5"/>
        </w:numPr>
        <w:ind w:firstLine="1265"/>
      </w:pPr>
      <w:r w:rsidRPr="00C6427B">
        <w:t>IT Remote Working (2010/11)</w:t>
      </w:r>
    </w:p>
    <w:p w:rsidR="00C6427B" w:rsidRPr="00C6427B" w:rsidRDefault="00C6427B" w:rsidP="00C6427B">
      <w:pPr>
        <w:numPr>
          <w:ilvl w:val="0"/>
          <w:numId w:val="5"/>
        </w:numPr>
        <w:ind w:firstLine="1265"/>
      </w:pPr>
      <w:r w:rsidRPr="00C6427B">
        <w:t>IT Project Management (2011/12)</w:t>
      </w:r>
    </w:p>
    <w:p w:rsidR="00C6427B" w:rsidRPr="00C6427B" w:rsidRDefault="00C6427B" w:rsidP="00C6427B">
      <w:pPr>
        <w:numPr>
          <w:ilvl w:val="0"/>
          <w:numId w:val="5"/>
        </w:numPr>
        <w:ind w:firstLine="1265"/>
      </w:pPr>
      <w:r w:rsidRPr="00C6427B">
        <w:t>IT Back-up and Disaster Recovery (2011/12)</w:t>
      </w:r>
    </w:p>
    <w:p w:rsidR="00C6427B" w:rsidRPr="00C6427B" w:rsidRDefault="00C6427B" w:rsidP="00C6427B">
      <w:pPr>
        <w:numPr>
          <w:ilvl w:val="0"/>
          <w:numId w:val="5"/>
        </w:numPr>
        <w:ind w:firstLine="1265"/>
      </w:pPr>
      <w:r w:rsidRPr="00C6427B">
        <w:t>Server Virtualisation (2012/13)</w:t>
      </w:r>
    </w:p>
    <w:p w:rsidR="00C6427B" w:rsidRPr="00C6427B" w:rsidRDefault="00C6427B" w:rsidP="00C6427B">
      <w:pPr>
        <w:numPr>
          <w:ilvl w:val="0"/>
          <w:numId w:val="5"/>
        </w:numPr>
        <w:ind w:firstLine="1265"/>
      </w:pPr>
      <w:r w:rsidRPr="00C6427B">
        <w:t>Cyber Risk (2013/14)</w:t>
      </w:r>
    </w:p>
    <w:p w:rsidR="00C6427B" w:rsidRPr="00C6427B" w:rsidRDefault="00C6427B" w:rsidP="00C6427B">
      <w:pPr>
        <w:ind w:left="1267" w:hanging="1267"/>
        <w:rPr>
          <w:lang w:val="en-US"/>
        </w:rPr>
      </w:pPr>
      <w:r w:rsidRPr="00C6427B">
        <w:rPr>
          <w:lang w:val="en-US"/>
        </w:rPr>
        <w:t> </w:t>
      </w:r>
    </w:p>
    <w:p w:rsidR="00C6427B" w:rsidRPr="00C6427B" w:rsidRDefault="00C6427B" w:rsidP="00C6427B">
      <w:pPr>
        <w:ind w:left="1267" w:firstLine="9"/>
        <w:rPr>
          <w:lang w:val="en-US"/>
        </w:rPr>
      </w:pPr>
      <w:r w:rsidRPr="00C6427B">
        <w:rPr>
          <w:lang w:val="en-US"/>
        </w:rPr>
        <w:t xml:space="preserve">Given the period of time that has elapsed since the reports were originally published, the changing status of IT service delivery at the Council and the constantly evolving digital landscape, we have determined that many of the previous comments and actions, while sound in principle, are now largely out of date and /or no longer relevant. Their removal also facilitates improved readability and conciseness of the Committee report and assists with the administration of the follow-up process. </w:t>
      </w:r>
    </w:p>
    <w:p w:rsidR="00C6427B" w:rsidRPr="00C6427B" w:rsidRDefault="00C6427B" w:rsidP="00C6427B">
      <w:pPr>
        <w:ind w:left="1267" w:hanging="1267"/>
        <w:rPr>
          <w:lang w:val="en-US"/>
        </w:rPr>
      </w:pPr>
      <w:r w:rsidRPr="00C6427B">
        <w:rPr>
          <w:lang w:val="en-US"/>
        </w:rPr>
        <w:t> </w:t>
      </w:r>
    </w:p>
    <w:p w:rsidR="00C6427B" w:rsidRPr="00C6427B" w:rsidRDefault="00C6427B" w:rsidP="00C6427B">
      <w:pPr>
        <w:ind w:left="1267" w:firstLine="9"/>
        <w:rPr>
          <w:lang w:val="en-US"/>
        </w:rPr>
      </w:pPr>
      <w:r w:rsidRPr="00C6427B">
        <w:rPr>
          <w:lang w:val="en-US"/>
        </w:rPr>
        <w:t>The recommendations themselves will continue to form part of the Committee reports so that the record thereof is visible to the Committee and the history of comments and management actions are of course retained through previous Committee reports.</w:t>
      </w:r>
    </w:p>
    <w:p w:rsidR="00C6427B" w:rsidRPr="00C6427B" w:rsidRDefault="00C6427B" w:rsidP="00C6427B">
      <w:pPr>
        <w:ind w:left="1267" w:hanging="1267"/>
        <w:rPr>
          <w:lang w:val="en-US"/>
        </w:rPr>
      </w:pPr>
      <w:r w:rsidRPr="00C6427B">
        <w:rPr>
          <w:lang w:val="en-US"/>
        </w:rPr>
        <w:t> </w:t>
      </w:r>
    </w:p>
    <w:p w:rsidR="00C6427B" w:rsidRPr="00C6427B" w:rsidRDefault="00C6427B" w:rsidP="00C6427B">
      <w:pPr>
        <w:ind w:left="1267" w:firstLine="9"/>
        <w:rPr>
          <w:lang w:val="en-US"/>
        </w:rPr>
      </w:pPr>
      <w:r w:rsidRPr="00C6427B">
        <w:rPr>
          <w:lang w:val="en-US"/>
        </w:rPr>
        <w:t xml:space="preserve">The recommendations will be used as part of an IT audit risk / needs assessment, and subsequent test </w:t>
      </w:r>
      <w:proofErr w:type="spellStart"/>
      <w:r w:rsidRPr="00C6427B">
        <w:rPr>
          <w:lang w:val="en-US"/>
        </w:rPr>
        <w:t>programme</w:t>
      </w:r>
      <w:proofErr w:type="spellEnd"/>
      <w:r w:rsidRPr="00C6427B">
        <w:rPr>
          <w:lang w:val="en-US"/>
        </w:rPr>
        <w:t xml:space="preserve"> once the restructure and contract handover is complete, i.e. the recommendations would all be tested during the </w:t>
      </w:r>
      <w:r w:rsidRPr="00C6427B">
        <w:rPr>
          <w:lang w:val="en-US"/>
        </w:rPr>
        <w:lastRenderedPageBreak/>
        <w:t>first IT audit to see if they have been addressed.  If they are found to be still extant, then they will be restated as at the new audit date with a new action plan developed to address them.  At this point the existing recommendations (dating back from 2009/10) will be classed as complete and removed from the list of outstanding recommendations.</w:t>
      </w:r>
    </w:p>
    <w:p w:rsidR="00C6427B" w:rsidRPr="00C6427B" w:rsidRDefault="00C6427B" w:rsidP="00C6427B">
      <w:pPr>
        <w:ind w:left="1267" w:hanging="1267"/>
        <w:rPr>
          <w:lang w:val="en-US"/>
        </w:rPr>
      </w:pPr>
      <w:r w:rsidRPr="00C6427B">
        <w:rPr>
          <w:lang w:val="en-US"/>
        </w:rPr>
        <w:t> </w:t>
      </w:r>
    </w:p>
    <w:p w:rsidR="00C6427B" w:rsidRPr="00C6427B" w:rsidRDefault="00C6427B" w:rsidP="00C6427B">
      <w:pPr>
        <w:ind w:left="1267" w:firstLine="9"/>
        <w:rPr>
          <w:lang w:val="en-US"/>
        </w:rPr>
      </w:pPr>
      <w:r w:rsidRPr="00C6427B">
        <w:rPr>
          <w:lang w:val="en-US"/>
        </w:rPr>
        <w:t>IT audit recommendations made from 2014/15 onwards, i.e. IT Change Management, Disaster Recovery and IT Operations and Contract Management, have been retained in full, especially as four high priority recommendations have been raised as significant governance issues in the Annual Governance Statement.</w:t>
      </w:r>
    </w:p>
    <w:p w:rsidR="00C6427B" w:rsidRPr="00C6427B" w:rsidRDefault="00C6427B" w:rsidP="00C6427B">
      <w:pPr>
        <w:ind w:left="1267" w:hanging="1267"/>
        <w:rPr>
          <w:b/>
          <w:lang w:val="en-US"/>
        </w:rPr>
      </w:pPr>
    </w:p>
    <w:p w:rsidR="00E05B81" w:rsidRDefault="00E05B81">
      <w:pPr>
        <w:ind w:left="1267" w:hanging="1267"/>
      </w:pPr>
    </w:p>
    <w:p w:rsidR="006223E6" w:rsidRDefault="006223E6" w:rsidP="006223E6">
      <w:pPr>
        <w:keepNext/>
        <w:ind w:left="1267" w:hanging="1267"/>
      </w:pPr>
      <w:r>
        <w:t>3.</w:t>
      </w:r>
      <w:r>
        <w:tab/>
      </w:r>
      <w:r>
        <w:rPr>
          <w:b/>
        </w:rPr>
        <w:t>Options/Reasons for Recommendation</w:t>
      </w:r>
    </w:p>
    <w:p w:rsidR="006223E6" w:rsidRDefault="006223E6" w:rsidP="006223E6">
      <w:pPr>
        <w:keepNext/>
        <w:ind w:left="1267" w:hanging="1267"/>
      </w:pPr>
    </w:p>
    <w:p w:rsidR="006223E6" w:rsidRDefault="006223E6" w:rsidP="006223E6">
      <w:pPr>
        <w:ind w:left="1267" w:hanging="1267"/>
      </w:pPr>
      <w:r>
        <w:t>3.1</w:t>
      </w:r>
      <w:r>
        <w:tab/>
      </w:r>
      <w:r>
        <w:fldChar w:fldCharType="begin"/>
      </w:r>
      <w:r>
        <w:instrText xml:space="preserve">  </w:instrText>
      </w:r>
      <w:r>
        <w:fldChar w:fldCharType="end"/>
      </w:r>
      <w:r>
        <w:t>The recommendation allows members to note the contents of the</w:t>
      </w:r>
      <w:r w:rsidR="00126067">
        <w:t xml:space="preserve"> </w:t>
      </w:r>
      <w:r w:rsidR="00E05B81">
        <w:t>In</w:t>
      </w:r>
      <w:r w:rsidR="00126067">
        <w:t>ternal Auditors</w:t>
      </w:r>
      <w:r w:rsidR="00D65D16">
        <w:t>’</w:t>
      </w:r>
      <w:r w:rsidR="00126067">
        <w:t xml:space="preserve"> </w:t>
      </w:r>
      <w:r w:rsidR="00105A13">
        <w:t>recommendations</w:t>
      </w:r>
      <w:r w:rsidR="00F52AE0">
        <w:t>.</w:t>
      </w:r>
    </w:p>
    <w:p w:rsidR="006223E6" w:rsidRDefault="006223E6" w:rsidP="006223E6">
      <w:pPr>
        <w:ind w:left="1267" w:hanging="1267"/>
      </w:pPr>
    </w:p>
    <w:p w:rsidR="006223E6" w:rsidRDefault="006223E6" w:rsidP="006223E6">
      <w:pPr>
        <w:keepNext/>
        <w:ind w:left="1267" w:hanging="1267"/>
      </w:pPr>
      <w:r>
        <w:t>4.</w:t>
      </w:r>
      <w:r>
        <w:tab/>
      </w:r>
      <w:r>
        <w:rPr>
          <w:b/>
        </w:rPr>
        <w:t>Policy/Budget Implications</w:t>
      </w:r>
    </w:p>
    <w:p w:rsidR="006223E6" w:rsidRDefault="006223E6" w:rsidP="006223E6">
      <w:pPr>
        <w:keepNext/>
        <w:ind w:left="1267" w:hanging="1267"/>
      </w:pPr>
    </w:p>
    <w:p w:rsidR="006E3D8A" w:rsidRDefault="006223E6" w:rsidP="006223E6">
      <w:pPr>
        <w:ind w:left="1267" w:hanging="1267"/>
      </w:pPr>
      <w:r>
        <w:t>4.1</w:t>
      </w:r>
      <w:r>
        <w:tab/>
        <w:t>The recommendations in this report are within the Council’s agreed policy and budgets.</w:t>
      </w:r>
    </w:p>
    <w:p w:rsidR="006223E6" w:rsidRDefault="006223E6" w:rsidP="006223E6">
      <w:pPr>
        <w:ind w:left="1267" w:hanging="1267"/>
      </w:pPr>
      <w:r>
        <w:fldChar w:fldCharType="begin"/>
      </w:r>
      <w:r>
        <w:instrText xml:space="preserve">  </w:instrText>
      </w:r>
      <w:r>
        <w:fldChar w:fldCharType="end"/>
      </w:r>
    </w:p>
    <w:p w:rsidR="006223E6" w:rsidRDefault="007B1957" w:rsidP="006223E6">
      <w:pPr>
        <w:keepNext/>
        <w:ind w:left="1267" w:hanging="1267"/>
      </w:pPr>
      <w:r>
        <w:t>5</w:t>
      </w:r>
      <w:r w:rsidR="006223E6">
        <w:t>.</w:t>
      </w:r>
      <w:r w:rsidR="006223E6">
        <w:fldChar w:fldCharType="begin"/>
      </w:r>
      <w:r w:rsidR="006223E6">
        <w:instrText xml:space="preserve">  </w:instrText>
      </w:r>
      <w:r w:rsidR="006223E6">
        <w:fldChar w:fldCharType="end"/>
      </w:r>
      <w:r w:rsidR="006223E6">
        <w:tab/>
      </w:r>
      <w:r>
        <w:rPr>
          <w:b/>
        </w:rPr>
        <w:t xml:space="preserve">Financial, </w:t>
      </w:r>
      <w:r w:rsidR="006223E6">
        <w:rPr>
          <w:b/>
        </w:rPr>
        <w:t>Legal, Equal Opportunities, Staffing, Environmental, Community Safety, and Customer Services Centre</w:t>
      </w:r>
      <w:r w:rsidR="00126067">
        <w:rPr>
          <w:b/>
        </w:rPr>
        <w:t>, Website and Risk Management</w:t>
      </w:r>
      <w:r w:rsidR="006223E6">
        <w:rPr>
          <w:b/>
        </w:rPr>
        <w:t xml:space="preserve"> Implications</w:t>
      </w:r>
    </w:p>
    <w:p w:rsidR="006223E6" w:rsidRDefault="006223E6" w:rsidP="006223E6">
      <w:pPr>
        <w:keepNext/>
        <w:ind w:left="1267" w:hanging="1267"/>
      </w:pPr>
    </w:p>
    <w:p w:rsidR="006223E6" w:rsidRDefault="007B1957" w:rsidP="006223E6">
      <w:pPr>
        <w:ind w:left="1267" w:hanging="1267"/>
      </w:pPr>
      <w:r>
        <w:t>5</w:t>
      </w:r>
      <w:r w:rsidR="006223E6">
        <w:t>.1</w:t>
      </w:r>
      <w:r w:rsidR="006223E6">
        <w:fldChar w:fldCharType="begin"/>
      </w:r>
      <w:r w:rsidR="006223E6">
        <w:instrText xml:space="preserve">  </w:instrText>
      </w:r>
      <w:r w:rsidR="006223E6">
        <w:fldChar w:fldCharType="end"/>
      </w:r>
      <w:r w:rsidR="006223E6">
        <w:tab/>
        <w:t>None specific.</w:t>
      </w:r>
    </w:p>
    <w:p w:rsidR="00EB128F" w:rsidRDefault="00EB128F" w:rsidP="006223E6">
      <w:pPr>
        <w:pStyle w:val="BodyTextIndent"/>
      </w:pPr>
    </w:p>
    <w:p w:rsidR="006223E6" w:rsidRDefault="007B1957" w:rsidP="006223E6">
      <w:pPr>
        <w:keepNext/>
        <w:ind w:left="1267" w:hanging="1267"/>
      </w:pPr>
      <w:r>
        <w:t>6</w:t>
      </w:r>
      <w:r w:rsidR="006223E6">
        <w:t>.</w:t>
      </w:r>
      <w:r w:rsidR="006223E6">
        <w:fldChar w:fldCharType="begin"/>
      </w:r>
      <w:r w:rsidR="006223E6">
        <w:instrText xml:space="preserve">  </w:instrText>
      </w:r>
      <w:r w:rsidR="006223E6">
        <w:fldChar w:fldCharType="end"/>
      </w:r>
      <w:r w:rsidR="006223E6">
        <w:tab/>
      </w:r>
      <w:r w:rsidR="006223E6">
        <w:rPr>
          <w:b/>
        </w:rPr>
        <w:t>Recommendation</w:t>
      </w:r>
    </w:p>
    <w:p w:rsidR="006223E6" w:rsidRDefault="006223E6" w:rsidP="006223E6">
      <w:pPr>
        <w:keepNext/>
        <w:ind w:left="1267" w:hanging="1267"/>
      </w:pPr>
    </w:p>
    <w:p w:rsidR="00FF112C" w:rsidRPr="00FF112C" w:rsidRDefault="007B1957" w:rsidP="00FF112C">
      <w:pPr>
        <w:ind w:left="1267" w:hanging="1267"/>
        <w:rPr>
          <w:lang w:val="en-US"/>
        </w:rPr>
      </w:pPr>
      <w:r>
        <w:t>6</w:t>
      </w:r>
      <w:r w:rsidR="006223E6">
        <w:t>.1</w:t>
      </w:r>
      <w:r w:rsidR="006223E6">
        <w:tab/>
      </w:r>
      <w:r w:rsidR="00FF112C" w:rsidRPr="00FF112C">
        <w:rPr>
          <w:lang w:val="en-US"/>
        </w:rPr>
        <w:t xml:space="preserve">That </w:t>
      </w:r>
      <w:r w:rsidR="00FF112C" w:rsidRPr="00FF112C">
        <w:rPr>
          <w:lang w:val="en-US"/>
        </w:rPr>
        <w:fldChar w:fldCharType="begin"/>
      </w:r>
      <w:r w:rsidR="00FF112C" w:rsidRPr="00FF112C">
        <w:rPr>
          <w:lang w:val="en-US"/>
        </w:rPr>
        <w:instrText xml:space="preserve">  </w:instrText>
      </w:r>
      <w:r w:rsidR="00FF112C" w:rsidRPr="00FF112C">
        <w:fldChar w:fldCharType="end"/>
      </w:r>
      <w:r w:rsidR="00FF112C" w:rsidRPr="00FF112C">
        <w:rPr>
          <w:lang w:val="en-US"/>
        </w:rPr>
        <w:t xml:space="preserve">the Committee notes the </w:t>
      </w:r>
      <w:r w:rsidR="00C6427B">
        <w:rPr>
          <w:lang w:val="en-US"/>
        </w:rPr>
        <w:t>Internal Audit progress report against the 2015/16 audit plan (now complete)</w:t>
      </w:r>
      <w:r w:rsidR="00FF112C" w:rsidRPr="00FF112C">
        <w:rPr>
          <w:lang w:val="en-US"/>
        </w:rPr>
        <w:t>.</w:t>
      </w:r>
    </w:p>
    <w:p w:rsidR="006223E6" w:rsidRDefault="006223E6" w:rsidP="006223E6">
      <w:pPr>
        <w:ind w:left="1267" w:hanging="1267"/>
      </w:pPr>
    </w:p>
    <w:p w:rsidR="00FF112C" w:rsidRPr="00FF112C" w:rsidRDefault="00FF112C" w:rsidP="00FF112C">
      <w:pPr>
        <w:ind w:left="1260" w:hanging="1260"/>
        <w:rPr>
          <w:lang w:val="en-US"/>
        </w:rPr>
      </w:pPr>
      <w:r>
        <w:t>6.2</w:t>
      </w:r>
      <w:r>
        <w:tab/>
      </w:r>
      <w:r w:rsidR="00C6427B">
        <w:t>Approve amendments to the audit plan as at June 2016</w:t>
      </w:r>
      <w:r w:rsidRPr="00FF112C">
        <w:rPr>
          <w:lang w:val="en-US"/>
        </w:rPr>
        <w:t>.</w:t>
      </w:r>
    </w:p>
    <w:p w:rsidR="00FF112C" w:rsidRDefault="00FF112C" w:rsidP="006223E6"/>
    <w:p w:rsidR="00FF112C" w:rsidRDefault="00FF112C" w:rsidP="00FF112C">
      <w:pPr>
        <w:ind w:left="1260" w:hanging="1260"/>
        <w:rPr>
          <w:lang w:val="en-US"/>
        </w:rPr>
      </w:pPr>
      <w:r>
        <w:t>6.3</w:t>
      </w:r>
      <w:r>
        <w:tab/>
      </w:r>
      <w:r w:rsidR="00C6427B">
        <w:t>Agree the removal of the implemented recommendations</w:t>
      </w:r>
      <w:r w:rsidRPr="00FF112C">
        <w:rPr>
          <w:lang w:val="en-US"/>
        </w:rPr>
        <w:t>.</w:t>
      </w:r>
    </w:p>
    <w:p w:rsidR="00FF112C" w:rsidRDefault="00FF112C" w:rsidP="00FF112C">
      <w:pPr>
        <w:rPr>
          <w:lang w:val="en-US"/>
        </w:rPr>
      </w:pPr>
    </w:p>
    <w:p w:rsidR="00FF112C" w:rsidRPr="00FF112C" w:rsidRDefault="00FF112C" w:rsidP="00526F3D">
      <w:pPr>
        <w:ind w:left="1276" w:hanging="1276"/>
        <w:rPr>
          <w:lang w:val="en-US"/>
        </w:rPr>
      </w:pPr>
      <w:r>
        <w:rPr>
          <w:lang w:val="en-US"/>
        </w:rPr>
        <w:t>6.4</w:t>
      </w:r>
      <w:r>
        <w:rPr>
          <w:lang w:val="en-US"/>
        </w:rPr>
        <w:tab/>
      </w:r>
      <w:r w:rsidRPr="00FF112C">
        <w:rPr>
          <w:lang w:val="en-US"/>
        </w:rPr>
        <w:t>A</w:t>
      </w:r>
      <w:r w:rsidR="00C6427B">
        <w:rPr>
          <w:lang w:val="en-US"/>
        </w:rPr>
        <w:t xml:space="preserve">gree the changes to the implementation date for </w:t>
      </w:r>
      <w:r w:rsidR="00526F3D">
        <w:rPr>
          <w:lang w:val="en-US"/>
        </w:rPr>
        <w:t xml:space="preserve">11 </w:t>
      </w:r>
      <w:r w:rsidR="00C6427B">
        <w:rPr>
          <w:lang w:val="en-US"/>
        </w:rPr>
        <w:t xml:space="preserve">recommendations for the reasons set out in Appendix </w:t>
      </w:r>
      <w:r w:rsidR="00526F3D">
        <w:rPr>
          <w:lang w:val="en-US"/>
        </w:rPr>
        <w:t>1</w:t>
      </w:r>
    </w:p>
    <w:p w:rsidR="00FF112C" w:rsidRPr="00FF112C" w:rsidRDefault="00FF112C" w:rsidP="00FF112C">
      <w:pPr>
        <w:rPr>
          <w:lang w:val="en-US"/>
        </w:rPr>
      </w:pPr>
    </w:p>
    <w:p w:rsidR="00FF112C" w:rsidRDefault="00FF112C" w:rsidP="006223E6"/>
    <w:p w:rsidR="00FF112C" w:rsidRDefault="00FF112C" w:rsidP="006223E6"/>
    <w:p w:rsidR="00FF112C" w:rsidRDefault="00FF112C" w:rsidP="006223E6"/>
    <w:p w:rsidR="006223E6" w:rsidRDefault="006223E6" w:rsidP="00885536">
      <w:pPr>
        <w:keepNext/>
        <w:ind w:left="1267" w:hanging="1267"/>
        <w:outlineLvl w:val="0"/>
      </w:pPr>
      <w:r>
        <w:tab/>
      </w:r>
      <w:r>
        <w:rPr>
          <w:b/>
        </w:rPr>
        <w:t>Background Papers</w:t>
      </w:r>
      <w:r w:rsidR="00885536">
        <w:rPr>
          <w:b/>
        </w:rPr>
        <w:t xml:space="preserve">  </w:t>
      </w:r>
      <w:r>
        <w:tab/>
      </w:r>
      <w:r w:rsidR="00970277">
        <w:t>None</w:t>
      </w:r>
    </w:p>
    <w:p w:rsidR="006223E6" w:rsidRDefault="006223E6" w:rsidP="006223E6">
      <w:pPr>
        <w:ind w:left="1267" w:hanging="1267"/>
        <w:rPr>
          <w:b/>
        </w:rPr>
      </w:pPr>
    </w:p>
    <w:p w:rsidR="00611E53" w:rsidRDefault="006223E6" w:rsidP="006223E6">
      <w:r>
        <w:tab/>
        <w:t>Report prepared by:</w:t>
      </w:r>
      <w:r>
        <w:tab/>
      </w:r>
    </w:p>
    <w:p w:rsidR="006223E6" w:rsidRDefault="00611E53" w:rsidP="006223E6">
      <w:r>
        <w:tab/>
      </w:r>
      <w:r w:rsidR="00885536">
        <w:t>Bob Watson</w:t>
      </w:r>
      <w:r w:rsidR="006223E6">
        <w:t xml:space="preserve"> – </w:t>
      </w:r>
      <w:r w:rsidR="00F03ECA">
        <w:t>Head of Finance</w:t>
      </w:r>
    </w:p>
    <w:p w:rsidR="006223E6" w:rsidRDefault="006223E6" w:rsidP="006223E6"/>
    <w:p w:rsidR="006223E6" w:rsidRDefault="006223E6" w:rsidP="00E05827">
      <w:pPr>
        <w:keepNext/>
        <w:ind w:left="1267" w:hanging="1267"/>
        <w:outlineLvl w:val="0"/>
      </w:pPr>
      <w:r>
        <w:tab/>
      </w:r>
      <w:r>
        <w:rPr>
          <w:b/>
        </w:rPr>
        <w:t>APPENDICES / ATTACHMENTS</w:t>
      </w:r>
    </w:p>
    <w:p w:rsidR="006223E6" w:rsidRDefault="006223E6" w:rsidP="006223E6">
      <w:pPr>
        <w:keepNext/>
        <w:ind w:left="1267" w:hanging="1267"/>
      </w:pPr>
    </w:p>
    <w:p w:rsidR="00FF112C" w:rsidRDefault="006223E6" w:rsidP="00FF112C">
      <w:pPr>
        <w:ind w:left="1276" w:hanging="1276"/>
        <w:rPr>
          <w:lang w:val="en-US"/>
        </w:rPr>
      </w:pPr>
      <w:r>
        <w:tab/>
      </w:r>
      <w:proofErr w:type="gramStart"/>
      <w:r w:rsidR="00FF112C" w:rsidRPr="00FF112C">
        <w:rPr>
          <w:lang w:val="en-US"/>
        </w:rPr>
        <w:t>Appendix 1</w:t>
      </w:r>
      <w:r w:rsidR="00FF112C" w:rsidRPr="00FF112C">
        <w:rPr>
          <w:lang w:val="en-US"/>
        </w:rPr>
        <w:tab/>
      </w:r>
      <w:r w:rsidR="00FF112C" w:rsidRPr="00FF112C">
        <w:rPr>
          <w:lang w:val="en-US"/>
        </w:rPr>
        <w:fldChar w:fldCharType="begin"/>
      </w:r>
      <w:r w:rsidR="00FF112C" w:rsidRPr="00FF112C">
        <w:rPr>
          <w:lang w:val="en-US"/>
        </w:rPr>
        <w:instrText xml:space="preserve">  </w:instrText>
      </w:r>
      <w:r w:rsidR="00FF112C" w:rsidRPr="00FF112C">
        <w:fldChar w:fldCharType="end"/>
      </w:r>
      <w:r w:rsidR="00C70353">
        <w:rPr>
          <w:lang w:val="en-US"/>
        </w:rPr>
        <w:t>Progress against Internal Audit Plan</w:t>
      </w:r>
      <w:r w:rsidR="00FF112C" w:rsidRPr="00FF112C">
        <w:rPr>
          <w:lang w:val="en-US"/>
        </w:rPr>
        <w:t>.</w:t>
      </w:r>
      <w:proofErr w:type="gramEnd"/>
      <w:r w:rsidR="00FF112C" w:rsidRPr="00FF112C">
        <w:rPr>
          <w:lang w:val="en-US"/>
        </w:rPr>
        <w:t xml:space="preserve"> </w:t>
      </w:r>
    </w:p>
    <w:p w:rsidR="00105A13" w:rsidRPr="00FF112C" w:rsidRDefault="00105A13" w:rsidP="00FF112C">
      <w:pPr>
        <w:ind w:left="1276" w:hanging="1276"/>
        <w:rPr>
          <w:lang w:val="en-US"/>
        </w:rPr>
      </w:pPr>
      <w:r>
        <w:rPr>
          <w:lang w:val="en-US"/>
        </w:rPr>
        <w:tab/>
        <w:t>Appendix 2</w:t>
      </w:r>
      <w:r>
        <w:rPr>
          <w:lang w:val="en-US"/>
        </w:rPr>
        <w:tab/>
        <w:t>Audit Plan 2016/17 Start Dates</w:t>
      </w:r>
    </w:p>
    <w:p w:rsidR="007C0F52" w:rsidRDefault="007C0F52" w:rsidP="00FF112C">
      <w:pPr>
        <w:ind w:left="1276" w:hanging="1276"/>
      </w:pPr>
    </w:p>
    <w:sectPr w:rsidR="007C0F52">
      <w:pgSz w:w="11909" w:h="16834" w:code="9"/>
      <w:pgMar w:top="720" w:right="1411" w:bottom="403" w:left="1411" w:header="706" w:footer="70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810" w:rsidRDefault="00166810">
      <w:r>
        <w:separator/>
      </w:r>
    </w:p>
  </w:endnote>
  <w:endnote w:type="continuationSeparator" w:id="0">
    <w:p w:rsidR="00166810" w:rsidRDefault="00166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810" w:rsidRDefault="00166810">
      <w:r>
        <w:separator/>
      </w:r>
    </w:p>
  </w:footnote>
  <w:footnote w:type="continuationSeparator" w:id="0">
    <w:p w:rsidR="00166810" w:rsidRDefault="001668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AB0AE5"/>
    <w:multiLevelType w:val="hybridMultilevel"/>
    <w:tmpl w:val="634489A0"/>
    <w:lvl w:ilvl="0" w:tplc="08090001">
      <w:start w:val="1"/>
      <w:numFmt w:val="bullet"/>
      <w:lvlText w:val=""/>
      <w:lvlJc w:val="left"/>
      <w:pPr>
        <w:ind w:left="2340" w:hanging="360"/>
      </w:pPr>
      <w:rPr>
        <w:rFonts w:ascii="Symbol" w:hAnsi="Symbol" w:hint="default"/>
      </w:rPr>
    </w:lvl>
    <w:lvl w:ilvl="1" w:tplc="08090003" w:tentative="1">
      <w:start w:val="1"/>
      <w:numFmt w:val="bullet"/>
      <w:lvlText w:val="o"/>
      <w:lvlJc w:val="left"/>
      <w:pPr>
        <w:ind w:left="3060" w:hanging="360"/>
      </w:pPr>
      <w:rPr>
        <w:rFonts w:ascii="Courier New" w:hAnsi="Courier New" w:cs="Courier New" w:hint="default"/>
      </w:rPr>
    </w:lvl>
    <w:lvl w:ilvl="2" w:tplc="08090005" w:tentative="1">
      <w:start w:val="1"/>
      <w:numFmt w:val="bullet"/>
      <w:lvlText w:val=""/>
      <w:lvlJc w:val="left"/>
      <w:pPr>
        <w:ind w:left="3780" w:hanging="360"/>
      </w:pPr>
      <w:rPr>
        <w:rFonts w:ascii="Wingdings" w:hAnsi="Wingdings" w:hint="default"/>
      </w:rPr>
    </w:lvl>
    <w:lvl w:ilvl="3" w:tplc="08090001" w:tentative="1">
      <w:start w:val="1"/>
      <w:numFmt w:val="bullet"/>
      <w:lvlText w:val=""/>
      <w:lvlJc w:val="left"/>
      <w:pPr>
        <w:ind w:left="4500" w:hanging="360"/>
      </w:pPr>
      <w:rPr>
        <w:rFonts w:ascii="Symbol" w:hAnsi="Symbol" w:hint="default"/>
      </w:rPr>
    </w:lvl>
    <w:lvl w:ilvl="4" w:tplc="08090003" w:tentative="1">
      <w:start w:val="1"/>
      <w:numFmt w:val="bullet"/>
      <w:lvlText w:val="o"/>
      <w:lvlJc w:val="left"/>
      <w:pPr>
        <w:ind w:left="5220" w:hanging="360"/>
      </w:pPr>
      <w:rPr>
        <w:rFonts w:ascii="Courier New" w:hAnsi="Courier New" w:cs="Courier New" w:hint="default"/>
      </w:rPr>
    </w:lvl>
    <w:lvl w:ilvl="5" w:tplc="08090005" w:tentative="1">
      <w:start w:val="1"/>
      <w:numFmt w:val="bullet"/>
      <w:lvlText w:val=""/>
      <w:lvlJc w:val="left"/>
      <w:pPr>
        <w:ind w:left="5940" w:hanging="360"/>
      </w:pPr>
      <w:rPr>
        <w:rFonts w:ascii="Wingdings" w:hAnsi="Wingdings" w:hint="default"/>
      </w:rPr>
    </w:lvl>
    <w:lvl w:ilvl="6" w:tplc="08090001" w:tentative="1">
      <w:start w:val="1"/>
      <w:numFmt w:val="bullet"/>
      <w:lvlText w:val=""/>
      <w:lvlJc w:val="left"/>
      <w:pPr>
        <w:ind w:left="6660" w:hanging="360"/>
      </w:pPr>
      <w:rPr>
        <w:rFonts w:ascii="Symbol" w:hAnsi="Symbol" w:hint="default"/>
      </w:rPr>
    </w:lvl>
    <w:lvl w:ilvl="7" w:tplc="08090003" w:tentative="1">
      <w:start w:val="1"/>
      <w:numFmt w:val="bullet"/>
      <w:lvlText w:val="o"/>
      <w:lvlJc w:val="left"/>
      <w:pPr>
        <w:ind w:left="7380" w:hanging="360"/>
      </w:pPr>
      <w:rPr>
        <w:rFonts w:ascii="Courier New" w:hAnsi="Courier New" w:cs="Courier New" w:hint="default"/>
      </w:rPr>
    </w:lvl>
    <w:lvl w:ilvl="8" w:tplc="08090005" w:tentative="1">
      <w:start w:val="1"/>
      <w:numFmt w:val="bullet"/>
      <w:lvlText w:val=""/>
      <w:lvlJc w:val="left"/>
      <w:pPr>
        <w:ind w:left="8100" w:hanging="360"/>
      </w:pPr>
      <w:rPr>
        <w:rFonts w:ascii="Wingdings" w:hAnsi="Wingdings" w:hint="default"/>
      </w:rPr>
    </w:lvl>
  </w:abstractNum>
  <w:abstractNum w:abstractNumId="1">
    <w:nsid w:val="4C360B83"/>
    <w:multiLevelType w:val="hybridMultilevel"/>
    <w:tmpl w:val="A2FE525A"/>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04090005">
      <w:start w:val="1"/>
      <w:numFmt w:val="bullet"/>
      <w:lvlText w:val=""/>
      <w:lvlJc w:val="left"/>
      <w:pPr>
        <w:tabs>
          <w:tab w:val="num" w:pos="2062"/>
        </w:tabs>
        <w:ind w:left="2062" w:hanging="360"/>
      </w:pPr>
      <w:rPr>
        <w:rFonts w:ascii="Wingdings" w:hAnsi="Wingdings" w:hint="default"/>
      </w:r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2">
    <w:nsid w:val="5CC960E1"/>
    <w:multiLevelType w:val="hybridMultilevel"/>
    <w:tmpl w:val="D052770A"/>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6BD218C1"/>
    <w:multiLevelType w:val="hybridMultilevel"/>
    <w:tmpl w:val="A22E4AA2"/>
    <w:lvl w:ilvl="0" w:tplc="7904053A">
      <w:start w:val="1"/>
      <w:numFmt w:val="decimal"/>
      <w:lvlText w:val="%1."/>
      <w:lvlJc w:val="left"/>
      <w:pPr>
        <w:tabs>
          <w:tab w:val="num" w:pos="720"/>
        </w:tabs>
        <w:ind w:left="720" w:hanging="360"/>
      </w:pPr>
    </w:lvl>
    <w:lvl w:ilvl="1" w:tplc="CA6630D4" w:tentative="1">
      <w:start w:val="1"/>
      <w:numFmt w:val="decimal"/>
      <w:lvlText w:val="%2."/>
      <w:lvlJc w:val="left"/>
      <w:pPr>
        <w:tabs>
          <w:tab w:val="num" w:pos="1440"/>
        </w:tabs>
        <w:ind w:left="1440" w:hanging="360"/>
      </w:pPr>
    </w:lvl>
    <w:lvl w:ilvl="2" w:tplc="AA4A585A">
      <w:start w:val="1"/>
      <w:numFmt w:val="decimal"/>
      <w:lvlText w:val="%3."/>
      <w:lvlJc w:val="left"/>
      <w:pPr>
        <w:tabs>
          <w:tab w:val="num" w:pos="2160"/>
        </w:tabs>
        <w:ind w:left="2160" w:hanging="360"/>
      </w:pPr>
    </w:lvl>
    <w:lvl w:ilvl="3" w:tplc="DFAA40E6" w:tentative="1">
      <w:start w:val="1"/>
      <w:numFmt w:val="decimal"/>
      <w:lvlText w:val="%4."/>
      <w:lvlJc w:val="left"/>
      <w:pPr>
        <w:tabs>
          <w:tab w:val="num" w:pos="2880"/>
        </w:tabs>
        <w:ind w:left="2880" w:hanging="360"/>
      </w:pPr>
    </w:lvl>
    <w:lvl w:ilvl="4" w:tplc="12A8106A" w:tentative="1">
      <w:start w:val="1"/>
      <w:numFmt w:val="decimal"/>
      <w:lvlText w:val="%5."/>
      <w:lvlJc w:val="left"/>
      <w:pPr>
        <w:tabs>
          <w:tab w:val="num" w:pos="3600"/>
        </w:tabs>
        <w:ind w:left="3600" w:hanging="360"/>
      </w:pPr>
    </w:lvl>
    <w:lvl w:ilvl="5" w:tplc="35BCC2B2" w:tentative="1">
      <w:start w:val="1"/>
      <w:numFmt w:val="decimal"/>
      <w:lvlText w:val="%6."/>
      <w:lvlJc w:val="left"/>
      <w:pPr>
        <w:tabs>
          <w:tab w:val="num" w:pos="4320"/>
        </w:tabs>
        <w:ind w:left="4320" w:hanging="360"/>
      </w:pPr>
    </w:lvl>
    <w:lvl w:ilvl="6" w:tplc="B3AEAC04" w:tentative="1">
      <w:start w:val="1"/>
      <w:numFmt w:val="decimal"/>
      <w:lvlText w:val="%7."/>
      <w:lvlJc w:val="left"/>
      <w:pPr>
        <w:tabs>
          <w:tab w:val="num" w:pos="5040"/>
        </w:tabs>
        <w:ind w:left="5040" w:hanging="360"/>
      </w:pPr>
    </w:lvl>
    <w:lvl w:ilvl="7" w:tplc="8CEA7278" w:tentative="1">
      <w:start w:val="1"/>
      <w:numFmt w:val="decimal"/>
      <w:lvlText w:val="%8."/>
      <w:lvlJc w:val="left"/>
      <w:pPr>
        <w:tabs>
          <w:tab w:val="num" w:pos="5760"/>
        </w:tabs>
        <w:ind w:left="5760" w:hanging="360"/>
      </w:pPr>
    </w:lvl>
    <w:lvl w:ilvl="8" w:tplc="E0CA6380" w:tentative="1">
      <w:start w:val="1"/>
      <w:numFmt w:val="decimal"/>
      <w:lvlText w:val="%9."/>
      <w:lvlJc w:val="left"/>
      <w:pPr>
        <w:tabs>
          <w:tab w:val="num" w:pos="6480"/>
        </w:tabs>
        <w:ind w:left="6480" w:hanging="360"/>
      </w:pPr>
    </w:lvl>
  </w:abstractNum>
  <w:abstractNum w:abstractNumId="4">
    <w:nsid w:val="755D41D8"/>
    <w:multiLevelType w:val="multilevel"/>
    <w:tmpl w:val="A22E4A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3"/>
  </w:num>
  <w:num w:numId="2">
    <w:abstractNumId w:val="4"/>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9DD"/>
    <w:rsid w:val="000234BD"/>
    <w:rsid w:val="0003116E"/>
    <w:rsid w:val="00057CB9"/>
    <w:rsid w:val="00085258"/>
    <w:rsid w:val="00092414"/>
    <w:rsid w:val="00096831"/>
    <w:rsid w:val="000A66FA"/>
    <w:rsid w:val="000B2715"/>
    <w:rsid w:val="000C06ED"/>
    <w:rsid w:val="000D0E5C"/>
    <w:rsid w:val="00105A13"/>
    <w:rsid w:val="00126067"/>
    <w:rsid w:val="00130C4D"/>
    <w:rsid w:val="001464B1"/>
    <w:rsid w:val="001625E4"/>
    <w:rsid w:val="001641C9"/>
    <w:rsid w:val="00166810"/>
    <w:rsid w:val="001C4C97"/>
    <w:rsid w:val="001F2A81"/>
    <w:rsid w:val="002859FC"/>
    <w:rsid w:val="00322F63"/>
    <w:rsid w:val="0032522E"/>
    <w:rsid w:val="00340B38"/>
    <w:rsid w:val="00361C57"/>
    <w:rsid w:val="004072B9"/>
    <w:rsid w:val="004242C6"/>
    <w:rsid w:val="00495264"/>
    <w:rsid w:val="0049582C"/>
    <w:rsid w:val="005267C9"/>
    <w:rsid w:val="00526F3D"/>
    <w:rsid w:val="005305AD"/>
    <w:rsid w:val="00611E53"/>
    <w:rsid w:val="006223E6"/>
    <w:rsid w:val="00624AC1"/>
    <w:rsid w:val="00625630"/>
    <w:rsid w:val="006501AE"/>
    <w:rsid w:val="006615CE"/>
    <w:rsid w:val="006739DD"/>
    <w:rsid w:val="006A02CC"/>
    <w:rsid w:val="006C3598"/>
    <w:rsid w:val="006E3D8A"/>
    <w:rsid w:val="006F5703"/>
    <w:rsid w:val="00707141"/>
    <w:rsid w:val="00707348"/>
    <w:rsid w:val="007B1957"/>
    <w:rsid w:val="007B34B3"/>
    <w:rsid w:val="007C0F52"/>
    <w:rsid w:val="007C7392"/>
    <w:rsid w:val="007D2D5B"/>
    <w:rsid w:val="007E54C2"/>
    <w:rsid w:val="00800471"/>
    <w:rsid w:val="0081151C"/>
    <w:rsid w:val="00813DF2"/>
    <w:rsid w:val="008314A2"/>
    <w:rsid w:val="00856557"/>
    <w:rsid w:val="00864B68"/>
    <w:rsid w:val="00885536"/>
    <w:rsid w:val="008B55B3"/>
    <w:rsid w:val="00955BB9"/>
    <w:rsid w:val="00960D2A"/>
    <w:rsid w:val="009671FB"/>
    <w:rsid w:val="00970277"/>
    <w:rsid w:val="00A14AA6"/>
    <w:rsid w:val="00A1715A"/>
    <w:rsid w:val="00A1768F"/>
    <w:rsid w:val="00A32CF9"/>
    <w:rsid w:val="00A43F16"/>
    <w:rsid w:val="00A544D4"/>
    <w:rsid w:val="00A81011"/>
    <w:rsid w:val="00AA0989"/>
    <w:rsid w:val="00B04677"/>
    <w:rsid w:val="00B11A8C"/>
    <w:rsid w:val="00B54E79"/>
    <w:rsid w:val="00B86524"/>
    <w:rsid w:val="00BE0E63"/>
    <w:rsid w:val="00C27553"/>
    <w:rsid w:val="00C42F64"/>
    <w:rsid w:val="00C6427B"/>
    <w:rsid w:val="00C70353"/>
    <w:rsid w:val="00CA0E84"/>
    <w:rsid w:val="00CA3413"/>
    <w:rsid w:val="00CB44C6"/>
    <w:rsid w:val="00CD5B98"/>
    <w:rsid w:val="00CF431B"/>
    <w:rsid w:val="00D65D16"/>
    <w:rsid w:val="00D66E75"/>
    <w:rsid w:val="00D67CA7"/>
    <w:rsid w:val="00DF4975"/>
    <w:rsid w:val="00E05827"/>
    <w:rsid w:val="00E05B81"/>
    <w:rsid w:val="00EB128F"/>
    <w:rsid w:val="00EF2545"/>
    <w:rsid w:val="00F03ECA"/>
    <w:rsid w:val="00F52AE0"/>
    <w:rsid w:val="00FB7964"/>
    <w:rsid w:val="00FF11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1260"/>
        <w:tab w:val="left" w:pos="1980"/>
        <w:tab w:val="left" w:pos="2700"/>
        <w:tab w:val="left" w:pos="3420"/>
      </w:tabs>
      <w:jc w:val="both"/>
    </w:pPr>
    <w:rPr>
      <w:rFonts w:ascii="Arial" w:hAnsi="Arial"/>
      <w:sz w:val="22"/>
    </w:rPr>
  </w:style>
  <w:style w:type="paragraph" w:styleId="Heading1">
    <w:name w:val="heading 1"/>
    <w:basedOn w:val="Normal"/>
    <w:next w:val="Normal"/>
    <w:qFormat/>
    <w:pPr>
      <w:tabs>
        <w:tab w:val="clear" w:pos="1260"/>
        <w:tab w:val="clear" w:pos="1980"/>
        <w:tab w:val="clear" w:pos="2700"/>
        <w:tab w:val="left" w:pos="1267"/>
        <w:tab w:val="left" w:pos="1987"/>
        <w:tab w:val="left" w:pos="2707"/>
        <w:tab w:val="left" w:pos="3672"/>
      </w:tabs>
      <w:outlineLvl w:val="0"/>
    </w:pPr>
  </w:style>
  <w:style w:type="paragraph" w:styleId="Heading2">
    <w:name w:val="heading 2"/>
    <w:basedOn w:val="Normal"/>
    <w:next w:val="Normal"/>
    <w:qFormat/>
    <w:pPr>
      <w:tabs>
        <w:tab w:val="clear" w:pos="1260"/>
        <w:tab w:val="clear" w:pos="1980"/>
        <w:tab w:val="clear" w:pos="2700"/>
        <w:tab w:val="left" w:pos="1267"/>
        <w:tab w:val="left" w:pos="1987"/>
        <w:tab w:val="left" w:pos="2707"/>
        <w:tab w:val="left" w:pos="3672"/>
      </w:tabs>
      <w:outlineLvl w:val="1"/>
    </w:pPr>
  </w:style>
  <w:style w:type="paragraph" w:styleId="Heading3">
    <w:name w:val="heading 3"/>
    <w:basedOn w:val="Normal"/>
    <w:next w:val="Normal"/>
    <w:qFormat/>
    <w:pPr>
      <w:tabs>
        <w:tab w:val="clear" w:pos="1260"/>
        <w:tab w:val="clear" w:pos="1980"/>
        <w:tab w:val="clear" w:pos="2700"/>
        <w:tab w:val="left" w:pos="1267"/>
        <w:tab w:val="left" w:pos="1987"/>
        <w:tab w:val="left" w:pos="2707"/>
        <w:tab w:val="left" w:pos="3672"/>
      </w:tabs>
      <w:outlineLvl w:val="2"/>
    </w:pPr>
  </w:style>
  <w:style w:type="paragraph" w:styleId="Heading5">
    <w:name w:val="heading 5"/>
    <w:basedOn w:val="Normal"/>
    <w:next w:val="Normal"/>
    <w:qFormat/>
    <w:pPr>
      <w:keepNext/>
      <w:tabs>
        <w:tab w:val="clear" w:pos="1260"/>
        <w:tab w:val="clear" w:pos="1980"/>
        <w:tab w:val="clear" w:pos="2700"/>
        <w:tab w:val="clear" w:pos="3420"/>
      </w:tabs>
      <w:jc w:val="cente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lear" w:pos="1260"/>
        <w:tab w:val="clear" w:pos="1980"/>
        <w:tab w:val="clear" w:pos="2700"/>
        <w:tab w:val="clear" w:pos="3420"/>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rPr>
      <w:rFonts w:ascii="Arial" w:hAnsi="Arial"/>
      <w:sz w:val="22"/>
    </w:rPr>
  </w:style>
  <w:style w:type="paragraph" w:styleId="BodyTextIndent">
    <w:name w:val="Body Text Indent"/>
    <w:basedOn w:val="Normal"/>
    <w:pPr>
      <w:ind w:left="1276" w:hanging="1276"/>
    </w:pPr>
  </w:style>
  <w:style w:type="paragraph" w:styleId="BodyTextIndent2">
    <w:name w:val="Body Text Indent 2"/>
    <w:basedOn w:val="Normal"/>
    <w:pPr>
      <w:ind w:left="2707" w:hanging="2707"/>
    </w:pPr>
  </w:style>
  <w:style w:type="paragraph" w:styleId="DocumentMap">
    <w:name w:val="Document Map"/>
    <w:basedOn w:val="Normal"/>
    <w:semiHidden/>
    <w:rsid w:val="00E05827"/>
    <w:pPr>
      <w:shd w:val="clear" w:color="auto" w:fill="000080"/>
    </w:pPr>
    <w:rPr>
      <w:rFonts w:ascii="Tahoma" w:hAnsi="Tahoma" w:cs="Tahoma"/>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8349319">
      <w:bodyDiv w:val="1"/>
      <w:marLeft w:val="0"/>
      <w:marRight w:val="0"/>
      <w:marTop w:val="0"/>
      <w:marBottom w:val="0"/>
      <w:divBdr>
        <w:top w:val="none" w:sz="0" w:space="0" w:color="auto"/>
        <w:left w:val="none" w:sz="0" w:space="0" w:color="auto"/>
        <w:bottom w:val="none" w:sz="0" w:space="0" w:color="auto"/>
        <w:right w:val="none" w:sz="0" w:space="0" w:color="auto"/>
      </w:divBdr>
      <w:divsChild>
        <w:div w:id="1834025436">
          <w:marLeft w:val="0"/>
          <w:marRight w:val="0"/>
          <w:marTop w:val="0"/>
          <w:marBottom w:val="0"/>
          <w:divBdr>
            <w:top w:val="none" w:sz="0" w:space="0" w:color="auto"/>
            <w:left w:val="none" w:sz="0" w:space="0" w:color="auto"/>
            <w:bottom w:val="none" w:sz="0" w:space="0" w:color="auto"/>
            <w:right w:val="none" w:sz="0" w:space="0" w:color="auto"/>
          </w:divBdr>
          <w:divsChild>
            <w:div w:id="71244064">
              <w:marLeft w:val="0"/>
              <w:marRight w:val="0"/>
              <w:marTop w:val="0"/>
              <w:marBottom w:val="0"/>
              <w:divBdr>
                <w:top w:val="none" w:sz="0" w:space="0" w:color="auto"/>
                <w:left w:val="none" w:sz="0" w:space="0" w:color="auto"/>
                <w:bottom w:val="none" w:sz="0" w:space="0" w:color="auto"/>
                <w:right w:val="none" w:sz="0" w:space="0" w:color="auto"/>
              </w:divBdr>
            </w:div>
            <w:div w:id="402146488">
              <w:marLeft w:val="0"/>
              <w:marRight w:val="0"/>
              <w:marTop w:val="0"/>
              <w:marBottom w:val="0"/>
              <w:divBdr>
                <w:top w:val="none" w:sz="0" w:space="0" w:color="auto"/>
                <w:left w:val="none" w:sz="0" w:space="0" w:color="auto"/>
                <w:bottom w:val="none" w:sz="0" w:space="0" w:color="auto"/>
                <w:right w:val="none" w:sz="0" w:space="0" w:color="auto"/>
              </w:divBdr>
            </w:div>
            <w:div w:id="881481542">
              <w:marLeft w:val="0"/>
              <w:marRight w:val="0"/>
              <w:marTop w:val="0"/>
              <w:marBottom w:val="0"/>
              <w:divBdr>
                <w:top w:val="none" w:sz="0" w:space="0" w:color="auto"/>
                <w:left w:val="none" w:sz="0" w:space="0" w:color="auto"/>
                <w:bottom w:val="none" w:sz="0" w:space="0" w:color="auto"/>
                <w:right w:val="none" w:sz="0" w:space="0" w:color="auto"/>
              </w:divBdr>
            </w:div>
            <w:div w:id="1011840101">
              <w:marLeft w:val="0"/>
              <w:marRight w:val="0"/>
              <w:marTop w:val="0"/>
              <w:marBottom w:val="0"/>
              <w:divBdr>
                <w:top w:val="none" w:sz="0" w:space="0" w:color="auto"/>
                <w:left w:val="none" w:sz="0" w:space="0" w:color="auto"/>
                <w:bottom w:val="none" w:sz="0" w:space="0" w:color="auto"/>
                <w:right w:val="none" w:sz="0" w:space="0" w:color="auto"/>
              </w:divBdr>
            </w:div>
            <w:div w:id="1223828879">
              <w:marLeft w:val="0"/>
              <w:marRight w:val="0"/>
              <w:marTop w:val="0"/>
              <w:marBottom w:val="0"/>
              <w:divBdr>
                <w:top w:val="none" w:sz="0" w:space="0" w:color="auto"/>
                <w:left w:val="none" w:sz="0" w:space="0" w:color="auto"/>
                <w:bottom w:val="none" w:sz="0" w:space="0" w:color="auto"/>
                <w:right w:val="none" w:sz="0" w:space="0" w:color="auto"/>
              </w:divBdr>
            </w:div>
            <w:div w:id="1616519491">
              <w:marLeft w:val="0"/>
              <w:marRight w:val="0"/>
              <w:marTop w:val="0"/>
              <w:marBottom w:val="0"/>
              <w:divBdr>
                <w:top w:val="none" w:sz="0" w:space="0" w:color="auto"/>
                <w:left w:val="none" w:sz="0" w:space="0" w:color="auto"/>
                <w:bottom w:val="none" w:sz="0" w:space="0" w:color="auto"/>
                <w:right w:val="none" w:sz="0" w:space="0" w:color="auto"/>
              </w:divBdr>
            </w:div>
            <w:div w:id="1636636863">
              <w:marLeft w:val="0"/>
              <w:marRight w:val="0"/>
              <w:marTop w:val="0"/>
              <w:marBottom w:val="0"/>
              <w:divBdr>
                <w:top w:val="none" w:sz="0" w:space="0" w:color="auto"/>
                <w:left w:val="none" w:sz="0" w:space="0" w:color="auto"/>
                <w:bottom w:val="none" w:sz="0" w:space="0" w:color="auto"/>
                <w:right w:val="none" w:sz="0" w:space="0" w:color="auto"/>
              </w:divBdr>
            </w:div>
            <w:div w:id="1637485520">
              <w:marLeft w:val="0"/>
              <w:marRight w:val="0"/>
              <w:marTop w:val="0"/>
              <w:marBottom w:val="0"/>
              <w:divBdr>
                <w:top w:val="none" w:sz="0" w:space="0" w:color="auto"/>
                <w:left w:val="none" w:sz="0" w:space="0" w:color="auto"/>
                <w:bottom w:val="none" w:sz="0" w:space="0" w:color="auto"/>
                <w:right w:val="none" w:sz="0" w:space="0" w:color="auto"/>
              </w:divBdr>
            </w:div>
            <w:div w:id="1784692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654</Words>
  <Characters>3729</Characters>
  <Application>Microsoft Office Word</Application>
  <DocSecurity>4</DocSecurity>
  <Lines>31</Lines>
  <Paragraphs>8</Paragraphs>
  <ScaleCrop>false</ScaleCrop>
  <HeadingPairs>
    <vt:vector size="2" baseType="variant">
      <vt:variant>
        <vt:lpstr>Title</vt:lpstr>
      </vt:variant>
      <vt:variant>
        <vt:i4>1</vt:i4>
      </vt:variant>
    </vt:vector>
  </HeadingPairs>
  <TitlesOfParts>
    <vt:vector size="1" baseType="lpstr">
      <vt:lpstr>Report: Audit Committee 13.06.13: part i - (06) external audit plan</vt:lpstr>
    </vt:vector>
  </TitlesOfParts>
  <Company>Pre-installed Company</Company>
  <LinksUpToDate>false</LinksUpToDate>
  <CharactersWithSpaces>4375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Report: Audit Committee 13.06.13: part i - (06) external audit plan</dc:title>
  <dc:creator>Three Rivers DC</dc:creator>
  <cp:lastModifiedBy>Helen Wailling</cp:lastModifiedBy>
  <cp:revision>2</cp:revision>
  <cp:lastPrinted>2013-05-29T10:56:00Z</cp:lastPrinted>
  <dcterms:created xsi:type="dcterms:W3CDTF">2016-06-20T16:44:00Z</dcterms:created>
  <dcterms:modified xsi:type="dcterms:W3CDTF">2016-06-20T16:44:00Z</dcterms:modified>
</cp:coreProperties>
</file>