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18B" w:rsidRDefault="00EE4E74">
      <w:pPr>
        <w:jc w:val="center"/>
        <w:outlineLvl w:val="0"/>
        <w:rPr>
          <w:b/>
        </w:rPr>
      </w:pPr>
      <w:r w:rsidRPr="00246EF3">
        <w:rPr>
          <w:b/>
        </w:rPr>
        <w:t>AUDIT COMMITTEE</w:t>
      </w:r>
      <w:r w:rsidRPr="00246EF3">
        <w:rPr>
          <w:b/>
        </w:rPr>
        <w:fldChar w:fldCharType="begin"/>
      </w:r>
      <w:r w:rsidRPr="00246EF3">
        <w:rPr>
          <w:b/>
        </w:rPr>
        <w:instrText xml:space="preserve">  </w:instrText>
      </w:r>
      <w:r w:rsidRPr="00246EF3">
        <w:rPr>
          <w:b/>
        </w:rPr>
        <w:fldChar w:fldCharType="end"/>
      </w:r>
      <w:r w:rsidRPr="00246EF3">
        <w:rPr>
          <w:b/>
        </w:rPr>
        <w:fldChar w:fldCharType="begin"/>
      </w:r>
      <w:r w:rsidRPr="00246EF3">
        <w:rPr>
          <w:b/>
        </w:rPr>
        <w:instrText xml:space="preserve">  </w:instrText>
      </w:r>
      <w:r w:rsidRPr="00246EF3">
        <w:rPr>
          <w:b/>
        </w:rPr>
        <w:fldChar w:fldCharType="end"/>
      </w:r>
      <w:r w:rsidRPr="00246EF3">
        <w:rPr>
          <w:b/>
        </w:rPr>
        <w:t xml:space="preserve"> – </w:t>
      </w:r>
      <w:r w:rsidR="007B6195">
        <w:rPr>
          <w:b/>
        </w:rPr>
        <w:t>2</w:t>
      </w:r>
      <w:r w:rsidR="00EB367B">
        <w:rPr>
          <w:b/>
        </w:rPr>
        <w:t>8</w:t>
      </w:r>
      <w:r w:rsidRPr="00246EF3">
        <w:rPr>
          <w:b/>
        </w:rPr>
        <w:t xml:space="preserve"> </w:t>
      </w:r>
      <w:r w:rsidR="00A47BFB">
        <w:rPr>
          <w:b/>
        </w:rPr>
        <w:t>JUNE</w:t>
      </w:r>
      <w:r w:rsidRPr="00246EF3">
        <w:rPr>
          <w:b/>
        </w:rPr>
        <w:t xml:space="preserve"> 201</w:t>
      </w:r>
      <w:r w:rsidR="00EB367B">
        <w:rPr>
          <w:b/>
        </w:rPr>
        <w:t>6</w:t>
      </w:r>
    </w:p>
    <w:p w:rsidR="00EE4E74" w:rsidRPr="00246EF3" w:rsidRDefault="00EE4E74">
      <w:pPr>
        <w:jc w:val="center"/>
        <w:outlineLvl w:val="0"/>
        <w:rPr>
          <w:b/>
          <w:i/>
        </w:rPr>
      </w:pPr>
      <w:r w:rsidRPr="00246EF3">
        <w:rPr>
          <w:b/>
        </w:rPr>
        <w:fldChar w:fldCharType="begin"/>
      </w:r>
      <w:r w:rsidRPr="00246EF3">
        <w:rPr>
          <w:b/>
        </w:rPr>
        <w:instrText xml:space="preserve">  </w:instrText>
      </w:r>
      <w:r w:rsidRPr="00246EF3">
        <w:rPr>
          <w:b/>
        </w:rPr>
        <w:fldChar w:fldCharType="end"/>
      </w:r>
    </w:p>
    <w:p w:rsidR="00EE4E74" w:rsidRPr="00246EF3" w:rsidRDefault="00EE4E74">
      <w:pPr>
        <w:jc w:val="center"/>
      </w:pPr>
    </w:p>
    <w:p w:rsidR="00BB118B" w:rsidRDefault="00EE4E74">
      <w:pPr>
        <w:jc w:val="center"/>
        <w:outlineLvl w:val="0"/>
        <w:rPr>
          <w:b/>
        </w:rPr>
      </w:pPr>
      <w:r w:rsidRPr="00246EF3">
        <w:rPr>
          <w:b/>
        </w:rPr>
        <w:t xml:space="preserve">PART </w:t>
      </w:r>
      <w:r w:rsidRPr="00246EF3">
        <w:rPr>
          <w:b/>
        </w:rPr>
        <w:fldChar w:fldCharType="begin"/>
      </w:r>
      <w:r w:rsidRPr="00246EF3">
        <w:rPr>
          <w:b/>
        </w:rPr>
        <w:instrText xml:space="preserve">  </w:instrText>
      </w:r>
      <w:r w:rsidRPr="00246EF3">
        <w:rPr>
          <w:b/>
        </w:rPr>
        <w:fldChar w:fldCharType="end"/>
      </w:r>
      <w:r w:rsidRPr="00246EF3">
        <w:rPr>
          <w:b/>
        </w:rPr>
        <w:t xml:space="preserve">I </w:t>
      </w:r>
      <w:r w:rsidR="00BB118B">
        <w:rPr>
          <w:b/>
        </w:rPr>
        <w:t>–</w:t>
      </w:r>
      <w:r w:rsidRPr="00246EF3">
        <w:rPr>
          <w:b/>
        </w:rPr>
        <w:t xml:space="preserve"> </w:t>
      </w:r>
      <w:r w:rsidRPr="00246EF3">
        <w:rPr>
          <w:b/>
        </w:rPr>
        <w:fldChar w:fldCharType="begin"/>
      </w:r>
      <w:r w:rsidRPr="00246EF3">
        <w:rPr>
          <w:b/>
        </w:rPr>
        <w:instrText xml:space="preserve">  </w:instrText>
      </w:r>
      <w:r w:rsidRPr="00246EF3">
        <w:rPr>
          <w:b/>
        </w:rPr>
        <w:fldChar w:fldCharType="end"/>
      </w:r>
      <w:r w:rsidRPr="00246EF3">
        <w:rPr>
          <w:b/>
        </w:rPr>
        <w:t>DELEGATED</w:t>
      </w:r>
    </w:p>
    <w:p w:rsidR="00EE4E74" w:rsidRPr="00246EF3" w:rsidRDefault="00EE4E74">
      <w:pPr>
        <w:jc w:val="center"/>
        <w:outlineLvl w:val="0"/>
        <w:rPr>
          <w:i/>
        </w:rPr>
      </w:pPr>
      <w:r w:rsidRPr="00246EF3">
        <w:rPr>
          <w:b/>
        </w:rPr>
        <w:fldChar w:fldCharType="begin"/>
      </w:r>
      <w:r w:rsidRPr="00246EF3">
        <w:rPr>
          <w:b/>
        </w:rPr>
        <w:instrText xml:space="preserve">  </w:instrText>
      </w:r>
      <w:r w:rsidRPr="00246EF3">
        <w:rPr>
          <w:b/>
        </w:rPr>
        <w:fldChar w:fldCharType="end"/>
      </w:r>
    </w:p>
    <w:p w:rsidR="00EE4E74" w:rsidRPr="00246EF3" w:rsidRDefault="00EE4E74"/>
    <w:p w:rsidR="007B6195" w:rsidRPr="009B7C4F" w:rsidRDefault="00C85FBB" w:rsidP="007B6195">
      <w:pPr>
        <w:spacing w:before="120"/>
        <w:ind w:left="1276" w:hanging="1276"/>
        <w:rPr>
          <w:rFonts w:cs="Arial"/>
          <w:szCs w:val="24"/>
        </w:rPr>
      </w:pPr>
      <w:r>
        <w:rPr>
          <w:b/>
        </w:rPr>
        <w:t>1</w:t>
      </w:r>
      <w:r w:rsidR="00222A92">
        <w:rPr>
          <w:b/>
        </w:rPr>
        <w:t>3</w:t>
      </w:r>
      <w:r w:rsidR="00EE4E74" w:rsidRPr="00246EF3">
        <w:rPr>
          <w:b/>
        </w:rPr>
        <w:t>.</w:t>
      </w:r>
      <w:r w:rsidR="00EE4E74" w:rsidRPr="00246EF3">
        <w:rPr>
          <w:b/>
        </w:rPr>
        <w:fldChar w:fldCharType="begin"/>
      </w:r>
      <w:r w:rsidR="00EE4E74" w:rsidRPr="00246EF3">
        <w:rPr>
          <w:b/>
        </w:rPr>
        <w:instrText xml:space="preserve">  </w:instrText>
      </w:r>
      <w:r w:rsidR="00EE4E74" w:rsidRPr="00246EF3">
        <w:rPr>
          <w:b/>
        </w:rPr>
        <w:fldChar w:fldCharType="end"/>
      </w:r>
      <w:r w:rsidR="00EE4E74" w:rsidRPr="00246EF3">
        <w:rPr>
          <w:b/>
        </w:rPr>
        <w:tab/>
      </w:r>
      <w:r w:rsidR="007B6195" w:rsidRPr="007B6195">
        <w:rPr>
          <w:rFonts w:cs="Arial"/>
          <w:b/>
          <w:szCs w:val="24"/>
        </w:rPr>
        <w:t xml:space="preserve">ANNUAL GOVERNANCE STATEMENT </w:t>
      </w:r>
      <w:r w:rsidR="007B6195">
        <w:rPr>
          <w:rFonts w:cs="Arial"/>
          <w:b/>
          <w:szCs w:val="24"/>
        </w:rPr>
        <w:t>(</w:t>
      </w:r>
      <w:r w:rsidR="007B6195" w:rsidRPr="007B6195">
        <w:rPr>
          <w:rFonts w:cs="Arial"/>
          <w:b/>
          <w:szCs w:val="24"/>
        </w:rPr>
        <w:t xml:space="preserve">AGS) </w:t>
      </w:r>
      <w:r w:rsidR="00CB68F1">
        <w:rPr>
          <w:rFonts w:cs="Arial"/>
          <w:b/>
          <w:szCs w:val="24"/>
        </w:rPr>
        <w:t>201</w:t>
      </w:r>
      <w:r w:rsidR="00EB367B">
        <w:rPr>
          <w:rFonts w:cs="Arial"/>
          <w:b/>
          <w:szCs w:val="24"/>
        </w:rPr>
        <w:t>5</w:t>
      </w:r>
      <w:r w:rsidR="00CB68F1">
        <w:rPr>
          <w:rFonts w:cs="Arial"/>
          <w:b/>
          <w:szCs w:val="24"/>
        </w:rPr>
        <w:t>/1</w:t>
      </w:r>
      <w:r w:rsidR="00EB367B">
        <w:rPr>
          <w:rFonts w:cs="Arial"/>
          <w:b/>
          <w:szCs w:val="24"/>
        </w:rPr>
        <w:t>6</w:t>
      </w:r>
    </w:p>
    <w:p w:rsidR="00EE4E74" w:rsidRPr="00246EF3" w:rsidRDefault="00EE4E74">
      <w:pPr>
        <w:keepNext/>
        <w:ind w:left="1267" w:hanging="1267"/>
        <w:rPr>
          <w:i/>
          <w:snapToGrid w:val="0"/>
          <w:lang w:eastAsia="en-US"/>
        </w:rPr>
      </w:pPr>
      <w:r w:rsidRPr="00246EF3">
        <w:rPr>
          <w:b/>
        </w:rPr>
        <w:tab/>
      </w:r>
      <w:r w:rsidRPr="00246EF3">
        <w:t>(</w:t>
      </w:r>
      <w:proofErr w:type="spellStart"/>
      <w:r w:rsidR="007463A3">
        <w:t>D</w:t>
      </w:r>
      <w:r w:rsidR="00430C09">
        <w:t>oF</w:t>
      </w:r>
      <w:proofErr w:type="spellEnd"/>
      <w:r w:rsidRPr="00246EF3">
        <w:fldChar w:fldCharType="begin"/>
      </w:r>
      <w:r w:rsidRPr="00246EF3">
        <w:instrText xml:space="preserve">  </w:instrText>
      </w:r>
      <w:r w:rsidRPr="00246EF3">
        <w:fldChar w:fldCharType="end"/>
      </w:r>
      <w:r w:rsidRPr="00246EF3">
        <w:t>)</w:t>
      </w:r>
      <w:r w:rsidRPr="00246EF3">
        <w:rPr>
          <w:b/>
          <w:i/>
          <w:sz w:val="24"/>
        </w:rPr>
        <w:fldChar w:fldCharType="begin"/>
      </w:r>
      <w:r w:rsidRPr="00246EF3">
        <w:rPr>
          <w:b/>
          <w:i/>
          <w:sz w:val="24"/>
        </w:rPr>
        <w:instrText xml:space="preserve">  </w:instrText>
      </w:r>
      <w:r w:rsidRPr="00246EF3">
        <w:rPr>
          <w:b/>
          <w:i/>
          <w:sz w:val="24"/>
        </w:rPr>
        <w:fldChar w:fldCharType="end"/>
      </w:r>
      <w:r w:rsidRPr="00246EF3">
        <w:rPr>
          <w:b/>
          <w:i/>
          <w:sz w:val="24"/>
        </w:rPr>
        <w:fldChar w:fldCharType="begin"/>
      </w:r>
      <w:r w:rsidRPr="00246EF3">
        <w:rPr>
          <w:b/>
          <w:i/>
          <w:sz w:val="24"/>
        </w:rPr>
        <w:instrText xml:space="preserve">  </w:instrText>
      </w:r>
      <w:r w:rsidRPr="00246EF3">
        <w:rPr>
          <w:b/>
          <w:i/>
          <w:sz w:val="24"/>
        </w:rPr>
        <w:fldChar w:fldCharType="end"/>
      </w:r>
    </w:p>
    <w:p w:rsidR="00EE4E74" w:rsidRPr="00246EF3" w:rsidRDefault="00EE4E74">
      <w:pPr>
        <w:ind w:left="1260" w:hanging="1260"/>
      </w:pPr>
      <w:bookmarkStart w:id="0" w:name="_GoBack"/>
      <w:bookmarkEnd w:id="0"/>
    </w:p>
    <w:p w:rsidR="00EE4E74" w:rsidRPr="00246EF3" w:rsidRDefault="00EE4E74">
      <w:pPr>
        <w:keepNext/>
        <w:ind w:left="1267" w:hanging="1267"/>
        <w:outlineLvl w:val="0"/>
      </w:pPr>
      <w:r w:rsidRPr="00246EF3">
        <w:t>1.</w:t>
      </w:r>
      <w:r w:rsidRPr="00246EF3">
        <w:tab/>
      </w:r>
      <w:r w:rsidRPr="00246EF3">
        <w:rPr>
          <w:b/>
        </w:rPr>
        <w:t>Summary</w:t>
      </w:r>
    </w:p>
    <w:p w:rsidR="00EE4E74" w:rsidRPr="00246EF3" w:rsidRDefault="00EE4E74">
      <w:pPr>
        <w:keepNext/>
        <w:ind w:left="1267" w:hanging="1267"/>
      </w:pPr>
    </w:p>
    <w:p w:rsidR="007B6195" w:rsidRPr="00231BCF" w:rsidRDefault="00EE4E74" w:rsidP="007B6195">
      <w:pPr>
        <w:ind w:left="1276" w:hanging="1276"/>
      </w:pPr>
      <w:r w:rsidRPr="00246EF3">
        <w:t>1.1</w:t>
      </w:r>
      <w:r w:rsidRPr="00246EF3">
        <w:tab/>
      </w:r>
      <w:r w:rsidRPr="00246EF3">
        <w:fldChar w:fldCharType="begin"/>
      </w:r>
      <w:r w:rsidRPr="00246EF3">
        <w:instrText xml:space="preserve">  </w:instrText>
      </w:r>
      <w:r w:rsidRPr="00246EF3">
        <w:fldChar w:fldCharType="end"/>
      </w:r>
      <w:r w:rsidR="007B6195" w:rsidRPr="007B6195">
        <w:t xml:space="preserve"> </w:t>
      </w:r>
      <w:r w:rsidR="007B6195" w:rsidRPr="00231BCF">
        <w:t>This report enables the Committee to agree the Annual Governance Statement (AGS) for inclusion in the Draft Statement of Accounts.</w:t>
      </w:r>
    </w:p>
    <w:p w:rsidR="00EE4E74" w:rsidRPr="00246EF3" w:rsidRDefault="00EE4E74">
      <w:pPr>
        <w:ind w:left="1267" w:hanging="1267"/>
      </w:pPr>
    </w:p>
    <w:p w:rsidR="00EE4E74" w:rsidRPr="00246EF3" w:rsidRDefault="00EE4E74">
      <w:pPr>
        <w:keepNext/>
        <w:ind w:left="1267" w:hanging="1267"/>
        <w:outlineLvl w:val="0"/>
        <w:rPr>
          <w:b/>
        </w:rPr>
      </w:pPr>
      <w:r w:rsidRPr="00246EF3">
        <w:t>2.</w:t>
      </w:r>
      <w:r w:rsidRPr="00246EF3">
        <w:tab/>
      </w:r>
      <w:r w:rsidRPr="00246EF3">
        <w:rPr>
          <w:b/>
        </w:rPr>
        <w:t>Details</w:t>
      </w:r>
    </w:p>
    <w:p w:rsidR="00E31269" w:rsidRDefault="00E31269" w:rsidP="00E31269">
      <w:pPr>
        <w:tabs>
          <w:tab w:val="clear" w:pos="1260"/>
          <w:tab w:val="clear" w:pos="1980"/>
          <w:tab w:val="clear" w:pos="2700"/>
          <w:tab w:val="clear" w:pos="3420"/>
          <w:tab w:val="left" w:pos="1276"/>
          <w:tab w:val="left" w:pos="1843"/>
        </w:tabs>
      </w:pPr>
    </w:p>
    <w:p w:rsidR="00211470" w:rsidRDefault="00211470" w:rsidP="00211470">
      <w:pPr>
        <w:keepNext/>
        <w:ind w:left="1267" w:hanging="1267"/>
      </w:pPr>
      <w:r>
        <w:t>2.1</w:t>
      </w:r>
      <w:r>
        <w:tab/>
      </w:r>
      <w:r w:rsidRPr="00211470">
        <w:rPr>
          <w:i/>
        </w:rPr>
        <w:t>The</w:t>
      </w:r>
      <w:r>
        <w:rPr>
          <w:i/>
        </w:rPr>
        <w:t xml:space="preserve"> Report of the Committee on the Financial Aspects of Corporate Governance</w:t>
      </w:r>
      <w:r>
        <w:t xml:space="preserve"> (the Cadbury Report 1992) identified three fundamental principles of corporate governance – openness, integrity and </w:t>
      </w:r>
      <w:r w:rsidR="00D6506F">
        <w:t>a</w:t>
      </w:r>
      <w:r>
        <w:t>ccountability.</w:t>
      </w:r>
    </w:p>
    <w:p w:rsidR="00211470" w:rsidRDefault="00211470" w:rsidP="00211470">
      <w:pPr>
        <w:keepNext/>
        <w:ind w:left="1267" w:hanging="1267"/>
      </w:pPr>
      <w:r>
        <w:t xml:space="preserve">  </w:t>
      </w:r>
    </w:p>
    <w:p w:rsidR="00211470" w:rsidRDefault="00211470" w:rsidP="00211470">
      <w:pPr>
        <w:keepNext/>
        <w:ind w:left="1267" w:hanging="1267"/>
      </w:pPr>
      <w:r>
        <w:t>2.2</w:t>
      </w:r>
      <w:r>
        <w:tab/>
        <w:t>The Committee on Standards in Public Life (the Nolan Committee 1995) stated that the principles of public life are selflessness, integrity, objectivity, accountability, openness, honesty and leadership.</w:t>
      </w:r>
    </w:p>
    <w:p w:rsidR="00211470" w:rsidRPr="00051982" w:rsidRDefault="00211470" w:rsidP="00E31269">
      <w:pPr>
        <w:tabs>
          <w:tab w:val="clear" w:pos="1260"/>
          <w:tab w:val="clear" w:pos="1980"/>
          <w:tab w:val="clear" w:pos="2700"/>
          <w:tab w:val="clear" w:pos="3420"/>
          <w:tab w:val="left" w:pos="1276"/>
          <w:tab w:val="left" w:pos="1843"/>
        </w:tabs>
      </w:pPr>
    </w:p>
    <w:p w:rsidR="00604335" w:rsidRPr="00051982" w:rsidRDefault="00211470" w:rsidP="00604335">
      <w:pPr>
        <w:keepNext/>
        <w:ind w:left="1267" w:hanging="1267"/>
      </w:pPr>
      <w:r>
        <w:t>2.3</w:t>
      </w:r>
      <w:r w:rsidR="00604335" w:rsidRPr="00051982">
        <w:tab/>
        <w:t xml:space="preserve">In 2001, the Chartered Institute of Public Finance and Accountancy (CIPFA) and the Society of Local Authority Chief Executives (SOLACE) published </w:t>
      </w:r>
      <w:r w:rsidR="00604335" w:rsidRPr="00051982">
        <w:rPr>
          <w:i/>
        </w:rPr>
        <w:t xml:space="preserve">Corporate Governance in Local Government – A Keystone for Community Governance: Framework. </w:t>
      </w:r>
      <w:r w:rsidR="00604335" w:rsidRPr="00051982">
        <w:t xml:space="preserve">This set out best practice for authorities to develop their own locally adopted codes. </w:t>
      </w:r>
    </w:p>
    <w:p w:rsidR="004D73FB" w:rsidRPr="00051982" w:rsidRDefault="004D73FB" w:rsidP="00604335">
      <w:pPr>
        <w:keepNext/>
        <w:ind w:left="1267" w:hanging="1267"/>
      </w:pPr>
    </w:p>
    <w:p w:rsidR="00E31269" w:rsidRPr="00051982" w:rsidRDefault="00211470" w:rsidP="00E31269">
      <w:pPr>
        <w:tabs>
          <w:tab w:val="clear" w:pos="1260"/>
        </w:tabs>
        <w:ind w:left="1276" w:hanging="1276"/>
      </w:pPr>
      <w:r>
        <w:t>2.4</w:t>
      </w:r>
      <w:r w:rsidR="00E31269" w:rsidRPr="00051982">
        <w:tab/>
        <w:t>In June 2007, CIPFA</w:t>
      </w:r>
      <w:r w:rsidR="00604335" w:rsidRPr="00051982">
        <w:t xml:space="preserve"> and </w:t>
      </w:r>
      <w:r w:rsidR="00E31269" w:rsidRPr="00051982">
        <w:t xml:space="preserve">SOLACE published </w:t>
      </w:r>
      <w:r w:rsidR="00E31269" w:rsidRPr="00051982">
        <w:rPr>
          <w:i/>
        </w:rPr>
        <w:t>Delivering Good Governance in Local Government</w:t>
      </w:r>
      <w:r w:rsidR="00276FDE" w:rsidRPr="00051982">
        <w:rPr>
          <w:i/>
        </w:rPr>
        <w:t>: Framework</w:t>
      </w:r>
      <w:r w:rsidR="00E31269" w:rsidRPr="00051982">
        <w:rPr>
          <w:i/>
        </w:rPr>
        <w:t xml:space="preserve">. </w:t>
      </w:r>
      <w:r w:rsidR="00E31269" w:rsidRPr="00051982">
        <w:t xml:space="preserve">This recommended that </w:t>
      </w:r>
      <w:r>
        <w:t>a</w:t>
      </w:r>
      <w:r w:rsidR="00E31269" w:rsidRPr="00051982">
        <w:t xml:space="preserve"> review of the effectiveness of the system of internal control should be reported in an AGS. The Framework informed authorities in </w:t>
      </w:r>
      <w:smartTag w:uri="urn:schemas-microsoft-com:office:smarttags" w:element="country-region">
        <w:smartTag w:uri="urn:schemas-microsoft-com:office:smarttags" w:element="place">
          <w:r w:rsidR="00E31269" w:rsidRPr="00051982">
            <w:t>England</w:t>
          </w:r>
        </w:smartTag>
      </w:smartTag>
      <w:r w:rsidR="00E31269" w:rsidRPr="00051982">
        <w:t xml:space="preserve"> that its provisions were mandatory from 2007/08.</w:t>
      </w:r>
    </w:p>
    <w:p w:rsidR="00EE4E74" w:rsidRPr="00051982" w:rsidRDefault="00EE4E74">
      <w:pPr>
        <w:keepNext/>
        <w:ind w:left="1267" w:hanging="1267"/>
        <w:rPr>
          <w:rFonts w:cs="Arial"/>
          <w:b/>
          <w:szCs w:val="22"/>
        </w:rPr>
      </w:pPr>
    </w:p>
    <w:p w:rsidR="00276FDE" w:rsidRPr="00051982" w:rsidRDefault="00A04515">
      <w:pPr>
        <w:keepNext/>
        <w:ind w:left="1267" w:hanging="1267"/>
        <w:rPr>
          <w:rFonts w:cs="Arial"/>
          <w:szCs w:val="22"/>
        </w:rPr>
      </w:pPr>
      <w:r>
        <w:rPr>
          <w:rFonts w:cs="Arial"/>
          <w:szCs w:val="22"/>
        </w:rPr>
        <w:t>2.5</w:t>
      </w:r>
      <w:r w:rsidR="00276FDE" w:rsidRPr="00051982">
        <w:rPr>
          <w:rFonts w:cs="Arial"/>
          <w:szCs w:val="22"/>
        </w:rPr>
        <w:tab/>
        <w:t xml:space="preserve">In March 2010, CIPFA published an Application Note to the Framework dealing with the </w:t>
      </w:r>
      <w:r w:rsidR="00276FDE" w:rsidRPr="00051982">
        <w:rPr>
          <w:rFonts w:cs="Arial"/>
          <w:i/>
          <w:szCs w:val="22"/>
        </w:rPr>
        <w:t xml:space="preserve">CIPFA Statement on the Role of the Chief Financial Officer in Local Government (2010). </w:t>
      </w:r>
      <w:r w:rsidR="00276FDE" w:rsidRPr="00051982">
        <w:rPr>
          <w:rFonts w:cs="Arial"/>
          <w:szCs w:val="22"/>
        </w:rPr>
        <w:t>This extended the contents of the AGS to include a specific statement on whether the authority’s financial management arrangements conform to the governance requirements of the CIPFA Statement, and where they do not, to explain why and how they deliver the same impact.</w:t>
      </w:r>
    </w:p>
    <w:p w:rsidR="00276FDE" w:rsidRPr="00051982" w:rsidRDefault="00276FDE">
      <w:pPr>
        <w:keepNext/>
        <w:ind w:left="1267" w:hanging="1267"/>
        <w:rPr>
          <w:rFonts w:cs="Arial"/>
          <w:szCs w:val="22"/>
        </w:rPr>
      </w:pPr>
    </w:p>
    <w:p w:rsidR="00EE4E74" w:rsidRPr="00051982" w:rsidRDefault="00A04515">
      <w:pPr>
        <w:tabs>
          <w:tab w:val="clear" w:pos="1260"/>
        </w:tabs>
        <w:ind w:left="1276" w:hanging="1276"/>
      </w:pPr>
      <w:r>
        <w:t>2.6</w:t>
      </w:r>
      <w:r w:rsidR="00EE4E74" w:rsidRPr="00051982">
        <w:tab/>
      </w:r>
      <w:r w:rsidR="00E31269" w:rsidRPr="00051982">
        <w:t xml:space="preserve">Regulation 4 of </w:t>
      </w:r>
      <w:r w:rsidR="00EE4E74" w:rsidRPr="00051982">
        <w:rPr>
          <w:i/>
        </w:rPr>
        <w:t xml:space="preserve">The Accounts and Audit </w:t>
      </w:r>
      <w:r w:rsidR="00E31269" w:rsidRPr="00051982">
        <w:rPr>
          <w:i/>
        </w:rPr>
        <w:t>(</w:t>
      </w:r>
      <w:smartTag w:uri="urn:schemas-microsoft-com:office:smarttags" w:element="country-region">
        <w:smartTag w:uri="urn:schemas-microsoft-com:office:smarttags" w:element="place">
          <w:r w:rsidR="00E31269" w:rsidRPr="00051982">
            <w:rPr>
              <w:i/>
            </w:rPr>
            <w:t>England</w:t>
          </w:r>
        </w:smartTag>
      </w:smartTag>
      <w:r w:rsidR="00E31269" w:rsidRPr="00051982">
        <w:rPr>
          <w:i/>
        </w:rPr>
        <w:t xml:space="preserve">) </w:t>
      </w:r>
      <w:r w:rsidR="00EE4E74" w:rsidRPr="00051982">
        <w:rPr>
          <w:i/>
        </w:rPr>
        <w:t>Regulations</w:t>
      </w:r>
      <w:r w:rsidR="00E31269" w:rsidRPr="00051982">
        <w:rPr>
          <w:i/>
        </w:rPr>
        <w:t xml:space="preserve"> 2011</w:t>
      </w:r>
      <w:r w:rsidR="00EE4E74" w:rsidRPr="00051982">
        <w:t xml:space="preserve"> requires the Council to:-</w:t>
      </w:r>
    </w:p>
    <w:p w:rsidR="00EE4E74" w:rsidRPr="00051982" w:rsidRDefault="00EE4E74" w:rsidP="00C97787">
      <w:pPr>
        <w:tabs>
          <w:tab w:val="clear" w:pos="1260"/>
        </w:tabs>
        <w:spacing w:after="120"/>
      </w:pPr>
    </w:p>
    <w:p w:rsidR="00EE4E74" w:rsidRPr="00051982" w:rsidRDefault="00EE4E74" w:rsidP="00C97787">
      <w:pPr>
        <w:numPr>
          <w:ilvl w:val="0"/>
          <w:numId w:val="29"/>
        </w:numPr>
        <w:tabs>
          <w:tab w:val="clear" w:pos="1260"/>
        </w:tabs>
        <w:spacing w:after="120"/>
      </w:pPr>
      <w:r w:rsidRPr="00051982">
        <w:t>Ensure that it has a sound system of internal control;</w:t>
      </w:r>
    </w:p>
    <w:p w:rsidR="00EE4E74" w:rsidRPr="00051982" w:rsidRDefault="00EE4E74" w:rsidP="00C97787">
      <w:pPr>
        <w:numPr>
          <w:ilvl w:val="0"/>
          <w:numId w:val="29"/>
        </w:numPr>
        <w:tabs>
          <w:tab w:val="clear" w:pos="1260"/>
        </w:tabs>
        <w:spacing w:after="120"/>
      </w:pPr>
      <w:r w:rsidRPr="00051982">
        <w:t xml:space="preserve">Conduct a review at least once a year of the effectiveness of its system of </w:t>
      </w:r>
      <w:r w:rsidR="00E31269" w:rsidRPr="00051982">
        <w:t>internal</w:t>
      </w:r>
      <w:r w:rsidRPr="00051982">
        <w:t xml:space="preserve"> control;</w:t>
      </w:r>
    </w:p>
    <w:p w:rsidR="00EE4E74" w:rsidRPr="00051982" w:rsidRDefault="00EE4E74" w:rsidP="00C97787">
      <w:pPr>
        <w:numPr>
          <w:ilvl w:val="0"/>
          <w:numId w:val="29"/>
        </w:numPr>
        <w:tabs>
          <w:tab w:val="clear" w:pos="1260"/>
        </w:tabs>
        <w:spacing w:after="120"/>
      </w:pPr>
      <w:r w:rsidRPr="00051982">
        <w:t>Consider the findings of the review (either at a committee meeting or at Council) and, following that consideration, approve a</w:t>
      </w:r>
      <w:r w:rsidR="00E31269" w:rsidRPr="00051982">
        <w:t xml:space="preserve">n </w:t>
      </w:r>
      <w:r w:rsidR="000455B2" w:rsidRPr="00051982">
        <w:t>AGS</w:t>
      </w:r>
      <w:r w:rsidRPr="00051982">
        <w:t xml:space="preserve"> prepared in accordance with proper practices, and,</w:t>
      </w:r>
    </w:p>
    <w:p w:rsidR="00EE4E74" w:rsidRDefault="00E31269" w:rsidP="00C97787">
      <w:pPr>
        <w:numPr>
          <w:ilvl w:val="0"/>
          <w:numId w:val="29"/>
        </w:numPr>
        <w:tabs>
          <w:tab w:val="clear" w:pos="1260"/>
        </w:tabs>
        <w:spacing w:after="120"/>
      </w:pPr>
      <w:r w:rsidRPr="00051982">
        <w:t>Ensure that</w:t>
      </w:r>
      <w:r w:rsidR="00EE4E74" w:rsidRPr="00051982">
        <w:t xml:space="preserve"> the </w:t>
      </w:r>
      <w:r w:rsidR="000455B2" w:rsidRPr="00051982">
        <w:t>AGS</w:t>
      </w:r>
      <w:r w:rsidRPr="00051982">
        <w:t xml:space="preserve"> accompanies</w:t>
      </w:r>
      <w:r w:rsidR="00EE4E74" w:rsidRPr="00051982">
        <w:t xml:space="preserve"> the Statement of Accounts</w:t>
      </w:r>
      <w:r w:rsidR="00A04515">
        <w:t xml:space="preserve"> </w:t>
      </w:r>
    </w:p>
    <w:p w:rsidR="00A04515" w:rsidRPr="00553F23" w:rsidRDefault="00A04515">
      <w:pPr>
        <w:tabs>
          <w:tab w:val="clear" w:pos="1260"/>
        </w:tabs>
        <w:ind w:left="1276" w:hanging="1276"/>
      </w:pPr>
      <w:r>
        <w:tab/>
      </w:r>
    </w:p>
    <w:p w:rsidR="00EE4E74" w:rsidRPr="00553F23" w:rsidRDefault="00A04515">
      <w:pPr>
        <w:pStyle w:val="Header"/>
        <w:tabs>
          <w:tab w:val="clear" w:pos="4153"/>
          <w:tab w:val="clear" w:pos="8306"/>
          <w:tab w:val="left" w:pos="1985"/>
          <w:tab w:val="left" w:pos="2700"/>
          <w:tab w:val="left" w:pos="3420"/>
        </w:tabs>
        <w:ind w:left="1276" w:hanging="1276"/>
      </w:pPr>
      <w:r>
        <w:t>2.7</w:t>
      </w:r>
      <w:r w:rsidR="00EE4E74" w:rsidRPr="00553F23">
        <w:tab/>
        <w:t xml:space="preserve">The </w:t>
      </w:r>
      <w:r w:rsidR="00EE4E74" w:rsidRPr="00553F23">
        <w:rPr>
          <w:i/>
        </w:rPr>
        <w:t>Code of Practice on Local Authority Accounting in the U</w:t>
      </w:r>
      <w:r w:rsidR="00465E5E">
        <w:rPr>
          <w:i/>
        </w:rPr>
        <w:t xml:space="preserve">nited </w:t>
      </w:r>
      <w:r w:rsidR="00EE4E74" w:rsidRPr="00553F23">
        <w:rPr>
          <w:i/>
        </w:rPr>
        <w:t>K</w:t>
      </w:r>
      <w:r w:rsidR="00465E5E">
        <w:rPr>
          <w:i/>
        </w:rPr>
        <w:t xml:space="preserve">ingdom </w:t>
      </w:r>
      <w:r w:rsidR="009C2263">
        <w:rPr>
          <w:i/>
        </w:rPr>
        <w:t>201</w:t>
      </w:r>
      <w:r w:rsidR="00EB367B">
        <w:rPr>
          <w:i/>
        </w:rPr>
        <w:t>5</w:t>
      </w:r>
      <w:r w:rsidR="009C2263">
        <w:rPr>
          <w:i/>
        </w:rPr>
        <w:t>/1</w:t>
      </w:r>
      <w:r w:rsidR="00EB367B">
        <w:rPr>
          <w:i/>
        </w:rPr>
        <w:t>6</w:t>
      </w:r>
      <w:r w:rsidR="00465E5E">
        <w:rPr>
          <w:i/>
        </w:rPr>
        <w:t xml:space="preserve"> </w:t>
      </w:r>
      <w:r w:rsidR="00465E5E">
        <w:t>(CIPFA/LASAAC)</w:t>
      </w:r>
      <w:r w:rsidR="00EE4E74" w:rsidRPr="00553F23">
        <w:rPr>
          <w:i/>
        </w:rPr>
        <w:t xml:space="preserve"> </w:t>
      </w:r>
      <w:r w:rsidR="00EE4E74" w:rsidRPr="00553F23">
        <w:t xml:space="preserve">states that the preparation of an AGS fulfils the </w:t>
      </w:r>
      <w:r w:rsidR="00EE4E74" w:rsidRPr="00553F23">
        <w:lastRenderedPageBreak/>
        <w:t>statutory requirement for a local authority to conduct a review at least once in each financial year of the effectiveness of its system of internal control</w:t>
      </w:r>
      <w:r w:rsidR="004D73FB" w:rsidRPr="00553F23">
        <w:t>,</w:t>
      </w:r>
      <w:r w:rsidR="00EE4E74" w:rsidRPr="00553F23">
        <w:t xml:space="preserve"> and </w:t>
      </w:r>
      <w:r w:rsidR="004D73FB" w:rsidRPr="00553F23">
        <w:t>that authorities should</w:t>
      </w:r>
      <w:r w:rsidR="00EE4E74" w:rsidRPr="00553F23">
        <w:t xml:space="preserve"> include a</w:t>
      </w:r>
      <w:r w:rsidR="004D73FB" w:rsidRPr="00553F23">
        <w:t xml:space="preserve">n </w:t>
      </w:r>
      <w:r w:rsidR="000455B2" w:rsidRPr="00553F23">
        <w:t>AGS</w:t>
      </w:r>
      <w:r w:rsidR="00EE4E74" w:rsidRPr="00553F23">
        <w:t xml:space="preserve"> reporting on the review in its Statement of Accounts.</w:t>
      </w:r>
      <w:r w:rsidR="000455B2" w:rsidRPr="00553F23">
        <w:t xml:space="preserve"> It also says that:-</w:t>
      </w:r>
    </w:p>
    <w:p w:rsidR="000455B2" w:rsidRPr="00553F23" w:rsidRDefault="000455B2">
      <w:pPr>
        <w:pStyle w:val="Header"/>
        <w:tabs>
          <w:tab w:val="clear" w:pos="4153"/>
          <w:tab w:val="clear" w:pos="8306"/>
          <w:tab w:val="left" w:pos="1985"/>
          <w:tab w:val="left" w:pos="2700"/>
          <w:tab w:val="left" w:pos="3420"/>
        </w:tabs>
        <w:ind w:left="1276" w:hanging="1276"/>
      </w:pPr>
    </w:p>
    <w:p w:rsidR="000455B2" w:rsidRPr="00553F23" w:rsidRDefault="000455B2" w:rsidP="00C97787">
      <w:pPr>
        <w:numPr>
          <w:ilvl w:val="0"/>
          <w:numId w:val="31"/>
        </w:numPr>
        <w:tabs>
          <w:tab w:val="clear" w:pos="1260"/>
          <w:tab w:val="clear" w:pos="1996"/>
          <w:tab w:val="left" w:pos="1985"/>
        </w:tabs>
        <w:spacing w:after="120"/>
        <w:ind w:hanging="357"/>
      </w:pPr>
      <w:r w:rsidRPr="00553F23">
        <w:tab/>
        <w:t>The AGS should relate to the governance system as it applied during the financial year for the accounts that it accompanies</w:t>
      </w:r>
      <w:r w:rsidR="00553F23" w:rsidRPr="00553F23">
        <w:t>.</w:t>
      </w:r>
    </w:p>
    <w:p w:rsidR="000455B2" w:rsidRPr="00553F23" w:rsidRDefault="000455B2" w:rsidP="00C97787">
      <w:pPr>
        <w:numPr>
          <w:ilvl w:val="0"/>
          <w:numId w:val="31"/>
        </w:numPr>
        <w:tabs>
          <w:tab w:val="clear" w:pos="1260"/>
          <w:tab w:val="clear" w:pos="1996"/>
          <w:tab w:val="left" w:pos="1985"/>
        </w:tabs>
        <w:spacing w:after="120"/>
        <w:ind w:hanging="357"/>
      </w:pPr>
      <w:r w:rsidRPr="00553F23">
        <w:tab/>
        <w:t xml:space="preserve">Significant events or developments relating to the governance system that occur between the year-end and the date on which the Statement of Accounts is signed </w:t>
      </w:r>
      <w:r w:rsidR="00553F23" w:rsidRPr="00553F23">
        <w:t xml:space="preserve">by the responsible financial officer </w:t>
      </w:r>
      <w:r w:rsidRPr="00553F23">
        <w:t>should be reported</w:t>
      </w:r>
      <w:r w:rsidR="00553F23" w:rsidRPr="00553F23">
        <w:t>.</w:t>
      </w:r>
    </w:p>
    <w:p w:rsidR="000455B2" w:rsidRPr="00553F23" w:rsidRDefault="000455B2" w:rsidP="00C97787">
      <w:pPr>
        <w:numPr>
          <w:ilvl w:val="0"/>
          <w:numId w:val="31"/>
        </w:numPr>
        <w:tabs>
          <w:tab w:val="clear" w:pos="1260"/>
        </w:tabs>
        <w:spacing w:after="120"/>
        <w:ind w:hanging="357"/>
      </w:pPr>
      <w:r w:rsidRPr="00553F23">
        <w:t>Where an authority undertakes significant activities through group relationships, the review of the effectiveness of internal control should include the group activities.</w:t>
      </w:r>
    </w:p>
    <w:p w:rsidR="00B46EB7" w:rsidRPr="00B46EB7" w:rsidRDefault="00B46EB7">
      <w:pPr>
        <w:ind w:left="1267" w:hanging="1267"/>
      </w:pPr>
    </w:p>
    <w:p w:rsidR="00246EF3" w:rsidRDefault="00A04515">
      <w:pPr>
        <w:ind w:left="1267" w:hanging="1267"/>
      </w:pPr>
      <w:r>
        <w:t>2.</w:t>
      </w:r>
      <w:r w:rsidR="00F56DEB">
        <w:t>8</w:t>
      </w:r>
      <w:r w:rsidR="00EE4E74" w:rsidRPr="00246EF3">
        <w:tab/>
        <w:t>It is important that there is corporate involvement in, and ownership of, the process for preparing the AG</w:t>
      </w:r>
      <w:r w:rsidR="008D3B7C" w:rsidRPr="00246EF3">
        <w:t>S</w:t>
      </w:r>
      <w:r w:rsidR="00246EF3" w:rsidRPr="00246EF3">
        <w:t xml:space="preserve">. </w:t>
      </w:r>
      <w:r w:rsidR="009E603B">
        <w:t xml:space="preserve">The Management Board has considered and approved the AGS. </w:t>
      </w:r>
      <w:r w:rsidR="00246EF3" w:rsidRPr="00246EF3">
        <w:t>A</w:t>
      </w:r>
      <w:r w:rsidR="00EE4E74" w:rsidRPr="00246EF3">
        <w:t xml:space="preserve">ssurances have been sought from all service heads, including those responsible for shared services. </w:t>
      </w:r>
    </w:p>
    <w:p w:rsidR="00D6506F" w:rsidRPr="00246EF3" w:rsidRDefault="00D6506F">
      <w:pPr>
        <w:ind w:left="1267" w:hanging="1267"/>
      </w:pPr>
    </w:p>
    <w:p w:rsidR="00D6506F" w:rsidRDefault="00A04515">
      <w:pPr>
        <w:ind w:left="1267" w:hanging="1267"/>
      </w:pPr>
      <w:r>
        <w:t>2.</w:t>
      </w:r>
      <w:r w:rsidR="00F56DEB">
        <w:t>9</w:t>
      </w:r>
      <w:r w:rsidR="00EE4E74" w:rsidRPr="00246EF3">
        <w:tab/>
        <w:t xml:space="preserve">Each head of service assurance statement poses a number of questions concerning governance. </w:t>
      </w:r>
      <w:r w:rsidR="00246EF3" w:rsidRPr="00246EF3">
        <w:t xml:space="preserve">The template is attached at Appendix </w:t>
      </w:r>
      <w:r w:rsidR="00C97787">
        <w:t>2</w:t>
      </w:r>
      <w:r w:rsidR="00246EF3" w:rsidRPr="00246EF3">
        <w:t>.</w:t>
      </w:r>
      <w:r w:rsidR="00475290">
        <w:t xml:space="preserve"> </w:t>
      </w:r>
      <w:r w:rsidR="00EE4E74" w:rsidRPr="00246EF3">
        <w:t>Heads of service were asked to indicate whether the matter has been fully addressed, partly addressed or not addressed at all.</w:t>
      </w:r>
      <w:r w:rsidR="009C1992">
        <w:t xml:space="preserve"> </w:t>
      </w:r>
    </w:p>
    <w:p w:rsidR="00D6506F" w:rsidRPr="009B754A" w:rsidRDefault="00D6506F">
      <w:pPr>
        <w:ind w:left="1267" w:hanging="1267"/>
      </w:pPr>
    </w:p>
    <w:p w:rsidR="00EE4E74" w:rsidRDefault="00A94C52">
      <w:pPr>
        <w:ind w:left="1267" w:hanging="1267"/>
      </w:pPr>
      <w:r w:rsidRPr="009B754A">
        <w:t>2.1</w:t>
      </w:r>
      <w:r w:rsidR="00F56DEB">
        <w:t>0</w:t>
      </w:r>
      <w:r w:rsidRPr="009B754A">
        <w:tab/>
      </w:r>
      <w:r w:rsidR="00EE4E74" w:rsidRPr="007463A3">
        <w:t>In summary, heads of service have indicated that every matter has been fully addressed</w:t>
      </w:r>
      <w:r w:rsidR="00D6506F" w:rsidRPr="007463A3">
        <w:t>.</w:t>
      </w:r>
      <w:r w:rsidR="00D6506F">
        <w:t xml:space="preserve"> </w:t>
      </w:r>
      <w:r w:rsidR="00EE4E74" w:rsidRPr="009B754A">
        <w:t xml:space="preserve"> </w:t>
      </w:r>
    </w:p>
    <w:p w:rsidR="00D6506F" w:rsidRPr="009B754A" w:rsidRDefault="00D6506F">
      <w:pPr>
        <w:ind w:left="1267" w:hanging="1267"/>
      </w:pPr>
    </w:p>
    <w:p w:rsidR="00F56DEB" w:rsidRPr="00D0191C" w:rsidRDefault="00F57BE7" w:rsidP="00F56DEB">
      <w:pPr>
        <w:ind w:left="1267" w:hanging="1267"/>
      </w:pPr>
      <w:r w:rsidRPr="00F57BE7">
        <w:t>2.</w:t>
      </w:r>
      <w:r w:rsidR="00F56DEB">
        <w:t>11</w:t>
      </w:r>
      <w:r w:rsidR="00C870E7" w:rsidRPr="00F57BE7">
        <w:tab/>
      </w:r>
      <w:r w:rsidR="00F56DEB" w:rsidRPr="009C2263">
        <w:t>The AGS also takes into account the Internal Audit Annual Report for 201</w:t>
      </w:r>
      <w:r w:rsidR="00EB367B">
        <w:t>5</w:t>
      </w:r>
      <w:r w:rsidR="00F56DEB" w:rsidRPr="009C2263">
        <w:t>/1</w:t>
      </w:r>
      <w:r w:rsidR="00EB367B">
        <w:t>6</w:t>
      </w:r>
      <w:r w:rsidR="00F56DEB" w:rsidRPr="009C2263">
        <w:t>.</w:t>
      </w:r>
      <w:r w:rsidR="00F56DEB" w:rsidRPr="00D0191C">
        <w:t xml:space="preserve"> </w:t>
      </w:r>
    </w:p>
    <w:p w:rsidR="00F56DEB" w:rsidRDefault="00F56DEB" w:rsidP="00C870E7">
      <w:pPr>
        <w:ind w:left="1267" w:hanging="1267"/>
      </w:pPr>
    </w:p>
    <w:p w:rsidR="00F56DEB" w:rsidRDefault="00F56DEB" w:rsidP="00F56DEB">
      <w:pPr>
        <w:ind w:left="1276" w:hanging="1276"/>
      </w:pPr>
      <w:r>
        <w:t>2.1</w:t>
      </w:r>
      <w:r w:rsidR="00E47CBF">
        <w:t>2</w:t>
      </w:r>
      <w:r>
        <w:t xml:space="preserve"> </w:t>
      </w:r>
      <w:r>
        <w:tab/>
      </w:r>
      <w:r w:rsidRPr="009C2263">
        <w:t>The Head of Assurance has provided an assurance opinion on corporate governance and risk management. This states the Council’s corporate governance and risk management framework substantially complies with the best practice guidance on corporate governance issued by CIPFA/SOLACE. This conclusion is based on the work undertaken by the Council and reported in its Annual Governance Statement for 201</w:t>
      </w:r>
      <w:r w:rsidR="00EB367B">
        <w:t>5</w:t>
      </w:r>
      <w:r w:rsidRPr="009C2263">
        <w:t>/1</w:t>
      </w:r>
      <w:r w:rsidR="00EB367B">
        <w:t>6.</w:t>
      </w:r>
      <w:r w:rsidRPr="00D0191C">
        <w:t xml:space="preserve"> </w:t>
      </w:r>
    </w:p>
    <w:p w:rsidR="00F56DEB" w:rsidRDefault="00F56DEB" w:rsidP="00F56DEB"/>
    <w:p w:rsidR="00F56DEB" w:rsidRPr="00D0191C" w:rsidRDefault="00F56DEB" w:rsidP="00F56DEB">
      <w:pPr>
        <w:ind w:left="1276" w:hanging="1276"/>
      </w:pPr>
      <w:r>
        <w:t>2.1</w:t>
      </w:r>
      <w:r w:rsidR="00E47CBF">
        <w:t>3</w:t>
      </w:r>
      <w:r>
        <w:tab/>
      </w:r>
      <w:r w:rsidRPr="00732AD7">
        <w:t>The Head of Assurance is able to report a substantial level of conformance with the Public Sector Internal Audit Standards and considers the internal audit service to be effective.  The exercise did not identify any significant deviations from Standards which warrant inclusion in the Council’s Annual Governance Statement.</w:t>
      </w:r>
      <w:r w:rsidRPr="00D0191C">
        <w:t xml:space="preserve">  </w:t>
      </w:r>
    </w:p>
    <w:p w:rsidR="00F56DEB" w:rsidRDefault="00F56DEB" w:rsidP="00F56DEB"/>
    <w:p w:rsidR="00F56DEB" w:rsidRPr="009922EC" w:rsidRDefault="00F56DEB" w:rsidP="00F56DEB">
      <w:pPr>
        <w:tabs>
          <w:tab w:val="clear" w:pos="1260"/>
          <w:tab w:val="clear" w:pos="1980"/>
          <w:tab w:val="left" w:pos="1276"/>
        </w:tabs>
        <w:ind w:left="1276" w:hanging="1276"/>
      </w:pPr>
      <w:r>
        <w:t>2.1</w:t>
      </w:r>
      <w:r w:rsidR="00E47CBF">
        <w:t>4</w:t>
      </w:r>
      <w:r>
        <w:tab/>
      </w:r>
      <w:r w:rsidRPr="009922EC">
        <w:t>The proposed AGS for 201</w:t>
      </w:r>
      <w:r w:rsidR="00EB367B">
        <w:t>5</w:t>
      </w:r>
      <w:r w:rsidRPr="009922EC">
        <w:t>/1</w:t>
      </w:r>
      <w:r w:rsidR="00EB367B">
        <w:t>6</w:t>
      </w:r>
      <w:r w:rsidRPr="009922EC">
        <w:t xml:space="preserve"> is attached at Appendix 1. It will need to include any significant events or developments relating to the governance system that occur between the year-end and the date on which the Statement of Accounts is signed. These will be agreed with the Committee at the time. </w:t>
      </w:r>
    </w:p>
    <w:p w:rsidR="00C870E7" w:rsidRPr="00246EF3" w:rsidRDefault="00C870E7" w:rsidP="00C870E7">
      <w:pPr>
        <w:ind w:left="1267" w:hanging="1267"/>
        <w:rPr>
          <w:color w:val="FF0000"/>
        </w:rPr>
      </w:pPr>
    </w:p>
    <w:p w:rsidR="00EE4E74" w:rsidRPr="00491A68" w:rsidRDefault="00EE4E74">
      <w:pPr>
        <w:keepNext/>
        <w:ind w:left="1267" w:hanging="1267"/>
        <w:outlineLvl w:val="0"/>
      </w:pPr>
      <w:r w:rsidRPr="00491A68">
        <w:t>3.</w:t>
      </w:r>
      <w:r w:rsidRPr="00491A68">
        <w:tab/>
      </w:r>
      <w:r w:rsidRPr="00491A68">
        <w:rPr>
          <w:b/>
        </w:rPr>
        <w:t>Options/Reasons for Recommendation</w:t>
      </w:r>
    </w:p>
    <w:p w:rsidR="00EE4E74" w:rsidRPr="00491A68" w:rsidRDefault="00EE4E74">
      <w:pPr>
        <w:keepNext/>
        <w:ind w:left="1267" w:hanging="1267"/>
      </w:pPr>
    </w:p>
    <w:p w:rsidR="00EE4E74" w:rsidRPr="00491A68" w:rsidRDefault="00EE4E74">
      <w:pPr>
        <w:ind w:left="1267" w:hanging="1267"/>
      </w:pPr>
      <w:r w:rsidRPr="00491A68">
        <w:t>3.1</w:t>
      </w:r>
      <w:r w:rsidRPr="00491A68">
        <w:tab/>
        <w:t xml:space="preserve">The recommendation enables the Council to comply with the Accounts and Audit </w:t>
      </w:r>
      <w:r w:rsidR="008D3B7C" w:rsidRPr="00491A68">
        <w:t>(</w:t>
      </w:r>
      <w:smartTag w:uri="urn:schemas-microsoft-com:office:smarttags" w:element="country-region">
        <w:smartTag w:uri="urn:schemas-microsoft-com:office:smarttags" w:element="place">
          <w:r w:rsidR="008D3B7C" w:rsidRPr="00491A68">
            <w:t>England</w:t>
          </w:r>
        </w:smartTag>
      </w:smartTag>
      <w:r w:rsidR="008D3B7C" w:rsidRPr="00491A68">
        <w:t xml:space="preserve">) </w:t>
      </w:r>
      <w:r w:rsidRPr="00491A68">
        <w:t>Regulations 20</w:t>
      </w:r>
      <w:r w:rsidR="008D3B7C" w:rsidRPr="00491A68">
        <w:t>11</w:t>
      </w:r>
      <w:r w:rsidRPr="00491A68">
        <w:t>.</w:t>
      </w:r>
      <w:r w:rsidRPr="00491A68">
        <w:fldChar w:fldCharType="begin"/>
      </w:r>
      <w:r w:rsidRPr="00491A68">
        <w:instrText xml:space="preserve">  </w:instrText>
      </w:r>
      <w:r w:rsidRPr="00491A68">
        <w:fldChar w:fldCharType="end"/>
      </w:r>
    </w:p>
    <w:p w:rsidR="00EE4E74" w:rsidRPr="00491A68" w:rsidRDefault="00EE4E74">
      <w:pPr>
        <w:ind w:left="1267" w:hanging="1267"/>
      </w:pPr>
    </w:p>
    <w:p w:rsidR="00EE4E74" w:rsidRPr="00491A68" w:rsidRDefault="00EE4E74">
      <w:pPr>
        <w:keepNext/>
        <w:ind w:left="1267" w:hanging="1267"/>
        <w:outlineLvl w:val="0"/>
      </w:pPr>
      <w:r w:rsidRPr="00491A68">
        <w:t>4.</w:t>
      </w:r>
      <w:r w:rsidRPr="00491A68">
        <w:tab/>
      </w:r>
      <w:r w:rsidRPr="00491A68">
        <w:rPr>
          <w:b/>
        </w:rPr>
        <w:t>Policy/Budget Reference and Implications</w:t>
      </w:r>
    </w:p>
    <w:p w:rsidR="00EE4E74" w:rsidRPr="00491A68" w:rsidRDefault="00EE4E74">
      <w:pPr>
        <w:keepNext/>
        <w:ind w:left="1267" w:hanging="1267"/>
      </w:pPr>
    </w:p>
    <w:p w:rsidR="00EE4E74" w:rsidRPr="00491A68" w:rsidRDefault="00EE4E74">
      <w:pPr>
        <w:ind w:left="1267" w:hanging="1267"/>
      </w:pPr>
      <w:r w:rsidRPr="00491A68">
        <w:t>4.1</w:t>
      </w:r>
      <w:r w:rsidRPr="00491A68">
        <w:tab/>
        <w:t>The recommendations in this report are within the Council’s agreed policy and budgets.  The Council’s commitment to good governance is included in its Local Code of Corporate Governance</w:t>
      </w:r>
      <w:r w:rsidR="004D08E0">
        <w:t xml:space="preserve"> which is included in the Constitution</w:t>
      </w:r>
      <w:r w:rsidRPr="00491A68">
        <w:t>.</w:t>
      </w:r>
      <w:r w:rsidRPr="00491A68">
        <w:fldChar w:fldCharType="begin"/>
      </w:r>
      <w:r w:rsidRPr="00491A68">
        <w:instrText xml:space="preserve"> ASK   \* MERGEFORMAT </w:instrText>
      </w:r>
      <w:r w:rsidRPr="00491A68">
        <w:fldChar w:fldCharType="end"/>
      </w:r>
      <w:r w:rsidRPr="00491A68">
        <w:fldChar w:fldCharType="begin"/>
      </w:r>
      <w:r w:rsidRPr="00491A68">
        <w:instrText xml:space="preserve"> ASK   \* MERGEFORMAT </w:instrText>
      </w:r>
      <w:r w:rsidRPr="00491A68">
        <w:fldChar w:fldCharType="end"/>
      </w:r>
      <w:r w:rsidRPr="00491A68">
        <w:t xml:space="preserve"> </w:t>
      </w:r>
      <w:r w:rsidRPr="00491A68">
        <w:fldChar w:fldCharType="begin"/>
      </w:r>
      <w:r w:rsidRPr="00491A68">
        <w:instrText xml:space="preserve">  </w:instrText>
      </w:r>
      <w:r w:rsidRPr="00491A68">
        <w:fldChar w:fldCharType="end"/>
      </w:r>
    </w:p>
    <w:p w:rsidR="00EE4E74" w:rsidRPr="00491A68" w:rsidRDefault="00EE4E74">
      <w:pPr>
        <w:ind w:left="1267" w:hanging="1267"/>
      </w:pPr>
    </w:p>
    <w:p w:rsidR="00EE4E74" w:rsidRPr="00051982" w:rsidRDefault="00EE4E74">
      <w:pPr>
        <w:keepNext/>
        <w:ind w:left="1267" w:hanging="1267"/>
        <w:outlineLvl w:val="0"/>
      </w:pPr>
      <w:r w:rsidRPr="00491A68">
        <w:t>5.</w:t>
      </w:r>
      <w:r w:rsidRPr="00491A68">
        <w:fldChar w:fldCharType="begin"/>
      </w:r>
      <w:r w:rsidRPr="00491A68">
        <w:instrText xml:space="preserve">  </w:instrText>
      </w:r>
      <w:r w:rsidRPr="00491A68">
        <w:fldChar w:fldCharType="end"/>
      </w:r>
      <w:r w:rsidRPr="00491A68">
        <w:tab/>
      </w:r>
      <w:r w:rsidRPr="00491A68">
        <w:rPr>
          <w:b/>
        </w:rPr>
        <w:t>Financial, Legal, Staffing, Environmental, Community Safety, Customer</w:t>
      </w:r>
      <w:r w:rsidRPr="00051982">
        <w:rPr>
          <w:b/>
        </w:rPr>
        <w:t xml:space="preserve"> Services Centre, Communications &amp; Website Implications</w:t>
      </w:r>
    </w:p>
    <w:p w:rsidR="00EE4E74" w:rsidRPr="00051982" w:rsidRDefault="00EE4E74">
      <w:pPr>
        <w:keepNext/>
        <w:ind w:left="1267" w:hanging="1267"/>
      </w:pPr>
    </w:p>
    <w:p w:rsidR="00EE4E74" w:rsidRPr="00051982" w:rsidRDefault="00EE4E74">
      <w:pPr>
        <w:ind w:left="1267" w:hanging="1267"/>
      </w:pPr>
      <w:r w:rsidRPr="00051982">
        <w:t>5.1</w:t>
      </w:r>
      <w:r w:rsidRPr="00051982">
        <w:fldChar w:fldCharType="begin"/>
      </w:r>
      <w:r w:rsidRPr="00051982">
        <w:instrText xml:space="preserve">  </w:instrText>
      </w:r>
      <w:r w:rsidRPr="00051982">
        <w:fldChar w:fldCharType="end"/>
      </w:r>
      <w:r w:rsidRPr="00051982">
        <w:tab/>
        <w:t>None specific.</w:t>
      </w:r>
    </w:p>
    <w:p w:rsidR="00EE4E74" w:rsidRPr="00051982" w:rsidRDefault="00EE4E74">
      <w:pPr>
        <w:ind w:left="1267" w:hanging="1267"/>
      </w:pPr>
    </w:p>
    <w:p w:rsidR="00EE4E74" w:rsidRPr="00051982" w:rsidRDefault="00EE4E74">
      <w:pPr>
        <w:keepNext/>
        <w:ind w:left="1267" w:hanging="1267"/>
        <w:outlineLvl w:val="0"/>
        <w:rPr>
          <w:b/>
        </w:rPr>
      </w:pPr>
      <w:r w:rsidRPr="00051982">
        <w:t>6.</w:t>
      </w:r>
      <w:r w:rsidRPr="00051982">
        <w:tab/>
      </w:r>
      <w:r w:rsidRPr="00051982">
        <w:rPr>
          <w:b/>
        </w:rPr>
        <w:t>Equal Opportunities Implications</w:t>
      </w:r>
    </w:p>
    <w:p w:rsidR="00EE4E74" w:rsidRPr="00051982" w:rsidRDefault="00EE4E74">
      <w:pPr>
        <w:keepNext/>
        <w:ind w:left="1267" w:hanging="1267"/>
        <w:rPr>
          <w:b/>
        </w:rPr>
      </w:pPr>
    </w:p>
    <w:p w:rsidR="00EE4E74" w:rsidRPr="00051982" w:rsidRDefault="00EE4E74">
      <w:pPr>
        <w:keepNext/>
        <w:keepLines/>
        <w:ind w:left="1259" w:hanging="1259"/>
        <w:rPr>
          <w:b/>
        </w:rPr>
      </w:pPr>
      <w:r w:rsidRPr="00051982">
        <w:t>6.1</w:t>
      </w:r>
      <w:r w:rsidRPr="00051982">
        <w:tab/>
      </w:r>
      <w:r w:rsidRPr="00051982">
        <w:rPr>
          <w:b/>
          <w:i/>
        </w:rPr>
        <w:t>Relevance Test</w:t>
      </w:r>
    </w:p>
    <w:p w:rsidR="00EE4E74" w:rsidRPr="00051982" w:rsidRDefault="00EE4E74">
      <w:pPr>
        <w:keepNext/>
        <w:keepLines/>
        <w:ind w:left="1259" w:hanging="1259"/>
        <w:rPr>
          <w:b/>
        </w:rPr>
      </w:pPr>
    </w:p>
    <w:tbl>
      <w:tblPr>
        <w:tblW w:w="808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984"/>
      </w:tblGrid>
      <w:tr w:rsidR="00EE4E74" w:rsidRPr="00051982">
        <w:tc>
          <w:tcPr>
            <w:tcW w:w="6096" w:type="dxa"/>
          </w:tcPr>
          <w:p w:rsidR="00EE4E74" w:rsidRPr="00051982" w:rsidRDefault="00EE4E74">
            <w:pPr>
              <w:keepNext/>
              <w:keepLines/>
            </w:pPr>
            <w:r w:rsidRPr="00051982">
              <w:t>Has a relevance test been completed for Equality Impact?</w:t>
            </w:r>
          </w:p>
          <w:p w:rsidR="00EE4E74" w:rsidRPr="00051982" w:rsidRDefault="00EE4E74">
            <w:pPr>
              <w:keepNext/>
              <w:keepLines/>
              <w:rPr>
                <w:i/>
              </w:rPr>
            </w:pPr>
            <w:r w:rsidRPr="00051982">
              <w:rPr>
                <w:i/>
              </w:rPr>
              <w:t xml:space="preserve">There is no proposed change to current policy / service. </w:t>
            </w:r>
          </w:p>
          <w:p w:rsidR="00EE4E74" w:rsidRPr="00051982" w:rsidRDefault="00EE4E74">
            <w:pPr>
              <w:keepNext/>
              <w:keepLines/>
            </w:pPr>
          </w:p>
        </w:tc>
        <w:tc>
          <w:tcPr>
            <w:tcW w:w="1984" w:type="dxa"/>
          </w:tcPr>
          <w:p w:rsidR="00EE4E74" w:rsidRPr="00051982" w:rsidRDefault="00EE4E74">
            <w:pPr>
              <w:keepNext/>
              <w:keepLines/>
              <w:jc w:val="center"/>
              <w:rPr>
                <w:i/>
              </w:rPr>
            </w:pPr>
            <w:r w:rsidRPr="00051982">
              <w:t>No</w:t>
            </w:r>
          </w:p>
        </w:tc>
      </w:tr>
    </w:tbl>
    <w:p w:rsidR="00EE4E74" w:rsidRPr="00051982" w:rsidRDefault="00EE4E74"/>
    <w:p w:rsidR="00EE4E74" w:rsidRPr="00051982" w:rsidRDefault="00EE4E74">
      <w:pPr>
        <w:keepNext/>
        <w:ind w:left="1267" w:hanging="1267"/>
        <w:outlineLvl w:val="0"/>
        <w:rPr>
          <w:b/>
        </w:rPr>
      </w:pPr>
      <w:r w:rsidRPr="00051982">
        <w:t>7.</w:t>
      </w:r>
      <w:r w:rsidRPr="00051982">
        <w:tab/>
      </w:r>
      <w:r w:rsidRPr="00051982">
        <w:rPr>
          <w:b/>
        </w:rPr>
        <w:t>Risk Management Implications</w:t>
      </w:r>
    </w:p>
    <w:p w:rsidR="00EE4E74" w:rsidRPr="00051982" w:rsidRDefault="00EE4E74">
      <w:pPr>
        <w:keepNext/>
        <w:ind w:left="360"/>
      </w:pPr>
    </w:p>
    <w:p w:rsidR="00EE4E74" w:rsidRPr="00051982" w:rsidRDefault="00EE4E74">
      <w:pPr>
        <w:ind w:left="1267" w:hanging="1267"/>
      </w:pPr>
      <w:r w:rsidRPr="00051982">
        <w:t>7.1</w:t>
      </w:r>
      <w:r w:rsidRPr="00051982">
        <w:tab/>
        <w:t>There are no risks associated with the decision Members are being asked to make. Internal controls are designed to minimise the risks to the Council.</w:t>
      </w:r>
    </w:p>
    <w:p w:rsidR="00EE4E74" w:rsidRPr="00051982" w:rsidRDefault="00EE4E74">
      <w:pPr>
        <w:pStyle w:val="BodyTextIndent"/>
      </w:pPr>
    </w:p>
    <w:p w:rsidR="00EE4E74" w:rsidRPr="00051982" w:rsidRDefault="00EE4E74">
      <w:pPr>
        <w:keepNext/>
        <w:ind w:left="1267" w:hanging="1267"/>
        <w:outlineLvl w:val="0"/>
      </w:pPr>
      <w:r w:rsidRPr="00051982">
        <w:t>8.</w:t>
      </w:r>
      <w:r w:rsidRPr="00051982">
        <w:fldChar w:fldCharType="begin"/>
      </w:r>
      <w:r w:rsidRPr="00051982">
        <w:instrText xml:space="preserve">  </w:instrText>
      </w:r>
      <w:r w:rsidRPr="00051982">
        <w:fldChar w:fldCharType="end"/>
      </w:r>
      <w:r w:rsidRPr="00051982">
        <w:tab/>
      </w:r>
      <w:r w:rsidRPr="00051982">
        <w:rPr>
          <w:b/>
        </w:rPr>
        <w:t>Recommendation</w:t>
      </w:r>
    </w:p>
    <w:p w:rsidR="00EE4E74" w:rsidRPr="00491A68" w:rsidRDefault="00EE4E74">
      <w:pPr>
        <w:keepNext/>
        <w:ind w:left="1267" w:hanging="1267"/>
      </w:pPr>
    </w:p>
    <w:p w:rsidR="00C821E6" w:rsidRPr="00036D6A" w:rsidRDefault="00EE4E74" w:rsidP="00C821E6">
      <w:pPr>
        <w:ind w:left="1276" w:hanging="1276"/>
      </w:pPr>
      <w:r w:rsidRPr="00491A68">
        <w:t>8.1</w:t>
      </w:r>
      <w:r w:rsidRPr="00491A68">
        <w:tab/>
      </w:r>
      <w:r w:rsidR="00C821E6" w:rsidRPr="00036D6A">
        <w:t>That, the Committee considers and approves the Annual Governance Statement attached as Appendix 1.</w:t>
      </w:r>
    </w:p>
    <w:p w:rsidR="00EE4E74" w:rsidRPr="00491A68" w:rsidRDefault="00EE4E74">
      <w:pPr>
        <w:ind w:left="1276" w:hanging="1276"/>
      </w:pPr>
    </w:p>
    <w:p w:rsidR="00EE4E74" w:rsidRPr="00491A68" w:rsidRDefault="00EE4E74">
      <w:pPr>
        <w:ind w:left="1276" w:hanging="1276"/>
      </w:pPr>
    </w:p>
    <w:p w:rsidR="00491A68" w:rsidRPr="00491A68" w:rsidRDefault="00491A68">
      <w:pPr>
        <w:ind w:left="1276" w:hanging="1276"/>
      </w:pPr>
      <w:r w:rsidRPr="00491A68">
        <w:t>8.2</w:t>
      </w:r>
      <w:r w:rsidRPr="00491A68">
        <w:tab/>
        <w:t xml:space="preserve">That, subject to any changes required prior to their signing, the AGS be included in the Statement of Accounts for </w:t>
      </w:r>
      <w:r w:rsidR="00CB68F1">
        <w:t>201</w:t>
      </w:r>
      <w:r w:rsidR="00EB367B">
        <w:t>5</w:t>
      </w:r>
      <w:r w:rsidR="00CB68F1">
        <w:t>/1</w:t>
      </w:r>
      <w:r w:rsidR="00EB367B">
        <w:t>6</w:t>
      </w:r>
      <w:r w:rsidRPr="00491A68">
        <w:t>.</w:t>
      </w:r>
    </w:p>
    <w:p w:rsidR="00EE4E74" w:rsidRPr="00491A68" w:rsidRDefault="00EE4E74"/>
    <w:p w:rsidR="00491A68" w:rsidRPr="00491A68" w:rsidRDefault="00491A68"/>
    <w:p w:rsidR="00EE4E74" w:rsidRPr="00051982" w:rsidRDefault="00EE4E74">
      <w:pPr>
        <w:ind w:left="5245" w:hanging="5245"/>
        <w:outlineLvl w:val="0"/>
      </w:pPr>
      <w:r w:rsidRPr="00051982">
        <w:tab/>
        <w:t>Report prepared by:</w:t>
      </w:r>
      <w:r w:rsidRPr="00051982">
        <w:tab/>
      </w:r>
    </w:p>
    <w:p w:rsidR="00EE4E74" w:rsidRPr="00051982" w:rsidRDefault="00EE4E74">
      <w:pPr>
        <w:ind w:left="5245" w:hanging="5245"/>
        <w:outlineLvl w:val="0"/>
      </w:pPr>
      <w:r w:rsidRPr="00051982">
        <w:tab/>
      </w:r>
      <w:r w:rsidR="00EB367B">
        <w:t>Bob Watson</w:t>
      </w:r>
      <w:r w:rsidR="00C821E6">
        <w:t xml:space="preserve"> – Head of Finance</w:t>
      </w:r>
      <w:r w:rsidRPr="00051982">
        <w:fldChar w:fldCharType="begin"/>
      </w:r>
      <w:r w:rsidRPr="00051982">
        <w:instrText xml:space="preserve">  </w:instrText>
      </w:r>
      <w:r w:rsidRPr="00051982">
        <w:fldChar w:fldCharType="end"/>
      </w:r>
    </w:p>
    <w:p w:rsidR="00EE4E74" w:rsidRPr="00051982" w:rsidRDefault="00EE4E74"/>
    <w:p w:rsidR="009510B0" w:rsidRPr="00051982" w:rsidRDefault="00EE4E74">
      <w:r w:rsidRPr="00051982">
        <w:tab/>
      </w:r>
    </w:p>
    <w:p w:rsidR="00EE4E74" w:rsidRPr="00051982" w:rsidRDefault="00EE4E74">
      <w:pPr>
        <w:keepNext/>
        <w:ind w:left="1259" w:hanging="1259"/>
        <w:outlineLvl w:val="0"/>
      </w:pPr>
      <w:r w:rsidRPr="00051982">
        <w:tab/>
      </w:r>
      <w:r w:rsidRPr="00051982">
        <w:rPr>
          <w:b/>
        </w:rPr>
        <w:t>APPENDICES / ATTACHMENTS</w:t>
      </w:r>
    </w:p>
    <w:p w:rsidR="00EE4E74" w:rsidRPr="00491A68" w:rsidRDefault="00EE4E74">
      <w:pPr>
        <w:keepNext/>
        <w:ind w:left="1259" w:hanging="1259"/>
      </w:pPr>
    </w:p>
    <w:p w:rsidR="00EE4E74" w:rsidRPr="00491A68" w:rsidRDefault="00EE4E74">
      <w:r w:rsidRPr="00491A68">
        <w:tab/>
        <w:t>1</w:t>
      </w:r>
      <w:r w:rsidRPr="00491A68">
        <w:fldChar w:fldCharType="begin"/>
      </w:r>
      <w:r w:rsidRPr="00491A68">
        <w:instrText xml:space="preserve">  </w:instrText>
      </w:r>
      <w:r w:rsidRPr="00491A68">
        <w:fldChar w:fldCharType="end"/>
      </w:r>
      <w:r w:rsidRPr="00491A68">
        <w:tab/>
        <w:t>Annual Governance Statement 20</w:t>
      </w:r>
      <w:r w:rsidR="00491A68" w:rsidRPr="00491A68">
        <w:t>1</w:t>
      </w:r>
      <w:r w:rsidR="00EB367B">
        <w:t>5</w:t>
      </w:r>
      <w:r w:rsidRPr="00491A68">
        <w:t>/</w:t>
      </w:r>
      <w:r w:rsidR="00EE3FC0" w:rsidRPr="00491A68">
        <w:t>1</w:t>
      </w:r>
      <w:r w:rsidR="00EB367B">
        <w:t>6</w:t>
      </w:r>
    </w:p>
    <w:p w:rsidR="00491A68" w:rsidRPr="00491A68" w:rsidRDefault="00EE4E74">
      <w:r w:rsidRPr="00491A68">
        <w:tab/>
      </w:r>
      <w:r w:rsidR="00C821E6">
        <w:t>2</w:t>
      </w:r>
      <w:r w:rsidRPr="00491A68">
        <w:tab/>
      </w:r>
      <w:r w:rsidR="00491A68" w:rsidRPr="00491A68">
        <w:t>Assurance Statement Template</w:t>
      </w:r>
    </w:p>
    <w:p w:rsidR="00EE4E74" w:rsidRPr="007C37AD" w:rsidRDefault="00C821E6" w:rsidP="00F56DEB">
      <w:r>
        <w:tab/>
      </w:r>
      <w:r w:rsidR="00EE4E74" w:rsidRPr="007C37AD">
        <w:t xml:space="preserve"> </w:t>
      </w:r>
    </w:p>
    <w:sectPr w:rsidR="00EE4E74" w:rsidRPr="007C37AD">
      <w:footerReference w:type="default" r:id="rId8"/>
      <w:pgSz w:w="11909" w:h="16834" w:code="9"/>
      <w:pgMar w:top="720" w:right="1411" w:bottom="403" w:left="1411"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A0A" w:rsidRDefault="00061A0A">
      <w:r>
        <w:separator/>
      </w:r>
    </w:p>
  </w:endnote>
  <w:endnote w:type="continuationSeparator" w:id="0">
    <w:p w:rsidR="00061A0A" w:rsidRDefault="0006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73E" w:rsidRDefault="00D7773E">
    <w:pPr>
      <w:pStyle w:val="Footer"/>
      <w:rPr>
        <w:snapToGrid w:val="0"/>
        <w:sz w:val="14"/>
        <w:szCs w:val="14"/>
      </w:rPr>
    </w:pPr>
    <w:r>
      <w:rPr>
        <w:snapToGrid w:val="0"/>
        <w:sz w:val="14"/>
        <w:szCs w:val="14"/>
      </w:rPr>
      <w:t>.</w:t>
    </w:r>
  </w:p>
  <w:p w:rsidR="00D7773E" w:rsidRDefault="00D7773E">
    <w:pPr>
      <w:pStyle w:val="Footer"/>
      <w:rPr>
        <w:snapToGrid w:val="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A0A" w:rsidRDefault="00061A0A">
      <w:r>
        <w:separator/>
      </w:r>
    </w:p>
  </w:footnote>
  <w:footnote w:type="continuationSeparator" w:id="0">
    <w:p w:rsidR="00061A0A" w:rsidRDefault="00061A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6A8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487E14"/>
    <w:multiLevelType w:val="hybridMultilevel"/>
    <w:tmpl w:val="5B10D8D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A9E0993"/>
    <w:multiLevelType w:val="hybridMultilevel"/>
    <w:tmpl w:val="E0E2F8BE"/>
    <w:lvl w:ilvl="0" w:tplc="81507B68">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nsid w:val="0D645E08"/>
    <w:multiLevelType w:val="hybridMultilevel"/>
    <w:tmpl w:val="5FF46B06"/>
    <w:lvl w:ilvl="0" w:tplc="08090001">
      <w:start w:val="1"/>
      <w:numFmt w:val="bullet"/>
      <w:lvlText w:val=""/>
      <w:lvlJc w:val="left"/>
      <w:pPr>
        <w:tabs>
          <w:tab w:val="num" w:pos="2700"/>
        </w:tabs>
        <w:ind w:left="2700" w:hanging="360"/>
      </w:pPr>
      <w:rPr>
        <w:rFonts w:ascii="Symbol" w:hAnsi="Symbol" w:hint="default"/>
      </w:rPr>
    </w:lvl>
    <w:lvl w:ilvl="1" w:tplc="08090003" w:tentative="1">
      <w:start w:val="1"/>
      <w:numFmt w:val="bullet"/>
      <w:lvlText w:val="o"/>
      <w:lvlJc w:val="left"/>
      <w:pPr>
        <w:tabs>
          <w:tab w:val="num" w:pos="3420"/>
        </w:tabs>
        <w:ind w:left="3420" w:hanging="360"/>
      </w:pPr>
      <w:rPr>
        <w:rFonts w:ascii="Courier New" w:hAnsi="Courier New" w:cs="Courier New" w:hint="default"/>
      </w:rPr>
    </w:lvl>
    <w:lvl w:ilvl="2" w:tplc="08090005" w:tentative="1">
      <w:start w:val="1"/>
      <w:numFmt w:val="bullet"/>
      <w:lvlText w:val=""/>
      <w:lvlJc w:val="left"/>
      <w:pPr>
        <w:tabs>
          <w:tab w:val="num" w:pos="4140"/>
        </w:tabs>
        <w:ind w:left="4140" w:hanging="360"/>
      </w:pPr>
      <w:rPr>
        <w:rFonts w:ascii="Wingdings" w:hAnsi="Wingdings" w:hint="default"/>
      </w:rPr>
    </w:lvl>
    <w:lvl w:ilvl="3" w:tplc="08090001" w:tentative="1">
      <w:start w:val="1"/>
      <w:numFmt w:val="bullet"/>
      <w:lvlText w:val=""/>
      <w:lvlJc w:val="left"/>
      <w:pPr>
        <w:tabs>
          <w:tab w:val="num" w:pos="4860"/>
        </w:tabs>
        <w:ind w:left="4860" w:hanging="360"/>
      </w:pPr>
      <w:rPr>
        <w:rFonts w:ascii="Symbol" w:hAnsi="Symbol" w:hint="default"/>
      </w:rPr>
    </w:lvl>
    <w:lvl w:ilvl="4" w:tplc="08090003" w:tentative="1">
      <w:start w:val="1"/>
      <w:numFmt w:val="bullet"/>
      <w:lvlText w:val="o"/>
      <w:lvlJc w:val="left"/>
      <w:pPr>
        <w:tabs>
          <w:tab w:val="num" w:pos="5580"/>
        </w:tabs>
        <w:ind w:left="5580" w:hanging="360"/>
      </w:pPr>
      <w:rPr>
        <w:rFonts w:ascii="Courier New" w:hAnsi="Courier New" w:cs="Courier New" w:hint="default"/>
      </w:rPr>
    </w:lvl>
    <w:lvl w:ilvl="5" w:tplc="08090005" w:tentative="1">
      <w:start w:val="1"/>
      <w:numFmt w:val="bullet"/>
      <w:lvlText w:val=""/>
      <w:lvlJc w:val="left"/>
      <w:pPr>
        <w:tabs>
          <w:tab w:val="num" w:pos="6300"/>
        </w:tabs>
        <w:ind w:left="6300" w:hanging="360"/>
      </w:pPr>
      <w:rPr>
        <w:rFonts w:ascii="Wingdings" w:hAnsi="Wingdings" w:hint="default"/>
      </w:rPr>
    </w:lvl>
    <w:lvl w:ilvl="6" w:tplc="08090001" w:tentative="1">
      <w:start w:val="1"/>
      <w:numFmt w:val="bullet"/>
      <w:lvlText w:val=""/>
      <w:lvlJc w:val="left"/>
      <w:pPr>
        <w:tabs>
          <w:tab w:val="num" w:pos="7020"/>
        </w:tabs>
        <w:ind w:left="7020" w:hanging="360"/>
      </w:pPr>
      <w:rPr>
        <w:rFonts w:ascii="Symbol" w:hAnsi="Symbol" w:hint="default"/>
      </w:rPr>
    </w:lvl>
    <w:lvl w:ilvl="7" w:tplc="08090003" w:tentative="1">
      <w:start w:val="1"/>
      <w:numFmt w:val="bullet"/>
      <w:lvlText w:val="o"/>
      <w:lvlJc w:val="left"/>
      <w:pPr>
        <w:tabs>
          <w:tab w:val="num" w:pos="7740"/>
        </w:tabs>
        <w:ind w:left="7740" w:hanging="360"/>
      </w:pPr>
      <w:rPr>
        <w:rFonts w:ascii="Courier New" w:hAnsi="Courier New" w:cs="Courier New" w:hint="default"/>
      </w:rPr>
    </w:lvl>
    <w:lvl w:ilvl="8" w:tplc="08090005" w:tentative="1">
      <w:start w:val="1"/>
      <w:numFmt w:val="bullet"/>
      <w:lvlText w:val=""/>
      <w:lvlJc w:val="left"/>
      <w:pPr>
        <w:tabs>
          <w:tab w:val="num" w:pos="8460"/>
        </w:tabs>
        <w:ind w:left="8460" w:hanging="360"/>
      </w:pPr>
      <w:rPr>
        <w:rFonts w:ascii="Wingdings" w:hAnsi="Wingdings" w:hint="default"/>
      </w:rPr>
    </w:lvl>
  </w:abstractNum>
  <w:abstractNum w:abstractNumId="4">
    <w:nsid w:val="0E6743E8"/>
    <w:multiLevelType w:val="multilevel"/>
    <w:tmpl w:val="9B9EA1E4"/>
    <w:lvl w:ilvl="0">
      <w:start w:val="2"/>
      <w:numFmt w:val="decimal"/>
      <w:lvlText w:val="%1"/>
      <w:lvlJc w:val="left"/>
      <w:pPr>
        <w:tabs>
          <w:tab w:val="num" w:pos="360"/>
        </w:tabs>
        <w:ind w:left="360" w:hanging="360"/>
      </w:pPr>
      <w:rPr>
        <w:rFonts w:hint="default"/>
      </w:rPr>
    </w:lvl>
    <w:lvl w:ilvl="1">
      <w:start w:val="2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A7A69"/>
    <w:multiLevelType w:val="hybridMultilevel"/>
    <w:tmpl w:val="5E787C7E"/>
    <w:lvl w:ilvl="0" w:tplc="F276421A">
      <w:start w:val="13"/>
      <w:numFmt w:val="decimal"/>
      <w:lvlText w:val="%1."/>
      <w:lvlJc w:val="left"/>
      <w:pPr>
        <w:tabs>
          <w:tab w:val="num" w:pos="1620"/>
        </w:tabs>
        <w:ind w:left="1620" w:hanging="12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7F83522"/>
    <w:multiLevelType w:val="hybridMultilevel"/>
    <w:tmpl w:val="2B18922A"/>
    <w:lvl w:ilvl="0" w:tplc="04090005">
      <w:start w:val="1"/>
      <w:numFmt w:val="bullet"/>
      <w:lvlText w:val=""/>
      <w:lvlJc w:val="left"/>
      <w:pPr>
        <w:tabs>
          <w:tab w:val="num" w:pos="1996"/>
        </w:tabs>
        <w:ind w:left="1996" w:hanging="360"/>
      </w:pPr>
      <w:rPr>
        <w:rFonts w:ascii="Wingdings" w:hAnsi="Wingdings" w:hint="default"/>
      </w:rPr>
    </w:lvl>
    <w:lvl w:ilvl="1" w:tplc="81507B68">
      <w:start w:val="1"/>
      <w:numFmt w:val="bullet"/>
      <w:lvlText w:val=""/>
      <w:lvlJc w:val="left"/>
      <w:pPr>
        <w:tabs>
          <w:tab w:val="num" w:pos="2716"/>
        </w:tabs>
        <w:ind w:left="2716" w:hanging="360"/>
      </w:pPr>
      <w:rPr>
        <w:rFonts w:ascii="Symbol" w:hAnsi="Symbol" w:hint="default"/>
      </w:rPr>
    </w:lvl>
    <w:lvl w:ilvl="2" w:tplc="08090005" w:tentative="1">
      <w:start w:val="1"/>
      <w:numFmt w:val="bullet"/>
      <w:lvlText w:val=""/>
      <w:lvlJc w:val="left"/>
      <w:pPr>
        <w:tabs>
          <w:tab w:val="num" w:pos="3436"/>
        </w:tabs>
        <w:ind w:left="3436" w:hanging="360"/>
      </w:pPr>
      <w:rPr>
        <w:rFonts w:ascii="Wingdings" w:hAnsi="Wingdings" w:hint="default"/>
      </w:rPr>
    </w:lvl>
    <w:lvl w:ilvl="3" w:tplc="08090001" w:tentative="1">
      <w:start w:val="1"/>
      <w:numFmt w:val="bullet"/>
      <w:lvlText w:val=""/>
      <w:lvlJc w:val="left"/>
      <w:pPr>
        <w:tabs>
          <w:tab w:val="num" w:pos="4156"/>
        </w:tabs>
        <w:ind w:left="4156" w:hanging="360"/>
      </w:pPr>
      <w:rPr>
        <w:rFonts w:ascii="Symbol" w:hAnsi="Symbol" w:hint="default"/>
      </w:rPr>
    </w:lvl>
    <w:lvl w:ilvl="4" w:tplc="08090003" w:tentative="1">
      <w:start w:val="1"/>
      <w:numFmt w:val="bullet"/>
      <w:lvlText w:val="o"/>
      <w:lvlJc w:val="left"/>
      <w:pPr>
        <w:tabs>
          <w:tab w:val="num" w:pos="4876"/>
        </w:tabs>
        <w:ind w:left="4876" w:hanging="360"/>
      </w:pPr>
      <w:rPr>
        <w:rFonts w:ascii="Courier New" w:hAnsi="Courier New" w:cs="Courier New" w:hint="default"/>
      </w:rPr>
    </w:lvl>
    <w:lvl w:ilvl="5" w:tplc="08090005" w:tentative="1">
      <w:start w:val="1"/>
      <w:numFmt w:val="bullet"/>
      <w:lvlText w:val=""/>
      <w:lvlJc w:val="left"/>
      <w:pPr>
        <w:tabs>
          <w:tab w:val="num" w:pos="5596"/>
        </w:tabs>
        <w:ind w:left="5596" w:hanging="360"/>
      </w:pPr>
      <w:rPr>
        <w:rFonts w:ascii="Wingdings" w:hAnsi="Wingdings" w:hint="default"/>
      </w:rPr>
    </w:lvl>
    <w:lvl w:ilvl="6" w:tplc="08090001" w:tentative="1">
      <w:start w:val="1"/>
      <w:numFmt w:val="bullet"/>
      <w:lvlText w:val=""/>
      <w:lvlJc w:val="left"/>
      <w:pPr>
        <w:tabs>
          <w:tab w:val="num" w:pos="6316"/>
        </w:tabs>
        <w:ind w:left="6316" w:hanging="360"/>
      </w:pPr>
      <w:rPr>
        <w:rFonts w:ascii="Symbol" w:hAnsi="Symbol" w:hint="default"/>
      </w:rPr>
    </w:lvl>
    <w:lvl w:ilvl="7" w:tplc="08090003" w:tentative="1">
      <w:start w:val="1"/>
      <w:numFmt w:val="bullet"/>
      <w:lvlText w:val="o"/>
      <w:lvlJc w:val="left"/>
      <w:pPr>
        <w:tabs>
          <w:tab w:val="num" w:pos="7036"/>
        </w:tabs>
        <w:ind w:left="7036" w:hanging="360"/>
      </w:pPr>
      <w:rPr>
        <w:rFonts w:ascii="Courier New" w:hAnsi="Courier New" w:cs="Courier New" w:hint="default"/>
      </w:rPr>
    </w:lvl>
    <w:lvl w:ilvl="8" w:tplc="08090005" w:tentative="1">
      <w:start w:val="1"/>
      <w:numFmt w:val="bullet"/>
      <w:lvlText w:val=""/>
      <w:lvlJc w:val="left"/>
      <w:pPr>
        <w:tabs>
          <w:tab w:val="num" w:pos="7756"/>
        </w:tabs>
        <w:ind w:left="7756" w:hanging="360"/>
      </w:pPr>
      <w:rPr>
        <w:rFonts w:ascii="Wingdings" w:hAnsi="Wingdings" w:hint="default"/>
      </w:rPr>
    </w:lvl>
  </w:abstractNum>
  <w:abstractNum w:abstractNumId="7">
    <w:nsid w:val="1D835EB0"/>
    <w:multiLevelType w:val="hybridMultilevel"/>
    <w:tmpl w:val="B4EAEC4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E4A2BEE"/>
    <w:multiLevelType w:val="multilevel"/>
    <w:tmpl w:val="66041A46"/>
    <w:lvl w:ilvl="0">
      <w:start w:val="1"/>
      <w:numFmt w:val="decimal"/>
      <w:pStyle w:val="NumSection"/>
      <w:lvlText w:val="%1"/>
      <w:lvlJc w:val="left"/>
      <w:pPr>
        <w:tabs>
          <w:tab w:val="num" w:pos="567"/>
        </w:tabs>
        <w:ind w:left="567" w:hanging="567"/>
      </w:pPr>
      <w:rPr>
        <w:rFonts w:hint="default"/>
      </w:rPr>
    </w:lvl>
    <w:lvl w:ilvl="1">
      <w:start w:val="1"/>
      <w:numFmt w:val="decimal"/>
      <w:pStyle w:val="NumText"/>
      <w:lvlText w:val="%1.%2"/>
      <w:lvlJc w:val="left"/>
      <w:pPr>
        <w:tabs>
          <w:tab w:val="num" w:pos="567"/>
        </w:tabs>
        <w:ind w:left="567" w:hanging="567"/>
      </w:pPr>
      <w:rPr>
        <w:rFonts w:hint="default"/>
        <w:b w:val="0"/>
        <w:color w:val="auto"/>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nsid w:val="1EDC1BE5"/>
    <w:multiLevelType w:val="hybridMultilevel"/>
    <w:tmpl w:val="B838B3EC"/>
    <w:lvl w:ilvl="0" w:tplc="E5F6C4AC">
      <w:start w:val="2"/>
      <w:numFmt w:val="decimal"/>
      <w:lvlText w:val="%1"/>
      <w:lvlJc w:val="left"/>
      <w:pPr>
        <w:tabs>
          <w:tab w:val="num" w:pos="1980"/>
        </w:tabs>
        <w:ind w:left="1980" w:hanging="720"/>
      </w:pPr>
      <w:rPr>
        <w:rFonts w:hint="default"/>
      </w:rPr>
    </w:lvl>
    <w:lvl w:ilvl="1" w:tplc="08090019" w:tentative="1">
      <w:start w:val="1"/>
      <w:numFmt w:val="lowerLetter"/>
      <w:lvlText w:val="%2."/>
      <w:lvlJc w:val="left"/>
      <w:pPr>
        <w:tabs>
          <w:tab w:val="num" w:pos="2340"/>
        </w:tabs>
        <w:ind w:left="2340" w:hanging="360"/>
      </w:pPr>
    </w:lvl>
    <w:lvl w:ilvl="2" w:tplc="0809001B" w:tentative="1">
      <w:start w:val="1"/>
      <w:numFmt w:val="lowerRoman"/>
      <w:lvlText w:val="%3."/>
      <w:lvlJc w:val="right"/>
      <w:pPr>
        <w:tabs>
          <w:tab w:val="num" w:pos="3060"/>
        </w:tabs>
        <w:ind w:left="3060" w:hanging="180"/>
      </w:pPr>
    </w:lvl>
    <w:lvl w:ilvl="3" w:tplc="0809000F" w:tentative="1">
      <w:start w:val="1"/>
      <w:numFmt w:val="decimal"/>
      <w:lvlText w:val="%4."/>
      <w:lvlJc w:val="left"/>
      <w:pPr>
        <w:tabs>
          <w:tab w:val="num" w:pos="3780"/>
        </w:tabs>
        <w:ind w:left="3780" w:hanging="360"/>
      </w:pPr>
    </w:lvl>
    <w:lvl w:ilvl="4" w:tplc="08090019" w:tentative="1">
      <w:start w:val="1"/>
      <w:numFmt w:val="lowerLetter"/>
      <w:lvlText w:val="%5."/>
      <w:lvlJc w:val="left"/>
      <w:pPr>
        <w:tabs>
          <w:tab w:val="num" w:pos="4500"/>
        </w:tabs>
        <w:ind w:left="4500" w:hanging="360"/>
      </w:pPr>
    </w:lvl>
    <w:lvl w:ilvl="5" w:tplc="0809001B" w:tentative="1">
      <w:start w:val="1"/>
      <w:numFmt w:val="lowerRoman"/>
      <w:lvlText w:val="%6."/>
      <w:lvlJc w:val="right"/>
      <w:pPr>
        <w:tabs>
          <w:tab w:val="num" w:pos="5220"/>
        </w:tabs>
        <w:ind w:left="5220" w:hanging="180"/>
      </w:pPr>
    </w:lvl>
    <w:lvl w:ilvl="6" w:tplc="0809000F" w:tentative="1">
      <w:start w:val="1"/>
      <w:numFmt w:val="decimal"/>
      <w:lvlText w:val="%7."/>
      <w:lvlJc w:val="left"/>
      <w:pPr>
        <w:tabs>
          <w:tab w:val="num" w:pos="5940"/>
        </w:tabs>
        <w:ind w:left="5940" w:hanging="360"/>
      </w:pPr>
    </w:lvl>
    <w:lvl w:ilvl="7" w:tplc="08090019" w:tentative="1">
      <w:start w:val="1"/>
      <w:numFmt w:val="lowerLetter"/>
      <w:lvlText w:val="%8."/>
      <w:lvlJc w:val="left"/>
      <w:pPr>
        <w:tabs>
          <w:tab w:val="num" w:pos="6660"/>
        </w:tabs>
        <w:ind w:left="6660" w:hanging="360"/>
      </w:pPr>
    </w:lvl>
    <w:lvl w:ilvl="8" w:tplc="0809001B" w:tentative="1">
      <w:start w:val="1"/>
      <w:numFmt w:val="lowerRoman"/>
      <w:lvlText w:val="%9."/>
      <w:lvlJc w:val="right"/>
      <w:pPr>
        <w:tabs>
          <w:tab w:val="num" w:pos="7380"/>
        </w:tabs>
        <w:ind w:left="7380" w:hanging="180"/>
      </w:pPr>
    </w:lvl>
  </w:abstractNum>
  <w:abstractNum w:abstractNumId="10">
    <w:nsid w:val="2F7B4FF8"/>
    <w:multiLevelType w:val="hybridMultilevel"/>
    <w:tmpl w:val="E700956A"/>
    <w:lvl w:ilvl="0" w:tplc="65D4F306">
      <w:start w:val="1"/>
      <w:numFmt w:val="decimal"/>
      <w:lvlText w:val="%1)"/>
      <w:lvlJc w:val="left"/>
      <w:pPr>
        <w:tabs>
          <w:tab w:val="num" w:pos="927"/>
        </w:tabs>
        <w:ind w:left="927" w:hanging="360"/>
      </w:pPr>
      <w:rPr>
        <w:rFonts w:hint="default"/>
        <w:b/>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1">
    <w:nsid w:val="38752FB8"/>
    <w:multiLevelType w:val="multilevel"/>
    <w:tmpl w:val="B5283062"/>
    <w:lvl w:ilvl="0">
      <w:start w:val="2"/>
      <w:numFmt w:val="decimal"/>
      <w:lvlText w:val="%1"/>
      <w:lvlJc w:val="left"/>
      <w:pPr>
        <w:tabs>
          <w:tab w:val="num" w:pos="360"/>
        </w:tabs>
        <w:ind w:left="360" w:hanging="360"/>
      </w:pPr>
      <w:rPr>
        <w:rFonts w:hint="default"/>
      </w:rPr>
    </w:lvl>
    <w:lvl w:ilvl="1">
      <w:start w:val="1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08740B6"/>
    <w:multiLevelType w:val="hybridMultilevel"/>
    <w:tmpl w:val="F4BA48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46CE1CD9"/>
    <w:multiLevelType w:val="hybridMultilevel"/>
    <w:tmpl w:val="AFF60116"/>
    <w:lvl w:ilvl="0" w:tplc="08090001">
      <w:start w:val="1"/>
      <w:numFmt w:val="bullet"/>
      <w:lvlText w:val=""/>
      <w:lvlJc w:val="left"/>
      <w:pPr>
        <w:tabs>
          <w:tab w:val="num" w:pos="1996"/>
        </w:tabs>
        <w:ind w:left="1996" w:hanging="360"/>
      </w:pPr>
      <w:rPr>
        <w:rFonts w:ascii="Symbol" w:hAnsi="Symbol" w:hint="default"/>
      </w:rPr>
    </w:lvl>
    <w:lvl w:ilvl="1" w:tplc="81507B68">
      <w:start w:val="1"/>
      <w:numFmt w:val="bullet"/>
      <w:lvlText w:val=""/>
      <w:lvlJc w:val="left"/>
      <w:pPr>
        <w:tabs>
          <w:tab w:val="num" w:pos="2716"/>
        </w:tabs>
        <w:ind w:left="2716" w:hanging="360"/>
      </w:pPr>
      <w:rPr>
        <w:rFonts w:ascii="Symbol" w:hAnsi="Symbol" w:hint="default"/>
      </w:rPr>
    </w:lvl>
    <w:lvl w:ilvl="2" w:tplc="08090005" w:tentative="1">
      <w:start w:val="1"/>
      <w:numFmt w:val="bullet"/>
      <w:lvlText w:val=""/>
      <w:lvlJc w:val="left"/>
      <w:pPr>
        <w:tabs>
          <w:tab w:val="num" w:pos="3436"/>
        </w:tabs>
        <w:ind w:left="3436" w:hanging="360"/>
      </w:pPr>
      <w:rPr>
        <w:rFonts w:ascii="Wingdings" w:hAnsi="Wingdings" w:hint="default"/>
      </w:rPr>
    </w:lvl>
    <w:lvl w:ilvl="3" w:tplc="08090001" w:tentative="1">
      <w:start w:val="1"/>
      <w:numFmt w:val="bullet"/>
      <w:lvlText w:val=""/>
      <w:lvlJc w:val="left"/>
      <w:pPr>
        <w:tabs>
          <w:tab w:val="num" w:pos="4156"/>
        </w:tabs>
        <w:ind w:left="4156" w:hanging="360"/>
      </w:pPr>
      <w:rPr>
        <w:rFonts w:ascii="Symbol" w:hAnsi="Symbol" w:hint="default"/>
      </w:rPr>
    </w:lvl>
    <w:lvl w:ilvl="4" w:tplc="08090003" w:tentative="1">
      <w:start w:val="1"/>
      <w:numFmt w:val="bullet"/>
      <w:lvlText w:val="o"/>
      <w:lvlJc w:val="left"/>
      <w:pPr>
        <w:tabs>
          <w:tab w:val="num" w:pos="4876"/>
        </w:tabs>
        <w:ind w:left="4876" w:hanging="360"/>
      </w:pPr>
      <w:rPr>
        <w:rFonts w:ascii="Courier New" w:hAnsi="Courier New" w:cs="Courier New" w:hint="default"/>
      </w:rPr>
    </w:lvl>
    <w:lvl w:ilvl="5" w:tplc="08090005" w:tentative="1">
      <w:start w:val="1"/>
      <w:numFmt w:val="bullet"/>
      <w:lvlText w:val=""/>
      <w:lvlJc w:val="left"/>
      <w:pPr>
        <w:tabs>
          <w:tab w:val="num" w:pos="5596"/>
        </w:tabs>
        <w:ind w:left="5596" w:hanging="360"/>
      </w:pPr>
      <w:rPr>
        <w:rFonts w:ascii="Wingdings" w:hAnsi="Wingdings" w:hint="default"/>
      </w:rPr>
    </w:lvl>
    <w:lvl w:ilvl="6" w:tplc="08090001" w:tentative="1">
      <w:start w:val="1"/>
      <w:numFmt w:val="bullet"/>
      <w:lvlText w:val=""/>
      <w:lvlJc w:val="left"/>
      <w:pPr>
        <w:tabs>
          <w:tab w:val="num" w:pos="6316"/>
        </w:tabs>
        <w:ind w:left="6316" w:hanging="360"/>
      </w:pPr>
      <w:rPr>
        <w:rFonts w:ascii="Symbol" w:hAnsi="Symbol" w:hint="default"/>
      </w:rPr>
    </w:lvl>
    <w:lvl w:ilvl="7" w:tplc="08090003" w:tentative="1">
      <w:start w:val="1"/>
      <w:numFmt w:val="bullet"/>
      <w:lvlText w:val="o"/>
      <w:lvlJc w:val="left"/>
      <w:pPr>
        <w:tabs>
          <w:tab w:val="num" w:pos="7036"/>
        </w:tabs>
        <w:ind w:left="7036" w:hanging="360"/>
      </w:pPr>
      <w:rPr>
        <w:rFonts w:ascii="Courier New" w:hAnsi="Courier New" w:cs="Courier New" w:hint="default"/>
      </w:rPr>
    </w:lvl>
    <w:lvl w:ilvl="8" w:tplc="08090005" w:tentative="1">
      <w:start w:val="1"/>
      <w:numFmt w:val="bullet"/>
      <w:lvlText w:val=""/>
      <w:lvlJc w:val="left"/>
      <w:pPr>
        <w:tabs>
          <w:tab w:val="num" w:pos="7756"/>
        </w:tabs>
        <w:ind w:left="7756" w:hanging="360"/>
      </w:pPr>
      <w:rPr>
        <w:rFonts w:ascii="Wingdings" w:hAnsi="Wingdings" w:hint="default"/>
      </w:rPr>
    </w:lvl>
  </w:abstractNum>
  <w:abstractNum w:abstractNumId="14">
    <w:nsid w:val="4D976ECA"/>
    <w:multiLevelType w:val="hybridMultilevel"/>
    <w:tmpl w:val="2820A016"/>
    <w:lvl w:ilvl="0" w:tplc="04090005">
      <w:start w:val="1"/>
      <w:numFmt w:val="bullet"/>
      <w:lvlText w:val=""/>
      <w:lvlJc w:val="left"/>
      <w:pPr>
        <w:tabs>
          <w:tab w:val="num" w:pos="1996"/>
        </w:tabs>
        <w:ind w:left="1996" w:hanging="360"/>
      </w:pPr>
      <w:rPr>
        <w:rFonts w:ascii="Wingdings" w:hAnsi="Wingdings" w:hint="default"/>
      </w:rPr>
    </w:lvl>
    <w:lvl w:ilvl="1" w:tplc="81507B68">
      <w:start w:val="1"/>
      <w:numFmt w:val="bullet"/>
      <w:lvlText w:val=""/>
      <w:lvlJc w:val="left"/>
      <w:pPr>
        <w:tabs>
          <w:tab w:val="num" w:pos="2716"/>
        </w:tabs>
        <w:ind w:left="2716" w:hanging="360"/>
      </w:pPr>
      <w:rPr>
        <w:rFonts w:ascii="Symbol" w:hAnsi="Symbol" w:hint="default"/>
      </w:rPr>
    </w:lvl>
    <w:lvl w:ilvl="2" w:tplc="08090005" w:tentative="1">
      <w:start w:val="1"/>
      <w:numFmt w:val="bullet"/>
      <w:lvlText w:val=""/>
      <w:lvlJc w:val="left"/>
      <w:pPr>
        <w:tabs>
          <w:tab w:val="num" w:pos="3436"/>
        </w:tabs>
        <w:ind w:left="3436" w:hanging="360"/>
      </w:pPr>
      <w:rPr>
        <w:rFonts w:ascii="Wingdings" w:hAnsi="Wingdings" w:hint="default"/>
      </w:rPr>
    </w:lvl>
    <w:lvl w:ilvl="3" w:tplc="08090001" w:tentative="1">
      <w:start w:val="1"/>
      <w:numFmt w:val="bullet"/>
      <w:lvlText w:val=""/>
      <w:lvlJc w:val="left"/>
      <w:pPr>
        <w:tabs>
          <w:tab w:val="num" w:pos="4156"/>
        </w:tabs>
        <w:ind w:left="4156" w:hanging="360"/>
      </w:pPr>
      <w:rPr>
        <w:rFonts w:ascii="Symbol" w:hAnsi="Symbol" w:hint="default"/>
      </w:rPr>
    </w:lvl>
    <w:lvl w:ilvl="4" w:tplc="08090003" w:tentative="1">
      <w:start w:val="1"/>
      <w:numFmt w:val="bullet"/>
      <w:lvlText w:val="o"/>
      <w:lvlJc w:val="left"/>
      <w:pPr>
        <w:tabs>
          <w:tab w:val="num" w:pos="4876"/>
        </w:tabs>
        <w:ind w:left="4876" w:hanging="360"/>
      </w:pPr>
      <w:rPr>
        <w:rFonts w:ascii="Courier New" w:hAnsi="Courier New" w:cs="Courier New" w:hint="default"/>
      </w:rPr>
    </w:lvl>
    <w:lvl w:ilvl="5" w:tplc="08090005" w:tentative="1">
      <w:start w:val="1"/>
      <w:numFmt w:val="bullet"/>
      <w:lvlText w:val=""/>
      <w:lvlJc w:val="left"/>
      <w:pPr>
        <w:tabs>
          <w:tab w:val="num" w:pos="5596"/>
        </w:tabs>
        <w:ind w:left="5596" w:hanging="360"/>
      </w:pPr>
      <w:rPr>
        <w:rFonts w:ascii="Wingdings" w:hAnsi="Wingdings" w:hint="default"/>
      </w:rPr>
    </w:lvl>
    <w:lvl w:ilvl="6" w:tplc="08090001" w:tentative="1">
      <w:start w:val="1"/>
      <w:numFmt w:val="bullet"/>
      <w:lvlText w:val=""/>
      <w:lvlJc w:val="left"/>
      <w:pPr>
        <w:tabs>
          <w:tab w:val="num" w:pos="6316"/>
        </w:tabs>
        <w:ind w:left="6316" w:hanging="360"/>
      </w:pPr>
      <w:rPr>
        <w:rFonts w:ascii="Symbol" w:hAnsi="Symbol" w:hint="default"/>
      </w:rPr>
    </w:lvl>
    <w:lvl w:ilvl="7" w:tplc="08090003" w:tentative="1">
      <w:start w:val="1"/>
      <w:numFmt w:val="bullet"/>
      <w:lvlText w:val="o"/>
      <w:lvlJc w:val="left"/>
      <w:pPr>
        <w:tabs>
          <w:tab w:val="num" w:pos="7036"/>
        </w:tabs>
        <w:ind w:left="7036" w:hanging="360"/>
      </w:pPr>
      <w:rPr>
        <w:rFonts w:ascii="Courier New" w:hAnsi="Courier New" w:cs="Courier New" w:hint="default"/>
      </w:rPr>
    </w:lvl>
    <w:lvl w:ilvl="8" w:tplc="08090005" w:tentative="1">
      <w:start w:val="1"/>
      <w:numFmt w:val="bullet"/>
      <w:lvlText w:val=""/>
      <w:lvlJc w:val="left"/>
      <w:pPr>
        <w:tabs>
          <w:tab w:val="num" w:pos="7756"/>
        </w:tabs>
        <w:ind w:left="7756" w:hanging="360"/>
      </w:pPr>
      <w:rPr>
        <w:rFonts w:ascii="Wingdings" w:hAnsi="Wingdings" w:hint="default"/>
      </w:rPr>
    </w:lvl>
  </w:abstractNum>
  <w:abstractNum w:abstractNumId="15">
    <w:nsid w:val="4FB05420"/>
    <w:multiLevelType w:val="multilevel"/>
    <w:tmpl w:val="44F26480"/>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03C5625"/>
    <w:multiLevelType w:val="hybridMultilevel"/>
    <w:tmpl w:val="1EF292D4"/>
    <w:lvl w:ilvl="0" w:tplc="81507B68">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7">
    <w:nsid w:val="555E3A75"/>
    <w:multiLevelType w:val="hybridMultilevel"/>
    <w:tmpl w:val="D40E97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7674013"/>
    <w:multiLevelType w:val="hybridMultilevel"/>
    <w:tmpl w:val="E4BEFD2E"/>
    <w:lvl w:ilvl="0" w:tplc="7BAA89BE">
      <w:start w:val="5"/>
      <w:numFmt w:val="decimal"/>
      <w:lvlText w:val="%1."/>
      <w:lvlJc w:val="left"/>
      <w:pPr>
        <w:tabs>
          <w:tab w:val="num" w:pos="930"/>
        </w:tabs>
        <w:ind w:left="930" w:hanging="57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589B6BEA"/>
    <w:multiLevelType w:val="multilevel"/>
    <w:tmpl w:val="AFF60116"/>
    <w:lvl w:ilvl="0">
      <w:start w:val="1"/>
      <w:numFmt w:val="bullet"/>
      <w:lvlText w:val=""/>
      <w:lvlJc w:val="left"/>
      <w:pPr>
        <w:tabs>
          <w:tab w:val="num" w:pos="1996"/>
        </w:tabs>
        <w:ind w:left="1996" w:hanging="360"/>
      </w:pPr>
      <w:rPr>
        <w:rFonts w:ascii="Symbol" w:hAnsi="Symbol" w:hint="default"/>
      </w:rPr>
    </w:lvl>
    <w:lvl w:ilvl="1">
      <w:start w:val="1"/>
      <w:numFmt w:val="bullet"/>
      <w:lvlText w:val=""/>
      <w:lvlJc w:val="left"/>
      <w:pPr>
        <w:tabs>
          <w:tab w:val="num" w:pos="2716"/>
        </w:tabs>
        <w:ind w:left="2716" w:hanging="360"/>
      </w:pPr>
      <w:rPr>
        <w:rFonts w:ascii="Symbol" w:hAnsi="Symbol" w:hint="default"/>
      </w:rPr>
    </w:lvl>
    <w:lvl w:ilvl="2">
      <w:start w:val="1"/>
      <w:numFmt w:val="bullet"/>
      <w:lvlText w:val=""/>
      <w:lvlJc w:val="left"/>
      <w:pPr>
        <w:tabs>
          <w:tab w:val="num" w:pos="3436"/>
        </w:tabs>
        <w:ind w:left="3436" w:hanging="360"/>
      </w:pPr>
      <w:rPr>
        <w:rFonts w:ascii="Wingdings" w:hAnsi="Wingdings" w:hint="default"/>
      </w:rPr>
    </w:lvl>
    <w:lvl w:ilvl="3">
      <w:start w:val="1"/>
      <w:numFmt w:val="bullet"/>
      <w:lvlText w:val=""/>
      <w:lvlJc w:val="left"/>
      <w:pPr>
        <w:tabs>
          <w:tab w:val="num" w:pos="4156"/>
        </w:tabs>
        <w:ind w:left="4156" w:hanging="360"/>
      </w:pPr>
      <w:rPr>
        <w:rFonts w:ascii="Symbol" w:hAnsi="Symbol" w:hint="default"/>
      </w:rPr>
    </w:lvl>
    <w:lvl w:ilvl="4">
      <w:start w:val="1"/>
      <w:numFmt w:val="bullet"/>
      <w:lvlText w:val="o"/>
      <w:lvlJc w:val="left"/>
      <w:pPr>
        <w:tabs>
          <w:tab w:val="num" w:pos="4876"/>
        </w:tabs>
        <w:ind w:left="4876" w:hanging="360"/>
      </w:pPr>
      <w:rPr>
        <w:rFonts w:ascii="Courier New" w:hAnsi="Courier New" w:cs="Courier New" w:hint="default"/>
      </w:rPr>
    </w:lvl>
    <w:lvl w:ilvl="5">
      <w:start w:val="1"/>
      <w:numFmt w:val="bullet"/>
      <w:lvlText w:val=""/>
      <w:lvlJc w:val="left"/>
      <w:pPr>
        <w:tabs>
          <w:tab w:val="num" w:pos="5596"/>
        </w:tabs>
        <w:ind w:left="5596" w:hanging="360"/>
      </w:pPr>
      <w:rPr>
        <w:rFonts w:ascii="Wingdings" w:hAnsi="Wingdings" w:hint="default"/>
      </w:rPr>
    </w:lvl>
    <w:lvl w:ilvl="6">
      <w:start w:val="1"/>
      <w:numFmt w:val="bullet"/>
      <w:lvlText w:val=""/>
      <w:lvlJc w:val="left"/>
      <w:pPr>
        <w:tabs>
          <w:tab w:val="num" w:pos="6316"/>
        </w:tabs>
        <w:ind w:left="6316" w:hanging="360"/>
      </w:pPr>
      <w:rPr>
        <w:rFonts w:ascii="Symbol" w:hAnsi="Symbol" w:hint="default"/>
      </w:rPr>
    </w:lvl>
    <w:lvl w:ilvl="7">
      <w:start w:val="1"/>
      <w:numFmt w:val="bullet"/>
      <w:lvlText w:val="o"/>
      <w:lvlJc w:val="left"/>
      <w:pPr>
        <w:tabs>
          <w:tab w:val="num" w:pos="7036"/>
        </w:tabs>
        <w:ind w:left="7036" w:hanging="360"/>
      </w:pPr>
      <w:rPr>
        <w:rFonts w:ascii="Courier New" w:hAnsi="Courier New" w:cs="Courier New" w:hint="default"/>
      </w:rPr>
    </w:lvl>
    <w:lvl w:ilvl="8">
      <w:start w:val="1"/>
      <w:numFmt w:val="bullet"/>
      <w:lvlText w:val=""/>
      <w:lvlJc w:val="left"/>
      <w:pPr>
        <w:tabs>
          <w:tab w:val="num" w:pos="7756"/>
        </w:tabs>
        <w:ind w:left="7756" w:hanging="360"/>
      </w:pPr>
      <w:rPr>
        <w:rFonts w:ascii="Wingdings" w:hAnsi="Wingdings" w:hint="default"/>
      </w:rPr>
    </w:lvl>
  </w:abstractNum>
  <w:abstractNum w:abstractNumId="20">
    <w:nsid w:val="592E7C53"/>
    <w:multiLevelType w:val="multilevel"/>
    <w:tmpl w:val="96CA2A22"/>
    <w:lvl w:ilvl="0">
      <w:start w:val="2"/>
      <w:numFmt w:val="decimal"/>
      <w:lvlText w:val="%1"/>
      <w:lvlJc w:val="left"/>
      <w:pPr>
        <w:tabs>
          <w:tab w:val="num" w:pos="360"/>
        </w:tabs>
        <w:ind w:left="360" w:hanging="360"/>
      </w:pPr>
      <w:rPr>
        <w:rFonts w:hint="default"/>
      </w:rPr>
    </w:lvl>
    <w:lvl w:ilvl="1">
      <w:start w:val="2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00567BC"/>
    <w:multiLevelType w:val="hybridMultilevel"/>
    <w:tmpl w:val="C0EC8DD4"/>
    <w:lvl w:ilvl="0" w:tplc="81507B68">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2">
    <w:nsid w:val="63CB3DB0"/>
    <w:multiLevelType w:val="hybridMultilevel"/>
    <w:tmpl w:val="33164F2A"/>
    <w:lvl w:ilvl="0" w:tplc="708AC962">
      <w:start w:val="1"/>
      <w:numFmt w:val="lowerLetter"/>
      <w:lvlText w:val="%1)"/>
      <w:lvlJc w:val="left"/>
      <w:pPr>
        <w:tabs>
          <w:tab w:val="num" w:pos="1696"/>
        </w:tabs>
        <w:ind w:left="1696" w:hanging="420"/>
      </w:pPr>
      <w:rPr>
        <w:rFonts w:hint="default"/>
      </w:r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23">
    <w:nsid w:val="67823915"/>
    <w:multiLevelType w:val="hybridMultilevel"/>
    <w:tmpl w:val="1CE6FA96"/>
    <w:lvl w:ilvl="0" w:tplc="81507B68">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nsid w:val="69687B1B"/>
    <w:multiLevelType w:val="hybridMultilevel"/>
    <w:tmpl w:val="6DF0F268"/>
    <w:lvl w:ilvl="0" w:tplc="FFFFFFFF">
      <w:start w:val="1"/>
      <w:numFmt w:val="bullet"/>
      <w:lvlText w:val=""/>
      <w:lvlJc w:val="left"/>
      <w:pPr>
        <w:tabs>
          <w:tab w:val="num" w:pos="1422"/>
        </w:tabs>
        <w:ind w:left="1422" w:hanging="360"/>
      </w:pPr>
      <w:rPr>
        <w:rFonts w:ascii="Symbol" w:hAnsi="Symbol" w:hint="default"/>
      </w:rPr>
    </w:lvl>
    <w:lvl w:ilvl="1" w:tplc="FFFFFFFF" w:tentative="1">
      <w:start w:val="1"/>
      <w:numFmt w:val="bullet"/>
      <w:lvlText w:val="o"/>
      <w:lvlJc w:val="left"/>
      <w:pPr>
        <w:tabs>
          <w:tab w:val="num" w:pos="2142"/>
        </w:tabs>
        <w:ind w:left="2142" w:hanging="360"/>
      </w:pPr>
      <w:rPr>
        <w:rFonts w:ascii="Courier New" w:hAnsi="Courier New" w:cs="Courier New" w:hint="default"/>
      </w:rPr>
    </w:lvl>
    <w:lvl w:ilvl="2" w:tplc="FFFFFFFF" w:tentative="1">
      <w:start w:val="1"/>
      <w:numFmt w:val="bullet"/>
      <w:lvlText w:val=""/>
      <w:lvlJc w:val="left"/>
      <w:pPr>
        <w:tabs>
          <w:tab w:val="num" w:pos="2862"/>
        </w:tabs>
        <w:ind w:left="2862" w:hanging="360"/>
      </w:pPr>
      <w:rPr>
        <w:rFonts w:ascii="Wingdings" w:hAnsi="Wingdings" w:hint="default"/>
      </w:rPr>
    </w:lvl>
    <w:lvl w:ilvl="3" w:tplc="FFFFFFFF" w:tentative="1">
      <w:start w:val="1"/>
      <w:numFmt w:val="bullet"/>
      <w:lvlText w:val=""/>
      <w:lvlJc w:val="left"/>
      <w:pPr>
        <w:tabs>
          <w:tab w:val="num" w:pos="3582"/>
        </w:tabs>
        <w:ind w:left="3582" w:hanging="360"/>
      </w:pPr>
      <w:rPr>
        <w:rFonts w:ascii="Symbol" w:hAnsi="Symbol" w:hint="default"/>
      </w:rPr>
    </w:lvl>
    <w:lvl w:ilvl="4" w:tplc="FFFFFFFF" w:tentative="1">
      <w:start w:val="1"/>
      <w:numFmt w:val="bullet"/>
      <w:lvlText w:val="o"/>
      <w:lvlJc w:val="left"/>
      <w:pPr>
        <w:tabs>
          <w:tab w:val="num" w:pos="4302"/>
        </w:tabs>
        <w:ind w:left="4302" w:hanging="360"/>
      </w:pPr>
      <w:rPr>
        <w:rFonts w:ascii="Courier New" w:hAnsi="Courier New" w:cs="Courier New" w:hint="default"/>
      </w:rPr>
    </w:lvl>
    <w:lvl w:ilvl="5" w:tplc="FFFFFFFF" w:tentative="1">
      <w:start w:val="1"/>
      <w:numFmt w:val="bullet"/>
      <w:lvlText w:val=""/>
      <w:lvlJc w:val="left"/>
      <w:pPr>
        <w:tabs>
          <w:tab w:val="num" w:pos="5022"/>
        </w:tabs>
        <w:ind w:left="5022" w:hanging="360"/>
      </w:pPr>
      <w:rPr>
        <w:rFonts w:ascii="Wingdings" w:hAnsi="Wingdings" w:hint="default"/>
      </w:rPr>
    </w:lvl>
    <w:lvl w:ilvl="6" w:tplc="FFFFFFFF" w:tentative="1">
      <w:start w:val="1"/>
      <w:numFmt w:val="bullet"/>
      <w:lvlText w:val=""/>
      <w:lvlJc w:val="left"/>
      <w:pPr>
        <w:tabs>
          <w:tab w:val="num" w:pos="5742"/>
        </w:tabs>
        <w:ind w:left="5742" w:hanging="360"/>
      </w:pPr>
      <w:rPr>
        <w:rFonts w:ascii="Symbol" w:hAnsi="Symbol" w:hint="default"/>
      </w:rPr>
    </w:lvl>
    <w:lvl w:ilvl="7" w:tplc="FFFFFFFF" w:tentative="1">
      <w:start w:val="1"/>
      <w:numFmt w:val="bullet"/>
      <w:lvlText w:val="o"/>
      <w:lvlJc w:val="left"/>
      <w:pPr>
        <w:tabs>
          <w:tab w:val="num" w:pos="6462"/>
        </w:tabs>
        <w:ind w:left="6462" w:hanging="360"/>
      </w:pPr>
      <w:rPr>
        <w:rFonts w:ascii="Courier New" w:hAnsi="Courier New" w:cs="Courier New" w:hint="default"/>
      </w:rPr>
    </w:lvl>
    <w:lvl w:ilvl="8" w:tplc="FFFFFFFF" w:tentative="1">
      <w:start w:val="1"/>
      <w:numFmt w:val="bullet"/>
      <w:lvlText w:val=""/>
      <w:lvlJc w:val="left"/>
      <w:pPr>
        <w:tabs>
          <w:tab w:val="num" w:pos="7182"/>
        </w:tabs>
        <w:ind w:left="7182" w:hanging="360"/>
      </w:pPr>
      <w:rPr>
        <w:rFonts w:ascii="Wingdings" w:hAnsi="Wingdings" w:hint="default"/>
      </w:rPr>
    </w:lvl>
  </w:abstractNum>
  <w:abstractNum w:abstractNumId="25">
    <w:nsid w:val="754D56BB"/>
    <w:multiLevelType w:val="hybridMultilevel"/>
    <w:tmpl w:val="E240466E"/>
    <w:lvl w:ilvl="0" w:tplc="08090001">
      <w:start w:val="1"/>
      <w:numFmt w:val="bullet"/>
      <w:lvlText w:val=""/>
      <w:lvlJc w:val="left"/>
      <w:pPr>
        <w:tabs>
          <w:tab w:val="num" w:pos="720"/>
        </w:tabs>
        <w:ind w:left="720" w:hanging="360"/>
      </w:pPr>
      <w:rPr>
        <w:rFonts w:ascii="Symbol" w:hAnsi="Symbol" w:hint="default"/>
      </w:rPr>
    </w:lvl>
    <w:lvl w:ilvl="1" w:tplc="6E985B84">
      <w:start w:val="2"/>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7A1E2819"/>
    <w:multiLevelType w:val="hybridMultilevel"/>
    <w:tmpl w:val="260C2010"/>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13"/>
  </w:num>
  <w:num w:numId="3">
    <w:abstractNumId w:val="3"/>
  </w:num>
  <w:num w:numId="4">
    <w:abstractNumId w:val="17"/>
  </w:num>
  <w:num w:numId="5">
    <w:abstractNumId w:val="5"/>
  </w:num>
  <w:num w:numId="6">
    <w:abstractNumId w:val="18"/>
  </w:num>
  <w:num w:numId="7">
    <w:abstractNumId w:val="9"/>
  </w:num>
  <w:num w:numId="8">
    <w:abstractNumId w:val="25"/>
  </w:num>
  <w:num w:numId="9">
    <w:abstractNumId w:val="24"/>
  </w:num>
  <w:num w:numId="10">
    <w:abstractNumId w:val="26"/>
  </w:num>
  <w:num w:numId="11">
    <w:abstractNumId w:val="22"/>
  </w:num>
  <w:num w:numId="12">
    <w:abstractNumId w:val="8"/>
  </w:num>
  <w:num w:numId="13">
    <w:abstractNumId w:val="8"/>
  </w:num>
  <w:num w:numId="14">
    <w:abstractNumId w:val="8"/>
  </w:num>
  <w:num w:numId="15">
    <w:abstractNumId w:val="8"/>
  </w:num>
  <w:num w:numId="16">
    <w:abstractNumId w:val="8"/>
  </w:num>
  <w:num w:numId="17">
    <w:abstractNumId w:val="23"/>
  </w:num>
  <w:num w:numId="18">
    <w:abstractNumId w:val="7"/>
  </w:num>
  <w:num w:numId="19">
    <w:abstractNumId w:val="2"/>
  </w:num>
  <w:num w:numId="20">
    <w:abstractNumId w:val="12"/>
  </w:num>
  <w:num w:numId="21">
    <w:abstractNumId w:val="11"/>
  </w:num>
  <w:num w:numId="22">
    <w:abstractNumId w:val="21"/>
  </w:num>
  <w:num w:numId="23">
    <w:abstractNumId w:val="10"/>
  </w:num>
  <w:num w:numId="24">
    <w:abstractNumId w:val="16"/>
  </w:num>
  <w:num w:numId="25">
    <w:abstractNumId w:val="20"/>
  </w:num>
  <w:num w:numId="26">
    <w:abstractNumId w:val="15"/>
  </w:num>
  <w:num w:numId="27">
    <w:abstractNumId w:val="4"/>
  </w:num>
  <w:num w:numId="28">
    <w:abstractNumId w:val="0"/>
  </w:num>
  <w:num w:numId="29">
    <w:abstractNumId w:val="6"/>
  </w:num>
  <w:num w:numId="30">
    <w:abstractNumId w:val="1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E74"/>
    <w:rsid w:val="00020FAB"/>
    <w:rsid w:val="00030476"/>
    <w:rsid w:val="000455B2"/>
    <w:rsid w:val="00051982"/>
    <w:rsid w:val="0005324B"/>
    <w:rsid w:val="00061A0A"/>
    <w:rsid w:val="000664A2"/>
    <w:rsid w:val="00093381"/>
    <w:rsid w:val="000B68F9"/>
    <w:rsid w:val="000C1FE5"/>
    <w:rsid w:val="000E55EB"/>
    <w:rsid w:val="000E77F0"/>
    <w:rsid w:val="00111A52"/>
    <w:rsid w:val="001141ED"/>
    <w:rsid w:val="00114594"/>
    <w:rsid w:val="00127BD6"/>
    <w:rsid w:val="00137369"/>
    <w:rsid w:val="001474C2"/>
    <w:rsid w:val="001640A8"/>
    <w:rsid w:val="001B0CDD"/>
    <w:rsid w:val="001B10C4"/>
    <w:rsid w:val="001B35E9"/>
    <w:rsid w:val="001D1C6A"/>
    <w:rsid w:val="001D4ACD"/>
    <w:rsid w:val="001F1A05"/>
    <w:rsid w:val="001F2B73"/>
    <w:rsid w:val="001F76FF"/>
    <w:rsid w:val="00211470"/>
    <w:rsid w:val="00222A92"/>
    <w:rsid w:val="00231617"/>
    <w:rsid w:val="00246EF3"/>
    <w:rsid w:val="0027052E"/>
    <w:rsid w:val="00276753"/>
    <w:rsid w:val="00276FDE"/>
    <w:rsid w:val="00283E64"/>
    <w:rsid w:val="00285B4D"/>
    <w:rsid w:val="002A1AA4"/>
    <w:rsid w:val="002A4960"/>
    <w:rsid w:val="002B08C2"/>
    <w:rsid w:val="002B5E7C"/>
    <w:rsid w:val="002B6851"/>
    <w:rsid w:val="002F0BA9"/>
    <w:rsid w:val="002F64D6"/>
    <w:rsid w:val="003120B8"/>
    <w:rsid w:val="00313294"/>
    <w:rsid w:val="003272F9"/>
    <w:rsid w:val="00343985"/>
    <w:rsid w:val="00346351"/>
    <w:rsid w:val="0034751E"/>
    <w:rsid w:val="0037111B"/>
    <w:rsid w:val="003C40E5"/>
    <w:rsid w:val="003D06FD"/>
    <w:rsid w:val="003E3275"/>
    <w:rsid w:val="003E4961"/>
    <w:rsid w:val="00406F63"/>
    <w:rsid w:val="004139B9"/>
    <w:rsid w:val="0041780B"/>
    <w:rsid w:val="00430C09"/>
    <w:rsid w:val="00433A17"/>
    <w:rsid w:val="00433EF5"/>
    <w:rsid w:val="00444B42"/>
    <w:rsid w:val="00446475"/>
    <w:rsid w:val="004554F9"/>
    <w:rsid w:val="00465E5E"/>
    <w:rsid w:val="00475290"/>
    <w:rsid w:val="00482520"/>
    <w:rsid w:val="00491A68"/>
    <w:rsid w:val="00496D51"/>
    <w:rsid w:val="004A6CB9"/>
    <w:rsid w:val="004C73D8"/>
    <w:rsid w:val="004D08E0"/>
    <w:rsid w:val="004D0B2B"/>
    <w:rsid w:val="004D73FB"/>
    <w:rsid w:val="004E4DFF"/>
    <w:rsid w:val="004F73D9"/>
    <w:rsid w:val="005133F5"/>
    <w:rsid w:val="0051497B"/>
    <w:rsid w:val="0051622C"/>
    <w:rsid w:val="00517F4D"/>
    <w:rsid w:val="00541FD1"/>
    <w:rsid w:val="00545A74"/>
    <w:rsid w:val="00553F23"/>
    <w:rsid w:val="0056285B"/>
    <w:rsid w:val="005767E3"/>
    <w:rsid w:val="00592FF4"/>
    <w:rsid w:val="005949C6"/>
    <w:rsid w:val="005A5A04"/>
    <w:rsid w:val="005B3CC6"/>
    <w:rsid w:val="005D097D"/>
    <w:rsid w:val="005D6A9C"/>
    <w:rsid w:val="005E1659"/>
    <w:rsid w:val="006013B1"/>
    <w:rsid w:val="00604335"/>
    <w:rsid w:val="0061393E"/>
    <w:rsid w:val="00633BAA"/>
    <w:rsid w:val="00682466"/>
    <w:rsid w:val="00686518"/>
    <w:rsid w:val="006B4330"/>
    <w:rsid w:val="006E2A0C"/>
    <w:rsid w:val="006F00F6"/>
    <w:rsid w:val="00703538"/>
    <w:rsid w:val="00732AD7"/>
    <w:rsid w:val="007463A3"/>
    <w:rsid w:val="007768C2"/>
    <w:rsid w:val="0078724E"/>
    <w:rsid w:val="007B46EF"/>
    <w:rsid w:val="007B6195"/>
    <w:rsid w:val="007C37AD"/>
    <w:rsid w:val="007C422C"/>
    <w:rsid w:val="007D4781"/>
    <w:rsid w:val="007E7886"/>
    <w:rsid w:val="007F02AD"/>
    <w:rsid w:val="008222B4"/>
    <w:rsid w:val="00835EFC"/>
    <w:rsid w:val="00873D85"/>
    <w:rsid w:val="00877654"/>
    <w:rsid w:val="00881FB2"/>
    <w:rsid w:val="00885B0E"/>
    <w:rsid w:val="008860DC"/>
    <w:rsid w:val="008B5F27"/>
    <w:rsid w:val="008C0B74"/>
    <w:rsid w:val="008C3507"/>
    <w:rsid w:val="008D3B7C"/>
    <w:rsid w:val="008D7032"/>
    <w:rsid w:val="008E04CB"/>
    <w:rsid w:val="008F60A1"/>
    <w:rsid w:val="009116B5"/>
    <w:rsid w:val="00927069"/>
    <w:rsid w:val="00930718"/>
    <w:rsid w:val="009510B0"/>
    <w:rsid w:val="00957377"/>
    <w:rsid w:val="00967E68"/>
    <w:rsid w:val="0098490C"/>
    <w:rsid w:val="009A28EB"/>
    <w:rsid w:val="009B4CEB"/>
    <w:rsid w:val="009B53B7"/>
    <w:rsid w:val="009B754A"/>
    <w:rsid w:val="009C0EEF"/>
    <w:rsid w:val="009C15EC"/>
    <w:rsid w:val="009C178A"/>
    <w:rsid w:val="009C1992"/>
    <w:rsid w:val="009C2263"/>
    <w:rsid w:val="009D22C8"/>
    <w:rsid w:val="009E603B"/>
    <w:rsid w:val="009F77F9"/>
    <w:rsid w:val="00A018B5"/>
    <w:rsid w:val="00A04515"/>
    <w:rsid w:val="00A36C50"/>
    <w:rsid w:val="00A44526"/>
    <w:rsid w:val="00A47BFB"/>
    <w:rsid w:val="00A52D38"/>
    <w:rsid w:val="00A63AF7"/>
    <w:rsid w:val="00A71BD3"/>
    <w:rsid w:val="00A923B4"/>
    <w:rsid w:val="00A94C52"/>
    <w:rsid w:val="00AA4E84"/>
    <w:rsid w:val="00AA63C8"/>
    <w:rsid w:val="00AB3CE0"/>
    <w:rsid w:val="00AC02A9"/>
    <w:rsid w:val="00AF7620"/>
    <w:rsid w:val="00B24288"/>
    <w:rsid w:val="00B27EBB"/>
    <w:rsid w:val="00B36366"/>
    <w:rsid w:val="00B36B31"/>
    <w:rsid w:val="00B37A9A"/>
    <w:rsid w:val="00B447C3"/>
    <w:rsid w:val="00B46EB7"/>
    <w:rsid w:val="00B62248"/>
    <w:rsid w:val="00B92C0C"/>
    <w:rsid w:val="00B958DC"/>
    <w:rsid w:val="00B96A02"/>
    <w:rsid w:val="00BA321D"/>
    <w:rsid w:val="00BB118B"/>
    <w:rsid w:val="00BC0F3D"/>
    <w:rsid w:val="00BE1CF3"/>
    <w:rsid w:val="00BE2EF8"/>
    <w:rsid w:val="00BE6DD8"/>
    <w:rsid w:val="00BF15EA"/>
    <w:rsid w:val="00BF1820"/>
    <w:rsid w:val="00C01B74"/>
    <w:rsid w:val="00C1709C"/>
    <w:rsid w:val="00C30B5F"/>
    <w:rsid w:val="00C32DF8"/>
    <w:rsid w:val="00C57B12"/>
    <w:rsid w:val="00C66BF6"/>
    <w:rsid w:val="00C821E6"/>
    <w:rsid w:val="00C83314"/>
    <w:rsid w:val="00C85FBB"/>
    <w:rsid w:val="00C870E7"/>
    <w:rsid w:val="00C97787"/>
    <w:rsid w:val="00CA0D85"/>
    <w:rsid w:val="00CB25C4"/>
    <w:rsid w:val="00CB68F1"/>
    <w:rsid w:val="00CB7638"/>
    <w:rsid w:val="00CC179B"/>
    <w:rsid w:val="00CD5A6B"/>
    <w:rsid w:val="00CE51EB"/>
    <w:rsid w:val="00CF1C40"/>
    <w:rsid w:val="00CF52AB"/>
    <w:rsid w:val="00D33D8B"/>
    <w:rsid w:val="00D6506F"/>
    <w:rsid w:val="00D7773E"/>
    <w:rsid w:val="00D80678"/>
    <w:rsid w:val="00D930F1"/>
    <w:rsid w:val="00D94CBD"/>
    <w:rsid w:val="00DA50CA"/>
    <w:rsid w:val="00DC65E8"/>
    <w:rsid w:val="00DD32AD"/>
    <w:rsid w:val="00E15BA2"/>
    <w:rsid w:val="00E16085"/>
    <w:rsid w:val="00E2795A"/>
    <w:rsid w:val="00E30C1E"/>
    <w:rsid w:val="00E31269"/>
    <w:rsid w:val="00E47CBF"/>
    <w:rsid w:val="00E50416"/>
    <w:rsid w:val="00E56636"/>
    <w:rsid w:val="00E61BC1"/>
    <w:rsid w:val="00E80063"/>
    <w:rsid w:val="00E80A6A"/>
    <w:rsid w:val="00E97E0E"/>
    <w:rsid w:val="00EA5246"/>
    <w:rsid w:val="00EB367B"/>
    <w:rsid w:val="00EC0FBA"/>
    <w:rsid w:val="00EC4698"/>
    <w:rsid w:val="00EE3FC0"/>
    <w:rsid w:val="00EE4E74"/>
    <w:rsid w:val="00EE7240"/>
    <w:rsid w:val="00EF313F"/>
    <w:rsid w:val="00EF71AA"/>
    <w:rsid w:val="00F04CB9"/>
    <w:rsid w:val="00F10F45"/>
    <w:rsid w:val="00F14FB6"/>
    <w:rsid w:val="00F31370"/>
    <w:rsid w:val="00F31B70"/>
    <w:rsid w:val="00F4503D"/>
    <w:rsid w:val="00F56DEB"/>
    <w:rsid w:val="00F57BE7"/>
    <w:rsid w:val="00F673F3"/>
    <w:rsid w:val="00F77D1F"/>
    <w:rsid w:val="00F87B37"/>
    <w:rsid w:val="00F94C9A"/>
    <w:rsid w:val="00FA6C87"/>
    <w:rsid w:val="00FC3E77"/>
    <w:rsid w:val="00FC49E0"/>
    <w:rsid w:val="00FE1F63"/>
    <w:rsid w:val="00FE4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aliases w:val="2,Level 2 Heading"/>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after="120"/>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 w:type="paragraph" w:customStyle="1" w:styleId="ReduceLine">
    <w:name w:val="Reduce Line"/>
    <w:basedOn w:val="Normal"/>
    <w:pPr>
      <w:tabs>
        <w:tab w:val="clear" w:pos="1260"/>
        <w:tab w:val="clear" w:pos="1980"/>
        <w:tab w:val="clear" w:pos="2700"/>
        <w:tab w:val="clear" w:pos="3420"/>
      </w:tabs>
      <w:spacing w:after="60" w:line="60" w:lineRule="exact"/>
    </w:pPr>
    <w:rPr>
      <w:rFonts w:ascii="Times New Roman" w:hAnsi="Times New Roman"/>
      <w:sz w:val="24"/>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NumSection">
    <w:name w:val="NumSection"/>
    <w:basedOn w:val="Normal"/>
    <w:next w:val="Heading1"/>
    <w:rsid w:val="009B53B7"/>
    <w:pPr>
      <w:pageBreakBefore/>
      <w:framePr w:w="8897" w:wrap="around" w:hAnchor="page" w:x="1925" w:yAlign="top"/>
      <w:numPr>
        <w:numId w:val="12"/>
      </w:numPr>
      <w:tabs>
        <w:tab w:val="clear" w:pos="1260"/>
        <w:tab w:val="clear" w:pos="1980"/>
        <w:tab w:val="clear" w:pos="2700"/>
        <w:tab w:val="clear" w:pos="3420"/>
        <w:tab w:val="left" w:pos="680"/>
      </w:tabs>
      <w:spacing w:after="1400"/>
      <w:jc w:val="left"/>
    </w:pPr>
    <w:rPr>
      <w:rFonts w:ascii="Garamond" w:hAnsi="Garamond"/>
      <w:sz w:val="40"/>
      <w:szCs w:val="24"/>
      <w:lang w:eastAsia="en-US"/>
    </w:rPr>
  </w:style>
  <w:style w:type="paragraph" w:customStyle="1" w:styleId="NumText">
    <w:name w:val="NumText"/>
    <w:basedOn w:val="Normal"/>
    <w:rsid w:val="009B53B7"/>
    <w:pPr>
      <w:numPr>
        <w:ilvl w:val="1"/>
        <w:numId w:val="12"/>
      </w:numPr>
      <w:tabs>
        <w:tab w:val="clear" w:pos="1260"/>
        <w:tab w:val="clear" w:pos="1980"/>
        <w:tab w:val="clear" w:pos="2700"/>
        <w:tab w:val="clear" w:pos="3420"/>
      </w:tabs>
      <w:spacing w:after="284"/>
      <w:jc w:val="left"/>
    </w:pPr>
    <w:rPr>
      <w:rFonts w:ascii="Garamond" w:hAnsi="Garamond"/>
      <w:szCs w:val="24"/>
      <w:lang w:eastAsia="en-US"/>
    </w:rPr>
  </w:style>
  <w:style w:type="paragraph" w:customStyle="1" w:styleId="Table">
    <w:name w:val="Table"/>
    <w:rsid w:val="00BF15EA"/>
    <w:pPr>
      <w:spacing w:before="60" w:after="6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aliases w:val="2,Level 2 Heading"/>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after="120"/>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 w:type="paragraph" w:customStyle="1" w:styleId="ReduceLine">
    <w:name w:val="Reduce Line"/>
    <w:basedOn w:val="Normal"/>
    <w:pPr>
      <w:tabs>
        <w:tab w:val="clear" w:pos="1260"/>
        <w:tab w:val="clear" w:pos="1980"/>
        <w:tab w:val="clear" w:pos="2700"/>
        <w:tab w:val="clear" w:pos="3420"/>
      </w:tabs>
      <w:spacing w:after="60" w:line="60" w:lineRule="exact"/>
    </w:pPr>
    <w:rPr>
      <w:rFonts w:ascii="Times New Roman" w:hAnsi="Times New Roman"/>
      <w:sz w:val="24"/>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NumSection">
    <w:name w:val="NumSection"/>
    <w:basedOn w:val="Normal"/>
    <w:next w:val="Heading1"/>
    <w:rsid w:val="009B53B7"/>
    <w:pPr>
      <w:pageBreakBefore/>
      <w:framePr w:w="8897" w:wrap="around" w:hAnchor="page" w:x="1925" w:yAlign="top"/>
      <w:numPr>
        <w:numId w:val="12"/>
      </w:numPr>
      <w:tabs>
        <w:tab w:val="clear" w:pos="1260"/>
        <w:tab w:val="clear" w:pos="1980"/>
        <w:tab w:val="clear" w:pos="2700"/>
        <w:tab w:val="clear" w:pos="3420"/>
        <w:tab w:val="left" w:pos="680"/>
      </w:tabs>
      <w:spacing w:after="1400"/>
      <w:jc w:val="left"/>
    </w:pPr>
    <w:rPr>
      <w:rFonts w:ascii="Garamond" w:hAnsi="Garamond"/>
      <w:sz w:val="40"/>
      <w:szCs w:val="24"/>
      <w:lang w:eastAsia="en-US"/>
    </w:rPr>
  </w:style>
  <w:style w:type="paragraph" w:customStyle="1" w:styleId="NumText">
    <w:name w:val="NumText"/>
    <w:basedOn w:val="Normal"/>
    <w:rsid w:val="009B53B7"/>
    <w:pPr>
      <w:numPr>
        <w:ilvl w:val="1"/>
        <w:numId w:val="12"/>
      </w:numPr>
      <w:tabs>
        <w:tab w:val="clear" w:pos="1260"/>
        <w:tab w:val="clear" w:pos="1980"/>
        <w:tab w:val="clear" w:pos="2700"/>
        <w:tab w:val="clear" w:pos="3420"/>
      </w:tabs>
      <w:spacing w:after="284"/>
      <w:jc w:val="left"/>
    </w:pPr>
    <w:rPr>
      <w:rFonts w:ascii="Garamond" w:hAnsi="Garamond"/>
      <w:szCs w:val="24"/>
      <w:lang w:eastAsia="en-US"/>
    </w:rPr>
  </w:style>
  <w:style w:type="paragraph" w:customStyle="1" w:styleId="Table">
    <w:name w:val="Table"/>
    <w:rsid w:val="00BF15EA"/>
    <w:pPr>
      <w:spacing w:before="60" w:after="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Report: Audit Committee 13.06.13: part i - (14) annual governance statement</vt:lpstr>
    </vt:vector>
  </TitlesOfParts>
  <Company>Pre-installed Company</Company>
  <LinksUpToDate>false</LinksUpToDate>
  <CharactersWithSpaces>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Audit Committee 13.06.13: part i - (14) annual governance statement</dc:title>
  <dc:creator>David Gardner</dc:creator>
  <cp:lastModifiedBy>Bob Watson</cp:lastModifiedBy>
  <cp:revision>3</cp:revision>
  <cp:lastPrinted>2015-06-13T14:33:00Z</cp:lastPrinted>
  <dcterms:created xsi:type="dcterms:W3CDTF">2016-06-20T08:20:00Z</dcterms:created>
  <dcterms:modified xsi:type="dcterms:W3CDTF">2016-06-20T08:42:00Z</dcterms:modified>
</cp:coreProperties>
</file>