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34FA" w:rsidRPr="006E44CB" w:rsidRDefault="00DE754C">
      <w:pPr>
        <w:jc w:val="center"/>
        <w:rPr>
          <w:b/>
          <w:i/>
        </w:rPr>
      </w:pPr>
      <w:bookmarkStart w:id="0" w:name="_GoBack"/>
      <w:bookmarkEnd w:id="0"/>
      <w:r>
        <w:rPr>
          <w:b/>
        </w:rPr>
        <w:t>AUDIT COMMITTEE</w:t>
      </w:r>
      <w:r w:rsidR="00D22B99">
        <w:rPr>
          <w:b/>
        </w:rPr>
        <w:t xml:space="preserve"> - </w:t>
      </w:r>
      <w:r w:rsidR="00BF34FA" w:rsidRPr="006E44CB">
        <w:rPr>
          <w:b/>
        </w:rPr>
        <w:fldChar w:fldCharType="begin"/>
      </w:r>
      <w:r w:rsidR="00BF34FA" w:rsidRPr="006E44CB">
        <w:rPr>
          <w:b/>
        </w:rPr>
        <w:instrText xml:space="preserve">  </w:instrText>
      </w:r>
      <w:r w:rsidR="00BF34FA" w:rsidRPr="006E44CB">
        <w:rPr>
          <w:b/>
        </w:rPr>
        <w:fldChar w:fldCharType="end"/>
      </w:r>
      <w:r w:rsidR="00BF34FA" w:rsidRPr="006E44CB">
        <w:rPr>
          <w:b/>
        </w:rPr>
        <w:fldChar w:fldCharType="begin"/>
      </w:r>
      <w:r w:rsidR="00BF34FA" w:rsidRPr="006E44CB">
        <w:rPr>
          <w:b/>
        </w:rPr>
        <w:instrText xml:space="preserve">  </w:instrText>
      </w:r>
      <w:r w:rsidR="00BF34FA" w:rsidRPr="006E44CB">
        <w:rPr>
          <w:b/>
        </w:rPr>
        <w:fldChar w:fldCharType="end"/>
      </w:r>
      <w:r w:rsidR="00BF34FA" w:rsidRPr="006E44CB">
        <w:rPr>
          <w:b/>
        </w:rPr>
        <w:fldChar w:fldCharType="begin"/>
      </w:r>
      <w:r w:rsidR="00BF34FA" w:rsidRPr="006E44CB">
        <w:rPr>
          <w:b/>
        </w:rPr>
        <w:instrText xml:space="preserve">  </w:instrText>
      </w:r>
      <w:r w:rsidR="00BF34FA" w:rsidRPr="006E44CB">
        <w:rPr>
          <w:b/>
        </w:rPr>
        <w:fldChar w:fldCharType="end"/>
      </w:r>
      <w:r w:rsidR="006E44CB" w:rsidRPr="006E44CB">
        <w:rPr>
          <w:b/>
        </w:rPr>
        <w:t>22 NOVEMBER 2016</w:t>
      </w:r>
    </w:p>
    <w:p w:rsidR="00BF34FA" w:rsidRDefault="00BF34FA">
      <w:pPr>
        <w:jc w:val="center"/>
      </w:pPr>
    </w:p>
    <w:p w:rsidR="00BF34FA" w:rsidRDefault="00BF34FA">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Pr>
          <w:b/>
        </w:rPr>
        <w:t>NOT DELEGATED</w:t>
      </w:r>
    </w:p>
    <w:p w:rsidR="00BF34FA" w:rsidRDefault="00BF34FA">
      <w:pPr>
        <w:jc w:val="center"/>
      </w:pPr>
    </w:p>
    <w:p w:rsidR="00200B39" w:rsidRDefault="00D22B99" w:rsidP="006E44CB">
      <w:pPr>
        <w:keepNext/>
        <w:ind w:left="1267" w:hanging="1267"/>
        <w:rPr>
          <w:b/>
        </w:rPr>
      </w:pPr>
      <w:r>
        <w:rPr>
          <w:b/>
        </w:rPr>
        <w:t>10.</w:t>
      </w:r>
      <w:r w:rsidR="00BF34FA">
        <w:rPr>
          <w:b/>
        </w:rPr>
        <w:fldChar w:fldCharType="begin"/>
      </w:r>
      <w:r w:rsidR="00BF34FA">
        <w:rPr>
          <w:b/>
        </w:rPr>
        <w:instrText xml:space="preserve">  </w:instrText>
      </w:r>
      <w:r w:rsidR="00BF34FA">
        <w:rPr>
          <w:b/>
        </w:rPr>
        <w:fldChar w:fldCharType="end"/>
      </w:r>
      <w:r w:rsidR="00BF34FA">
        <w:rPr>
          <w:b/>
        </w:rPr>
        <w:tab/>
      </w:r>
      <w:r w:rsidR="00BF34FA">
        <w:rPr>
          <w:b/>
        </w:rPr>
        <w:fldChar w:fldCharType="begin"/>
      </w:r>
      <w:r w:rsidR="00BF34FA">
        <w:rPr>
          <w:b/>
        </w:rPr>
        <w:instrText xml:space="preserve">  </w:instrText>
      </w:r>
      <w:r w:rsidR="00BF34FA">
        <w:rPr>
          <w:b/>
        </w:rPr>
        <w:fldChar w:fldCharType="end"/>
      </w:r>
      <w:r w:rsidR="006E44CB" w:rsidRPr="0060208C">
        <w:rPr>
          <w:b/>
        </w:rPr>
        <w:t xml:space="preserve">APPOINTMENT OF AUDITORS 2018/19 AND BEYOND </w:t>
      </w:r>
    </w:p>
    <w:p w:rsidR="00BF34FA" w:rsidRDefault="00200B39" w:rsidP="006E44CB">
      <w:pPr>
        <w:keepNext/>
        <w:ind w:left="1267" w:hanging="1267"/>
        <w:rPr>
          <w:b/>
          <w:i/>
          <w:color w:val="008000"/>
        </w:rPr>
      </w:pPr>
      <w:r>
        <w:rPr>
          <w:b/>
        </w:rPr>
        <w:tab/>
      </w:r>
      <w:r w:rsidR="00BF34FA">
        <w:fldChar w:fldCharType="begin"/>
      </w:r>
      <w:r w:rsidR="00BF34FA">
        <w:instrText xml:space="preserve">  </w:instrText>
      </w:r>
      <w:r w:rsidR="00BF34FA">
        <w:fldChar w:fldCharType="end"/>
      </w:r>
      <w:r w:rsidR="00BF34FA">
        <w:t>(</w:t>
      </w:r>
      <w:proofErr w:type="spellStart"/>
      <w:r w:rsidR="00BF34FA">
        <w:t>D</w:t>
      </w:r>
      <w:r w:rsidR="00D7229A">
        <w:t>o</w:t>
      </w:r>
      <w:r w:rsidR="00BF34FA">
        <w:t>F</w:t>
      </w:r>
      <w:proofErr w:type="spellEnd"/>
      <w:r w:rsidR="00BF34FA">
        <w:t xml:space="preserve">) </w:t>
      </w:r>
    </w:p>
    <w:p w:rsidR="00BF34FA" w:rsidRDefault="00BF34FA"/>
    <w:p w:rsidR="00BF34FA" w:rsidRPr="00C86956" w:rsidRDefault="00C86956" w:rsidP="00C86956">
      <w:pPr>
        <w:pStyle w:val="ListParagraph"/>
        <w:tabs>
          <w:tab w:val="clear" w:pos="1260"/>
          <w:tab w:val="clear" w:pos="1980"/>
          <w:tab w:val="left" w:pos="0"/>
          <w:tab w:val="left" w:pos="1276"/>
        </w:tabs>
        <w:spacing w:after="200" w:line="276" w:lineRule="auto"/>
        <w:ind w:left="0"/>
        <w:rPr>
          <w:rFonts w:eastAsia="Calibri" w:cs="Arial"/>
          <w:b/>
          <w:szCs w:val="26"/>
          <w:lang w:eastAsia="en-US"/>
        </w:rPr>
      </w:pPr>
      <w:r>
        <w:rPr>
          <w:rFonts w:eastAsia="Calibri" w:cs="Arial"/>
          <w:b/>
          <w:szCs w:val="26"/>
          <w:lang w:eastAsia="en-US"/>
        </w:rPr>
        <w:t>1.</w:t>
      </w:r>
      <w:r w:rsidRPr="00C86956">
        <w:rPr>
          <w:rFonts w:eastAsia="Calibri" w:cs="Arial"/>
          <w:b/>
          <w:szCs w:val="26"/>
          <w:lang w:eastAsia="en-US"/>
        </w:rPr>
        <w:tab/>
      </w:r>
      <w:r w:rsidR="00BF34FA" w:rsidRPr="00C86956">
        <w:rPr>
          <w:rFonts w:eastAsia="Calibri" w:cs="Arial"/>
          <w:b/>
          <w:szCs w:val="26"/>
          <w:lang w:eastAsia="en-US"/>
        </w:rPr>
        <w:fldChar w:fldCharType="begin"/>
      </w:r>
      <w:r w:rsidR="00BF34FA" w:rsidRPr="00C86956">
        <w:rPr>
          <w:rFonts w:eastAsia="Calibri" w:cs="Arial"/>
          <w:b/>
          <w:szCs w:val="26"/>
          <w:lang w:eastAsia="en-US"/>
        </w:rPr>
        <w:instrText xml:space="preserve">  </w:instrText>
      </w:r>
      <w:r w:rsidR="00BF34FA" w:rsidRPr="00C86956">
        <w:rPr>
          <w:rFonts w:eastAsia="Calibri" w:cs="Arial"/>
          <w:b/>
          <w:szCs w:val="26"/>
          <w:lang w:eastAsia="en-US"/>
        </w:rPr>
        <w:fldChar w:fldCharType="end"/>
      </w:r>
      <w:r w:rsidR="00BF34FA" w:rsidRPr="00C86956">
        <w:rPr>
          <w:rFonts w:eastAsia="Calibri" w:cs="Arial"/>
          <w:b/>
          <w:szCs w:val="26"/>
          <w:lang w:eastAsia="en-US"/>
        </w:rPr>
        <w:t>Summary</w:t>
      </w:r>
    </w:p>
    <w:p w:rsidR="00BF34FA" w:rsidRDefault="00BF34FA">
      <w:pPr>
        <w:keepNext/>
        <w:ind w:left="1267" w:hanging="1267"/>
      </w:pPr>
    </w:p>
    <w:p w:rsidR="0060208C" w:rsidRPr="00D22B99" w:rsidRDefault="0060208C" w:rsidP="00C86956">
      <w:pPr>
        <w:pStyle w:val="ListParagraph"/>
        <w:numPr>
          <w:ilvl w:val="1"/>
          <w:numId w:val="7"/>
        </w:numPr>
        <w:spacing w:after="200" w:line="276" w:lineRule="auto"/>
        <w:ind w:left="1276" w:hanging="1276"/>
        <w:rPr>
          <w:rFonts w:eastAsia="Calibri" w:cs="Arial"/>
          <w:szCs w:val="22"/>
          <w:lang w:eastAsia="en-US"/>
        </w:rPr>
      </w:pPr>
      <w:r w:rsidRPr="00D22B99">
        <w:rPr>
          <w:rFonts w:eastAsia="Calibri" w:cs="Arial"/>
          <w:szCs w:val="22"/>
          <w:lang w:eastAsia="en-US"/>
        </w:rPr>
        <w:t>The Local Audit &amp; Accountability Act 2014 (‘the Act’) abolished the Audit Commission, and required principal local authorities to appoint their own external auditors for the audit of the 201</w:t>
      </w:r>
      <w:r w:rsidR="00553628" w:rsidRPr="00D22B99">
        <w:rPr>
          <w:rFonts w:eastAsia="Calibri" w:cs="Arial"/>
          <w:szCs w:val="22"/>
          <w:lang w:eastAsia="en-US"/>
        </w:rPr>
        <w:t>8</w:t>
      </w:r>
      <w:r w:rsidRPr="00D22B99">
        <w:rPr>
          <w:rFonts w:eastAsia="Calibri" w:cs="Arial"/>
          <w:szCs w:val="22"/>
          <w:lang w:eastAsia="en-US"/>
        </w:rPr>
        <w:t>/1</w:t>
      </w:r>
      <w:r w:rsidR="00553628" w:rsidRPr="00D22B99">
        <w:rPr>
          <w:rFonts w:eastAsia="Calibri" w:cs="Arial"/>
          <w:szCs w:val="22"/>
          <w:lang w:eastAsia="en-US"/>
        </w:rPr>
        <w:t>9</w:t>
      </w:r>
      <w:r w:rsidRPr="00D22B99">
        <w:rPr>
          <w:rFonts w:eastAsia="Calibri" w:cs="Arial"/>
          <w:szCs w:val="22"/>
          <w:lang w:eastAsia="en-US"/>
        </w:rPr>
        <w:t xml:space="preserve"> accounts by 31 December 2017. </w:t>
      </w:r>
    </w:p>
    <w:p w:rsidR="0060208C" w:rsidRPr="00D22B99" w:rsidRDefault="0060208C" w:rsidP="0060208C">
      <w:pPr>
        <w:pStyle w:val="ListParagraph"/>
        <w:spacing w:after="200" w:line="276" w:lineRule="auto"/>
        <w:ind w:left="360"/>
        <w:rPr>
          <w:rFonts w:eastAsia="Calibri" w:cs="Arial"/>
          <w:szCs w:val="22"/>
          <w:lang w:eastAsia="en-US"/>
        </w:rPr>
      </w:pPr>
    </w:p>
    <w:p w:rsidR="0060208C" w:rsidRPr="00D22B99" w:rsidRDefault="0060208C" w:rsidP="00C86956">
      <w:pPr>
        <w:pStyle w:val="ListParagraph"/>
        <w:numPr>
          <w:ilvl w:val="1"/>
          <w:numId w:val="7"/>
        </w:numPr>
        <w:spacing w:after="200" w:line="276" w:lineRule="auto"/>
        <w:ind w:left="1276" w:hanging="1276"/>
        <w:rPr>
          <w:rFonts w:eastAsia="Calibri" w:cs="Arial"/>
          <w:szCs w:val="22"/>
          <w:lang w:eastAsia="en-US"/>
        </w:rPr>
      </w:pPr>
      <w:r w:rsidRPr="00D22B99">
        <w:rPr>
          <w:rFonts w:eastAsia="Calibri" w:cs="Arial"/>
          <w:szCs w:val="22"/>
          <w:lang w:eastAsia="en-US"/>
        </w:rPr>
        <w:t xml:space="preserve">There are four options for local authorities to appoint auditors: </w:t>
      </w:r>
    </w:p>
    <w:p w:rsidR="0060208C" w:rsidRPr="00D22B99" w:rsidRDefault="0060208C" w:rsidP="0060208C">
      <w:pPr>
        <w:numPr>
          <w:ilvl w:val="0"/>
          <w:numId w:val="2"/>
        </w:numPr>
        <w:tabs>
          <w:tab w:val="clear" w:pos="1260"/>
          <w:tab w:val="clear" w:pos="1980"/>
          <w:tab w:val="clear" w:pos="2700"/>
          <w:tab w:val="clear" w:pos="3420"/>
        </w:tabs>
        <w:spacing w:line="276" w:lineRule="auto"/>
        <w:ind w:left="1560" w:hanging="284"/>
        <w:contextualSpacing/>
        <w:jc w:val="left"/>
        <w:rPr>
          <w:rFonts w:eastAsia="Calibri" w:cs="Arial"/>
          <w:szCs w:val="22"/>
          <w:lang w:eastAsia="en-US"/>
        </w:rPr>
      </w:pPr>
      <w:r w:rsidRPr="00D22B99">
        <w:rPr>
          <w:rFonts w:eastAsia="Calibri" w:cs="Arial"/>
          <w:szCs w:val="22"/>
          <w:lang w:eastAsia="en-US"/>
        </w:rPr>
        <w:t xml:space="preserve">by establishing their own auditor panel (which may be an existing committee or sub-committee of the authority, but must also have independent members on it), </w:t>
      </w:r>
    </w:p>
    <w:p w:rsidR="0060208C" w:rsidRPr="00D22B99" w:rsidRDefault="0060208C" w:rsidP="0060208C">
      <w:pPr>
        <w:numPr>
          <w:ilvl w:val="0"/>
          <w:numId w:val="2"/>
        </w:numPr>
        <w:tabs>
          <w:tab w:val="clear" w:pos="1260"/>
          <w:tab w:val="clear" w:pos="1980"/>
          <w:tab w:val="clear" w:pos="2700"/>
          <w:tab w:val="clear" w:pos="3420"/>
        </w:tabs>
        <w:spacing w:line="276" w:lineRule="auto"/>
        <w:ind w:left="1560" w:hanging="284"/>
        <w:contextualSpacing/>
        <w:jc w:val="left"/>
        <w:rPr>
          <w:rFonts w:eastAsia="Calibri" w:cs="Arial"/>
          <w:szCs w:val="22"/>
          <w:lang w:eastAsia="en-US"/>
        </w:rPr>
      </w:pPr>
      <w:r w:rsidRPr="00D22B99">
        <w:rPr>
          <w:rFonts w:eastAsia="Calibri" w:cs="Arial"/>
          <w:szCs w:val="22"/>
          <w:lang w:eastAsia="en-US"/>
        </w:rPr>
        <w:t xml:space="preserve">by jointly establishing an auditor panel with other authorities, </w:t>
      </w:r>
    </w:p>
    <w:p w:rsidR="0060208C" w:rsidRPr="00D22B99" w:rsidRDefault="0060208C" w:rsidP="0060208C">
      <w:pPr>
        <w:numPr>
          <w:ilvl w:val="0"/>
          <w:numId w:val="2"/>
        </w:numPr>
        <w:tabs>
          <w:tab w:val="clear" w:pos="1260"/>
          <w:tab w:val="clear" w:pos="1980"/>
          <w:tab w:val="clear" w:pos="2700"/>
          <w:tab w:val="clear" w:pos="3420"/>
        </w:tabs>
        <w:spacing w:line="276" w:lineRule="auto"/>
        <w:ind w:left="1560" w:hanging="284"/>
        <w:contextualSpacing/>
        <w:jc w:val="left"/>
        <w:rPr>
          <w:rFonts w:eastAsia="Calibri" w:cs="Arial"/>
          <w:szCs w:val="22"/>
          <w:lang w:eastAsia="en-US"/>
        </w:rPr>
      </w:pPr>
      <w:r w:rsidRPr="00D22B99">
        <w:rPr>
          <w:rFonts w:eastAsia="Calibri" w:cs="Arial"/>
          <w:szCs w:val="22"/>
          <w:lang w:eastAsia="en-US"/>
        </w:rPr>
        <w:t>by using the services of an auditor panel established by another authority, or</w:t>
      </w:r>
    </w:p>
    <w:p w:rsidR="00DE0D00" w:rsidRPr="00D22B99" w:rsidRDefault="0060208C" w:rsidP="0060208C">
      <w:pPr>
        <w:numPr>
          <w:ilvl w:val="0"/>
          <w:numId w:val="2"/>
        </w:numPr>
        <w:tabs>
          <w:tab w:val="clear" w:pos="1260"/>
          <w:tab w:val="clear" w:pos="1980"/>
          <w:tab w:val="clear" w:pos="2700"/>
          <w:tab w:val="clear" w:pos="3420"/>
        </w:tabs>
        <w:spacing w:line="276" w:lineRule="auto"/>
        <w:ind w:left="1560" w:hanging="284"/>
        <w:contextualSpacing/>
        <w:jc w:val="left"/>
        <w:rPr>
          <w:rFonts w:eastAsia="Calibri" w:cs="Arial"/>
          <w:szCs w:val="22"/>
          <w:lang w:eastAsia="en-US"/>
        </w:rPr>
      </w:pPr>
      <w:proofErr w:type="gramStart"/>
      <w:r w:rsidRPr="00D22B99">
        <w:rPr>
          <w:rFonts w:eastAsia="Calibri" w:cs="Arial"/>
          <w:szCs w:val="22"/>
          <w:lang w:eastAsia="en-US"/>
        </w:rPr>
        <w:t>by</w:t>
      </w:r>
      <w:proofErr w:type="gramEnd"/>
      <w:r w:rsidRPr="00D22B99">
        <w:rPr>
          <w:rFonts w:eastAsia="Calibri" w:cs="Arial"/>
          <w:szCs w:val="22"/>
          <w:lang w:eastAsia="en-US"/>
        </w:rPr>
        <w:t xml:space="preserve"> delegating appointment to an Appointing Person as provided for in the Act</w:t>
      </w:r>
      <w:r w:rsidR="00DE0D00" w:rsidRPr="00D22B99">
        <w:rPr>
          <w:rFonts w:eastAsia="Calibri" w:cs="Arial"/>
          <w:szCs w:val="22"/>
          <w:lang w:eastAsia="en-US"/>
        </w:rPr>
        <w:t xml:space="preserve"> </w:t>
      </w:r>
      <w:r w:rsidRPr="00D22B99">
        <w:rPr>
          <w:rFonts w:eastAsia="Calibri" w:cs="Arial"/>
          <w:szCs w:val="22"/>
          <w:lang w:eastAsia="en-US"/>
        </w:rPr>
        <w:t xml:space="preserve">(which would effectively continue to operate in the same fashion as the Audit Commission). </w:t>
      </w:r>
    </w:p>
    <w:p w:rsidR="00DE0D00" w:rsidRPr="00D22B99" w:rsidRDefault="00DE0D00" w:rsidP="00DE0D00">
      <w:pPr>
        <w:tabs>
          <w:tab w:val="clear" w:pos="1260"/>
          <w:tab w:val="clear" w:pos="1980"/>
          <w:tab w:val="clear" w:pos="2700"/>
          <w:tab w:val="clear" w:pos="3420"/>
        </w:tabs>
        <w:spacing w:line="276" w:lineRule="auto"/>
        <w:ind w:left="1560"/>
        <w:contextualSpacing/>
        <w:jc w:val="left"/>
        <w:rPr>
          <w:rFonts w:eastAsia="Calibri" w:cs="Arial"/>
          <w:szCs w:val="22"/>
          <w:lang w:eastAsia="en-US"/>
        </w:rPr>
      </w:pPr>
    </w:p>
    <w:p w:rsidR="00DE0D00" w:rsidRPr="00D22B99" w:rsidRDefault="00DE0D00" w:rsidP="00C86956">
      <w:pPr>
        <w:pStyle w:val="ListParagraph"/>
        <w:numPr>
          <w:ilvl w:val="1"/>
          <w:numId w:val="7"/>
        </w:numPr>
        <w:spacing w:after="200" w:line="276" w:lineRule="auto"/>
        <w:ind w:left="1276" w:hanging="1276"/>
        <w:rPr>
          <w:rFonts w:eastAsia="Calibri" w:cs="Arial"/>
          <w:szCs w:val="22"/>
          <w:lang w:eastAsia="en-US"/>
        </w:rPr>
      </w:pPr>
      <w:r w:rsidRPr="00D22B99">
        <w:rPr>
          <w:rFonts w:eastAsia="Calibri" w:cs="Arial"/>
          <w:szCs w:val="22"/>
          <w:lang w:eastAsia="en-US"/>
        </w:rPr>
        <w:t>The purpose of this report is to inform the Audit Committee about the new arrangements and seek comments on the proposed approach, which the Audit Committee is asked to recommend to Council.</w:t>
      </w:r>
    </w:p>
    <w:p w:rsidR="00BF34FA" w:rsidRPr="00D22B99" w:rsidRDefault="00BF34FA">
      <w:pPr>
        <w:keepNext/>
        <w:ind w:left="1267" w:hanging="1267"/>
        <w:rPr>
          <w:rFonts w:cs="Arial"/>
          <w:b/>
          <w:szCs w:val="22"/>
        </w:rPr>
      </w:pPr>
      <w:r w:rsidRPr="00D22B99">
        <w:rPr>
          <w:rFonts w:cs="Arial"/>
          <w:szCs w:val="22"/>
        </w:rPr>
        <w:t>2.</w:t>
      </w:r>
      <w:r w:rsidRPr="00D22B99">
        <w:rPr>
          <w:rFonts w:cs="Arial"/>
          <w:szCs w:val="22"/>
        </w:rPr>
        <w:tab/>
      </w:r>
      <w:r w:rsidRPr="00D22B99">
        <w:rPr>
          <w:rFonts w:cs="Arial"/>
          <w:b/>
          <w:szCs w:val="22"/>
        </w:rPr>
        <w:t>Details</w:t>
      </w:r>
    </w:p>
    <w:p w:rsidR="00BF34FA" w:rsidRPr="00D22B99" w:rsidRDefault="00BF34FA">
      <w:pPr>
        <w:keepNext/>
        <w:ind w:left="1267" w:hanging="1267"/>
        <w:rPr>
          <w:rFonts w:cs="Arial"/>
          <w:b/>
          <w:szCs w:val="22"/>
          <w:u w:val="single"/>
        </w:rPr>
      </w:pPr>
    </w:p>
    <w:p w:rsidR="00BF34FA" w:rsidRPr="00D22B99" w:rsidRDefault="00BF34FA">
      <w:pPr>
        <w:ind w:left="1267" w:hanging="1267"/>
        <w:rPr>
          <w:rFonts w:eastAsia="Calibri" w:cs="Arial"/>
          <w:szCs w:val="22"/>
          <w:lang w:eastAsia="en-US"/>
        </w:rPr>
      </w:pPr>
      <w:r w:rsidRPr="00D22B99">
        <w:rPr>
          <w:rFonts w:cs="Arial"/>
          <w:szCs w:val="22"/>
        </w:rPr>
        <w:t>2.1</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021875" w:rsidRPr="00D22B99">
        <w:rPr>
          <w:rFonts w:eastAsia="Calibri" w:cs="Arial"/>
          <w:szCs w:val="22"/>
          <w:lang w:eastAsia="en-US"/>
        </w:rPr>
        <w:t>Local authority auditors have, since the mid-1980s been commissioned or been carried out by the Audit Commission. However, the Local Audit &amp; Accountability Act 2014 (‘the Act’) abolished the Audit Commission, and requires principal local authorities such as WBC and TRDC to appoint their own external auditors for the audit of the 2018</w:t>
      </w:r>
      <w:r w:rsidR="00553628" w:rsidRPr="00D22B99">
        <w:rPr>
          <w:rFonts w:eastAsia="Calibri" w:cs="Arial"/>
          <w:szCs w:val="22"/>
          <w:lang w:eastAsia="en-US"/>
        </w:rPr>
        <w:t>/19 accounts by 31 December 2017</w:t>
      </w:r>
      <w:r w:rsidR="00021875" w:rsidRPr="00D22B99">
        <w:rPr>
          <w:rFonts w:eastAsia="Calibri" w:cs="Arial"/>
          <w:szCs w:val="22"/>
          <w:lang w:eastAsia="en-US"/>
        </w:rPr>
        <w:t>.</w:t>
      </w:r>
    </w:p>
    <w:p w:rsidR="00021875" w:rsidRPr="00D22B99" w:rsidRDefault="00021875">
      <w:pPr>
        <w:ind w:left="1267" w:hanging="1267"/>
        <w:rPr>
          <w:rFonts w:eastAsia="Calibri" w:cs="Arial"/>
          <w:szCs w:val="22"/>
          <w:lang w:eastAsia="en-US"/>
        </w:rPr>
      </w:pPr>
    </w:p>
    <w:p w:rsidR="00021875" w:rsidRPr="00D22B99" w:rsidRDefault="001E58D8" w:rsidP="00021875">
      <w:pPr>
        <w:ind w:left="1267" w:hanging="1267"/>
        <w:rPr>
          <w:rFonts w:cs="Arial"/>
          <w:szCs w:val="22"/>
        </w:rPr>
      </w:pPr>
      <w:r w:rsidRPr="00D22B99">
        <w:rPr>
          <w:rFonts w:cs="Arial"/>
          <w:szCs w:val="22"/>
        </w:rPr>
        <w:t>2.2</w:t>
      </w:r>
      <w:r w:rsidR="00021875" w:rsidRPr="00D22B99">
        <w:rPr>
          <w:rFonts w:cs="Arial"/>
          <w:szCs w:val="22"/>
        </w:rPr>
        <w:tab/>
      </w:r>
      <w:r w:rsidR="00021875" w:rsidRPr="00D22B99">
        <w:rPr>
          <w:rFonts w:cs="Arial"/>
          <w:szCs w:val="22"/>
        </w:rPr>
        <w:fldChar w:fldCharType="begin"/>
      </w:r>
      <w:r w:rsidR="00021875" w:rsidRPr="00D22B99">
        <w:rPr>
          <w:rFonts w:cs="Arial"/>
          <w:szCs w:val="22"/>
        </w:rPr>
        <w:instrText xml:space="preserve">  </w:instrText>
      </w:r>
      <w:r w:rsidR="00021875" w:rsidRPr="00D22B99">
        <w:rPr>
          <w:rFonts w:cs="Arial"/>
          <w:szCs w:val="22"/>
        </w:rPr>
        <w:fldChar w:fldCharType="end"/>
      </w:r>
      <w:r w:rsidR="00021875" w:rsidRPr="00D22B99">
        <w:rPr>
          <w:rFonts w:cs="Arial"/>
          <w:szCs w:val="22"/>
        </w:rPr>
        <w:t xml:space="preserve">There are four options for local authorities to appoint auditors: </w:t>
      </w:r>
    </w:p>
    <w:p w:rsidR="00021875" w:rsidRPr="00D22B99" w:rsidRDefault="00021875" w:rsidP="002630E0">
      <w:pPr>
        <w:pStyle w:val="ListParagraph"/>
        <w:numPr>
          <w:ilvl w:val="3"/>
          <w:numId w:val="2"/>
        </w:numPr>
        <w:tabs>
          <w:tab w:val="clear" w:pos="2700"/>
          <w:tab w:val="left" w:pos="1560"/>
        </w:tabs>
        <w:ind w:left="1560" w:hanging="284"/>
        <w:rPr>
          <w:rFonts w:cs="Arial"/>
          <w:szCs w:val="22"/>
        </w:rPr>
      </w:pPr>
      <w:r w:rsidRPr="00D22B99">
        <w:rPr>
          <w:rFonts w:cs="Arial"/>
          <w:szCs w:val="22"/>
        </w:rPr>
        <w:t xml:space="preserve">by establishing their own auditor panel (which may be an existing committee or sub-committee of the authority, but with the addition of independent members, one of whom must be the chair), </w:t>
      </w:r>
    </w:p>
    <w:p w:rsidR="00021875" w:rsidRPr="00D22B99" w:rsidRDefault="00021875" w:rsidP="002630E0">
      <w:pPr>
        <w:pStyle w:val="ListParagraph"/>
        <w:numPr>
          <w:ilvl w:val="3"/>
          <w:numId w:val="2"/>
        </w:numPr>
        <w:tabs>
          <w:tab w:val="clear" w:pos="2700"/>
          <w:tab w:val="left" w:pos="1560"/>
        </w:tabs>
        <w:ind w:left="1560" w:hanging="284"/>
        <w:rPr>
          <w:rFonts w:cs="Arial"/>
          <w:szCs w:val="22"/>
        </w:rPr>
      </w:pPr>
      <w:r w:rsidRPr="00D22B99">
        <w:rPr>
          <w:rFonts w:cs="Arial"/>
          <w:szCs w:val="22"/>
        </w:rPr>
        <w:t xml:space="preserve">by jointly establishing an auditor panel with other authorities, </w:t>
      </w:r>
    </w:p>
    <w:p w:rsidR="002630E0" w:rsidRPr="00D22B99" w:rsidRDefault="00021875" w:rsidP="002630E0">
      <w:pPr>
        <w:pStyle w:val="ListParagraph"/>
        <w:numPr>
          <w:ilvl w:val="3"/>
          <w:numId w:val="2"/>
        </w:numPr>
        <w:tabs>
          <w:tab w:val="clear" w:pos="2700"/>
          <w:tab w:val="left" w:pos="1560"/>
        </w:tabs>
        <w:ind w:left="1560" w:hanging="284"/>
        <w:rPr>
          <w:rFonts w:cs="Arial"/>
          <w:szCs w:val="22"/>
        </w:rPr>
      </w:pPr>
      <w:r w:rsidRPr="00D22B99">
        <w:rPr>
          <w:rFonts w:cs="Arial"/>
          <w:szCs w:val="22"/>
        </w:rPr>
        <w:t>by using the services of an auditor panel established by another authority, or</w:t>
      </w:r>
    </w:p>
    <w:p w:rsidR="00021875" w:rsidRPr="00D22B99" w:rsidRDefault="00021875" w:rsidP="002630E0">
      <w:pPr>
        <w:pStyle w:val="ListParagraph"/>
        <w:numPr>
          <w:ilvl w:val="3"/>
          <w:numId w:val="2"/>
        </w:numPr>
        <w:tabs>
          <w:tab w:val="clear" w:pos="2700"/>
          <w:tab w:val="left" w:pos="1560"/>
        </w:tabs>
        <w:ind w:left="1560" w:hanging="284"/>
        <w:rPr>
          <w:rFonts w:cs="Arial"/>
          <w:szCs w:val="22"/>
        </w:rPr>
      </w:pPr>
      <w:proofErr w:type="gramStart"/>
      <w:r w:rsidRPr="00D22B99">
        <w:rPr>
          <w:rFonts w:cs="Arial"/>
          <w:szCs w:val="22"/>
        </w:rPr>
        <w:t>by</w:t>
      </w:r>
      <w:proofErr w:type="gramEnd"/>
      <w:r w:rsidRPr="00D22B99">
        <w:rPr>
          <w:rFonts w:cs="Arial"/>
          <w:szCs w:val="22"/>
        </w:rPr>
        <w:t xml:space="preserve"> delegating appointment to an Appointing Person as provided for in the Act (which would effectively continue to operate in the same fashion as the Audit Commission).</w:t>
      </w:r>
    </w:p>
    <w:p w:rsidR="002630E0" w:rsidRPr="00D22B99" w:rsidRDefault="002630E0" w:rsidP="002630E0">
      <w:pPr>
        <w:pStyle w:val="ListParagraph"/>
        <w:tabs>
          <w:tab w:val="clear" w:pos="2700"/>
          <w:tab w:val="left" w:pos="1560"/>
        </w:tabs>
        <w:ind w:left="1560"/>
        <w:rPr>
          <w:rFonts w:cs="Arial"/>
          <w:szCs w:val="22"/>
        </w:rPr>
      </w:pPr>
    </w:p>
    <w:p w:rsidR="00021875" w:rsidRPr="00D22B99" w:rsidRDefault="001E58D8" w:rsidP="00021875">
      <w:pPr>
        <w:ind w:left="1267" w:hanging="1267"/>
        <w:rPr>
          <w:rFonts w:eastAsia="Calibri" w:cs="Arial"/>
          <w:szCs w:val="22"/>
          <w:lang w:eastAsia="en-US"/>
        </w:rPr>
      </w:pPr>
      <w:r w:rsidRPr="00D22B99">
        <w:rPr>
          <w:rFonts w:cs="Arial"/>
          <w:szCs w:val="22"/>
        </w:rPr>
        <w:t>2.3</w:t>
      </w:r>
      <w:r w:rsidR="00021875" w:rsidRPr="00D22B99">
        <w:rPr>
          <w:rFonts w:cs="Arial"/>
          <w:szCs w:val="22"/>
        </w:rPr>
        <w:tab/>
      </w:r>
      <w:r w:rsidR="00021875" w:rsidRPr="00D22B99">
        <w:rPr>
          <w:rFonts w:cs="Arial"/>
          <w:szCs w:val="22"/>
        </w:rPr>
        <w:fldChar w:fldCharType="begin"/>
      </w:r>
      <w:r w:rsidR="00021875" w:rsidRPr="00D22B99">
        <w:rPr>
          <w:rFonts w:cs="Arial"/>
          <w:szCs w:val="22"/>
        </w:rPr>
        <w:instrText xml:space="preserve">  </w:instrText>
      </w:r>
      <w:r w:rsidR="00021875" w:rsidRPr="00D22B99">
        <w:rPr>
          <w:rFonts w:cs="Arial"/>
          <w:szCs w:val="22"/>
        </w:rPr>
        <w:fldChar w:fldCharType="end"/>
      </w:r>
      <w:r w:rsidR="002630E0" w:rsidRPr="00D22B99">
        <w:rPr>
          <w:rFonts w:cs="Arial"/>
          <w:szCs w:val="22"/>
        </w:rPr>
        <w:t>Where an auditor panel is used, it must have on it at least three independent members and an independent Chair. Where a panel is shared, independence may be differently assessed for different authorities. The independent members must be appointed by full council and the council is obliged to advertise for members.</w:t>
      </w:r>
    </w:p>
    <w:p w:rsidR="00021875" w:rsidRPr="00D22B99" w:rsidRDefault="00021875">
      <w:pPr>
        <w:ind w:left="1267" w:hanging="1267"/>
        <w:rPr>
          <w:rFonts w:eastAsia="Calibri" w:cs="Arial"/>
          <w:szCs w:val="22"/>
          <w:lang w:eastAsia="en-US"/>
        </w:rPr>
      </w:pPr>
    </w:p>
    <w:p w:rsidR="00021875" w:rsidRPr="00D22B99" w:rsidRDefault="001E58D8">
      <w:pPr>
        <w:ind w:left="1267" w:hanging="1267"/>
        <w:rPr>
          <w:rFonts w:cs="Arial"/>
          <w:szCs w:val="22"/>
        </w:rPr>
      </w:pPr>
      <w:r w:rsidRPr="00D22B99">
        <w:rPr>
          <w:rFonts w:cs="Arial"/>
          <w:szCs w:val="22"/>
        </w:rPr>
        <w:t>2.4</w:t>
      </w:r>
      <w:r w:rsidR="00021875" w:rsidRPr="00D22B99">
        <w:rPr>
          <w:rFonts w:cs="Arial"/>
          <w:szCs w:val="22"/>
        </w:rPr>
        <w:tab/>
      </w:r>
      <w:r w:rsidR="00021875" w:rsidRPr="00D22B99">
        <w:rPr>
          <w:rFonts w:cs="Arial"/>
          <w:szCs w:val="22"/>
        </w:rPr>
        <w:fldChar w:fldCharType="begin"/>
      </w:r>
      <w:r w:rsidR="00021875" w:rsidRPr="00D22B99">
        <w:rPr>
          <w:rFonts w:cs="Arial"/>
          <w:szCs w:val="22"/>
        </w:rPr>
        <w:instrText xml:space="preserve">  </w:instrText>
      </w:r>
      <w:r w:rsidR="00021875" w:rsidRPr="00D22B99">
        <w:rPr>
          <w:rFonts w:cs="Arial"/>
          <w:szCs w:val="22"/>
        </w:rPr>
        <w:fldChar w:fldCharType="end"/>
      </w:r>
      <w:r w:rsidR="002630E0" w:rsidRPr="00D22B99">
        <w:rPr>
          <w:rFonts w:cs="Arial"/>
          <w:szCs w:val="22"/>
        </w:rPr>
        <w:t xml:space="preserve">As WBC and TRDC have a shared finance service, it will be </w:t>
      </w:r>
      <w:r w:rsidR="00921261" w:rsidRPr="00D22B99">
        <w:rPr>
          <w:rFonts w:cs="Arial"/>
          <w:szCs w:val="22"/>
        </w:rPr>
        <w:t>necessary</w:t>
      </w:r>
      <w:r w:rsidR="002630E0" w:rsidRPr="00D22B99">
        <w:rPr>
          <w:rFonts w:cs="Arial"/>
          <w:szCs w:val="22"/>
        </w:rPr>
        <w:t xml:space="preserve"> in terms of the delivery of information to the auditors to have a single contract, and also more cost effective as assurance on internal audit, internal controls and systems will only need to be gained once for the two authorities.</w:t>
      </w:r>
    </w:p>
    <w:p w:rsidR="002630E0" w:rsidRPr="00D22B99" w:rsidRDefault="002630E0">
      <w:pPr>
        <w:ind w:left="1267" w:hanging="1267"/>
        <w:rPr>
          <w:rFonts w:eastAsia="Calibri" w:cs="Arial"/>
          <w:szCs w:val="22"/>
          <w:lang w:eastAsia="en-US"/>
        </w:rPr>
      </w:pPr>
    </w:p>
    <w:p w:rsidR="002630E0" w:rsidRPr="00D22B99" w:rsidRDefault="001E58D8" w:rsidP="00021875">
      <w:pPr>
        <w:ind w:left="1267" w:hanging="1267"/>
        <w:rPr>
          <w:rFonts w:eastAsia="Calibri" w:cs="Arial"/>
          <w:szCs w:val="22"/>
          <w:lang w:eastAsia="en-US"/>
        </w:rPr>
      </w:pPr>
      <w:r w:rsidRPr="00D22B99">
        <w:rPr>
          <w:rFonts w:cs="Arial"/>
          <w:szCs w:val="22"/>
        </w:rPr>
        <w:t>2.4.1</w:t>
      </w:r>
      <w:r w:rsidR="00021875" w:rsidRPr="00D22B99">
        <w:rPr>
          <w:rFonts w:cs="Arial"/>
          <w:szCs w:val="22"/>
        </w:rPr>
        <w:tab/>
      </w:r>
      <w:r w:rsidR="00021875" w:rsidRPr="00D22B99">
        <w:rPr>
          <w:rFonts w:cs="Arial"/>
          <w:szCs w:val="22"/>
        </w:rPr>
        <w:fldChar w:fldCharType="begin"/>
      </w:r>
      <w:r w:rsidR="00021875" w:rsidRPr="00D22B99">
        <w:rPr>
          <w:rFonts w:cs="Arial"/>
          <w:szCs w:val="22"/>
        </w:rPr>
        <w:instrText xml:space="preserve">  </w:instrText>
      </w:r>
      <w:r w:rsidR="00021875" w:rsidRPr="00D22B99">
        <w:rPr>
          <w:rFonts w:cs="Arial"/>
          <w:szCs w:val="22"/>
        </w:rPr>
        <w:fldChar w:fldCharType="end"/>
      </w:r>
      <w:r w:rsidR="002630E0" w:rsidRPr="00D22B99">
        <w:rPr>
          <w:rFonts w:cs="Arial"/>
          <w:b/>
          <w:szCs w:val="22"/>
        </w:rPr>
        <w:t>Option 1:</w:t>
      </w:r>
      <w:r w:rsidR="002630E0" w:rsidRPr="00D22B99">
        <w:rPr>
          <w:rFonts w:cs="Arial"/>
          <w:szCs w:val="22"/>
        </w:rPr>
        <w:t xml:space="preserve"> The costs involved in setting up a new panel and then carrying out a procurement exercise for an auditor are expected to be significant, and the benefits of procuring locally expected to be limited. This is because the local authority audit market is a limited one (with </w:t>
      </w:r>
      <w:r w:rsidR="002630E0" w:rsidRPr="00D22B99">
        <w:rPr>
          <w:rFonts w:cs="Arial"/>
          <w:szCs w:val="22"/>
        </w:rPr>
        <w:lastRenderedPageBreak/>
        <w:t>specific registration required by providers). Neither authority is believed to have an appropriate committee because members are required to offer relevant general knowledge and experience (guidance from the Chartered Institute of Public Finance &amp; Accountancy suggests local authority finance, accountancy, audit process and regulation, and the role and responsibility of auditors as specifically relevant areas). This option is therefore not recommended.</w:t>
      </w:r>
    </w:p>
    <w:p w:rsidR="002630E0" w:rsidRPr="00D22B99" w:rsidRDefault="002630E0" w:rsidP="002630E0">
      <w:pPr>
        <w:ind w:left="1267" w:hanging="1267"/>
        <w:rPr>
          <w:rFonts w:cs="Arial"/>
          <w:szCs w:val="22"/>
        </w:rPr>
      </w:pPr>
    </w:p>
    <w:p w:rsidR="002630E0" w:rsidRPr="00D22B99" w:rsidRDefault="001E58D8" w:rsidP="00021875">
      <w:pPr>
        <w:ind w:left="1267" w:hanging="1267"/>
        <w:rPr>
          <w:rFonts w:cs="Arial"/>
          <w:szCs w:val="22"/>
        </w:rPr>
      </w:pPr>
      <w:r w:rsidRPr="00D22B99">
        <w:rPr>
          <w:rFonts w:cs="Arial"/>
          <w:szCs w:val="22"/>
        </w:rPr>
        <w:t>2.4.2</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b/>
          <w:szCs w:val="22"/>
        </w:rPr>
        <w:t>Option 2:</w:t>
      </w:r>
      <w:r w:rsidR="002630E0" w:rsidRPr="00D22B99">
        <w:rPr>
          <w:rFonts w:cs="Arial"/>
          <w:szCs w:val="22"/>
        </w:rPr>
        <w:t xml:space="preserve"> A jointly set-up panel and procurement of an auditor with other partners could be a more attractive option than option 1, as it provides an opportunity to realise more local benefits (such as the procurement of a firm offering commitment to apprenticeships in Hertfordshire). There may also be an opportunity to realise small additional efficiencies, for example through a single assessment of the Shared Internal Audit Service. However, there would still be significant cost involved in the set-up of the panel and carrying out the procurement. Even a shared procurement is unlikely to achieve economies of scale as it would be significantly smaller than those undertaken by a national body (for example, Audit Commission procurements in 2012 and 2014 were for 750 and 260 audited bodies respectively, and achieved savings of 40% and 25%). There is also no guarantee that additional efficiencies would be achieved, or local social value commitments obtained. This option is therefore not recommended.</w:t>
      </w:r>
    </w:p>
    <w:p w:rsidR="002630E0" w:rsidRPr="00D22B99" w:rsidRDefault="002630E0" w:rsidP="00021875">
      <w:pPr>
        <w:ind w:left="1267" w:hanging="1267"/>
        <w:rPr>
          <w:rFonts w:eastAsia="Calibri" w:cs="Arial"/>
          <w:szCs w:val="22"/>
          <w:lang w:eastAsia="en-US"/>
        </w:rPr>
      </w:pPr>
    </w:p>
    <w:p w:rsidR="002630E0" w:rsidRPr="00D22B99" w:rsidRDefault="001E58D8" w:rsidP="00021875">
      <w:pPr>
        <w:ind w:left="1267" w:hanging="1267"/>
        <w:rPr>
          <w:rFonts w:cs="Arial"/>
          <w:szCs w:val="22"/>
        </w:rPr>
      </w:pPr>
      <w:r w:rsidRPr="00D22B99">
        <w:rPr>
          <w:rFonts w:cs="Arial"/>
          <w:szCs w:val="22"/>
        </w:rPr>
        <w:t>2.4.3</w:t>
      </w:r>
      <w:r w:rsidR="002630E0" w:rsidRPr="00D22B99">
        <w:rPr>
          <w:rFonts w:cs="Arial"/>
          <w:szCs w:val="22"/>
        </w:rPr>
        <w:tab/>
      </w:r>
      <w:r w:rsidR="002630E0" w:rsidRPr="00D22B99">
        <w:rPr>
          <w:rFonts w:cs="Arial"/>
          <w:b/>
          <w:szCs w:val="22"/>
        </w:rPr>
        <w:fldChar w:fldCharType="begin"/>
      </w:r>
      <w:r w:rsidR="002630E0" w:rsidRPr="00D22B99">
        <w:rPr>
          <w:rFonts w:cs="Arial"/>
          <w:b/>
          <w:szCs w:val="22"/>
        </w:rPr>
        <w:instrText xml:space="preserve">  </w:instrText>
      </w:r>
      <w:r w:rsidR="002630E0" w:rsidRPr="00D22B99">
        <w:rPr>
          <w:rFonts w:cs="Arial"/>
          <w:b/>
          <w:szCs w:val="22"/>
        </w:rPr>
        <w:fldChar w:fldCharType="end"/>
      </w:r>
      <w:r w:rsidR="002630E0" w:rsidRPr="00D22B99">
        <w:rPr>
          <w:rFonts w:cs="Arial"/>
          <w:b/>
          <w:szCs w:val="22"/>
        </w:rPr>
        <w:t>Option 3:</w:t>
      </w:r>
      <w:r w:rsidR="002630E0" w:rsidRPr="00D22B99">
        <w:rPr>
          <w:rFonts w:cs="Arial"/>
          <w:szCs w:val="22"/>
        </w:rPr>
        <w:t xml:space="preserve"> Use of another authority’s panel would effectively be a combination of options 1 and 2, keeping the flexibility (and expense) of individual procurement whilst avoiding the work involved in setting up a panel (though having to share the cost). This option would also require a suitable partner to be identified. Given the conclusions on options 1 and 2, this option is not recommended.</w:t>
      </w:r>
    </w:p>
    <w:p w:rsidR="002630E0" w:rsidRPr="00D22B99" w:rsidRDefault="002630E0" w:rsidP="00021875">
      <w:pPr>
        <w:ind w:left="1267" w:hanging="1267"/>
        <w:rPr>
          <w:rFonts w:eastAsia="Calibri" w:cs="Arial"/>
          <w:szCs w:val="22"/>
          <w:lang w:eastAsia="en-US"/>
        </w:rPr>
      </w:pPr>
    </w:p>
    <w:p w:rsidR="002630E0" w:rsidRPr="00D22B99" w:rsidRDefault="001E58D8" w:rsidP="002630E0">
      <w:pPr>
        <w:ind w:left="1267" w:hanging="1267"/>
        <w:rPr>
          <w:rFonts w:cs="Arial"/>
          <w:szCs w:val="22"/>
        </w:rPr>
      </w:pPr>
      <w:r w:rsidRPr="00D22B99">
        <w:rPr>
          <w:rFonts w:cs="Arial"/>
          <w:szCs w:val="22"/>
        </w:rPr>
        <w:t>2.4.4</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b/>
          <w:szCs w:val="22"/>
        </w:rPr>
        <w:t>Option 4:</w:t>
      </w:r>
      <w:r w:rsidR="002630E0" w:rsidRPr="00D22B99">
        <w:rPr>
          <w:rFonts w:cs="Arial"/>
          <w:szCs w:val="22"/>
        </w:rPr>
        <w:t xml:space="preserve"> Use of an Appointing Person as specified in the Act to appoint auditors would allow the Councils to retain the benefits of national procurement, allow local procurement resources to be focused on core business activities, and ensure the actual and perceived independence of auditors to be maximised through the separation of the Councils from decision-making. This is therefore the recommended option.</w:t>
      </w:r>
    </w:p>
    <w:p w:rsidR="002630E0" w:rsidRPr="00D22B99" w:rsidRDefault="002630E0" w:rsidP="00021875">
      <w:pPr>
        <w:ind w:left="1267" w:hanging="1267"/>
        <w:rPr>
          <w:rFonts w:eastAsia="Calibri" w:cs="Arial"/>
          <w:szCs w:val="22"/>
          <w:lang w:eastAsia="en-US"/>
        </w:rPr>
      </w:pPr>
    </w:p>
    <w:p w:rsidR="002630E0" w:rsidRPr="00D22B99" w:rsidRDefault="001E58D8" w:rsidP="002630E0">
      <w:pPr>
        <w:ind w:left="1267" w:hanging="1267"/>
        <w:rPr>
          <w:rFonts w:cs="Arial"/>
          <w:szCs w:val="22"/>
        </w:rPr>
      </w:pPr>
      <w:r w:rsidRPr="00D22B99">
        <w:rPr>
          <w:rFonts w:cs="Arial"/>
          <w:szCs w:val="22"/>
        </w:rPr>
        <w:t>2.5</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szCs w:val="22"/>
        </w:rPr>
        <w:t xml:space="preserve">The decision to appoint auditors is a Council Function, as is the appointment of auditor panel members should an option involving an auditor panel </w:t>
      </w:r>
      <w:proofErr w:type="gramStart"/>
      <w:r w:rsidR="002630E0" w:rsidRPr="00D22B99">
        <w:rPr>
          <w:rFonts w:cs="Arial"/>
          <w:szCs w:val="22"/>
        </w:rPr>
        <w:t>be</w:t>
      </w:r>
      <w:proofErr w:type="gramEnd"/>
      <w:r w:rsidR="002630E0" w:rsidRPr="00D22B99">
        <w:rPr>
          <w:rFonts w:cs="Arial"/>
          <w:szCs w:val="22"/>
        </w:rPr>
        <w:t xml:space="preserve"> chosen. However, as the committee with responsibility for monitoring corporate governance and considering the Council’s assurance framework, the opinion and recommendation of the Audit Committee is sought in advance of a Council decision.</w:t>
      </w:r>
    </w:p>
    <w:p w:rsidR="002630E0" w:rsidRPr="00D22B99" w:rsidRDefault="002630E0" w:rsidP="00021875">
      <w:pPr>
        <w:ind w:left="1267" w:hanging="1267"/>
        <w:rPr>
          <w:rFonts w:eastAsia="Calibri" w:cs="Arial"/>
          <w:szCs w:val="22"/>
          <w:lang w:eastAsia="en-US"/>
        </w:rPr>
      </w:pPr>
    </w:p>
    <w:p w:rsidR="002630E0" w:rsidRPr="00D22B99" w:rsidRDefault="001E58D8" w:rsidP="00021875">
      <w:pPr>
        <w:ind w:left="1267" w:hanging="1267"/>
        <w:rPr>
          <w:rFonts w:cs="Arial"/>
          <w:szCs w:val="22"/>
        </w:rPr>
      </w:pPr>
      <w:r w:rsidRPr="00D22B99">
        <w:rPr>
          <w:rFonts w:cs="Arial"/>
          <w:szCs w:val="22"/>
        </w:rPr>
        <w:t>2.6</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szCs w:val="22"/>
        </w:rPr>
        <w:t>Officers have consulted informally with other Hertfordshire Authorities, via the Hertfordshire Chief Finance Officers’ Association. This group felt that there would be limited value in forming a shared panel and procuring locally. This means that it is unlikely that partners would be available for the pursuit of options 2 and 3, even if these were considered to offer value for money.</w:t>
      </w:r>
    </w:p>
    <w:p w:rsidR="002630E0" w:rsidRPr="00D22B99" w:rsidRDefault="002630E0" w:rsidP="00021875">
      <w:pPr>
        <w:ind w:left="1267" w:hanging="1267"/>
        <w:rPr>
          <w:rFonts w:eastAsia="Calibri" w:cs="Arial"/>
          <w:szCs w:val="22"/>
          <w:lang w:eastAsia="en-US"/>
        </w:rPr>
      </w:pPr>
    </w:p>
    <w:p w:rsidR="002630E0" w:rsidRPr="00D22B99" w:rsidRDefault="001E58D8" w:rsidP="00021875">
      <w:pPr>
        <w:ind w:left="1267" w:hanging="1267"/>
        <w:rPr>
          <w:rFonts w:cs="Arial"/>
          <w:szCs w:val="22"/>
        </w:rPr>
      </w:pPr>
      <w:r w:rsidRPr="00D22B99">
        <w:rPr>
          <w:rFonts w:cs="Arial"/>
          <w:szCs w:val="22"/>
        </w:rPr>
        <w:t>2.7</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szCs w:val="22"/>
        </w:rPr>
        <w:t>In the interim period between the abolition of the Audit Commission and this first round of appointments, audit contracts have been managed by Public Sector Audit Appointments Ltd. (PSAA).</w:t>
      </w:r>
    </w:p>
    <w:p w:rsidR="002630E0" w:rsidRPr="00D22B99" w:rsidRDefault="002630E0" w:rsidP="00021875">
      <w:pPr>
        <w:ind w:left="1267" w:hanging="1267"/>
        <w:rPr>
          <w:rFonts w:cs="Arial"/>
          <w:szCs w:val="22"/>
        </w:rPr>
      </w:pPr>
    </w:p>
    <w:p w:rsidR="002630E0" w:rsidRPr="00D22B99" w:rsidRDefault="001E58D8" w:rsidP="002630E0">
      <w:pPr>
        <w:ind w:left="1267" w:hanging="1267"/>
        <w:rPr>
          <w:rFonts w:cs="Arial"/>
          <w:szCs w:val="22"/>
        </w:rPr>
      </w:pPr>
      <w:r w:rsidRPr="00D22B99">
        <w:rPr>
          <w:rFonts w:cs="Arial"/>
          <w:szCs w:val="22"/>
        </w:rPr>
        <w:t>2.8</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szCs w:val="22"/>
        </w:rPr>
        <w:t xml:space="preserve"> In July 2016, PSAA was specified by the Secretary of State as an Appointing Person and will soon publish a national collective scheme for appointment (Option 4). The timescale for this scheme is currently unknown, but regulations specify that the opt-in period will last for a minimum of 8 weeks, and indications given by PSAA at the CIPFA Conference in July 2016 suggest that this is likely to be the timeframe used. Initial interest has been expressed by 200 authorities, suggesting significant economies of scale. </w:t>
      </w:r>
    </w:p>
    <w:p w:rsidR="002630E0" w:rsidRPr="00D22B99" w:rsidRDefault="002630E0" w:rsidP="002630E0">
      <w:pPr>
        <w:ind w:left="1267" w:hanging="1267"/>
        <w:rPr>
          <w:rFonts w:cs="Arial"/>
          <w:szCs w:val="22"/>
        </w:rPr>
      </w:pPr>
    </w:p>
    <w:p w:rsidR="002630E0" w:rsidRPr="00D22B99" w:rsidRDefault="001E58D8" w:rsidP="002630E0">
      <w:pPr>
        <w:ind w:left="1267" w:hanging="1267"/>
        <w:rPr>
          <w:rFonts w:cs="Arial"/>
          <w:szCs w:val="22"/>
        </w:rPr>
      </w:pPr>
      <w:r w:rsidRPr="00D22B99">
        <w:rPr>
          <w:rFonts w:cs="Arial"/>
          <w:szCs w:val="22"/>
        </w:rPr>
        <w:t>2.9</w:t>
      </w:r>
      <w:r w:rsidR="002630E0" w:rsidRPr="00D22B99">
        <w:rPr>
          <w:rFonts w:cs="Arial"/>
          <w:szCs w:val="22"/>
        </w:rPr>
        <w:tab/>
      </w:r>
      <w:r w:rsidR="002630E0" w:rsidRPr="00D22B99">
        <w:rPr>
          <w:rFonts w:cs="Arial"/>
          <w:szCs w:val="22"/>
        </w:rPr>
        <w:fldChar w:fldCharType="begin"/>
      </w:r>
      <w:r w:rsidR="002630E0" w:rsidRPr="00D22B99">
        <w:rPr>
          <w:rFonts w:cs="Arial"/>
          <w:szCs w:val="22"/>
        </w:rPr>
        <w:instrText xml:space="preserve">  </w:instrText>
      </w:r>
      <w:r w:rsidR="002630E0" w:rsidRPr="00D22B99">
        <w:rPr>
          <w:rFonts w:cs="Arial"/>
          <w:szCs w:val="22"/>
        </w:rPr>
        <w:fldChar w:fldCharType="end"/>
      </w:r>
      <w:r w:rsidR="002630E0" w:rsidRPr="00D22B99">
        <w:rPr>
          <w:rFonts w:cs="Arial"/>
          <w:szCs w:val="22"/>
        </w:rPr>
        <w:t xml:space="preserve"> Given the likely short timescale for a decision, this report also seeks a recommendation to Council to proceed with the PSAA option 4, subject to the final details of the scheme. Officers’ view is that this will continue to provide the best value for money as well as the most independent selection of auditors.</w:t>
      </w:r>
    </w:p>
    <w:p w:rsidR="002630E0" w:rsidRPr="00D22B99" w:rsidRDefault="002630E0" w:rsidP="00021875">
      <w:pPr>
        <w:ind w:left="1267" w:hanging="1267"/>
        <w:rPr>
          <w:rFonts w:eastAsia="Calibri" w:cs="Arial"/>
          <w:szCs w:val="22"/>
          <w:lang w:eastAsia="en-US"/>
        </w:rPr>
      </w:pPr>
    </w:p>
    <w:p w:rsidR="00BF34FA" w:rsidRPr="00D22B99" w:rsidRDefault="00BF34FA">
      <w:pPr>
        <w:keepNext/>
        <w:ind w:left="1267" w:hanging="1267"/>
        <w:rPr>
          <w:rFonts w:cs="Arial"/>
          <w:szCs w:val="22"/>
        </w:rPr>
      </w:pPr>
      <w:r w:rsidRPr="00D22B99">
        <w:rPr>
          <w:rFonts w:cs="Arial"/>
          <w:szCs w:val="22"/>
        </w:rPr>
        <w:lastRenderedPageBreak/>
        <w:t>3.</w:t>
      </w:r>
      <w:r w:rsidRPr="00D22B99">
        <w:rPr>
          <w:rFonts w:cs="Arial"/>
          <w:szCs w:val="22"/>
        </w:rPr>
        <w:tab/>
      </w:r>
      <w:r w:rsidRPr="00D22B99">
        <w:rPr>
          <w:rFonts w:cs="Arial"/>
          <w:b/>
          <w:szCs w:val="22"/>
        </w:rPr>
        <w:t>Options/Reasons for Recommendation</w:t>
      </w:r>
    </w:p>
    <w:p w:rsidR="00BF34FA" w:rsidRPr="00D22B99" w:rsidRDefault="00BF34FA">
      <w:pPr>
        <w:keepNext/>
        <w:ind w:left="1267" w:hanging="1267"/>
        <w:rPr>
          <w:rFonts w:cs="Arial"/>
          <w:szCs w:val="22"/>
        </w:rPr>
      </w:pPr>
    </w:p>
    <w:p w:rsidR="00BF34FA" w:rsidRPr="00D22B99" w:rsidRDefault="00BF34FA" w:rsidP="002630E0">
      <w:pPr>
        <w:ind w:left="1267" w:hanging="1267"/>
        <w:rPr>
          <w:rFonts w:cs="Arial"/>
          <w:b/>
          <w:i/>
          <w:color w:val="008000"/>
          <w:szCs w:val="22"/>
        </w:rPr>
      </w:pPr>
      <w:r w:rsidRPr="00D22B99">
        <w:rPr>
          <w:rFonts w:cs="Arial"/>
          <w:szCs w:val="22"/>
        </w:rPr>
        <w:t>3.1</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2630E0" w:rsidRPr="00D22B99">
        <w:rPr>
          <w:rFonts w:cs="Arial"/>
          <w:szCs w:val="22"/>
        </w:rPr>
        <w:t xml:space="preserve">The options available and reasons for recommendation were detailed in section 2. </w:t>
      </w:r>
    </w:p>
    <w:p w:rsidR="00BF34FA" w:rsidRPr="00D22B99" w:rsidRDefault="00BF34FA">
      <w:pPr>
        <w:ind w:left="1267" w:hanging="1267"/>
        <w:rPr>
          <w:rFonts w:cs="Arial"/>
          <w:szCs w:val="22"/>
        </w:rPr>
      </w:pPr>
    </w:p>
    <w:p w:rsidR="00BF34FA" w:rsidRPr="00D22B99" w:rsidRDefault="00BF34FA">
      <w:pPr>
        <w:keepNext/>
        <w:ind w:left="1267" w:hanging="1267"/>
        <w:rPr>
          <w:rFonts w:cs="Arial"/>
          <w:szCs w:val="22"/>
        </w:rPr>
      </w:pPr>
      <w:r w:rsidRPr="00D22B99">
        <w:rPr>
          <w:rFonts w:cs="Arial"/>
          <w:szCs w:val="22"/>
        </w:rPr>
        <w:t>4.</w:t>
      </w:r>
      <w:r w:rsidRPr="00D22B99">
        <w:rPr>
          <w:rFonts w:cs="Arial"/>
          <w:szCs w:val="22"/>
        </w:rPr>
        <w:tab/>
      </w:r>
      <w:r w:rsidRPr="00D22B99">
        <w:rPr>
          <w:rFonts w:cs="Arial"/>
          <w:b/>
          <w:szCs w:val="22"/>
        </w:rPr>
        <w:t>Policy/Budget Reference and Implications</w:t>
      </w:r>
    </w:p>
    <w:p w:rsidR="00BF34FA" w:rsidRPr="00D22B99" w:rsidRDefault="00BF34FA">
      <w:pPr>
        <w:keepNext/>
        <w:ind w:left="1267" w:hanging="1267"/>
        <w:rPr>
          <w:rFonts w:cs="Arial"/>
          <w:szCs w:val="22"/>
        </w:rPr>
      </w:pPr>
    </w:p>
    <w:p w:rsidR="00BF34FA" w:rsidRPr="00D22B99" w:rsidRDefault="00BF34FA">
      <w:pPr>
        <w:ind w:left="1267" w:hanging="1267"/>
        <w:rPr>
          <w:rFonts w:cs="Arial"/>
          <w:b/>
          <w:i/>
          <w:color w:val="008000"/>
          <w:szCs w:val="22"/>
        </w:rPr>
      </w:pPr>
      <w:r w:rsidRPr="00D22B99">
        <w:rPr>
          <w:rFonts w:cs="Arial"/>
          <w:szCs w:val="22"/>
        </w:rPr>
        <w:t>4.1</w:t>
      </w:r>
      <w:r w:rsidRPr="00D22B99">
        <w:rPr>
          <w:rFonts w:cs="Arial"/>
          <w:szCs w:val="22"/>
        </w:rPr>
        <w:tab/>
        <w:t xml:space="preserve">The recommendations in this report are not within the Council’s agreed policy </w:t>
      </w:r>
      <w:r w:rsidR="002630E0" w:rsidRPr="00D22B99">
        <w:rPr>
          <w:rFonts w:cs="Arial"/>
          <w:szCs w:val="22"/>
        </w:rPr>
        <w:t>because this is the first instance of local appointment of auditors. However, existing</w:t>
      </w:r>
      <w:r w:rsidRPr="00D22B99">
        <w:rPr>
          <w:rFonts w:cs="Arial"/>
          <w:szCs w:val="22"/>
        </w:rPr>
        <w:t xml:space="preserve"> budgets</w:t>
      </w:r>
      <w:r w:rsidR="002630E0" w:rsidRPr="00D22B99">
        <w:rPr>
          <w:rFonts w:cs="Arial"/>
          <w:szCs w:val="22"/>
        </w:rPr>
        <w:t xml:space="preserve"> contain provision for the costs of external audit</w:t>
      </w:r>
      <w:r w:rsidRPr="00D22B99">
        <w:rPr>
          <w:rFonts w:cs="Arial"/>
          <w:szCs w:val="22"/>
        </w:rPr>
        <w:t>.</w:t>
      </w:r>
      <w:r w:rsidR="00021875" w:rsidRPr="00D22B99">
        <w:rPr>
          <w:rFonts w:cs="Arial"/>
          <w:szCs w:val="22"/>
        </w:rPr>
        <w:t xml:space="preserve"> </w:t>
      </w:r>
    </w:p>
    <w:p w:rsidR="00BF34FA" w:rsidRPr="00D22B99" w:rsidRDefault="00BF34FA">
      <w:pPr>
        <w:ind w:left="1267" w:hanging="1267"/>
        <w:rPr>
          <w:rFonts w:cs="Arial"/>
          <w:szCs w:val="22"/>
        </w:rPr>
      </w:pPr>
    </w:p>
    <w:p w:rsidR="00021875" w:rsidRPr="00D22B99" w:rsidRDefault="00BF34FA">
      <w:pPr>
        <w:ind w:left="1267" w:hanging="1267"/>
        <w:rPr>
          <w:rFonts w:cs="Arial"/>
          <w:i/>
          <w:szCs w:val="22"/>
        </w:rPr>
      </w:pPr>
      <w:r w:rsidRPr="00D22B99">
        <w:rPr>
          <w:rFonts w:cs="Arial"/>
          <w:szCs w:val="22"/>
        </w:rPr>
        <w:t>4.2</w:t>
      </w:r>
      <w:r w:rsidRPr="00D22B99">
        <w:rPr>
          <w:rFonts w:cs="Arial"/>
          <w:szCs w:val="22"/>
        </w:rPr>
        <w:tab/>
        <w:t xml:space="preserve">The purpose of this proposed policy is </w:t>
      </w:r>
      <w:r w:rsidR="00021875" w:rsidRPr="00D22B99">
        <w:rPr>
          <w:rFonts w:cs="Arial"/>
          <w:szCs w:val="22"/>
        </w:rPr>
        <w:t>to fulfil the requirements of the Local Audit &amp; Accountability Act by the statutory deadline.</w:t>
      </w:r>
      <w:r w:rsidRPr="00D22B99">
        <w:rPr>
          <w:rFonts w:cs="Arial"/>
          <w:i/>
          <w:szCs w:val="22"/>
        </w:rPr>
        <w:t xml:space="preserve"> </w:t>
      </w:r>
    </w:p>
    <w:p w:rsidR="00021875" w:rsidRPr="00D22B99" w:rsidRDefault="00021875">
      <w:pPr>
        <w:ind w:left="1267" w:hanging="1267"/>
        <w:rPr>
          <w:rFonts w:cs="Arial"/>
          <w:i/>
          <w:szCs w:val="22"/>
        </w:rPr>
      </w:pPr>
    </w:p>
    <w:p w:rsidR="00490883" w:rsidRPr="00D22B99" w:rsidRDefault="00490883">
      <w:pPr>
        <w:ind w:left="1267" w:hanging="1267"/>
        <w:rPr>
          <w:rFonts w:cs="Arial"/>
          <w:szCs w:val="22"/>
        </w:rPr>
      </w:pPr>
      <w:r w:rsidRPr="00D22B99">
        <w:rPr>
          <w:rFonts w:cs="Arial"/>
          <w:szCs w:val="22"/>
        </w:rPr>
        <w:t>4.3</w:t>
      </w:r>
      <w:r w:rsidRPr="00D22B99">
        <w:rPr>
          <w:rFonts w:cs="Arial"/>
          <w:szCs w:val="22"/>
        </w:rPr>
        <w:tab/>
        <w:t xml:space="preserve">The proposed policy will impact on the following performance </w:t>
      </w:r>
      <w:r w:rsidR="00874DCD" w:rsidRPr="00D22B99">
        <w:rPr>
          <w:rFonts w:cs="Arial"/>
          <w:szCs w:val="22"/>
        </w:rPr>
        <w:t>indicators</w:t>
      </w:r>
      <w:r w:rsidRPr="00D22B99">
        <w:rPr>
          <w:rFonts w:cs="Arial"/>
          <w:szCs w:val="22"/>
        </w:rPr>
        <w:t>:</w:t>
      </w:r>
    </w:p>
    <w:p w:rsidR="00490883" w:rsidRPr="00D22B99" w:rsidRDefault="002630E0" w:rsidP="002630E0">
      <w:pPr>
        <w:pStyle w:val="ListParagraph"/>
        <w:numPr>
          <w:ilvl w:val="0"/>
          <w:numId w:val="5"/>
        </w:numPr>
        <w:rPr>
          <w:rFonts w:cs="Arial"/>
          <w:szCs w:val="22"/>
        </w:rPr>
      </w:pPr>
      <w:r w:rsidRPr="00D22B99">
        <w:rPr>
          <w:rFonts w:cs="Arial"/>
          <w:szCs w:val="22"/>
        </w:rPr>
        <w:t>FN04 (1) Closure of Annual Accounts and Production of Statements – Statement of Accounts approval</w:t>
      </w:r>
    </w:p>
    <w:p w:rsidR="002630E0" w:rsidRPr="00D22B99" w:rsidRDefault="002630E0">
      <w:pPr>
        <w:ind w:left="1267" w:hanging="1267"/>
        <w:rPr>
          <w:rFonts w:cs="Arial"/>
          <w:b/>
          <w:i/>
          <w:color w:val="008000"/>
          <w:szCs w:val="22"/>
        </w:rPr>
      </w:pPr>
    </w:p>
    <w:p w:rsidR="00490883" w:rsidRPr="00D22B99" w:rsidRDefault="00490883" w:rsidP="00490883">
      <w:pPr>
        <w:ind w:left="1267" w:hanging="1267"/>
        <w:rPr>
          <w:rFonts w:cs="Arial"/>
          <w:szCs w:val="22"/>
        </w:rPr>
      </w:pPr>
      <w:r w:rsidRPr="00D22B99">
        <w:rPr>
          <w:rFonts w:cs="Arial"/>
          <w:szCs w:val="22"/>
        </w:rPr>
        <w:t>4.4</w:t>
      </w:r>
      <w:r w:rsidRPr="00D22B99">
        <w:rPr>
          <w:rFonts w:cs="Arial"/>
          <w:szCs w:val="22"/>
        </w:rPr>
        <w:tab/>
        <w:t>The impact of the recommendations on this/these performance indicator(s) is:</w:t>
      </w:r>
    </w:p>
    <w:p w:rsidR="002630E0" w:rsidRPr="00D22B99" w:rsidRDefault="002630E0" w:rsidP="002630E0">
      <w:pPr>
        <w:pStyle w:val="ListParagraph"/>
        <w:numPr>
          <w:ilvl w:val="0"/>
          <w:numId w:val="5"/>
        </w:numPr>
        <w:rPr>
          <w:rFonts w:cs="Arial"/>
          <w:szCs w:val="22"/>
        </w:rPr>
      </w:pPr>
      <w:r w:rsidRPr="00D22B99">
        <w:rPr>
          <w:rFonts w:cs="Arial"/>
          <w:szCs w:val="22"/>
        </w:rPr>
        <w:t>If no auditor is appointed then it will not be possible to achieve closure of the account</w:t>
      </w:r>
      <w:r w:rsidR="00270C0B" w:rsidRPr="00D22B99">
        <w:rPr>
          <w:rFonts w:cs="Arial"/>
          <w:szCs w:val="22"/>
        </w:rPr>
        <w:t xml:space="preserve">s and approval by Audit Committee. </w:t>
      </w:r>
    </w:p>
    <w:p w:rsidR="00BF34FA" w:rsidRPr="00D22B99" w:rsidRDefault="00BF34FA">
      <w:pPr>
        <w:ind w:left="1267" w:hanging="1267"/>
        <w:rPr>
          <w:rFonts w:cs="Arial"/>
          <w:b/>
          <w:i/>
          <w:color w:val="008000"/>
          <w:szCs w:val="22"/>
        </w:rPr>
      </w:pPr>
      <w:r w:rsidRPr="00D22B99">
        <w:rPr>
          <w:rFonts w:cs="Arial"/>
          <w:szCs w:val="22"/>
        </w:rPr>
        <w:tab/>
      </w:r>
    </w:p>
    <w:p w:rsidR="00BF34FA" w:rsidRPr="00D22B99" w:rsidRDefault="00BF34FA">
      <w:pPr>
        <w:keepNext/>
        <w:ind w:left="1267" w:hanging="1267"/>
        <w:rPr>
          <w:rFonts w:cs="Arial"/>
          <w:szCs w:val="22"/>
        </w:rPr>
      </w:pPr>
      <w:r w:rsidRPr="00D22B99">
        <w:rPr>
          <w:rFonts w:cs="Arial"/>
          <w:szCs w:val="22"/>
        </w:rPr>
        <w:t>5.</w:t>
      </w:r>
      <w:r w:rsidRPr="00D22B99">
        <w:rPr>
          <w:rFonts w:cs="Arial"/>
          <w:szCs w:val="22"/>
        </w:rPr>
        <w:tab/>
      </w:r>
      <w:r w:rsidRPr="00D22B99">
        <w:rPr>
          <w:rFonts w:cs="Arial"/>
          <w:b/>
          <w:szCs w:val="22"/>
        </w:rPr>
        <w:t>Financial Implications</w:t>
      </w:r>
    </w:p>
    <w:p w:rsidR="00BF34FA" w:rsidRPr="00D22B99" w:rsidRDefault="00BF34FA">
      <w:pPr>
        <w:keepNext/>
        <w:ind w:left="1267" w:hanging="1267"/>
        <w:rPr>
          <w:rFonts w:cs="Arial"/>
          <w:szCs w:val="22"/>
        </w:rPr>
      </w:pPr>
    </w:p>
    <w:p w:rsidR="00BF34FA" w:rsidRPr="00D22B99" w:rsidRDefault="00BF34FA">
      <w:pPr>
        <w:tabs>
          <w:tab w:val="left" w:pos="3330"/>
        </w:tabs>
        <w:ind w:left="1267" w:hanging="1267"/>
        <w:rPr>
          <w:rFonts w:cs="Arial"/>
          <w:szCs w:val="22"/>
        </w:rPr>
      </w:pPr>
      <w:r w:rsidRPr="00D22B99">
        <w:rPr>
          <w:rFonts w:cs="Arial"/>
          <w:szCs w:val="22"/>
        </w:rPr>
        <w:t>5.1</w:t>
      </w:r>
      <w:r w:rsidRPr="00D22B99">
        <w:rPr>
          <w:rFonts w:cs="Arial"/>
          <w:i/>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925C90" w:rsidRPr="00D22B99">
        <w:rPr>
          <w:rFonts w:cs="Arial"/>
          <w:szCs w:val="22"/>
        </w:rPr>
        <w:t>The cost of external audit shown in the 2015/16 accounts was £54k (TRDC) and £60k (WBC).</w:t>
      </w:r>
    </w:p>
    <w:p w:rsidR="00925C90" w:rsidRPr="00D22B99" w:rsidRDefault="00925C90">
      <w:pPr>
        <w:tabs>
          <w:tab w:val="left" w:pos="3330"/>
        </w:tabs>
        <w:ind w:left="1267" w:hanging="1267"/>
        <w:rPr>
          <w:rFonts w:cs="Arial"/>
          <w:szCs w:val="22"/>
        </w:rPr>
      </w:pPr>
    </w:p>
    <w:p w:rsidR="00925C90" w:rsidRPr="00D22B99" w:rsidRDefault="00925C90">
      <w:pPr>
        <w:tabs>
          <w:tab w:val="left" w:pos="3330"/>
        </w:tabs>
        <w:ind w:left="1267" w:hanging="1267"/>
        <w:rPr>
          <w:rFonts w:cs="Arial"/>
          <w:b/>
          <w:i/>
          <w:color w:val="008000"/>
          <w:szCs w:val="22"/>
        </w:rPr>
      </w:pPr>
      <w:r w:rsidRPr="00D22B99">
        <w:rPr>
          <w:rFonts w:cs="Arial"/>
          <w:szCs w:val="22"/>
        </w:rPr>
        <w:t>5.2</w:t>
      </w:r>
      <w:r w:rsidRPr="00D22B99">
        <w:rPr>
          <w:rFonts w:cs="Arial"/>
          <w:i/>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 xml:space="preserve">The </w:t>
      </w:r>
      <w:r w:rsidR="00921261" w:rsidRPr="00D22B99">
        <w:rPr>
          <w:rFonts w:cs="Arial"/>
          <w:szCs w:val="22"/>
        </w:rPr>
        <w:t xml:space="preserve">Head of </w:t>
      </w:r>
      <w:r w:rsidRPr="00D22B99">
        <w:rPr>
          <w:rFonts w:cs="Arial"/>
          <w:szCs w:val="22"/>
        </w:rPr>
        <w:t>Finance</w:t>
      </w:r>
      <w:r w:rsidR="00921261" w:rsidRPr="00D22B99">
        <w:rPr>
          <w:rFonts w:cs="Arial"/>
          <w:szCs w:val="22"/>
        </w:rPr>
        <w:t xml:space="preserve"> (shared services)</w:t>
      </w:r>
      <w:r w:rsidRPr="00D22B99">
        <w:rPr>
          <w:rFonts w:cs="Arial"/>
          <w:szCs w:val="22"/>
        </w:rPr>
        <w:t xml:space="preserve"> comments that</w:t>
      </w:r>
      <w:r w:rsidR="00921261" w:rsidRPr="00D22B99">
        <w:rPr>
          <w:rFonts w:cs="Arial"/>
          <w:szCs w:val="22"/>
        </w:rPr>
        <w:t xml:space="preserve"> traditionally district councils do not generate a large income stream for the external audit firms, due to their fees being capped by the audit commission (and latterly PSAA).  It is therefore highly unlikely that the Council will be able to generate competitive bids in its own and thus the recommendation to engage through the PSAA Appointing Person arrangement.</w:t>
      </w:r>
    </w:p>
    <w:p w:rsidR="00BF34FA" w:rsidRPr="00D22B99" w:rsidRDefault="00BF34FA">
      <w:pPr>
        <w:ind w:left="1267" w:hanging="1267"/>
        <w:rPr>
          <w:rFonts w:cs="Arial"/>
          <w:szCs w:val="22"/>
        </w:rPr>
      </w:pPr>
    </w:p>
    <w:p w:rsidR="00BF34FA" w:rsidRPr="00D22B99" w:rsidRDefault="00BF34FA">
      <w:pPr>
        <w:keepNext/>
        <w:ind w:left="1267" w:hanging="1267"/>
        <w:rPr>
          <w:rFonts w:cs="Arial"/>
          <w:szCs w:val="22"/>
        </w:rPr>
      </w:pPr>
      <w:r w:rsidRPr="00D22B99">
        <w:rPr>
          <w:rFonts w:cs="Arial"/>
          <w:szCs w:val="22"/>
        </w:rPr>
        <w:t>6.</w:t>
      </w:r>
      <w:r w:rsidRPr="00D22B99">
        <w:rPr>
          <w:rFonts w:cs="Arial"/>
          <w:szCs w:val="22"/>
        </w:rPr>
        <w:tab/>
      </w:r>
      <w:r w:rsidRPr="00D22B99">
        <w:rPr>
          <w:rFonts w:cs="Arial"/>
          <w:b/>
          <w:szCs w:val="22"/>
        </w:rPr>
        <w:t>Legal Implications</w:t>
      </w:r>
    </w:p>
    <w:p w:rsidR="00BF34FA" w:rsidRPr="00D22B99" w:rsidRDefault="00BF34FA">
      <w:pPr>
        <w:keepNext/>
        <w:ind w:left="1267" w:hanging="1267"/>
        <w:rPr>
          <w:rFonts w:cs="Arial"/>
          <w:szCs w:val="22"/>
        </w:rPr>
      </w:pPr>
    </w:p>
    <w:p w:rsidR="00BF34FA" w:rsidRPr="00D22B99" w:rsidRDefault="00BF34FA" w:rsidP="00925C90">
      <w:pPr>
        <w:ind w:left="1276" w:hanging="1276"/>
        <w:rPr>
          <w:rFonts w:cs="Arial"/>
          <w:szCs w:val="22"/>
        </w:rPr>
      </w:pPr>
      <w:r w:rsidRPr="00D22B99">
        <w:rPr>
          <w:rFonts w:cs="Arial"/>
          <w:szCs w:val="22"/>
        </w:rPr>
        <w:t>6.1</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925C90" w:rsidRPr="00D22B99">
        <w:rPr>
          <w:rFonts w:cs="Arial"/>
          <w:szCs w:val="22"/>
        </w:rPr>
        <w:t>Failure to appoint an auditor must be reported to the Secretary of State, who may direct an authority to appoint a named auditor or appoint an auditor on that authority’s behalf.</w:t>
      </w:r>
    </w:p>
    <w:p w:rsidR="00925C90" w:rsidRPr="00D22B99" w:rsidRDefault="00925C90" w:rsidP="00925C90">
      <w:pPr>
        <w:ind w:left="1276" w:hanging="1276"/>
        <w:rPr>
          <w:rFonts w:cs="Arial"/>
          <w:szCs w:val="22"/>
        </w:rPr>
      </w:pPr>
    </w:p>
    <w:p w:rsidR="00925C90" w:rsidRPr="00D22B99" w:rsidRDefault="00925C90" w:rsidP="00925C90">
      <w:pPr>
        <w:ind w:left="1276" w:hanging="1276"/>
        <w:rPr>
          <w:rFonts w:cs="Arial"/>
          <w:szCs w:val="22"/>
        </w:rPr>
      </w:pPr>
      <w:r w:rsidRPr="00D22B99">
        <w:rPr>
          <w:rFonts w:cs="Arial"/>
          <w:szCs w:val="22"/>
        </w:rPr>
        <w:t>6.2</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The Solicitor to the Council comments that the 2014 Act specifies that appointment of an auditor panel and independent members to that panel are decisions to be made by full council only as is the appointment of the auditor or the decision to opt in to the Appointed Persons scheme.</w:t>
      </w:r>
    </w:p>
    <w:p w:rsidR="00925C90" w:rsidRPr="00D22B99" w:rsidRDefault="00925C90" w:rsidP="00925C90">
      <w:pPr>
        <w:ind w:left="1276" w:hanging="1276"/>
        <w:rPr>
          <w:rFonts w:cs="Arial"/>
          <w:szCs w:val="22"/>
        </w:rPr>
      </w:pPr>
    </w:p>
    <w:p w:rsidR="00925C90" w:rsidRPr="00D22B99" w:rsidRDefault="00925C90" w:rsidP="00925C90">
      <w:pPr>
        <w:ind w:left="1276" w:hanging="1276"/>
        <w:rPr>
          <w:rFonts w:cs="Arial"/>
          <w:szCs w:val="22"/>
        </w:rPr>
      </w:pPr>
      <w:r w:rsidRPr="00D22B99">
        <w:rPr>
          <w:rFonts w:cs="Arial"/>
          <w:szCs w:val="22"/>
        </w:rPr>
        <w:t>6.2</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If Council decides not to opt in then a panel must be set up so that auditors can be appointed by no later than 31 December 2017.</w:t>
      </w:r>
    </w:p>
    <w:p w:rsidR="00925C90" w:rsidRPr="00D22B99" w:rsidRDefault="00925C90" w:rsidP="00925C90">
      <w:pPr>
        <w:ind w:left="1276" w:hanging="1276"/>
        <w:rPr>
          <w:rFonts w:cs="Arial"/>
          <w:szCs w:val="22"/>
        </w:rPr>
      </w:pPr>
    </w:p>
    <w:p w:rsidR="00925C90" w:rsidRPr="00D22B99" w:rsidRDefault="00925C90" w:rsidP="00925C90">
      <w:pPr>
        <w:ind w:left="1276" w:hanging="1276"/>
        <w:rPr>
          <w:rFonts w:cs="Arial"/>
          <w:szCs w:val="22"/>
        </w:rPr>
      </w:pPr>
      <w:r w:rsidRPr="00D22B99">
        <w:rPr>
          <w:rFonts w:cs="Arial"/>
          <w:szCs w:val="22"/>
        </w:rPr>
        <w:t>6.2</w:t>
      </w:r>
      <w:r w:rsidRPr="00D22B99">
        <w:rPr>
          <w:rFonts w:cs="Arial"/>
          <w:szCs w:val="22"/>
        </w:rPr>
        <w:tab/>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Council is required to advertise for the positions of independent members of the audit panel and one of the independent members must be chair of the panel.</w:t>
      </w:r>
    </w:p>
    <w:p w:rsidR="00925C90" w:rsidRPr="00D22B99" w:rsidRDefault="00925C90" w:rsidP="00925C90">
      <w:pPr>
        <w:ind w:left="1276" w:hanging="1276"/>
        <w:rPr>
          <w:rFonts w:cs="Arial"/>
          <w:szCs w:val="22"/>
        </w:rPr>
      </w:pPr>
    </w:p>
    <w:p w:rsidR="00BF34FA" w:rsidRPr="00D22B99" w:rsidRDefault="00270C0B">
      <w:pPr>
        <w:keepNext/>
        <w:ind w:left="1267" w:hanging="1267"/>
        <w:rPr>
          <w:rFonts w:cs="Arial"/>
          <w:b/>
          <w:szCs w:val="22"/>
        </w:rPr>
      </w:pPr>
      <w:r w:rsidRPr="00D22B99">
        <w:rPr>
          <w:rFonts w:cs="Arial"/>
          <w:szCs w:val="22"/>
        </w:rPr>
        <w:t>7</w:t>
      </w:r>
      <w:r w:rsidR="00BF34FA" w:rsidRPr="00D22B99">
        <w:rPr>
          <w:rFonts w:cs="Arial"/>
          <w:szCs w:val="22"/>
        </w:rPr>
        <w:t>.</w:t>
      </w:r>
      <w:r w:rsidR="00BF34FA" w:rsidRPr="00D22B99">
        <w:rPr>
          <w:rFonts w:cs="Arial"/>
          <w:szCs w:val="22"/>
        </w:rPr>
        <w:tab/>
      </w:r>
      <w:r w:rsidR="00BF34FA" w:rsidRPr="00D22B99">
        <w:rPr>
          <w:rFonts w:cs="Arial"/>
          <w:b/>
          <w:szCs w:val="22"/>
        </w:rPr>
        <w:t>Risk Management and Health &amp; Safety Implications</w:t>
      </w:r>
    </w:p>
    <w:p w:rsidR="00BF34FA" w:rsidRPr="00D22B99" w:rsidRDefault="00BF34FA" w:rsidP="00270C0B">
      <w:pPr>
        <w:ind w:left="1260" w:hanging="1260"/>
        <w:rPr>
          <w:rFonts w:cs="Arial"/>
          <w:szCs w:val="22"/>
        </w:rPr>
      </w:pPr>
      <w:r w:rsidRPr="00D22B99">
        <w:rPr>
          <w:rFonts w:cs="Arial"/>
          <w:b/>
          <w:i/>
          <w:color w:val="008000"/>
          <w:szCs w:val="22"/>
        </w:rPr>
        <w:tab/>
      </w:r>
    </w:p>
    <w:p w:rsidR="00BF34FA" w:rsidRPr="00D22B99" w:rsidRDefault="00270C0B">
      <w:pPr>
        <w:ind w:left="1276" w:hanging="1276"/>
        <w:rPr>
          <w:rFonts w:cs="Arial"/>
          <w:szCs w:val="22"/>
        </w:rPr>
      </w:pPr>
      <w:r w:rsidRPr="00D22B99">
        <w:rPr>
          <w:rFonts w:cs="Arial"/>
          <w:szCs w:val="22"/>
        </w:rPr>
        <w:t>7</w:t>
      </w:r>
      <w:r w:rsidR="00BF34FA" w:rsidRPr="00D22B99">
        <w:rPr>
          <w:rFonts w:cs="Arial"/>
          <w:szCs w:val="22"/>
        </w:rPr>
        <w:t>.1</w:t>
      </w:r>
      <w:r w:rsidR="00BF34FA" w:rsidRPr="00D22B99">
        <w:rPr>
          <w:rFonts w:cs="Arial"/>
          <w:szCs w:val="22"/>
        </w:rPr>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BF34FA" w:rsidRPr="00D22B99" w:rsidRDefault="00BF34FA">
      <w:pPr>
        <w:rPr>
          <w:rFonts w:cs="Arial"/>
          <w:szCs w:val="22"/>
        </w:rPr>
      </w:pPr>
    </w:p>
    <w:p w:rsidR="00BF34FA" w:rsidRPr="00D22B99" w:rsidRDefault="00270C0B">
      <w:pPr>
        <w:ind w:left="1260" w:hanging="1260"/>
        <w:rPr>
          <w:rFonts w:cs="Arial"/>
          <w:szCs w:val="22"/>
        </w:rPr>
      </w:pPr>
      <w:r w:rsidRPr="00D22B99">
        <w:rPr>
          <w:rFonts w:cs="Arial"/>
          <w:szCs w:val="22"/>
        </w:rPr>
        <w:t>7</w:t>
      </w:r>
      <w:r w:rsidR="00BF34FA" w:rsidRPr="00D22B99">
        <w:rPr>
          <w:rFonts w:cs="Arial"/>
          <w:szCs w:val="22"/>
        </w:rPr>
        <w:t>.2</w:t>
      </w:r>
      <w:r w:rsidR="00BF34FA" w:rsidRPr="00D22B99">
        <w:rPr>
          <w:rFonts w:cs="Arial"/>
          <w:szCs w:val="22"/>
        </w:rPr>
        <w:tab/>
        <w:t xml:space="preserve">The subject of this report is covered by the </w:t>
      </w:r>
      <w:r w:rsidR="00BF34FA" w:rsidRPr="00D22B99">
        <w:rPr>
          <w:rFonts w:cs="Arial"/>
          <w:szCs w:val="22"/>
        </w:rPr>
        <w:fldChar w:fldCharType="begin"/>
      </w:r>
      <w:r w:rsidR="00BF34FA" w:rsidRPr="00D22B99">
        <w:rPr>
          <w:rFonts w:cs="Arial"/>
          <w:szCs w:val="22"/>
        </w:rPr>
        <w:instrText xml:space="preserve"> ASK   \* MERGEFORMAT </w:instrText>
      </w:r>
      <w:r w:rsidR="00BF34FA" w:rsidRPr="00D22B99">
        <w:rPr>
          <w:rFonts w:cs="Arial"/>
          <w:szCs w:val="22"/>
        </w:rPr>
        <w:fldChar w:fldCharType="end"/>
      </w:r>
      <w:r w:rsidRPr="00D22B99">
        <w:rPr>
          <w:rFonts w:cs="Arial"/>
          <w:szCs w:val="22"/>
        </w:rPr>
        <w:t xml:space="preserve">Finance </w:t>
      </w:r>
      <w:r w:rsidR="00BF34FA" w:rsidRPr="00D22B99">
        <w:rPr>
          <w:rFonts w:cs="Arial"/>
          <w:szCs w:val="22"/>
        </w:rPr>
        <w:t>service plan</w:t>
      </w:r>
      <w:r w:rsidR="00BF34FA" w:rsidRPr="00D22B99">
        <w:rPr>
          <w:rFonts w:cs="Arial"/>
          <w:b/>
          <w:i/>
          <w:color w:val="008000"/>
          <w:szCs w:val="22"/>
        </w:rPr>
        <w:t>.</w:t>
      </w:r>
      <w:r w:rsidR="00BF34FA" w:rsidRPr="00D22B99">
        <w:rPr>
          <w:rFonts w:cs="Arial"/>
          <w:szCs w:val="22"/>
        </w:rPr>
        <w:t xml:space="preserve">  Any risks resulting from this report will be included in the risk register and, if necessary, managed within this plan.</w:t>
      </w:r>
    </w:p>
    <w:p w:rsidR="00BF34FA" w:rsidRPr="00D22B99" w:rsidRDefault="00BF34FA">
      <w:pPr>
        <w:rPr>
          <w:rFonts w:cs="Arial"/>
          <w:szCs w:val="22"/>
        </w:rPr>
      </w:pPr>
    </w:p>
    <w:p w:rsidR="00BF34FA" w:rsidRPr="00D22B99" w:rsidRDefault="00270C0B">
      <w:pPr>
        <w:ind w:left="1260" w:hanging="1260"/>
        <w:rPr>
          <w:rFonts w:cs="Arial"/>
          <w:szCs w:val="22"/>
        </w:rPr>
      </w:pPr>
      <w:r w:rsidRPr="00D22B99">
        <w:rPr>
          <w:rFonts w:cs="Arial"/>
          <w:szCs w:val="22"/>
        </w:rPr>
        <w:lastRenderedPageBreak/>
        <w:t>7.3</w:t>
      </w:r>
      <w:r w:rsidR="00BF34FA" w:rsidRPr="00D22B99">
        <w:rPr>
          <w:rFonts w:cs="Arial"/>
          <w:szCs w:val="22"/>
        </w:rPr>
        <w:tab/>
        <w:t xml:space="preserve">The following table gives the risks if the recommendation(s) are agreed, together with a scored assessment of their impact and likelihood: </w:t>
      </w:r>
    </w:p>
    <w:p w:rsidR="00BF34FA" w:rsidRPr="00D22B99" w:rsidRDefault="00BF34FA">
      <w:pPr>
        <w:pStyle w:val="Header"/>
        <w:tabs>
          <w:tab w:val="clear" w:pos="4153"/>
          <w:tab w:val="clear" w:pos="8306"/>
          <w:tab w:val="left" w:pos="1260"/>
          <w:tab w:val="left" w:pos="1980"/>
          <w:tab w:val="left" w:pos="2700"/>
          <w:tab w:val="left" w:pos="3420"/>
        </w:tabs>
        <w:rPr>
          <w:rFonts w:cs="Arial"/>
          <w:szCs w:val="22"/>
        </w:rPr>
      </w:pPr>
    </w:p>
    <w:tbl>
      <w:tblPr>
        <w:tblW w:w="79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270C0B" w:rsidRPr="00D22B99" w:rsidTr="00270C0B">
        <w:tc>
          <w:tcPr>
            <w:tcW w:w="5384" w:type="dxa"/>
            <w:gridSpan w:val="2"/>
          </w:tcPr>
          <w:p w:rsidR="00270C0B" w:rsidRPr="00D22B99" w:rsidRDefault="00270C0B">
            <w:pPr>
              <w:jc w:val="center"/>
              <w:rPr>
                <w:rFonts w:cs="Arial"/>
                <w:szCs w:val="22"/>
              </w:rPr>
            </w:pPr>
            <w:r w:rsidRPr="00D22B99">
              <w:rPr>
                <w:rFonts w:cs="Arial"/>
                <w:szCs w:val="22"/>
              </w:rPr>
              <w:t>Description of Risk</w:t>
            </w:r>
          </w:p>
        </w:tc>
        <w:tc>
          <w:tcPr>
            <w:tcW w:w="1170" w:type="dxa"/>
          </w:tcPr>
          <w:p w:rsidR="00270C0B" w:rsidRPr="00D22B99" w:rsidRDefault="00270C0B">
            <w:pPr>
              <w:jc w:val="center"/>
              <w:rPr>
                <w:rFonts w:cs="Arial"/>
                <w:szCs w:val="22"/>
              </w:rPr>
            </w:pPr>
            <w:r w:rsidRPr="00D22B99">
              <w:rPr>
                <w:rFonts w:cs="Arial"/>
                <w:szCs w:val="22"/>
              </w:rPr>
              <w:t>Impact</w:t>
            </w:r>
          </w:p>
        </w:tc>
        <w:tc>
          <w:tcPr>
            <w:tcW w:w="1350" w:type="dxa"/>
          </w:tcPr>
          <w:p w:rsidR="00270C0B" w:rsidRPr="00D22B99" w:rsidRDefault="00270C0B">
            <w:pPr>
              <w:ind w:left="34"/>
              <w:jc w:val="center"/>
              <w:rPr>
                <w:rFonts w:cs="Arial"/>
                <w:szCs w:val="22"/>
              </w:rPr>
            </w:pPr>
            <w:r w:rsidRPr="00D22B99">
              <w:rPr>
                <w:rFonts w:cs="Arial"/>
                <w:szCs w:val="22"/>
              </w:rPr>
              <w:t>Likelihood</w:t>
            </w:r>
          </w:p>
        </w:tc>
      </w:tr>
      <w:tr w:rsidR="00270C0B" w:rsidRPr="00D22B99" w:rsidTr="00270C0B">
        <w:tc>
          <w:tcPr>
            <w:tcW w:w="328" w:type="dxa"/>
          </w:tcPr>
          <w:p w:rsidR="00270C0B" w:rsidRPr="00D22B99" w:rsidRDefault="00270C0B">
            <w:pPr>
              <w:jc w:val="left"/>
              <w:rPr>
                <w:rFonts w:cs="Arial"/>
                <w:szCs w:val="22"/>
              </w:rPr>
            </w:pPr>
            <w:r w:rsidRPr="00D22B99">
              <w:rPr>
                <w:rFonts w:cs="Arial"/>
                <w:szCs w:val="22"/>
              </w:rPr>
              <w:t>1</w:t>
            </w:r>
          </w:p>
        </w:tc>
        <w:tc>
          <w:tcPr>
            <w:tcW w:w="5056" w:type="dxa"/>
          </w:tcPr>
          <w:p w:rsidR="00270C0B" w:rsidRPr="00D22B99" w:rsidRDefault="00270C0B" w:rsidP="003744A2">
            <w:pPr>
              <w:keepNext/>
              <w:keepLines/>
              <w:rPr>
                <w:rFonts w:cs="Arial"/>
                <w:szCs w:val="22"/>
              </w:rPr>
            </w:pPr>
            <w:r w:rsidRPr="00D22B99">
              <w:rPr>
                <w:rFonts w:cs="Arial"/>
                <w:szCs w:val="22"/>
              </w:rPr>
              <w:t>The Council does not successfully appoint an auditor by 31 December 2017 deadline.</w:t>
            </w:r>
          </w:p>
        </w:tc>
        <w:tc>
          <w:tcPr>
            <w:tcW w:w="1170" w:type="dxa"/>
            <w:vAlign w:val="center"/>
          </w:tcPr>
          <w:p w:rsidR="00270C0B" w:rsidRPr="00D22B99" w:rsidRDefault="00270C0B" w:rsidP="003744A2">
            <w:pPr>
              <w:keepNext/>
              <w:keepLines/>
              <w:jc w:val="center"/>
              <w:rPr>
                <w:rFonts w:cs="Arial"/>
                <w:szCs w:val="22"/>
              </w:rPr>
            </w:pPr>
            <w:r w:rsidRPr="00D22B99">
              <w:rPr>
                <w:rFonts w:cs="Arial"/>
                <w:szCs w:val="22"/>
              </w:rPr>
              <w:t>III</w:t>
            </w:r>
          </w:p>
        </w:tc>
        <w:tc>
          <w:tcPr>
            <w:tcW w:w="1350" w:type="dxa"/>
            <w:vAlign w:val="center"/>
          </w:tcPr>
          <w:p w:rsidR="00270C0B" w:rsidRPr="00D22B99" w:rsidRDefault="00270C0B" w:rsidP="003744A2">
            <w:pPr>
              <w:keepNext/>
              <w:keepLines/>
              <w:jc w:val="center"/>
              <w:rPr>
                <w:rFonts w:cs="Arial"/>
                <w:szCs w:val="22"/>
              </w:rPr>
            </w:pPr>
            <w:r w:rsidRPr="00D22B99">
              <w:rPr>
                <w:rFonts w:cs="Arial"/>
                <w:szCs w:val="22"/>
              </w:rPr>
              <w:t>F</w:t>
            </w:r>
          </w:p>
        </w:tc>
      </w:tr>
      <w:tr w:rsidR="00270C0B" w:rsidRPr="00D22B99" w:rsidTr="00270C0B">
        <w:tc>
          <w:tcPr>
            <w:tcW w:w="328" w:type="dxa"/>
          </w:tcPr>
          <w:p w:rsidR="00270C0B" w:rsidRPr="00D22B99" w:rsidRDefault="00270C0B">
            <w:pPr>
              <w:jc w:val="left"/>
              <w:rPr>
                <w:rFonts w:cs="Arial"/>
                <w:szCs w:val="22"/>
              </w:rPr>
            </w:pPr>
            <w:r w:rsidRPr="00D22B99">
              <w:rPr>
                <w:rFonts w:cs="Arial"/>
                <w:szCs w:val="22"/>
              </w:rPr>
              <w:t>2</w:t>
            </w:r>
          </w:p>
        </w:tc>
        <w:tc>
          <w:tcPr>
            <w:tcW w:w="5056" w:type="dxa"/>
          </w:tcPr>
          <w:p w:rsidR="00270C0B" w:rsidRPr="00D22B99" w:rsidRDefault="00270C0B" w:rsidP="003744A2">
            <w:pPr>
              <w:keepNext/>
              <w:keepLines/>
              <w:rPr>
                <w:rFonts w:cs="Arial"/>
                <w:szCs w:val="22"/>
              </w:rPr>
            </w:pPr>
            <w:r w:rsidRPr="00D22B99">
              <w:rPr>
                <w:rFonts w:cs="Arial"/>
                <w:szCs w:val="22"/>
              </w:rPr>
              <w:t>The cost of external audit increases significantly.</w:t>
            </w:r>
          </w:p>
        </w:tc>
        <w:tc>
          <w:tcPr>
            <w:tcW w:w="1170" w:type="dxa"/>
            <w:vAlign w:val="center"/>
          </w:tcPr>
          <w:p w:rsidR="00270C0B" w:rsidRPr="00D22B99" w:rsidRDefault="00270C0B" w:rsidP="003744A2">
            <w:pPr>
              <w:keepNext/>
              <w:keepLines/>
              <w:jc w:val="center"/>
              <w:rPr>
                <w:rFonts w:cs="Arial"/>
                <w:szCs w:val="22"/>
              </w:rPr>
            </w:pPr>
            <w:r w:rsidRPr="00D22B99">
              <w:rPr>
                <w:rFonts w:cs="Arial"/>
                <w:szCs w:val="22"/>
              </w:rPr>
              <w:t>I</w:t>
            </w:r>
          </w:p>
        </w:tc>
        <w:tc>
          <w:tcPr>
            <w:tcW w:w="1350" w:type="dxa"/>
            <w:vAlign w:val="center"/>
          </w:tcPr>
          <w:p w:rsidR="00270C0B" w:rsidRPr="00D22B99" w:rsidRDefault="00270C0B" w:rsidP="003744A2">
            <w:pPr>
              <w:keepNext/>
              <w:keepLines/>
              <w:jc w:val="center"/>
              <w:rPr>
                <w:rFonts w:cs="Arial"/>
                <w:szCs w:val="22"/>
              </w:rPr>
            </w:pPr>
            <w:r w:rsidRPr="00D22B99">
              <w:rPr>
                <w:rFonts w:cs="Arial"/>
                <w:szCs w:val="22"/>
              </w:rPr>
              <w:t>F</w:t>
            </w:r>
          </w:p>
        </w:tc>
      </w:tr>
    </w:tbl>
    <w:p w:rsidR="00BF34FA" w:rsidRPr="00D22B99" w:rsidRDefault="00BF34FA">
      <w:pPr>
        <w:rPr>
          <w:rFonts w:cs="Arial"/>
          <w:szCs w:val="22"/>
        </w:rPr>
      </w:pPr>
    </w:p>
    <w:p w:rsidR="00BF34FA" w:rsidRPr="00D22B99" w:rsidRDefault="00270C0B">
      <w:pPr>
        <w:ind w:left="1276" w:hanging="1276"/>
        <w:rPr>
          <w:rFonts w:cs="Arial"/>
          <w:szCs w:val="22"/>
        </w:rPr>
      </w:pPr>
      <w:r w:rsidRPr="00D22B99">
        <w:rPr>
          <w:rFonts w:cs="Arial"/>
          <w:szCs w:val="22"/>
        </w:rPr>
        <w:t>7.4</w:t>
      </w:r>
      <w:r w:rsidR="00BF34FA" w:rsidRPr="00D22B99">
        <w:rPr>
          <w:rFonts w:cs="Arial"/>
          <w:szCs w:val="22"/>
        </w:rPr>
        <w:tab/>
        <w:t>The following table gives the risks that would exist if the recommendation is rejected, together with a scored assessment of their impact and likelihood:</w:t>
      </w:r>
    </w:p>
    <w:p w:rsidR="00BF34FA" w:rsidRPr="00D22B99" w:rsidRDefault="00BF34FA">
      <w:pPr>
        <w:rPr>
          <w:rFonts w:cs="Arial"/>
          <w:szCs w:val="22"/>
        </w:rPr>
      </w:pPr>
    </w:p>
    <w:tbl>
      <w:tblPr>
        <w:tblW w:w="7904" w:type="dxa"/>
        <w:tblInd w:w="13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8"/>
        <w:gridCol w:w="5056"/>
        <w:gridCol w:w="1170"/>
        <w:gridCol w:w="1350"/>
      </w:tblGrid>
      <w:tr w:rsidR="00270C0B" w:rsidRPr="00D22B99" w:rsidTr="003744A2">
        <w:tc>
          <w:tcPr>
            <w:tcW w:w="5384" w:type="dxa"/>
            <w:gridSpan w:val="2"/>
          </w:tcPr>
          <w:p w:rsidR="00270C0B" w:rsidRPr="00D22B99" w:rsidRDefault="00270C0B" w:rsidP="003744A2">
            <w:pPr>
              <w:jc w:val="center"/>
              <w:rPr>
                <w:rFonts w:cs="Arial"/>
                <w:szCs w:val="22"/>
              </w:rPr>
            </w:pPr>
            <w:r w:rsidRPr="00D22B99">
              <w:rPr>
                <w:rFonts w:cs="Arial"/>
                <w:szCs w:val="22"/>
              </w:rPr>
              <w:t>Description of Risk</w:t>
            </w:r>
          </w:p>
        </w:tc>
        <w:tc>
          <w:tcPr>
            <w:tcW w:w="1170" w:type="dxa"/>
          </w:tcPr>
          <w:p w:rsidR="00270C0B" w:rsidRPr="00D22B99" w:rsidRDefault="00270C0B" w:rsidP="003744A2">
            <w:pPr>
              <w:jc w:val="center"/>
              <w:rPr>
                <w:rFonts w:cs="Arial"/>
                <w:szCs w:val="22"/>
              </w:rPr>
            </w:pPr>
            <w:r w:rsidRPr="00D22B99">
              <w:rPr>
                <w:rFonts w:cs="Arial"/>
                <w:szCs w:val="22"/>
              </w:rPr>
              <w:t>Impact</w:t>
            </w:r>
          </w:p>
        </w:tc>
        <w:tc>
          <w:tcPr>
            <w:tcW w:w="1350" w:type="dxa"/>
          </w:tcPr>
          <w:p w:rsidR="00270C0B" w:rsidRPr="00D22B99" w:rsidRDefault="00270C0B" w:rsidP="003744A2">
            <w:pPr>
              <w:ind w:left="34"/>
              <w:jc w:val="center"/>
              <w:rPr>
                <w:rFonts w:cs="Arial"/>
                <w:szCs w:val="22"/>
              </w:rPr>
            </w:pPr>
            <w:r w:rsidRPr="00D22B99">
              <w:rPr>
                <w:rFonts w:cs="Arial"/>
                <w:szCs w:val="22"/>
              </w:rPr>
              <w:t>Likelihood</w:t>
            </w:r>
          </w:p>
        </w:tc>
      </w:tr>
      <w:tr w:rsidR="00270C0B" w:rsidRPr="00D22B99" w:rsidTr="003744A2">
        <w:tc>
          <w:tcPr>
            <w:tcW w:w="328" w:type="dxa"/>
          </w:tcPr>
          <w:p w:rsidR="00270C0B" w:rsidRPr="00D22B99" w:rsidRDefault="00270C0B" w:rsidP="003744A2">
            <w:pPr>
              <w:jc w:val="left"/>
              <w:rPr>
                <w:rFonts w:cs="Arial"/>
                <w:szCs w:val="22"/>
              </w:rPr>
            </w:pPr>
            <w:r w:rsidRPr="00D22B99">
              <w:rPr>
                <w:rFonts w:cs="Arial"/>
                <w:szCs w:val="22"/>
              </w:rPr>
              <w:t>1</w:t>
            </w:r>
          </w:p>
        </w:tc>
        <w:tc>
          <w:tcPr>
            <w:tcW w:w="5056" w:type="dxa"/>
          </w:tcPr>
          <w:p w:rsidR="00270C0B" w:rsidRPr="00D22B99" w:rsidRDefault="00270C0B" w:rsidP="003744A2">
            <w:pPr>
              <w:keepNext/>
              <w:keepLines/>
              <w:rPr>
                <w:rFonts w:cs="Arial"/>
                <w:szCs w:val="22"/>
              </w:rPr>
            </w:pPr>
            <w:r w:rsidRPr="00D22B99">
              <w:rPr>
                <w:rFonts w:cs="Arial"/>
                <w:szCs w:val="22"/>
              </w:rPr>
              <w:t>The Council does not successfully appoint an auditor by 31 December 2017 deadline.</w:t>
            </w:r>
          </w:p>
        </w:tc>
        <w:tc>
          <w:tcPr>
            <w:tcW w:w="1170" w:type="dxa"/>
            <w:vAlign w:val="center"/>
          </w:tcPr>
          <w:p w:rsidR="00270C0B" w:rsidRPr="00D22B99" w:rsidRDefault="00270C0B" w:rsidP="003744A2">
            <w:pPr>
              <w:keepNext/>
              <w:keepLines/>
              <w:jc w:val="center"/>
              <w:rPr>
                <w:rFonts w:cs="Arial"/>
                <w:szCs w:val="22"/>
              </w:rPr>
            </w:pPr>
            <w:r w:rsidRPr="00D22B99">
              <w:rPr>
                <w:rFonts w:cs="Arial"/>
                <w:szCs w:val="22"/>
              </w:rPr>
              <w:t>III</w:t>
            </w:r>
          </w:p>
        </w:tc>
        <w:tc>
          <w:tcPr>
            <w:tcW w:w="1350" w:type="dxa"/>
            <w:vAlign w:val="center"/>
          </w:tcPr>
          <w:p w:rsidR="00270C0B" w:rsidRPr="00D22B99" w:rsidRDefault="00270C0B" w:rsidP="003744A2">
            <w:pPr>
              <w:keepNext/>
              <w:keepLines/>
              <w:jc w:val="center"/>
              <w:rPr>
                <w:rFonts w:cs="Arial"/>
                <w:szCs w:val="22"/>
              </w:rPr>
            </w:pPr>
            <w:r w:rsidRPr="00D22B99">
              <w:rPr>
                <w:rFonts w:cs="Arial"/>
                <w:szCs w:val="22"/>
              </w:rPr>
              <w:t>F</w:t>
            </w:r>
          </w:p>
        </w:tc>
      </w:tr>
      <w:tr w:rsidR="00270C0B" w:rsidRPr="00D22B99" w:rsidTr="003744A2">
        <w:tc>
          <w:tcPr>
            <w:tcW w:w="328" w:type="dxa"/>
          </w:tcPr>
          <w:p w:rsidR="00270C0B" w:rsidRPr="00D22B99" w:rsidRDefault="00270C0B" w:rsidP="003744A2">
            <w:pPr>
              <w:jc w:val="left"/>
              <w:rPr>
                <w:rFonts w:cs="Arial"/>
                <w:szCs w:val="22"/>
              </w:rPr>
            </w:pPr>
            <w:r w:rsidRPr="00D22B99">
              <w:rPr>
                <w:rFonts w:cs="Arial"/>
                <w:szCs w:val="22"/>
              </w:rPr>
              <w:t>2</w:t>
            </w:r>
          </w:p>
        </w:tc>
        <w:tc>
          <w:tcPr>
            <w:tcW w:w="5056" w:type="dxa"/>
          </w:tcPr>
          <w:p w:rsidR="00270C0B" w:rsidRPr="00D22B99" w:rsidRDefault="00270C0B" w:rsidP="003744A2">
            <w:pPr>
              <w:keepNext/>
              <w:keepLines/>
              <w:rPr>
                <w:rFonts w:cs="Arial"/>
                <w:szCs w:val="22"/>
              </w:rPr>
            </w:pPr>
            <w:r w:rsidRPr="00D22B99">
              <w:rPr>
                <w:rFonts w:cs="Arial"/>
                <w:szCs w:val="22"/>
              </w:rPr>
              <w:t>The cost of external audit increases significantly.</w:t>
            </w:r>
          </w:p>
        </w:tc>
        <w:tc>
          <w:tcPr>
            <w:tcW w:w="1170" w:type="dxa"/>
            <w:vAlign w:val="center"/>
          </w:tcPr>
          <w:p w:rsidR="00270C0B" w:rsidRPr="00D22B99" w:rsidRDefault="00270C0B" w:rsidP="003744A2">
            <w:pPr>
              <w:keepNext/>
              <w:keepLines/>
              <w:jc w:val="center"/>
              <w:rPr>
                <w:rFonts w:cs="Arial"/>
                <w:szCs w:val="22"/>
              </w:rPr>
            </w:pPr>
            <w:r w:rsidRPr="00D22B99">
              <w:rPr>
                <w:rFonts w:cs="Arial"/>
                <w:szCs w:val="22"/>
              </w:rPr>
              <w:t>I</w:t>
            </w:r>
          </w:p>
        </w:tc>
        <w:tc>
          <w:tcPr>
            <w:tcW w:w="1350" w:type="dxa"/>
            <w:vAlign w:val="center"/>
          </w:tcPr>
          <w:p w:rsidR="00270C0B" w:rsidRPr="00D22B99" w:rsidRDefault="00270C0B" w:rsidP="003744A2">
            <w:pPr>
              <w:keepNext/>
              <w:keepLines/>
              <w:jc w:val="center"/>
              <w:rPr>
                <w:rFonts w:cs="Arial"/>
                <w:szCs w:val="22"/>
              </w:rPr>
            </w:pPr>
            <w:r w:rsidRPr="00D22B99">
              <w:rPr>
                <w:rFonts w:cs="Arial"/>
                <w:szCs w:val="22"/>
              </w:rPr>
              <w:t>D</w:t>
            </w:r>
          </w:p>
        </w:tc>
      </w:tr>
    </w:tbl>
    <w:p w:rsidR="00270C0B" w:rsidRPr="00D22B99" w:rsidRDefault="00270C0B">
      <w:pPr>
        <w:pStyle w:val="Header"/>
        <w:tabs>
          <w:tab w:val="clear" w:pos="4153"/>
          <w:tab w:val="clear" w:pos="8306"/>
          <w:tab w:val="left" w:pos="1260"/>
          <w:tab w:val="left" w:pos="1980"/>
          <w:tab w:val="left" w:pos="2700"/>
          <w:tab w:val="left" w:pos="3420"/>
        </w:tabs>
        <w:rPr>
          <w:rFonts w:cs="Arial"/>
          <w:szCs w:val="22"/>
        </w:rPr>
      </w:pPr>
    </w:p>
    <w:p w:rsidR="00270C0B" w:rsidRPr="00D22B99" w:rsidRDefault="00270C0B">
      <w:pPr>
        <w:pStyle w:val="Header"/>
        <w:tabs>
          <w:tab w:val="clear" w:pos="4153"/>
          <w:tab w:val="clear" w:pos="8306"/>
          <w:tab w:val="left" w:pos="1260"/>
          <w:tab w:val="left" w:pos="1980"/>
          <w:tab w:val="left" w:pos="2700"/>
          <w:tab w:val="left" w:pos="3420"/>
        </w:tabs>
        <w:rPr>
          <w:rFonts w:cs="Arial"/>
          <w:szCs w:val="22"/>
        </w:rPr>
      </w:pPr>
    </w:p>
    <w:p w:rsidR="00BF34FA" w:rsidRPr="00D22B99" w:rsidRDefault="00270C0B">
      <w:pPr>
        <w:pStyle w:val="BodyTextIndent"/>
        <w:tabs>
          <w:tab w:val="clear" w:pos="1260"/>
          <w:tab w:val="left" w:pos="1276"/>
        </w:tabs>
        <w:rPr>
          <w:rFonts w:cs="Arial"/>
          <w:szCs w:val="22"/>
        </w:rPr>
      </w:pPr>
      <w:r w:rsidRPr="00D22B99">
        <w:rPr>
          <w:rFonts w:cs="Arial"/>
          <w:szCs w:val="22"/>
        </w:rPr>
        <w:t>7</w:t>
      </w:r>
      <w:r w:rsidR="00BF34FA" w:rsidRPr="00D22B99">
        <w:rPr>
          <w:rFonts w:cs="Arial"/>
          <w:szCs w:val="22"/>
        </w:rPr>
        <w:t>.5</w:t>
      </w:r>
      <w:r w:rsidR="00BF34FA" w:rsidRPr="00D22B99">
        <w:rPr>
          <w:rFonts w:cs="Arial"/>
          <w:szCs w:val="22"/>
        </w:rPr>
        <w:tab/>
        <w:t>Of the risks detailed above none is already managed within a service plan.</w:t>
      </w:r>
    </w:p>
    <w:p w:rsidR="00BF34FA" w:rsidRPr="00D22B99" w:rsidRDefault="00BF34FA">
      <w:pPr>
        <w:rPr>
          <w:rFonts w:cs="Arial"/>
          <w:szCs w:val="22"/>
        </w:rPr>
      </w:pPr>
    </w:p>
    <w:p w:rsidR="00BF34FA" w:rsidRPr="00D22B99" w:rsidRDefault="00270C0B">
      <w:pPr>
        <w:ind w:left="1276" w:hanging="1276"/>
        <w:rPr>
          <w:rFonts w:cs="Arial"/>
          <w:szCs w:val="22"/>
        </w:rPr>
      </w:pPr>
      <w:r w:rsidRPr="00D22B99">
        <w:rPr>
          <w:rFonts w:cs="Arial"/>
          <w:szCs w:val="22"/>
        </w:rPr>
        <w:t>7</w:t>
      </w:r>
      <w:r w:rsidR="00BF34FA" w:rsidRPr="00D22B99">
        <w:rPr>
          <w:rFonts w:cs="Arial"/>
          <w:szCs w:val="22"/>
        </w:rPr>
        <w:t>.6</w:t>
      </w:r>
      <w:r w:rsidR="00BF34FA" w:rsidRPr="00D22B99">
        <w:rPr>
          <w:rFonts w:cs="Arial"/>
          <w:szCs w:val="22"/>
        </w:rPr>
        <w:tab/>
        <w:t xml:space="preserve">The above risks are plotted on the matrix below depending on the scored assessments of impact and likelihood, detailed definitions of which are included in the risk management strategy. The Council has determined its aversion to risk and is prepared to tolerate risks where the combination of impact and likelihood are plotted in the shaded area of the matrix. The remaining risks require a treatment plan. </w:t>
      </w:r>
    </w:p>
    <w:p w:rsidR="00BF34FA" w:rsidRPr="00D22B99" w:rsidRDefault="00BF34FA">
      <w:pPr>
        <w:keepNext/>
        <w:keepLines/>
        <w:ind w:left="1260"/>
        <w:rPr>
          <w:rFonts w:cs="Arial"/>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5"/>
        <w:gridCol w:w="452"/>
        <w:gridCol w:w="723"/>
        <w:gridCol w:w="723"/>
        <w:gridCol w:w="724"/>
        <w:gridCol w:w="723"/>
        <w:gridCol w:w="724"/>
        <w:gridCol w:w="1508"/>
        <w:gridCol w:w="1608"/>
      </w:tblGrid>
      <w:tr w:rsidR="00BF34FA" w:rsidRPr="00D22B99">
        <w:trPr>
          <w:cantSplit/>
        </w:trPr>
        <w:tc>
          <w:tcPr>
            <w:tcW w:w="645" w:type="dxa"/>
            <w:vMerge w:val="restart"/>
            <w:tcBorders>
              <w:top w:val="single" w:sz="4" w:space="0" w:color="auto"/>
              <w:left w:val="single" w:sz="4" w:space="0" w:color="auto"/>
              <w:bottom w:val="single" w:sz="4" w:space="0" w:color="auto"/>
              <w:right w:val="single" w:sz="4" w:space="0" w:color="auto"/>
            </w:tcBorders>
            <w:textDirection w:val="btLr"/>
          </w:tcPr>
          <w:p w:rsidR="00BF34FA" w:rsidRPr="00D22B99" w:rsidRDefault="006E44CB">
            <w:pPr>
              <w:keepNext/>
              <w:keepLines/>
              <w:ind w:left="113" w:right="113"/>
              <w:jc w:val="center"/>
              <w:rPr>
                <w:rFonts w:cs="Arial"/>
                <w:b/>
                <w:szCs w:val="22"/>
              </w:rPr>
            </w:pPr>
            <w:r w:rsidRPr="00D22B99">
              <w:rPr>
                <w:rFonts w:cs="Arial"/>
                <w:b/>
                <w:noProof/>
                <w:szCs w:val="22"/>
              </w:rPr>
              <mc:AlternateContent>
                <mc:Choice Requires="wps">
                  <w:drawing>
                    <wp:anchor distT="0" distB="0" distL="114300" distR="114300" simplePos="0" relativeHeight="251657216" behindDoc="0" locked="0" layoutInCell="0" allowOverlap="1" wp14:anchorId="682736E0" wp14:editId="43711BF2">
                      <wp:simplePos x="0" y="0"/>
                      <wp:positionH relativeFrom="column">
                        <wp:posOffset>1115695</wp:posOffset>
                      </wp:positionH>
                      <wp:positionV relativeFrom="paragraph">
                        <wp:posOffset>107950</wp:posOffset>
                      </wp:positionV>
                      <wp:extent cx="0" cy="1296670"/>
                      <wp:effectExtent l="0" t="0" r="0" b="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9667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85pt,8.5pt" to="87.85pt,11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" o:allowincell="f">
                      <v:stroke endarrow="block"/>
                    </v:line>
                  </w:pict>
                </mc:Fallback>
              </mc:AlternateContent>
            </w:r>
            <w:r w:rsidRPr="00D22B99">
              <w:rPr>
                <w:rFonts w:cs="Arial"/>
                <w:noProof/>
                <w:szCs w:val="22"/>
              </w:rPr>
              <mc:AlternateContent>
                <mc:Choice Requires="wps">
                  <w:drawing>
                    <wp:anchor distT="0" distB="0" distL="114300" distR="114300" simplePos="0" relativeHeight="251658240" behindDoc="0" locked="0" layoutInCell="0" allowOverlap="1" wp14:anchorId="6549F452" wp14:editId="612ECCB9">
                      <wp:simplePos x="0" y="0"/>
                      <wp:positionH relativeFrom="column">
                        <wp:posOffset>1298575</wp:posOffset>
                      </wp:positionH>
                      <wp:positionV relativeFrom="paragraph">
                        <wp:posOffset>1388110</wp:posOffset>
                      </wp:positionV>
                      <wp:extent cx="228600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25pt,109.3pt" to="282.25pt,109.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" o:allowincell="f">
                      <v:stroke endarrow="block"/>
                    </v:line>
                  </w:pict>
                </mc:Fallback>
              </mc:AlternateContent>
            </w:r>
            <w:r w:rsidR="00BF34FA" w:rsidRPr="00D22B99">
              <w:rPr>
                <w:rFonts w:cs="Arial"/>
                <w:b/>
                <w:szCs w:val="22"/>
              </w:rPr>
              <w:t>Likelihood</w:t>
            </w:r>
          </w:p>
        </w:tc>
        <w:tc>
          <w:tcPr>
            <w:tcW w:w="452" w:type="dxa"/>
            <w:tcBorders>
              <w:top w:val="single" w:sz="4" w:space="0" w:color="auto"/>
              <w:left w:val="single" w:sz="4" w:space="0" w:color="auto"/>
            </w:tcBorders>
          </w:tcPr>
          <w:p w:rsidR="00BF34FA" w:rsidRPr="00D22B99" w:rsidRDefault="00BF34FA">
            <w:pPr>
              <w:keepNext/>
              <w:keepLines/>
              <w:rPr>
                <w:rFonts w:cs="Arial"/>
                <w:szCs w:val="22"/>
              </w:rPr>
            </w:pPr>
            <w:r w:rsidRPr="00D22B99">
              <w:rPr>
                <w:rFonts w:cs="Arial"/>
                <w:szCs w:val="22"/>
              </w:rPr>
              <w:t>A</w:t>
            </w:r>
          </w:p>
        </w:tc>
        <w:tc>
          <w:tcPr>
            <w:tcW w:w="723" w:type="dxa"/>
            <w:tcBorders>
              <w:top w:val="single" w:sz="4" w:space="0" w:color="auto"/>
            </w:tcBorders>
            <w:shd w:val="pct15" w:color="auto" w:fill="FFFFFF"/>
          </w:tcPr>
          <w:p w:rsidR="00BF34FA" w:rsidRPr="00D22B99" w:rsidRDefault="00BF34FA">
            <w:pPr>
              <w:keepNext/>
              <w:keepLines/>
              <w:rPr>
                <w:rFonts w:cs="Arial"/>
                <w:szCs w:val="22"/>
              </w:rPr>
            </w:pPr>
          </w:p>
        </w:tc>
        <w:tc>
          <w:tcPr>
            <w:tcW w:w="723" w:type="dxa"/>
            <w:tcBorders>
              <w:top w:val="single" w:sz="4" w:space="0" w:color="auto"/>
            </w:tcBorders>
          </w:tcPr>
          <w:p w:rsidR="00BF34FA" w:rsidRPr="00D22B99" w:rsidRDefault="00BF34FA">
            <w:pPr>
              <w:keepNext/>
              <w:keepLines/>
              <w:rPr>
                <w:rFonts w:cs="Arial"/>
                <w:szCs w:val="22"/>
              </w:rPr>
            </w:pPr>
          </w:p>
        </w:tc>
        <w:tc>
          <w:tcPr>
            <w:tcW w:w="724" w:type="dxa"/>
            <w:tcBorders>
              <w:top w:val="single" w:sz="4" w:space="0" w:color="auto"/>
              <w:bottom w:val="single" w:sz="4" w:space="0" w:color="auto"/>
            </w:tcBorders>
          </w:tcPr>
          <w:p w:rsidR="00BF34FA" w:rsidRPr="00D22B99" w:rsidRDefault="00BF34FA">
            <w:pPr>
              <w:keepNext/>
              <w:keepLines/>
              <w:rPr>
                <w:rFonts w:cs="Arial"/>
                <w:szCs w:val="22"/>
              </w:rPr>
            </w:pPr>
          </w:p>
        </w:tc>
        <w:tc>
          <w:tcPr>
            <w:tcW w:w="723" w:type="dxa"/>
            <w:tcBorders>
              <w:top w:val="single" w:sz="4" w:space="0" w:color="auto"/>
              <w:bottom w:val="single" w:sz="4" w:space="0" w:color="auto"/>
              <w:right w:val="single" w:sz="4" w:space="0" w:color="auto"/>
            </w:tcBorders>
          </w:tcPr>
          <w:p w:rsidR="00BF34FA" w:rsidRPr="00D22B99" w:rsidRDefault="00BF34FA">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Impact</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Likelihood</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tcBorders>
          </w:tcPr>
          <w:p w:rsidR="00BF34FA" w:rsidRPr="00D22B99" w:rsidRDefault="00BF34FA">
            <w:pPr>
              <w:keepNext/>
              <w:keepLines/>
              <w:rPr>
                <w:rFonts w:cs="Arial"/>
                <w:szCs w:val="22"/>
              </w:rPr>
            </w:pPr>
            <w:r w:rsidRPr="00D22B99">
              <w:rPr>
                <w:rFonts w:cs="Arial"/>
                <w:szCs w:val="22"/>
              </w:rPr>
              <w:t>B</w:t>
            </w:r>
          </w:p>
        </w:tc>
        <w:tc>
          <w:tcPr>
            <w:tcW w:w="723" w:type="dxa"/>
            <w:shd w:val="pct15" w:color="auto" w:fill="FFFFFF"/>
          </w:tcPr>
          <w:p w:rsidR="00BF34FA" w:rsidRPr="00D22B99" w:rsidRDefault="00BF34FA">
            <w:pPr>
              <w:keepNext/>
              <w:keepLines/>
              <w:rPr>
                <w:rFonts w:cs="Arial"/>
                <w:szCs w:val="22"/>
              </w:rPr>
            </w:pPr>
          </w:p>
        </w:tc>
        <w:tc>
          <w:tcPr>
            <w:tcW w:w="723" w:type="dxa"/>
          </w:tcPr>
          <w:p w:rsidR="00BF34FA" w:rsidRPr="00D22B99" w:rsidRDefault="00BF34FA">
            <w:pPr>
              <w:keepNext/>
              <w:keepLines/>
              <w:rPr>
                <w:rFonts w:cs="Arial"/>
                <w:szCs w:val="22"/>
              </w:rPr>
            </w:pPr>
          </w:p>
        </w:tc>
        <w:tc>
          <w:tcPr>
            <w:tcW w:w="724" w:type="dxa"/>
            <w:tcBorders>
              <w:bottom w:val="single" w:sz="4" w:space="0" w:color="auto"/>
            </w:tcBorders>
          </w:tcPr>
          <w:p w:rsidR="00BF34FA" w:rsidRPr="00D22B99" w:rsidRDefault="00BF34FA">
            <w:pPr>
              <w:keepNext/>
              <w:keepLines/>
              <w:rPr>
                <w:rFonts w:cs="Arial"/>
                <w:szCs w:val="22"/>
              </w:rPr>
            </w:pPr>
          </w:p>
        </w:tc>
        <w:tc>
          <w:tcPr>
            <w:tcW w:w="723" w:type="dxa"/>
            <w:tcBorders>
              <w:right w:val="single" w:sz="4" w:space="0" w:color="auto"/>
            </w:tcBorders>
          </w:tcPr>
          <w:p w:rsidR="00BF34FA" w:rsidRPr="00D22B99" w:rsidRDefault="00BF34FA">
            <w:pPr>
              <w:keepNext/>
              <w:keepLines/>
              <w:jc w:val="center"/>
              <w:rPr>
                <w:rFonts w:cs="Arial"/>
                <w:szCs w:val="22"/>
              </w:rPr>
            </w:pPr>
          </w:p>
        </w:tc>
        <w:tc>
          <w:tcPr>
            <w:tcW w:w="724" w:type="dxa"/>
            <w:tcBorders>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V = Catastrophic</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A = &gt;98%</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tcBorders>
          </w:tcPr>
          <w:p w:rsidR="00BF34FA" w:rsidRPr="00D22B99" w:rsidRDefault="00BF34FA">
            <w:pPr>
              <w:keepNext/>
              <w:keepLines/>
              <w:rPr>
                <w:rFonts w:cs="Arial"/>
                <w:szCs w:val="22"/>
              </w:rPr>
            </w:pPr>
            <w:r w:rsidRPr="00D22B99">
              <w:rPr>
                <w:rFonts w:cs="Arial"/>
                <w:szCs w:val="22"/>
              </w:rPr>
              <w:t>C</w:t>
            </w:r>
          </w:p>
        </w:tc>
        <w:tc>
          <w:tcPr>
            <w:tcW w:w="723" w:type="dxa"/>
            <w:shd w:val="pct15" w:color="auto" w:fill="FFFFFF"/>
          </w:tcPr>
          <w:p w:rsidR="00BF34FA" w:rsidRPr="00D22B99" w:rsidRDefault="00BF34FA">
            <w:pPr>
              <w:keepNext/>
              <w:keepLines/>
              <w:rPr>
                <w:rFonts w:cs="Arial"/>
                <w:szCs w:val="22"/>
              </w:rPr>
            </w:pPr>
          </w:p>
        </w:tc>
        <w:tc>
          <w:tcPr>
            <w:tcW w:w="723" w:type="dxa"/>
            <w:tcBorders>
              <w:top w:val="single" w:sz="4" w:space="0" w:color="auto"/>
              <w:bottom w:val="single" w:sz="4" w:space="0" w:color="auto"/>
            </w:tcBorders>
          </w:tcPr>
          <w:p w:rsidR="00BF34FA" w:rsidRPr="00D22B99" w:rsidRDefault="00BF34FA">
            <w:pPr>
              <w:keepNext/>
              <w:keepLines/>
              <w:rPr>
                <w:rFonts w:cs="Arial"/>
                <w:szCs w:val="22"/>
              </w:rPr>
            </w:pPr>
          </w:p>
        </w:tc>
        <w:tc>
          <w:tcPr>
            <w:tcW w:w="724" w:type="dxa"/>
            <w:tcBorders>
              <w:top w:val="single" w:sz="4" w:space="0" w:color="auto"/>
              <w:bottom w:val="single" w:sz="4" w:space="0" w:color="auto"/>
            </w:tcBorders>
          </w:tcPr>
          <w:p w:rsidR="00BF34FA" w:rsidRPr="00D22B99" w:rsidRDefault="00BF34FA">
            <w:pPr>
              <w:keepNext/>
              <w:keepLines/>
              <w:rPr>
                <w:rFonts w:cs="Arial"/>
                <w:szCs w:val="22"/>
              </w:rPr>
            </w:pPr>
          </w:p>
        </w:tc>
        <w:tc>
          <w:tcPr>
            <w:tcW w:w="723" w:type="dxa"/>
            <w:tcBorders>
              <w:top w:val="single" w:sz="4" w:space="0" w:color="auto"/>
              <w:bottom w:val="single" w:sz="4" w:space="0" w:color="auto"/>
              <w:right w:val="single" w:sz="4" w:space="0" w:color="auto"/>
            </w:tcBorders>
          </w:tcPr>
          <w:p w:rsidR="00BF34FA" w:rsidRPr="00D22B99" w:rsidRDefault="00BF34FA">
            <w:pPr>
              <w:keepNext/>
              <w:keepLines/>
              <w:jc w:val="center"/>
              <w:rPr>
                <w:rFonts w:cs="Arial"/>
                <w:szCs w:val="22"/>
              </w:rPr>
            </w:pPr>
          </w:p>
        </w:tc>
        <w:tc>
          <w:tcPr>
            <w:tcW w:w="724" w:type="dxa"/>
            <w:tcBorders>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IV = Critical</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B = 75% - 97%</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tcBorders>
          </w:tcPr>
          <w:p w:rsidR="00BF34FA" w:rsidRPr="00D22B99" w:rsidRDefault="00BF34FA">
            <w:pPr>
              <w:keepNext/>
              <w:keepLines/>
              <w:rPr>
                <w:rFonts w:cs="Arial"/>
                <w:szCs w:val="22"/>
              </w:rPr>
            </w:pPr>
            <w:r w:rsidRPr="00D22B99">
              <w:rPr>
                <w:rFonts w:cs="Arial"/>
                <w:szCs w:val="22"/>
              </w:rPr>
              <w:t>D</w:t>
            </w:r>
          </w:p>
        </w:tc>
        <w:tc>
          <w:tcPr>
            <w:tcW w:w="723" w:type="dxa"/>
            <w:tcBorders>
              <w:bottom w:val="single" w:sz="4" w:space="0" w:color="auto"/>
            </w:tcBorders>
            <w:shd w:val="pct15" w:color="auto" w:fill="FFFFFF"/>
          </w:tcPr>
          <w:p w:rsidR="00BF34FA" w:rsidRPr="00D22B99" w:rsidRDefault="00270C0B">
            <w:pPr>
              <w:keepNext/>
              <w:keepLines/>
              <w:rPr>
                <w:rFonts w:cs="Arial"/>
                <w:szCs w:val="22"/>
              </w:rPr>
            </w:pPr>
            <w:r w:rsidRPr="00D22B99">
              <w:rPr>
                <w:rFonts w:cs="Arial"/>
                <w:szCs w:val="22"/>
              </w:rPr>
              <w:t>2</w:t>
            </w:r>
          </w:p>
        </w:tc>
        <w:tc>
          <w:tcPr>
            <w:tcW w:w="723" w:type="dxa"/>
            <w:tcBorders>
              <w:top w:val="single" w:sz="4" w:space="0" w:color="auto"/>
            </w:tcBorders>
            <w:shd w:val="pct15" w:color="auto" w:fill="FFFFFF"/>
          </w:tcPr>
          <w:p w:rsidR="00BF34FA" w:rsidRPr="00D22B99" w:rsidRDefault="00BF34FA">
            <w:pPr>
              <w:keepNext/>
              <w:keepLines/>
              <w:rPr>
                <w:rFonts w:cs="Arial"/>
                <w:szCs w:val="22"/>
              </w:rPr>
            </w:pPr>
          </w:p>
        </w:tc>
        <w:tc>
          <w:tcPr>
            <w:tcW w:w="724" w:type="dxa"/>
            <w:tcBorders>
              <w:top w:val="single" w:sz="4" w:space="0" w:color="auto"/>
              <w:bottom w:val="single" w:sz="4" w:space="0" w:color="auto"/>
            </w:tcBorders>
          </w:tcPr>
          <w:p w:rsidR="00BF34FA" w:rsidRPr="00D22B99" w:rsidRDefault="00BF34FA">
            <w:pPr>
              <w:keepNext/>
              <w:keepLines/>
              <w:rPr>
                <w:rFonts w:cs="Arial"/>
                <w:szCs w:val="22"/>
              </w:rPr>
            </w:pPr>
          </w:p>
        </w:tc>
        <w:tc>
          <w:tcPr>
            <w:tcW w:w="723" w:type="dxa"/>
            <w:tcBorders>
              <w:top w:val="single" w:sz="4" w:space="0" w:color="auto"/>
              <w:bottom w:val="single" w:sz="4" w:space="0" w:color="auto"/>
              <w:right w:val="single" w:sz="4" w:space="0" w:color="auto"/>
            </w:tcBorders>
          </w:tcPr>
          <w:p w:rsidR="00BF34FA" w:rsidRPr="00D22B99" w:rsidRDefault="00BF34FA">
            <w:pPr>
              <w:keepNext/>
              <w:keepLines/>
              <w:jc w:val="center"/>
              <w:rPr>
                <w:rFonts w:cs="Arial"/>
                <w:szCs w:val="22"/>
              </w:rPr>
            </w:pPr>
          </w:p>
        </w:tc>
        <w:tc>
          <w:tcPr>
            <w:tcW w:w="724" w:type="dxa"/>
            <w:tcBorders>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III = Significant</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C = 50% - 74%</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tcBorders>
          </w:tcPr>
          <w:p w:rsidR="00BF34FA" w:rsidRPr="00D22B99" w:rsidRDefault="00BF34FA">
            <w:pPr>
              <w:keepNext/>
              <w:keepLines/>
              <w:rPr>
                <w:rFonts w:cs="Arial"/>
                <w:szCs w:val="22"/>
              </w:rPr>
            </w:pPr>
            <w:r w:rsidRPr="00D22B99">
              <w:rPr>
                <w:rFonts w:cs="Arial"/>
                <w:szCs w:val="22"/>
              </w:rPr>
              <w:t>E</w:t>
            </w:r>
          </w:p>
        </w:tc>
        <w:tc>
          <w:tcPr>
            <w:tcW w:w="723" w:type="dxa"/>
            <w:tcBorders>
              <w:bottom w:val="single" w:sz="4" w:space="0" w:color="auto"/>
            </w:tcBorders>
            <w:shd w:val="pct15" w:color="auto" w:fill="FFFFFF"/>
          </w:tcPr>
          <w:p w:rsidR="00BF34FA" w:rsidRPr="00D22B99" w:rsidRDefault="00BF34FA">
            <w:pPr>
              <w:keepNext/>
              <w:keepLines/>
              <w:rPr>
                <w:rFonts w:cs="Arial"/>
                <w:szCs w:val="22"/>
              </w:rPr>
            </w:pPr>
          </w:p>
        </w:tc>
        <w:tc>
          <w:tcPr>
            <w:tcW w:w="723" w:type="dxa"/>
            <w:shd w:val="pct15" w:color="auto" w:fill="FFFFFF"/>
          </w:tcPr>
          <w:p w:rsidR="00BF34FA" w:rsidRPr="00D22B99" w:rsidRDefault="00BF34FA">
            <w:pPr>
              <w:keepNext/>
              <w:keepLines/>
              <w:rPr>
                <w:rFonts w:cs="Arial"/>
                <w:szCs w:val="22"/>
              </w:rPr>
            </w:pPr>
          </w:p>
        </w:tc>
        <w:tc>
          <w:tcPr>
            <w:tcW w:w="724" w:type="dxa"/>
            <w:tcBorders>
              <w:bottom w:val="single" w:sz="4" w:space="0" w:color="auto"/>
            </w:tcBorders>
          </w:tcPr>
          <w:p w:rsidR="00BF34FA" w:rsidRPr="00D22B99" w:rsidRDefault="00BF34FA">
            <w:pPr>
              <w:keepNext/>
              <w:keepLines/>
              <w:rPr>
                <w:rFonts w:cs="Arial"/>
                <w:szCs w:val="22"/>
              </w:rPr>
            </w:pPr>
          </w:p>
        </w:tc>
        <w:tc>
          <w:tcPr>
            <w:tcW w:w="723" w:type="dxa"/>
            <w:tcBorders>
              <w:top w:val="single" w:sz="4" w:space="0" w:color="auto"/>
              <w:right w:val="single" w:sz="4" w:space="0" w:color="auto"/>
            </w:tcBorders>
          </w:tcPr>
          <w:p w:rsidR="00BF34FA" w:rsidRPr="00D22B99" w:rsidRDefault="00BF34FA">
            <w:pPr>
              <w:keepNext/>
              <w:keepLines/>
              <w:jc w:val="center"/>
              <w:rPr>
                <w:rFonts w:cs="Arial"/>
                <w:szCs w:val="22"/>
              </w:rPr>
            </w:pPr>
          </w:p>
        </w:tc>
        <w:tc>
          <w:tcPr>
            <w:tcW w:w="724" w:type="dxa"/>
            <w:tcBorders>
              <w:top w:val="single" w:sz="4" w:space="0" w:color="auto"/>
              <w:bottom w:val="single" w:sz="4" w:space="0" w:color="auto"/>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II = Marginal</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D = 25% - 49%</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tcBorders>
          </w:tcPr>
          <w:p w:rsidR="00BF34FA" w:rsidRPr="00D22B99" w:rsidRDefault="00BF34FA">
            <w:pPr>
              <w:keepNext/>
              <w:keepLines/>
              <w:rPr>
                <w:rFonts w:cs="Arial"/>
                <w:szCs w:val="22"/>
              </w:rPr>
            </w:pPr>
            <w:r w:rsidRPr="00D22B99">
              <w:rPr>
                <w:rFonts w:cs="Arial"/>
                <w:szCs w:val="22"/>
              </w:rPr>
              <w:t>F</w:t>
            </w:r>
          </w:p>
        </w:tc>
        <w:tc>
          <w:tcPr>
            <w:tcW w:w="723" w:type="dxa"/>
            <w:shd w:val="pct15" w:color="auto" w:fill="FFFFFF"/>
          </w:tcPr>
          <w:p w:rsidR="00BF34FA" w:rsidRPr="00D22B99" w:rsidRDefault="00270C0B">
            <w:pPr>
              <w:keepNext/>
              <w:keepLines/>
              <w:rPr>
                <w:rFonts w:cs="Arial"/>
                <w:szCs w:val="22"/>
              </w:rPr>
            </w:pPr>
            <w:r w:rsidRPr="00D22B99">
              <w:rPr>
                <w:rFonts w:cs="Arial"/>
                <w:szCs w:val="22"/>
              </w:rPr>
              <w:t>1/2</w:t>
            </w:r>
          </w:p>
        </w:tc>
        <w:tc>
          <w:tcPr>
            <w:tcW w:w="723" w:type="dxa"/>
            <w:shd w:val="pct15" w:color="auto" w:fill="FFFFFF"/>
          </w:tcPr>
          <w:p w:rsidR="00BF34FA" w:rsidRPr="00D22B99" w:rsidRDefault="00BF34FA">
            <w:pPr>
              <w:keepNext/>
              <w:keepLines/>
              <w:rPr>
                <w:rFonts w:cs="Arial"/>
                <w:szCs w:val="22"/>
              </w:rPr>
            </w:pPr>
          </w:p>
        </w:tc>
        <w:tc>
          <w:tcPr>
            <w:tcW w:w="724" w:type="dxa"/>
            <w:tcBorders>
              <w:top w:val="single" w:sz="4" w:space="0" w:color="auto"/>
            </w:tcBorders>
            <w:shd w:val="pct15" w:color="auto" w:fill="FFFFFF"/>
          </w:tcPr>
          <w:p w:rsidR="00BF34FA" w:rsidRPr="00D22B99" w:rsidRDefault="00270C0B">
            <w:pPr>
              <w:keepNext/>
              <w:keepLines/>
              <w:rPr>
                <w:rFonts w:cs="Arial"/>
                <w:szCs w:val="22"/>
              </w:rPr>
            </w:pPr>
            <w:r w:rsidRPr="00D22B99">
              <w:rPr>
                <w:rFonts w:cs="Arial"/>
                <w:szCs w:val="22"/>
              </w:rPr>
              <w:t>1</w:t>
            </w:r>
          </w:p>
        </w:tc>
        <w:tc>
          <w:tcPr>
            <w:tcW w:w="723" w:type="dxa"/>
            <w:tcBorders>
              <w:right w:val="single" w:sz="4" w:space="0" w:color="auto"/>
            </w:tcBorders>
          </w:tcPr>
          <w:p w:rsidR="00BF34FA" w:rsidRPr="00D22B99" w:rsidRDefault="00BF34FA">
            <w:pPr>
              <w:keepNext/>
              <w:keepLines/>
              <w:jc w:val="center"/>
              <w:rPr>
                <w:rFonts w:cs="Arial"/>
                <w:szCs w:val="22"/>
              </w:rPr>
            </w:pPr>
          </w:p>
        </w:tc>
        <w:tc>
          <w:tcPr>
            <w:tcW w:w="724" w:type="dxa"/>
            <w:tcBorders>
              <w:right w:val="single" w:sz="4" w:space="0" w:color="auto"/>
            </w:tcBorders>
          </w:tcPr>
          <w:p w:rsidR="00BF34FA" w:rsidRPr="00D22B99" w:rsidRDefault="00BF34FA">
            <w:pPr>
              <w:keepNext/>
              <w:keepLines/>
              <w:jc w:val="center"/>
              <w:rPr>
                <w:rFonts w:cs="Arial"/>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r w:rsidRPr="00D22B99">
              <w:rPr>
                <w:rFonts w:cs="Arial"/>
                <w:szCs w:val="22"/>
              </w:rPr>
              <w:t>I = Negligible</w:t>
            </w: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E = 3% - 24%</w:t>
            </w:r>
          </w:p>
        </w:tc>
      </w:tr>
      <w:tr w:rsidR="00BF34FA" w:rsidRPr="00D22B99">
        <w:trPr>
          <w:cantSplit/>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52" w:type="dxa"/>
            <w:tcBorders>
              <w:left w:val="single" w:sz="4" w:space="0" w:color="auto"/>
              <w:bottom w:val="single" w:sz="4" w:space="0" w:color="auto"/>
            </w:tcBorders>
          </w:tcPr>
          <w:p w:rsidR="00BF34FA" w:rsidRPr="00D22B99" w:rsidRDefault="00BF34FA">
            <w:pPr>
              <w:keepNext/>
              <w:keepLines/>
              <w:rPr>
                <w:rFonts w:cs="Arial"/>
                <w:szCs w:val="22"/>
              </w:rPr>
            </w:pPr>
          </w:p>
        </w:tc>
        <w:tc>
          <w:tcPr>
            <w:tcW w:w="723" w:type="dxa"/>
            <w:tcBorders>
              <w:bottom w:val="single" w:sz="4" w:space="0" w:color="auto"/>
            </w:tcBorders>
          </w:tcPr>
          <w:p w:rsidR="00BF34FA" w:rsidRPr="00D22B99" w:rsidRDefault="00BF34FA">
            <w:pPr>
              <w:keepNext/>
              <w:keepLines/>
              <w:jc w:val="center"/>
              <w:rPr>
                <w:rFonts w:cs="Arial"/>
                <w:szCs w:val="22"/>
              </w:rPr>
            </w:pPr>
            <w:r w:rsidRPr="00D22B99">
              <w:rPr>
                <w:rFonts w:cs="Arial"/>
                <w:szCs w:val="22"/>
              </w:rPr>
              <w:t>I</w:t>
            </w:r>
          </w:p>
        </w:tc>
        <w:tc>
          <w:tcPr>
            <w:tcW w:w="723" w:type="dxa"/>
            <w:tcBorders>
              <w:bottom w:val="single" w:sz="4" w:space="0" w:color="auto"/>
            </w:tcBorders>
          </w:tcPr>
          <w:p w:rsidR="00BF34FA" w:rsidRPr="00D22B99" w:rsidRDefault="00BF34FA">
            <w:pPr>
              <w:keepNext/>
              <w:keepLines/>
              <w:jc w:val="center"/>
              <w:rPr>
                <w:rFonts w:cs="Arial"/>
                <w:szCs w:val="22"/>
              </w:rPr>
            </w:pPr>
            <w:r w:rsidRPr="00D22B99">
              <w:rPr>
                <w:rFonts w:cs="Arial"/>
                <w:szCs w:val="22"/>
              </w:rPr>
              <w:t>II</w:t>
            </w:r>
          </w:p>
        </w:tc>
        <w:tc>
          <w:tcPr>
            <w:tcW w:w="724" w:type="dxa"/>
            <w:tcBorders>
              <w:bottom w:val="single" w:sz="4" w:space="0" w:color="auto"/>
            </w:tcBorders>
          </w:tcPr>
          <w:p w:rsidR="00BF34FA" w:rsidRPr="00D22B99" w:rsidRDefault="00BF34FA">
            <w:pPr>
              <w:keepNext/>
              <w:keepLines/>
              <w:jc w:val="center"/>
              <w:rPr>
                <w:rFonts w:cs="Arial"/>
                <w:szCs w:val="22"/>
              </w:rPr>
            </w:pPr>
            <w:r w:rsidRPr="00D22B99">
              <w:rPr>
                <w:rFonts w:cs="Arial"/>
                <w:szCs w:val="22"/>
              </w:rPr>
              <w:t>III</w:t>
            </w:r>
          </w:p>
        </w:tc>
        <w:tc>
          <w:tcPr>
            <w:tcW w:w="723" w:type="dxa"/>
            <w:tcBorders>
              <w:bottom w:val="single" w:sz="4" w:space="0" w:color="auto"/>
              <w:right w:val="single" w:sz="4" w:space="0" w:color="auto"/>
            </w:tcBorders>
          </w:tcPr>
          <w:p w:rsidR="00BF34FA" w:rsidRPr="00D22B99" w:rsidRDefault="00BF34FA">
            <w:pPr>
              <w:keepNext/>
              <w:keepLines/>
              <w:jc w:val="center"/>
              <w:rPr>
                <w:rFonts w:cs="Arial"/>
                <w:szCs w:val="22"/>
              </w:rPr>
            </w:pPr>
            <w:r w:rsidRPr="00D22B99">
              <w:rPr>
                <w:rFonts w:cs="Arial"/>
                <w:szCs w:val="22"/>
              </w:rPr>
              <w:t>IV</w:t>
            </w:r>
          </w:p>
        </w:tc>
        <w:tc>
          <w:tcPr>
            <w:tcW w:w="724" w:type="dxa"/>
            <w:tcBorders>
              <w:bottom w:val="single" w:sz="4" w:space="0" w:color="auto"/>
              <w:right w:val="single" w:sz="4" w:space="0" w:color="auto"/>
            </w:tcBorders>
          </w:tcPr>
          <w:p w:rsidR="00BF34FA" w:rsidRPr="00D22B99" w:rsidRDefault="00BF34FA">
            <w:pPr>
              <w:keepNext/>
              <w:keepLines/>
              <w:jc w:val="center"/>
              <w:rPr>
                <w:rFonts w:cs="Arial"/>
                <w:szCs w:val="22"/>
              </w:rPr>
            </w:pPr>
            <w:r w:rsidRPr="00D22B99">
              <w:rPr>
                <w:rFonts w:cs="Arial"/>
                <w:szCs w:val="22"/>
              </w:rPr>
              <w:t>V</w:t>
            </w: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p>
        </w:tc>
        <w:tc>
          <w:tcPr>
            <w:tcW w:w="1608" w:type="dxa"/>
            <w:tcBorders>
              <w:top w:val="nil"/>
              <w:left w:val="nil"/>
              <w:bottom w:val="nil"/>
              <w:right w:val="nil"/>
            </w:tcBorders>
          </w:tcPr>
          <w:p w:rsidR="00BF34FA" w:rsidRPr="00D22B99" w:rsidRDefault="00BF34FA">
            <w:pPr>
              <w:keepNext/>
              <w:keepLines/>
              <w:rPr>
                <w:rFonts w:cs="Arial"/>
                <w:szCs w:val="22"/>
              </w:rPr>
            </w:pPr>
            <w:r w:rsidRPr="00D22B99">
              <w:rPr>
                <w:rFonts w:cs="Arial"/>
                <w:szCs w:val="22"/>
              </w:rPr>
              <w:t xml:space="preserve">F = </w:t>
            </w:r>
            <w:r w:rsidRPr="00D22B99">
              <w:rPr>
                <w:rFonts w:cs="Arial"/>
                <w:spacing w:val="-8"/>
                <w:szCs w:val="22"/>
              </w:rPr>
              <w:t xml:space="preserve"> &lt;2%</w:t>
            </w:r>
          </w:p>
        </w:tc>
      </w:tr>
      <w:tr w:rsidR="00BF34FA" w:rsidRPr="00D22B99">
        <w:trPr>
          <w:cantSplit/>
          <w:trHeight w:val="387"/>
        </w:trPr>
        <w:tc>
          <w:tcPr>
            <w:tcW w:w="645" w:type="dxa"/>
            <w:vMerge/>
            <w:tcBorders>
              <w:left w:val="single" w:sz="4" w:space="0" w:color="auto"/>
              <w:bottom w:val="single" w:sz="4" w:space="0" w:color="auto"/>
              <w:right w:val="single" w:sz="4" w:space="0" w:color="auto"/>
            </w:tcBorders>
          </w:tcPr>
          <w:p w:rsidR="00BF34FA" w:rsidRPr="00D22B99" w:rsidRDefault="00BF34FA">
            <w:pPr>
              <w:keepNext/>
              <w:keepLines/>
              <w:rPr>
                <w:rFonts w:cs="Arial"/>
                <w:szCs w:val="22"/>
              </w:rPr>
            </w:pPr>
          </w:p>
        </w:tc>
        <w:tc>
          <w:tcPr>
            <w:tcW w:w="4069" w:type="dxa"/>
            <w:gridSpan w:val="6"/>
            <w:tcBorders>
              <w:left w:val="single" w:sz="4" w:space="0" w:color="auto"/>
              <w:bottom w:val="single" w:sz="4" w:space="0" w:color="auto"/>
              <w:right w:val="single" w:sz="4" w:space="0" w:color="auto"/>
            </w:tcBorders>
          </w:tcPr>
          <w:p w:rsidR="00BF34FA" w:rsidRPr="00D22B99" w:rsidRDefault="00BF34FA">
            <w:pPr>
              <w:keepNext/>
              <w:keepLines/>
              <w:spacing w:before="40"/>
              <w:jc w:val="center"/>
              <w:rPr>
                <w:rFonts w:cs="Arial"/>
                <w:b/>
                <w:szCs w:val="22"/>
              </w:rPr>
            </w:pPr>
            <w:r w:rsidRPr="00D22B99">
              <w:rPr>
                <w:rFonts w:cs="Arial"/>
                <w:b/>
                <w:szCs w:val="22"/>
              </w:rPr>
              <w:t>Impact</w:t>
            </w:r>
          </w:p>
          <w:p w:rsidR="00BF34FA" w:rsidRPr="00D22B99" w:rsidRDefault="00BF34FA">
            <w:pPr>
              <w:keepNext/>
              <w:keepLines/>
              <w:rPr>
                <w:rFonts w:cs="Arial"/>
                <w:b/>
                <w:szCs w:val="22"/>
              </w:rPr>
            </w:pPr>
          </w:p>
        </w:tc>
        <w:tc>
          <w:tcPr>
            <w:tcW w:w="1508" w:type="dxa"/>
            <w:tcBorders>
              <w:top w:val="nil"/>
              <w:left w:val="single" w:sz="4" w:space="0" w:color="auto"/>
              <w:bottom w:val="nil"/>
              <w:right w:val="nil"/>
            </w:tcBorders>
          </w:tcPr>
          <w:p w:rsidR="00BF34FA" w:rsidRPr="00D22B99" w:rsidRDefault="00BF34FA">
            <w:pPr>
              <w:keepNext/>
              <w:keepLines/>
              <w:rPr>
                <w:rFonts w:cs="Arial"/>
                <w:szCs w:val="22"/>
              </w:rPr>
            </w:pPr>
          </w:p>
        </w:tc>
        <w:tc>
          <w:tcPr>
            <w:tcW w:w="1608" w:type="dxa"/>
            <w:tcBorders>
              <w:top w:val="nil"/>
              <w:left w:val="nil"/>
              <w:bottom w:val="nil"/>
              <w:right w:val="nil"/>
            </w:tcBorders>
          </w:tcPr>
          <w:p w:rsidR="00BF34FA" w:rsidRPr="00D22B99" w:rsidRDefault="00BF34FA">
            <w:pPr>
              <w:keepNext/>
              <w:keepLines/>
              <w:rPr>
                <w:rFonts w:cs="Arial"/>
                <w:szCs w:val="22"/>
              </w:rPr>
            </w:pPr>
          </w:p>
        </w:tc>
      </w:tr>
    </w:tbl>
    <w:p w:rsidR="00BF34FA" w:rsidRPr="00D22B99" w:rsidRDefault="00BF34FA">
      <w:pPr>
        <w:pStyle w:val="Header"/>
        <w:tabs>
          <w:tab w:val="clear" w:pos="4153"/>
          <w:tab w:val="clear" w:pos="8306"/>
          <w:tab w:val="left" w:pos="1260"/>
          <w:tab w:val="left" w:pos="1980"/>
          <w:tab w:val="left" w:pos="2700"/>
          <w:tab w:val="left" w:pos="3420"/>
        </w:tabs>
        <w:rPr>
          <w:rFonts w:cs="Arial"/>
          <w:szCs w:val="22"/>
        </w:rPr>
      </w:pPr>
    </w:p>
    <w:p w:rsidR="00BF34FA" w:rsidRPr="00D22B99" w:rsidRDefault="003744A2">
      <w:pPr>
        <w:ind w:left="1276" w:hanging="1276"/>
        <w:rPr>
          <w:rFonts w:cs="Arial"/>
          <w:szCs w:val="22"/>
        </w:rPr>
      </w:pPr>
      <w:r w:rsidRPr="00D22B99">
        <w:rPr>
          <w:rFonts w:cs="Arial"/>
          <w:szCs w:val="22"/>
        </w:rPr>
        <w:t>7</w:t>
      </w:r>
      <w:r w:rsidR="00BF34FA" w:rsidRPr="00D22B99">
        <w:rPr>
          <w:rFonts w:cs="Arial"/>
          <w:szCs w:val="22"/>
        </w:rPr>
        <w:t>.7</w:t>
      </w:r>
      <w:r w:rsidR="00BF34FA" w:rsidRPr="00D22B99">
        <w:rPr>
          <w:rFonts w:cs="Arial"/>
          <w:szCs w:val="22"/>
        </w:rPr>
        <w:tab/>
        <w:t>In the officers’ opinion none of the new risks above, were they to come about, would seriously prejudice the achievement of the Strategic Plan and are therefore operational risks.  The effectiveness of treatment plans are reviewed by the Audit Committee annually.</w:t>
      </w:r>
    </w:p>
    <w:p w:rsidR="003744A2" w:rsidRPr="00D22B99" w:rsidRDefault="003744A2">
      <w:pPr>
        <w:ind w:left="1276" w:hanging="1276"/>
        <w:rPr>
          <w:rFonts w:cs="Arial"/>
          <w:szCs w:val="22"/>
        </w:rPr>
      </w:pPr>
    </w:p>
    <w:p w:rsidR="003744A2" w:rsidRPr="00D22B99" w:rsidRDefault="003744A2" w:rsidP="003744A2">
      <w:pPr>
        <w:keepNext/>
        <w:ind w:left="1267" w:hanging="1267"/>
        <w:rPr>
          <w:rFonts w:cs="Arial"/>
          <w:szCs w:val="22"/>
        </w:rPr>
      </w:pPr>
      <w:r w:rsidRPr="00D22B99">
        <w:rPr>
          <w:rFonts w:cs="Arial"/>
          <w:szCs w:val="22"/>
        </w:rPr>
        <w:t>8.</w:t>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ab/>
      </w:r>
      <w:r w:rsidRPr="00D22B99">
        <w:rPr>
          <w:rFonts w:cs="Arial"/>
          <w:b/>
          <w:szCs w:val="22"/>
        </w:rPr>
        <w:t>Equal Opportunities, Staffing, Environmental, Community Safety, Public Health, Customer Services Centre, Communications &amp; Website, Risk Management and Health &amp; Safety Implications</w:t>
      </w:r>
    </w:p>
    <w:p w:rsidR="003744A2" w:rsidRPr="00D22B99" w:rsidRDefault="003744A2" w:rsidP="003744A2">
      <w:pPr>
        <w:keepNext/>
        <w:ind w:left="1267" w:hanging="1267"/>
        <w:rPr>
          <w:rFonts w:cs="Arial"/>
          <w:szCs w:val="22"/>
        </w:rPr>
      </w:pPr>
    </w:p>
    <w:p w:rsidR="003744A2" w:rsidRPr="00D22B99" w:rsidRDefault="003744A2" w:rsidP="003744A2">
      <w:pPr>
        <w:ind w:left="1267" w:hanging="1267"/>
        <w:rPr>
          <w:rFonts w:cs="Arial"/>
          <w:szCs w:val="22"/>
        </w:rPr>
      </w:pP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8.1</w:t>
      </w:r>
      <w:r w:rsidRPr="00D22B99">
        <w:rPr>
          <w:rFonts w:cs="Arial"/>
          <w:szCs w:val="22"/>
        </w:rPr>
        <w:tab/>
        <w:t>None specific.</w:t>
      </w:r>
    </w:p>
    <w:p w:rsidR="003744A2" w:rsidRPr="00D22B99" w:rsidRDefault="003744A2">
      <w:pPr>
        <w:ind w:left="1276" w:hanging="1276"/>
        <w:rPr>
          <w:rFonts w:cs="Arial"/>
          <w:szCs w:val="22"/>
        </w:rPr>
      </w:pPr>
    </w:p>
    <w:p w:rsidR="00BF34FA" w:rsidRPr="00D22B99" w:rsidRDefault="00BF34FA">
      <w:pPr>
        <w:pStyle w:val="Header"/>
        <w:tabs>
          <w:tab w:val="clear" w:pos="4153"/>
          <w:tab w:val="clear" w:pos="8306"/>
          <w:tab w:val="left" w:pos="1260"/>
          <w:tab w:val="left" w:pos="1980"/>
          <w:tab w:val="left" w:pos="2700"/>
          <w:tab w:val="left" w:pos="3420"/>
        </w:tabs>
        <w:rPr>
          <w:rFonts w:cs="Arial"/>
          <w:szCs w:val="22"/>
        </w:rPr>
      </w:pPr>
    </w:p>
    <w:p w:rsidR="00BF34FA" w:rsidRPr="00D22B99" w:rsidRDefault="003744A2">
      <w:pPr>
        <w:keepNext/>
        <w:ind w:left="1267" w:hanging="1267"/>
        <w:rPr>
          <w:rFonts w:cs="Arial"/>
          <w:szCs w:val="22"/>
        </w:rPr>
      </w:pPr>
      <w:r w:rsidRPr="00D22B99">
        <w:rPr>
          <w:rFonts w:cs="Arial"/>
          <w:szCs w:val="22"/>
        </w:rPr>
        <w:t>9</w:t>
      </w:r>
      <w:r w:rsidR="00BF34FA" w:rsidRPr="00D22B99">
        <w:rPr>
          <w:rFonts w:cs="Arial"/>
          <w:szCs w:val="22"/>
        </w:rPr>
        <w:t>.</w:t>
      </w:r>
      <w:r w:rsidR="00BF34FA" w:rsidRPr="00D22B99">
        <w:rPr>
          <w:rFonts w:cs="Arial"/>
          <w:szCs w:val="22"/>
        </w:rPr>
        <w:fldChar w:fldCharType="begin"/>
      </w:r>
      <w:r w:rsidR="00BF34FA" w:rsidRPr="00D22B99">
        <w:rPr>
          <w:rFonts w:cs="Arial"/>
          <w:szCs w:val="22"/>
        </w:rPr>
        <w:instrText xml:space="preserve">  </w:instrText>
      </w:r>
      <w:r w:rsidR="00BF34FA" w:rsidRPr="00D22B99">
        <w:rPr>
          <w:rFonts w:cs="Arial"/>
          <w:szCs w:val="22"/>
        </w:rPr>
        <w:fldChar w:fldCharType="end"/>
      </w:r>
      <w:r w:rsidR="00BF34FA" w:rsidRPr="00D22B99">
        <w:rPr>
          <w:rFonts w:cs="Arial"/>
          <w:szCs w:val="22"/>
        </w:rPr>
        <w:tab/>
      </w:r>
      <w:r w:rsidR="00BF34FA" w:rsidRPr="00D22B99">
        <w:rPr>
          <w:rFonts w:cs="Arial"/>
          <w:b/>
          <w:szCs w:val="22"/>
        </w:rPr>
        <w:t>Recommendation</w:t>
      </w:r>
    </w:p>
    <w:p w:rsidR="00BF34FA" w:rsidRDefault="00BF34FA">
      <w:pPr>
        <w:keepNext/>
        <w:ind w:left="1267" w:hanging="1267"/>
        <w:rPr>
          <w:rFonts w:cs="Arial"/>
          <w:szCs w:val="22"/>
        </w:rPr>
      </w:pPr>
    </w:p>
    <w:p w:rsidR="00D22B99" w:rsidRDefault="00D22B99">
      <w:pPr>
        <w:keepNext/>
        <w:ind w:left="1267" w:hanging="1267"/>
        <w:rPr>
          <w:rFonts w:cs="Arial"/>
          <w:szCs w:val="22"/>
        </w:rPr>
      </w:pPr>
      <w:r>
        <w:rPr>
          <w:rFonts w:cs="Arial"/>
          <w:szCs w:val="22"/>
        </w:rPr>
        <w:tab/>
        <w:t>To Council:</w:t>
      </w:r>
    </w:p>
    <w:p w:rsidR="00D22B99" w:rsidRPr="00D22B99" w:rsidRDefault="00D22B99">
      <w:pPr>
        <w:keepNext/>
        <w:ind w:left="1267" w:hanging="1267"/>
        <w:rPr>
          <w:rFonts w:cs="Arial"/>
          <w:szCs w:val="22"/>
        </w:rPr>
      </w:pPr>
    </w:p>
    <w:p w:rsidR="00BF34FA" w:rsidRPr="00D22B99" w:rsidRDefault="003744A2" w:rsidP="00DE0D00">
      <w:pPr>
        <w:ind w:left="1276" w:hanging="1276"/>
        <w:rPr>
          <w:rFonts w:cs="Arial"/>
          <w:szCs w:val="22"/>
        </w:rPr>
      </w:pPr>
      <w:r w:rsidRPr="00D22B99">
        <w:rPr>
          <w:rFonts w:cs="Arial"/>
          <w:szCs w:val="22"/>
        </w:rPr>
        <w:t>9</w:t>
      </w:r>
      <w:r w:rsidR="00BF34FA" w:rsidRPr="00D22B99">
        <w:rPr>
          <w:rFonts w:cs="Arial"/>
          <w:szCs w:val="22"/>
        </w:rPr>
        <w:t>.1</w:t>
      </w:r>
      <w:r w:rsidR="00BF34FA" w:rsidRPr="00D22B99">
        <w:rPr>
          <w:rFonts w:cs="Arial"/>
          <w:szCs w:val="22"/>
        </w:rPr>
        <w:tab/>
      </w:r>
      <w:r w:rsidR="00DE0D00" w:rsidRPr="00D22B99">
        <w:rPr>
          <w:rFonts w:cs="Arial"/>
          <w:szCs w:val="22"/>
        </w:rPr>
        <w:t>That Audit Committee recommends to Council that for the first round of appointments, the Council opt into the PSAA Appointing Person arrangement, subject to confirmation of the details of the scheme.</w:t>
      </w:r>
    </w:p>
    <w:p w:rsidR="00BF34FA" w:rsidRPr="00D22B99" w:rsidRDefault="00BF34FA">
      <w:pPr>
        <w:rPr>
          <w:rFonts w:cs="Arial"/>
          <w:szCs w:val="22"/>
        </w:rPr>
      </w:pPr>
    </w:p>
    <w:p w:rsidR="00BF34FA" w:rsidRPr="00D22B99" w:rsidRDefault="00BF34FA" w:rsidP="00DE0D00">
      <w:pPr>
        <w:ind w:left="1260" w:hanging="1260"/>
        <w:rPr>
          <w:rFonts w:cs="Arial"/>
          <w:szCs w:val="22"/>
        </w:rPr>
      </w:pPr>
      <w:r w:rsidRPr="00D22B99">
        <w:rPr>
          <w:rFonts w:cs="Arial"/>
          <w:b/>
          <w:i/>
          <w:color w:val="008000"/>
          <w:szCs w:val="22"/>
        </w:rPr>
        <w:lastRenderedPageBreak/>
        <w:tab/>
      </w:r>
      <w:r w:rsidRPr="00D22B99">
        <w:rPr>
          <w:rFonts w:cs="Arial"/>
          <w:b/>
          <w:i/>
          <w:color w:val="008000"/>
          <w:szCs w:val="22"/>
        </w:rPr>
        <w:fldChar w:fldCharType="begin"/>
      </w:r>
      <w:r w:rsidRPr="00D22B99">
        <w:rPr>
          <w:rFonts w:cs="Arial"/>
          <w:b/>
          <w:i/>
          <w:color w:val="008000"/>
          <w:szCs w:val="22"/>
        </w:rPr>
        <w:instrText xml:space="preserve">  </w:instrText>
      </w:r>
      <w:r w:rsidRPr="00D22B99">
        <w:rPr>
          <w:rFonts w:cs="Arial"/>
          <w:b/>
          <w:i/>
          <w:color w:val="008000"/>
          <w:szCs w:val="22"/>
        </w:rPr>
        <w:fldChar w:fldCharType="end"/>
      </w:r>
      <w:r w:rsidRPr="00D22B99">
        <w:rPr>
          <w:rFonts w:cs="Arial"/>
          <w:b/>
          <w:i/>
          <w:color w:val="008000"/>
          <w:szCs w:val="22"/>
        </w:rPr>
        <w:fldChar w:fldCharType="begin"/>
      </w:r>
      <w:r w:rsidRPr="00D22B99">
        <w:rPr>
          <w:rFonts w:cs="Arial"/>
          <w:b/>
          <w:i/>
          <w:color w:val="008000"/>
          <w:szCs w:val="22"/>
        </w:rPr>
        <w:instrText xml:space="preserve">  </w:instrText>
      </w:r>
      <w:r w:rsidRPr="00D22B99">
        <w:rPr>
          <w:rFonts w:cs="Arial"/>
          <w:b/>
          <w:i/>
          <w:color w:val="008000"/>
          <w:szCs w:val="22"/>
        </w:rPr>
        <w:fldChar w:fldCharType="end"/>
      </w:r>
    </w:p>
    <w:p w:rsidR="00BF34FA" w:rsidRPr="00D22B99" w:rsidRDefault="00BF34FA">
      <w:pPr>
        <w:rPr>
          <w:rFonts w:cs="Arial"/>
          <w:b/>
          <w:i/>
          <w:color w:val="008000"/>
          <w:szCs w:val="22"/>
        </w:rPr>
      </w:pPr>
      <w:r w:rsidRPr="00D22B99">
        <w:rPr>
          <w:rFonts w:cs="Arial"/>
          <w:szCs w:val="22"/>
        </w:rPr>
        <w:tab/>
        <w:t>Report prepared by:</w:t>
      </w:r>
      <w:r w:rsidR="00DE0D00" w:rsidRPr="00D22B99">
        <w:rPr>
          <w:rFonts w:cs="Arial"/>
          <w:szCs w:val="22"/>
        </w:rPr>
        <w:t xml:space="preserve"> </w:t>
      </w: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DE0D00" w:rsidRPr="00D22B99">
        <w:rPr>
          <w:rFonts w:cs="Arial"/>
          <w:szCs w:val="22"/>
        </w:rPr>
        <w:t>Chris Roberts, Finance Business Partner (Projects)</w:t>
      </w:r>
    </w:p>
    <w:p w:rsidR="00BF34FA" w:rsidRPr="00D22B99" w:rsidRDefault="00BF34FA">
      <w:pPr>
        <w:ind w:left="1253" w:hanging="1253"/>
        <w:rPr>
          <w:rFonts w:cs="Arial"/>
          <w:szCs w:val="22"/>
        </w:rPr>
      </w:pPr>
    </w:p>
    <w:p w:rsidR="00BF34FA" w:rsidRPr="00D22B99" w:rsidRDefault="00BF34FA" w:rsidP="000431C7">
      <w:pPr>
        <w:keepNext/>
        <w:keepLines/>
        <w:ind w:left="1267" w:hanging="1267"/>
        <w:outlineLvl w:val="0"/>
        <w:rPr>
          <w:rFonts w:cs="Arial"/>
          <w:b/>
          <w:szCs w:val="22"/>
        </w:rPr>
      </w:pPr>
      <w:r w:rsidRPr="00D22B99">
        <w:rPr>
          <w:rFonts w:cs="Arial"/>
          <w:szCs w:val="22"/>
        </w:rPr>
        <w:tab/>
      </w:r>
      <w:r w:rsidRPr="00D22B99">
        <w:rPr>
          <w:rFonts w:cs="Arial"/>
          <w:b/>
          <w:szCs w:val="22"/>
        </w:rPr>
        <w:t>Data Quality</w:t>
      </w:r>
    </w:p>
    <w:p w:rsidR="00BF34FA" w:rsidRPr="00D22B99" w:rsidRDefault="00BF34FA" w:rsidP="000431C7">
      <w:pPr>
        <w:keepNext/>
        <w:keepLines/>
        <w:ind w:left="1267" w:hanging="1267"/>
        <w:outlineLvl w:val="0"/>
        <w:rPr>
          <w:rFonts w:cs="Arial"/>
          <w:b/>
          <w:szCs w:val="22"/>
        </w:rPr>
      </w:pPr>
    </w:p>
    <w:p w:rsidR="00925C90" w:rsidRPr="00D22B99" w:rsidRDefault="00BF34FA" w:rsidP="00925C90">
      <w:pPr>
        <w:keepNext/>
        <w:keepLines/>
        <w:ind w:left="1267" w:hanging="1267"/>
        <w:rPr>
          <w:rFonts w:cs="Arial"/>
          <w:szCs w:val="22"/>
        </w:rPr>
      </w:pPr>
      <w:r w:rsidRPr="00D22B99">
        <w:rPr>
          <w:rFonts w:cs="Arial"/>
          <w:b/>
          <w:szCs w:val="22"/>
        </w:rPr>
        <w:tab/>
      </w:r>
      <w:r w:rsidRPr="00D22B99">
        <w:rPr>
          <w:rFonts w:cs="Arial"/>
          <w:szCs w:val="22"/>
        </w:rPr>
        <w:t>Data sources:</w:t>
      </w:r>
      <w:r w:rsidR="00925C90" w:rsidRPr="00D22B99">
        <w:rPr>
          <w:rFonts w:cs="Arial"/>
          <w:szCs w:val="22"/>
        </w:rPr>
        <w:t xml:space="preserve"> </w:t>
      </w:r>
    </w:p>
    <w:p w:rsidR="00925C90" w:rsidRPr="00D22B99" w:rsidRDefault="00925C90" w:rsidP="00925C90">
      <w:pPr>
        <w:numPr>
          <w:ilvl w:val="0"/>
          <w:numId w:val="3"/>
        </w:numPr>
        <w:tabs>
          <w:tab w:val="clear" w:pos="-142"/>
          <w:tab w:val="clear" w:pos="1260"/>
          <w:tab w:val="clear" w:pos="1980"/>
          <w:tab w:val="clear" w:pos="2700"/>
          <w:tab w:val="clear" w:pos="3420"/>
        </w:tabs>
        <w:ind w:left="1276" w:hanging="283"/>
        <w:jc w:val="left"/>
        <w:rPr>
          <w:rFonts w:cs="Arial"/>
          <w:szCs w:val="22"/>
        </w:rPr>
      </w:pP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Pr="00D22B99">
        <w:rPr>
          <w:rFonts w:cs="Arial"/>
          <w:szCs w:val="22"/>
        </w:rPr>
        <w:t>Costs of external audit taken from published</w:t>
      </w:r>
      <w:r w:rsidR="00553628" w:rsidRPr="00D22B99">
        <w:rPr>
          <w:rFonts w:cs="Arial"/>
          <w:szCs w:val="22"/>
        </w:rPr>
        <w:t xml:space="preserve"> draft</w:t>
      </w:r>
      <w:r w:rsidRPr="00D22B99">
        <w:rPr>
          <w:rFonts w:cs="Arial"/>
          <w:szCs w:val="22"/>
        </w:rPr>
        <w:t xml:space="preserve"> statements of accounts for WBC and TRDC, which</w:t>
      </w:r>
      <w:r w:rsidR="00553628" w:rsidRPr="00D22B99">
        <w:rPr>
          <w:rFonts w:cs="Arial"/>
          <w:szCs w:val="22"/>
        </w:rPr>
        <w:t xml:space="preserve"> since</w:t>
      </w:r>
      <w:r w:rsidRPr="00D22B99">
        <w:rPr>
          <w:rFonts w:cs="Arial"/>
          <w:szCs w:val="22"/>
        </w:rPr>
        <w:t xml:space="preserve"> have been independently verified</w:t>
      </w:r>
      <w:r w:rsidR="00553628" w:rsidRPr="00D22B99">
        <w:rPr>
          <w:rFonts w:cs="Arial"/>
          <w:szCs w:val="22"/>
        </w:rPr>
        <w:t xml:space="preserve"> and confirmed</w:t>
      </w:r>
      <w:r w:rsidRPr="00D22B99">
        <w:rPr>
          <w:rFonts w:cs="Arial"/>
          <w:szCs w:val="22"/>
        </w:rPr>
        <w:t xml:space="preserve"> by external audit. </w:t>
      </w:r>
    </w:p>
    <w:p w:rsidR="00925C90" w:rsidRPr="00D22B99" w:rsidRDefault="00925C90" w:rsidP="00925C90">
      <w:pPr>
        <w:keepNext/>
        <w:keepLines/>
        <w:ind w:left="1267" w:hanging="1267"/>
        <w:rPr>
          <w:rFonts w:cs="Arial"/>
          <w:szCs w:val="22"/>
        </w:rPr>
      </w:pPr>
    </w:p>
    <w:p w:rsidR="00BF34FA" w:rsidRPr="00D22B99" w:rsidRDefault="00BF34FA" w:rsidP="00925C90">
      <w:pPr>
        <w:keepNext/>
        <w:keepLines/>
        <w:ind w:left="1267" w:hanging="1267"/>
        <w:rPr>
          <w:rFonts w:cs="Arial"/>
          <w:b/>
          <w:i/>
          <w:color w:val="008000"/>
          <w:szCs w:val="22"/>
        </w:rPr>
      </w:pPr>
      <w:r w:rsidRPr="00D22B99">
        <w:rPr>
          <w:rFonts w:cs="Arial"/>
          <w:szCs w:val="22"/>
        </w:rPr>
        <w:tab/>
      </w:r>
      <w:r w:rsidRPr="00D22B99">
        <w:rPr>
          <w:rFonts w:cs="Arial"/>
          <w:szCs w:val="22"/>
        </w:rPr>
        <w:fldChar w:fldCharType="begin"/>
      </w:r>
      <w:r w:rsidRPr="00D22B99">
        <w:rPr>
          <w:rFonts w:cs="Arial"/>
          <w:szCs w:val="22"/>
        </w:rPr>
        <w:instrText xml:space="preserve"> ASK   \* MERGEFORMAT </w:instrText>
      </w:r>
      <w:r w:rsidRPr="00D22B99">
        <w:rPr>
          <w:rFonts w:cs="Arial"/>
          <w:szCs w:val="22"/>
        </w:rPr>
        <w:fldChar w:fldCharType="end"/>
      </w:r>
      <w:r w:rsidRPr="00D22B99">
        <w:rPr>
          <w:rFonts w:cs="Arial"/>
          <w:i/>
          <w:szCs w:val="22"/>
        </w:rPr>
        <w:tab/>
      </w:r>
      <w:r w:rsidRPr="00D22B99">
        <w:rPr>
          <w:rFonts w:cs="Arial"/>
          <w:szCs w:val="22"/>
        </w:rPr>
        <w:t xml:space="preserve">Data checked by: </w:t>
      </w:r>
      <w:r w:rsidRPr="00D22B99">
        <w:rPr>
          <w:rFonts w:cs="Arial"/>
          <w:szCs w:val="22"/>
        </w:rPr>
        <w:fldChar w:fldCharType="begin"/>
      </w:r>
      <w:r w:rsidRPr="00D22B99">
        <w:rPr>
          <w:rFonts w:cs="Arial"/>
          <w:szCs w:val="22"/>
        </w:rPr>
        <w:instrText xml:space="preserve"> ASK   \* MERGEFORMAT </w:instrText>
      </w:r>
      <w:r w:rsidRPr="00D22B99">
        <w:rPr>
          <w:rFonts w:cs="Arial"/>
          <w:szCs w:val="22"/>
        </w:rPr>
        <w:fldChar w:fldCharType="end"/>
      </w:r>
      <w:r w:rsidR="00925C90" w:rsidRPr="00D22B99">
        <w:rPr>
          <w:rFonts w:cs="Arial"/>
          <w:szCs w:val="22"/>
        </w:rPr>
        <w:t>Chris Roberts, Finance Business Partner (Projects)</w:t>
      </w:r>
    </w:p>
    <w:p w:rsidR="00BF34FA" w:rsidRPr="00D22B99" w:rsidRDefault="00BF34FA">
      <w:pPr>
        <w:ind w:left="1253" w:hanging="1253"/>
        <w:rPr>
          <w:rFonts w:cs="Arial"/>
          <w:szCs w:val="22"/>
        </w:rPr>
      </w:pPr>
    </w:p>
    <w:p w:rsidR="00BF34FA" w:rsidRPr="00D22B99" w:rsidRDefault="00BF34FA">
      <w:pPr>
        <w:ind w:left="1260" w:hanging="1260"/>
        <w:rPr>
          <w:rFonts w:cs="Arial"/>
          <w:b/>
          <w:i/>
          <w:color w:val="008000"/>
          <w:szCs w:val="22"/>
        </w:rPr>
      </w:pPr>
      <w:r w:rsidRPr="00D22B99">
        <w:rPr>
          <w:rFonts w:cs="Arial"/>
          <w:szCs w:val="22"/>
        </w:rPr>
        <w:tab/>
        <w:t xml:space="preserve">Data rating: </w:t>
      </w:r>
    </w:p>
    <w:p w:rsidR="00BF34FA" w:rsidRPr="00D22B99" w:rsidRDefault="00BF34FA">
      <w:pPr>
        <w:ind w:left="1253" w:hanging="1253"/>
        <w:rPr>
          <w:rFonts w:cs="Arial"/>
          <w:szCs w:val="22"/>
        </w:rPr>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BF34FA" w:rsidRPr="00D22B99" w:rsidTr="00BF34FA">
        <w:trPr>
          <w:trHeight w:hRule="exact" w:val="346"/>
        </w:trPr>
        <w:tc>
          <w:tcPr>
            <w:tcW w:w="392" w:type="dxa"/>
            <w:vAlign w:val="center"/>
          </w:tcPr>
          <w:p w:rsidR="00BF34FA" w:rsidRPr="00D22B99" w:rsidRDefault="00BF34FA" w:rsidP="00BF34FA">
            <w:pPr>
              <w:keepNext/>
              <w:keepLines/>
              <w:rPr>
                <w:rFonts w:cs="Arial"/>
                <w:szCs w:val="22"/>
              </w:rPr>
            </w:pPr>
            <w:r w:rsidRPr="00D22B99">
              <w:rPr>
                <w:rFonts w:cs="Arial"/>
                <w:szCs w:val="22"/>
              </w:rPr>
              <w:t>1</w:t>
            </w:r>
          </w:p>
        </w:tc>
        <w:tc>
          <w:tcPr>
            <w:tcW w:w="1276" w:type="dxa"/>
            <w:vAlign w:val="center"/>
          </w:tcPr>
          <w:p w:rsidR="00BF34FA" w:rsidRPr="00D22B99" w:rsidRDefault="00BF34FA" w:rsidP="00BF34FA">
            <w:pPr>
              <w:keepNext/>
              <w:keepLines/>
              <w:rPr>
                <w:rFonts w:cs="Arial"/>
                <w:szCs w:val="22"/>
              </w:rPr>
            </w:pPr>
            <w:r w:rsidRPr="00D22B99">
              <w:rPr>
                <w:rFonts w:cs="Arial"/>
                <w:szCs w:val="22"/>
              </w:rPr>
              <w:t>Poor</w:t>
            </w:r>
          </w:p>
        </w:tc>
        <w:tc>
          <w:tcPr>
            <w:tcW w:w="492" w:type="dxa"/>
            <w:vAlign w:val="center"/>
          </w:tcPr>
          <w:p w:rsidR="00BF34FA" w:rsidRPr="00D22B99" w:rsidRDefault="00BF34FA" w:rsidP="00BF34FA">
            <w:pPr>
              <w:keepNext/>
              <w:keepLines/>
              <w:jc w:val="center"/>
              <w:rPr>
                <w:rFonts w:cs="Arial"/>
                <w:szCs w:val="22"/>
              </w:rPr>
            </w:pPr>
          </w:p>
        </w:tc>
      </w:tr>
      <w:tr w:rsidR="00BF34FA" w:rsidRPr="00D22B99" w:rsidTr="00BF34FA">
        <w:trPr>
          <w:trHeight w:hRule="exact" w:val="346"/>
        </w:trPr>
        <w:tc>
          <w:tcPr>
            <w:tcW w:w="392" w:type="dxa"/>
            <w:vAlign w:val="center"/>
          </w:tcPr>
          <w:p w:rsidR="00BF34FA" w:rsidRPr="00D22B99" w:rsidRDefault="00BF34FA" w:rsidP="00BF34FA">
            <w:pPr>
              <w:keepNext/>
              <w:keepLines/>
              <w:rPr>
                <w:rFonts w:cs="Arial"/>
                <w:szCs w:val="22"/>
              </w:rPr>
            </w:pPr>
            <w:r w:rsidRPr="00D22B99">
              <w:rPr>
                <w:rFonts w:cs="Arial"/>
                <w:szCs w:val="22"/>
              </w:rPr>
              <w:t>2</w:t>
            </w:r>
          </w:p>
        </w:tc>
        <w:tc>
          <w:tcPr>
            <w:tcW w:w="1276" w:type="dxa"/>
            <w:vAlign w:val="center"/>
          </w:tcPr>
          <w:p w:rsidR="00BF34FA" w:rsidRPr="00D22B99" w:rsidRDefault="00BF34FA" w:rsidP="00BF34FA">
            <w:pPr>
              <w:keepNext/>
              <w:keepLines/>
              <w:rPr>
                <w:rFonts w:cs="Arial"/>
                <w:szCs w:val="22"/>
              </w:rPr>
            </w:pPr>
            <w:r w:rsidRPr="00D22B99">
              <w:rPr>
                <w:rFonts w:cs="Arial"/>
                <w:szCs w:val="22"/>
              </w:rPr>
              <w:t>Sufficient</w:t>
            </w:r>
          </w:p>
        </w:tc>
        <w:tc>
          <w:tcPr>
            <w:tcW w:w="492" w:type="dxa"/>
            <w:vAlign w:val="center"/>
          </w:tcPr>
          <w:p w:rsidR="00BF34FA" w:rsidRPr="00D22B99" w:rsidRDefault="00BF34FA" w:rsidP="00BF34FA">
            <w:pPr>
              <w:keepNext/>
              <w:keepLines/>
              <w:jc w:val="center"/>
              <w:rPr>
                <w:rFonts w:cs="Arial"/>
                <w:szCs w:val="22"/>
              </w:rPr>
            </w:pPr>
          </w:p>
        </w:tc>
      </w:tr>
      <w:tr w:rsidR="00BF34FA" w:rsidRPr="00D22B99" w:rsidTr="00BF34FA">
        <w:trPr>
          <w:trHeight w:hRule="exact" w:val="346"/>
        </w:trPr>
        <w:tc>
          <w:tcPr>
            <w:tcW w:w="392" w:type="dxa"/>
            <w:vAlign w:val="center"/>
          </w:tcPr>
          <w:p w:rsidR="00BF34FA" w:rsidRPr="00D22B99" w:rsidRDefault="00BF34FA" w:rsidP="00BF34FA">
            <w:pPr>
              <w:keepNext/>
              <w:keepLines/>
              <w:rPr>
                <w:rFonts w:cs="Arial"/>
                <w:szCs w:val="22"/>
              </w:rPr>
            </w:pPr>
            <w:r w:rsidRPr="00D22B99">
              <w:rPr>
                <w:rFonts w:cs="Arial"/>
                <w:szCs w:val="22"/>
              </w:rPr>
              <w:t>3</w:t>
            </w:r>
          </w:p>
        </w:tc>
        <w:tc>
          <w:tcPr>
            <w:tcW w:w="1276" w:type="dxa"/>
            <w:vAlign w:val="center"/>
          </w:tcPr>
          <w:p w:rsidR="00BF34FA" w:rsidRPr="00D22B99" w:rsidRDefault="00BF34FA" w:rsidP="00BF34FA">
            <w:pPr>
              <w:keepNext/>
              <w:keepLines/>
              <w:rPr>
                <w:rFonts w:cs="Arial"/>
                <w:szCs w:val="22"/>
              </w:rPr>
            </w:pPr>
            <w:r w:rsidRPr="00D22B99">
              <w:rPr>
                <w:rFonts w:cs="Arial"/>
                <w:szCs w:val="22"/>
              </w:rPr>
              <w:t>High</w:t>
            </w:r>
          </w:p>
        </w:tc>
        <w:tc>
          <w:tcPr>
            <w:tcW w:w="492" w:type="dxa"/>
            <w:vAlign w:val="center"/>
          </w:tcPr>
          <w:p w:rsidR="00BF34FA" w:rsidRPr="00D22B99" w:rsidRDefault="00DE0D00" w:rsidP="00BF34FA">
            <w:pPr>
              <w:keepNext/>
              <w:keepLines/>
              <w:jc w:val="center"/>
              <w:rPr>
                <w:rFonts w:cs="Arial"/>
                <w:szCs w:val="22"/>
              </w:rPr>
            </w:pPr>
            <w:r w:rsidRPr="00D22B99">
              <w:rPr>
                <w:rFonts w:cs="Arial"/>
                <w:b/>
                <w:szCs w:val="22"/>
              </w:rPr>
              <w:sym w:font="Wingdings" w:char="F0FC"/>
            </w:r>
          </w:p>
        </w:tc>
      </w:tr>
    </w:tbl>
    <w:p w:rsidR="00BF34FA" w:rsidRPr="00D22B99" w:rsidRDefault="00BF34FA">
      <w:pPr>
        <w:ind w:left="1253" w:hanging="1253"/>
        <w:rPr>
          <w:rFonts w:cs="Arial"/>
          <w:szCs w:val="22"/>
        </w:rPr>
      </w:pPr>
    </w:p>
    <w:p w:rsidR="00BF34FA" w:rsidRPr="00D22B99" w:rsidRDefault="00BF34FA">
      <w:pPr>
        <w:rPr>
          <w:rFonts w:cs="Arial"/>
          <w:szCs w:val="22"/>
        </w:rPr>
      </w:pPr>
    </w:p>
    <w:p w:rsidR="00BF34FA" w:rsidRPr="00D22B99" w:rsidRDefault="00BF34FA">
      <w:pPr>
        <w:keepNext/>
        <w:ind w:left="1267" w:hanging="1267"/>
        <w:rPr>
          <w:rFonts w:cs="Arial"/>
          <w:b/>
          <w:szCs w:val="22"/>
        </w:rPr>
      </w:pPr>
      <w:r w:rsidRPr="00D22B99">
        <w:rPr>
          <w:rFonts w:cs="Arial"/>
          <w:szCs w:val="22"/>
        </w:rPr>
        <w:tab/>
      </w:r>
      <w:r w:rsidRPr="00D22B99">
        <w:rPr>
          <w:rFonts w:cs="Arial"/>
          <w:b/>
          <w:szCs w:val="22"/>
        </w:rPr>
        <w:t>Background Papers</w:t>
      </w:r>
    </w:p>
    <w:p w:rsidR="00BF34FA" w:rsidRPr="00D22B99" w:rsidRDefault="00BF34FA">
      <w:pPr>
        <w:keepNext/>
        <w:ind w:left="1267" w:hanging="1267"/>
        <w:rPr>
          <w:rFonts w:cs="Arial"/>
          <w:b/>
          <w:szCs w:val="22"/>
        </w:rPr>
      </w:pPr>
    </w:p>
    <w:p w:rsidR="00925C90" w:rsidRPr="00D22B99" w:rsidRDefault="00BF34FA" w:rsidP="00925C90">
      <w:pPr>
        <w:numPr>
          <w:ilvl w:val="0"/>
          <w:numId w:val="3"/>
        </w:numPr>
        <w:tabs>
          <w:tab w:val="clear" w:pos="-142"/>
          <w:tab w:val="clear" w:pos="1260"/>
          <w:tab w:val="clear" w:pos="1980"/>
          <w:tab w:val="clear" w:pos="2700"/>
          <w:tab w:val="clear" w:pos="3420"/>
        </w:tabs>
        <w:ind w:left="1276" w:hanging="283"/>
        <w:jc w:val="left"/>
        <w:rPr>
          <w:rFonts w:cs="Arial"/>
          <w:szCs w:val="22"/>
        </w:rPr>
      </w:pPr>
      <w:r w:rsidRPr="00D22B99">
        <w:rPr>
          <w:rFonts w:cs="Arial"/>
          <w:szCs w:val="22"/>
        </w:rPr>
        <w:fldChar w:fldCharType="begin"/>
      </w:r>
      <w:r w:rsidRPr="00D22B99">
        <w:rPr>
          <w:rFonts w:cs="Arial"/>
          <w:szCs w:val="22"/>
        </w:rPr>
        <w:instrText xml:space="preserve">  </w:instrText>
      </w:r>
      <w:r w:rsidRPr="00D22B99">
        <w:rPr>
          <w:rFonts w:cs="Arial"/>
          <w:szCs w:val="22"/>
        </w:rPr>
        <w:fldChar w:fldCharType="end"/>
      </w:r>
      <w:r w:rsidR="00925C90" w:rsidRPr="00D22B99">
        <w:rPr>
          <w:rFonts w:cs="Arial"/>
          <w:szCs w:val="22"/>
        </w:rPr>
        <w:t xml:space="preserve">The Local Audit and Accountability Act 2014 and associated notes and regulations: </w:t>
      </w:r>
    </w:p>
    <w:p w:rsidR="00925C90" w:rsidRPr="00D22B99" w:rsidRDefault="00925C90" w:rsidP="00925C90">
      <w:pPr>
        <w:tabs>
          <w:tab w:val="left" w:pos="993"/>
        </w:tabs>
        <w:ind w:left="1276"/>
        <w:rPr>
          <w:rStyle w:val="Hyperlink"/>
          <w:rFonts w:cs="Arial"/>
          <w:szCs w:val="22"/>
        </w:rPr>
      </w:pPr>
      <w:r w:rsidRPr="00D22B99">
        <w:rPr>
          <w:rFonts w:cs="Arial"/>
          <w:szCs w:val="22"/>
        </w:rPr>
        <w:fldChar w:fldCharType="begin"/>
      </w:r>
      <w:r w:rsidRPr="00D22B99">
        <w:rPr>
          <w:rFonts w:cs="Arial"/>
          <w:szCs w:val="22"/>
        </w:rPr>
        <w:instrText xml:space="preserve"> HYPERLINK "http://www.legislation.gov.uk/ukpga/2014/2/contents/enacted/data.htm" </w:instrText>
      </w:r>
      <w:r w:rsidRPr="00D22B99">
        <w:rPr>
          <w:rFonts w:cs="Arial"/>
          <w:szCs w:val="22"/>
        </w:rPr>
        <w:fldChar w:fldCharType="separate"/>
      </w:r>
      <w:r w:rsidRPr="00D22B99">
        <w:rPr>
          <w:rStyle w:val="Hyperlink"/>
          <w:rFonts w:cs="Arial"/>
          <w:szCs w:val="22"/>
        </w:rPr>
        <w:t xml:space="preserve">http://www.legislation.gov.uk/ukpga/2014/2/contents/enacted/data.htm   </w:t>
      </w:r>
    </w:p>
    <w:p w:rsidR="00925C90" w:rsidRPr="00D22B99" w:rsidRDefault="00925C90" w:rsidP="00925C90">
      <w:pPr>
        <w:numPr>
          <w:ilvl w:val="0"/>
          <w:numId w:val="3"/>
        </w:numPr>
        <w:tabs>
          <w:tab w:val="clear" w:pos="-142"/>
          <w:tab w:val="clear" w:pos="1260"/>
          <w:tab w:val="clear" w:pos="1980"/>
          <w:tab w:val="clear" w:pos="2700"/>
          <w:tab w:val="clear" w:pos="3420"/>
        </w:tabs>
        <w:ind w:left="1276" w:hanging="283"/>
        <w:jc w:val="left"/>
        <w:rPr>
          <w:rFonts w:cs="Arial"/>
          <w:szCs w:val="22"/>
        </w:rPr>
      </w:pPr>
      <w:r w:rsidRPr="00D22B99">
        <w:rPr>
          <w:rFonts w:cs="Arial"/>
          <w:szCs w:val="22"/>
        </w:rPr>
        <w:fldChar w:fldCharType="end"/>
      </w:r>
      <w:r w:rsidRPr="00D22B99">
        <w:rPr>
          <w:rFonts w:cs="Arial"/>
          <w:szCs w:val="22"/>
        </w:rPr>
        <w:t xml:space="preserve">Guidance from the Chartered Institute of Public Finance &amp; Accountancy: </w:t>
      </w:r>
    </w:p>
    <w:p w:rsidR="00925C90" w:rsidRPr="00D22B99" w:rsidRDefault="00925C90" w:rsidP="00925C90">
      <w:pPr>
        <w:ind w:left="1276"/>
        <w:rPr>
          <w:rStyle w:val="Hyperlink"/>
          <w:rFonts w:cs="Arial"/>
          <w:szCs w:val="22"/>
        </w:rPr>
      </w:pPr>
      <w:r w:rsidRPr="00D22B99">
        <w:rPr>
          <w:rFonts w:cs="Arial"/>
          <w:szCs w:val="22"/>
        </w:rPr>
        <w:fldChar w:fldCharType="begin"/>
      </w:r>
      <w:r w:rsidRPr="00D22B99">
        <w:rPr>
          <w:rFonts w:cs="Arial"/>
          <w:szCs w:val="22"/>
        </w:rPr>
        <w:instrText xml:space="preserve"> HYPERLINK "http://www.cipfa.org/policy-and-guidance/publications/g/guide-to-auditor-panels-pdf" </w:instrText>
      </w:r>
      <w:r w:rsidRPr="00D22B99">
        <w:rPr>
          <w:rFonts w:cs="Arial"/>
          <w:szCs w:val="22"/>
        </w:rPr>
        <w:fldChar w:fldCharType="separate"/>
      </w:r>
      <w:r w:rsidRPr="00D22B99">
        <w:rPr>
          <w:rStyle w:val="Hyperlink"/>
          <w:rFonts w:cs="Arial"/>
          <w:szCs w:val="22"/>
        </w:rPr>
        <w:t>http://www.cipfa.org/policy-and-guidance/publications/g/guide-to-auditor-panels-pdf</w:t>
      </w:r>
    </w:p>
    <w:p w:rsidR="00925C90" w:rsidRPr="00D22B99" w:rsidRDefault="00925C90" w:rsidP="00925C90">
      <w:pPr>
        <w:numPr>
          <w:ilvl w:val="0"/>
          <w:numId w:val="3"/>
        </w:numPr>
        <w:tabs>
          <w:tab w:val="clear" w:pos="-142"/>
          <w:tab w:val="clear" w:pos="1260"/>
          <w:tab w:val="clear" w:pos="1980"/>
          <w:tab w:val="clear" w:pos="2700"/>
          <w:tab w:val="clear" w:pos="3420"/>
        </w:tabs>
        <w:ind w:left="1276" w:hanging="283"/>
        <w:jc w:val="left"/>
        <w:rPr>
          <w:rFonts w:cs="Arial"/>
          <w:szCs w:val="22"/>
        </w:rPr>
      </w:pPr>
      <w:r w:rsidRPr="00D22B99">
        <w:rPr>
          <w:rFonts w:cs="Arial"/>
          <w:szCs w:val="22"/>
        </w:rPr>
        <w:fldChar w:fldCharType="end"/>
      </w:r>
      <w:r w:rsidRPr="00D22B99">
        <w:rPr>
          <w:rFonts w:cs="Arial"/>
          <w:szCs w:val="22"/>
        </w:rPr>
        <w:t>Information on the PSAA Website, including prospectus for sector-led body application:</w:t>
      </w:r>
    </w:p>
    <w:p w:rsidR="00925C90" w:rsidRPr="00D22B99" w:rsidRDefault="00D22B99" w:rsidP="00925C90">
      <w:pPr>
        <w:spacing w:line="276" w:lineRule="auto"/>
        <w:ind w:left="1276"/>
        <w:rPr>
          <w:rFonts w:eastAsia="Calibri" w:cs="Arial"/>
          <w:szCs w:val="22"/>
          <w:lang w:eastAsia="en-US"/>
        </w:rPr>
      </w:pPr>
      <w:hyperlink r:id="rId8" w:history="1">
        <w:r w:rsidR="00925C90" w:rsidRPr="00D22B99">
          <w:rPr>
            <w:rFonts w:eastAsia="Calibri" w:cs="Arial"/>
            <w:color w:val="0000FF"/>
            <w:szCs w:val="22"/>
            <w:u w:val="single"/>
            <w:lang w:eastAsia="en-US"/>
          </w:rPr>
          <w:t>http://www.psaa.co.uk/supporting-the-transition/</w:t>
        </w:r>
      </w:hyperlink>
      <w:r w:rsidR="00925C90" w:rsidRPr="00D22B99">
        <w:rPr>
          <w:rFonts w:eastAsia="Calibri" w:cs="Arial"/>
          <w:szCs w:val="22"/>
          <w:lang w:eastAsia="en-US"/>
        </w:rPr>
        <w:t xml:space="preserve"> </w:t>
      </w:r>
    </w:p>
    <w:p w:rsidR="00BF34FA" w:rsidRPr="00D22B99" w:rsidRDefault="00BF34FA">
      <w:pPr>
        <w:rPr>
          <w:rFonts w:cs="Arial"/>
          <w:szCs w:val="22"/>
        </w:rPr>
      </w:pPr>
    </w:p>
    <w:p w:rsidR="00BF34FA" w:rsidRPr="00D22B99" w:rsidRDefault="00BF34FA">
      <w:pPr>
        <w:ind w:left="1267" w:hanging="1267"/>
        <w:rPr>
          <w:rFonts w:cs="Arial"/>
          <w:szCs w:val="22"/>
        </w:rPr>
      </w:pPr>
    </w:p>
    <w:p w:rsidR="00BF34FA" w:rsidRPr="00D22B99" w:rsidRDefault="00BF34FA" w:rsidP="00925C90">
      <w:pPr>
        <w:ind w:left="1260" w:hanging="1260"/>
        <w:rPr>
          <w:rFonts w:cs="Arial"/>
          <w:b/>
          <w:szCs w:val="22"/>
        </w:rPr>
      </w:pPr>
      <w:r w:rsidRPr="00D22B99">
        <w:rPr>
          <w:rFonts w:cs="Arial"/>
          <w:b/>
          <w:i/>
          <w:color w:val="008000"/>
          <w:szCs w:val="22"/>
        </w:rPr>
        <w:tab/>
      </w:r>
      <w:r w:rsidRPr="00D22B99">
        <w:rPr>
          <w:rFonts w:cs="Arial"/>
          <w:b/>
          <w:i/>
          <w:color w:val="008000"/>
          <w:szCs w:val="22"/>
        </w:rPr>
        <w:fldChar w:fldCharType="begin"/>
      </w:r>
      <w:r w:rsidRPr="00D22B99">
        <w:rPr>
          <w:rFonts w:cs="Arial"/>
          <w:b/>
          <w:i/>
          <w:color w:val="008000"/>
          <w:szCs w:val="22"/>
        </w:rPr>
        <w:instrText xml:space="preserve">  </w:instrText>
      </w:r>
      <w:r w:rsidRPr="00D22B99">
        <w:rPr>
          <w:rFonts w:cs="Arial"/>
          <w:b/>
          <w:i/>
          <w:color w:val="008000"/>
          <w:szCs w:val="22"/>
        </w:rPr>
        <w:fldChar w:fldCharType="end"/>
      </w:r>
      <w:r w:rsidRPr="00D22B99">
        <w:rPr>
          <w:rFonts w:cs="Arial"/>
          <w:b/>
          <w:szCs w:val="22"/>
        </w:rPr>
        <w:t>APPENDICES / ATTACHMENTS</w:t>
      </w:r>
    </w:p>
    <w:p w:rsidR="003F10D6" w:rsidRPr="00D22B99" w:rsidRDefault="003F10D6" w:rsidP="00925C90">
      <w:pPr>
        <w:ind w:left="1260" w:hanging="1260"/>
        <w:rPr>
          <w:rFonts w:cs="Arial"/>
          <w:b/>
          <w:szCs w:val="22"/>
        </w:rPr>
      </w:pPr>
    </w:p>
    <w:p w:rsidR="003F10D6" w:rsidRPr="00D22B99" w:rsidRDefault="003F10D6" w:rsidP="00925C90">
      <w:pPr>
        <w:ind w:left="1260" w:hanging="1260"/>
        <w:rPr>
          <w:rFonts w:cs="Arial"/>
          <w:b/>
          <w:szCs w:val="22"/>
        </w:rPr>
      </w:pPr>
    </w:p>
    <w:p w:rsidR="003F10D6" w:rsidRPr="00D22B99" w:rsidRDefault="003F10D6" w:rsidP="003F10D6">
      <w:pPr>
        <w:tabs>
          <w:tab w:val="clear" w:pos="1260"/>
          <w:tab w:val="clear" w:pos="1980"/>
          <w:tab w:val="clear" w:pos="2700"/>
          <w:tab w:val="clear" w:pos="3420"/>
        </w:tabs>
        <w:jc w:val="left"/>
        <w:rPr>
          <w:rFonts w:cs="Arial"/>
          <w:szCs w:val="22"/>
        </w:rPr>
      </w:pPr>
      <w:r w:rsidRPr="00D22B99">
        <w:rPr>
          <w:rFonts w:cs="Arial"/>
          <w:b/>
          <w:szCs w:val="22"/>
        </w:rPr>
        <w:tab/>
      </w:r>
      <w:r w:rsidRPr="00D22B99">
        <w:rPr>
          <w:rFonts w:cs="Arial"/>
          <w:szCs w:val="22"/>
        </w:rPr>
        <w:t>Appendix 1: Advantages and Disadvantages of the four options for appointment</w:t>
      </w:r>
    </w:p>
    <w:p w:rsidR="003F10D6" w:rsidRPr="00D22B99" w:rsidRDefault="003F10D6" w:rsidP="00925C90">
      <w:pPr>
        <w:ind w:left="1260" w:hanging="1260"/>
        <w:rPr>
          <w:rFonts w:cs="Arial"/>
          <w:szCs w:val="22"/>
        </w:rPr>
      </w:pPr>
    </w:p>
    <w:p w:rsidR="003F10D6" w:rsidRPr="00D22B99" w:rsidRDefault="003F10D6">
      <w:pPr>
        <w:tabs>
          <w:tab w:val="clear" w:pos="1260"/>
          <w:tab w:val="clear" w:pos="1980"/>
          <w:tab w:val="clear" w:pos="2700"/>
          <w:tab w:val="clear" w:pos="3420"/>
        </w:tabs>
        <w:jc w:val="left"/>
        <w:rPr>
          <w:rFonts w:cs="Arial"/>
          <w:szCs w:val="22"/>
        </w:rPr>
      </w:pPr>
      <w:r w:rsidRPr="00D22B99">
        <w:rPr>
          <w:rFonts w:cs="Arial"/>
          <w:szCs w:val="22"/>
        </w:rPr>
        <w:br w:type="page"/>
      </w:r>
    </w:p>
    <w:p w:rsidR="00DE0D00" w:rsidRPr="00D22B99" w:rsidRDefault="00DE0D00">
      <w:pPr>
        <w:tabs>
          <w:tab w:val="clear" w:pos="1260"/>
          <w:tab w:val="clear" w:pos="1980"/>
          <w:tab w:val="clear" w:pos="2700"/>
          <w:tab w:val="clear" w:pos="3420"/>
        </w:tabs>
        <w:jc w:val="left"/>
        <w:rPr>
          <w:rFonts w:cs="Arial"/>
          <w:szCs w:val="22"/>
        </w:rPr>
      </w:pPr>
    </w:p>
    <w:p w:rsidR="00DE0D00" w:rsidRPr="00D22B99" w:rsidRDefault="00DE0D00" w:rsidP="00DE0D00">
      <w:pPr>
        <w:tabs>
          <w:tab w:val="clear" w:pos="1260"/>
          <w:tab w:val="clear" w:pos="1980"/>
          <w:tab w:val="clear" w:pos="2700"/>
          <w:tab w:val="clear" w:pos="3420"/>
        </w:tabs>
        <w:jc w:val="center"/>
        <w:rPr>
          <w:rFonts w:cs="Arial"/>
          <w:b/>
          <w:szCs w:val="22"/>
        </w:rPr>
      </w:pPr>
      <w:r w:rsidRPr="00D22B99">
        <w:rPr>
          <w:rFonts w:cs="Arial"/>
          <w:b/>
          <w:szCs w:val="22"/>
        </w:rPr>
        <w:t>Appendix 1: Advantages and Disadvantages of the four options for appointment</w:t>
      </w:r>
    </w:p>
    <w:p w:rsidR="00DE0D00" w:rsidRPr="00D22B99" w:rsidRDefault="00DE0D00" w:rsidP="00DE0D00">
      <w:pPr>
        <w:spacing w:after="200" w:line="276" w:lineRule="auto"/>
        <w:ind w:left="142"/>
        <w:rPr>
          <w:rFonts w:eastAsia="Calibri" w:cs="Arial"/>
          <w:szCs w:val="22"/>
          <w:lang w:eastAsia="en-US"/>
        </w:rPr>
      </w:pPr>
      <w:r w:rsidRPr="00D22B99">
        <w:rPr>
          <w:rFonts w:eastAsia="Calibri" w:cs="Arial"/>
          <w:szCs w:val="22"/>
          <w:lang w:eastAsia="en-US"/>
        </w:rPr>
        <w:t xml:space="preserve">These advantages and disadvantages are principally based on the CIPFA Audit Panel Guidance (see background papers): </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4111"/>
        <w:gridCol w:w="4961"/>
      </w:tblGrid>
      <w:tr w:rsidR="00DE0D00" w:rsidRPr="00D22B99" w:rsidTr="003744A2">
        <w:trPr>
          <w:trHeight w:val="133"/>
          <w:tblHeader/>
        </w:trPr>
        <w:tc>
          <w:tcPr>
            <w:tcW w:w="1418" w:type="dxa"/>
            <w:shd w:val="clear" w:color="auto" w:fill="auto"/>
          </w:tcPr>
          <w:p w:rsidR="00DE0D00" w:rsidRPr="00D22B99" w:rsidRDefault="00DE0D00" w:rsidP="00925C90">
            <w:pPr>
              <w:rPr>
                <w:rFonts w:eastAsia="Calibri" w:cs="Arial"/>
                <w:b/>
                <w:szCs w:val="22"/>
                <w:lang w:eastAsia="en-US"/>
              </w:rPr>
            </w:pPr>
            <w:r w:rsidRPr="00D22B99">
              <w:rPr>
                <w:rFonts w:eastAsia="Calibri" w:cs="Arial"/>
                <w:b/>
                <w:szCs w:val="22"/>
                <w:lang w:eastAsia="en-US"/>
              </w:rPr>
              <w:t xml:space="preserve">Option </w:t>
            </w:r>
          </w:p>
        </w:tc>
        <w:tc>
          <w:tcPr>
            <w:tcW w:w="4111" w:type="dxa"/>
            <w:shd w:val="clear" w:color="auto" w:fill="auto"/>
          </w:tcPr>
          <w:p w:rsidR="00DE0D00" w:rsidRPr="00D22B99" w:rsidRDefault="00DE0D00" w:rsidP="00925C90">
            <w:pPr>
              <w:rPr>
                <w:rFonts w:eastAsia="Calibri" w:cs="Arial"/>
                <w:b/>
                <w:szCs w:val="22"/>
                <w:lang w:eastAsia="en-US"/>
              </w:rPr>
            </w:pPr>
            <w:r w:rsidRPr="00D22B99">
              <w:rPr>
                <w:rFonts w:eastAsia="Calibri" w:cs="Arial"/>
                <w:b/>
                <w:szCs w:val="22"/>
                <w:lang w:eastAsia="en-US"/>
              </w:rPr>
              <w:t xml:space="preserve">Possible Advantages </w:t>
            </w:r>
          </w:p>
        </w:tc>
        <w:tc>
          <w:tcPr>
            <w:tcW w:w="4961" w:type="dxa"/>
            <w:shd w:val="clear" w:color="auto" w:fill="auto"/>
          </w:tcPr>
          <w:p w:rsidR="00DE0D00" w:rsidRPr="00D22B99" w:rsidRDefault="00DE0D00" w:rsidP="00925C90">
            <w:pPr>
              <w:rPr>
                <w:rFonts w:eastAsia="Calibri" w:cs="Arial"/>
                <w:b/>
                <w:szCs w:val="22"/>
                <w:lang w:eastAsia="en-US"/>
              </w:rPr>
            </w:pPr>
            <w:r w:rsidRPr="00D22B99">
              <w:rPr>
                <w:rFonts w:eastAsia="Calibri" w:cs="Arial"/>
                <w:b/>
                <w:szCs w:val="22"/>
                <w:lang w:eastAsia="en-US"/>
              </w:rPr>
              <w:t xml:space="preserve">Possible Disadvantages </w:t>
            </w:r>
          </w:p>
        </w:tc>
      </w:tr>
      <w:tr w:rsidR="00DE0D00" w:rsidRPr="00D22B99" w:rsidTr="003744A2">
        <w:trPr>
          <w:trHeight w:val="1031"/>
        </w:trPr>
        <w:tc>
          <w:tcPr>
            <w:tcW w:w="1418" w:type="dxa"/>
            <w:shd w:val="clear" w:color="auto" w:fill="auto"/>
          </w:tcPr>
          <w:p w:rsidR="00DE0D00" w:rsidRPr="00D22B99" w:rsidRDefault="00DE0D00" w:rsidP="00925C90">
            <w:pPr>
              <w:rPr>
                <w:rFonts w:eastAsia="Calibri" w:cs="Arial"/>
                <w:szCs w:val="22"/>
                <w:lang w:eastAsia="en-US"/>
              </w:rPr>
            </w:pPr>
            <w:r w:rsidRPr="00D22B99">
              <w:rPr>
                <w:rFonts w:eastAsia="Calibri" w:cs="Arial"/>
                <w:szCs w:val="22"/>
                <w:lang w:eastAsia="en-US"/>
              </w:rPr>
              <w:t xml:space="preserve">1a Set up own separate and individual panel to oversee separate and individual procurement </w:t>
            </w:r>
          </w:p>
        </w:tc>
        <w:tc>
          <w:tcPr>
            <w:tcW w:w="411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Full ownership of the process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Fully bespoke contract with the auditor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Tendering process more based on local circumstances (within EU procurement rules) </w:t>
            </w:r>
          </w:p>
          <w:p w:rsidR="00DE0D00" w:rsidRPr="00D22B99" w:rsidRDefault="00DE0D00" w:rsidP="00925C90">
            <w:pPr>
              <w:rPr>
                <w:rFonts w:eastAsia="Calibri" w:cs="Arial"/>
                <w:szCs w:val="22"/>
                <w:lang w:eastAsia="en-US"/>
              </w:rPr>
            </w:pPr>
            <w:r w:rsidRPr="00D22B99">
              <w:rPr>
                <w:rFonts w:eastAsia="Calibri" w:cs="Arial"/>
                <w:szCs w:val="22"/>
                <w:lang w:eastAsia="en-US"/>
              </w:rPr>
              <w:t xml:space="preserve">Option to seek specific social value commitments such as apprenticeships in Watford/Three Rivers </w:t>
            </w:r>
          </w:p>
        </w:tc>
        <w:tc>
          <w:tcPr>
            <w:tcW w:w="496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experience difficulties in appointing majority independent panel members and independent panel chair as per the regulations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Will need to ensure that panel members are suitably qualified to understand and participate in the panel’s functions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Will have to cover panel expenses completely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not be able to procure at a lower cost, for example, depending on authority location, where there will be a risk of limited provider choice and a single authority contract may be less attractive to some providers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Will not achieve economies of scale</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Limited scope for local suppliers as public audit requires a separate registration</w:t>
            </w:r>
          </w:p>
        </w:tc>
      </w:tr>
      <w:tr w:rsidR="00DE0D00" w:rsidRPr="00D22B99" w:rsidTr="003744A2">
        <w:trPr>
          <w:cantSplit/>
          <w:trHeight w:val="1115"/>
        </w:trPr>
        <w:tc>
          <w:tcPr>
            <w:tcW w:w="1418" w:type="dxa"/>
            <w:shd w:val="clear" w:color="auto" w:fill="auto"/>
          </w:tcPr>
          <w:p w:rsidR="00DE0D00" w:rsidRPr="00D22B99" w:rsidRDefault="00DE0D00" w:rsidP="00925C90">
            <w:pPr>
              <w:rPr>
                <w:rFonts w:eastAsia="Calibri" w:cs="Arial"/>
                <w:szCs w:val="22"/>
                <w:lang w:eastAsia="en-US"/>
              </w:rPr>
            </w:pPr>
            <w:r w:rsidRPr="00D22B99">
              <w:rPr>
                <w:rFonts w:eastAsia="Calibri" w:cs="Arial"/>
                <w:szCs w:val="22"/>
                <w:lang w:eastAsia="en-US"/>
              </w:rPr>
              <w:t xml:space="preserve">1b Use existing committee or sub-committee </w:t>
            </w:r>
          </w:p>
        </w:tc>
        <w:tc>
          <w:tcPr>
            <w:tcW w:w="411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Existing administrative structure in place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Existing (sub)committee should already have a better basic understanding of the authority’s objectives and requirements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(As individual panel for procurement)</w:t>
            </w:r>
          </w:p>
        </w:tc>
        <w:tc>
          <w:tcPr>
            <w:tcW w:w="496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Will need to appoint new (sub) committee members to comply with independence regulations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Likely to require significant training or new members to fulfil knowledge requirements</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(As individual panel for procurement) </w:t>
            </w:r>
          </w:p>
          <w:p w:rsidR="00DE0D00" w:rsidRPr="00D22B99" w:rsidRDefault="00DE0D00" w:rsidP="00925C90">
            <w:pPr>
              <w:spacing w:after="120"/>
              <w:rPr>
                <w:rFonts w:eastAsia="Calibri" w:cs="Arial"/>
                <w:szCs w:val="22"/>
                <w:lang w:eastAsia="en-US"/>
              </w:rPr>
            </w:pPr>
          </w:p>
        </w:tc>
      </w:tr>
      <w:tr w:rsidR="00DE0D00" w:rsidRPr="00D22B99" w:rsidTr="003744A2">
        <w:trPr>
          <w:trHeight w:val="2192"/>
        </w:trPr>
        <w:tc>
          <w:tcPr>
            <w:tcW w:w="1418" w:type="dxa"/>
            <w:shd w:val="clear" w:color="auto" w:fill="auto"/>
          </w:tcPr>
          <w:p w:rsidR="00DE0D00" w:rsidRPr="00D22B99" w:rsidRDefault="00DE0D00" w:rsidP="00925C90">
            <w:pPr>
              <w:rPr>
                <w:rFonts w:eastAsia="Calibri" w:cs="Arial"/>
                <w:szCs w:val="22"/>
                <w:lang w:eastAsia="en-US"/>
              </w:rPr>
            </w:pPr>
            <w:r w:rsidRPr="00D22B99">
              <w:rPr>
                <w:rFonts w:eastAsia="Calibri" w:cs="Arial"/>
                <w:szCs w:val="22"/>
                <w:lang w:eastAsia="en-US"/>
              </w:rPr>
              <w:t xml:space="preserve">2 Set up a panel jointly with other authority/ authorities as part of a procurement exercise for joint contract covering more than one authority or multiple separate contracts </w:t>
            </w:r>
          </w:p>
        </w:tc>
        <w:tc>
          <w:tcPr>
            <w:tcW w:w="411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Less administration than a sole auditor panel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Will be able to share the administration expenses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be easier to attract suitable panel members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Option to seek specific social value commitments such as apprenticeships in Hertfordshire</w:t>
            </w:r>
          </w:p>
          <w:p w:rsidR="00DE0D00" w:rsidRPr="00D22B99" w:rsidRDefault="00DE0D00" w:rsidP="00925C90">
            <w:pPr>
              <w:spacing w:after="120"/>
              <w:rPr>
                <w:rFonts w:eastAsia="Calibri" w:cs="Arial"/>
                <w:i/>
                <w:szCs w:val="22"/>
                <w:lang w:eastAsia="en-US"/>
              </w:rPr>
            </w:pPr>
            <w:r w:rsidRPr="00D22B99">
              <w:rPr>
                <w:rFonts w:eastAsia="Calibri" w:cs="Arial"/>
                <w:i/>
                <w:szCs w:val="22"/>
                <w:lang w:eastAsia="en-US"/>
              </w:rPr>
              <w:t xml:space="preserve">If procuring a joint audit contract: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still be a relatively locally tailored process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be able to achieve some economies of scale </w:t>
            </w:r>
          </w:p>
          <w:p w:rsidR="00DE0D00" w:rsidRPr="00D22B99" w:rsidRDefault="00DE0D00" w:rsidP="00925C90">
            <w:pPr>
              <w:spacing w:after="120"/>
              <w:rPr>
                <w:rFonts w:eastAsia="Calibri" w:cs="Arial"/>
                <w:i/>
                <w:szCs w:val="22"/>
                <w:lang w:eastAsia="en-US"/>
              </w:rPr>
            </w:pPr>
            <w:r w:rsidRPr="00D22B99">
              <w:rPr>
                <w:rFonts w:eastAsia="Calibri" w:cs="Arial"/>
                <w:i/>
                <w:szCs w:val="22"/>
                <w:lang w:eastAsia="en-US"/>
              </w:rPr>
              <w:t xml:space="preserve">If procuring separate audit contracts: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An opportunity for fully bespoke contracts with the auditor if the group of authorities can agree </w:t>
            </w:r>
          </w:p>
        </w:tc>
        <w:tc>
          <w:tcPr>
            <w:tcW w:w="4961" w:type="dxa"/>
            <w:shd w:val="clear" w:color="auto" w:fill="auto"/>
          </w:tcPr>
          <w:p w:rsidR="00DE0D00" w:rsidRPr="00D22B99" w:rsidRDefault="00DE0D00" w:rsidP="00925C90">
            <w:pPr>
              <w:spacing w:after="120"/>
              <w:rPr>
                <w:rFonts w:eastAsia="Calibri" w:cs="Arial"/>
                <w:i/>
                <w:szCs w:val="22"/>
                <w:lang w:eastAsia="en-US"/>
              </w:rPr>
            </w:pPr>
            <w:r w:rsidRPr="00D22B99">
              <w:rPr>
                <w:rFonts w:eastAsia="Calibri" w:cs="Arial"/>
                <w:i/>
                <w:szCs w:val="22"/>
                <w:lang w:eastAsia="en-US"/>
              </w:rPr>
              <w:t xml:space="preserve">If procuring a joint audit contract: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need to compromise on the arrangements or auditor contract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need to enter into a formal arrangement with the other authority and may be difficult to find an authority willing to enter into such an arrangement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not end up with first choice of auditor compared to an individual auditor panel. If a large group of authorities work together and decide to appoint one joint audit contract across all the authorities, a joint panel may be more likely to advise appointment of an auditor it considers suitable for all authorities taken together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Need to agree appointment of members across multiple authorities and set up an appropriate joint decision-making process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Limited scope for social value/local suppliers as public audit requires a separate registration.</w:t>
            </w:r>
          </w:p>
        </w:tc>
      </w:tr>
      <w:tr w:rsidR="00DE0D00" w:rsidRPr="00D22B99" w:rsidTr="003744A2">
        <w:trPr>
          <w:trHeight w:val="2192"/>
        </w:trPr>
        <w:tc>
          <w:tcPr>
            <w:tcW w:w="1418" w:type="dxa"/>
            <w:shd w:val="clear" w:color="auto" w:fill="auto"/>
          </w:tcPr>
          <w:p w:rsidR="00DE0D00" w:rsidRPr="00D22B99" w:rsidRDefault="00DE0D00" w:rsidP="00925C90">
            <w:pPr>
              <w:rPr>
                <w:rFonts w:eastAsia="Calibri" w:cs="Arial"/>
                <w:szCs w:val="22"/>
                <w:lang w:eastAsia="en-US"/>
              </w:rPr>
            </w:pPr>
            <w:r w:rsidRPr="00D22B99">
              <w:rPr>
                <w:rFonts w:eastAsia="Calibri" w:cs="Arial"/>
                <w:szCs w:val="22"/>
                <w:lang w:eastAsia="en-US"/>
              </w:rPr>
              <w:lastRenderedPageBreak/>
              <w:t xml:space="preserve">3 Use another authority’s panel </w:t>
            </w:r>
          </w:p>
        </w:tc>
        <w:tc>
          <w:tcPr>
            <w:tcW w:w="411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Will not have to set up an auditor panel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More independent option for the authority using the host authority’s panel, though would need to ensure that independent members fulfil the independence criteria for both authorities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(As joint panel for procurement)</w:t>
            </w:r>
          </w:p>
        </w:tc>
        <w:tc>
          <w:tcPr>
            <w:tcW w:w="496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The panel may not understand the specific needs of the authority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need to enter into a formal arrangement with the other authority and may be difficult to find an authority willing to enter into such an arrangement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May be more difficult to ensure adequate liaison with authority’s own audit committee (if one exists)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(As joint panel for procurement)</w:t>
            </w:r>
          </w:p>
        </w:tc>
      </w:tr>
      <w:tr w:rsidR="00DE0D00" w:rsidRPr="00D22B99" w:rsidTr="003744A2">
        <w:trPr>
          <w:trHeight w:val="322"/>
        </w:trPr>
        <w:tc>
          <w:tcPr>
            <w:tcW w:w="1418" w:type="dxa"/>
            <w:shd w:val="clear" w:color="auto" w:fill="auto"/>
          </w:tcPr>
          <w:p w:rsidR="00DE0D00" w:rsidRPr="00D22B99" w:rsidRDefault="00DE0D00" w:rsidP="00925C90">
            <w:pPr>
              <w:rPr>
                <w:rFonts w:eastAsia="Calibri" w:cs="Arial"/>
                <w:szCs w:val="22"/>
                <w:lang w:eastAsia="en-US"/>
              </w:rPr>
            </w:pPr>
            <w:r w:rsidRPr="00D22B99">
              <w:rPr>
                <w:rFonts w:eastAsia="Calibri" w:cs="Arial"/>
                <w:szCs w:val="22"/>
                <w:lang w:eastAsia="en-US"/>
              </w:rPr>
              <w:t>4 Appointing Person</w:t>
            </w:r>
          </w:p>
        </w:tc>
        <w:tc>
          <w:tcPr>
            <w:tcW w:w="411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 xml:space="preserve">Minimal administrative involvement required from the Authority, in procurement and contract management, allowing resources to be focused on core business activities </w:t>
            </w:r>
          </w:p>
          <w:p w:rsidR="00DE0D00" w:rsidRPr="00D22B99" w:rsidRDefault="00DE0D00" w:rsidP="00925C90">
            <w:pPr>
              <w:spacing w:after="120"/>
              <w:rPr>
                <w:rFonts w:eastAsia="Calibri" w:cs="Arial"/>
                <w:szCs w:val="22"/>
                <w:lang w:eastAsia="en-US"/>
              </w:rPr>
            </w:pPr>
            <w:r w:rsidRPr="00D22B99">
              <w:rPr>
                <w:rFonts w:eastAsia="Calibri" w:cs="Arial"/>
                <w:szCs w:val="22"/>
                <w:lang w:eastAsia="en-US"/>
              </w:rPr>
              <w:t>Likely to offer lowest cost and most independent solution, as little to no opportunity to influence the decision</w:t>
            </w:r>
          </w:p>
        </w:tc>
        <w:tc>
          <w:tcPr>
            <w:tcW w:w="4961" w:type="dxa"/>
            <w:shd w:val="clear" w:color="auto" w:fill="auto"/>
          </w:tcPr>
          <w:p w:rsidR="00DE0D00" w:rsidRPr="00D22B99" w:rsidRDefault="00DE0D00" w:rsidP="00925C90">
            <w:pPr>
              <w:spacing w:after="120"/>
              <w:rPr>
                <w:rFonts w:eastAsia="Calibri" w:cs="Arial"/>
                <w:szCs w:val="22"/>
                <w:lang w:eastAsia="en-US"/>
              </w:rPr>
            </w:pPr>
            <w:r w:rsidRPr="00D22B99">
              <w:rPr>
                <w:rFonts w:eastAsia="Calibri" w:cs="Arial"/>
                <w:szCs w:val="22"/>
                <w:lang w:eastAsia="en-US"/>
              </w:rPr>
              <w:t>Very limited opportunities to express preferences and exercise control over the appointment – for example in terms of procuring other services at the same time, or making local arrangements (including social value)</w:t>
            </w:r>
          </w:p>
        </w:tc>
      </w:tr>
    </w:tbl>
    <w:p w:rsidR="00DE0D00" w:rsidRPr="00D22B99" w:rsidRDefault="00DE0D00">
      <w:pPr>
        <w:rPr>
          <w:rFonts w:cs="Arial"/>
          <w:szCs w:val="22"/>
        </w:rPr>
      </w:pPr>
    </w:p>
    <w:sectPr w:rsidR="00DE0D00" w:rsidRPr="00D22B99" w:rsidSect="00DE0D00">
      <w:footerReference w:type="default" r:id="rId9"/>
      <w:pgSz w:w="11909" w:h="16834" w:code="9"/>
      <w:pgMar w:top="720" w:right="720" w:bottom="720" w:left="720" w:header="706" w:footer="706"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10D6" w:rsidRDefault="003F10D6">
      <w:r>
        <w:separator/>
      </w:r>
    </w:p>
  </w:endnote>
  <w:endnote w:type="continuationSeparator" w:id="0">
    <w:p w:rsidR="003F10D6" w:rsidRDefault="003F1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10D6" w:rsidRDefault="003F10D6">
    <w:pPr>
      <w:pStyle w:val="Footer"/>
      <w:tabs>
        <w:tab w:val="clear" w:pos="4153"/>
        <w:tab w:val="clear" w:pos="8306"/>
        <w:tab w:val="center" w:pos="4680"/>
        <w:tab w:val="right" w:pos="9090"/>
      </w:tabs>
      <w:rPr>
        <w:sz w:val="16"/>
      </w:rPr>
    </w:pPr>
  </w:p>
  <w:p w:rsidR="003F10D6" w:rsidRPr="00B84728" w:rsidRDefault="003F10D6" w:rsidP="00B84728">
    <w:pPr>
      <w:pStyle w:val="Footer"/>
      <w:jc w:val="left"/>
      <w:rPr>
        <w:sz w:val="24"/>
        <w:szCs w:val="24"/>
      </w:rPr>
    </w:pPr>
    <w:r w:rsidRPr="001A713C">
      <w:rPr>
        <w:snapToGrid w:val="0"/>
        <w:sz w:val="20"/>
        <w:lang w:eastAsia="en-US"/>
      </w:rPr>
      <w:fldChar w:fldCharType="begin"/>
    </w:r>
    <w:r w:rsidRPr="001A713C">
      <w:rPr>
        <w:snapToGrid w:val="0"/>
        <w:sz w:val="20"/>
        <w:lang w:eastAsia="en-US"/>
      </w:rPr>
      <w:instrText xml:space="preserve"> PAGE </w:instrText>
    </w:r>
    <w:r w:rsidRPr="001A713C">
      <w:rPr>
        <w:snapToGrid w:val="0"/>
        <w:sz w:val="20"/>
        <w:lang w:eastAsia="en-US"/>
      </w:rPr>
      <w:fldChar w:fldCharType="separate"/>
    </w:r>
    <w:r w:rsidR="00D22B99">
      <w:rPr>
        <w:noProof/>
        <w:snapToGrid w:val="0"/>
        <w:sz w:val="20"/>
        <w:lang w:eastAsia="en-US"/>
      </w:rPr>
      <w:t>3</w:t>
    </w:r>
    <w:r w:rsidRPr="001A713C">
      <w:rPr>
        <w:snapToGrid w:val="0"/>
        <w:sz w:val="20"/>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10D6" w:rsidRDefault="003F10D6">
      <w:r>
        <w:separator/>
      </w:r>
    </w:p>
  </w:footnote>
  <w:footnote w:type="continuationSeparator" w:id="0">
    <w:p w:rsidR="003F10D6" w:rsidRDefault="003F10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3D75C7"/>
    <w:multiLevelType w:val="multilevel"/>
    <w:tmpl w:val="14DA4CB0"/>
    <w:lvl w:ilvl="0">
      <w:start w:val="1"/>
      <w:numFmt w:val="decimal"/>
      <w:lvlText w:val="%1"/>
      <w:lvlJc w:val="left"/>
      <w:pPr>
        <w:ind w:left="360" w:hanging="360"/>
      </w:pPr>
      <w:rPr>
        <w:rFonts w:ascii="Arial" w:eastAsia="Times New Roman" w:hAnsi="Arial" w:hint="default"/>
        <w:sz w:val="22"/>
      </w:rPr>
    </w:lvl>
    <w:lvl w:ilvl="1">
      <w:start w:val="1"/>
      <w:numFmt w:val="decimal"/>
      <w:lvlText w:val="%1.%2"/>
      <w:lvlJc w:val="left"/>
      <w:pPr>
        <w:ind w:left="360" w:hanging="360"/>
      </w:pPr>
      <w:rPr>
        <w:rFonts w:ascii="Arial" w:eastAsia="Times New Roman" w:hAnsi="Arial" w:hint="default"/>
        <w:sz w:val="22"/>
      </w:rPr>
    </w:lvl>
    <w:lvl w:ilvl="2">
      <w:start w:val="1"/>
      <w:numFmt w:val="decimal"/>
      <w:lvlText w:val="%1.%2.%3"/>
      <w:lvlJc w:val="left"/>
      <w:pPr>
        <w:ind w:left="720" w:hanging="720"/>
      </w:pPr>
      <w:rPr>
        <w:rFonts w:ascii="Arial" w:eastAsia="Times New Roman" w:hAnsi="Arial" w:hint="default"/>
        <w:sz w:val="22"/>
      </w:rPr>
    </w:lvl>
    <w:lvl w:ilvl="3">
      <w:start w:val="1"/>
      <w:numFmt w:val="decimal"/>
      <w:lvlText w:val="%1.%2.%3.%4"/>
      <w:lvlJc w:val="left"/>
      <w:pPr>
        <w:ind w:left="720" w:hanging="720"/>
      </w:pPr>
      <w:rPr>
        <w:rFonts w:ascii="Arial" w:eastAsia="Times New Roman" w:hAnsi="Arial" w:hint="default"/>
        <w:sz w:val="22"/>
      </w:rPr>
    </w:lvl>
    <w:lvl w:ilvl="4">
      <w:start w:val="1"/>
      <w:numFmt w:val="decimal"/>
      <w:lvlText w:val="%1.%2.%3.%4.%5"/>
      <w:lvlJc w:val="left"/>
      <w:pPr>
        <w:ind w:left="1080" w:hanging="1080"/>
      </w:pPr>
      <w:rPr>
        <w:rFonts w:ascii="Arial" w:eastAsia="Times New Roman" w:hAnsi="Arial" w:hint="default"/>
        <w:sz w:val="22"/>
      </w:rPr>
    </w:lvl>
    <w:lvl w:ilvl="5">
      <w:start w:val="1"/>
      <w:numFmt w:val="decimal"/>
      <w:lvlText w:val="%1.%2.%3.%4.%5.%6"/>
      <w:lvlJc w:val="left"/>
      <w:pPr>
        <w:ind w:left="1080" w:hanging="1080"/>
      </w:pPr>
      <w:rPr>
        <w:rFonts w:ascii="Arial" w:eastAsia="Times New Roman" w:hAnsi="Arial" w:hint="default"/>
        <w:sz w:val="22"/>
      </w:rPr>
    </w:lvl>
    <w:lvl w:ilvl="6">
      <w:start w:val="1"/>
      <w:numFmt w:val="decimal"/>
      <w:lvlText w:val="%1.%2.%3.%4.%5.%6.%7"/>
      <w:lvlJc w:val="left"/>
      <w:pPr>
        <w:ind w:left="1440" w:hanging="1440"/>
      </w:pPr>
      <w:rPr>
        <w:rFonts w:ascii="Arial" w:eastAsia="Times New Roman" w:hAnsi="Arial" w:hint="default"/>
        <w:sz w:val="22"/>
      </w:rPr>
    </w:lvl>
    <w:lvl w:ilvl="7">
      <w:start w:val="1"/>
      <w:numFmt w:val="decimal"/>
      <w:lvlText w:val="%1.%2.%3.%4.%5.%6.%7.%8"/>
      <w:lvlJc w:val="left"/>
      <w:pPr>
        <w:ind w:left="1440" w:hanging="1440"/>
      </w:pPr>
      <w:rPr>
        <w:rFonts w:ascii="Arial" w:eastAsia="Times New Roman" w:hAnsi="Arial" w:hint="default"/>
        <w:sz w:val="22"/>
      </w:rPr>
    </w:lvl>
    <w:lvl w:ilvl="8">
      <w:start w:val="1"/>
      <w:numFmt w:val="decimal"/>
      <w:lvlText w:val="%1.%2.%3.%4.%5.%6.%7.%8.%9"/>
      <w:lvlJc w:val="left"/>
      <w:pPr>
        <w:ind w:left="1800" w:hanging="1800"/>
      </w:pPr>
      <w:rPr>
        <w:rFonts w:ascii="Arial" w:eastAsia="Times New Roman" w:hAnsi="Arial" w:hint="default"/>
        <w:sz w:val="22"/>
      </w:rPr>
    </w:lvl>
  </w:abstractNum>
  <w:abstractNum w:abstractNumId="1">
    <w:nsid w:val="38374CC9"/>
    <w:multiLevelType w:val="multilevel"/>
    <w:tmpl w:val="14DA4CB0"/>
    <w:lvl w:ilvl="0">
      <w:start w:val="1"/>
      <w:numFmt w:val="decimal"/>
      <w:lvlText w:val="%1"/>
      <w:lvlJc w:val="left"/>
      <w:pPr>
        <w:ind w:left="360" w:hanging="360"/>
      </w:pPr>
      <w:rPr>
        <w:rFonts w:ascii="Arial" w:eastAsia="Times New Roman" w:hAnsi="Arial" w:hint="default"/>
        <w:sz w:val="22"/>
      </w:rPr>
    </w:lvl>
    <w:lvl w:ilvl="1">
      <w:start w:val="1"/>
      <w:numFmt w:val="decimal"/>
      <w:lvlText w:val="%1.%2"/>
      <w:lvlJc w:val="left"/>
      <w:pPr>
        <w:ind w:left="360" w:hanging="360"/>
      </w:pPr>
      <w:rPr>
        <w:rFonts w:ascii="Arial" w:eastAsia="Times New Roman" w:hAnsi="Arial" w:hint="default"/>
        <w:sz w:val="22"/>
      </w:rPr>
    </w:lvl>
    <w:lvl w:ilvl="2">
      <w:start w:val="1"/>
      <w:numFmt w:val="decimal"/>
      <w:lvlText w:val="%1.%2.%3"/>
      <w:lvlJc w:val="left"/>
      <w:pPr>
        <w:ind w:left="720" w:hanging="720"/>
      </w:pPr>
      <w:rPr>
        <w:rFonts w:ascii="Arial" w:eastAsia="Times New Roman" w:hAnsi="Arial" w:hint="default"/>
        <w:sz w:val="22"/>
      </w:rPr>
    </w:lvl>
    <w:lvl w:ilvl="3">
      <w:start w:val="1"/>
      <w:numFmt w:val="decimal"/>
      <w:lvlText w:val="%1.%2.%3.%4"/>
      <w:lvlJc w:val="left"/>
      <w:pPr>
        <w:ind w:left="720" w:hanging="720"/>
      </w:pPr>
      <w:rPr>
        <w:rFonts w:ascii="Arial" w:eastAsia="Times New Roman" w:hAnsi="Arial" w:hint="default"/>
        <w:sz w:val="22"/>
      </w:rPr>
    </w:lvl>
    <w:lvl w:ilvl="4">
      <w:start w:val="1"/>
      <w:numFmt w:val="decimal"/>
      <w:lvlText w:val="%1.%2.%3.%4.%5"/>
      <w:lvlJc w:val="left"/>
      <w:pPr>
        <w:ind w:left="1080" w:hanging="1080"/>
      </w:pPr>
      <w:rPr>
        <w:rFonts w:ascii="Arial" w:eastAsia="Times New Roman" w:hAnsi="Arial" w:hint="default"/>
        <w:sz w:val="22"/>
      </w:rPr>
    </w:lvl>
    <w:lvl w:ilvl="5">
      <w:start w:val="1"/>
      <w:numFmt w:val="decimal"/>
      <w:lvlText w:val="%1.%2.%3.%4.%5.%6"/>
      <w:lvlJc w:val="left"/>
      <w:pPr>
        <w:ind w:left="1080" w:hanging="1080"/>
      </w:pPr>
      <w:rPr>
        <w:rFonts w:ascii="Arial" w:eastAsia="Times New Roman" w:hAnsi="Arial" w:hint="default"/>
        <w:sz w:val="22"/>
      </w:rPr>
    </w:lvl>
    <w:lvl w:ilvl="6">
      <w:start w:val="1"/>
      <w:numFmt w:val="decimal"/>
      <w:lvlText w:val="%1.%2.%3.%4.%5.%6.%7"/>
      <w:lvlJc w:val="left"/>
      <w:pPr>
        <w:ind w:left="1440" w:hanging="1440"/>
      </w:pPr>
      <w:rPr>
        <w:rFonts w:ascii="Arial" w:eastAsia="Times New Roman" w:hAnsi="Arial" w:hint="default"/>
        <w:sz w:val="22"/>
      </w:rPr>
    </w:lvl>
    <w:lvl w:ilvl="7">
      <w:start w:val="1"/>
      <w:numFmt w:val="decimal"/>
      <w:lvlText w:val="%1.%2.%3.%4.%5.%6.%7.%8"/>
      <w:lvlJc w:val="left"/>
      <w:pPr>
        <w:ind w:left="1440" w:hanging="1440"/>
      </w:pPr>
      <w:rPr>
        <w:rFonts w:ascii="Arial" w:eastAsia="Times New Roman" w:hAnsi="Arial" w:hint="default"/>
        <w:sz w:val="22"/>
      </w:rPr>
    </w:lvl>
    <w:lvl w:ilvl="8">
      <w:start w:val="1"/>
      <w:numFmt w:val="decimal"/>
      <w:lvlText w:val="%1.%2.%3.%4.%5.%6.%7.%8.%9"/>
      <w:lvlJc w:val="left"/>
      <w:pPr>
        <w:ind w:left="1800" w:hanging="1800"/>
      </w:pPr>
      <w:rPr>
        <w:rFonts w:ascii="Arial" w:eastAsia="Times New Roman" w:hAnsi="Arial" w:hint="default"/>
        <w:sz w:val="22"/>
      </w:rPr>
    </w:lvl>
  </w:abstractNum>
  <w:abstractNum w:abstractNumId="2">
    <w:nsid w:val="385D0AAD"/>
    <w:multiLevelType w:val="hybridMultilevel"/>
    <w:tmpl w:val="883E35DC"/>
    <w:lvl w:ilvl="0" w:tplc="08090001">
      <w:start w:val="1"/>
      <w:numFmt w:val="bullet"/>
      <w:lvlText w:val=""/>
      <w:lvlJc w:val="left"/>
      <w:pPr>
        <w:ind w:left="1980" w:hanging="360"/>
      </w:pPr>
      <w:rPr>
        <w:rFonts w:ascii="Symbol" w:hAnsi="Symbol" w:hint="default"/>
      </w:rPr>
    </w:lvl>
    <w:lvl w:ilvl="1" w:tplc="08090003" w:tentative="1">
      <w:start w:val="1"/>
      <w:numFmt w:val="bullet"/>
      <w:lvlText w:val="o"/>
      <w:lvlJc w:val="left"/>
      <w:pPr>
        <w:ind w:left="2700" w:hanging="360"/>
      </w:pPr>
      <w:rPr>
        <w:rFonts w:ascii="Courier New" w:hAnsi="Courier New" w:cs="Courier New" w:hint="default"/>
      </w:rPr>
    </w:lvl>
    <w:lvl w:ilvl="2" w:tplc="08090005" w:tentative="1">
      <w:start w:val="1"/>
      <w:numFmt w:val="bullet"/>
      <w:lvlText w:val=""/>
      <w:lvlJc w:val="left"/>
      <w:pPr>
        <w:ind w:left="3420" w:hanging="360"/>
      </w:pPr>
      <w:rPr>
        <w:rFonts w:ascii="Wingdings" w:hAnsi="Wingdings" w:hint="default"/>
      </w:rPr>
    </w:lvl>
    <w:lvl w:ilvl="3" w:tplc="08090001" w:tentative="1">
      <w:start w:val="1"/>
      <w:numFmt w:val="bullet"/>
      <w:lvlText w:val=""/>
      <w:lvlJc w:val="left"/>
      <w:pPr>
        <w:ind w:left="4140" w:hanging="360"/>
      </w:pPr>
      <w:rPr>
        <w:rFonts w:ascii="Symbol" w:hAnsi="Symbol" w:hint="default"/>
      </w:rPr>
    </w:lvl>
    <w:lvl w:ilvl="4" w:tplc="08090003" w:tentative="1">
      <w:start w:val="1"/>
      <w:numFmt w:val="bullet"/>
      <w:lvlText w:val="o"/>
      <w:lvlJc w:val="left"/>
      <w:pPr>
        <w:ind w:left="4860" w:hanging="360"/>
      </w:pPr>
      <w:rPr>
        <w:rFonts w:ascii="Courier New" w:hAnsi="Courier New" w:cs="Courier New" w:hint="default"/>
      </w:rPr>
    </w:lvl>
    <w:lvl w:ilvl="5" w:tplc="08090005" w:tentative="1">
      <w:start w:val="1"/>
      <w:numFmt w:val="bullet"/>
      <w:lvlText w:val=""/>
      <w:lvlJc w:val="left"/>
      <w:pPr>
        <w:ind w:left="5580" w:hanging="360"/>
      </w:pPr>
      <w:rPr>
        <w:rFonts w:ascii="Wingdings" w:hAnsi="Wingdings" w:hint="default"/>
      </w:rPr>
    </w:lvl>
    <w:lvl w:ilvl="6" w:tplc="08090001" w:tentative="1">
      <w:start w:val="1"/>
      <w:numFmt w:val="bullet"/>
      <w:lvlText w:val=""/>
      <w:lvlJc w:val="left"/>
      <w:pPr>
        <w:ind w:left="6300" w:hanging="360"/>
      </w:pPr>
      <w:rPr>
        <w:rFonts w:ascii="Symbol" w:hAnsi="Symbol" w:hint="default"/>
      </w:rPr>
    </w:lvl>
    <w:lvl w:ilvl="7" w:tplc="08090003" w:tentative="1">
      <w:start w:val="1"/>
      <w:numFmt w:val="bullet"/>
      <w:lvlText w:val="o"/>
      <w:lvlJc w:val="left"/>
      <w:pPr>
        <w:ind w:left="7020" w:hanging="360"/>
      </w:pPr>
      <w:rPr>
        <w:rFonts w:ascii="Courier New" w:hAnsi="Courier New" w:cs="Courier New" w:hint="default"/>
      </w:rPr>
    </w:lvl>
    <w:lvl w:ilvl="8" w:tplc="08090005" w:tentative="1">
      <w:start w:val="1"/>
      <w:numFmt w:val="bullet"/>
      <w:lvlText w:val=""/>
      <w:lvlJc w:val="left"/>
      <w:pPr>
        <w:ind w:left="7740" w:hanging="360"/>
      </w:pPr>
      <w:rPr>
        <w:rFonts w:ascii="Wingdings" w:hAnsi="Wingdings" w:hint="default"/>
      </w:rPr>
    </w:lvl>
  </w:abstractNum>
  <w:abstractNum w:abstractNumId="3">
    <w:nsid w:val="5342555A"/>
    <w:multiLevelType w:val="hybridMultilevel"/>
    <w:tmpl w:val="FA56469A"/>
    <w:lvl w:ilvl="0" w:tplc="D8EC7228">
      <w:start w:val="1"/>
      <w:numFmt w:val="decimal"/>
      <w:lvlText w:val="%1."/>
      <w:lvlJc w:val="left"/>
      <w:pPr>
        <w:ind w:left="720" w:hanging="360"/>
      </w:pPr>
      <w:rPr>
        <w:rFonts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1442D76"/>
    <w:multiLevelType w:val="hybridMultilevel"/>
    <w:tmpl w:val="79AAE96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nsid w:val="64F42991"/>
    <w:multiLevelType w:val="hybridMultilevel"/>
    <w:tmpl w:val="A9B895CE"/>
    <w:lvl w:ilvl="0" w:tplc="40789D8C">
      <w:start w:val="1"/>
      <w:numFmt w:val="bullet"/>
      <w:lvlText w:val=""/>
      <w:lvlJc w:val="left"/>
      <w:pPr>
        <w:tabs>
          <w:tab w:val="num" w:pos="-142"/>
        </w:tabs>
        <w:ind w:left="-142" w:hanging="567"/>
      </w:pPr>
      <w:rPr>
        <w:rFonts w:ascii="Symbol" w:hAnsi="Symbol" w:hint="default"/>
      </w:rPr>
    </w:lvl>
    <w:lvl w:ilvl="1" w:tplc="08090003" w:tentative="1">
      <w:start w:val="1"/>
      <w:numFmt w:val="bullet"/>
      <w:lvlText w:val="o"/>
      <w:lvlJc w:val="left"/>
      <w:pPr>
        <w:tabs>
          <w:tab w:val="num" w:pos="164"/>
        </w:tabs>
        <w:ind w:left="164" w:hanging="360"/>
      </w:pPr>
      <w:rPr>
        <w:rFonts w:ascii="Courier New" w:hAnsi="Courier New" w:cs="Courier New" w:hint="default"/>
      </w:rPr>
    </w:lvl>
    <w:lvl w:ilvl="2" w:tplc="08090005" w:tentative="1">
      <w:start w:val="1"/>
      <w:numFmt w:val="bullet"/>
      <w:lvlText w:val=""/>
      <w:lvlJc w:val="left"/>
      <w:pPr>
        <w:tabs>
          <w:tab w:val="num" w:pos="884"/>
        </w:tabs>
        <w:ind w:left="884" w:hanging="360"/>
      </w:pPr>
      <w:rPr>
        <w:rFonts w:ascii="Wingdings" w:hAnsi="Wingdings" w:hint="default"/>
      </w:rPr>
    </w:lvl>
    <w:lvl w:ilvl="3" w:tplc="08090001" w:tentative="1">
      <w:start w:val="1"/>
      <w:numFmt w:val="bullet"/>
      <w:lvlText w:val=""/>
      <w:lvlJc w:val="left"/>
      <w:pPr>
        <w:tabs>
          <w:tab w:val="num" w:pos="1604"/>
        </w:tabs>
        <w:ind w:left="1604" w:hanging="360"/>
      </w:pPr>
      <w:rPr>
        <w:rFonts w:ascii="Symbol" w:hAnsi="Symbol" w:hint="default"/>
      </w:rPr>
    </w:lvl>
    <w:lvl w:ilvl="4" w:tplc="08090003" w:tentative="1">
      <w:start w:val="1"/>
      <w:numFmt w:val="bullet"/>
      <w:lvlText w:val="o"/>
      <w:lvlJc w:val="left"/>
      <w:pPr>
        <w:tabs>
          <w:tab w:val="num" w:pos="2324"/>
        </w:tabs>
        <w:ind w:left="2324" w:hanging="360"/>
      </w:pPr>
      <w:rPr>
        <w:rFonts w:ascii="Courier New" w:hAnsi="Courier New" w:cs="Courier New" w:hint="default"/>
      </w:rPr>
    </w:lvl>
    <w:lvl w:ilvl="5" w:tplc="08090005" w:tentative="1">
      <w:start w:val="1"/>
      <w:numFmt w:val="bullet"/>
      <w:lvlText w:val=""/>
      <w:lvlJc w:val="left"/>
      <w:pPr>
        <w:tabs>
          <w:tab w:val="num" w:pos="3044"/>
        </w:tabs>
        <w:ind w:left="3044" w:hanging="360"/>
      </w:pPr>
      <w:rPr>
        <w:rFonts w:ascii="Wingdings" w:hAnsi="Wingdings" w:hint="default"/>
      </w:rPr>
    </w:lvl>
    <w:lvl w:ilvl="6" w:tplc="08090001" w:tentative="1">
      <w:start w:val="1"/>
      <w:numFmt w:val="bullet"/>
      <w:lvlText w:val=""/>
      <w:lvlJc w:val="left"/>
      <w:pPr>
        <w:tabs>
          <w:tab w:val="num" w:pos="3764"/>
        </w:tabs>
        <w:ind w:left="3764" w:hanging="360"/>
      </w:pPr>
      <w:rPr>
        <w:rFonts w:ascii="Symbol" w:hAnsi="Symbol" w:hint="default"/>
      </w:rPr>
    </w:lvl>
    <w:lvl w:ilvl="7" w:tplc="08090003" w:tentative="1">
      <w:start w:val="1"/>
      <w:numFmt w:val="bullet"/>
      <w:lvlText w:val="o"/>
      <w:lvlJc w:val="left"/>
      <w:pPr>
        <w:tabs>
          <w:tab w:val="num" w:pos="4484"/>
        </w:tabs>
        <w:ind w:left="4484" w:hanging="360"/>
      </w:pPr>
      <w:rPr>
        <w:rFonts w:ascii="Courier New" w:hAnsi="Courier New" w:cs="Courier New" w:hint="default"/>
      </w:rPr>
    </w:lvl>
    <w:lvl w:ilvl="8" w:tplc="08090005" w:tentative="1">
      <w:start w:val="1"/>
      <w:numFmt w:val="bullet"/>
      <w:lvlText w:val=""/>
      <w:lvlJc w:val="left"/>
      <w:pPr>
        <w:tabs>
          <w:tab w:val="num" w:pos="5204"/>
        </w:tabs>
        <w:ind w:left="5204" w:hanging="360"/>
      </w:pPr>
      <w:rPr>
        <w:rFonts w:ascii="Wingdings" w:hAnsi="Wingdings" w:hint="default"/>
      </w:rPr>
    </w:lvl>
  </w:abstractNum>
  <w:num w:numId="1">
    <w:abstractNumId w:val="0"/>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4"/>
  </w:num>
  <w:num w:numId="5">
    <w:abstractNumId w:val="2"/>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19B"/>
    <w:rsid w:val="00021875"/>
    <w:rsid w:val="000431C7"/>
    <w:rsid w:val="000B589C"/>
    <w:rsid w:val="000D1B8E"/>
    <w:rsid w:val="000E22AE"/>
    <w:rsid w:val="001072EC"/>
    <w:rsid w:val="001A35B6"/>
    <w:rsid w:val="001A713C"/>
    <w:rsid w:val="001D5FB1"/>
    <w:rsid w:val="001E10FE"/>
    <w:rsid w:val="001E58D8"/>
    <w:rsid w:val="001F4D1C"/>
    <w:rsid w:val="001F59B8"/>
    <w:rsid w:val="00200B39"/>
    <w:rsid w:val="002059D1"/>
    <w:rsid w:val="00227303"/>
    <w:rsid w:val="00251D39"/>
    <w:rsid w:val="002630E0"/>
    <w:rsid w:val="00270C0B"/>
    <w:rsid w:val="002765A4"/>
    <w:rsid w:val="003744A2"/>
    <w:rsid w:val="003C6509"/>
    <w:rsid w:val="003D5820"/>
    <w:rsid w:val="003F10D6"/>
    <w:rsid w:val="003F6869"/>
    <w:rsid w:val="00410CEF"/>
    <w:rsid w:val="00413A73"/>
    <w:rsid w:val="00480EC6"/>
    <w:rsid w:val="00490883"/>
    <w:rsid w:val="0049419B"/>
    <w:rsid w:val="004A73CB"/>
    <w:rsid w:val="005445FF"/>
    <w:rsid w:val="00553628"/>
    <w:rsid w:val="00571B48"/>
    <w:rsid w:val="005B4547"/>
    <w:rsid w:val="005E5CA5"/>
    <w:rsid w:val="005F78E0"/>
    <w:rsid w:val="0060208C"/>
    <w:rsid w:val="00661DB5"/>
    <w:rsid w:val="006E44CB"/>
    <w:rsid w:val="007442BC"/>
    <w:rsid w:val="007942BA"/>
    <w:rsid w:val="007B7DC1"/>
    <w:rsid w:val="0081610F"/>
    <w:rsid w:val="0083173F"/>
    <w:rsid w:val="008372C3"/>
    <w:rsid w:val="00874DCD"/>
    <w:rsid w:val="00902EBC"/>
    <w:rsid w:val="00921261"/>
    <w:rsid w:val="00925C90"/>
    <w:rsid w:val="00956B1B"/>
    <w:rsid w:val="009608DE"/>
    <w:rsid w:val="009A6284"/>
    <w:rsid w:val="00B5043F"/>
    <w:rsid w:val="00B84728"/>
    <w:rsid w:val="00BB39B1"/>
    <w:rsid w:val="00BD1EA2"/>
    <w:rsid w:val="00BD4A5D"/>
    <w:rsid w:val="00BF34FA"/>
    <w:rsid w:val="00BF76C9"/>
    <w:rsid w:val="00C359F2"/>
    <w:rsid w:val="00C70C88"/>
    <w:rsid w:val="00C84446"/>
    <w:rsid w:val="00C86956"/>
    <w:rsid w:val="00CB4880"/>
    <w:rsid w:val="00D16937"/>
    <w:rsid w:val="00D22B99"/>
    <w:rsid w:val="00D7229A"/>
    <w:rsid w:val="00D956C8"/>
    <w:rsid w:val="00DB28EC"/>
    <w:rsid w:val="00DE0D00"/>
    <w:rsid w:val="00DE754C"/>
    <w:rsid w:val="00E06557"/>
    <w:rsid w:val="00E15247"/>
    <w:rsid w:val="00E6258F"/>
    <w:rsid w:val="00E701FC"/>
    <w:rsid w:val="00E7205B"/>
    <w:rsid w:val="00EA6863"/>
    <w:rsid w:val="00EC5556"/>
    <w:rsid w:val="00EF7564"/>
    <w:rsid w:val="00F07D86"/>
    <w:rsid w:val="00FA0C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ListParagraph">
    <w:name w:val="List Paragraph"/>
    <w:basedOn w:val="Normal"/>
    <w:uiPriority w:val="34"/>
    <w:qFormat/>
    <w:rsid w:val="0060208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qFormat/>
    <w:pPr>
      <w:keepNext/>
      <w:ind w:left="1276" w:hanging="1276"/>
      <w:outlineLvl w:val="3"/>
    </w:pPr>
    <w:rPr>
      <w:i/>
      <w:color w:val="FF0000"/>
    </w:r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BodyTextIndent3">
    <w:name w:val="Body Text Indent 3"/>
    <w:basedOn w:val="Normal"/>
    <w:pPr>
      <w:ind w:left="1276" w:hanging="1276"/>
    </w:pPr>
    <w:rPr>
      <w:i/>
      <w:color w:val="FF000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A73CB"/>
    <w:rPr>
      <w:color w:val="0000FF"/>
      <w:u w:val="single"/>
    </w:rPr>
  </w:style>
  <w:style w:type="character" w:styleId="FollowedHyperlink">
    <w:name w:val="FollowedHyperlink"/>
    <w:rsid w:val="004A73CB"/>
    <w:rPr>
      <w:color w:val="800080"/>
      <w:u w:val="single"/>
    </w:rPr>
  </w:style>
  <w:style w:type="paragraph" w:styleId="ListParagraph">
    <w:name w:val="List Paragraph"/>
    <w:basedOn w:val="Normal"/>
    <w:uiPriority w:val="34"/>
    <w:qFormat/>
    <w:rsid w:val="006020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3744186">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093433598">
          <w:marLeft w:val="0"/>
          <w:marRight w:val="0"/>
          <w:marTop w:val="0"/>
          <w:marBottom w:val="0"/>
          <w:divBdr>
            <w:top w:val="none" w:sz="0" w:space="0" w:color="auto"/>
            <w:left w:val="none" w:sz="0" w:space="0" w:color="auto"/>
            <w:bottom w:val="none" w:sz="0" w:space="0" w:color="auto"/>
            <w:right w:val="none" w:sz="0" w:space="0" w:color="auto"/>
          </w:divBdr>
          <w:divsChild>
            <w:div w:id="1997343730">
              <w:marLeft w:val="0"/>
              <w:marRight w:val="0"/>
              <w:marTop w:val="0"/>
              <w:marBottom w:val="0"/>
              <w:divBdr>
                <w:top w:val="none" w:sz="0" w:space="0" w:color="auto"/>
                <w:left w:val="none" w:sz="0" w:space="0" w:color="auto"/>
                <w:bottom w:val="none" w:sz="0" w:space="0" w:color="auto"/>
                <w:right w:val="none" w:sz="0" w:space="0" w:color="auto"/>
              </w:divBdr>
              <w:divsChild>
                <w:div w:id="1276710783">
                  <w:marLeft w:val="0"/>
                  <w:marRight w:val="0"/>
                  <w:marTop w:val="0"/>
                  <w:marBottom w:val="0"/>
                  <w:divBdr>
                    <w:top w:val="none" w:sz="0" w:space="0" w:color="auto"/>
                    <w:left w:val="none" w:sz="0" w:space="0" w:color="auto"/>
                    <w:bottom w:val="none" w:sz="0" w:space="0" w:color="auto"/>
                    <w:right w:val="none" w:sz="0" w:space="0" w:color="auto"/>
                  </w:divBdr>
                  <w:divsChild>
                    <w:div w:id="239293925">
                      <w:marLeft w:val="0"/>
                      <w:marRight w:val="0"/>
                      <w:marTop w:val="0"/>
                      <w:marBottom w:val="0"/>
                      <w:divBdr>
                        <w:top w:val="none" w:sz="0" w:space="0" w:color="auto"/>
                        <w:left w:val="none" w:sz="0" w:space="0" w:color="auto"/>
                        <w:bottom w:val="none" w:sz="0" w:space="0" w:color="auto"/>
                        <w:right w:val="none" w:sz="0" w:space="0" w:color="auto"/>
                      </w:divBdr>
                      <w:divsChild>
                        <w:div w:id="1695568075">
                          <w:marLeft w:val="0"/>
                          <w:marRight w:val="0"/>
                          <w:marTop w:val="0"/>
                          <w:marBottom w:val="150"/>
                          <w:divBdr>
                            <w:top w:val="none" w:sz="0" w:space="0" w:color="auto"/>
                            <w:left w:val="none" w:sz="0" w:space="0" w:color="auto"/>
                            <w:bottom w:val="none" w:sz="0" w:space="0" w:color="auto"/>
                            <w:right w:val="none" w:sz="0" w:space="0" w:color="auto"/>
                          </w:divBdr>
                          <w:divsChild>
                            <w:div w:id="2066296704">
                              <w:marLeft w:val="0"/>
                              <w:marRight w:val="0"/>
                              <w:marTop w:val="0"/>
                              <w:marBottom w:val="30"/>
                              <w:divBdr>
                                <w:top w:val="none" w:sz="0" w:space="0" w:color="auto"/>
                                <w:left w:val="none" w:sz="0" w:space="0" w:color="auto"/>
                                <w:bottom w:val="dotted" w:sz="6" w:space="2" w:color="999999"/>
                                <w:right w:val="none" w:sz="0" w:space="0" w:color="auto"/>
                              </w:divBdr>
                              <w:divsChild>
                                <w:div w:id="22866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07246029">
      <w:bodyDiv w:val="1"/>
      <w:marLeft w:val="0"/>
      <w:marRight w:val="0"/>
      <w:marTop w:val="0"/>
      <w:marBottom w:val="0"/>
      <w:divBdr>
        <w:top w:val="none" w:sz="0" w:space="0" w:color="auto"/>
        <w:left w:val="none" w:sz="0" w:space="0" w:color="auto"/>
        <w:bottom w:val="none" w:sz="0" w:space="0" w:color="auto"/>
        <w:right w:val="none" w:sz="0" w:space="0" w:color="auto"/>
      </w:divBdr>
    </w:div>
    <w:div w:id="204289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saa.co.uk/supporting-the-transition/"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ingp\Local%20Settings\Temporary%20Internet%20Files\OLK9\TRDC%20Report%20Template%2015%2008%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TRDC Report Template 15 08 12</Template>
  <TotalTime>111</TotalTime>
  <Pages>7</Pages>
  <Words>2717</Words>
  <Characters>15255</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TRDC Report Template (2011 03 31))</vt:lpstr>
    </vt:vector>
  </TitlesOfParts>
  <Company>Pre-installed Company</Company>
  <LinksUpToDate>false</LinksUpToDate>
  <CharactersWithSpaces>17937</CharactersWithSpaces>
  <SharedDoc>false</SharedDoc>
  <HLinks>
    <vt:vector size="18" baseType="variant">
      <vt:variant>
        <vt:i4>1769501</vt:i4>
      </vt:variant>
      <vt:variant>
        <vt:i4>32</vt:i4>
      </vt:variant>
      <vt:variant>
        <vt:i4>0</vt:i4>
      </vt:variant>
      <vt:variant>
        <vt:i4>5</vt:i4>
      </vt:variant>
      <vt:variant>
        <vt:lpwstr>http://intranet.threerivers.gov.uk/Default.aspx/Web/PoliciesAndProceduresCategoryListingPage</vt:lpwstr>
      </vt:variant>
      <vt:variant>
        <vt:lpwstr/>
      </vt:variant>
      <vt:variant>
        <vt:i4>720920</vt:i4>
      </vt:variant>
      <vt:variant>
        <vt:i4>23</vt:i4>
      </vt:variant>
      <vt:variant>
        <vt:i4>0</vt:i4>
      </vt:variant>
      <vt:variant>
        <vt:i4>5</vt:i4>
      </vt:variant>
      <vt:variant>
        <vt:lpwstr>http://intranet.threerivers.gov.uk/Default.aspx/Web/DocumentsandTemplates</vt:lpwstr>
      </vt:variant>
      <vt:variant>
        <vt:lpwstr/>
      </vt:variant>
      <vt:variant>
        <vt:i4>7864431</vt:i4>
      </vt:variant>
      <vt:variant>
        <vt:i4>0</vt:i4>
      </vt:variant>
      <vt:variant>
        <vt:i4>0</vt:i4>
      </vt:variant>
      <vt:variant>
        <vt:i4>5</vt:i4>
      </vt:variant>
      <vt:variant>
        <vt:lpwstr>http://intranet.threerivers.gov.uk/Default.aspx/Web/DemocraticServices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TRDC Report Template (2011 03 31))</dc:title>
  <dc:creator>Chris Roberts</dc:creator>
  <cp:lastModifiedBy>Sarah Haythorpe</cp:lastModifiedBy>
  <cp:revision>10</cp:revision>
  <cp:lastPrinted>2014-06-12T10:53:00Z</cp:lastPrinted>
  <dcterms:created xsi:type="dcterms:W3CDTF">2016-10-19T12:41:00Z</dcterms:created>
  <dcterms:modified xsi:type="dcterms:W3CDTF">2016-11-14T16:11:00Z</dcterms:modified>
</cp:coreProperties>
</file>