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6C" w:rsidRPr="00E8556F" w:rsidRDefault="00806B6C" w:rsidP="00033CB0">
      <w:pPr>
        <w:pStyle w:val="Footer"/>
        <w:tabs>
          <w:tab w:val="clear" w:pos="4153"/>
          <w:tab w:val="clear" w:pos="8306"/>
        </w:tabs>
        <w:jc w:val="center"/>
        <w:outlineLvl w:val="0"/>
        <w:rPr>
          <w:rFonts w:cs="Arial"/>
          <w:b/>
          <w:sz w:val="22"/>
          <w:szCs w:val="22"/>
        </w:rPr>
      </w:pPr>
      <w:r>
        <w:rPr>
          <w:rFonts w:cs="Arial"/>
          <w:b/>
          <w:sz w:val="22"/>
          <w:szCs w:val="22"/>
        </w:rPr>
        <w:t>AUDIT</w:t>
      </w:r>
      <w:r w:rsidRPr="00E8556F">
        <w:rPr>
          <w:rFonts w:cs="Arial"/>
          <w:b/>
          <w:sz w:val="22"/>
          <w:szCs w:val="22"/>
        </w:rPr>
        <w:t xml:space="preserve"> COMMITTEE –</w:t>
      </w:r>
      <w:r>
        <w:rPr>
          <w:rFonts w:cs="Arial"/>
          <w:b/>
          <w:sz w:val="22"/>
          <w:szCs w:val="22"/>
        </w:rPr>
        <w:t xml:space="preserve"> </w:t>
      </w:r>
      <w:r w:rsidR="00101C9E">
        <w:rPr>
          <w:rFonts w:cs="Arial"/>
          <w:b/>
          <w:sz w:val="22"/>
          <w:szCs w:val="22"/>
        </w:rPr>
        <w:t>2</w:t>
      </w:r>
      <w:r w:rsidR="00C21C08">
        <w:rPr>
          <w:rFonts w:cs="Arial"/>
          <w:b/>
          <w:sz w:val="22"/>
          <w:szCs w:val="22"/>
        </w:rPr>
        <w:t>2</w:t>
      </w:r>
      <w:r>
        <w:rPr>
          <w:rFonts w:cs="Arial"/>
          <w:b/>
          <w:sz w:val="22"/>
          <w:szCs w:val="22"/>
        </w:rPr>
        <w:t xml:space="preserve"> NOVEMBER</w:t>
      </w:r>
      <w:r w:rsidRPr="00E8556F">
        <w:rPr>
          <w:rFonts w:cs="Arial"/>
          <w:b/>
          <w:sz w:val="22"/>
          <w:szCs w:val="22"/>
        </w:rPr>
        <w:t xml:space="preserve"> </w:t>
      </w:r>
      <w:r w:rsidR="00101C9E">
        <w:rPr>
          <w:rFonts w:cs="Arial"/>
          <w:b/>
          <w:sz w:val="22"/>
          <w:szCs w:val="22"/>
        </w:rPr>
        <w:t>201</w:t>
      </w:r>
      <w:r w:rsidR="00C21C08">
        <w:rPr>
          <w:rFonts w:cs="Arial"/>
          <w:b/>
          <w:sz w:val="22"/>
          <w:szCs w:val="22"/>
        </w:rPr>
        <w:t>6</w:t>
      </w:r>
    </w:p>
    <w:p w:rsidR="00806B6C" w:rsidRPr="00E8556F" w:rsidRDefault="00806B6C" w:rsidP="00806B6C">
      <w:pPr>
        <w:pStyle w:val="Footer"/>
        <w:tabs>
          <w:tab w:val="clear" w:pos="4153"/>
          <w:tab w:val="clear" w:pos="8306"/>
        </w:tabs>
        <w:rPr>
          <w:rFonts w:cs="Arial"/>
          <w:sz w:val="22"/>
          <w:szCs w:val="22"/>
        </w:rPr>
      </w:pPr>
    </w:p>
    <w:p w:rsidR="00806B6C" w:rsidRPr="00E8556F" w:rsidRDefault="00806B6C" w:rsidP="00033CB0">
      <w:pPr>
        <w:pStyle w:val="Footer"/>
        <w:tabs>
          <w:tab w:val="clear" w:pos="4153"/>
          <w:tab w:val="clear" w:pos="8306"/>
        </w:tabs>
        <w:jc w:val="center"/>
        <w:outlineLvl w:val="0"/>
        <w:rPr>
          <w:rFonts w:cs="Arial"/>
          <w:b/>
          <w:sz w:val="22"/>
          <w:szCs w:val="22"/>
        </w:rPr>
      </w:pPr>
      <w:r w:rsidRPr="00E8556F">
        <w:rPr>
          <w:rFonts w:cs="Arial"/>
          <w:b/>
          <w:sz w:val="22"/>
          <w:szCs w:val="22"/>
        </w:rPr>
        <w:t xml:space="preserve">PART </w:t>
      </w:r>
      <w:r w:rsidRPr="00E8556F">
        <w:rPr>
          <w:rFonts w:cs="Arial"/>
          <w:b/>
          <w:sz w:val="22"/>
          <w:szCs w:val="22"/>
        </w:rPr>
        <w:fldChar w:fldCharType="begin"/>
      </w:r>
      <w:r w:rsidRPr="00E8556F">
        <w:rPr>
          <w:rFonts w:cs="Arial"/>
          <w:b/>
          <w:sz w:val="22"/>
          <w:szCs w:val="22"/>
        </w:rPr>
        <w:instrText xml:space="preserve">  </w:instrText>
      </w:r>
      <w:r w:rsidRPr="00E8556F">
        <w:rPr>
          <w:rFonts w:cs="Arial"/>
          <w:b/>
          <w:sz w:val="22"/>
          <w:szCs w:val="22"/>
        </w:rPr>
        <w:fldChar w:fldCharType="end"/>
      </w:r>
      <w:r w:rsidRPr="00E8556F">
        <w:rPr>
          <w:rFonts w:cs="Arial"/>
          <w:b/>
          <w:sz w:val="22"/>
          <w:szCs w:val="22"/>
        </w:rPr>
        <w:t>I</w:t>
      </w:r>
      <w:r w:rsidRPr="00E8556F">
        <w:rPr>
          <w:rFonts w:cs="Arial"/>
          <w:b/>
          <w:sz w:val="22"/>
          <w:szCs w:val="22"/>
        </w:rPr>
        <w:fldChar w:fldCharType="begin"/>
      </w:r>
      <w:r w:rsidRPr="00E8556F">
        <w:rPr>
          <w:rFonts w:cs="Arial"/>
          <w:b/>
          <w:sz w:val="22"/>
          <w:szCs w:val="22"/>
        </w:rPr>
        <w:instrText xml:space="preserve">  </w:instrText>
      </w:r>
      <w:r w:rsidRPr="00E8556F">
        <w:rPr>
          <w:rFonts w:cs="Arial"/>
          <w:b/>
          <w:sz w:val="22"/>
          <w:szCs w:val="22"/>
        </w:rPr>
        <w:fldChar w:fldCharType="end"/>
      </w:r>
      <w:r w:rsidR="0066690B">
        <w:rPr>
          <w:rFonts w:cs="Arial"/>
          <w:b/>
          <w:sz w:val="22"/>
          <w:szCs w:val="22"/>
        </w:rPr>
        <w:t xml:space="preserve"> – </w:t>
      </w:r>
      <w:r w:rsidRPr="00E8556F">
        <w:rPr>
          <w:rFonts w:cs="Arial"/>
          <w:b/>
          <w:sz w:val="22"/>
          <w:szCs w:val="22"/>
        </w:rPr>
        <w:t>DELEGATED</w:t>
      </w:r>
      <w:r w:rsidRPr="00E8556F">
        <w:rPr>
          <w:rFonts w:cs="Arial"/>
          <w:b/>
          <w:sz w:val="22"/>
          <w:szCs w:val="22"/>
        </w:rPr>
        <w:fldChar w:fldCharType="begin"/>
      </w:r>
      <w:r w:rsidRPr="00E8556F">
        <w:rPr>
          <w:rFonts w:cs="Arial"/>
          <w:b/>
          <w:sz w:val="22"/>
          <w:szCs w:val="22"/>
        </w:rPr>
        <w:instrText xml:space="preserve">  </w:instrText>
      </w:r>
      <w:r w:rsidRPr="00E8556F">
        <w:rPr>
          <w:rFonts w:cs="Arial"/>
          <w:b/>
          <w:sz w:val="22"/>
          <w:szCs w:val="22"/>
        </w:rPr>
        <w:fldChar w:fldCharType="end"/>
      </w:r>
    </w:p>
    <w:p w:rsidR="00806B6C" w:rsidRPr="007A5ACE" w:rsidRDefault="00806B6C" w:rsidP="00806B6C">
      <w:pPr>
        <w:tabs>
          <w:tab w:val="left" w:pos="709"/>
          <w:tab w:val="left" w:pos="1980"/>
          <w:tab w:val="left" w:pos="2700"/>
          <w:tab w:val="left" w:pos="3420"/>
        </w:tabs>
        <w:ind w:left="720" w:hanging="720"/>
        <w:rPr>
          <w:rFonts w:cs="Arial"/>
          <w:b/>
          <w:sz w:val="22"/>
          <w:szCs w:val="22"/>
        </w:rPr>
      </w:pPr>
    </w:p>
    <w:p w:rsidR="00806B6C" w:rsidRPr="004033BE" w:rsidRDefault="00806B6C" w:rsidP="00851E27">
      <w:pPr>
        <w:keepNext/>
        <w:ind w:left="851" w:hanging="851"/>
        <w:rPr>
          <w:rFonts w:cs="Arial"/>
          <w:b/>
          <w:i/>
          <w:sz w:val="22"/>
          <w:szCs w:val="22"/>
        </w:rPr>
      </w:pPr>
      <w:r w:rsidRPr="004033BE">
        <w:rPr>
          <w:b/>
          <w:sz w:val="22"/>
          <w:szCs w:val="22"/>
        </w:rPr>
        <w:fldChar w:fldCharType="begin"/>
      </w:r>
      <w:r w:rsidRPr="004033BE">
        <w:rPr>
          <w:b/>
          <w:sz w:val="22"/>
          <w:szCs w:val="22"/>
        </w:rPr>
        <w:instrText xml:space="preserve">  </w:instrText>
      </w:r>
      <w:r w:rsidRPr="004033BE">
        <w:rPr>
          <w:b/>
          <w:sz w:val="22"/>
          <w:szCs w:val="22"/>
        </w:rPr>
        <w:fldChar w:fldCharType="end"/>
      </w:r>
      <w:r w:rsidRPr="004033BE">
        <w:rPr>
          <w:b/>
          <w:sz w:val="22"/>
          <w:szCs w:val="22"/>
        </w:rPr>
        <w:t>1</w:t>
      </w:r>
      <w:r w:rsidR="00DD085F" w:rsidRPr="004033BE">
        <w:rPr>
          <w:b/>
          <w:sz w:val="22"/>
          <w:szCs w:val="22"/>
        </w:rPr>
        <w:t>1</w:t>
      </w:r>
      <w:r w:rsidRPr="004033BE">
        <w:rPr>
          <w:b/>
          <w:sz w:val="22"/>
          <w:szCs w:val="22"/>
        </w:rPr>
        <w:t>.</w:t>
      </w:r>
      <w:r w:rsidRPr="004033BE">
        <w:rPr>
          <w:b/>
          <w:sz w:val="22"/>
          <w:szCs w:val="22"/>
        </w:rPr>
        <w:tab/>
      </w:r>
      <w:r w:rsidRPr="004033BE">
        <w:rPr>
          <w:rFonts w:cs="Arial"/>
          <w:b/>
          <w:sz w:val="22"/>
          <w:szCs w:val="22"/>
        </w:rPr>
        <w:t>TREASURY MANAGEMENT</w:t>
      </w:r>
      <w:r w:rsidR="00B27F76" w:rsidRPr="004033BE">
        <w:rPr>
          <w:rFonts w:cs="Arial"/>
          <w:b/>
          <w:sz w:val="22"/>
          <w:szCs w:val="22"/>
        </w:rPr>
        <w:t xml:space="preserve"> – </w:t>
      </w:r>
      <w:r w:rsidR="00C21C08" w:rsidRPr="004033BE">
        <w:rPr>
          <w:rFonts w:cs="Arial"/>
          <w:b/>
          <w:sz w:val="22"/>
          <w:szCs w:val="22"/>
        </w:rPr>
        <w:t>2016/17</w:t>
      </w:r>
      <w:r w:rsidR="00B27F76" w:rsidRPr="004033BE">
        <w:rPr>
          <w:rFonts w:cs="Arial"/>
          <w:b/>
          <w:sz w:val="22"/>
          <w:szCs w:val="22"/>
        </w:rPr>
        <w:t xml:space="preserve"> MID YEAR REV</w:t>
      </w:r>
      <w:r w:rsidR="00BC02CA" w:rsidRPr="004033BE">
        <w:rPr>
          <w:rFonts w:cs="Arial"/>
          <w:b/>
          <w:sz w:val="22"/>
          <w:szCs w:val="22"/>
        </w:rPr>
        <w:t>I</w:t>
      </w:r>
      <w:r w:rsidR="00B27F76" w:rsidRPr="004033BE">
        <w:rPr>
          <w:rFonts w:cs="Arial"/>
          <w:b/>
          <w:sz w:val="22"/>
          <w:szCs w:val="22"/>
        </w:rPr>
        <w:t>EW</w:t>
      </w:r>
      <w:r w:rsidRPr="004033BE">
        <w:rPr>
          <w:rFonts w:cs="Arial"/>
          <w:b/>
          <w:sz w:val="22"/>
          <w:szCs w:val="22"/>
        </w:rPr>
        <w:fldChar w:fldCharType="begin"/>
      </w:r>
      <w:r w:rsidRPr="004033BE">
        <w:rPr>
          <w:rFonts w:cs="Arial"/>
          <w:b/>
          <w:sz w:val="22"/>
          <w:szCs w:val="22"/>
        </w:rPr>
        <w:instrText xml:space="preserve">  </w:instrText>
      </w:r>
      <w:r w:rsidRPr="004033BE">
        <w:rPr>
          <w:rFonts w:cs="Arial"/>
          <w:b/>
          <w:sz w:val="22"/>
          <w:szCs w:val="22"/>
        </w:rPr>
        <w:fldChar w:fldCharType="end"/>
      </w:r>
    </w:p>
    <w:p w:rsidR="00CD4433" w:rsidRPr="00212BC3" w:rsidRDefault="00806B6C" w:rsidP="00851E27">
      <w:pPr>
        <w:keepNext/>
        <w:ind w:left="851" w:hanging="851"/>
        <w:rPr>
          <w:rFonts w:cs="Arial"/>
          <w:szCs w:val="24"/>
        </w:rPr>
      </w:pPr>
      <w:r w:rsidRPr="00212BC3">
        <w:rPr>
          <w:rFonts w:cs="Arial"/>
          <w:b/>
          <w:szCs w:val="24"/>
        </w:rPr>
        <w:tab/>
      </w:r>
      <w:r w:rsidRPr="00212BC3">
        <w:rPr>
          <w:rFonts w:cs="Arial"/>
          <w:szCs w:val="24"/>
        </w:rPr>
        <w:fldChar w:fldCharType="begin"/>
      </w:r>
      <w:r w:rsidRPr="00212BC3">
        <w:rPr>
          <w:rFonts w:cs="Arial"/>
          <w:szCs w:val="24"/>
        </w:rPr>
        <w:instrText xml:space="preserve">  </w:instrText>
      </w:r>
      <w:r w:rsidRPr="00212BC3">
        <w:rPr>
          <w:rFonts w:cs="Arial"/>
          <w:szCs w:val="24"/>
        </w:rPr>
        <w:fldChar w:fldCharType="end"/>
      </w:r>
      <w:r w:rsidRPr="00212BC3">
        <w:rPr>
          <w:rFonts w:cs="Arial"/>
          <w:szCs w:val="24"/>
        </w:rPr>
        <w:t>(</w:t>
      </w:r>
      <w:proofErr w:type="spellStart"/>
      <w:r w:rsidRPr="00212BC3">
        <w:rPr>
          <w:rFonts w:cs="Arial"/>
          <w:szCs w:val="24"/>
        </w:rPr>
        <w:t>DoF</w:t>
      </w:r>
      <w:proofErr w:type="spellEnd"/>
      <w:r w:rsidRPr="00212BC3">
        <w:rPr>
          <w:rFonts w:cs="Arial"/>
          <w:szCs w:val="24"/>
        </w:rPr>
        <w:t>)</w:t>
      </w:r>
    </w:p>
    <w:p w:rsidR="00CD4433" w:rsidRPr="00212BC3" w:rsidRDefault="00CD4433" w:rsidP="00851E27">
      <w:pPr>
        <w:keepNext/>
        <w:ind w:left="851" w:hanging="851"/>
        <w:rPr>
          <w:rFonts w:cs="Arial"/>
          <w:szCs w:val="24"/>
        </w:rPr>
      </w:pPr>
    </w:p>
    <w:p w:rsidR="00CD4433" w:rsidRPr="002C494A" w:rsidRDefault="00CD4433" w:rsidP="00851E27">
      <w:pPr>
        <w:keepNext/>
        <w:ind w:left="851" w:hanging="851"/>
        <w:rPr>
          <w:rFonts w:cs="Arial"/>
          <w:sz w:val="22"/>
          <w:szCs w:val="22"/>
        </w:rPr>
      </w:pPr>
      <w:r w:rsidRPr="00212BC3">
        <w:rPr>
          <w:rFonts w:cs="Arial"/>
          <w:szCs w:val="24"/>
        </w:rPr>
        <w:t>1.</w:t>
      </w:r>
      <w:r w:rsidRPr="00212BC3">
        <w:rPr>
          <w:rFonts w:cs="Arial"/>
          <w:szCs w:val="24"/>
        </w:rPr>
        <w:tab/>
      </w:r>
      <w:r w:rsidRPr="002C494A">
        <w:rPr>
          <w:rFonts w:cs="Arial"/>
          <w:b/>
          <w:sz w:val="22"/>
          <w:szCs w:val="22"/>
        </w:rPr>
        <w:t>Summary</w:t>
      </w:r>
    </w:p>
    <w:p w:rsidR="00CD4433" w:rsidRPr="002C494A" w:rsidRDefault="00CD4433" w:rsidP="00851E27">
      <w:pPr>
        <w:keepNext/>
        <w:ind w:left="851" w:hanging="851"/>
        <w:rPr>
          <w:rFonts w:cs="Arial"/>
          <w:sz w:val="22"/>
          <w:szCs w:val="22"/>
        </w:rPr>
      </w:pPr>
    </w:p>
    <w:p w:rsidR="00CD4433" w:rsidRPr="002C494A" w:rsidRDefault="00CD4433" w:rsidP="00851E27">
      <w:pPr>
        <w:ind w:left="851" w:hanging="851"/>
        <w:jc w:val="both"/>
        <w:rPr>
          <w:rFonts w:cs="Arial"/>
          <w:sz w:val="22"/>
          <w:szCs w:val="22"/>
        </w:rPr>
      </w:pPr>
      <w:r w:rsidRPr="002C494A">
        <w:rPr>
          <w:rFonts w:cs="Arial"/>
          <w:sz w:val="22"/>
          <w:szCs w:val="22"/>
        </w:rPr>
        <w:t>1.1</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sz w:val="22"/>
          <w:szCs w:val="22"/>
        </w:rPr>
        <w:t>This repor</w:t>
      </w:r>
      <w:r w:rsidR="0070785E" w:rsidRPr="002C494A">
        <w:rPr>
          <w:rFonts w:cs="Arial"/>
          <w:sz w:val="22"/>
          <w:szCs w:val="22"/>
        </w:rPr>
        <w:t xml:space="preserve">t gives details of the </w:t>
      </w:r>
      <w:r w:rsidR="00C21C08" w:rsidRPr="002C494A">
        <w:rPr>
          <w:rFonts w:cs="Arial"/>
          <w:sz w:val="22"/>
          <w:szCs w:val="22"/>
        </w:rPr>
        <w:t>2016/17</w:t>
      </w:r>
      <w:r w:rsidR="0070785E" w:rsidRPr="002C494A">
        <w:rPr>
          <w:rFonts w:cs="Arial"/>
          <w:sz w:val="22"/>
          <w:szCs w:val="22"/>
        </w:rPr>
        <w:t xml:space="preserve"> Mid Year R</w:t>
      </w:r>
      <w:r w:rsidR="004E3AE0">
        <w:rPr>
          <w:rFonts w:cs="Arial"/>
          <w:sz w:val="22"/>
          <w:szCs w:val="22"/>
        </w:rPr>
        <w:t xml:space="preserve">eview of the Treasury </w:t>
      </w:r>
      <w:r w:rsidRPr="002C494A">
        <w:rPr>
          <w:rFonts w:cs="Arial"/>
          <w:sz w:val="22"/>
          <w:szCs w:val="22"/>
        </w:rPr>
        <w:t>Management function.</w:t>
      </w:r>
    </w:p>
    <w:p w:rsidR="00CD4433" w:rsidRPr="002C494A" w:rsidRDefault="00CD4433" w:rsidP="00851E27">
      <w:pPr>
        <w:ind w:left="851" w:hanging="851"/>
        <w:rPr>
          <w:rFonts w:cs="Arial"/>
          <w:sz w:val="22"/>
          <w:szCs w:val="22"/>
        </w:rPr>
      </w:pPr>
    </w:p>
    <w:p w:rsidR="001920A1" w:rsidRPr="002C494A" w:rsidRDefault="00CD4433" w:rsidP="00851E27">
      <w:pPr>
        <w:keepNext/>
        <w:ind w:left="851" w:hanging="851"/>
        <w:rPr>
          <w:rFonts w:cs="Arial"/>
          <w:b/>
          <w:sz w:val="22"/>
          <w:szCs w:val="22"/>
        </w:rPr>
      </w:pPr>
      <w:r w:rsidRPr="002C494A">
        <w:rPr>
          <w:rFonts w:cs="Arial"/>
          <w:sz w:val="22"/>
          <w:szCs w:val="22"/>
        </w:rPr>
        <w:t>2.</w:t>
      </w:r>
      <w:r w:rsidRPr="002C494A">
        <w:rPr>
          <w:rFonts w:cs="Arial"/>
          <w:sz w:val="22"/>
          <w:szCs w:val="22"/>
        </w:rPr>
        <w:tab/>
      </w:r>
      <w:r w:rsidRPr="002C494A">
        <w:rPr>
          <w:rFonts w:cs="Arial"/>
          <w:b/>
          <w:sz w:val="22"/>
          <w:szCs w:val="22"/>
        </w:rPr>
        <w:t xml:space="preserve">Details </w:t>
      </w:r>
    </w:p>
    <w:p w:rsidR="001920A1" w:rsidRPr="002C494A" w:rsidRDefault="001920A1" w:rsidP="00851E27">
      <w:pPr>
        <w:keepNext/>
        <w:ind w:left="851" w:hanging="851"/>
        <w:rPr>
          <w:rFonts w:cs="Arial"/>
          <w:sz w:val="22"/>
          <w:szCs w:val="22"/>
        </w:rPr>
      </w:pPr>
    </w:p>
    <w:p w:rsidR="001920A1" w:rsidRPr="002C494A" w:rsidRDefault="001920A1" w:rsidP="004E3AE0">
      <w:pPr>
        <w:tabs>
          <w:tab w:val="num" w:pos="709"/>
        </w:tabs>
        <w:ind w:left="851" w:hanging="851"/>
        <w:jc w:val="both"/>
        <w:rPr>
          <w:rFonts w:cs="Arial"/>
          <w:noProof/>
          <w:sz w:val="22"/>
          <w:szCs w:val="22"/>
        </w:rPr>
      </w:pPr>
      <w:r w:rsidRPr="002C494A">
        <w:rPr>
          <w:rFonts w:cs="Arial"/>
          <w:sz w:val="22"/>
          <w:szCs w:val="22"/>
        </w:rPr>
        <w:t>2.1</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t>The Chartered Institute of Public Finance and Accountancy (CIPFA) defines treasury management as: “</w:t>
      </w:r>
      <w:r w:rsidR="00851E27" w:rsidRPr="002C494A">
        <w:rPr>
          <w:rFonts w:cs="Arial"/>
          <w:noProof/>
          <w:sz w:val="22"/>
          <w:szCs w:val="22"/>
        </w:rPr>
        <w:t>t</w:t>
      </w:r>
      <w:r w:rsidRPr="002C494A">
        <w:rPr>
          <w:rFonts w:cs="Arial"/>
          <w:noProof/>
          <w:sz w:val="22"/>
          <w:szCs w:val="22"/>
        </w:rPr>
        <w:t>he management of the local authority’s investments and cash flows, its banking, money market and capital market transactions; the effective control of the risks associated with those activities; and the pursuit of optimum performance consistent with those risks”.</w:t>
      </w:r>
    </w:p>
    <w:p w:rsidR="001920A1" w:rsidRPr="002C494A" w:rsidRDefault="001920A1" w:rsidP="004E3AE0">
      <w:pPr>
        <w:tabs>
          <w:tab w:val="num" w:pos="709"/>
        </w:tabs>
        <w:ind w:left="851" w:hanging="851"/>
        <w:jc w:val="both"/>
        <w:rPr>
          <w:rFonts w:cs="Arial"/>
          <w:noProof/>
          <w:sz w:val="22"/>
          <w:szCs w:val="22"/>
        </w:rPr>
      </w:pPr>
    </w:p>
    <w:p w:rsidR="001920A1" w:rsidRPr="002C494A" w:rsidRDefault="001920A1" w:rsidP="004E3AE0">
      <w:pPr>
        <w:tabs>
          <w:tab w:val="num" w:pos="709"/>
        </w:tabs>
        <w:ind w:left="851" w:hanging="851"/>
        <w:jc w:val="both"/>
        <w:rPr>
          <w:rFonts w:cs="Arial"/>
          <w:sz w:val="22"/>
          <w:szCs w:val="22"/>
        </w:rPr>
      </w:pPr>
      <w:r w:rsidRPr="002C494A">
        <w:rPr>
          <w:rFonts w:cs="Arial"/>
          <w:sz w:val="22"/>
          <w:szCs w:val="22"/>
        </w:rPr>
        <w:t>2.2</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Pr="002C494A">
        <w:rPr>
          <w:rFonts w:cs="Arial"/>
          <w:sz w:val="22"/>
          <w:szCs w:val="22"/>
        </w:rPr>
        <w:t>T</w:t>
      </w:r>
      <w:r w:rsidR="004B46C5" w:rsidRPr="002C494A">
        <w:rPr>
          <w:rFonts w:cs="Arial"/>
          <w:sz w:val="22"/>
          <w:szCs w:val="22"/>
        </w:rPr>
        <w:t xml:space="preserve">he </w:t>
      </w:r>
      <w:r w:rsidR="00C4295C" w:rsidRPr="002C494A">
        <w:rPr>
          <w:rFonts w:cs="Arial"/>
          <w:sz w:val="22"/>
          <w:szCs w:val="22"/>
        </w:rPr>
        <w:t xml:space="preserve">Council’s </w:t>
      </w:r>
      <w:r w:rsidR="00C21C08" w:rsidRPr="002C494A">
        <w:rPr>
          <w:rFonts w:cs="Arial"/>
          <w:sz w:val="22"/>
          <w:szCs w:val="22"/>
        </w:rPr>
        <w:t>2016/17</w:t>
      </w:r>
      <w:r w:rsidR="00C4295C" w:rsidRPr="002C494A">
        <w:rPr>
          <w:rFonts w:cs="Arial"/>
          <w:sz w:val="22"/>
          <w:szCs w:val="22"/>
        </w:rPr>
        <w:t xml:space="preserve"> T</w:t>
      </w:r>
      <w:r w:rsidR="00DC3F55" w:rsidRPr="002C494A">
        <w:rPr>
          <w:rFonts w:cs="Arial"/>
          <w:sz w:val="22"/>
          <w:szCs w:val="22"/>
        </w:rPr>
        <w:t xml:space="preserve">reasury </w:t>
      </w:r>
      <w:r w:rsidR="00C4295C" w:rsidRPr="002C494A">
        <w:rPr>
          <w:rFonts w:cs="Arial"/>
          <w:sz w:val="22"/>
          <w:szCs w:val="22"/>
        </w:rPr>
        <w:t>M</w:t>
      </w:r>
      <w:r w:rsidR="00136A07" w:rsidRPr="002C494A">
        <w:rPr>
          <w:rFonts w:cs="Arial"/>
          <w:sz w:val="22"/>
          <w:szCs w:val="22"/>
        </w:rPr>
        <w:t xml:space="preserve">anagement </w:t>
      </w:r>
      <w:r w:rsidR="00C4295C" w:rsidRPr="002C494A">
        <w:rPr>
          <w:rFonts w:cs="Arial"/>
          <w:sz w:val="22"/>
          <w:szCs w:val="22"/>
        </w:rPr>
        <w:t xml:space="preserve">Strategy (TMS) as approved by Council on </w:t>
      </w:r>
      <w:r w:rsidR="005E2247" w:rsidRPr="002C494A">
        <w:rPr>
          <w:rFonts w:cs="Arial"/>
          <w:sz w:val="22"/>
          <w:szCs w:val="22"/>
        </w:rPr>
        <w:t xml:space="preserve">23 February 2016 </w:t>
      </w:r>
      <w:r w:rsidR="00C4295C" w:rsidRPr="002C494A">
        <w:rPr>
          <w:rFonts w:cs="Arial"/>
          <w:sz w:val="22"/>
          <w:szCs w:val="22"/>
        </w:rPr>
        <w:t>(Minute No. CL68/13) is designed to</w:t>
      </w:r>
      <w:r w:rsidR="00136A07" w:rsidRPr="002C494A">
        <w:rPr>
          <w:rFonts w:cs="Arial"/>
          <w:sz w:val="22"/>
          <w:szCs w:val="22"/>
        </w:rPr>
        <w:t xml:space="preserve"> </w:t>
      </w:r>
      <w:r w:rsidR="00033CB0" w:rsidRPr="002C494A">
        <w:rPr>
          <w:rFonts w:cs="Arial"/>
          <w:sz w:val="22"/>
          <w:szCs w:val="22"/>
        </w:rPr>
        <w:t xml:space="preserve">ensure </w:t>
      </w:r>
      <w:r w:rsidR="00C4295C" w:rsidRPr="002C494A">
        <w:rPr>
          <w:rFonts w:cs="Arial"/>
          <w:sz w:val="22"/>
          <w:szCs w:val="22"/>
        </w:rPr>
        <w:t xml:space="preserve">that </w:t>
      </w:r>
      <w:r w:rsidR="00033CB0" w:rsidRPr="002C494A">
        <w:rPr>
          <w:rFonts w:cs="Arial"/>
          <w:sz w:val="22"/>
          <w:szCs w:val="22"/>
        </w:rPr>
        <w:t>cash</w:t>
      </w:r>
      <w:r w:rsidR="00DC3F55" w:rsidRPr="002C494A">
        <w:rPr>
          <w:rFonts w:cs="Arial"/>
          <w:sz w:val="22"/>
          <w:szCs w:val="22"/>
        </w:rPr>
        <w:t xml:space="preserve"> flow</w:t>
      </w:r>
      <w:r w:rsidR="00C4295C" w:rsidRPr="002C494A">
        <w:rPr>
          <w:rFonts w:cs="Arial"/>
          <w:sz w:val="22"/>
          <w:szCs w:val="22"/>
        </w:rPr>
        <w:t>s are</w:t>
      </w:r>
      <w:r w:rsidR="00DC3F55" w:rsidRPr="002C494A">
        <w:rPr>
          <w:rFonts w:cs="Arial"/>
          <w:sz w:val="22"/>
          <w:szCs w:val="22"/>
        </w:rPr>
        <w:t xml:space="preserve"> adequately planned, with surplus monies being invested in low risk counterparties, providing adequate liquidity before considering optimising investment return.</w:t>
      </w:r>
      <w:r w:rsidR="00123CE5" w:rsidRPr="002C494A">
        <w:rPr>
          <w:rFonts w:cs="Arial"/>
          <w:sz w:val="22"/>
          <w:szCs w:val="22"/>
        </w:rPr>
        <w:t xml:space="preserve"> </w:t>
      </w:r>
    </w:p>
    <w:p w:rsidR="00C4295C" w:rsidRPr="002C494A" w:rsidRDefault="00C4295C" w:rsidP="004E3AE0">
      <w:pPr>
        <w:tabs>
          <w:tab w:val="num" w:pos="709"/>
        </w:tabs>
        <w:ind w:left="851" w:hanging="851"/>
        <w:jc w:val="both"/>
        <w:rPr>
          <w:rFonts w:cs="Arial"/>
          <w:sz w:val="22"/>
          <w:szCs w:val="22"/>
        </w:rPr>
      </w:pPr>
    </w:p>
    <w:p w:rsidR="00DC3F55" w:rsidRPr="002C494A" w:rsidRDefault="001920A1" w:rsidP="004E3AE0">
      <w:pPr>
        <w:tabs>
          <w:tab w:val="num" w:pos="709"/>
        </w:tabs>
        <w:ind w:left="851" w:hanging="851"/>
        <w:jc w:val="both"/>
        <w:rPr>
          <w:rFonts w:cs="Arial"/>
          <w:noProof/>
          <w:sz w:val="22"/>
          <w:szCs w:val="22"/>
        </w:rPr>
      </w:pPr>
      <w:r w:rsidRPr="002C494A">
        <w:rPr>
          <w:rFonts w:cs="Arial"/>
          <w:sz w:val="22"/>
          <w:szCs w:val="22"/>
        </w:rPr>
        <w:t>2.3</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4B46C5" w:rsidRPr="002C494A">
        <w:rPr>
          <w:rFonts w:cs="Arial"/>
          <w:sz w:val="22"/>
          <w:szCs w:val="22"/>
        </w:rPr>
        <w:t>This report</w:t>
      </w:r>
      <w:r w:rsidR="00CE3503" w:rsidRPr="002C494A">
        <w:rPr>
          <w:rFonts w:cs="Arial"/>
          <w:sz w:val="22"/>
          <w:szCs w:val="22"/>
        </w:rPr>
        <w:t xml:space="preserve"> </w:t>
      </w:r>
      <w:r w:rsidR="00C66467" w:rsidRPr="002C494A">
        <w:rPr>
          <w:rFonts w:cs="Arial"/>
          <w:sz w:val="22"/>
          <w:szCs w:val="22"/>
        </w:rPr>
        <w:t xml:space="preserve">considers the UK economy and </w:t>
      </w:r>
      <w:r w:rsidR="00CE3503" w:rsidRPr="002C494A">
        <w:rPr>
          <w:rFonts w:cs="Arial"/>
          <w:sz w:val="22"/>
          <w:szCs w:val="22"/>
        </w:rPr>
        <w:t>updates members with the progress</w:t>
      </w:r>
      <w:r w:rsidR="00C4295C" w:rsidRPr="002C494A">
        <w:rPr>
          <w:rFonts w:cs="Arial"/>
          <w:sz w:val="22"/>
          <w:szCs w:val="22"/>
        </w:rPr>
        <w:t xml:space="preserve"> on</w:t>
      </w:r>
      <w:r w:rsidR="00CE3503" w:rsidRPr="002C494A">
        <w:rPr>
          <w:rFonts w:cs="Arial"/>
          <w:sz w:val="22"/>
          <w:szCs w:val="22"/>
        </w:rPr>
        <w:t xml:space="preserve"> whether the Council is meeting the </w:t>
      </w:r>
      <w:r w:rsidR="00C4295C" w:rsidRPr="002C494A">
        <w:rPr>
          <w:rFonts w:cs="Arial"/>
          <w:sz w:val="22"/>
          <w:szCs w:val="22"/>
        </w:rPr>
        <w:t>TMS</w:t>
      </w:r>
      <w:r w:rsidR="00CE3503" w:rsidRPr="002C494A">
        <w:rPr>
          <w:rFonts w:cs="Arial"/>
          <w:sz w:val="22"/>
          <w:szCs w:val="22"/>
        </w:rPr>
        <w:t xml:space="preserve"> and </w:t>
      </w:r>
      <w:r w:rsidR="00C4295C" w:rsidRPr="002C494A">
        <w:rPr>
          <w:rFonts w:cs="Arial"/>
          <w:sz w:val="22"/>
          <w:szCs w:val="22"/>
        </w:rPr>
        <w:t xml:space="preserve">the </w:t>
      </w:r>
      <w:r w:rsidR="00CE3503" w:rsidRPr="002C494A">
        <w:rPr>
          <w:rFonts w:cs="Arial"/>
          <w:sz w:val="22"/>
          <w:szCs w:val="22"/>
        </w:rPr>
        <w:t>policies</w:t>
      </w:r>
      <w:r w:rsidR="00C4295C" w:rsidRPr="002C494A">
        <w:rPr>
          <w:rFonts w:cs="Arial"/>
          <w:sz w:val="22"/>
          <w:szCs w:val="22"/>
        </w:rPr>
        <w:t xml:space="preserve"> contained therein for the first 6 months of </w:t>
      </w:r>
      <w:r w:rsidR="00C21C08" w:rsidRPr="002C494A">
        <w:rPr>
          <w:rFonts w:cs="Arial"/>
          <w:sz w:val="22"/>
          <w:szCs w:val="22"/>
        </w:rPr>
        <w:t>2016/17</w:t>
      </w:r>
      <w:r w:rsidR="00C4295C" w:rsidRPr="002C494A">
        <w:rPr>
          <w:rFonts w:cs="Arial"/>
          <w:sz w:val="22"/>
          <w:szCs w:val="22"/>
        </w:rPr>
        <w:t>.</w:t>
      </w:r>
    </w:p>
    <w:p w:rsidR="00CE3503" w:rsidRPr="002C494A" w:rsidRDefault="00CE3503" w:rsidP="004E3AE0">
      <w:pPr>
        <w:tabs>
          <w:tab w:val="num" w:pos="540"/>
        </w:tabs>
        <w:ind w:left="851" w:hanging="851"/>
        <w:jc w:val="both"/>
        <w:rPr>
          <w:rFonts w:cs="Arial"/>
          <w:sz w:val="22"/>
          <w:szCs w:val="22"/>
        </w:rPr>
      </w:pPr>
    </w:p>
    <w:p w:rsidR="00DC3F55" w:rsidRPr="002C494A" w:rsidRDefault="000267D8" w:rsidP="004E3AE0">
      <w:pPr>
        <w:tabs>
          <w:tab w:val="num" w:pos="709"/>
        </w:tabs>
        <w:ind w:left="851" w:hanging="851"/>
        <w:jc w:val="both"/>
        <w:rPr>
          <w:rFonts w:cs="Arial"/>
          <w:sz w:val="22"/>
          <w:szCs w:val="22"/>
        </w:rPr>
      </w:pPr>
      <w:r w:rsidRPr="002C494A">
        <w:rPr>
          <w:rFonts w:cs="Arial"/>
          <w:sz w:val="22"/>
          <w:szCs w:val="22"/>
        </w:rPr>
        <w:t>2.4</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4B46C5" w:rsidRPr="002C494A">
        <w:rPr>
          <w:rStyle w:val="CharChar"/>
          <w:rFonts w:ascii="Arial" w:hAnsi="Arial" w:cs="Arial"/>
          <w:b w:val="0"/>
          <w:sz w:val="22"/>
          <w:szCs w:val="22"/>
        </w:rPr>
        <w:t xml:space="preserve">The UK Economy for the first 6 months of </w:t>
      </w:r>
      <w:r w:rsidR="00C21C08" w:rsidRPr="002C494A">
        <w:rPr>
          <w:rStyle w:val="CharChar"/>
          <w:rFonts w:ascii="Arial" w:hAnsi="Arial" w:cs="Arial"/>
          <w:b w:val="0"/>
          <w:sz w:val="22"/>
          <w:szCs w:val="22"/>
        </w:rPr>
        <w:t>2016/17</w:t>
      </w:r>
      <w:r w:rsidR="004B46C5" w:rsidRPr="002C494A">
        <w:rPr>
          <w:rStyle w:val="CharChar"/>
          <w:rFonts w:ascii="Arial" w:hAnsi="Arial" w:cs="Arial"/>
          <w:b w:val="0"/>
          <w:sz w:val="22"/>
          <w:szCs w:val="22"/>
        </w:rPr>
        <w:t xml:space="preserve"> (1/4</w:t>
      </w:r>
      <w:r w:rsidR="00C4295C" w:rsidRPr="002C494A">
        <w:rPr>
          <w:rStyle w:val="CharChar"/>
          <w:rFonts w:ascii="Arial" w:hAnsi="Arial" w:cs="Arial"/>
          <w:b w:val="0"/>
          <w:sz w:val="22"/>
          <w:szCs w:val="22"/>
        </w:rPr>
        <w:t>/</w:t>
      </w:r>
      <w:r w:rsidR="00615B5E" w:rsidRPr="002C494A">
        <w:rPr>
          <w:rStyle w:val="CharChar"/>
          <w:rFonts w:ascii="Arial" w:hAnsi="Arial" w:cs="Arial"/>
          <w:b w:val="0"/>
          <w:sz w:val="22"/>
          <w:szCs w:val="22"/>
        </w:rPr>
        <w:t>1</w:t>
      </w:r>
      <w:r w:rsidR="00C21C08" w:rsidRPr="002C494A">
        <w:rPr>
          <w:rStyle w:val="CharChar"/>
          <w:rFonts w:ascii="Arial" w:hAnsi="Arial" w:cs="Arial"/>
          <w:b w:val="0"/>
          <w:sz w:val="22"/>
          <w:szCs w:val="22"/>
        </w:rPr>
        <w:t>6</w:t>
      </w:r>
      <w:r w:rsidR="004B46C5" w:rsidRPr="002C494A">
        <w:rPr>
          <w:rStyle w:val="CharChar"/>
          <w:rFonts w:ascii="Arial" w:hAnsi="Arial" w:cs="Arial"/>
          <w:b w:val="0"/>
          <w:sz w:val="22"/>
          <w:szCs w:val="22"/>
        </w:rPr>
        <w:t xml:space="preserve"> – 30/9</w:t>
      </w:r>
      <w:r w:rsidR="00C21C08" w:rsidRPr="002C494A">
        <w:rPr>
          <w:rStyle w:val="CharChar"/>
          <w:rFonts w:ascii="Arial" w:hAnsi="Arial" w:cs="Arial"/>
          <w:b w:val="0"/>
          <w:sz w:val="22"/>
          <w:szCs w:val="22"/>
        </w:rPr>
        <w:t>/</w:t>
      </w:r>
      <w:r w:rsidR="00615B5E" w:rsidRPr="002C494A">
        <w:rPr>
          <w:rStyle w:val="CharChar"/>
          <w:rFonts w:ascii="Arial" w:hAnsi="Arial" w:cs="Arial"/>
          <w:b w:val="0"/>
          <w:sz w:val="22"/>
          <w:szCs w:val="22"/>
        </w:rPr>
        <w:t>1</w:t>
      </w:r>
      <w:r w:rsidR="00C21C08" w:rsidRPr="002C494A">
        <w:rPr>
          <w:rStyle w:val="CharChar"/>
          <w:rFonts w:ascii="Arial" w:hAnsi="Arial" w:cs="Arial"/>
          <w:b w:val="0"/>
          <w:sz w:val="22"/>
          <w:szCs w:val="22"/>
        </w:rPr>
        <w:t>6</w:t>
      </w:r>
      <w:r w:rsidR="004B46C5" w:rsidRPr="002C494A">
        <w:rPr>
          <w:rStyle w:val="CharChar"/>
          <w:rFonts w:ascii="Arial" w:hAnsi="Arial" w:cs="Arial"/>
          <w:b w:val="0"/>
          <w:sz w:val="22"/>
          <w:szCs w:val="22"/>
        </w:rPr>
        <w:t>)</w:t>
      </w:r>
      <w:r w:rsidR="00B20879" w:rsidRPr="002C494A">
        <w:rPr>
          <w:rFonts w:cs="Arial"/>
          <w:b/>
          <w:sz w:val="22"/>
          <w:szCs w:val="22"/>
        </w:rPr>
        <w:t xml:space="preserve"> </w:t>
      </w:r>
      <w:r w:rsidR="00B20879" w:rsidRPr="002C494A">
        <w:rPr>
          <w:rFonts w:cs="Arial"/>
          <w:sz w:val="22"/>
          <w:szCs w:val="22"/>
        </w:rPr>
        <w:t>by Capita Asset Services</w:t>
      </w:r>
      <w:r w:rsidR="006F33CC" w:rsidRPr="002C494A">
        <w:rPr>
          <w:rFonts w:cs="Arial"/>
          <w:sz w:val="22"/>
          <w:szCs w:val="22"/>
        </w:rPr>
        <w:t xml:space="preserve"> Treasury Solutions</w:t>
      </w:r>
      <w:r w:rsidR="00B20879" w:rsidRPr="002C494A">
        <w:rPr>
          <w:rFonts w:cs="Arial"/>
          <w:sz w:val="22"/>
          <w:szCs w:val="22"/>
        </w:rPr>
        <w:t xml:space="preserve"> (the Council’s treasury advisors)</w:t>
      </w:r>
    </w:p>
    <w:p w:rsidR="000267D8" w:rsidRPr="002C494A" w:rsidRDefault="000267D8" w:rsidP="004E3AE0">
      <w:pPr>
        <w:tabs>
          <w:tab w:val="num" w:pos="709"/>
        </w:tabs>
        <w:ind w:left="851" w:hanging="851"/>
        <w:jc w:val="both"/>
        <w:rPr>
          <w:rStyle w:val="CharChar"/>
          <w:rFonts w:ascii="Arial" w:hAnsi="Arial" w:cs="Arial"/>
          <w:b w:val="0"/>
          <w:bCs w:val="0"/>
          <w:noProof/>
          <w:sz w:val="22"/>
          <w:szCs w:val="22"/>
        </w:rPr>
      </w:pPr>
    </w:p>
    <w:p w:rsidR="00C21C08" w:rsidRPr="002C494A" w:rsidRDefault="00C21C08" w:rsidP="004E3AE0">
      <w:pPr>
        <w:ind w:left="851"/>
        <w:jc w:val="both"/>
        <w:rPr>
          <w:rFonts w:cs="Arial"/>
          <w:i/>
          <w:sz w:val="22"/>
          <w:szCs w:val="22"/>
        </w:rPr>
      </w:pPr>
      <w:r w:rsidRPr="002C494A">
        <w:rPr>
          <w:rFonts w:cs="Arial"/>
          <w:i/>
          <w:sz w:val="22"/>
          <w:szCs w:val="22"/>
        </w:rPr>
        <w:t xml:space="preserve">UK GDP growth rates in 2013 of 2.2% and 2.9% in 2014 were strong but 2015 was disappointing at 1.8%, though it still remained one of the leading rates among the G7 countries.  Growth improved in quarter 4 of 2015 from +0.4% to 0.7% but fell back to +0.4% (2.0% y/y) in quarter 1 of 2016 before bouncing back again to +0.7% (2.1% y/y) in quarter 2.  During most of 2015, the economy had faced headwinds for exporters from the appreciation during the year of sterling against the Euro, and weak growth in the EU, China and emerging markets, plus the dampening effect of the Government’s continuing austerity programme. </w:t>
      </w:r>
      <w:r w:rsidR="00851E27" w:rsidRPr="002C494A">
        <w:rPr>
          <w:rFonts w:cs="Arial"/>
          <w:i/>
          <w:sz w:val="22"/>
          <w:szCs w:val="22"/>
        </w:rPr>
        <w:t xml:space="preserve"> </w:t>
      </w:r>
      <w:r w:rsidRPr="002C494A">
        <w:rPr>
          <w:rFonts w:cs="Arial"/>
          <w:i/>
          <w:sz w:val="22"/>
          <w:szCs w:val="22"/>
        </w:rPr>
        <w:t>The referendum vote for Brexit in June this year delivered an immediate shock fall in confidence indicators and business surveys, pointing to an impending sharp slowdown in the economy.</w:t>
      </w:r>
      <w:r w:rsidR="00851E27" w:rsidRPr="002C494A">
        <w:rPr>
          <w:rFonts w:cs="Arial"/>
          <w:i/>
          <w:sz w:val="22"/>
          <w:szCs w:val="22"/>
        </w:rPr>
        <w:t xml:space="preserve"> </w:t>
      </w:r>
      <w:r w:rsidRPr="002C494A">
        <w:rPr>
          <w:rFonts w:cs="Arial"/>
          <w:i/>
          <w:sz w:val="22"/>
          <w:szCs w:val="22"/>
        </w:rPr>
        <w:t xml:space="preserve"> However, subsequent surveys have shown a sharp recovery in confidence and business surveys, though it is generally expected that although the economy will now avoid flat</w:t>
      </w:r>
      <w:r w:rsidR="00851E27" w:rsidRPr="002C494A">
        <w:rPr>
          <w:rFonts w:cs="Arial"/>
          <w:i/>
          <w:sz w:val="22"/>
          <w:szCs w:val="22"/>
        </w:rPr>
        <w:t>-</w:t>
      </w:r>
      <w:r w:rsidRPr="002C494A">
        <w:rPr>
          <w:rFonts w:cs="Arial"/>
          <w:i/>
          <w:sz w:val="22"/>
          <w:szCs w:val="22"/>
        </w:rPr>
        <w:t xml:space="preserve">lining, growth will be weak through the second half of 2016 and in 2017.  </w:t>
      </w:r>
    </w:p>
    <w:p w:rsidR="00C21C08" w:rsidRPr="002C494A" w:rsidRDefault="00C21C08" w:rsidP="004E3AE0">
      <w:pPr>
        <w:ind w:left="851" w:hanging="851"/>
        <w:jc w:val="both"/>
        <w:rPr>
          <w:rFonts w:cs="Arial"/>
          <w:i/>
          <w:sz w:val="22"/>
          <w:szCs w:val="22"/>
        </w:rPr>
      </w:pPr>
    </w:p>
    <w:p w:rsidR="00C21C08" w:rsidRPr="002C494A" w:rsidRDefault="00C21C08" w:rsidP="004E3AE0">
      <w:pPr>
        <w:ind w:left="851"/>
        <w:jc w:val="both"/>
        <w:rPr>
          <w:rFonts w:cs="Arial"/>
          <w:i/>
          <w:sz w:val="22"/>
          <w:szCs w:val="22"/>
        </w:rPr>
      </w:pPr>
      <w:r w:rsidRPr="002C494A">
        <w:rPr>
          <w:rFonts w:cs="Arial"/>
          <w:i/>
          <w:sz w:val="22"/>
          <w:szCs w:val="22"/>
        </w:rPr>
        <w:t xml:space="preserve">The Bank of England meeting on </w:t>
      </w:r>
      <w:r w:rsidR="00851E27" w:rsidRPr="002C494A">
        <w:rPr>
          <w:rFonts w:cs="Arial"/>
          <w:i/>
          <w:sz w:val="22"/>
          <w:szCs w:val="22"/>
        </w:rPr>
        <w:t xml:space="preserve">4 </w:t>
      </w:r>
      <w:r w:rsidRPr="002C494A">
        <w:rPr>
          <w:rFonts w:cs="Arial"/>
          <w:i/>
          <w:sz w:val="22"/>
          <w:szCs w:val="22"/>
        </w:rPr>
        <w:t>August</w:t>
      </w:r>
      <w:r w:rsidR="00851E27" w:rsidRPr="002C494A">
        <w:rPr>
          <w:rFonts w:cs="Arial"/>
          <w:i/>
          <w:sz w:val="22"/>
          <w:szCs w:val="22"/>
        </w:rPr>
        <w:t xml:space="preserve"> 2016</w:t>
      </w:r>
      <w:r w:rsidRPr="002C494A">
        <w:rPr>
          <w:rFonts w:cs="Arial"/>
          <w:i/>
          <w:sz w:val="22"/>
          <w:szCs w:val="22"/>
        </w:rPr>
        <w:t xml:space="preserve"> addressed this expected slowdown in growth by a package of measures including a cut in Bank Rate from 0.50% to 0.25%.  The Inflation Report included an unchanged forecast for growth for 2016 of 2.0% but cut the forecast for 2017 from 2.3% to just 0.8%.  The Governor of the Bank of England, Mark Carney, had warned that a vote for Brexit would be likely to cause a slowing in growth, particularly from a reduction in business investment, due to the uncertainty of whether the UK would have continuing full access, (i.e. without tariffs), to the EU single market.  He also warned that the Bank could not do all the heavy lifting and suggested that the Government will need to help growth by increasing investment expenditure and possibly by using fiscal policy tools (taxation). The new Chancellor Phillip Hammond announced </w:t>
      </w:r>
      <w:r w:rsidRPr="002C494A">
        <w:rPr>
          <w:rFonts w:cs="Arial"/>
          <w:i/>
          <w:sz w:val="22"/>
          <w:szCs w:val="22"/>
        </w:rPr>
        <w:lastRenderedPageBreak/>
        <w:t xml:space="preserve">after the referendum result, that the target of achieving a budget surplus in 2020 will be eased in the Autumn Statement on November 23.  </w:t>
      </w:r>
    </w:p>
    <w:p w:rsidR="00C21C08" w:rsidRPr="002C494A" w:rsidRDefault="00C21C08" w:rsidP="004E3AE0">
      <w:pPr>
        <w:ind w:left="851"/>
        <w:jc w:val="both"/>
        <w:rPr>
          <w:rFonts w:cs="Arial"/>
          <w:i/>
          <w:sz w:val="22"/>
          <w:szCs w:val="22"/>
        </w:rPr>
      </w:pPr>
      <w:r w:rsidRPr="002C494A">
        <w:rPr>
          <w:rFonts w:cs="Arial"/>
          <w:i/>
          <w:sz w:val="22"/>
          <w:szCs w:val="22"/>
        </w:rPr>
        <w:t xml:space="preserve">The Inflation Report also included a sharp rise in the forecast for inflation to around 2.4% in 2018 and 2019.  CPI has started rising during 2016 as the falls in the price of oil and food twelve months ago fall out of the calculation during the year and, in addition, the post referendum 10% fall in the value of sterling on a trade weighted basis is likely to result in a 3% increase in CPI over a time period of 3-4 years.  However, the MPC is expected to look thorough a one off upward blip from this devaluation of sterling in order to support economic growth, especially if pay increases continue to remain subdued and therefore pose little danger of stoking core inflationary price pressures within the UK economy.  </w:t>
      </w:r>
    </w:p>
    <w:p w:rsidR="00C21C08" w:rsidRPr="002C494A" w:rsidRDefault="00C21C08" w:rsidP="004E3AE0">
      <w:pPr>
        <w:ind w:left="851"/>
        <w:jc w:val="both"/>
        <w:rPr>
          <w:rFonts w:cs="Arial"/>
          <w:i/>
          <w:sz w:val="22"/>
          <w:szCs w:val="22"/>
        </w:rPr>
      </w:pPr>
    </w:p>
    <w:p w:rsidR="00C21C08" w:rsidRPr="002C494A" w:rsidRDefault="00C21C08" w:rsidP="004E3AE0">
      <w:pPr>
        <w:ind w:left="851"/>
        <w:jc w:val="both"/>
        <w:rPr>
          <w:rFonts w:cs="Arial"/>
          <w:i/>
          <w:sz w:val="22"/>
          <w:szCs w:val="22"/>
        </w:rPr>
      </w:pPr>
      <w:r w:rsidRPr="002C494A">
        <w:rPr>
          <w:rFonts w:cs="Arial"/>
          <w:i/>
          <w:sz w:val="22"/>
          <w:szCs w:val="22"/>
        </w:rPr>
        <w:t>The American economy had a patchy 2015 with sharp swings in the growth rate leaving the overall growth for the year at 2.4%. Quarter 1 of 2016 disappointed at +0.8% on an annualised basis while quarter 2 improved, but only to a lacklustre +1.4%.  However, forward indicators are pointing towards a pickup in growt</w:t>
      </w:r>
      <w:r w:rsidR="004F3A84" w:rsidRPr="002C494A">
        <w:rPr>
          <w:rFonts w:cs="Arial"/>
          <w:i/>
          <w:sz w:val="22"/>
          <w:szCs w:val="22"/>
        </w:rPr>
        <w:t>h in the rest of 2016.  The Fed</w:t>
      </w:r>
      <w:r w:rsidRPr="002C494A">
        <w:rPr>
          <w:rFonts w:cs="Arial"/>
          <w:i/>
          <w:sz w:val="22"/>
          <w:szCs w:val="22"/>
        </w:rPr>
        <w:t xml:space="preserve"> embarked on its long anticipated first increase in rates at its December 2015 meeting.  At that point, confidence was high that there would then be four more increases to come in 2016.  Since then, more downbeat news on the international scene and then the Brexit vote, have caused a delay in the timing of the second increase which is now strongly expected in December this year. </w:t>
      </w:r>
    </w:p>
    <w:p w:rsidR="00C21C08" w:rsidRPr="002C494A" w:rsidRDefault="00C21C08" w:rsidP="004E3AE0">
      <w:pPr>
        <w:ind w:left="851"/>
        <w:jc w:val="both"/>
        <w:rPr>
          <w:rFonts w:cs="Arial"/>
          <w:i/>
          <w:sz w:val="22"/>
          <w:szCs w:val="22"/>
        </w:rPr>
      </w:pPr>
    </w:p>
    <w:p w:rsidR="00C21C08" w:rsidRPr="002C494A" w:rsidRDefault="00C21C08" w:rsidP="004E3AE0">
      <w:pPr>
        <w:ind w:left="851"/>
        <w:jc w:val="both"/>
        <w:rPr>
          <w:rFonts w:cs="Arial"/>
          <w:i/>
          <w:sz w:val="22"/>
          <w:szCs w:val="22"/>
        </w:rPr>
      </w:pPr>
      <w:r w:rsidRPr="002C494A">
        <w:rPr>
          <w:rFonts w:cs="Arial"/>
          <w:i/>
          <w:sz w:val="22"/>
          <w:szCs w:val="22"/>
        </w:rPr>
        <w:t>In the Eurozone, the ECB commenced in March 2015 its massive €1.1 trillion programme of quantitative easing to buy high credit quality government and other debt of selected EZ countries at a rate of €60bn per month; this was intended to run initially to September 2016 but was extended to March 2017 at its December 2015 meeting.  At its December and March meetings it progressively cut its deposit facility rate to reach -0.4% and its main refinancing rate from 0.05% to zero.  At its March meeting, it also increased its monthly asset purchases to €80bn.  These measures have struggled to make a significant impact in boosting economic growth and in helping inflation to rise from around zero towards the target of 2%.  GDP growth rose by 0.6% in quarter 1 2016 (1.7% y/y) but slowed to +0.3% (+1.6% y/y) in quarter 2.  This has added to comments from many forecasters that central banks around the world are running out of ammunition to stimulate economic growth and to boost inflation.  They stress that national governments will need to do more by way of structural reforms, fiscal measures and direct investment expenditure to support demand in the their economies and economic growth.</w:t>
      </w:r>
    </w:p>
    <w:p w:rsidR="00C21C08" w:rsidRPr="002C494A" w:rsidRDefault="00C21C08" w:rsidP="00851E27">
      <w:pPr>
        <w:ind w:left="851"/>
        <w:rPr>
          <w:rFonts w:cs="Arial"/>
          <w:i/>
          <w:sz w:val="22"/>
          <w:szCs w:val="22"/>
        </w:rPr>
      </w:pPr>
    </w:p>
    <w:p w:rsidR="00C21C08" w:rsidRPr="002C494A" w:rsidRDefault="00C21C08" w:rsidP="00851E27">
      <w:pPr>
        <w:ind w:left="851"/>
        <w:rPr>
          <w:rFonts w:cs="Arial"/>
          <w:sz w:val="22"/>
          <w:szCs w:val="22"/>
        </w:rPr>
      </w:pPr>
    </w:p>
    <w:p w:rsidR="00851E27" w:rsidRPr="002C494A" w:rsidRDefault="00A61AC3" w:rsidP="00851E27">
      <w:pPr>
        <w:tabs>
          <w:tab w:val="num" w:pos="709"/>
        </w:tabs>
        <w:ind w:left="851" w:hanging="851"/>
        <w:rPr>
          <w:rFonts w:cs="Arial"/>
          <w:sz w:val="22"/>
          <w:szCs w:val="22"/>
        </w:rPr>
      </w:pPr>
      <w:r w:rsidRPr="002C494A">
        <w:rPr>
          <w:rFonts w:cs="Arial"/>
          <w:sz w:val="22"/>
          <w:szCs w:val="22"/>
        </w:rPr>
        <w:t>2.5</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851E27" w:rsidRPr="002C494A">
        <w:rPr>
          <w:rFonts w:cs="Arial"/>
          <w:sz w:val="22"/>
          <w:szCs w:val="22"/>
        </w:rPr>
        <w:t>The Council’s treasury advisor,</w:t>
      </w:r>
      <w:r w:rsidR="00851E27" w:rsidRPr="002C494A">
        <w:rPr>
          <w:rFonts w:cs="Arial"/>
          <w:noProof/>
          <w:sz w:val="22"/>
          <w:szCs w:val="22"/>
        </w:rPr>
        <w:t xml:space="preserve"> Capita Asset Services Treasury Solutions</w:t>
      </w:r>
      <w:r w:rsidR="00851E27" w:rsidRPr="002C494A">
        <w:rPr>
          <w:rFonts w:cs="Arial"/>
          <w:sz w:val="22"/>
          <w:szCs w:val="22"/>
        </w:rPr>
        <w:t>, has provided the following forecast:</w:t>
      </w:r>
    </w:p>
    <w:p w:rsidR="002C494A" w:rsidRDefault="002C494A" w:rsidP="00851E27">
      <w:pPr>
        <w:tabs>
          <w:tab w:val="num" w:pos="709"/>
        </w:tabs>
        <w:ind w:left="851" w:hanging="851"/>
        <w:rPr>
          <w:rFonts w:cs="Arial"/>
          <w:i/>
          <w:sz w:val="22"/>
          <w:szCs w:val="22"/>
        </w:rPr>
      </w:pPr>
    </w:p>
    <w:p w:rsidR="00F41F19" w:rsidRPr="002C494A" w:rsidRDefault="00851E27" w:rsidP="00851E27">
      <w:pPr>
        <w:tabs>
          <w:tab w:val="num" w:pos="709"/>
        </w:tabs>
        <w:ind w:left="851" w:hanging="851"/>
        <w:rPr>
          <w:rFonts w:cs="Arial"/>
          <w:b/>
          <w:sz w:val="22"/>
          <w:szCs w:val="22"/>
        </w:rPr>
      </w:pPr>
      <w:r w:rsidRPr="002C494A">
        <w:rPr>
          <w:rFonts w:cs="Arial"/>
          <w:i/>
          <w:sz w:val="22"/>
          <w:szCs w:val="22"/>
        </w:rPr>
        <w:tab/>
      </w:r>
      <w:r w:rsidRPr="002C494A">
        <w:rPr>
          <w:rFonts w:cs="Arial"/>
          <w:i/>
          <w:sz w:val="22"/>
          <w:szCs w:val="22"/>
        </w:rPr>
        <w:tab/>
      </w:r>
      <w:r w:rsidRPr="002C494A">
        <w:rPr>
          <w:rFonts w:cs="Arial"/>
          <w:i/>
          <w:sz w:val="22"/>
          <w:szCs w:val="22"/>
        </w:rPr>
        <w:tab/>
      </w:r>
      <w:r w:rsidRPr="002C494A">
        <w:rPr>
          <w:rFonts w:cs="Arial"/>
          <w:i/>
          <w:sz w:val="22"/>
          <w:szCs w:val="22"/>
        </w:rPr>
        <w:tab/>
      </w:r>
      <w:r w:rsidRPr="002C494A">
        <w:rPr>
          <w:rFonts w:cs="Arial"/>
          <w:i/>
          <w:sz w:val="22"/>
          <w:szCs w:val="22"/>
        </w:rPr>
        <w:tab/>
      </w:r>
      <w:r w:rsidRPr="002C494A">
        <w:rPr>
          <w:rFonts w:cs="Arial"/>
          <w:i/>
          <w:sz w:val="22"/>
          <w:szCs w:val="22"/>
        </w:rPr>
        <w:tab/>
      </w:r>
      <w:r w:rsidR="00DC3F55" w:rsidRPr="002C494A">
        <w:rPr>
          <w:rFonts w:cs="Arial"/>
          <w:i/>
          <w:sz w:val="22"/>
          <w:szCs w:val="22"/>
        </w:rPr>
        <w:t>Interest rate forecasts</w:t>
      </w:r>
      <w:r w:rsidR="00DC3F55" w:rsidRPr="002C494A">
        <w:rPr>
          <w:rFonts w:cs="Arial"/>
          <w:b/>
          <w:sz w:val="22"/>
          <w:szCs w:val="22"/>
        </w:rPr>
        <w:t xml:space="preserve"> </w:t>
      </w:r>
    </w:p>
    <w:p w:rsidR="00851E27" w:rsidRPr="002C494A" w:rsidRDefault="00851E27" w:rsidP="00851E27">
      <w:pPr>
        <w:tabs>
          <w:tab w:val="num" w:pos="709"/>
        </w:tabs>
        <w:ind w:left="851" w:hanging="851"/>
        <w:rPr>
          <w:rFonts w:cs="Arial"/>
          <w:b/>
          <w:sz w:val="22"/>
          <w:szCs w:val="22"/>
        </w:rPr>
      </w:pPr>
    </w:p>
    <w:tbl>
      <w:tblPr>
        <w:tblpPr w:leftFromText="180" w:rightFromText="180" w:vertAnchor="text" w:horzAnchor="page" w:tblpX="4696"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94"/>
      </w:tblGrid>
      <w:tr w:rsidR="003F631D" w:rsidRPr="002C494A" w:rsidTr="00851E27">
        <w:trPr>
          <w:trHeight w:val="521"/>
        </w:trPr>
        <w:tc>
          <w:tcPr>
            <w:tcW w:w="1668" w:type="dxa"/>
            <w:shd w:val="clear" w:color="auto" w:fill="B3B3B3"/>
          </w:tcPr>
          <w:p w:rsidR="003F631D" w:rsidRPr="002C494A" w:rsidRDefault="003F631D" w:rsidP="00851E27">
            <w:pPr>
              <w:ind w:left="851" w:hanging="851"/>
              <w:rPr>
                <w:rFonts w:cs="Arial"/>
                <w:b/>
                <w:sz w:val="22"/>
                <w:szCs w:val="22"/>
              </w:rPr>
            </w:pPr>
            <w:r w:rsidRPr="002C494A">
              <w:rPr>
                <w:rFonts w:cs="Arial"/>
                <w:b/>
                <w:sz w:val="22"/>
                <w:szCs w:val="22"/>
              </w:rPr>
              <w:t>Month &amp; Year</w:t>
            </w:r>
          </w:p>
        </w:tc>
        <w:tc>
          <w:tcPr>
            <w:tcW w:w="1894" w:type="dxa"/>
            <w:shd w:val="clear" w:color="auto" w:fill="B3B3B3"/>
          </w:tcPr>
          <w:p w:rsidR="003F631D" w:rsidRPr="002C494A" w:rsidRDefault="003F631D" w:rsidP="00851E27">
            <w:pPr>
              <w:ind w:left="851" w:hanging="851"/>
              <w:jc w:val="center"/>
              <w:rPr>
                <w:rFonts w:cs="Arial"/>
                <w:b/>
                <w:sz w:val="22"/>
                <w:szCs w:val="22"/>
              </w:rPr>
            </w:pPr>
            <w:r w:rsidRPr="002C494A">
              <w:rPr>
                <w:rFonts w:cs="Arial"/>
                <w:b/>
                <w:sz w:val="22"/>
                <w:szCs w:val="22"/>
              </w:rPr>
              <w:t>Bank</w:t>
            </w:r>
          </w:p>
          <w:p w:rsidR="003F631D" w:rsidRPr="002C494A" w:rsidRDefault="003F631D" w:rsidP="00851E27">
            <w:pPr>
              <w:ind w:left="851" w:hanging="851"/>
              <w:jc w:val="center"/>
              <w:rPr>
                <w:rFonts w:cs="Arial"/>
                <w:b/>
                <w:sz w:val="22"/>
                <w:szCs w:val="22"/>
              </w:rPr>
            </w:pPr>
            <w:r w:rsidRPr="002C494A">
              <w:rPr>
                <w:rFonts w:cs="Arial"/>
                <w:b/>
                <w:sz w:val="22"/>
                <w:szCs w:val="22"/>
              </w:rPr>
              <w:t>Rate %</w:t>
            </w:r>
          </w:p>
        </w:tc>
      </w:tr>
      <w:tr w:rsidR="003F631D" w:rsidRPr="002C494A" w:rsidTr="00851E27">
        <w:trPr>
          <w:trHeight w:val="268"/>
        </w:trPr>
        <w:tc>
          <w:tcPr>
            <w:tcW w:w="1668" w:type="dxa"/>
          </w:tcPr>
          <w:p w:rsidR="003F631D" w:rsidRPr="002C494A" w:rsidRDefault="003F631D" w:rsidP="00851E27">
            <w:pPr>
              <w:ind w:left="851" w:hanging="851"/>
              <w:rPr>
                <w:rFonts w:cs="Arial"/>
                <w:sz w:val="22"/>
                <w:szCs w:val="22"/>
              </w:rPr>
            </w:pPr>
            <w:r w:rsidRPr="002C494A">
              <w:rPr>
                <w:rFonts w:cs="Arial"/>
                <w:sz w:val="22"/>
                <w:szCs w:val="22"/>
              </w:rPr>
              <w:t>Dec 201</w:t>
            </w:r>
            <w:r w:rsidR="00C21C08" w:rsidRPr="002C494A">
              <w:rPr>
                <w:rFonts w:cs="Arial"/>
                <w:sz w:val="22"/>
                <w:szCs w:val="22"/>
              </w:rPr>
              <w:t>6</w:t>
            </w:r>
          </w:p>
        </w:tc>
        <w:tc>
          <w:tcPr>
            <w:tcW w:w="1894" w:type="dxa"/>
          </w:tcPr>
          <w:p w:rsidR="003F631D" w:rsidRPr="002C494A" w:rsidRDefault="003F631D" w:rsidP="00851E27">
            <w:pPr>
              <w:ind w:left="851" w:hanging="851"/>
              <w:jc w:val="center"/>
              <w:rPr>
                <w:rFonts w:cs="Arial"/>
                <w:sz w:val="22"/>
                <w:szCs w:val="22"/>
              </w:rPr>
            </w:pPr>
            <w:r w:rsidRPr="002C494A">
              <w:rPr>
                <w:rFonts w:cs="Arial"/>
                <w:sz w:val="22"/>
                <w:szCs w:val="22"/>
              </w:rPr>
              <w:t>0.</w:t>
            </w:r>
            <w:r w:rsidR="00C21C08" w:rsidRPr="002C494A">
              <w:rPr>
                <w:rFonts w:cs="Arial"/>
                <w:sz w:val="22"/>
                <w:szCs w:val="22"/>
              </w:rPr>
              <w:t>1</w:t>
            </w:r>
            <w:r w:rsidRPr="002C494A">
              <w:rPr>
                <w:rFonts w:cs="Arial"/>
                <w:sz w:val="22"/>
                <w:szCs w:val="22"/>
              </w:rPr>
              <w:t>0</w:t>
            </w:r>
          </w:p>
        </w:tc>
      </w:tr>
      <w:tr w:rsidR="003F631D" w:rsidRPr="002C494A" w:rsidTr="00851E27">
        <w:trPr>
          <w:trHeight w:val="238"/>
        </w:trPr>
        <w:tc>
          <w:tcPr>
            <w:tcW w:w="1668" w:type="dxa"/>
          </w:tcPr>
          <w:p w:rsidR="003F631D" w:rsidRPr="002C494A" w:rsidRDefault="003F631D" w:rsidP="00851E27">
            <w:pPr>
              <w:ind w:left="851" w:hanging="851"/>
              <w:rPr>
                <w:rFonts w:cs="Arial"/>
                <w:sz w:val="22"/>
                <w:szCs w:val="22"/>
              </w:rPr>
            </w:pPr>
            <w:r w:rsidRPr="002C494A">
              <w:rPr>
                <w:rFonts w:cs="Arial"/>
                <w:sz w:val="22"/>
                <w:szCs w:val="22"/>
              </w:rPr>
              <w:t>Mar 201</w:t>
            </w:r>
            <w:r w:rsidR="00C21C08" w:rsidRPr="002C494A">
              <w:rPr>
                <w:rFonts w:cs="Arial"/>
                <w:sz w:val="22"/>
                <w:szCs w:val="22"/>
              </w:rPr>
              <w:t>7</w:t>
            </w:r>
          </w:p>
        </w:tc>
        <w:tc>
          <w:tcPr>
            <w:tcW w:w="1894" w:type="dxa"/>
          </w:tcPr>
          <w:p w:rsidR="003F631D" w:rsidRPr="002C494A" w:rsidRDefault="003F631D" w:rsidP="00851E27">
            <w:pPr>
              <w:ind w:left="851" w:hanging="851"/>
              <w:jc w:val="center"/>
              <w:rPr>
                <w:rFonts w:cs="Arial"/>
                <w:sz w:val="22"/>
                <w:szCs w:val="22"/>
              </w:rPr>
            </w:pPr>
            <w:r w:rsidRPr="002C494A">
              <w:rPr>
                <w:rFonts w:cs="Arial"/>
                <w:sz w:val="22"/>
                <w:szCs w:val="22"/>
              </w:rPr>
              <w:t>0.</w:t>
            </w:r>
            <w:r w:rsidR="00C21C08" w:rsidRPr="002C494A">
              <w:rPr>
                <w:rFonts w:cs="Arial"/>
                <w:sz w:val="22"/>
                <w:szCs w:val="22"/>
              </w:rPr>
              <w:t>1</w:t>
            </w:r>
            <w:r w:rsidRPr="002C494A">
              <w:rPr>
                <w:rFonts w:cs="Arial"/>
                <w:sz w:val="22"/>
                <w:szCs w:val="22"/>
              </w:rPr>
              <w:t>0</w:t>
            </w:r>
          </w:p>
        </w:tc>
      </w:tr>
      <w:tr w:rsidR="003F631D" w:rsidRPr="002C494A" w:rsidTr="00851E27">
        <w:trPr>
          <w:trHeight w:val="254"/>
        </w:trPr>
        <w:tc>
          <w:tcPr>
            <w:tcW w:w="1668" w:type="dxa"/>
          </w:tcPr>
          <w:p w:rsidR="003F631D" w:rsidRPr="002C494A" w:rsidRDefault="003F631D" w:rsidP="00851E27">
            <w:pPr>
              <w:ind w:left="851" w:hanging="851"/>
              <w:rPr>
                <w:rFonts w:cs="Arial"/>
                <w:sz w:val="22"/>
                <w:szCs w:val="22"/>
              </w:rPr>
            </w:pPr>
            <w:r w:rsidRPr="002C494A">
              <w:rPr>
                <w:rFonts w:cs="Arial"/>
                <w:sz w:val="22"/>
                <w:szCs w:val="22"/>
              </w:rPr>
              <w:t>Jun 201</w:t>
            </w:r>
            <w:r w:rsidR="00C21C08" w:rsidRPr="002C494A">
              <w:rPr>
                <w:rFonts w:cs="Arial"/>
                <w:sz w:val="22"/>
                <w:szCs w:val="22"/>
              </w:rPr>
              <w:t>7</w:t>
            </w:r>
          </w:p>
        </w:tc>
        <w:tc>
          <w:tcPr>
            <w:tcW w:w="1894" w:type="dxa"/>
          </w:tcPr>
          <w:p w:rsidR="003F631D" w:rsidRPr="002C494A" w:rsidRDefault="003F631D" w:rsidP="00851E27">
            <w:pPr>
              <w:ind w:left="851" w:hanging="851"/>
              <w:jc w:val="center"/>
              <w:rPr>
                <w:rFonts w:cs="Arial"/>
                <w:sz w:val="22"/>
                <w:szCs w:val="22"/>
              </w:rPr>
            </w:pPr>
            <w:r w:rsidRPr="002C494A">
              <w:rPr>
                <w:rFonts w:cs="Arial"/>
                <w:sz w:val="22"/>
                <w:szCs w:val="22"/>
              </w:rPr>
              <w:t>0.</w:t>
            </w:r>
            <w:r w:rsidR="00C21C08" w:rsidRPr="002C494A">
              <w:rPr>
                <w:rFonts w:cs="Arial"/>
                <w:sz w:val="22"/>
                <w:szCs w:val="22"/>
              </w:rPr>
              <w:t>10</w:t>
            </w:r>
          </w:p>
        </w:tc>
      </w:tr>
      <w:tr w:rsidR="003F631D" w:rsidRPr="002C494A" w:rsidTr="00851E27">
        <w:trPr>
          <w:trHeight w:val="238"/>
        </w:trPr>
        <w:tc>
          <w:tcPr>
            <w:tcW w:w="1668" w:type="dxa"/>
          </w:tcPr>
          <w:p w:rsidR="003F631D" w:rsidRPr="002C494A" w:rsidRDefault="003F631D" w:rsidP="00851E27">
            <w:pPr>
              <w:ind w:left="851" w:hanging="851"/>
              <w:rPr>
                <w:rFonts w:cs="Arial"/>
                <w:sz w:val="22"/>
                <w:szCs w:val="22"/>
              </w:rPr>
            </w:pPr>
            <w:r w:rsidRPr="002C494A">
              <w:rPr>
                <w:rFonts w:cs="Arial"/>
                <w:sz w:val="22"/>
                <w:szCs w:val="22"/>
              </w:rPr>
              <w:t>Sep 201</w:t>
            </w:r>
            <w:r w:rsidR="00C21C08" w:rsidRPr="002C494A">
              <w:rPr>
                <w:rFonts w:cs="Arial"/>
                <w:sz w:val="22"/>
                <w:szCs w:val="22"/>
              </w:rPr>
              <w:t>7</w:t>
            </w:r>
          </w:p>
        </w:tc>
        <w:tc>
          <w:tcPr>
            <w:tcW w:w="1894" w:type="dxa"/>
          </w:tcPr>
          <w:p w:rsidR="003F631D" w:rsidRPr="002C494A" w:rsidRDefault="003F631D" w:rsidP="00851E27">
            <w:pPr>
              <w:ind w:left="851" w:hanging="851"/>
              <w:jc w:val="center"/>
              <w:rPr>
                <w:rFonts w:cs="Arial"/>
                <w:sz w:val="22"/>
                <w:szCs w:val="22"/>
              </w:rPr>
            </w:pPr>
            <w:r w:rsidRPr="002C494A">
              <w:rPr>
                <w:rFonts w:cs="Arial"/>
                <w:sz w:val="22"/>
                <w:szCs w:val="22"/>
              </w:rPr>
              <w:t>0.</w:t>
            </w:r>
            <w:r w:rsidR="00C21C08" w:rsidRPr="002C494A">
              <w:rPr>
                <w:rFonts w:cs="Arial"/>
                <w:sz w:val="22"/>
                <w:szCs w:val="22"/>
              </w:rPr>
              <w:t>10</w:t>
            </w:r>
          </w:p>
        </w:tc>
      </w:tr>
      <w:tr w:rsidR="003F631D" w:rsidRPr="002C494A" w:rsidTr="00851E27">
        <w:trPr>
          <w:trHeight w:val="254"/>
        </w:trPr>
        <w:tc>
          <w:tcPr>
            <w:tcW w:w="1668" w:type="dxa"/>
          </w:tcPr>
          <w:p w:rsidR="003F631D" w:rsidRPr="002C494A" w:rsidRDefault="003F631D" w:rsidP="00851E27">
            <w:pPr>
              <w:ind w:left="851" w:hanging="851"/>
              <w:rPr>
                <w:rFonts w:cs="Arial"/>
                <w:sz w:val="22"/>
                <w:szCs w:val="22"/>
              </w:rPr>
            </w:pPr>
            <w:r w:rsidRPr="002C494A">
              <w:rPr>
                <w:rFonts w:cs="Arial"/>
                <w:sz w:val="22"/>
                <w:szCs w:val="22"/>
              </w:rPr>
              <w:t>Dec 201</w:t>
            </w:r>
            <w:r w:rsidR="00C21C08" w:rsidRPr="002C494A">
              <w:rPr>
                <w:rFonts w:cs="Arial"/>
                <w:sz w:val="22"/>
                <w:szCs w:val="22"/>
              </w:rPr>
              <w:t>7</w:t>
            </w:r>
          </w:p>
        </w:tc>
        <w:tc>
          <w:tcPr>
            <w:tcW w:w="1894" w:type="dxa"/>
          </w:tcPr>
          <w:p w:rsidR="003F631D" w:rsidRPr="002C494A" w:rsidRDefault="00C21C08" w:rsidP="00851E27">
            <w:pPr>
              <w:ind w:left="851" w:hanging="851"/>
              <w:jc w:val="center"/>
              <w:rPr>
                <w:rFonts w:cs="Arial"/>
                <w:sz w:val="22"/>
                <w:szCs w:val="22"/>
              </w:rPr>
            </w:pPr>
            <w:r w:rsidRPr="002C494A">
              <w:rPr>
                <w:rFonts w:cs="Arial"/>
                <w:sz w:val="22"/>
                <w:szCs w:val="22"/>
              </w:rPr>
              <w:t>0.10</w:t>
            </w:r>
          </w:p>
        </w:tc>
      </w:tr>
      <w:tr w:rsidR="003F631D" w:rsidRPr="002C494A" w:rsidTr="00851E27">
        <w:trPr>
          <w:trHeight w:val="254"/>
        </w:trPr>
        <w:tc>
          <w:tcPr>
            <w:tcW w:w="1668" w:type="dxa"/>
          </w:tcPr>
          <w:p w:rsidR="003F631D" w:rsidRPr="002C494A" w:rsidRDefault="003F631D" w:rsidP="00851E27">
            <w:pPr>
              <w:ind w:left="851" w:hanging="851"/>
              <w:rPr>
                <w:rFonts w:cs="Arial"/>
                <w:sz w:val="22"/>
                <w:szCs w:val="22"/>
              </w:rPr>
            </w:pPr>
            <w:r w:rsidRPr="002C494A">
              <w:rPr>
                <w:rFonts w:cs="Arial"/>
                <w:sz w:val="22"/>
                <w:szCs w:val="22"/>
              </w:rPr>
              <w:t>Mar 201</w:t>
            </w:r>
            <w:r w:rsidR="00C21C08" w:rsidRPr="002C494A">
              <w:rPr>
                <w:rFonts w:cs="Arial"/>
                <w:sz w:val="22"/>
                <w:szCs w:val="22"/>
              </w:rPr>
              <w:t>8</w:t>
            </w:r>
          </w:p>
        </w:tc>
        <w:tc>
          <w:tcPr>
            <w:tcW w:w="1894" w:type="dxa"/>
          </w:tcPr>
          <w:p w:rsidR="003F631D" w:rsidRPr="002C494A" w:rsidRDefault="00C21C08" w:rsidP="00851E27">
            <w:pPr>
              <w:ind w:left="851" w:hanging="851"/>
              <w:jc w:val="center"/>
              <w:rPr>
                <w:rFonts w:cs="Arial"/>
                <w:sz w:val="22"/>
                <w:szCs w:val="22"/>
              </w:rPr>
            </w:pPr>
            <w:r w:rsidRPr="002C494A">
              <w:rPr>
                <w:rFonts w:cs="Arial"/>
                <w:sz w:val="22"/>
                <w:szCs w:val="22"/>
              </w:rPr>
              <w:t>0.10</w:t>
            </w:r>
          </w:p>
        </w:tc>
      </w:tr>
      <w:tr w:rsidR="003F631D" w:rsidRPr="002C494A" w:rsidTr="00851E27">
        <w:trPr>
          <w:trHeight w:val="238"/>
        </w:trPr>
        <w:tc>
          <w:tcPr>
            <w:tcW w:w="1668" w:type="dxa"/>
          </w:tcPr>
          <w:p w:rsidR="003F631D" w:rsidRPr="002C494A" w:rsidRDefault="003F631D" w:rsidP="00851E27">
            <w:pPr>
              <w:ind w:left="851" w:hanging="851"/>
              <w:rPr>
                <w:rFonts w:cs="Arial"/>
                <w:sz w:val="22"/>
                <w:szCs w:val="22"/>
              </w:rPr>
            </w:pPr>
            <w:r w:rsidRPr="002C494A">
              <w:rPr>
                <w:rFonts w:cs="Arial"/>
                <w:sz w:val="22"/>
                <w:szCs w:val="22"/>
              </w:rPr>
              <w:t>Jun 201</w:t>
            </w:r>
            <w:r w:rsidR="00C21C08" w:rsidRPr="002C494A">
              <w:rPr>
                <w:rFonts w:cs="Arial"/>
                <w:sz w:val="22"/>
                <w:szCs w:val="22"/>
              </w:rPr>
              <w:t>8</w:t>
            </w:r>
          </w:p>
        </w:tc>
        <w:tc>
          <w:tcPr>
            <w:tcW w:w="1894" w:type="dxa"/>
          </w:tcPr>
          <w:p w:rsidR="003F631D" w:rsidRPr="002C494A" w:rsidRDefault="00C21C08" w:rsidP="00851E27">
            <w:pPr>
              <w:ind w:left="851" w:hanging="851"/>
              <w:jc w:val="center"/>
              <w:rPr>
                <w:rFonts w:cs="Arial"/>
                <w:sz w:val="22"/>
                <w:szCs w:val="22"/>
              </w:rPr>
            </w:pPr>
            <w:r w:rsidRPr="002C494A">
              <w:rPr>
                <w:rFonts w:cs="Arial"/>
                <w:sz w:val="22"/>
                <w:szCs w:val="22"/>
              </w:rPr>
              <w:t>0.25</w:t>
            </w:r>
          </w:p>
        </w:tc>
      </w:tr>
      <w:tr w:rsidR="003F631D" w:rsidRPr="002C494A" w:rsidTr="00851E27">
        <w:trPr>
          <w:trHeight w:val="254"/>
        </w:trPr>
        <w:tc>
          <w:tcPr>
            <w:tcW w:w="1668" w:type="dxa"/>
          </w:tcPr>
          <w:p w:rsidR="003F631D" w:rsidRPr="002C494A" w:rsidRDefault="003F631D" w:rsidP="00851E27">
            <w:pPr>
              <w:ind w:left="851" w:hanging="851"/>
              <w:rPr>
                <w:rFonts w:cs="Arial"/>
                <w:sz w:val="22"/>
                <w:szCs w:val="22"/>
              </w:rPr>
            </w:pPr>
            <w:r w:rsidRPr="002C494A">
              <w:rPr>
                <w:rFonts w:cs="Arial"/>
                <w:sz w:val="22"/>
                <w:szCs w:val="22"/>
              </w:rPr>
              <w:t>Sep 201</w:t>
            </w:r>
            <w:r w:rsidR="00C21C08" w:rsidRPr="002C494A">
              <w:rPr>
                <w:rFonts w:cs="Arial"/>
                <w:sz w:val="22"/>
                <w:szCs w:val="22"/>
              </w:rPr>
              <w:t>8</w:t>
            </w:r>
          </w:p>
        </w:tc>
        <w:tc>
          <w:tcPr>
            <w:tcW w:w="1894" w:type="dxa"/>
          </w:tcPr>
          <w:p w:rsidR="003F631D" w:rsidRPr="002C494A" w:rsidRDefault="00C21C08" w:rsidP="00851E27">
            <w:pPr>
              <w:ind w:left="851" w:hanging="851"/>
              <w:jc w:val="center"/>
              <w:rPr>
                <w:rFonts w:cs="Arial"/>
                <w:sz w:val="22"/>
                <w:szCs w:val="22"/>
              </w:rPr>
            </w:pPr>
            <w:r w:rsidRPr="002C494A">
              <w:rPr>
                <w:rFonts w:cs="Arial"/>
                <w:sz w:val="22"/>
                <w:szCs w:val="22"/>
              </w:rPr>
              <w:t>0.25</w:t>
            </w:r>
          </w:p>
        </w:tc>
      </w:tr>
      <w:tr w:rsidR="003F631D" w:rsidRPr="002C494A" w:rsidTr="00851E27">
        <w:trPr>
          <w:trHeight w:val="254"/>
        </w:trPr>
        <w:tc>
          <w:tcPr>
            <w:tcW w:w="1668" w:type="dxa"/>
          </w:tcPr>
          <w:p w:rsidR="003F631D" w:rsidRPr="002C494A" w:rsidRDefault="003F631D" w:rsidP="00851E27">
            <w:pPr>
              <w:ind w:left="851" w:hanging="851"/>
              <w:rPr>
                <w:rFonts w:cs="Arial"/>
                <w:sz w:val="22"/>
                <w:szCs w:val="22"/>
              </w:rPr>
            </w:pPr>
            <w:r w:rsidRPr="002C494A">
              <w:rPr>
                <w:rFonts w:cs="Arial"/>
                <w:sz w:val="22"/>
                <w:szCs w:val="22"/>
              </w:rPr>
              <w:t>Dec 201</w:t>
            </w:r>
            <w:r w:rsidR="00C21C08" w:rsidRPr="002C494A">
              <w:rPr>
                <w:rFonts w:cs="Arial"/>
                <w:sz w:val="22"/>
                <w:szCs w:val="22"/>
              </w:rPr>
              <w:t>8</w:t>
            </w:r>
          </w:p>
        </w:tc>
        <w:tc>
          <w:tcPr>
            <w:tcW w:w="1894" w:type="dxa"/>
          </w:tcPr>
          <w:p w:rsidR="003F631D" w:rsidRPr="002C494A" w:rsidRDefault="00C21C08" w:rsidP="00851E27">
            <w:pPr>
              <w:ind w:left="851" w:hanging="851"/>
              <w:jc w:val="center"/>
              <w:rPr>
                <w:rFonts w:cs="Arial"/>
                <w:sz w:val="22"/>
                <w:szCs w:val="22"/>
              </w:rPr>
            </w:pPr>
            <w:r w:rsidRPr="002C494A">
              <w:rPr>
                <w:rFonts w:cs="Arial"/>
                <w:sz w:val="22"/>
                <w:szCs w:val="22"/>
              </w:rPr>
              <w:t>0.25</w:t>
            </w:r>
          </w:p>
        </w:tc>
      </w:tr>
      <w:tr w:rsidR="003F631D" w:rsidRPr="002C494A" w:rsidTr="00851E27">
        <w:trPr>
          <w:trHeight w:val="254"/>
        </w:trPr>
        <w:tc>
          <w:tcPr>
            <w:tcW w:w="1668" w:type="dxa"/>
          </w:tcPr>
          <w:p w:rsidR="003F631D" w:rsidRPr="002C494A" w:rsidRDefault="003F631D" w:rsidP="00851E27">
            <w:pPr>
              <w:ind w:left="851" w:hanging="851"/>
              <w:rPr>
                <w:rFonts w:cs="Arial"/>
                <w:sz w:val="22"/>
                <w:szCs w:val="22"/>
              </w:rPr>
            </w:pPr>
            <w:r w:rsidRPr="002C494A">
              <w:rPr>
                <w:rFonts w:cs="Arial"/>
                <w:sz w:val="22"/>
                <w:szCs w:val="22"/>
              </w:rPr>
              <w:t>Mar 201</w:t>
            </w:r>
            <w:r w:rsidR="00C21C08" w:rsidRPr="002C494A">
              <w:rPr>
                <w:rFonts w:cs="Arial"/>
                <w:sz w:val="22"/>
                <w:szCs w:val="22"/>
              </w:rPr>
              <w:t>9</w:t>
            </w:r>
          </w:p>
        </w:tc>
        <w:tc>
          <w:tcPr>
            <w:tcW w:w="1894" w:type="dxa"/>
          </w:tcPr>
          <w:p w:rsidR="003F631D" w:rsidRPr="002C494A" w:rsidRDefault="00C21C08" w:rsidP="00851E27">
            <w:pPr>
              <w:ind w:left="851" w:hanging="851"/>
              <w:jc w:val="center"/>
              <w:rPr>
                <w:rFonts w:cs="Arial"/>
                <w:sz w:val="22"/>
                <w:szCs w:val="22"/>
              </w:rPr>
            </w:pPr>
            <w:r w:rsidRPr="002C494A">
              <w:rPr>
                <w:rFonts w:cs="Arial"/>
                <w:sz w:val="22"/>
                <w:szCs w:val="22"/>
              </w:rPr>
              <w:t>0.25</w:t>
            </w:r>
          </w:p>
        </w:tc>
      </w:tr>
      <w:tr w:rsidR="003F631D" w:rsidRPr="002C494A" w:rsidTr="00851E27">
        <w:trPr>
          <w:trHeight w:val="254"/>
        </w:trPr>
        <w:tc>
          <w:tcPr>
            <w:tcW w:w="1668" w:type="dxa"/>
          </w:tcPr>
          <w:p w:rsidR="003F631D" w:rsidRPr="002C494A" w:rsidRDefault="003F631D" w:rsidP="00851E27">
            <w:pPr>
              <w:ind w:left="851" w:hanging="851"/>
              <w:rPr>
                <w:rFonts w:cs="Arial"/>
                <w:sz w:val="22"/>
                <w:szCs w:val="22"/>
              </w:rPr>
            </w:pPr>
            <w:r w:rsidRPr="002C494A">
              <w:rPr>
                <w:rFonts w:cs="Arial"/>
                <w:sz w:val="22"/>
                <w:szCs w:val="22"/>
              </w:rPr>
              <w:t>Jun 201</w:t>
            </w:r>
            <w:r w:rsidR="00C21C08" w:rsidRPr="002C494A">
              <w:rPr>
                <w:rFonts w:cs="Arial"/>
                <w:sz w:val="22"/>
                <w:szCs w:val="22"/>
              </w:rPr>
              <w:t>9</w:t>
            </w:r>
          </w:p>
        </w:tc>
        <w:tc>
          <w:tcPr>
            <w:tcW w:w="1894" w:type="dxa"/>
          </w:tcPr>
          <w:p w:rsidR="003F631D" w:rsidRPr="002C494A" w:rsidRDefault="00C21C08" w:rsidP="00851E27">
            <w:pPr>
              <w:ind w:left="851" w:hanging="851"/>
              <w:jc w:val="center"/>
              <w:rPr>
                <w:rFonts w:cs="Arial"/>
                <w:sz w:val="22"/>
                <w:szCs w:val="22"/>
              </w:rPr>
            </w:pPr>
            <w:r w:rsidRPr="002C494A">
              <w:rPr>
                <w:rFonts w:cs="Arial"/>
                <w:sz w:val="22"/>
                <w:szCs w:val="22"/>
              </w:rPr>
              <w:t>0.50</w:t>
            </w:r>
          </w:p>
        </w:tc>
      </w:tr>
    </w:tbl>
    <w:p w:rsidR="00F41F19" w:rsidRPr="002C494A" w:rsidRDefault="00F41F19" w:rsidP="00851E27">
      <w:pPr>
        <w:tabs>
          <w:tab w:val="num" w:pos="709"/>
        </w:tabs>
        <w:ind w:left="851" w:hanging="851"/>
        <w:rPr>
          <w:rFonts w:cs="Arial"/>
          <w:b/>
          <w:sz w:val="22"/>
          <w:szCs w:val="22"/>
        </w:rPr>
      </w:pPr>
    </w:p>
    <w:p w:rsidR="00851E27" w:rsidRPr="002C494A" w:rsidRDefault="00F41F19" w:rsidP="00851E27">
      <w:pPr>
        <w:tabs>
          <w:tab w:val="num" w:pos="709"/>
        </w:tabs>
        <w:ind w:left="851" w:hanging="851"/>
        <w:rPr>
          <w:rFonts w:cs="Arial"/>
          <w:noProof/>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851E27" w:rsidRPr="002C494A" w:rsidRDefault="00851E27" w:rsidP="00851E27">
      <w:pPr>
        <w:tabs>
          <w:tab w:val="num" w:pos="709"/>
        </w:tabs>
        <w:ind w:left="851" w:hanging="851"/>
        <w:rPr>
          <w:rFonts w:cs="Arial"/>
          <w:noProof/>
          <w:sz w:val="22"/>
          <w:szCs w:val="22"/>
        </w:rPr>
      </w:pPr>
    </w:p>
    <w:p w:rsidR="007C1BF3" w:rsidRPr="002C494A" w:rsidRDefault="00F41F19" w:rsidP="00851E27">
      <w:pPr>
        <w:ind w:left="851"/>
        <w:jc w:val="both"/>
        <w:rPr>
          <w:rFonts w:cs="Arial"/>
          <w:sz w:val="22"/>
          <w:szCs w:val="22"/>
        </w:rPr>
      </w:pPr>
      <w:r w:rsidRPr="002C494A">
        <w:rPr>
          <w:rFonts w:cs="Arial"/>
          <w:sz w:val="22"/>
          <w:szCs w:val="22"/>
        </w:rPr>
        <w:lastRenderedPageBreak/>
        <w:fldChar w:fldCharType="begin"/>
      </w:r>
      <w:r w:rsidRPr="002C494A">
        <w:rPr>
          <w:rFonts w:cs="Arial"/>
          <w:sz w:val="22"/>
          <w:szCs w:val="22"/>
        </w:rPr>
        <w:instrText xml:space="preserve">  </w:instrText>
      </w:r>
      <w:r w:rsidRPr="002C494A">
        <w:rPr>
          <w:rFonts w:cs="Arial"/>
          <w:sz w:val="22"/>
          <w:szCs w:val="22"/>
        </w:rPr>
        <w:fldChar w:fldCharType="end"/>
      </w:r>
      <w:r w:rsidR="00C21C08" w:rsidRPr="002C494A">
        <w:rPr>
          <w:rFonts w:cs="Arial"/>
          <w:sz w:val="22"/>
          <w:szCs w:val="22"/>
        </w:rPr>
        <w:t>Capita Asset Services</w:t>
      </w:r>
      <w:r w:rsidR="006F33CC" w:rsidRPr="002C494A">
        <w:rPr>
          <w:rFonts w:cs="Arial"/>
          <w:sz w:val="22"/>
          <w:szCs w:val="22"/>
        </w:rPr>
        <w:t xml:space="preserve"> Treasury Solutions</w:t>
      </w:r>
      <w:r w:rsidR="00C21C08" w:rsidRPr="002C494A">
        <w:rPr>
          <w:rFonts w:cs="Arial"/>
          <w:sz w:val="22"/>
          <w:szCs w:val="22"/>
        </w:rPr>
        <w:t xml:space="preserve"> undertook a quarterly review of its interest rate forecasts after the MPC meeting of 4th August cut Bank Rate to 0.25% and gave forward guidance that it expected to cut Bank Rate again to near zero before the year end.  The above forecast therefore includes a further cut to 0.10% in November this year and a first increase in May 2018, to 0.25%, but no further increase to 0.50% until a year later.  Mark </w:t>
      </w:r>
      <w:proofErr w:type="gramStart"/>
      <w:r w:rsidR="00C21C08" w:rsidRPr="002C494A">
        <w:rPr>
          <w:rFonts w:cs="Arial"/>
          <w:sz w:val="22"/>
          <w:szCs w:val="22"/>
        </w:rPr>
        <w:t>Carney,</w:t>
      </w:r>
      <w:proofErr w:type="gramEnd"/>
      <w:r w:rsidR="00C21C08" w:rsidRPr="002C494A">
        <w:rPr>
          <w:rFonts w:cs="Arial"/>
          <w:sz w:val="22"/>
          <w:szCs w:val="22"/>
        </w:rPr>
        <w:t xml:space="preserve"> has repeatedly stated that increases in Bank Rate will be slow and gradual after they do start.  The MPC is concerned about the impact of increases on many heavily indebted consumers, especially when the growth in average disposable income is still weak and could well turn negative when inflation rises during the next two years to exceed average pay increases</w:t>
      </w:r>
      <w:r w:rsidR="007C1BF3" w:rsidRPr="002C494A">
        <w:rPr>
          <w:rFonts w:cs="Arial"/>
          <w:sz w:val="22"/>
          <w:szCs w:val="22"/>
        </w:rPr>
        <w:t xml:space="preserve">. </w:t>
      </w:r>
    </w:p>
    <w:p w:rsidR="00C4295C" w:rsidRPr="002C494A" w:rsidRDefault="00A36DBD" w:rsidP="00851E27">
      <w:pPr>
        <w:tabs>
          <w:tab w:val="num" w:pos="709"/>
        </w:tabs>
        <w:ind w:left="851"/>
        <w:rPr>
          <w:rFonts w:cs="Arial"/>
          <w:noProof/>
          <w:sz w:val="22"/>
          <w:szCs w:val="22"/>
        </w:rPr>
      </w:pP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007D393F" w:rsidRPr="002C494A">
        <w:rPr>
          <w:rFonts w:cs="Arial"/>
          <w:sz w:val="22"/>
          <w:szCs w:val="22"/>
        </w:rPr>
        <w:fldChar w:fldCharType="begin"/>
      </w:r>
      <w:r w:rsidR="007D393F" w:rsidRPr="002C494A">
        <w:rPr>
          <w:rFonts w:cs="Arial"/>
          <w:sz w:val="22"/>
          <w:szCs w:val="22"/>
        </w:rPr>
        <w:instrText xml:space="preserve">  </w:instrText>
      </w:r>
      <w:r w:rsidR="007D393F" w:rsidRPr="002C494A">
        <w:rPr>
          <w:rFonts w:cs="Arial"/>
          <w:sz w:val="22"/>
          <w:szCs w:val="22"/>
        </w:rPr>
        <w:fldChar w:fldCharType="end"/>
      </w:r>
      <w:r w:rsidR="007D393F" w:rsidRPr="002C494A">
        <w:rPr>
          <w:rFonts w:cs="Arial"/>
          <w:noProof/>
          <w:sz w:val="22"/>
          <w:szCs w:val="22"/>
        </w:rPr>
        <w:t xml:space="preserve"> </w:t>
      </w:r>
      <w:r w:rsidR="007D393F" w:rsidRPr="002C494A">
        <w:rPr>
          <w:rFonts w:cs="Arial"/>
          <w:noProof/>
          <w:sz w:val="22"/>
          <w:szCs w:val="22"/>
        </w:rPr>
        <w:tab/>
      </w:r>
    </w:p>
    <w:p w:rsidR="00DC3F55" w:rsidRPr="002C494A" w:rsidRDefault="008F35A6" w:rsidP="00851E27">
      <w:pPr>
        <w:tabs>
          <w:tab w:val="num" w:pos="709"/>
        </w:tabs>
        <w:ind w:left="851" w:hanging="851"/>
        <w:rPr>
          <w:rFonts w:cs="Arial"/>
          <w:b/>
          <w:sz w:val="22"/>
          <w:szCs w:val="22"/>
        </w:rPr>
      </w:pPr>
      <w:r w:rsidRPr="002C494A">
        <w:rPr>
          <w:rFonts w:cs="Arial"/>
          <w:sz w:val="22"/>
          <w:szCs w:val="22"/>
        </w:rPr>
        <w:tab/>
      </w:r>
      <w:r w:rsidRPr="002C494A">
        <w:rPr>
          <w:rFonts w:cs="Arial"/>
          <w:sz w:val="22"/>
          <w:szCs w:val="22"/>
        </w:rPr>
        <w:tab/>
      </w:r>
      <w:r w:rsidR="00DC3F55" w:rsidRPr="002C494A">
        <w:rPr>
          <w:rFonts w:cs="Arial"/>
          <w:sz w:val="22"/>
          <w:szCs w:val="22"/>
        </w:rPr>
        <w:t xml:space="preserve">Downside risks currently include: </w:t>
      </w:r>
    </w:p>
    <w:p w:rsidR="00A36DBD" w:rsidRPr="002C494A" w:rsidRDefault="00A36DBD" w:rsidP="00851E27">
      <w:pPr>
        <w:tabs>
          <w:tab w:val="num" w:pos="709"/>
        </w:tabs>
        <w:ind w:left="851" w:hanging="851"/>
        <w:rPr>
          <w:rFonts w:cs="Arial"/>
          <w:sz w:val="22"/>
          <w:szCs w:val="22"/>
        </w:rPr>
      </w:pPr>
    </w:p>
    <w:p w:rsidR="00C21C08" w:rsidRPr="002C494A" w:rsidRDefault="00C21C08" w:rsidP="00851E27">
      <w:pPr>
        <w:numPr>
          <w:ilvl w:val="0"/>
          <w:numId w:val="27"/>
        </w:numPr>
        <w:ind w:left="1418" w:firstLine="0"/>
        <w:jc w:val="both"/>
        <w:rPr>
          <w:rFonts w:cs="Arial"/>
          <w:color w:val="0D0D0D"/>
          <w:spacing w:val="-5"/>
          <w:sz w:val="22"/>
          <w:szCs w:val="22"/>
        </w:rPr>
      </w:pPr>
      <w:r w:rsidRPr="002C494A">
        <w:rPr>
          <w:rFonts w:cs="Arial"/>
          <w:color w:val="0D0D0D"/>
          <w:spacing w:val="-5"/>
          <w:sz w:val="22"/>
          <w:szCs w:val="22"/>
        </w:rPr>
        <w:t>Monetary policy action reaching its limit of effectiveness and failing to stimulate significant sustainable growth, combat the threat of deflation and reduce high levels of debt in some major developed economies, combined with a lack of adequate action from national governments to promote growth through structural reforms, fiscal policy and investment expenditure.</w:t>
      </w:r>
    </w:p>
    <w:p w:rsidR="00C21C08" w:rsidRPr="002C494A" w:rsidRDefault="00C21C08" w:rsidP="00851E27">
      <w:pPr>
        <w:ind w:left="1702" w:hanging="851"/>
        <w:jc w:val="both"/>
        <w:rPr>
          <w:rFonts w:cs="Arial"/>
          <w:color w:val="0D0D0D"/>
          <w:spacing w:val="-5"/>
          <w:sz w:val="22"/>
          <w:szCs w:val="22"/>
        </w:rPr>
      </w:pPr>
    </w:p>
    <w:p w:rsidR="00C21C08" w:rsidRPr="002C494A" w:rsidRDefault="00C21C08" w:rsidP="00851E27">
      <w:pPr>
        <w:numPr>
          <w:ilvl w:val="0"/>
          <w:numId w:val="27"/>
        </w:numPr>
        <w:ind w:left="1418" w:firstLine="0"/>
        <w:jc w:val="both"/>
        <w:rPr>
          <w:rFonts w:cs="Arial"/>
          <w:color w:val="0D0D0D"/>
          <w:spacing w:val="-5"/>
          <w:sz w:val="22"/>
          <w:szCs w:val="22"/>
        </w:rPr>
      </w:pPr>
      <w:r w:rsidRPr="002C494A">
        <w:rPr>
          <w:rFonts w:cs="Arial"/>
          <w:color w:val="0D0D0D"/>
          <w:spacing w:val="-5"/>
          <w:sz w:val="22"/>
          <w:szCs w:val="22"/>
        </w:rPr>
        <w:t>Weak capitalisation of some European banks.</w:t>
      </w:r>
    </w:p>
    <w:p w:rsidR="00C21C08" w:rsidRPr="002C494A" w:rsidRDefault="00C21C08" w:rsidP="00851E27">
      <w:pPr>
        <w:ind w:left="1418"/>
        <w:jc w:val="both"/>
        <w:rPr>
          <w:rFonts w:cs="Arial"/>
          <w:color w:val="0D0D0D"/>
          <w:spacing w:val="-5"/>
          <w:sz w:val="22"/>
          <w:szCs w:val="22"/>
        </w:rPr>
      </w:pPr>
    </w:p>
    <w:p w:rsidR="00C21C08" w:rsidRPr="002C494A" w:rsidRDefault="00C21C08" w:rsidP="00851E27">
      <w:pPr>
        <w:numPr>
          <w:ilvl w:val="0"/>
          <w:numId w:val="27"/>
        </w:numPr>
        <w:ind w:left="1418" w:firstLine="0"/>
        <w:jc w:val="both"/>
        <w:rPr>
          <w:rFonts w:cs="Arial"/>
          <w:color w:val="0D0D0D"/>
          <w:spacing w:val="-5"/>
          <w:sz w:val="22"/>
          <w:szCs w:val="22"/>
        </w:rPr>
      </w:pPr>
      <w:r w:rsidRPr="002C494A">
        <w:rPr>
          <w:rFonts w:cs="Arial"/>
          <w:color w:val="0D0D0D"/>
          <w:spacing w:val="-5"/>
          <w:sz w:val="22"/>
          <w:szCs w:val="22"/>
        </w:rPr>
        <w:t>A resurgence of the Eurozone sovereign debt crisis.</w:t>
      </w:r>
    </w:p>
    <w:p w:rsidR="00C21C08" w:rsidRPr="002C494A" w:rsidRDefault="00C21C08" w:rsidP="00851E27">
      <w:pPr>
        <w:ind w:left="1418"/>
        <w:jc w:val="both"/>
        <w:rPr>
          <w:rFonts w:cs="Arial"/>
          <w:color w:val="0D0D0D"/>
          <w:spacing w:val="-5"/>
          <w:sz w:val="22"/>
          <w:szCs w:val="22"/>
        </w:rPr>
      </w:pPr>
    </w:p>
    <w:p w:rsidR="00C21C08" w:rsidRPr="002C494A" w:rsidRDefault="00C21C08" w:rsidP="00851E27">
      <w:pPr>
        <w:numPr>
          <w:ilvl w:val="0"/>
          <w:numId w:val="27"/>
        </w:numPr>
        <w:ind w:left="1418" w:firstLine="0"/>
        <w:jc w:val="both"/>
        <w:rPr>
          <w:rFonts w:cs="Arial"/>
          <w:color w:val="0D0D0D"/>
          <w:spacing w:val="-5"/>
          <w:sz w:val="22"/>
          <w:szCs w:val="22"/>
        </w:rPr>
      </w:pPr>
      <w:r w:rsidRPr="002C494A">
        <w:rPr>
          <w:rFonts w:cs="Arial"/>
          <w:color w:val="0D0D0D"/>
          <w:spacing w:val="-5"/>
          <w:sz w:val="22"/>
          <w:szCs w:val="22"/>
        </w:rPr>
        <w:t>Geopolitical risks in Europe, the Middle East and Asia, increasing safe haven flows.</w:t>
      </w:r>
    </w:p>
    <w:p w:rsidR="00C21C08" w:rsidRPr="002C494A" w:rsidRDefault="00C21C08" w:rsidP="00851E27">
      <w:pPr>
        <w:ind w:left="1418"/>
        <w:jc w:val="both"/>
        <w:rPr>
          <w:rFonts w:cs="Arial"/>
          <w:color w:val="0D0D0D"/>
          <w:spacing w:val="-5"/>
          <w:sz w:val="22"/>
          <w:szCs w:val="22"/>
        </w:rPr>
      </w:pPr>
      <w:r w:rsidRPr="002C494A">
        <w:rPr>
          <w:rFonts w:cs="Arial"/>
          <w:color w:val="0D0D0D"/>
          <w:spacing w:val="-5"/>
          <w:sz w:val="22"/>
          <w:szCs w:val="22"/>
        </w:rPr>
        <w:t xml:space="preserve"> </w:t>
      </w:r>
    </w:p>
    <w:p w:rsidR="00C21C08" w:rsidRPr="002C494A" w:rsidRDefault="00C21C08" w:rsidP="00851E27">
      <w:pPr>
        <w:numPr>
          <w:ilvl w:val="0"/>
          <w:numId w:val="27"/>
        </w:numPr>
        <w:ind w:left="1418" w:firstLine="0"/>
        <w:jc w:val="both"/>
        <w:rPr>
          <w:rFonts w:cs="Arial"/>
          <w:color w:val="0D0D0D"/>
          <w:spacing w:val="-5"/>
          <w:sz w:val="22"/>
          <w:szCs w:val="22"/>
        </w:rPr>
      </w:pPr>
      <w:r w:rsidRPr="002C494A">
        <w:rPr>
          <w:rFonts w:cs="Arial"/>
          <w:color w:val="0D0D0D"/>
          <w:spacing w:val="-5"/>
          <w:sz w:val="22"/>
          <w:szCs w:val="22"/>
        </w:rPr>
        <w:t xml:space="preserve">Emerging country economies, currencies and corporates destabilised by falling commodity prices and / or Fed. </w:t>
      </w:r>
      <w:proofErr w:type="gramStart"/>
      <w:r w:rsidRPr="002C494A">
        <w:rPr>
          <w:rFonts w:cs="Arial"/>
          <w:color w:val="0D0D0D"/>
          <w:spacing w:val="-5"/>
          <w:sz w:val="22"/>
          <w:szCs w:val="22"/>
        </w:rPr>
        <w:t>rate</w:t>
      </w:r>
      <w:proofErr w:type="gramEnd"/>
      <w:r w:rsidRPr="002C494A">
        <w:rPr>
          <w:rFonts w:cs="Arial"/>
          <w:color w:val="0D0D0D"/>
          <w:spacing w:val="-5"/>
          <w:sz w:val="22"/>
          <w:szCs w:val="22"/>
        </w:rPr>
        <w:t xml:space="preserve"> increases, causing a further flight to safe havens (bonds).</w:t>
      </w:r>
    </w:p>
    <w:p w:rsidR="00C21C08" w:rsidRPr="002C494A" w:rsidRDefault="00C21C08" w:rsidP="00851E27">
      <w:pPr>
        <w:ind w:left="1418"/>
        <w:jc w:val="both"/>
        <w:rPr>
          <w:rFonts w:cs="Arial"/>
          <w:color w:val="0D0D0D"/>
          <w:spacing w:val="-5"/>
          <w:sz w:val="22"/>
          <w:szCs w:val="22"/>
        </w:rPr>
      </w:pPr>
    </w:p>
    <w:p w:rsidR="00C21C08" w:rsidRPr="002C494A" w:rsidRDefault="00C21C08" w:rsidP="00851E27">
      <w:pPr>
        <w:numPr>
          <w:ilvl w:val="0"/>
          <w:numId w:val="27"/>
        </w:numPr>
        <w:ind w:left="1418" w:firstLine="0"/>
        <w:jc w:val="both"/>
        <w:rPr>
          <w:rFonts w:cs="Arial"/>
          <w:color w:val="0D0D0D"/>
          <w:spacing w:val="-5"/>
          <w:sz w:val="22"/>
          <w:szCs w:val="22"/>
        </w:rPr>
      </w:pPr>
      <w:r w:rsidRPr="002C494A">
        <w:rPr>
          <w:rFonts w:cs="Arial"/>
          <w:color w:val="0D0D0D"/>
          <w:spacing w:val="-5"/>
          <w:sz w:val="22"/>
          <w:szCs w:val="22"/>
        </w:rPr>
        <w:t>UK economic growth and increases in inflation are weaker than we currently anticipate.</w:t>
      </w:r>
    </w:p>
    <w:p w:rsidR="00C21C08" w:rsidRPr="002C494A" w:rsidRDefault="00C21C08" w:rsidP="00851E27">
      <w:pPr>
        <w:ind w:left="1418"/>
        <w:jc w:val="both"/>
        <w:rPr>
          <w:rFonts w:cs="Arial"/>
          <w:color w:val="0D0D0D"/>
          <w:spacing w:val="-5"/>
          <w:sz w:val="22"/>
          <w:szCs w:val="22"/>
        </w:rPr>
      </w:pPr>
    </w:p>
    <w:p w:rsidR="00C21C08" w:rsidRPr="002C494A" w:rsidRDefault="00C21C08" w:rsidP="00851E27">
      <w:pPr>
        <w:numPr>
          <w:ilvl w:val="0"/>
          <w:numId w:val="27"/>
        </w:numPr>
        <w:ind w:left="1418" w:firstLine="0"/>
        <w:jc w:val="both"/>
        <w:rPr>
          <w:rFonts w:cs="Arial"/>
          <w:color w:val="0D0D0D"/>
          <w:spacing w:val="-5"/>
          <w:sz w:val="22"/>
          <w:szCs w:val="22"/>
        </w:rPr>
      </w:pPr>
      <w:r w:rsidRPr="002C494A">
        <w:rPr>
          <w:rFonts w:cs="Arial"/>
          <w:color w:val="0D0D0D"/>
          <w:spacing w:val="-5"/>
          <w:sz w:val="22"/>
          <w:szCs w:val="22"/>
        </w:rPr>
        <w:t xml:space="preserve">Weak growth or recession in the UK’s main trading partners - the EU and US. </w:t>
      </w:r>
    </w:p>
    <w:p w:rsidR="00C21C08" w:rsidRPr="002C494A" w:rsidRDefault="00C21C08" w:rsidP="00851E27">
      <w:pPr>
        <w:ind w:left="1418"/>
        <w:jc w:val="both"/>
        <w:rPr>
          <w:rFonts w:cs="Arial"/>
          <w:color w:val="0D0D0D"/>
          <w:spacing w:val="-5"/>
          <w:sz w:val="22"/>
          <w:szCs w:val="22"/>
        </w:rPr>
      </w:pPr>
    </w:p>
    <w:p w:rsidR="00A723BC" w:rsidRPr="002C494A" w:rsidRDefault="007D393F" w:rsidP="00851E27">
      <w:pPr>
        <w:tabs>
          <w:tab w:val="num" w:pos="709"/>
        </w:tabs>
        <w:ind w:left="851" w:hanging="851"/>
        <w:rPr>
          <w:rStyle w:val="CharChar"/>
          <w:rFonts w:ascii="Arial" w:hAnsi="Arial" w:cs="Arial"/>
          <w:bCs w:val="0"/>
          <w:i/>
          <w:sz w:val="22"/>
          <w:szCs w:val="22"/>
        </w:rPr>
      </w:pPr>
      <w:r w:rsidRPr="002C494A">
        <w:rPr>
          <w:rFonts w:cs="Arial"/>
          <w:sz w:val="22"/>
          <w:szCs w:val="22"/>
        </w:rPr>
        <w:t>2.6</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Pr="002C494A">
        <w:rPr>
          <w:rFonts w:cs="Arial"/>
          <w:i/>
          <w:sz w:val="22"/>
          <w:szCs w:val="22"/>
        </w:rPr>
        <w:t>T</w:t>
      </w:r>
      <w:r w:rsidR="00A723BC" w:rsidRPr="002C494A">
        <w:rPr>
          <w:rStyle w:val="CharChar"/>
          <w:rFonts w:ascii="Arial" w:hAnsi="Arial" w:cs="Arial"/>
          <w:b w:val="0"/>
          <w:i/>
          <w:sz w:val="22"/>
          <w:szCs w:val="22"/>
        </w:rPr>
        <w:t>he Council’s Capital Position (Prudential Indicators)</w:t>
      </w:r>
    </w:p>
    <w:p w:rsidR="003F420A" w:rsidRPr="002C494A" w:rsidRDefault="003F420A" w:rsidP="00851E27">
      <w:pPr>
        <w:tabs>
          <w:tab w:val="num" w:pos="709"/>
        </w:tabs>
        <w:ind w:left="851" w:hanging="851"/>
        <w:rPr>
          <w:rFonts w:cs="Arial"/>
          <w:sz w:val="22"/>
          <w:szCs w:val="22"/>
        </w:rPr>
      </w:pPr>
    </w:p>
    <w:p w:rsidR="00A723BC" w:rsidRPr="002C494A" w:rsidRDefault="003F420A" w:rsidP="004E3AE0">
      <w:pPr>
        <w:tabs>
          <w:tab w:val="num" w:pos="709"/>
        </w:tabs>
        <w:ind w:left="851" w:hanging="851"/>
        <w:jc w:val="both"/>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A723BC" w:rsidRPr="002C494A">
        <w:rPr>
          <w:rFonts w:cs="Arial"/>
          <w:sz w:val="22"/>
          <w:szCs w:val="22"/>
        </w:rPr>
        <w:t>The Council’s capital expenditure plans are one of the key drivers of treasury management activity. The outputs of the capital expenditure plans are reflected in prudential indicators, which are designed to assist members’ overview and confirm capital expenditure plans.</w:t>
      </w:r>
    </w:p>
    <w:p w:rsidR="003F420A" w:rsidRPr="002C494A" w:rsidRDefault="003F420A" w:rsidP="004E3AE0">
      <w:pPr>
        <w:tabs>
          <w:tab w:val="num" w:pos="709"/>
        </w:tabs>
        <w:ind w:left="851" w:hanging="851"/>
        <w:jc w:val="both"/>
        <w:rPr>
          <w:rFonts w:cs="Arial"/>
          <w:sz w:val="22"/>
          <w:szCs w:val="22"/>
        </w:rPr>
      </w:pPr>
    </w:p>
    <w:p w:rsidR="00A723BC" w:rsidRPr="002C494A" w:rsidRDefault="003F420A" w:rsidP="004E3AE0">
      <w:pPr>
        <w:tabs>
          <w:tab w:val="num" w:pos="709"/>
        </w:tabs>
        <w:ind w:left="851" w:hanging="851"/>
        <w:jc w:val="both"/>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A723BC" w:rsidRPr="002C494A">
        <w:rPr>
          <w:rFonts w:cs="Arial"/>
          <w:sz w:val="22"/>
          <w:szCs w:val="22"/>
        </w:rPr>
        <w:t>The capital expenditure plans are financed in fu</w:t>
      </w:r>
      <w:r w:rsidR="00270811" w:rsidRPr="002C494A">
        <w:rPr>
          <w:rFonts w:cs="Arial"/>
          <w:sz w:val="22"/>
          <w:szCs w:val="22"/>
        </w:rPr>
        <w:t xml:space="preserve">ll by capital receipts, </w:t>
      </w:r>
      <w:r w:rsidR="00A723BC" w:rsidRPr="002C494A">
        <w:rPr>
          <w:rFonts w:cs="Arial"/>
          <w:sz w:val="22"/>
          <w:szCs w:val="22"/>
        </w:rPr>
        <w:t>grants or capital reserves. Over the next three years there are no planned shortfalls of resources which would resul</w:t>
      </w:r>
      <w:r w:rsidR="00270811" w:rsidRPr="002C494A">
        <w:rPr>
          <w:rFonts w:cs="Arial"/>
          <w:sz w:val="22"/>
          <w:szCs w:val="22"/>
        </w:rPr>
        <w:t>t in a funding need (borrowing).</w:t>
      </w:r>
      <w:r w:rsidR="00A723BC" w:rsidRPr="002C494A">
        <w:rPr>
          <w:rFonts w:cs="Arial"/>
          <w:sz w:val="22"/>
          <w:szCs w:val="22"/>
        </w:rPr>
        <w:t xml:space="preserve"> </w:t>
      </w:r>
      <w:r w:rsidR="00270811" w:rsidRPr="002C494A">
        <w:rPr>
          <w:rFonts w:cs="Arial"/>
          <w:sz w:val="22"/>
          <w:szCs w:val="22"/>
        </w:rPr>
        <w:t xml:space="preserve">The Council is </w:t>
      </w:r>
      <w:r w:rsidRPr="002C494A">
        <w:rPr>
          <w:rFonts w:cs="Arial"/>
          <w:sz w:val="22"/>
          <w:szCs w:val="22"/>
        </w:rPr>
        <w:t xml:space="preserve">currently </w:t>
      </w:r>
      <w:r w:rsidR="00270811" w:rsidRPr="002C494A">
        <w:rPr>
          <w:rFonts w:cs="Arial"/>
          <w:sz w:val="22"/>
          <w:szCs w:val="22"/>
        </w:rPr>
        <w:t xml:space="preserve">debt </w:t>
      </w:r>
      <w:r w:rsidR="003378A9" w:rsidRPr="002C494A">
        <w:rPr>
          <w:rFonts w:cs="Arial"/>
          <w:sz w:val="22"/>
          <w:szCs w:val="22"/>
        </w:rPr>
        <w:t>free;</w:t>
      </w:r>
      <w:r w:rsidR="00270811" w:rsidRPr="002C494A">
        <w:rPr>
          <w:rFonts w:cs="Arial"/>
          <w:sz w:val="22"/>
          <w:szCs w:val="22"/>
        </w:rPr>
        <w:t xml:space="preserve"> </w:t>
      </w:r>
      <w:r w:rsidR="00A723BC" w:rsidRPr="002C494A">
        <w:rPr>
          <w:rFonts w:cs="Arial"/>
          <w:sz w:val="22"/>
          <w:szCs w:val="22"/>
        </w:rPr>
        <w:t xml:space="preserve">however a major project in South Oxhey is </w:t>
      </w:r>
      <w:r w:rsidR="0083576F" w:rsidRPr="002C494A">
        <w:rPr>
          <w:rFonts w:cs="Arial"/>
          <w:sz w:val="22"/>
          <w:szCs w:val="22"/>
        </w:rPr>
        <w:t>in the planning stage</w:t>
      </w:r>
      <w:r w:rsidR="00270811" w:rsidRPr="002C494A">
        <w:rPr>
          <w:rFonts w:cs="Arial"/>
          <w:sz w:val="22"/>
          <w:szCs w:val="22"/>
        </w:rPr>
        <w:t xml:space="preserve"> and may require </w:t>
      </w:r>
      <w:r w:rsidR="00A723BC" w:rsidRPr="002C494A">
        <w:rPr>
          <w:rFonts w:cs="Arial"/>
          <w:sz w:val="22"/>
          <w:szCs w:val="22"/>
        </w:rPr>
        <w:t>significant funding and involve borrowing funds</w:t>
      </w:r>
      <w:r w:rsidR="00270811" w:rsidRPr="002C494A">
        <w:rPr>
          <w:rFonts w:cs="Arial"/>
          <w:sz w:val="22"/>
          <w:szCs w:val="22"/>
        </w:rPr>
        <w:t>.</w:t>
      </w:r>
      <w:r w:rsidR="00A723BC" w:rsidRPr="002C494A">
        <w:rPr>
          <w:rFonts w:cs="Arial"/>
          <w:sz w:val="22"/>
          <w:szCs w:val="22"/>
        </w:rPr>
        <w:t xml:space="preserve"> </w:t>
      </w:r>
    </w:p>
    <w:p w:rsidR="003F420A" w:rsidRPr="002C494A" w:rsidRDefault="003F420A" w:rsidP="00851E27">
      <w:pPr>
        <w:tabs>
          <w:tab w:val="num" w:pos="709"/>
        </w:tabs>
        <w:ind w:left="851" w:hanging="851"/>
        <w:rPr>
          <w:rFonts w:cs="Arial"/>
          <w:sz w:val="22"/>
          <w:szCs w:val="22"/>
        </w:rPr>
      </w:pPr>
    </w:p>
    <w:p w:rsidR="00A723BC" w:rsidRPr="002C494A" w:rsidRDefault="003F420A" w:rsidP="00851E27">
      <w:pPr>
        <w:tabs>
          <w:tab w:val="num" w:pos="709"/>
        </w:tabs>
        <w:ind w:left="851" w:hanging="851"/>
        <w:rPr>
          <w:rFonts w:cs="Arial"/>
          <w:sz w:val="22"/>
          <w:szCs w:val="22"/>
        </w:rPr>
      </w:pPr>
      <w:r w:rsidRPr="002C494A">
        <w:rPr>
          <w:rFonts w:cs="Arial"/>
          <w:sz w:val="22"/>
          <w:szCs w:val="22"/>
        </w:rPr>
        <w:t>2.7</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A723BC" w:rsidRPr="002C494A">
        <w:rPr>
          <w:rFonts w:cs="Arial"/>
          <w:i/>
          <w:sz w:val="22"/>
          <w:szCs w:val="22"/>
        </w:rPr>
        <w:t>Capital Financing Requirement (CFR), External Debt and Operational Boundary</w:t>
      </w:r>
    </w:p>
    <w:p w:rsidR="003F420A" w:rsidRPr="002C494A" w:rsidRDefault="003F420A" w:rsidP="00851E27">
      <w:pPr>
        <w:tabs>
          <w:tab w:val="num" w:pos="709"/>
        </w:tabs>
        <w:ind w:left="851" w:hanging="851"/>
        <w:rPr>
          <w:rFonts w:cs="Arial"/>
          <w:b/>
          <w:sz w:val="22"/>
          <w:szCs w:val="22"/>
        </w:rPr>
      </w:pPr>
    </w:p>
    <w:p w:rsidR="00A723BC" w:rsidRDefault="003F420A" w:rsidP="00851E27">
      <w:pPr>
        <w:tabs>
          <w:tab w:val="num" w:pos="709"/>
        </w:tabs>
        <w:ind w:left="851" w:hanging="851"/>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A723BC" w:rsidRPr="002C494A">
        <w:rPr>
          <w:rFonts w:cs="Arial"/>
          <w:sz w:val="22"/>
          <w:szCs w:val="22"/>
        </w:rPr>
        <w:t>The CFR and Operational Boundary estimates are shown below:</w:t>
      </w:r>
    </w:p>
    <w:p w:rsidR="002C494A" w:rsidRDefault="002C494A" w:rsidP="00851E27">
      <w:pPr>
        <w:tabs>
          <w:tab w:val="num" w:pos="709"/>
        </w:tabs>
        <w:ind w:left="851" w:hanging="851"/>
        <w:rPr>
          <w:rFonts w:cs="Arial"/>
          <w:sz w:val="22"/>
          <w:szCs w:val="22"/>
        </w:rPr>
      </w:pPr>
    </w:p>
    <w:p w:rsidR="002C494A" w:rsidRDefault="002C494A" w:rsidP="00851E27">
      <w:pPr>
        <w:tabs>
          <w:tab w:val="num" w:pos="709"/>
        </w:tabs>
        <w:ind w:left="851" w:hanging="851"/>
        <w:rPr>
          <w:rFonts w:cs="Arial"/>
          <w:sz w:val="22"/>
          <w:szCs w:val="22"/>
        </w:rPr>
      </w:pPr>
    </w:p>
    <w:p w:rsidR="002C494A" w:rsidRDefault="002C494A" w:rsidP="00851E27">
      <w:pPr>
        <w:tabs>
          <w:tab w:val="num" w:pos="709"/>
        </w:tabs>
        <w:ind w:left="851" w:hanging="851"/>
        <w:rPr>
          <w:rFonts w:cs="Arial"/>
          <w:sz w:val="22"/>
          <w:szCs w:val="22"/>
        </w:rPr>
      </w:pPr>
    </w:p>
    <w:p w:rsidR="002C494A" w:rsidRDefault="002C494A" w:rsidP="00851E27">
      <w:pPr>
        <w:tabs>
          <w:tab w:val="num" w:pos="709"/>
        </w:tabs>
        <w:ind w:left="851" w:hanging="851"/>
        <w:rPr>
          <w:rFonts w:cs="Arial"/>
          <w:sz w:val="22"/>
          <w:szCs w:val="22"/>
        </w:rPr>
      </w:pPr>
    </w:p>
    <w:p w:rsidR="002C494A" w:rsidRPr="002C494A" w:rsidRDefault="002C494A" w:rsidP="00851E27">
      <w:pPr>
        <w:tabs>
          <w:tab w:val="num" w:pos="709"/>
        </w:tabs>
        <w:ind w:left="851" w:hanging="851"/>
        <w:rPr>
          <w:rFonts w:cs="Arial"/>
          <w:b/>
          <w:sz w:val="22"/>
          <w:szCs w:val="22"/>
        </w:rPr>
      </w:pPr>
    </w:p>
    <w:p w:rsidR="00851E27" w:rsidRPr="002C494A" w:rsidRDefault="00851E27" w:rsidP="00851E27">
      <w:pPr>
        <w:pStyle w:val="BodyText"/>
        <w:ind w:left="851" w:hanging="851"/>
        <w:rPr>
          <w:rFonts w:cs="Arial"/>
          <w:b/>
          <w:bCs/>
          <w:szCs w:val="22"/>
        </w:rPr>
      </w:pPr>
    </w:p>
    <w:tbl>
      <w:tblPr>
        <w:tblpPr w:leftFromText="180" w:rightFromText="180" w:vertAnchor="text" w:horzAnchor="margin" w:tblpXSpec="right" w:tblpY="48"/>
        <w:tblW w:w="82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66"/>
        <w:gridCol w:w="1682"/>
        <w:gridCol w:w="1869"/>
        <w:gridCol w:w="1591"/>
      </w:tblGrid>
      <w:tr w:rsidR="00A723BC" w:rsidRPr="002C494A" w:rsidTr="003F420A">
        <w:trPr>
          <w:trHeight w:val="833"/>
        </w:trPr>
        <w:tc>
          <w:tcPr>
            <w:tcW w:w="3066" w:type="dxa"/>
            <w:shd w:val="clear" w:color="auto" w:fill="B3B3B3"/>
            <w:vAlign w:val="bottom"/>
          </w:tcPr>
          <w:p w:rsidR="00A723BC" w:rsidRPr="002C494A" w:rsidRDefault="00A723BC" w:rsidP="00851E27">
            <w:pPr>
              <w:pStyle w:val="BodyText"/>
              <w:ind w:left="851" w:hanging="851"/>
              <w:rPr>
                <w:rFonts w:cs="Arial"/>
                <w:b/>
                <w:bCs/>
                <w:szCs w:val="22"/>
              </w:rPr>
            </w:pPr>
            <w:r w:rsidRPr="002C494A">
              <w:rPr>
                <w:rFonts w:cs="Arial"/>
                <w:b/>
                <w:bCs/>
                <w:szCs w:val="22"/>
              </w:rPr>
              <w:lastRenderedPageBreak/>
              <w:t>Prudential Indicator</w:t>
            </w:r>
          </w:p>
          <w:p w:rsidR="00A723BC" w:rsidRPr="002C494A" w:rsidRDefault="00A723BC" w:rsidP="00851E27">
            <w:pPr>
              <w:pStyle w:val="BodyText"/>
              <w:ind w:left="851" w:hanging="851"/>
              <w:rPr>
                <w:rFonts w:cs="Arial"/>
                <w:szCs w:val="22"/>
              </w:rPr>
            </w:pPr>
          </w:p>
        </w:tc>
        <w:tc>
          <w:tcPr>
            <w:tcW w:w="1682" w:type="dxa"/>
            <w:shd w:val="clear" w:color="auto" w:fill="B3B3B3"/>
          </w:tcPr>
          <w:p w:rsidR="00A723BC" w:rsidRPr="002C494A" w:rsidRDefault="00C21C08" w:rsidP="00851E27">
            <w:pPr>
              <w:pStyle w:val="BodyText"/>
              <w:ind w:left="851" w:hanging="851"/>
              <w:rPr>
                <w:rFonts w:cs="Arial"/>
                <w:b/>
                <w:bCs/>
                <w:szCs w:val="22"/>
              </w:rPr>
            </w:pPr>
            <w:r w:rsidRPr="002C494A">
              <w:rPr>
                <w:rFonts w:cs="Arial"/>
                <w:b/>
                <w:bCs/>
                <w:szCs w:val="22"/>
              </w:rPr>
              <w:t>2016/17</w:t>
            </w:r>
          </w:p>
          <w:p w:rsidR="00A723BC" w:rsidRPr="002C494A" w:rsidRDefault="00A723BC" w:rsidP="00851E27">
            <w:pPr>
              <w:pStyle w:val="BodyText"/>
              <w:ind w:left="851" w:hanging="851"/>
              <w:rPr>
                <w:rFonts w:cs="Arial"/>
                <w:b/>
                <w:bCs/>
                <w:szCs w:val="22"/>
              </w:rPr>
            </w:pPr>
            <w:r w:rsidRPr="002C494A">
              <w:rPr>
                <w:rFonts w:cs="Arial"/>
                <w:b/>
                <w:bCs/>
                <w:szCs w:val="22"/>
              </w:rPr>
              <w:t>Original</w:t>
            </w:r>
          </w:p>
          <w:p w:rsidR="00A723BC" w:rsidRPr="002C494A" w:rsidRDefault="00A723BC" w:rsidP="00851E27">
            <w:pPr>
              <w:pStyle w:val="BodyText"/>
              <w:ind w:left="851" w:hanging="851"/>
              <w:rPr>
                <w:rFonts w:cs="Arial"/>
                <w:b/>
                <w:bCs/>
                <w:szCs w:val="22"/>
              </w:rPr>
            </w:pPr>
            <w:r w:rsidRPr="002C494A">
              <w:rPr>
                <w:rFonts w:cs="Arial"/>
                <w:b/>
                <w:bCs/>
                <w:szCs w:val="22"/>
              </w:rPr>
              <w:t>Estimate</w:t>
            </w:r>
          </w:p>
        </w:tc>
        <w:tc>
          <w:tcPr>
            <w:tcW w:w="1869" w:type="dxa"/>
            <w:tcBorders>
              <w:bottom w:val="single" w:sz="6" w:space="0" w:color="auto"/>
            </w:tcBorders>
            <w:shd w:val="clear" w:color="auto" w:fill="B3B3B3"/>
          </w:tcPr>
          <w:p w:rsidR="00A723BC" w:rsidRPr="002C494A" w:rsidRDefault="00A723BC" w:rsidP="00851E27">
            <w:pPr>
              <w:pStyle w:val="BodyText"/>
              <w:ind w:left="851" w:hanging="851"/>
              <w:rPr>
                <w:rFonts w:cs="Arial"/>
                <w:b/>
                <w:bCs/>
                <w:szCs w:val="22"/>
              </w:rPr>
            </w:pPr>
            <w:r w:rsidRPr="002C494A">
              <w:rPr>
                <w:rFonts w:cs="Arial"/>
                <w:b/>
                <w:bCs/>
                <w:szCs w:val="22"/>
              </w:rPr>
              <w:t>Current Borrowing Position</w:t>
            </w:r>
          </w:p>
        </w:tc>
        <w:tc>
          <w:tcPr>
            <w:tcW w:w="1591" w:type="dxa"/>
            <w:shd w:val="clear" w:color="auto" w:fill="B3B3B3"/>
          </w:tcPr>
          <w:p w:rsidR="00A723BC" w:rsidRPr="002C494A" w:rsidRDefault="00C21C08" w:rsidP="00851E27">
            <w:pPr>
              <w:pStyle w:val="BodyText"/>
              <w:ind w:left="851" w:hanging="851"/>
              <w:rPr>
                <w:rFonts w:cs="Arial"/>
                <w:b/>
                <w:bCs/>
                <w:szCs w:val="22"/>
              </w:rPr>
            </w:pPr>
            <w:r w:rsidRPr="002C494A">
              <w:rPr>
                <w:rFonts w:cs="Arial"/>
                <w:b/>
                <w:bCs/>
                <w:szCs w:val="22"/>
              </w:rPr>
              <w:t>2016/17</w:t>
            </w:r>
          </w:p>
          <w:p w:rsidR="00A723BC" w:rsidRPr="002C494A" w:rsidRDefault="00A723BC" w:rsidP="00851E27">
            <w:pPr>
              <w:pStyle w:val="BodyText"/>
              <w:ind w:left="851" w:hanging="851"/>
              <w:rPr>
                <w:rFonts w:cs="Arial"/>
                <w:b/>
                <w:bCs/>
                <w:szCs w:val="22"/>
              </w:rPr>
            </w:pPr>
            <w:r w:rsidRPr="002C494A">
              <w:rPr>
                <w:rFonts w:cs="Arial"/>
                <w:b/>
                <w:bCs/>
                <w:szCs w:val="22"/>
              </w:rPr>
              <w:t>Revised</w:t>
            </w:r>
          </w:p>
          <w:p w:rsidR="00A723BC" w:rsidRPr="002C494A" w:rsidRDefault="00A723BC" w:rsidP="00851E27">
            <w:pPr>
              <w:pStyle w:val="BodyText"/>
              <w:ind w:left="851" w:hanging="851"/>
              <w:rPr>
                <w:rFonts w:cs="Arial"/>
                <w:b/>
                <w:bCs/>
                <w:szCs w:val="22"/>
              </w:rPr>
            </w:pPr>
            <w:r w:rsidRPr="002C494A">
              <w:rPr>
                <w:rFonts w:cs="Arial"/>
                <w:b/>
                <w:bCs/>
                <w:szCs w:val="22"/>
              </w:rPr>
              <w:t>Estimate</w:t>
            </w:r>
          </w:p>
        </w:tc>
      </w:tr>
      <w:tr w:rsidR="00A723BC" w:rsidRPr="002C494A" w:rsidTr="003F420A">
        <w:trPr>
          <w:trHeight w:val="267"/>
        </w:trPr>
        <w:tc>
          <w:tcPr>
            <w:tcW w:w="3066" w:type="dxa"/>
          </w:tcPr>
          <w:p w:rsidR="00A723BC" w:rsidRPr="002C494A" w:rsidRDefault="00A723BC" w:rsidP="00851E27">
            <w:pPr>
              <w:pStyle w:val="BodyText"/>
              <w:ind w:left="851" w:hanging="851"/>
              <w:rPr>
                <w:rFonts w:cs="Arial"/>
                <w:b/>
                <w:szCs w:val="22"/>
              </w:rPr>
            </w:pPr>
            <w:r w:rsidRPr="002C494A">
              <w:rPr>
                <w:rFonts w:cs="Arial"/>
                <w:b/>
                <w:bCs/>
                <w:szCs w:val="22"/>
              </w:rPr>
              <w:t>Capital Financing Requirement</w:t>
            </w:r>
          </w:p>
        </w:tc>
        <w:tc>
          <w:tcPr>
            <w:tcW w:w="1682" w:type="dxa"/>
          </w:tcPr>
          <w:p w:rsidR="00A723BC" w:rsidRPr="002C494A" w:rsidRDefault="00A723BC" w:rsidP="00851E27">
            <w:pPr>
              <w:pStyle w:val="BodyText"/>
              <w:ind w:left="851" w:hanging="851"/>
              <w:rPr>
                <w:rFonts w:cs="Arial"/>
                <w:szCs w:val="22"/>
              </w:rPr>
            </w:pPr>
          </w:p>
          <w:p w:rsidR="00A723BC" w:rsidRPr="002C494A" w:rsidRDefault="00A723BC" w:rsidP="00851E27">
            <w:pPr>
              <w:pStyle w:val="BodyText"/>
              <w:ind w:left="851" w:hanging="851"/>
              <w:rPr>
                <w:rFonts w:cs="Arial"/>
                <w:szCs w:val="22"/>
              </w:rPr>
            </w:pPr>
            <w:r w:rsidRPr="002C494A">
              <w:rPr>
                <w:rFonts w:cs="Arial"/>
                <w:szCs w:val="22"/>
              </w:rPr>
              <w:t>£0m</w:t>
            </w:r>
          </w:p>
        </w:tc>
        <w:tc>
          <w:tcPr>
            <w:tcW w:w="1869" w:type="dxa"/>
            <w:tcBorders>
              <w:top w:val="single" w:sz="6" w:space="0" w:color="auto"/>
              <w:bottom w:val="single" w:sz="6" w:space="0" w:color="auto"/>
            </w:tcBorders>
            <w:shd w:val="clear" w:color="auto" w:fill="auto"/>
          </w:tcPr>
          <w:p w:rsidR="00A723BC" w:rsidRPr="002C494A" w:rsidRDefault="00A723BC" w:rsidP="00851E27">
            <w:pPr>
              <w:pStyle w:val="BodyText"/>
              <w:ind w:left="851" w:hanging="851"/>
              <w:rPr>
                <w:rFonts w:cs="Arial"/>
                <w:szCs w:val="22"/>
              </w:rPr>
            </w:pPr>
          </w:p>
          <w:p w:rsidR="00A723BC" w:rsidRPr="002C494A" w:rsidRDefault="00A723BC" w:rsidP="00851E27">
            <w:pPr>
              <w:pStyle w:val="BodyText"/>
              <w:ind w:left="851" w:hanging="851"/>
              <w:rPr>
                <w:rFonts w:cs="Arial"/>
                <w:szCs w:val="22"/>
              </w:rPr>
            </w:pPr>
            <w:r w:rsidRPr="002C494A">
              <w:rPr>
                <w:rFonts w:cs="Arial"/>
                <w:szCs w:val="22"/>
              </w:rPr>
              <w:t>£0m</w:t>
            </w:r>
          </w:p>
        </w:tc>
        <w:tc>
          <w:tcPr>
            <w:tcW w:w="1591" w:type="dxa"/>
          </w:tcPr>
          <w:p w:rsidR="00A723BC" w:rsidRPr="002C494A" w:rsidRDefault="00A723BC" w:rsidP="00851E27">
            <w:pPr>
              <w:pStyle w:val="BodyText"/>
              <w:ind w:left="851" w:hanging="851"/>
              <w:rPr>
                <w:rFonts w:cs="Arial"/>
                <w:szCs w:val="22"/>
              </w:rPr>
            </w:pPr>
          </w:p>
          <w:p w:rsidR="00A723BC" w:rsidRPr="002C494A" w:rsidRDefault="00A723BC" w:rsidP="00851E27">
            <w:pPr>
              <w:pStyle w:val="BodyText"/>
              <w:ind w:left="851" w:hanging="851"/>
              <w:rPr>
                <w:rFonts w:cs="Arial"/>
                <w:szCs w:val="22"/>
              </w:rPr>
            </w:pPr>
            <w:r w:rsidRPr="002C494A">
              <w:rPr>
                <w:rFonts w:cs="Arial"/>
                <w:szCs w:val="22"/>
              </w:rPr>
              <w:t>£0m</w:t>
            </w:r>
          </w:p>
        </w:tc>
      </w:tr>
      <w:tr w:rsidR="00A723BC" w:rsidRPr="002C494A" w:rsidTr="003F420A">
        <w:trPr>
          <w:trHeight w:val="283"/>
        </w:trPr>
        <w:tc>
          <w:tcPr>
            <w:tcW w:w="8208" w:type="dxa"/>
            <w:gridSpan w:val="4"/>
          </w:tcPr>
          <w:p w:rsidR="00A723BC" w:rsidRPr="002C494A" w:rsidRDefault="00A723BC" w:rsidP="00851E27">
            <w:pPr>
              <w:pStyle w:val="BodyText"/>
              <w:ind w:left="851" w:hanging="851"/>
              <w:rPr>
                <w:rFonts w:cs="Arial"/>
                <w:szCs w:val="22"/>
              </w:rPr>
            </w:pPr>
            <w:r w:rsidRPr="002C494A">
              <w:rPr>
                <w:rFonts w:cs="Arial"/>
                <w:b/>
                <w:bCs/>
                <w:szCs w:val="22"/>
              </w:rPr>
              <w:t>External Debt / the Operational Boundary</w:t>
            </w:r>
          </w:p>
        </w:tc>
      </w:tr>
      <w:tr w:rsidR="00A723BC" w:rsidRPr="002C494A" w:rsidTr="003F631D">
        <w:trPr>
          <w:trHeight w:val="65"/>
        </w:trPr>
        <w:tc>
          <w:tcPr>
            <w:tcW w:w="3066" w:type="dxa"/>
          </w:tcPr>
          <w:p w:rsidR="00A723BC" w:rsidRPr="002C494A" w:rsidRDefault="00A723BC" w:rsidP="00851E27">
            <w:pPr>
              <w:ind w:left="851" w:hanging="851"/>
              <w:rPr>
                <w:rFonts w:cs="Arial"/>
                <w:sz w:val="22"/>
                <w:szCs w:val="22"/>
              </w:rPr>
            </w:pPr>
          </w:p>
        </w:tc>
        <w:tc>
          <w:tcPr>
            <w:tcW w:w="1682" w:type="dxa"/>
          </w:tcPr>
          <w:p w:rsidR="00A723BC" w:rsidRPr="002C494A" w:rsidRDefault="00A723BC" w:rsidP="00851E27">
            <w:pPr>
              <w:pStyle w:val="BodyText"/>
              <w:ind w:left="851" w:hanging="851"/>
              <w:rPr>
                <w:rFonts w:cs="Arial"/>
                <w:szCs w:val="22"/>
              </w:rPr>
            </w:pPr>
          </w:p>
        </w:tc>
        <w:tc>
          <w:tcPr>
            <w:tcW w:w="1869" w:type="dxa"/>
          </w:tcPr>
          <w:p w:rsidR="00A723BC" w:rsidRPr="002C494A" w:rsidRDefault="00A723BC" w:rsidP="00851E27">
            <w:pPr>
              <w:pStyle w:val="BodyText"/>
              <w:ind w:left="851" w:hanging="851"/>
              <w:rPr>
                <w:rFonts w:cs="Arial"/>
                <w:szCs w:val="22"/>
              </w:rPr>
            </w:pPr>
          </w:p>
        </w:tc>
        <w:tc>
          <w:tcPr>
            <w:tcW w:w="1591" w:type="dxa"/>
          </w:tcPr>
          <w:p w:rsidR="00A723BC" w:rsidRPr="002C494A" w:rsidRDefault="00A723BC" w:rsidP="00851E27">
            <w:pPr>
              <w:pStyle w:val="BodyText"/>
              <w:ind w:left="851" w:hanging="851"/>
              <w:rPr>
                <w:rFonts w:cs="Arial"/>
                <w:szCs w:val="22"/>
              </w:rPr>
            </w:pPr>
          </w:p>
        </w:tc>
      </w:tr>
      <w:tr w:rsidR="00A723BC" w:rsidRPr="002C494A" w:rsidTr="003F631D">
        <w:trPr>
          <w:trHeight w:val="83"/>
        </w:trPr>
        <w:tc>
          <w:tcPr>
            <w:tcW w:w="3066" w:type="dxa"/>
          </w:tcPr>
          <w:p w:rsidR="00A723BC" w:rsidRPr="002C494A" w:rsidRDefault="00A723BC" w:rsidP="00851E27">
            <w:pPr>
              <w:ind w:left="851" w:hanging="851"/>
              <w:rPr>
                <w:rFonts w:cs="Arial"/>
                <w:sz w:val="22"/>
                <w:szCs w:val="22"/>
              </w:rPr>
            </w:pPr>
            <w:r w:rsidRPr="002C494A">
              <w:rPr>
                <w:rFonts w:cs="Arial"/>
                <w:sz w:val="22"/>
                <w:szCs w:val="22"/>
              </w:rPr>
              <w:t>Borrowing</w:t>
            </w:r>
          </w:p>
        </w:tc>
        <w:tc>
          <w:tcPr>
            <w:tcW w:w="1682" w:type="dxa"/>
          </w:tcPr>
          <w:p w:rsidR="00A723BC" w:rsidRPr="002C494A" w:rsidRDefault="003F631D" w:rsidP="00851E27">
            <w:pPr>
              <w:pStyle w:val="BodyText"/>
              <w:ind w:left="851" w:hanging="851"/>
              <w:rPr>
                <w:rFonts w:cs="Arial"/>
                <w:szCs w:val="22"/>
              </w:rPr>
            </w:pPr>
            <w:r w:rsidRPr="002C494A">
              <w:rPr>
                <w:rFonts w:cs="Arial"/>
                <w:szCs w:val="22"/>
              </w:rPr>
              <w:t>£10</w:t>
            </w:r>
            <w:r w:rsidR="00144542" w:rsidRPr="002C494A">
              <w:rPr>
                <w:rFonts w:cs="Arial"/>
                <w:szCs w:val="22"/>
              </w:rPr>
              <w:t>m</w:t>
            </w:r>
          </w:p>
        </w:tc>
        <w:tc>
          <w:tcPr>
            <w:tcW w:w="1869" w:type="dxa"/>
          </w:tcPr>
          <w:p w:rsidR="00A723BC" w:rsidRPr="002C494A" w:rsidRDefault="002A0A99" w:rsidP="00851E27">
            <w:pPr>
              <w:pStyle w:val="BodyText"/>
              <w:ind w:left="851" w:hanging="851"/>
              <w:rPr>
                <w:rFonts w:cs="Arial"/>
                <w:szCs w:val="22"/>
              </w:rPr>
            </w:pPr>
            <w:r w:rsidRPr="002C494A">
              <w:rPr>
                <w:rFonts w:cs="Arial"/>
                <w:szCs w:val="22"/>
              </w:rPr>
              <w:t>£</w:t>
            </w:r>
            <w:r w:rsidR="003F631D" w:rsidRPr="002C494A">
              <w:rPr>
                <w:rFonts w:cs="Arial"/>
                <w:szCs w:val="22"/>
              </w:rPr>
              <w:t>10</w:t>
            </w:r>
            <w:r w:rsidRPr="002C494A">
              <w:rPr>
                <w:rFonts w:cs="Arial"/>
                <w:szCs w:val="22"/>
              </w:rPr>
              <w:t>m</w:t>
            </w:r>
          </w:p>
        </w:tc>
        <w:tc>
          <w:tcPr>
            <w:tcW w:w="1591" w:type="dxa"/>
          </w:tcPr>
          <w:p w:rsidR="00A723BC" w:rsidRPr="002C494A" w:rsidRDefault="003F631D" w:rsidP="00851E27">
            <w:pPr>
              <w:pStyle w:val="BodyText"/>
              <w:ind w:left="851" w:hanging="851"/>
              <w:rPr>
                <w:rFonts w:cs="Arial"/>
                <w:szCs w:val="22"/>
              </w:rPr>
            </w:pPr>
            <w:r w:rsidRPr="002C494A">
              <w:rPr>
                <w:rFonts w:cs="Arial"/>
                <w:szCs w:val="22"/>
              </w:rPr>
              <w:t>£10m</w:t>
            </w:r>
          </w:p>
        </w:tc>
      </w:tr>
    </w:tbl>
    <w:p w:rsidR="00A723BC" w:rsidRPr="002C494A" w:rsidRDefault="00A723BC" w:rsidP="00851E27">
      <w:pPr>
        <w:pStyle w:val="BodyText"/>
        <w:ind w:left="851" w:hanging="851"/>
        <w:rPr>
          <w:rFonts w:cs="Arial"/>
          <w:b/>
          <w:bCs/>
          <w:szCs w:val="22"/>
        </w:rPr>
      </w:pPr>
    </w:p>
    <w:p w:rsidR="00A723BC" w:rsidRPr="002C494A" w:rsidRDefault="00A723BC"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3F420A" w:rsidRPr="002C494A" w:rsidRDefault="003F420A" w:rsidP="00851E27">
      <w:pPr>
        <w:pStyle w:val="BodyText"/>
        <w:ind w:left="851" w:hanging="851"/>
        <w:rPr>
          <w:rFonts w:cs="Arial"/>
          <w:b/>
          <w:bCs/>
          <w:szCs w:val="22"/>
        </w:rPr>
      </w:pPr>
    </w:p>
    <w:p w:rsidR="006F33CC" w:rsidRPr="002C494A" w:rsidRDefault="006F33CC" w:rsidP="00851E27">
      <w:pPr>
        <w:tabs>
          <w:tab w:val="num" w:pos="709"/>
        </w:tabs>
        <w:ind w:left="851" w:hanging="851"/>
        <w:rPr>
          <w:rFonts w:cs="Arial"/>
          <w:sz w:val="22"/>
          <w:szCs w:val="22"/>
        </w:rPr>
      </w:pPr>
    </w:p>
    <w:p w:rsidR="00A723BC" w:rsidRPr="002C494A" w:rsidRDefault="003F420A" w:rsidP="00851E27">
      <w:pPr>
        <w:tabs>
          <w:tab w:val="num" w:pos="709"/>
        </w:tabs>
        <w:ind w:left="851" w:hanging="851"/>
        <w:rPr>
          <w:rFonts w:cs="Arial"/>
          <w:bCs/>
          <w:i/>
          <w:sz w:val="22"/>
          <w:szCs w:val="22"/>
        </w:rPr>
      </w:pPr>
      <w:r w:rsidRPr="002C494A">
        <w:rPr>
          <w:rFonts w:cs="Arial"/>
          <w:sz w:val="22"/>
          <w:szCs w:val="22"/>
        </w:rPr>
        <w:t>2.8</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A723BC" w:rsidRPr="002C494A">
        <w:rPr>
          <w:rFonts w:cs="Arial"/>
          <w:bCs/>
          <w:i/>
          <w:sz w:val="22"/>
          <w:szCs w:val="22"/>
        </w:rPr>
        <w:t>Limits to Borrowing Activity</w:t>
      </w:r>
    </w:p>
    <w:p w:rsidR="003F420A" w:rsidRPr="002C494A" w:rsidRDefault="003F420A" w:rsidP="00851E27">
      <w:pPr>
        <w:tabs>
          <w:tab w:val="num" w:pos="709"/>
        </w:tabs>
        <w:ind w:left="851" w:hanging="851"/>
        <w:rPr>
          <w:rFonts w:cs="Arial"/>
          <w:bCs/>
          <w:sz w:val="22"/>
          <w:szCs w:val="22"/>
        </w:rPr>
      </w:pPr>
    </w:p>
    <w:p w:rsidR="00A723BC" w:rsidRPr="002C494A" w:rsidRDefault="003F420A" w:rsidP="004E3AE0">
      <w:pPr>
        <w:tabs>
          <w:tab w:val="num" w:pos="709"/>
        </w:tabs>
        <w:ind w:left="851" w:hanging="851"/>
        <w:jc w:val="both"/>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A723BC" w:rsidRPr="002C494A">
        <w:rPr>
          <w:rFonts w:cs="Arial"/>
          <w:sz w:val="22"/>
          <w:szCs w:val="22"/>
        </w:rPr>
        <w:t xml:space="preserve">The first key control over the treasury activity is a Performance Indicator (PI) to ensure that over the medium term, net borrowing (borrowings less investments) will only be for a capital purpose.  Gross external borrowing should not, except in the short term, exceed the total of CFR in the preceding year plus the estimates of any additional CFR for </w:t>
      </w:r>
      <w:r w:rsidR="00C21C08" w:rsidRPr="002C494A">
        <w:rPr>
          <w:rFonts w:cs="Arial"/>
          <w:sz w:val="22"/>
          <w:szCs w:val="22"/>
        </w:rPr>
        <w:t>2016/17</w:t>
      </w:r>
      <w:r w:rsidR="00A723BC" w:rsidRPr="002C494A">
        <w:rPr>
          <w:rFonts w:cs="Arial"/>
          <w:sz w:val="22"/>
          <w:szCs w:val="22"/>
        </w:rPr>
        <w:t xml:space="preserve"> and next two financial years. This allows some flexibility for limited early borrowing for future years.  The Council has approved a policy for borrowing in advance of need which will be adhered to if this proves prudent.  </w:t>
      </w:r>
    </w:p>
    <w:p w:rsidR="003F420A" w:rsidRPr="002C494A" w:rsidRDefault="003F420A" w:rsidP="00851E27">
      <w:pPr>
        <w:tabs>
          <w:tab w:val="num" w:pos="709"/>
        </w:tabs>
        <w:ind w:left="851" w:hanging="851"/>
        <w:rPr>
          <w:rFonts w:cs="Arial"/>
          <w:sz w:val="22"/>
          <w:szCs w:val="22"/>
        </w:rPr>
      </w:pPr>
    </w:p>
    <w:p w:rsidR="00A723BC" w:rsidRPr="002C494A" w:rsidRDefault="003F420A" w:rsidP="00851E27">
      <w:pPr>
        <w:tabs>
          <w:tab w:val="num" w:pos="709"/>
        </w:tabs>
        <w:ind w:left="851" w:hanging="851"/>
        <w:rPr>
          <w:rFonts w:cs="Arial"/>
          <w:sz w:val="22"/>
          <w:szCs w:val="22"/>
        </w:rPr>
      </w:pPr>
      <w:r w:rsidRPr="002C494A">
        <w:rPr>
          <w:rFonts w:cs="Arial"/>
          <w:sz w:val="22"/>
          <w:szCs w:val="22"/>
        </w:rPr>
        <w:t>2.9</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A723BC" w:rsidRPr="002C494A">
        <w:rPr>
          <w:rFonts w:cs="Arial"/>
          <w:i/>
          <w:sz w:val="22"/>
          <w:szCs w:val="22"/>
        </w:rPr>
        <w:t>The Authorised Limit</w:t>
      </w:r>
      <w:r w:rsidR="00A723BC" w:rsidRPr="002C494A">
        <w:rPr>
          <w:rFonts w:cs="Arial"/>
          <w:sz w:val="22"/>
          <w:szCs w:val="22"/>
        </w:rPr>
        <w:t xml:space="preserve"> </w:t>
      </w:r>
    </w:p>
    <w:p w:rsidR="003F420A" w:rsidRPr="002C494A" w:rsidRDefault="003F420A" w:rsidP="00851E27">
      <w:pPr>
        <w:tabs>
          <w:tab w:val="num" w:pos="709"/>
        </w:tabs>
        <w:ind w:left="851" w:hanging="851"/>
        <w:rPr>
          <w:rFonts w:cs="Arial"/>
          <w:sz w:val="22"/>
          <w:szCs w:val="22"/>
        </w:rPr>
      </w:pPr>
    </w:p>
    <w:p w:rsidR="00A723BC" w:rsidRPr="002C494A" w:rsidRDefault="003F420A" w:rsidP="004E3AE0">
      <w:pPr>
        <w:tabs>
          <w:tab w:val="num" w:pos="709"/>
        </w:tabs>
        <w:ind w:left="851" w:hanging="851"/>
        <w:jc w:val="both"/>
        <w:rPr>
          <w:rFonts w:cs="Arial"/>
          <w:b/>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A723BC" w:rsidRPr="002C494A">
        <w:rPr>
          <w:rFonts w:cs="Arial"/>
          <w:sz w:val="22"/>
          <w:szCs w:val="22"/>
        </w:rPr>
        <w:t xml:space="preserve">This PI, which is required to be set and revised by Members, controls the overall level of borrowing and represents the limit beyond which borrowing is prohibited.  It reflects the level of borrowing which, while not desired, could be afforded in the short term, but is not sustainable in the longer term.  It is the expected maximum borrowing need with some headroom for unexpected movements. </w:t>
      </w:r>
      <w:r w:rsidR="00A723BC" w:rsidRPr="002C494A">
        <w:rPr>
          <w:rFonts w:cs="Arial"/>
          <w:iCs/>
          <w:sz w:val="22"/>
          <w:szCs w:val="22"/>
        </w:rPr>
        <w:t>This is the statutory limit determined under</w:t>
      </w:r>
      <w:r w:rsidR="00A723BC" w:rsidRPr="002C494A">
        <w:rPr>
          <w:rFonts w:cs="Arial"/>
          <w:i/>
          <w:iCs/>
          <w:sz w:val="22"/>
          <w:szCs w:val="22"/>
        </w:rPr>
        <w:t xml:space="preserve"> </w:t>
      </w:r>
      <w:r w:rsidR="00A723BC" w:rsidRPr="002C494A">
        <w:rPr>
          <w:rFonts w:cs="Arial"/>
          <w:iCs/>
          <w:sz w:val="22"/>
          <w:szCs w:val="22"/>
        </w:rPr>
        <w:t>section 3 (1) of the Local Government Act 2003.</w:t>
      </w:r>
      <w:r w:rsidR="00A723BC" w:rsidRPr="002C494A">
        <w:rPr>
          <w:rFonts w:cs="Arial"/>
          <w:i/>
          <w:iCs/>
          <w:sz w:val="22"/>
          <w:szCs w:val="22"/>
        </w:rPr>
        <w:t xml:space="preserve"> </w:t>
      </w:r>
    </w:p>
    <w:p w:rsidR="00926095" w:rsidRPr="002C494A" w:rsidRDefault="00926095" w:rsidP="00851E27">
      <w:pPr>
        <w:autoSpaceDE w:val="0"/>
        <w:autoSpaceDN w:val="0"/>
        <w:adjustRightInd w:val="0"/>
        <w:ind w:left="851" w:hanging="851"/>
        <w:rPr>
          <w:rFonts w:cs="Arial"/>
          <w:i/>
          <w:iCs/>
          <w:sz w:val="22"/>
          <w:szCs w:val="22"/>
        </w:rPr>
      </w:pPr>
    </w:p>
    <w:tbl>
      <w:tblPr>
        <w:tblpPr w:leftFromText="180" w:rightFromText="180" w:vertAnchor="text" w:horzAnchor="margin" w:tblpXSpec="right" w:tblpY="94"/>
        <w:tblW w:w="799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24"/>
        <w:gridCol w:w="1620"/>
        <w:gridCol w:w="1800"/>
        <w:gridCol w:w="2052"/>
      </w:tblGrid>
      <w:tr w:rsidR="00A723BC" w:rsidRPr="002C494A" w:rsidTr="0028593C">
        <w:trPr>
          <w:trHeight w:val="858"/>
        </w:trPr>
        <w:tc>
          <w:tcPr>
            <w:tcW w:w="2524" w:type="dxa"/>
            <w:tcBorders>
              <w:top w:val="single" w:sz="18" w:space="0" w:color="auto"/>
              <w:bottom w:val="single" w:sz="6" w:space="0" w:color="auto"/>
            </w:tcBorders>
            <w:shd w:val="clear" w:color="auto" w:fill="B3B3B3"/>
            <w:vAlign w:val="bottom"/>
          </w:tcPr>
          <w:p w:rsidR="00A723BC" w:rsidRPr="002C494A" w:rsidRDefault="00A723BC" w:rsidP="00851E27">
            <w:pPr>
              <w:pStyle w:val="BodyText"/>
              <w:ind w:left="851" w:hanging="851"/>
              <w:rPr>
                <w:rFonts w:cs="Arial"/>
                <w:b/>
                <w:bCs/>
                <w:szCs w:val="22"/>
              </w:rPr>
            </w:pPr>
            <w:r w:rsidRPr="002C494A">
              <w:rPr>
                <w:rFonts w:cs="Arial"/>
                <w:b/>
                <w:bCs/>
                <w:szCs w:val="22"/>
              </w:rPr>
              <w:t>Authorised Limit For</w:t>
            </w:r>
          </w:p>
          <w:p w:rsidR="00A723BC" w:rsidRPr="002C494A" w:rsidRDefault="00A723BC" w:rsidP="00851E27">
            <w:pPr>
              <w:pStyle w:val="BodyText"/>
              <w:tabs>
                <w:tab w:val="left" w:pos="649"/>
              </w:tabs>
              <w:ind w:left="851" w:hanging="851"/>
              <w:rPr>
                <w:rFonts w:cs="Arial"/>
                <w:b/>
                <w:bCs/>
                <w:szCs w:val="22"/>
              </w:rPr>
            </w:pPr>
            <w:r w:rsidRPr="002C494A">
              <w:rPr>
                <w:rFonts w:cs="Arial"/>
                <w:b/>
                <w:bCs/>
                <w:szCs w:val="22"/>
              </w:rPr>
              <w:t xml:space="preserve"> External Debt</w:t>
            </w:r>
          </w:p>
          <w:p w:rsidR="00A723BC" w:rsidRPr="002C494A" w:rsidRDefault="00A723BC" w:rsidP="00851E27">
            <w:pPr>
              <w:pStyle w:val="BodyText"/>
              <w:ind w:left="851" w:hanging="851"/>
              <w:rPr>
                <w:rFonts w:cs="Arial"/>
                <w:szCs w:val="22"/>
              </w:rPr>
            </w:pPr>
          </w:p>
        </w:tc>
        <w:tc>
          <w:tcPr>
            <w:tcW w:w="1620" w:type="dxa"/>
            <w:tcBorders>
              <w:top w:val="single" w:sz="18" w:space="0" w:color="auto"/>
              <w:bottom w:val="single" w:sz="6" w:space="0" w:color="auto"/>
            </w:tcBorders>
            <w:shd w:val="clear" w:color="auto" w:fill="B3B3B3"/>
          </w:tcPr>
          <w:p w:rsidR="00A723BC" w:rsidRPr="002C494A" w:rsidRDefault="00C21C08" w:rsidP="00851E27">
            <w:pPr>
              <w:pStyle w:val="BodyText"/>
              <w:ind w:left="851" w:hanging="851"/>
              <w:rPr>
                <w:rFonts w:cs="Arial"/>
                <w:b/>
                <w:bCs/>
                <w:szCs w:val="22"/>
              </w:rPr>
            </w:pPr>
            <w:r w:rsidRPr="002C494A">
              <w:rPr>
                <w:rFonts w:cs="Arial"/>
                <w:b/>
                <w:bCs/>
                <w:szCs w:val="22"/>
              </w:rPr>
              <w:t>2016/17</w:t>
            </w:r>
          </w:p>
          <w:p w:rsidR="00A723BC" w:rsidRPr="002C494A" w:rsidRDefault="00A723BC" w:rsidP="00851E27">
            <w:pPr>
              <w:pStyle w:val="BodyText"/>
              <w:ind w:left="851" w:hanging="851"/>
              <w:rPr>
                <w:rFonts w:cs="Arial"/>
                <w:b/>
                <w:bCs/>
                <w:szCs w:val="22"/>
              </w:rPr>
            </w:pPr>
            <w:r w:rsidRPr="002C494A">
              <w:rPr>
                <w:rFonts w:cs="Arial"/>
                <w:b/>
                <w:bCs/>
                <w:szCs w:val="22"/>
              </w:rPr>
              <w:t>Original</w:t>
            </w:r>
          </w:p>
          <w:p w:rsidR="00A723BC" w:rsidRPr="002C494A" w:rsidRDefault="00A723BC" w:rsidP="00851E27">
            <w:pPr>
              <w:pStyle w:val="BodyText"/>
              <w:ind w:left="851" w:hanging="851"/>
              <w:rPr>
                <w:rFonts w:cs="Arial"/>
                <w:b/>
                <w:bCs/>
                <w:szCs w:val="22"/>
              </w:rPr>
            </w:pPr>
            <w:r w:rsidRPr="002C494A">
              <w:rPr>
                <w:rFonts w:cs="Arial"/>
                <w:b/>
                <w:bCs/>
                <w:szCs w:val="22"/>
              </w:rPr>
              <w:t>Indicator</w:t>
            </w:r>
          </w:p>
        </w:tc>
        <w:tc>
          <w:tcPr>
            <w:tcW w:w="1800" w:type="dxa"/>
            <w:tcBorders>
              <w:top w:val="single" w:sz="18" w:space="0" w:color="auto"/>
              <w:bottom w:val="single" w:sz="6" w:space="0" w:color="auto"/>
            </w:tcBorders>
            <w:shd w:val="clear" w:color="auto" w:fill="B3B3B3"/>
          </w:tcPr>
          <w:p w:rsidR="00A723BC" w:rsidRPr="002C494A" w:rsidRDefault="00A723BC" w:rsidP="00851E27">
            <w:pPr>
              <w:pStyle w:val="BodyText"/>
              <w:ind w:left="851" w:hanging="851"/>
              <w:rPr>
                <w:rFonts w:cs="Arial"/>
                <w:b/>
                <w:bCs/>
                <w:szCs w:val="22"/>
              </w:rPr>
            </w:pPr>
            <w:r w:rsidRPr="002C494A">
              <w:rPr>
                <w:rFonts w:cs="Arial"/>
                <w:b/>
                <w:bCs/>
                <w:szCs w:val="22"/>
              </w:rPr>
              <w:t xml:space="preserve">Current </w:t>
            </w:r>
          </w:p>
          <w:p w:rsidR="00A723BC" w:rsidRPr="002C494A" w:rsidRDefault="00A723BC" w:rsidP="00851E27">
            <w:pPr>
              <w:pStyle w:val="BodyText"/>
              <w:ind w:left="851" w:hanging="851"/>
              <w:rPr>
                <w:rFonts w:cs="Arial"/>
                <w:b/>
                <w:bCs/>
                <w:szCs w:val="22"/>
              </w:rPr>
            </w:pPr>
            <w:r w:rsidRPr="002C494A">
              <w:rPr>
                <w:rFonts w:cs="Arial"/>
                <w:b/>
                <w:bCs/>
                <w:szCs w:val="22"/>
              </w:rPr>
              <w:t>Borrowing Position</w:t>
            </w:r>
          </w:p>
        </w:tc>
        <w:tc>
          <w:tcPr>
            <w:tcW w:w="2052" w:type="dxa"/>
            <w:tcBorders>
              <w:top w:val="single" w:sz="18" w:space="0" w:color="auto"/>
              <w:bottom w:val="single" w:sz="6" w:space="0" w:color="auto"/>
            </w:tcBorders>
            <w:shd w:val="clear" w:color="auto" w:fill="B3B3B3"/>
          </w:tcPr>
          <w:p w:rsidR="00A723BC" w:rsidRPr="002C494A" w:rsidRDefault="00C21C08" w:rsidP="00851E27">
            <w:pPr>
              <w:pStyle w:val="BodyText"/>
              <w:ind w:left="851" w:hanging="851"/>
              <w:rPr>
                <w:rFonts w:cs="Arial"/>
                <w:b/>
                <w:bCs/>
                <w:szCs w:val="22"/>
              </w:rPr>
            </w:pPr>
            <w:r w:rsidRPr="002C494A">
              <w:rPr>
                <w:rFonts w:cs="Arial"/>
                <w:b/>
                <w:bCs/>
                <w:szCs w:val="22"/>
              </w:rPr>
              <w:t>2016/17</w:t>
            </w:r>
          </w:p>
          <w:p w:rsidR="00A723BC" w:rsidRPr="002C494A" w:rsidRDefault="00A723BC" w:rsidP="00851E27">
            <w:pPr>
              <w:pStyle w:val="BodyText"/>
              <w:ind w:left="851" w:hanging="851"/>
              <w:rPr>
                <w:rFonts w:cs="Arial"/>
                <w:b/>
                <w:bCs/>
                <w:szCs w:val="22"/>
              </w:rPr>
            </w:pPr>
            <w:r w:rsidRPr="002C494A">
              <w:rPr>
                <w:rFonts w:cs="Arial"/>
                <w:b/>
                <w:bCs/>
                <w:szCs w:val="22"/>
              </w:rPr>
              <w:t>Revised</w:t>
            </w:r>
          </w:p>
          <w:p w:rsidR="00A723BC" w:rsidRPr="002C494A" w:rsidRDefault="00A723BC" w:rsidP="00851E27">
            <w:pPr>
              <w:pStyle w:val="BodyText"/>
              <w:ind w:left="851" w:hanging="851"/>
              <w:rPr>
                <w:rFonts w:cs="Arial"/>
                <w:b/>
                <w:bCs/>
                <w:szCs w:val="22"/>
              </w:rPr>
            </w:pPr>
            <w:r w:rsidRPr="002C494A">
              <w:rPr>
                <w:rFonts w:cs="Arial"/>
                <w:b/>
                <w:bCs/>
                <w:szCs w:val="22"/>
              </w:rPr>
              <w:t>Indicator</w:t>
            </w:r>
          </w:p>
        </w:tc>
      </w:tr>
      <w:tr w:rsidR="00A723BC" w:rsidRPr="002C494A" w:rsidTr="0028593C">
        <w:trPr>
          <w:trHeight w:val="339"/>
        </w:trPr>
        <w:tc>
          <w:tcPr>
            <w:tcW w:w="2524" w:type="dxa"/>
            <w:tcBorders>
              <w:top w:val="single" w:sz="6" w:space="0" w:color="auto"/>
            </w:tcBorders>
          </w:tcPr>
          <w:p w:rsidR="0055207B" w:rsidRPr="002C494A" w:rsidRDefault="0055207B" w:rsidP="00851E27">
            <w:pPr>
              <w:pStyle w:val="BodyText"/>
              <w:ind w:left="851" w:hanging="851"/>
              <w:rPr>
                <w:rFonts w:cs="Arial"/>
                <w:szCs w:val="22"/>
              </w:rPr>
            </w:pPr>
          </w:p>
          <w:p w:rsidR="00A723BC" w:rsidRPr="002C494A" w:rsidRDefault="00A723BC" w:rsidP="00851E27">
            <w:pPr>
              <w:pStyle w:val="BodyText"/>
              <w:ind w:left="851" w:hanging="851"/>
              <w:rPr>
                <w:rFonts w:cs="Arial"/>
                <w:szCs w:val="22"/>
              </w:rPr>
            </w:pPr>
            <w:r w:rsidRPr="002C494A">
              <w:rPr>
                <w:rFonts w:cs="Arial"/>
                <w:szCs w:val="22"/>
              </w:rPr>
              <w:t>Borrowing</w:t>
            </w:r>
          </w:p>
        </w:tc>
        <w:tc>
          <w:tcPr>
            <w:tcW w:w="1620" w:type="dxa"/>
            <w:tcBorders>
              <w:top w:val="single" w:sz="6" w:space="0" w:color="auto"/>
            </w:tcBorders>
          </w:tcPr>
          <w:p w:rsidR="00F43FDA" w:rsidRPr="002C494A" w:rsidRDefault="00F43FDA" w:rsidP="00851E27">
            <w:pPr>
              <w:pStyle w:val="BodyText"/>
              <w:ind w:left="851" w:hanging="851"/>
              <w:rPr>
                <w:rFonts w:cs="Arial"/>
                <w:szCs w:val="22"/>
              </w:rPr>
            </w:pPr>
          </w:p>
          <w:p w:rsidR="00A723BC" w:rsidRPr="002C494A" w:rsidRDefault="009D7764" w:rsidP="00851E27">
            <w:pPr>
              <w:pStyle w:val="BodyText"/>
              <w:ind w:left="851" w:hanging="851"/>
              <w:rPr>
                <w:rFonts w:cs="Arial"/>
                <w:szCs w:val="22"/>
              </w:rPr>
            </w:pPr>
            <w:r w:rsidRPr="002C494A">
              <w:rPr>
                <w:rFonts w:cs="Arial"/>
                <w:szCs w:val="22"/>
              </w:rPr>
              <w:t>£9m</w:t>
            </w:r>
          </w:p>
        </w:tc>
        <w:tc>
          <w:tcPr>
            <w:tcW w:w="1800" w:type="dxa"/>
            <w:tcBorders>
              <w:top w:val="single" w:sz="6" w:space="0" w:color="auto"/>
            </w:tcBorders>
          </w:tcPr>
          <w:p w:rsidR="00F43FDA" w:rsidRPr="002C494A" w:rsidRDefault="00F43FDA" w:rsidP="00851E27">
            <w:pPr>
              <w:pStyle w:val="BodyText"/>
              <w:ind w:left="851" w:hanging="851"/>
              <w:rPr>
                <w:rFonts w:cs="Arial"/>
                <w:szCs w:val="22"/>
              </w:rPr>
            </w:pPr>
          </w:p>
          <w:p w:rsidR="00A723BC" w:rsidRPr="002C494A" w:rsidRDefault="009D7764" w:rsidP="00851E27">
            <w:pPr>
              <w:pStyle w:val="BodyText"/>
              <w:ind w:left="851" w:hanging="851"/>
              <w:rPr>
                <w:rFonts w:cs="Arial"/>
                <w:szCs w:val="22"/>
              </w:rPr>
            </w:pPr>
            <w:r w:rsidRPr="002C494A">
              <w:rPr>
                <w:rFonts w:cs="Arial"/>
                <w:szCs w:val="22"/>
              </w:rPr>
              <w:t>£0m</w:t>
            </w:r>
          </w:p>
        </w:tc>
        <w:tc>
          <w:tcPr>
            <w:tcW w:w="2052" w:type="dxa"/>
            <w:tcBorders>
              <w:top w:val="single" w:sz="6" w:space="0" w:color="auto"/>
            </w:tcBorders>
          </w:tcPr>
          <w:p w:rsidR="00F43FDA" w:rsidRPr="002C494A" w:rsidRDefault="00F43FDA" w:rsidP="00851E27">
            <w:pPr>
              <w:pStyle w:val="BodyText"/>
              <w:ind w:left="851" w:hanging="851"/>
              <w:rPr>
                <w:rFonts w:cs="Arial"/>
                <w:szCs w:val="22"/>
              </w:rPr>
            </w:pPr>
          </w:p>
          <w:p w:rsidR="00A723BC" w:rsidRPr="002C494A" w:rsidRDefault="009D7764" w:rsidP="00851E27">
            <w:pPr>
              <w:pStyle w:val="BodyText"/>
              <w:ind w:left="851" w:hanging="851"/>
              <w:rPr>
                <w:rFonts w:cs="Arial"/>
                <w:szCs w:val="22"/>
              </w:rPr>
            </w:pPr>
            <w:r w:rsidRPr="002C494A">
              <w:rPr>
                <w:rFonts w:cs="Arial"/>
                <w:szCs w:val="22"/>
              </w:rPr>
              <w:t>£9m</w:t>
            </w:r>
          </w:p>
        </w:tc>
      </w:tr>
    </w:tbl>
    <w:p w:rsidR="001B355B" w:rsidRPr="002C494A" w:rsidRDefault="001B355B" w:rsidP="00851E27">
      <w:pPr>
        <w:tabs>
          <w:tab w:val="num" w:pos="540"/>
          <w:tab w:val="left" w:pos="720"/>
        </w:tabs>
        <w:spacing w:before="240" w:after="120"/>
        <w:ind w:left="851" w:hanging="851"/>
        <w:rPr>
          <w:rStyle w:val="CharChar"/>
          <w:rFonts w:ascii="Arial" w:hAnsi="Arial" w:cs="Arial"/>
          <w:sz w:val="22"/>
          <w:szCs w:val="22"/>
        </w:rPr>
      </w:pPr>
    </w:p>
    <w:p w:rsidR="00E62DA4" w:rsidRPr="002C494A" w:rsidRDefault="00E62DA4" w:rsidP="00851E27">
      <w:pPr>
        <w:tabs>
          <w:tab w:val="num" w:pos="540"/>
          <w:tab w:val="left" w:pos="720"/>
        </w:tabs>
        <w:spacing w:before="240" w:after="120"/>
        <w:ind w:left="851" w:hanging="851"/>
        <w:rPr>
          <w:rStyle w:val="CharChar"/>
          <w:rFonts w:ascii="Arial" w:hAnsi="Arial" w:cs="Arial"/>
          <w:sz w:val="22"/>
          <w:szCs w:val="22"/>
        </w:rPr>
      </w:pPr>
    </w:p>
    <w:p w:rsidR="00E62DA4" w:rsidRPr="002C494A" w:rsidRDefault="00E62DA4" w:rsidP="00851E27">
      <w:pPr>
        <w:tabs>
          <w:tab w:val="num" w:pos="540"/>
          <w:tab w:val="left" w:pos="720"/>
        </w:tabs>
        <w:spacing w:before="240" w:after="120"/>
        <w:ind w:left="851" w:hanging="851"/>
        <w:rPr>
          <w:rStyle w:val="CharChar"/>
          <w:rFonts w:ascii="Arial" w:hAnsi="Arial" w:cs="Arial"/>
          <w:sz w:val="22"/>
          <w:szCs w:val="22"/>
        </w:rPr>
      </w:pPr>
    </w:p>
    <w:p w:rsidR="00E62DA4" w:rsidRPr="002C494A" w:rsidRDefault="00E62DA4" w:rsidP="00851E27">
      <w:pPr>
        <w:tabs>
          <w:tab w:val="num" w:pos="709"/>
        </w:tabs>
        <w:ind w:left="851" w:hanging="851"/>
        <w:rPr>
          <w:rFonts w:cs="Arial"/>
          <w:sz w:val="22"/>
          <w:szCs w:val="22"/>
        </w:rPr>
      </w:pPr>
    </w:p>
    <w:p w:rsidR="00E62DA4" w:rsidRPr="002C494A" w:rsidRDefault="00E62DA4" w:rsidP="00851E27">
      <w:pPr>
        <w:tabs>
          <w:tab w:val="num" w:pos="709"/>
        </w:tabs>
        <w:ind w:left="851" w:hanging="851"/>
        <w:rPr>
          <w:rStyle w:val="CharChar"/>
          <w:rFonts w:ascii="Arial" w:hAnsi="Arial" w:cs="Arial"/>
          <w:b w:val="0"/>
          <w:bCs w:val="0"/>
          <w:sz w:val="22"/>
          <w:szCs w:val="22"/>
        </w:rPr>
      </w:pPr>
      <w:r w:rsidRPr="002C494A">
        <w:rPr>
          <w:rFonts w:cs="Arial"/>
          <w:sz w:val="22"/>
          <w:szCs w:val="22"/>
        </w:rPr>
        <w:t>2.10</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8F2482" w:rsidRPr="002C494A">
        <w:rPr>
          <w:rStyle w:val="CharChar"/>
          <w:rFonts w:ascii="Arial" w:hAnsi="Arial" w:cs="Arial"/>
          <w:b w:val="0"/>
          <w:i/>
          <w:sz w:val="22"/>
          <w:szCs w:val="22"/>
        </w:rPr>
        <w:t xml:space="preserve">Investment Portfolio </w:t>
      </w:r>
      <w:bookmarkStart w:id="0" w:name="_Toc260128222"/>
      <w:bookmarkStart w:id="1" w:name="_Toc260128486"/>
      <w:bookmarkStart w:id="2" w:name="_Toc260143042"/>
      <w:bookmarkStart w:id="3" w:name="_Toc260144062"/>
      <w:r w:rsidR="00C21C08" w:rsidRPr="002C494A">
        <w:rPr>
          <w:rStyle w:val="CharChar"/>
          <w:rFonts w:ascii="Arial" w:hAnsi="Arial" w:cs="Arial"/>
          <w:b w:val="0"/>
          <w:i/>
          <w:sz w:val="22"/>
          <w:szCs w:val="22"/>
        </w:rPr>
        <w:t>2016/17</w:t>
      </w:r>
    </w:p>
    <w:p w:rsidR="007D393F" w:rsidRPr="002C494A" w:rsidRDefault="007D393F" w:rsidP="00851E27">
      <w:pPr>
        <w:tabs>
          <w:tab w:val="num" w:pos="709"/>
        </w:tabs>
        <w:ind w:left="851" w:hanging="851"/>
        <w:rPr>
          <w:rFonts w:cs="Arial"/>
          <w:sz w:val="22"/>
          <w:szCs w:val="22"/>
        </w:rPr>
      </w:pPr>
    </w:p>
    <w:p w:rsidR="008F2482" w:rsidRPr="002C494A" w:rsidRDefault="00E62DA4" w:rsidP="004E3AE0">
      <w:pPr>
        <w:tabs>
          <w:tab w:val="num" w:pos="709"/>
        </w:tabs>
        <w:ind w:left="851" w:hanging="851"/>
        <w:jc w:val="both"/>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8F2482" w:rsidRPr="002C494A">
        <w:rPr>
          <w:rFonts w:cs="Arial"/>
          <w:sz w:val="22"/>
          <w:szCs w:val="22"/>
        </w:rPr>
        <w:t>In accordance with the Code, it is the Council’s priority to ensure security of capital and liquidity, and to obtain an appropriate level of return which is consistent with the Council’s risk ap</w:t>
      </w:r>
      <w:r w:rsidR="003E778C" w:rsidRPr="002C494A">
        <w:rPr>
          <w:rFonts w:cs="Arial"/>
          <w:sz w:val="22"/>
          <w:szCs w:val="22"/>
        </w:rPr>
        <w:t>petite.  As set out in Section 2</w:t>
      </w:r>
      <w:r w:rsidR="008F2482" w:rsidRPr="002C494A">
        <w:rPr>
          <w:rFonts w:cs="Arial"/>
          <w:sz w:val="22"/>
          <w:szCs w:val="22"/>
        </w:rPr>
        <w:t xml:space="preserve">, it is a very difficult investment market in terms of earning the level of interest rates commonly seen in previous decades as rates are very low and in line with the 0.5% Bank Rate.  Indeed, the Funding for Lending scheme has reduced market investment rates even further.  The potential for a prolonging of the Eurozone sovereign debt crisis, and its impact on banks, prompts a low risk and short term strategy.  Given this risk environment, investment returns are likely to remain low. </w:t>
      </w:r>
    </w:p>
    <w:p w:rsidR="00C4295C" w:rsidRPr="002C494A" w:rsidRDefault="00C4295C" w:rsidP="004E3AE0">
      <w:pPr>
        <w:tabs>
          <w:tab w:val="num" w:pos="709"/>
        </w:tabs>
        <w:ind w:left="851" w:hanging="851"/>
        <w:jc w:val="both"/>
        <w:rPr>
          <w:rFonts w:cs="Arial"/>
          <w:sz w:val="22"/>
          <w:szCs w:val="22"/>
        </w:rPr>
      </w:pPr>
    </w:p>
    <w:p w:rsidR="00940EA4" w:rsidRPr="002C494A" w:rsidRDefault="00E62DA4" w:rsidP="004E3AE0">
      <w:pPr>
        <w:tabs>
          <w:tab w:val="num" w:pos="709"/>
        </w:tabs>
        <w:ind w:left="851" w:hanging="851"/>
        <w:jc w:val="both"/>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8F2482" w:rsidRPr="002C494A">
        <w:rPr>
          <w:rFonts w:cs="Arial"/>
          <w:sz w:val="22"/>
          <w:szCs w:val="22"/>
        </w:rPr>
        <w:t xml:space="preserve">The Council held </w:t>
      </w:r>
      <w:r w:rsidR="003B0BB2" w:rsidRPr="002C494A">
        <w:rPr>
          <w:rFonts w:cs="Arial"/>
          <w:sz w:val="22"/>
          <w:szCs w:val="22"/>
        </w:rPr>
        <w:t>£</w:t>
      </w:r>
      <w:r w:rsidR="004322D2" w:rsidRPr="002C494A">
        <w:rPr>
          <w:rFonts w:cs="Arial"/>
          <w:sz w:val="22"/>
          <w:szCs w:val="22"/>
        </w:rPr>
        <w:t>26</w:t>
      </w:r>
      <w:r w:rsidR="003B0BB2" w:rsidRPr="002C494A">
        <w:rPr>
          <w:rFonts w:cs="Arial"/>
          <w:sz w:val="22"/>
          <w:szCs w:val="22"/>
        </w:rPr>
        <w:t>m</w:t>
      </w:r>
      <w:r w:rsidR="008F2482" w:rsidRPr="002C494A">
        <w:rPr>
          <w:rFonts w:cs="Arial"/>
          <w:sz w:val="22"/>
          <w:szCs w:val="22"/>
        </w:rPr>
        <w:t xml:space="preserve"> of investments as at 30 September</w:t>
      </w:r>
      <w:r w:rsidRPr="002C494A">
        <w:rPr>
          <w:rFonts w:cs="Arial"/>
          <w:sz w:val="22"/>
          <w:szCs w:val="22"/>
        </w:rPr>
        <w:t xml:space="preserve"> </w:t>
      </w:r>
      <w:r w:rsidR="00AB6267" w:rsidRPr="002C494A">
        <w:rPr>
          <w:rFonts w:cs="Arial"/>
          <w:sz w:val="22"/>
          <w:szCs w:val="22"/>
        </w:rPr>
        <w:t>201</w:t>
      </w:r>
      <w:r w:rsidR="004322D2" w:rsidRPr="002C494A">
        <w:rPr>
          <w:rFonts w:cs="Arial"/>
          <w:sz w:val="22"/>
          <w:szCs w:val="22"/>
        </w:rPr>
        <w:t>6</w:t>
      </w:r>
      <w:r w:rsidR="00C4295C" w:rsidRPr="002C494A">
        <w:rPr>
          <w:rFonts w:cs="Arial"/>
          <w:sz w:val="22"/>
          <w:szCs w:val="22"/>
        </w:rPr>
        <w:t xml:space="preserve"> (</w:t>
      </w:r>
      <w:r w:rsidR="00851E27" w:rsidRPr="002C494A">
        <w:rPr>
          <w:rFonts w:cs="Arial"/>
          <w:sz w:val="22"/>
          <w:szCs w:val="22"/>
        </w:rPr>
        <w:t>s</w:t>
      </w:r>
      <w:r w:rsidR="00C4295C" w:rsidRPr="002C494A">
        <w:rPr>
          <w:rFonts w:cs="Arial"/>
          <w:sz w:val="22"/>
          <w:szCs w:val="22"/>
        </w:rPr>
        <w:t>ee table below)</w:t>
      </w:r>
      <w:r w:rsidR="002C494A">
        <w:rPr>
          <w:rFonts w:cs="Arial"/>
          <w:sz w:val="22"/>
          <w:szCs w:val="22"/>
        </w:rPr>
        <w:t>.</w:t>
      </w:r>
      <w:r w:rsidRPr="002C494A">
        <w:rPr>
          <w:rFonts w:cs="Arial"/>
          <w:sz w:val="22"/>
          <w:szCs w:val="22"/>
        </w:rPr>
        <w:t xml:space="preserve"> </w:t>
      </w:r>
      <w:r w:rsidR="008F2482" w:rsidRPr="002C494A">
        <w:rPr>
          <w:rFonts w:cs="Arial"/>
          <w:sz w:val="22"/>
          <w:szCs w:val="22"/>
        </w:rPr>
        <w:t xml:space="preserve">This information is reported in the </w:t>
      </w:r>
      <w:r w:rsidR="00270811" w:rsidRPr="002C494A">
        <w:rPr>
          <w:rFonts w:cs="Arial"/>
          <w:sz w:val="22"/>
          <w:szCs w:val="22"/>
        </w:rPr>
        <w:t xml:space="preserve">monthly </w:t>
      </w:r>
      <w:r w:rsidR="008F2482" w:rsidRPr="002C494A">
        <w:rPr>
          <w:rFonts w:cs="Arial"/>
          <w:sz w:val="22"/>
          <w:szCs w:val="22"/>
        </w:rPr>
        <w:t>Members Informa</w:t>
      </w:r>
      <w:r w:rsidR="00270811" w:rsidRPr="002C494A">
        <w:rPr>
          <w:rFonts w:cs="Arial"/>
          <w:sz w:val="22"/>
          <w:szCs w:val="22"/>
        </w:rPr>
        <w:t>tion Bulletin</w:t>
      </w:r>
    </w:p>
    <w:p w:rsidR="008817FF" w:rsidRPr="002C494A" w:rsidRDefault="008817FF" w:rsidP="00851E27">
      <w:pPr>
        <w:ind w:left="851" w:hanging="851"/>
        <w:rPr>
          <w:rFonts w:cs="Arial"/>
          <w:sz w:val="22"/>
          <w:szCs w:val="22"/>
        </w:rPr>
      </w:pPr>
    </w:p>
    <w:tbl>
      <w:tblPr>
        <w:tblW w:w="6120" w:type="dxa"/>
        <w:tblInd w:w="1466" w:type="dxa"/>
        <w:tblLook w:val="0000" w:firstRow="0" w:lastRow="0" w:firstColumn="0" w:lastColumn="0" w:noHBand="0" w:noVBand="0"/>
      </w:tblPr>
      <w:tblGrid>
        <w:gridCol w:w="4316"/>
        <w:gridCol w:w="1804"/>
      </w:tblGrid>
      <w:tr w:rsidR="00EA7042" w:rsidRPr="002C494A" w:rsidTr="00E62DA4">
        <w:trPr>
          <w:trHeight w:val="276"/>
        </w:trPr>
        <w:tc>
          <w:tcPr>
            <w:tcW w:w="4316" w:type="dxa"/>
            <w:vMerge w:val="restart"/>
            <w:tcBorders>
              <w:top w:val="nil"/>
              <w:left w:val="nil"/>
              <w:bottom w:val="single" w:sz="4" w:space="0" w:color="C0C0C0"/>
              <w:right w:val="nil"/>
            </w:tcBorders>
            <w:shd w:val="clear" w:color="auto" w:fill="auto"/>
            <w:noWrap/>
            <w:vAlign w:val="center"/>
          </w:tcPr>
          <w:p w:rsidR="00EA7042" w:rsidRPr="002C494A" w:rsidRDefault="00EA7042" w:rsidP="00851E27">
            <w:pPr>
              <w:ind w:left="851" w:hanging="851"/>
              <w:rPr>
                <w:rFonts w:cs="Arial"/>
                <w:b/>
                <w:bCs/>
                <w:sz w:val="22"/>
                <w:szCs w:val="22"/>
                <w:lang w:eastAsia="en-GB"/>
              </w:rPr>
            </w:pPr>
            <w:r w:rsidRPr="002C494A">
              <w:rPr>
                <w:rFonts w:cs="Arial"/>
                <w:b/>
                <w:bCs/>
                <w:sz w:val="22"/>
                <w:szCs w:val="22"/>
                <w:lang w:eastAsia="en-GB"/>
              </w:rPr>
              <w:t>Institution</w:t>
            </w:r>
          </w:p>
        </w:tc>
        <w:tc>
          <w:tcPr>
            <w:tcW w:w="1804" w:type="dxa"/>
            <w:vMerge w:val="restart"/>
            <w:tcBorders>
              <w:top w:val="nil"/>
              <w:left w:val="nil"/>
              <w:bottom w:val="single" w:sz="4" w:space="0" w:color="C0C0C0"/>
              <w:right w:val="nil"/>
            </w:tcBorders>
            <w:shd w:val="clear" w:color="auto" w:fill="auto"/>
            <w:vAlign w:val="center"/>
          </w:tcPr>
          <w:p w:rsidR="00EA7042" w:rsidRPr="002C494A" w:rsidRDefault="00EA7042" w:rsidP="00851E27">
            <w:pPr>
              <w:ind w:left="851" w:hanging="851"/>
              <w:rPr>
                <w:rFonts w:cs="Arial"/>
                <w:b/>
                <w:bCs/>
                <w:sz w:val="22"/>
                <w:szCs w:val="22"/>
                <w:lang w:eastAsia="en-GB"/>
              </w:rPr>
            </w:pPr>
            <w:r w:rsidRPr="002C494A">
              <w:rPr>
                <w:rFonts w:cs="Arial"/>
                <w:b/>
                <w:bCs/>
                <w:sz w:val="22"/>
                <w:szCs w:val="22"/>
                <w:lang w:eastAsia="en-GB"/>
              </w:rPr>
              <w:t xml:space="preserve">Principal </w:t>
            </w:r>
            <w:r w:rsidR="00B90620" w:rsidRPr="002C494A">
              <w:rPr>
                <w:rFonts w:cs="Arial"/>
                <w:b/>
                <w:bCs/>
                <w:sz w:val="22"/>
                <w:szCs w:val="22"/>
                <w:lang w:eastAsia="en-GB"/>
              </w:rPr>
              <w:t>(</w:t>
            </w:r>
            <w:r w:rsidRPr="002C494A">
              <w:rPr>
                <w:rFonts w:cs="Arial"/>
                <w:b/>
                <w:bCs/>
                <w:sz w:val="22"/>
                <w:szCs w:val="22"/>
                <w:lang w:eastAsia="en-GB"/>
              </w:rPr>
              <w:t>£</w:t>
            </w:r>
            <w:r w:rsidR="00B90620" w:rsidRPr="002C494A">
              <w:rPr>
                <w:rFonts w:cs="Arial"/>
                <w:b/>
                <w:bCs/>
                <w:sz w:val="22"/>
                <w:szCs w:val="22"/>
                <w:lang w:eastAsia="en-GB"/>
              </w:rPr>
              <w:t>)</w:t>
            </w:r>
          </w:p>
        </w:tc>
      </w:tr>
      <w:tr w:rsidR="00EA7042" w:rsidRPr="002C494A" w:rsidTr="00E62DA4">
        <w:trPr>
          <w:trHeight w:val="276"/>
        </w:trPr>
        <w:tc>
          <w:tcPr>
            <w:tcW w:w="4316" w:type="dxa"/>
            <w:vMerge/>
            <w:tcBorders>
              <w:top w:val="nil"/>
              <w:left w:val="nil"/>
              <w:bottom w:val="single" w:sz="4" w:space="0" w:color="C0C0C0"/>
              <w:right w:val="nil"/>
            </w:tcBorders>
            <w:vAlign w:val="center"/>
          </w:tcPr>
          <w:p w:rsidR="00EA7042" w:rsidRPr="002C494A" w:rsidRDefault="00EA7042" w:rsidP="00851E27">
            <w:pPr>
              <w:ind w:left="851" w:hanging="851"/>
              <w:rPr>
                <w:rFonts w:cs="Arial"/>
                <w:b/>
                <w:bCs/>
                <w:sz w:val="22"/>
                <w:szCs w:val="22"/>
                <w:lang w:eastAsia="en-GB"/>
              </w:rPr>
            </w:pPr>
          </w:p>
        </w:tc>
        <w:tc>
          <w:tcPr>
            <w:tcW w:w="1804" w:type="dxa"/>
            <w:vMerge/>
            <w:tcBorders>
              <w:top w:val="nil"/>
              <w:left w:val="nil"/>
              <w:bottom w:val="single" w:sz="4" w:space="0" w:color="C0C0C0"/>
              <w:right w:val="nil"/>
            </w:tcBorders>
            <w:vAlign w:val="center"/>
          </w:tcPr>
          <w:p w:rsidR="00EA7042" w:rsidRPr="002C494A" w:rsidRDefault="00EA7042" w:rsidP="00851E27">
            <w:pPr>
              <w:ind w:left="851" w:hanging="851"/>
              <w:rPr>
                <w:rFonts w:cs="Arial"/>
                <w:b/>
                <w:bCs/>
                <w:sz w:val="22"/>
                <w:szCs w:val="22"/>
                <w:lang w:eastAsia="en-GB"/>
              </w:rPr>
            </w:pPr>
          </w:p>
        </w:tc>
      </w:tr>
      <w:tr w:rsidR="00EA7042" w:rsidRPr="002C494A" w:rsidTr="00E62DA4">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EA7042" w:rsidRPr="002C494A" w:rsidRDefault="00EA7042" w:rsidP="00851E27">
            <w:pPr>
              <w:ind w:left="851" w:hanging="851"/>
              <w:rPr>
                <w:rFonts w:cs="Arial"/>
                <w:sz w:val="22"/>
                <w:szCs w:val="22"/>
                <w:lang w:eastAsia="en-GB"/>
              </w:rPr>
            </w:pPr>
            <w:r w:rsidRPr="002C494A">
              <w:rPr>
                <w:rFonts w:cs="Arial"/>
                <w:sz w:val="22"/>
                <w:szCs w:val="22"/>
                <w:lang w:eastAsia="en-GB"/>
              </w:rPr>
              <w:t>Lloyds Bank plc</w:t>
            </w:r>
          </w:p>
        </w:tc>
        <w:tc>
          <w:tcPr>
            <w:tcW w:w="1804" w:type="dxa"/>
            <w:tcBorders>
              <w:top w:val="nil"/>
              <w:left w:val="nil"/>
              <w:bottom w:val="single" w:sz="4" w:space="0" w:color="C0C0C0"/>
              <w:right w:val="single" w:sz="4" w:space="0" w:color="C0C0C0"/>
            </w:tcBorders>
            <w:shd w:val="clear" w:color="auto" w:fill="auto"/>
            <w:noWrap/>
            <w:vAlign w:val="bottom"/>
          </w:tcPr>
          <w:p w:rsidR="00EA7042" w:rsidRPr="002C494A" w:rsidRDefault="00C21C08" w:rsidP="00851E27">
            <w:pPr>
              <w:ind w:left="851" w:hanging="851"/>
              <w:jc w:val="center"/>
              <w:rPr>
                <w:rFonts w:cs="Arial"/>
                <w:sz w:val="22"/>
                <w:szCs w:val="22"/>
                <w:lang w:eastAsia="en-GB"/>
              </w:rPr>
            </w:pPr>
            <w:r w:rsidRPr="002C494A">
              <w:rPr>
                <w:rFonts w:cs="Arial"/>
                <w:sz w:val="22"/>
                <w:szCs w:val="22"/>
                <w:lang w:eastAsia="en-GB"/>
              </w:rPr>
              <w:t>5,500,000</w:t>
            </w:r>
          </w:p>
        </w:tc>
      </w:tr>
      <w:tr w:rsidR="0028593C" w:rsidRPr="002C494A" w:rsidTr="00B90620">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28593C" w:rsidRPr="002C494A" w:rsidRDefault="0028593C" w:rsidP="00851E27">
            <w:pPr>
              <w:ind w:left="851" w:hanging="851"/>
              <w:rPr>
                <w:rFonts w:cs="Arial"/>
                <w:i/>
                <w:sz w:val="22"/>
                <w:szCs w:val="22"/>
                <w:lang w:eastAsia="en-GB"/>
              </w:rPr>
            </w:pPr>
            <w:r w:rsidRPr="002C494A">
              <w:rPr>
                <w:rFonts w:cs="Arial"/>
                <w:i/>
                <w:sz w:val="22"/>
                <w:szCs w:val="22"/>
                <w:lang w:eastAsia="en-GB"/>
              </w:rPr>
              <w:t>Total Banks</w:t>
            </w:r>
          </w:p>
        </w:tc>
        <w:tc>
          <w:tcPr>
            <w:tcW w:w="1804" w:type="dxa"/>
            <w:tcBorders>
              <w:left w:val="nil"/>
              <w:bottom w:val="single" w:sz="4" w:space="0" w:color="C0C0C0"/>
              <w:right w:val="single" w:sz="4" w:space="0" w:color="C0C0C0"/>
            </w:tcBorders>
            <w:shd w:val="clear" w:color="auto" w:fill="auto"/>
            <w:noWrap/>
            <w:vAlign w:val="bottom"/>
          </w:tcPr>
          <w:p w:rsidR="0028593C" w:rsidRPr="002C494A" w:rsidRDefault="00C21C08" w:rsidP="00851E27">
            <w:pPr>
              <w:ind w:left="851" w:hanging="851"/>
              <w:jc w:val="center"/>
              <w:rPr>
                <w:rFonts w:cs="Arial"/>
                <w:i/>
                <w:sz w:val="22"/>
                <w:szCs w:val="22"/>
                <w:lang w:eastAsia="en-GB"/>
              </w:rPr>
            </w:pPr>
            <w:r w:rsidRPr="002C494A">
              <w:rPr>
                <w:rFonts w:cs="Arial"/>
                <w:i/>
                <w:sz w:val="22"/>
                <w:szCs w:val="22"/>
                <w:lang w:eastAsia="en-GB"/>
              </w:rPr>
              <w:t>5,500,000</w:t>
            </w:r>
          </w:p>
        </w:tc>
      </w:tr>
      <w:tr w:rsidR="0028593C" w:rsidRPr="002C494A" w:rsidTr="00B90620">
        <w:trPr>
          <w:trHeight w:val="89"/>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28593C" w:rsidRPr="002C494A" w:rsidRDefault="0028593C" w:rsidP="00851E27">
            <w:pPr>
              <w:ind w:left="851" w:hanging="851"/>
              <w:rPr>
                <w:rFonts w:cs="Arial"/>
                <w:sz w:val="22"/>
                <w:szCs w:val="22"/>
                <w:lang w:eastAsia="en-GB"/>
              </w:rPr>
            </w:pPr>
          </w:p>
        </w:tc>
        <w:tc>
          <w:tcPr>
            <w:tcW w:w="1804" w:type="dxa"/>
            <w:tcBorders>
              <w:top w:val="nil"/>
              <w:left w:val="nil"/>
              <w:bottom w:val="single" w:sz="4" w:space="0" w:color="C0C0C0"/>
              <w:right w:val="single" w:sz="4" w:space="0" w:color="C0C0C0"/>
            </w:tcBorders>
            <w:shd w:val="clear" w:color="auto" w:fill="auto"/>
            <w:noWrap/>
            <w:vAlign w:val="bottom"/>
          </w:tcPr>
          <w:p w:rsidR="0028593C" w:rsidRPr="002C494A" w:rsidRDefault="0028593C" w:rsidP="00851E27">
            <w:pPr>
              <w:ind w:left="851" w:hanging="851"/>
              <w:jc w:val="center"/>
              <w:rPr>
                <w:rFonts w:cs="Arial"/>
                <w:color w:val="FF0000"/>
                <w:sz w:val="22"/>
                <w:szCs w:val="22"/>
                <w:lang w:eastAsia="en-GB"/>
              </w:rPr>
            </w:pPr>
          </w:p>
        </w:tc>
      </w:tr>
      <w:tr w:rsidR="0028593C" w:rsidRPr="002C494A" w:rsidTr="00E62DA4">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28593C" w:rsidRPr="002C494A" w:rsidRDefault="0028593C" w:rsidP="00851E27">
            <w:pPr>
              <w:ind w:left="851" w:hanging="851"/>
              <w:rPr>
                <w:rFonts w:cs="Arial"/>
                <w:sz w:val="22"/>
                <w:szCs w:val="22"/>
                <w:lang w:eastAsia="en-GB"/>
              </w:rPr>
            </w:pPr>
          </w:p>
        </w:tc>
        <w:tc>
          <w:tcPr>
            <w:tcW w:w="1804" w:type="dxa"/>
            <w:tcBorders>
              <w:top w:val="nil"/>
              <w:left w:val="nil"/>
              <w:bottom w:val="single" w:sz="4" w:space="0" w:color="C0C0C0"/>
              <w:right w:val="single" w:sz="4" w:space="0" w:color="C0C0C0"/>
            </w:tcBorders>
            <w:shd w:val="clear" w:color="auto" w:fill="auto"/>
            <w:noWrap/>
            <w:vAlign w:val="bottom"/>
          </w:tcPr>
          <w:p w:rsidR="0028593C" w:rsidRPr="002C494A" w:rsidRDefault="0028593C" w:rsidP="00851E27">
            <w:pPr>
              <w:ind w:left="851" w:hanging="851"/>
              <w:jc w:val="center"/>
              <w:rPr>
                <w:rFonts w:cs="Arial"/>
                <w:color w:val="FF0000"/>
                <w:sz w:val="22"/>
                <w:szCs w:val="22"/>
                <w:lang w:eastAsia="en-GB"/>
              </w:rPr>
            </w:pPr>
          </w:p>
        </w:tc>
      </w:tr>
      <w:tr w:rsidR="0028593C" w:rsidRPr="002C494A" w:rsidTr="00E62DA4">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28593C" w:rsidRPr="002C494A" w:rsidRDefault="0028593C" w:rsidP="00851E27">
            <w:pPr>
              <w:ind w:left="851" w:hanging="851"/>
              <w:rPr>
                <w:rFonts w:cs="Arial"/>
                <w:sz w:val="22"/>
                <w:szCs w:val="22"/>
                <w:lang w:eastAsia="en-GB"/>
              </w:rPr>
            </w:pPr>
            <w:r w:rsidRPr="002C494A">
              <w:rPr>
                <w:rFonts w:cs="Arial"/>
                <w:sz w:val="22"/>
                <w:szCs w:val="22"/>
                <w:lang w:eastAsia="en-GB"/>
              </w:rPr>
              <w:t>Nationwide Building Society</w:t>
            </w:r>
          </w:p>
        </w:tc>
        <w:tc>
          <w:tcPr>
            <w:tcW w:w="1804" w:type="dxa"/>
            <w:tcBorders>
              <w:top w:val="nil"/>
              <w:left w:val="nil"/>
              <w:bottom w:val="single" w:sz="4" w:space="0" w:color="C0C0C0"/>
              <w:right w:val="single" w:sz="4" w:space="0" w:color="C0C0C0"/>
            </w:tcBorders>
            <w:shd w:val="clear" w:color="auto" w:fill="auto"/>
            <w:noWrap/>
            <w:vAlign w:val="bottom"/>
          </w:tcPr>
          <w:p w:rsidR="0028593C" w:rsidRPr="002C494A" w:rsidRDefault="00C21C08" w:rsidP="00851E27">
            <w:pPr>
              <w:ind w:left="851" w:hanging="851"/>
              <w:jc w:val="center"/>
              <w:rPr>
                <w:rFonts w:cs="Arial"/>
                <w:sz w:val="22"/>
                <w:szCs w:val="22"/>
                <w:lang w:eastAsia="en-GB"/>
              </w:rPr>
            </w:pPr>
            <w:r w:rsidRPr="002C494A">
              <w:rPr>
                <w:rFonts w:cs="Arial"/>
                <w:sz w:val="22"/>
                <w:szCs w:val="22"/>
                <w:lang w:eastAsia="en-GB"/>
              </w:rPr>
              <w:t>4</w:t>
            </w:r>
            <w:r w:rsidR="0028593C" w:rsidRPr="002C494A">
              <w:rPr>
                <w:rFonts w:cs="Arial"/>
                <w:sz w:val="22"/>
                <w:szCs w:val="22"/>
                <w:lang w:eastAsia="en-GB"/>
              </w:rPr>
              <w:t>,000,000</w:t>
            </w:r>
          </w:p>
        </w:tc>
      </w:tr>
      <w:tr w:rsidR="0028593C" w:rsidRPr="002C494A" w:rsidTr="00E62DA4">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28593C" w:rsidRPr="002C494A" w:rsidRDefault="0028593C" w:rsidP="00851E27">
            <w:pPr>
              <w:ind w:left="851" w:hanging="851"/>
              <w:rPr>
                <w:rFonts w:cs="Arial"/>
                <w:sz w:val="22"/>
                <w:szCs w:val="22"/>
                <w:lang w:eastAsia="en-GB"/>
              </w:rPr>
            </w:pPr>
            <w:r w:rsidRPr="002C494A">
              <w:rPr>
                <w:rFonts w:cs="Arial"/>
                <w:sz w:val="22"/>
                <w:szCs w:val="22"/>
                <w:lang w:eastAsia="en-GB"/>
              </w:rPr>
              <w:t>Principality Building Society</w:t>
            </w:r>
          </w:p>
        </w:tc>
        <w:tc>
          <w:tcPr>
            <w:tcW w:w="1804" w:type="dxa"/>
            <w:tcBorders>
              <w:top w:val="nil"/>
              <w:left w:val="nil"/>
              <w:bottom w:val="single" w:sz="4" w:space="0" w:color="C0C0C0"/>
              <w:right w:val="single" w:sz="4" w:space="0" w:color="C0C0C0"/>
            </w:tcBorders>
            <w:shd w:val="clear" w:color="auto" w:fill="auto"/>
            <w:noWrap/>
            <w:vAlign w:val="bottom"/>
          </w:tcPr>
          <w:p w:rsidR="0028593C" w:rsidRPr="002C494A" w:rsidRDefault="00C21C08" w:rsidP="00851E27">
            <w:pPr>
              <w:ind w:left="851" w:hanging="851"/>
              <w:jc w:val="center"/>
              <w:rPr>
                <w:rFonts w:cs="Arial"/>
                <w:sz w:val="22"/>
                <w:szCs w:val="22"/>
                <w:lang w:eastAsia="en-GB"/>
              </w:rPr>
            </w:pPr>
            <w:r w:rsidRPr="002C494A">
              <w:rPr>
                <w:rFonts w:cs="Arial"/>
                <w:sz w:val="22"/>
                <w:szCs w:val="22"/>
                <w:lang w:eastAsia="en-GB"/>
              </w:rPr>
              <w:t>8</w:t>
            </w:r>
            <w:r w:rsidR="00B76303" w:rsidRPr="002C494A">
              <w:rPr>
                <w:rFonts w:cs="Arial"/>
                <w:sz w:val="22"/>
                <w:szCs w:val="22"/>
                <w:lang w:eastAsia="en-GB"/>
              </w:rPr>
              <w:t>,0</w:t>
            </w:r>
            <w:r w:rsidR="0028593C" w:rsidRPr="002C494A">
              <w:rPr>
                <w:rFonts w:cs="Arial"/>
                <w:sz w:val="22"/>
                <w:szCs w:val="22"/>
                <w:lang w:eastAsia="en-GB"/>
              </w:rPr>
              <w:t>00,000</w:t>
            </w:r>
          </w:p>
        </w:tc>
      </w:tr>
      <w:tr w:rsidR="0028593C" w:rsidRPr="002C494A" w:rsidTr="00E62DA4">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28593C" w:rsidRPr="002C494A" w:rsidRDefault="0028593C" w:rsidP="00851E27">
            <w:pPr>
              <w:ind w:left="851" w:hanging="851"/>
              <w:rPr>
                <w:rFonts w:cs="Arial"/>
                <w:sz w:val="22"/>
                <w:szCs w:val="22"/>
                <w:lang w:eastAsia="en-GB"/>
              </w:rPr>
            </w:pPr>
            <w:r w:rsidRPr="002C494A">
              <w:rPr>
                <w:rFonts w:cs="Arial"/>
                <w:sz w:val="22"/>
                <w:szCs w:val="22"/>
                <w:lang w:eastAsia="en-GB"/>
              </w:rPr>
              <w:t>Skipton Building Society</w:t>
            </w:r>
          </w:p>
        </w:tc>
        <w:tc>
          <w:tcPr>
            <w:tcW w:w="1804" w:type="dxa"/>
            <w:tcBorders>
              <w:top w:val="nil"/>
              <w:left w:val="nil"/>
              <w:bottom w:val="single" w:sz="4" w:space="0" w:color="C0C0C0"/>
              <w:right w:val="single" w:sz="4" w:space="0" w:color="C0C0C0"/>
            </w:tcBorders>
            <w:shd w:val="clear" w:color="auto" w:fill="auto"/>
            <w:noWrap/>
            <w:vAlign w:val="bottom"/>
          </w:tcPr>
          <w:p w:rsidR="0028593C" w:rsidRPr="002C494A" w:rsidRDefault="00C21C08" w:rsidP="00851E27">
            <w:pPr>
              <w:ind w:left="851" w:hanging="851"/>
              <w:jc w:val="center"/>
              <w:rPr>
                <w:rFonts w:cs="Arial"/>
                <w:sz w:val="22"/>
                <w:szCs w:val="22"/>
                <w:lang w:eastAsia="en-GB"/>
              </w:rPr>
            </w:pPr>
            <w:r w:rsidRPr="002C494A">
              <w:rPr>
                <w:rFonts w:cs="Arial"/>
                <w:sz w:val="22"/>
                <w:szCs w:val="22"/>
                <w:lang w:eastAsia="en-GB"/>
              </w:rPr>
              <w:t>8</w:t>
            </w:r>
            <w:r w:rsidR="00B76303" w:rsidRPr="002C494A">
              <w:rPr>
                <w:rFonts w:cs="Arial"/>
                <w:sz w:val="22"/>
                <w:szCs w:val="22"/>
                <w:lang w:eastAsia="en-GB"/>
              </w:rPr>
              <w:t>,500,000</w:t>
            </w:r>
          </w:p>
        </w:tc>
      </w:tr>
      <w:tr w:rsidR="0028593C" w:rsidRPr="002C494A" w:rsidTr="00E62DA4">
        <w:trPr>
          <w:trHeight w:val="315"/>
        </w:trPr>
        <w:tc>
          <w:tcPr>
            <w:tcW w:w="4316" w:type="dxa"/>
            <w:tcBorders>
              <w:top w:val="nil"/>
              <w:left w:val="single" w:sz="4" w:space="0" w:color="C0C0C0"/>
              <w:bottom w:val="nil"/>
              <w:right w:val="single" w:sz="4" w:space="0" w:color="C0C0C0"/>
            </w:tcBorders>
            <w:shd w:val="clear" w:color="auto" w:fill="auto"/>
            <w:noWrap/>
            <w:vAlign w:val="bottom"/>
          </w:tcPr>
          <w:p w:rsidR="0028593C" w:rsidRPr="002C494A" w:rsidRDefault="00B90620" w:rsidP="00851E27">
            <w:pPr>
              <w:ind w:left="851" w:hanging="851"/>
              <w:rPr>
                <w:rFonts w:cs="Arial"/>
                <w:b/>
                <w:bCs/>
                <w:i/>
                <w:sz w:val="22"/>
                <w:szCs w:val="22"/>
                <w:lang w:eastAsia="en-GB"/>
              </w:rPr>
            </w:pPr>
            <w:r w:rsidRPr="002C494A">
              <w:rPr>
                <w:rFonts w:cs="Arial"/>
                <w:i/>
                <w:sz w:val="22"/>
                <w:szCs w:val="22"/>
                <w:lang w:eastAsia="en-GB"/>
              </w:rPr>
              <w:t>Total Building Societies</w:t>
            </w:r>
          </w:p>
        </w:tc>
        <w:tc>
          <w:tcPr>
            <w:tcW w:w="1804" w:type="dxa"/>
            <w:tcBorders>
              <w:top w:val="single" w:sz="4" w:space="0" w:color="auto"/>
              <w:left w:val="nil"/>
              <w:bottom w:val="double" w:sz="6" w:space="0" w:color="auto"/>
              <w:right w:val="nil"/>
            </w:tcBorders>
            <w:shd w:val="clear" w:color="auto" w:fill="auto"/>
            <w:noWrap/>
            <w:vAlign w:val="bottom"/>
          </w:tcPr>
          <w:p w:rsidR="0028593C" w:rsidRPr="002C494A" w:rsidRDefault="00C21C08" w:rsidP="00851E27">
            <w:pPr>
              <w:ind w:left="851" w:hanging="851"/>
              <w:jc w:val="center"/>
              <w:rPr>
                <w:rFonts w:cs="Arial"/>
                <w:bCs/>
                <w:i/>
                <w:sz w:val="22"/>
                <w:szCs w:val="22"/>
                <w:lang w:eastAsia="en-GB"/>
              </w:rPr>
            </w:pPr>
            <w:r w:rsidRPr="002C494A">
              <w:rPr>
                <w:rFonts w:cs="Arial"/>
                <w:bCs/>
                <w:i/>
                <w:sz w:val="22"/>
                <w:szCs w:val="22"/>
                <w:lang w:eastAsia="en-GB"/>
              </w:rPr>
              <w:t>20</w:t>
            </w:r>
            <w:r w:rsidR="00B90620" w:rsidRPr="002C494A">
              <w:rPr>
                <w:rFonts w:cs="Arial"/>
                <w:bCs/>
                <w:i/>
                <w:sz w:val="22"/>
                <w:szCs w:val="22"/>
                <w:lang w:eastAsia="en-GB"/>
              </w:rPr>
              <w:t>,500,000</w:t>
            </w:r>
          </w:p>
        </w:tc>
      </w:tr>
      <w:tr w:rsidR="0028593C" w:rsidRPr="002C494A" w:rsidTr="00E62DA4">
        <w:trPr>
          <w:trHeight w:val="315"/>
        </w:trPr>
        <w:tc>
          <w:tcPr>
            <w:tcW w:w="4316" w:type="dxa"/>
            <w:tcBorders>
              <w:top w:val="nil"/>
              <w:left w:val="single" w:sz="4" w:space="0" w:color="C0C0C0"/>
              <w:bottom w:val="nil"/>
              <w:right w:val="single" w:sz="4" w:space="0" w:color="C0C0C0"/>
            </w:tcBorders>
            <w:shd w:val="clear" w:color="auto" w:fill="auto"/>
            <w:noWrap/>
            <w:vAlign w:val="bottom"/>
          </w:tcPr>
          <w:p w:rsidR="0028593C" w:rsidRPr="002C494A" w:rsidRDefault="0028593C" w:rsidP="00851E27">
            <w:pPr>
              <w:ind w:left="851" w:hanging="851"/>
              <w:rPr>
                <w:rFonts w:cs="Arial"/>
                <w:bCs/>
                <w:i/>
                <w:sz w:val="22"/>
                <w:szCs w:val="22"/>
                <w:lang w:eastAsia="en-GB"/>
              </w:rPr>
            </w:pPr>
            <w:r w:rsidRPr="002C494A">
              <w:rPr>
                <w:rFonts w:cs="Arial"/>
                <w:bCs/>
                <w:i/>
                <w:sz w:val="22"/>
                <w:szCs w:val="22"/>
                <w:lang w:eastAsia="en-GB"/>
              </w:rPr>
              <w:t>Total</w:t>
            </w:r>
          </w:p>
        </w:tc>
        <w:tc>
          <w:tcPr>
            <w:tcW w:w="1804" w:type="dxa"/>
            <w:tcBorders>
              <w:top w:val="single" w:sz="4" w:space="0" w:color="auto"/>
              <w:left w:val="nil"/>
              <w:bottom w:val="double" w:sz="6" w:space="0" w:color="auto"/>
              <w:right w:val="nil"/>
            </w:tcBorders>
            <w:shd w:val="clear" w:color="auto" w:fill="auto"/>
            <w:noWrap/>
            <w:vAlign w:val="bottom"/>
          </w:tcPr>
          <w:p w:rsidR="0028593C" w:rsidRPr="002C494A" w:rsidRDefault="00C21C08" w:rsidP="00851E27">
            <w:pPr>
              <w:ind w:left="851" w:hanging="851"/>
              <w:jc w:val="center"/>
              <w:rPr>
                <w:rFonts w:cs="Arial"/>
                <w:bCs/>
                <w:i/>
                <w:sz w:val="22"/>
                <w:szCs w:val="22"/>
                <w:lang w:eastAsia="en-GB"/>
              </w:rPr>
            </w:pPr>
            <w:r w:rsidRPr="002C494A">
              <w:rPr>
                <w:rFonts w:cs="Arial"/>
                <w:bCs/>
                <w:i/>
                <w:sz w:val="22"/>
                <w:szCs w:val="22"/>
                <w:lang w:eastAsia="en-GB"/>
              </w:rPr>
              <w:t>26</w:t>
            </w:r>
            <w:r w:rsidR="003B0BB2" w:rsidRPr="002C494A">
              <w:rPr>
                <w:rFonts w:cs="Arial"/>
                <w:bCs/>
                <w:i/>
                <w:sz w:val="22"/>
                <w:szCs w:val="22"/>
                <w:lang w:eastAsia="en-GB"/>
              </w:rPr>
              <w:t>,</w:t>
            </w:r>
            <w:r w:rsidRPr="002C494A">
              <w:rPr>
                <w:rFonts w:cs="Arial"/>
                <w:bCs/>
                <w:i/>
                <w:sz w:val="22"/>
                <w:szCs w:val="22"/>
                <w:lang w:eastAsia="en-GB"/>
              </w:rPr>
              <w:t>0</w:t>
            </w:r>
            <w:r w:rsidR="003B0BB2" w:rsidRPr="002C494A">
              <w:rPr>
                <w:rFonts w:cs="Arial"/>
                <w:bCs/>
                <w:i/>
                <w:sz w:val="22"/>
                <w:szCs w:val="22"/>
                <w:lang w:eastAsia="en-GB"/>
              </w:rPr>
              <w:t>00,000</w:t>
            </w:r>
          </w:p>
        </w:tc>
      </w:tr>
    </w:tbl>
    <w:p w:rsidR="006937D9" w:rsidRPr="002C494A" w:rsidRDefault="007D393F" w:rsidP="00851E27">
      <w:pPr>
        <w:autoSpaceDE w:val="0"/>
        <w:autoSpaceDN w:val="0"/>
        <w:adjustRightInd w:val="0"/>
        <w:ind w:left="851" w:hanging="851"/>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p>
    <w:p w:rsidR="00E62DA4" w:rsidRPr="002C494A" w:rsidRDefault="00E62DA4" w:rsidP="00851E27">
      <w:pPr>
        <w:tabs>
          <w:tab w:val="num" w:pos="709"/>
        </w:tabs>
        <w:ind w:left="851" w:hanging="851"/>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8F2482" w:rsidRPr="002C494A">
        <w:rPr>
          <w:rFonts w:cs="Arial"/>
          <w:sz w:val="22"/>
          <w:szCs w:val="22"/>
        </w:rPr>
        <w:t xml:space="preserve">The approved limits within the Annual Investment Strategy were not breached during the first six months of </w:t>
      </w:r>
      <w:r w:rsidR="00C21C08" w:rsidRPr="002C494A">
        <w:rPr>
          <w:rFonts w:cs="Arial"/>
          <w:sz w:val="22"/>
          <w:szCs w:val="22"/>
        </w:rPr>
        <w:t>2016/17</w:t>
      </w:r>
      <w:r w:rsidR="008F2482" w:rsidRPr="002C494A">
        <w:rPr>
          <w:rFonts w:cs="Arial"/>
          <w:sz w:val="22"/>
          <w:szCs w:val="22"/>
        </w:rPr>
        <w:t>.</w:t>
      </w:r>
    </w:p>
    <w:p w:rsidR="00E62DA4" w:rsidRPr="002C494A" w:rsidRDefault="00E62DA4" w:rsidP="00851E27">
      <w:pPr>
        <w:tabs>
          <w:tab w:val="num" w:pos="709"/>
        </w:tabs>
        <w:ind w:left="851" w:hanging="851"/>
        <w:rPr>
          <w:rFonts w:cs="Arial"/>
          <w:sz w:val="22"/>
          <w:szCs w:val="22"/>
        </w:rPr>
      </w:pPr>
    </w:p>
    <w:p w:rsidR="008F2482" w:rsidRPr="002C494A" w:rsidRDefault="00E62DA4" w:rsidP="00851E27">
      <w:pPr>
        <w:tabs>
          <w:tab w:val="num" w:pos="709"/>
        </w:tabs>
        <w:ind w:left="851" w:hanging="851"/>
        <w:rPr>
          <w:rFonts w:cs="Arial"/>
          <w:i/>
          <w:sz w:val="22"/>
          <w:szCs w:val="22"/>
        </w:rPr>
      </w:pPr>
      <w:r w:rsidRPr="002C494A">
        <w:rPr>
          <w:rFonts w:cs="Arial"/>
          <w:sz w:val="22"/>
          <w:szCs w:val="22"/>
        </w:rPr>
        <w:t>2.11</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8F2482" w:rsidRPr="002C494A">
        <w:rPr>
          <w:rFonts w:cs="Arial"/>
          <w:i/>
          <w:sz w:val="22"/>
          <w:szCs w:val="22"/>
        </w:rPr>
        <w:t>Security</w:t>
      </w:r>
    </w:p>
    <w:p w:rsidR="00E62DA4" w:rsidRPr="002C494A" w:rsidRDefault="00E62DA4" w:rsidP="00851E27">
      <w:pPr>
        <w:tabs>
          <w:tab w:val="num" w:pos="709"/>
        </w:tabs>
        <w:ind w:left="851" w:hanging="851"/>
        <w:rPr>
          <w:rFonts w:cs="Arial"/>
          <w:b/>
          <w:sz w:val="22"/>
          <w:szCs w:val="22"/>
        </w:rPr>
      </w:pPr>
    </w:p>
    <w:p w:rsidR="008F2482" w:rsidRPr="002C494A" w:rsidRDefault="00E62DA4" w:rsidP="004E3AE0">
      <w:pPr>
        <w:tabs>
          <w:tab w:val="num" w:pos="709"/>
        </w:tabs>
        <w:ind w:left="851"/>
        <w:jc w:val="both"/>
        <w:rPr>
          <w:rFonts w:cs="Arial"/>
          <w:iCs/>
          <w:sz w:val="22"/>
          <w:szCs w:val="22"/>
        </w:rPr>
      </w:pP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008F2482" w:rsidRPr="002C494A">
        <w:rPr>
          <w:rFonts w:cs="Arial"/>
          <w:sz w:val="22"/>
          <w:szCs w:val="22"/>
        </w:rPr>
        <w:t>The Council’s maximum security risk benc</w:t>
      </w:r>
      <w:r w:rsidR="00E70037" w:rsidRPr="002C494A">
        <w:rPr>
          <w:rFonts w:cs="Arial"/>
          <w:sz w:val="22"/>
          <w:szCs w:val="22"/>
        </w:rPr>
        <w:t>hmark for the current portfolio was set as 0.01</w:t>
      </w:r>
      <w:r w:rsidR="008F2482" w:rsidRPr="002C494A">
        <w:rPr>
          <w:rFonts w:cs="Arial"/>
          <w:bCs/>
          <w:iCs/>
          <w:sz w:val="22"/>
          <w:szCs w:val="22"/>
        </w:rPr>
        <w:t>%</w:t>
      </w:r>
      <w:r w:rsidR="008F2482" w:rsidRPr="002C494A">
        <w:rPr>
          <w:rFonts w:cs="Arial"/>
          <w:bCs/>
          <w:sz w:val="22"/>
          <w:szCs w:val="22"/>
        </w:rPr>
        <w:t xml:space="preserve"> risk of default when compared to the whole portfolio</w:t>
      </w:r>
      <w:r w:rsidR="00E70037" w:rsidRPr="002C494A">
        <w:rPr>
          <w:rFonts w:cs="Arial"/>
          <w:bCs/>
          <w:sz w:val="22"/>
          <w:szCs w:val="22"/>
        </w:rPr>
        <w:t>.</w:t>
      </w:r>
      <w:r w:rsidR="00212BC3" w:rsidRPr="002C494A">
        <w:rPr>
          <w:rFonts w:cs="Arial"/>
          <w:bCs/>
          <w:sz w:val="22"/>
          <w:szCs w:val="22"/>
        </w:rPr>
        <w:t xml:space="preserve">  </w:t>
      </w:r>
      <w:r w:rsidR="008F2482" w:rsidRPr="002C494A">
        <w:rPr>
          <w:rFonts w:cs="Arial"/>
          <w:iCs/>
          <w:sz w:val="22"/>
          <w:szCs w:val="22"/>
        </w:rPr>
        <w:t>The benchmarks are an average risk of default measure, and would not constitute an expectation of loss against a particular investment.  The benchmarks are embodied in the criteria for selecting cash investment counterparties and these will be monitored and reported to Members.  As this data is collated, trends and analysis will be collected and reported.  Where counterparty is not credit rated a proxy rating will be applied.</w:t>
      </w:r>
    </w:p>
    <w:p w:rsidR="008F2482" w:rsidRPr="002C494A" w:rsidRDefault="008F2482" w:rsidP="004E3AE0">
      <w:pPr>
        <w:pStyle w:val="BodyText"/>
        <w:ind w:left="851"/>
        <w:jc w:val="both"/>
        <w:rPr>
          <w:rFonts w:cs="Arial"/>
          <w:iCs/>
          <w:szCs w:val="22"/>
        </w:rPr>
      </w:pPr>
    </w:p>
    <w:p w:rsidR="00E70037" w:rsidRPr="002C494A" w:rsidRDefault="00E70037" w:rsidP="004E3AE0">
      <w:pPr>
        <w:pStyle w:val="BodyText"/>
        <w:ind w:left="851"/>
        <w:jc w:val="both"/>
        <w:rPr>
          <w:rFonts w:cs="Arial"/>
          <w:szCs w:val="22"/>
        </w:rPr>
      </w:pPr>
      <w:r w:rsidRPr="002C494A">
        <w:rPr>
          <w:rFonts w:cs="Arial"/>
          <w:szCs w:val="22"/>
        </w:rPr>
        <w:t>In line with the TMS, t</w:t>
      </w:r>
      <w:r w:rsidR="008F2482" w:rsidRPr="002C494A">
        <w:rPr>
          <w:rFonts w:cs="Arial"/>
          <w:szCs w:val="22"/>
        </w:rPr>
        <w:t xml:space="preserve">he Council </w:t>
      </w:r>
      <w:r w:rsidRPr="002C494A">
        <w:rPr>
          <w:rFonts w:cs="Arial"/>
          <w:szCs w:val="22"/>
        </w:rPr>
        <w:t xml:space="preserve">has managed to </w:t>
      </w:r>
      <w:r w:rsidR="008F2482" w:rsidRPr="002C494A">
        <w:rPr>
          <w:rFonts w:cs="Arial"/>
          <w:szCs w:val="22"/>
        </w:rPr>
        <w:t xml:space="preserve">invest with </w:t>
      </w:r>
      <w:r w:rsidRPr="002C494A">
        <w:rPr>
          <w:rFonts w:cs="Arial"/>
          <w:szCs w:val="22"/>
        </w:rPr>
        <w:t>those institutions</w:t>
      </w:r>
      <w:r w:rsidR="008F2482" w:rsidRPr="002C494A">
        <w:rPr>
          <w:rFonts w:cs="Arial"/>
          <w:szCs w:val="22"/>
        </w:rPr>
        <w:t xml:space="preserve"> </w:t>
      </w:r>
      <w:r w:rsidRPr="002C494A">
        <w:rPr>
          <w:rFonts w:cs="Arial"/>
          <w:szCs w:val="22"/>
        </w:rPr>
        <w:t xml:space="preserve">who offered </w:t>
      </w:r>
      <w:r w:rsidR="008F2482" w:rsidRPr="002C494A">
        <w:rPr>
          <w:rFonts w:cs="Arial"/>
          <w:szCs w:val="22"/>
        </w:rPr>
        <w:t xml:space="preserve">the </w:t>
      </w:r>
      <w:r w:rsidRPr="002C494A">
        <w:rPr>
          <w:rFonts w:cs="Arial"/>
          <w:szCs w:val="22"/>
        </w:rPr>
        <w:t>best</w:t>
      </w:r>
      <w:r w:rsidR="008F2482" w:rsidRPr="002C494A">
        <w:rPr>
          <w:rFonts w:cs="Arial"/>
          <w:szCs w:val="22"/>
        </w:rPr>
        <w:t xml:space="preserve"> rate</w:t>
      </w:r>
      <w:r w:rsidRPr="002C494A">
        <w:rPr>
          <w:rFonts w:cs="Arial"/>
          <w:szCs w:val="22"/>
        </w:rPr>
        <w:t xml:space="preserve"> and the investment portfolio is above the overall benchmark during the year to date.</w:t>
      </w:r>
    </w:p>
    <w:p w:rsidR="008F2482" w:rsidRPr="002C494A" w:rsidRDefault="008F2482" w:rsidP="004E3AE0">
      <w:pPr>
        <w:pStyle w:val="BodyText"/>
        <w:ind w:left="851"/>
        <w:jc w:val="both"/>
        <w:rPr>
          <w:rFonts w:cs="Arial"/>
          <w:szCs w:val="22"/>
        </w:rPr>
      </w:pPr>
    </w:p>
    <w:p w:rsidR="008F2482" w:rsidRPr="002C494A" w:rsidRDefault="00E62DA4" w:rsidP="00851E27">
      <w:pPr>
        <w:tabs>
          <w:tab w:val="num" w:pos="709"/>
        </w:tabs>
        <w:ind w:left="851" w:hanging="851"/>
        <w:rPr>
          <w:rFonts w:cs="Arial"/>
          <w:i/>
          <w:sz w:val="22"/>
          <w:szCs w:val="22"/>
        </w:rPr>
      </w:pPr>
      <w:r w:rsidRPr="002C494A">
        <w:rPr>
          <w:rFonts w:cs="Arial"/>
          <w:sz w:val="22"/>
          <w:szCs w:val="22"/>
        </w:rPr>
        <w:t>2.12</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bookmarkEnd w:id="0"/>
      <w:bookmarkEnd w:id="1"/>
      <w:bookmarkEnd w:id="2"/>
      <w:bookmarkEnd w:id="3"/>
      <w:r w:rsidR="008F2482" w:rsidRPr="002C494A">
        <w:rPr>
          <w:rFonts w:cs="Arial"/>
          <w:i/>
          <w:sz w:val="22"/>
          <w:szCs w:val="22"/>
        </w:rPr>
        <w:t>Liquidity</w:t>
      </w:r>
    </w:p>
    <w:p w:rsidR="00E62DA4" w:rsidRPr="002C494A" w:rsidRDefault="00E62DA4" w:rsidP="00851E27">
      <w:pPr>
        <w:tabs>
          <w:tab w:val="num" w:pos="709"/>
        </w:tabs>
        <w:ind w:left="851" w:hanging="851"/>
        <w:rPr>
          <w:rFonts w:cs="Arial"/>
          <w:b/>
          <w:sz w:val="22"/>
          <w:szCs w:val="22"/>
        </w:rPr>
      </w:pPr>
    </w:p>
    <w:p w:rsidR="008F2482" w:rsidRPr="002C494A" w:rsidRDefault="00EE235D" w:rsidP="00851E27">
      <w:pPr>
        <w:tabs>
          <w:tab w:val="num" w:pos="709"/>
        </w:tabs>
        <w:ind w:left="851" w:hanging="851"/>
        <w:rPr>
          <w:rFonts w:cs="Arial"/>
          <w:sz w:val="22"/>
          <w:szCs w:val="22"/>
        </w:rPr>
      </w:pPr>
      <w:r w:rsidRPr="002C494A">
        <w:rPr>
          <w:rFonts w:cs="Arial"/>
          <w:sz w:val="22"/>
          <w:szCs w:val="22"/>
        </w:rPr>
        <w:tab/>
      </w:r>
      <w:r w:rsidR="00E62DA4" w:rsidRPr="002C494A">
        <w:rPr>
          <w:rFonts w:cs="Arial"/>
          <w:sz w:val="22"/>
          <w:szCs w:val="22"/>
        </w:rPr>
        <w:fldChar w:fldCharType="begin"/>
      </w:r>
      <w:r w:rsidR="00E62DA4" w:rsidRPr="002C494A">
        <w:rPr>
          <w:rFonts w:cs="Arial"/>
          <w:sz w:val="22"/>
          <w:szCs w:val="22"/>
        </w:rPr>
        <w:instrText xml:space="preserve">  </w:instrText>
      </w:r>
      <w:r w:rsidR="00E62DA4" w:rsidRPr="002C494A">
        <w:rPr>
          <w:rFonts w:cs="Arial"/>
          <w:sz w:val="22"/>
          <w:szCs w:val="22"/>
        </w:rPr>
        <w:fldChar w:fldCharType="end"/>
      </w:r>
      <w:r w:rsidR="00E62DA4" w:rsidRPr="002C494A">
        <w:rPr>
          <w:rFonts w:cs="Arial"/>
          <w:noProof/>
          <w:sz w:val="22"/>
          <w:szCs w:val="22"/>
        </w:rPr>
        <w:t xml:space="preserve"> </w:t>
      </w:r>
      <w:r w:rsidR="00E62DA4" w:rsidRPr="002C494A">
        <w:rPr>
          <w:rFonts w:cs="Arial"/>
          <w:noProof/>
          <w:sz w:val="22"/>
          <w:szCs w:val="22"/>
        </w:rPr>
        <w:tab/>
      </w:r>
      <w:r w:rsidR="008F2482" w:rsidRPr="002C494A">
        <w:rPr>
          <w:rFonts w:cs="Arial"/>
          <w:sz w:val="22"/>
          <w:szCs w:val="22"/>
        </w:rPr>
        <w:t>The Council set liquidity facilities/benchmarks to maintain:</w:t>
      </w:r>
    </w:p>
    <w:p w:rsidR="00E62DA4" w:rsidRPr="002C494A" w:rsidRDefault="00E62DA4" w:rsidP="00851E27">
      <w:pPr>
        <w:tabs>
          <w:tab w:val="num" w:pos="709"/>
        </w:tabs>
        <w:ind w:left="851" w:hanging="851"/>
        <w:rPr>
          <w:rFonts w:cs="Arial"/>
          <w:sz w:val="22"/>
          <w:szCs w:val="22"/>
        </w:rPr>
      </w:pPr>
    </w:p>
    <w:p w:rsidR="008F2482" w:rsidRPr="002C494A" w:rsidRDefault="008F2482" w:rsidP="00851E27">
      <w:pPr>
        <w:numPr>
          <w:ilvl w:val="0"/>
          <w:numId w:val="22"/>
        </w:numPr>
        <w:ind w:left="851" w:hanging="851"/>
        <w:rPr>
          <w:rFonts w:cs="Arial"/>
          <w:b/>
          <w:sz w:val="22"/>
          <w:szCs w:val="22"/>
        </w:rPr>
      </w:pPr>
      <w:r w:rsidRPr="002C494A">
        <w:rPr>
          <w:rFonts w:cs="Arial"/>
          <w:sz w:val="22"/>
          <w:szCs w:val="22"/>
        </w:rPr>
        <w:t>Bank overdraft - £0m.</w:t>
      </w:r>
    </w:p>
    <w:p w:rsidR="008F2482" w:rsidRPr="002C494A" w:rsidRDefault="008F2482" w:rsidP="00851E27">
      <w:pPr>
        <w:numPr>
          <w:ilvl w:val="0"/>
          <w:numId w:val="22"/>
        </w:numPr>
        <w:ind w:left="851" w:hanging="851"/>
        <w:rPr>
          <w:rFonts w:cs="Arial"/>
          <w:b/>
          <w:sz w:val="22"/>
          <w:szCs w:val="22"/>
        </w:rPr>
      </w:pPr>
      <w:r w:rsidRPr="002C494A">
        <w:rPr>
          <w:rFonts w:cs="Arial"/>
          <w:sz w:val="22"/>
          <w:szCs w:val="22"/>
        </w:rPr>
        <w:t xml:space="preserve">The benefit of instant access to its funds on </w:t>
      </w:r>
      <w:r w:rsidR="00123CE5" w:rsidRPr="002C494A">
        <w:rPr>
          <w:rFonts w:cs="Arial"/>
          <w:sz w:val="22"/>
          <w:szCs w:val="22"/>
        </w:rPr>
        <w:t>the general account with Lloyds</w:t>
      </w:r>
      <w:r w:rsidRPr="002C494A">
        <w:rPr>
          <w:rFonts w:cs="Arial"/>
          <w:sz w:val="22"/>
          <w:szCs w:val="22"/>
        </w:rPr>
        <w:t xml:space="preserve">. </w:t>
      </w:r>
    </w:p>
    <w:p w:rsidR="00E62DA4" w:rsidRPr="002C494A" w:rsidRDefault="00E62DA4" w:rsidP="00851E27">
      <w:pPr>
        <w:ind w:left="851" w:hanging="851"/>
        <w:rPr>
          <w:rFonts w:cs="Arial"/>
          <w:sz w:val="22"/>
          <w:szCs w:val="22"/>
        </w:rPr>
      </w:pPr>
    </w:p>
    <w:p w:rsidR="008F2482" w:rsidRPr="002C494A" w:rsidRDefault="00E62DA4" w:rsidP="00851E27">
      <w:pPr>
        <w:tabs>
          <w:tab w:val="num" w:pos="709"/>
        </w:tabs>
        <w:ind w:left="851" w:hanging="851"/>
        <w:rPr>
          <w:rFonts w:cs="Arial"/>
          <w:b/>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8F2482" w:rsidRPr="002C494A">
        <w:rPr>
          <w:rFonts w:cs="Arial"/>
          <w:sz w:val="22"/>
          <w:szCs w:val="22"/>
        </w:rPr>
        <w:t>The liquidity arrangements were adequate during the year to date.</w:t>
      </w:r>
    </w:p>
    <w:p w:rsidR="008F2482" w:rsidRPr="002C494A" w:rsidRDefault="008F2482" w:rsidP="00851E27">
      <w:pPr>
        <w:tabs>
          <w:tab w:val="num" w:pos="1440"/>
        </w:tabs>
        <w:ind w:left="851" w:hanging="851"/>
        <w:rPr>
          <w:rFonts w:cs="Arial"/>
          <w:sz w:val="22"/>
          <w:szCs w:val="22"/>
        </w:rPr>
      </w:pPr>
    </w:p>
    <w:p w:rsidR="008F2482" w:rsidRPr="002C494A" w:rsidRDefault="005372D1" w:rsidP="00851E27">
      <w:pPr>
        <w:tabs>
          <w:tab w:val="num" w:pos="709"/>
        </w:tabs>
        <w:ind w:left="851" w:hanging="851"/>
        <w:rPr>
          <w:rFonts w:cs="Arial"/>
          <w:sz w:val="22"/>
          <w:szCs w:val="22"/>
        </w:rPr>
      </w:pPr>
      <w:r w:rsidRPr="002C494A">
        <w:rPr>
          <w:rFonts w:cs="Arial"/>
          <w:sz w:val="22"/>
          <w:szCs w:val="22"/>
        </w:rPr>
        <w:t>2.13</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8F2482" w:rsidRPr="002C494A">
        <w:rPr>
          <w:rFonts w:cs="Arial"/>
          <w:i/>
          <w:sz w:val="22"/>
          <w:szCs w:val="22"/>
        </w:rPr>
        <w:t>Yield</w:t>
      </w:r>
    </w:p>
    <w:p w:rsidR="00ED4BD9" w:rsidRPr="002C494A" w:rsidRDefault="00ED4BD9" w:rsidP="00851E27">
      <w:pPr>
        <w:tabs>
          <w:tab w:val="num" w:pos="709"/>
        </w:tabs>
        <w:ind w:left="851" w:hanging="851"/>
        <w:rPr>
          <w:rFonts w:cs="Arial"/>
          <w:sz w:val="22"/>
          <w:szCs w:val="22"/>
        </w:rPr>
      </w:pPr>
    </w:p>
    <w:p w:rsidR="00ED4BD9" w:rsidRPr="002C494A" w:rsidRDefault="00ED4BD9" w:rsidP="004E3AE0">
      <w:pPr>
        <w:tabs>
          <w:tab w:val="num" w:pos="709"/>
        </w:tabs>
        <w:ind w:left="851" w:hanging="851"/>
        <w:jc w:val="both"/>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Pr="002C494A">
        <w:rPr>
          <w:rFonts w:cs="Arial"/>
          <w:sz w:val="22"/>
          <w:szCs w:val="22"/>
        </w:rPr>
        <w:t xml:space="preserve">The budget for interest </w:t>
      </w:r>
      <w:r w:rsidR="006F33CC" w:rsidRPr="002C494A">
        <w:rPr>
          <w:rFonts w:cs="Arial"/>
          <w:sz w:val="22"/>
          <w:szCs w:val="22"/>
        </w:rPr>
        <w:t>earned</w:t>
      </w:r>
      <w:r w:rsidR="0028593C" w:rsidRPr="002C494A">
        <w:rPr>
          <w:rFonts w:cs="Arial"/>
          <w:sz w:val="22"/>
          <w:szCs w:val="22"/>
        </w:rPr>
        <w:t xml:space="preserve"> </w:t>
      </w:r>
      <w:r w:rsidRPr="002C494A">
        <w:rPr>
          <w:rFonts w:cs="Arial"/>
          <w:sz w:val="22"/>
          <w:szCs w:val="22"/>
        </w:rPr>
        <w:t xml:space="preserve">on investments for </w:t>
      </w:r>
      <w:r w:rsidR="00C21C08" w:rsidRPr="002C494A">
        <w:rPr>
          <w:rFonts w:cs="Arial"/>
          <w:sz w:val="22"/>
          <w:szCs w:val="22"/>
        </w:rPr>
        <w:t>2016/17</w:t>
      </w:r>
      <w:r w:rsidRPr="002C494A">
        <w:rPr>
          <w:rFonts w:cs="Arial"/>
          <w:sz w:val="22"/>
          <w:szCs w:val="22"/>
        </w:rPr>
        <w:t xml:space="preserve"> is £</w:t>
      </w:r>
      <w:r w:rsidR="004322D2" w:rsidRPr="002C494A">
        <w:rPr>
          <w:rFonts w:cs="Arial"/>
          <w:sz w:val="22"/>
          <w:szCs w:val="22"/>
        </w:rPr>
        <w:t>283,000</w:t>
      </w:r>
      <w:r w:rsidR="0028593C" w:rsidRPr="002C494A">
        <w:rPr>
          <w:rFonts w:cs="Arial"/>
          <w:sz w:val="22"/>
          <w:szCs w:val="22"/>
        </w:rPr>
        <w:t>;</w:t>
      </w:r>
      <w:r w:rsidRPr="002C494A">
        <w:rPr>
          <w:rFonts w:cs="Arial"/>
          <w:sz w:val="22"/>
          <w:szCs w:val="22"/>
        </w:rPr>
        <w:t xml:space="preserve"> interest received </w:t>
      </w:r>
      <w:r w:rsidR="00E822A8" w:rsidRPr="002C494A">
        <w:rPr>
          <w:rFonts w:cs="Arial"/>
          <w:sz w:val="22"/>
          <w:szCs w:val="22"/>
        </w:rPr>
        <w:t xml:space="preserve">and accrued </w:t>
      </w:r>
      <w:r w:rsidRPr="002C494A">
        <w:rPr>
          <w:rFonts w:cs="Arial"/>
          <w:sz w:val="22"/>
          <w:szCs w:val="22"/>
        </w:rPr>
        <w:t xml:space="preserve">up to the end of September </w:t>
      </w:r>
      <w:r w:rsidR="0028593C" w:rsidRPr="002C494A">
        <w:rPr>
          <w:rFonts w:cs="Arial"/>
          <w:sz w:val="22"/>
          <w:szCs w:val="22"/>
        </w:rPr>
        <w:t>was</w:t>
      </w:r>
      <w:r w:rsidRPr="002C494A">
        <w:rPr>
          <w:rFonts w:cs="Arial"/>
          <w:sz w:val="22"/>
          <w:szCs w:val="22"/>
        </w:rPr>
        <w:t xml:space="preserve"> </w:t>
      </w:r>
      <w:r w:rsidRPr="002C494A">
        <w:rPr>
          <w:rFonts w:cs="Arial"/>
          <w:b/>
          <w:sz w:val="22"/>
          <w:szCs w:val="22"/>
        </w:rPr>
        <w:t>£</w:t>
      </w:r>
      <w:r w:rsidR="00E822A8" w:rsidRPr="002C494A">
        <w:rPr>
          <w:rFonts w:cs="Arial"/>
          <w:b/>
          <w:sz w:val="22"/>
          <w:szCs w:val="22"/>
        </w:rPr>
        <w:t>104</w:t>
      </w:r>
      <w:r w:rsidR="004322D2" w:rsidRPr="002C494A">
        <w:rPr>
          <w:rFonts w:cs="Arial"/>
          <w:b/>
          <w:sz w:val="22"/>
          <w:szCs w:val="22"/>
        </w:rPr>
        <w:t>,</w:t>
      </w:r>
      <w:r w:rsidR="00E822A8" w:rsidRPr="002C494A">
        <w:rPr>
          <w:rFonts w:cs="Arial"/>
          <w:b/>
          <w:sz w:val="22"/>
          <w:szCs w:val="22"/>
        </w:rPr>
        <w:t>000</w:t>
      </w:r>
      <w:r w:rsidRPr="002C494A">
        <w:rPr>
          <w:rFonts w:cs="Arial"/>
          <w:sz w:val="22"/>
          <w:szCs w:val="22"/>
        </w:rPr>
        <w:t>.</w:t>
      </w:r>
      <w:r w:rsidR="00E822A8" w:rsidRPr="002C494A">
        <w:rPr>
          <w:rFonts w:cs="Arial"/>
          <w:sz w:val="22"/>
          <w:szCs w:val="22"/>
        </w:rPr>
        <w:t xml:space="preserve">  Due to the recent drop interest rates and the low returns available, it is expected that the forecast outturn will be in the region of £165,000.</w:t>
      </w:r>
      <w:r w:rsidRPr="002C494A">
        <w:rPr>
          <w:rFonts w:cs="Arial"/>
          <w:sz w:val="22"/>
          <w:szCs w:val="22"/>
        </w:rPr>
        <w:t xml:space="preserve"> </w:t>
      </w:r>
    </w:p>
    <w:p w:rsidR="00ED4BD9" w:rsidRPr="002C494A" w:rsidRDefault="00ED4BD9" w:rsidP="004E3AE0">
      <w:pPr>
        <w:tabs>
          <w:tab w:val="num" w:pos="709"/>
        </w:tabs>
        <w:ind w:left="851" w:hanging="851"/>
        <w:jc w:val="both"/>
        <w:rPr>
          <w:rFonts w:cs="Arial"/>
          <w:sz w:val="22"/>
          <w:szCs w:val="22"/>
        </w:rPr>
      </w:pPr>
    </w:p>
    <w:p w:rsidR="00ED4BD9" w:rsidRPr="002C494A" w:rsidRDefault="00EE235D" w:rsidP="004E3AE0">
      <w:pPr>
        <w:tabs>
          <w:tab w:val="num" w:pos="709"/>
        </w:tabs>
        <w:ind w:left="851" w:hanging="851"/>
        <w:jc w:val="both"/>
        <w:rPr>
          <w:rFonts w:cs="Arial"/>
          <w:sz w:val="22"/>
          <w:szCs w:val="22"/>
        </w:rPr>
      </w:pPr>
      <w:r w:rsidRPr="002C494A">
        <w:rPr>
          <w:rFonts w:cs="Arial"/>
          <w:sz w:val="22"/>
          <w:szCs w:val="22"/>
        </w:rPr>
        <w:tab/>
      </w:r>
      <w:r w:rsidR="00ED4BD9" w:rsidRPr="002C494A">
        <w:rPr>
          <w:rFonts w:cs="Arial"/>
          <w:sz w:val="22"/>
          <w:szCs w:val="22"/>
        </w:rPr>
        <w:fldChar w:fldCharType="begin"/>
      </w:r>
      <w:r w:rsidR="00ED4BD9" w:rsidRPr="002C494A">
        <w:rPr>
          <w:rFonts w:cs="Arial"/>
          <w:sz w:val="22"/>
          <w:szCs w:val="22"/>
        </w:rPr>
        <w:instrText xml:space="preserve">  </w:instrText>
      </w:r>
      <w:r w:rsidR="00ED4BD9" w:rsidRPr="002C494A">
        <w:rPr>
          <w:rFonts w:cs="Arial"/>
          <w:sz w:val="22"/>
          <w:szCs w:val="22"/>
        </w:rPr>
        <w:fldChar w:fldCharType="end"/>
      </w:r>
      <w:r w:rsidR="00ED4BD9" w:rsidRPr="002C494A">
        <w:rPr>
          <w:rFonts w:cs="Arial"/>
          <w:noProof/>
          <w:sz w:val="22"/>
          <w:szCs w:val="22"/>
        </w:rPr>
        <w:t xml:space="preserve"> </w:t>
      </w:r>
      <w:r w:rsidR="00ED4BD9" w:rsidRPr="002C494A">
        <w:rPr>
          <w:rFonts w:cs="Arial"/>
          <w:noProof/>
          <w:sz w:val="22"/>
          <w:szCs w:val="22"/>
        </w:rPr>
        <w:tab/>
      </w:r>
      <w:r w:rsidR="00800E05" w:rsidRPr="002C494A">
        <w:rPr>
          <w:rFonts w:cs="Arial"/>
          <w:noProof/>
          <w:sz w:val="22"/>
          <w:szCs w:val="22"/>
        </w:rPr>
        <w:t>The approved</w:t>
      </w:r>
      <w:r w:rsidR="00800E05" w:rsidRPr="002C494A">
        <w:rPr>
          <w:rFonts w:cs="Arial"/>
          <w:sz w:val="22"/>
          <w:szCs w:val="22"/>
        </w:rPr>
        <w:t xml:space="preserve"> benchmark measure</w:t>
      </w:r>
      <w:r w:rsidR="008F2482" w:rsidRPr="002C494A">
        <w:rPr>
          <w:rFonts w:cs="Arial"/>
          <w:sz w:val="22"/>
          <w:szCs w:val="22"/>
        </w:rPr>
        <w:t xml:space="preserve"> of yield </w:t>
      </w:r>
      <w:r w:rsidR="00800E05" w:rsidRPr="002C494A">
        <w:rPr>
          <w:rFonts w:cs="Arial"/>
          <w:sz w:val="22"/>
          <w:szCs w:val="22"/>
        </w:rPr>
        <w:t>is a</w:t>
      </w:r>
      <w:r w:rsidR="008F2482" w:rsidRPr="002C494A">
        <w:rPr>
          <w:rFonts w:cs="Arial"/>
          <w:sz w:val="22"/>
          <w:szCs w:val="22"/>
        </w:rPr>
        <w:t xml:space="preserve"> return</w:t>
      </w:r>
      <w:r w:rsidR="00800E05" w:rsidRPr="002C494A">
        <w:rPr>
          <w:rFonts w:cs="Arial"/>
          <w:sz w:val="22"/>
          <w:szCs w:val="22"/>
        </w:rPr>
        <w:t xml:space="preserve"> of</w:t>
      </w:r>
      <w:r w:rsidR="008F2482" w:rsidRPr="002C494A">
        <w:rPr>
          <w:rFonts w:cs="Arial"/>
          <w:sz w:val="22"/>
          <w:szCs w:val="22"/>
        </w:rPr>
        <w:t xml:space="preserve"> 0.12% above </w:t>
      </w:r>
      <w:r w:rsidR="0028593C" w:rsidRPr="002C494A">
        <w:rPr>
          <w:rFonts w:cs="Arial"/>
          <w:sz w:val="22"/>
          <w:szCs w:val="22"/>
        </w:rPr>
        <w:t xml:space="preserve">the </w:t>
      </w:r>
      <w:r w:rsidR="008F2482" w:rsidRPr="002C494A">
        <w:rPr>
          <w:rFonts w:cs="Arial"/>
          <w:sz w:val="22"/>
          <w:szCs w:val="22"/>
        </w:rPr>
        <w:t xml:space="preserve">average bank rate </w:t>
      </w:r>
      <w:r w:rsidR="0028593C" w:rsidRPr="002C494A">
        <w:rPr>
          <w:rFonts w:cs="Arial"/>
          <w:sz w:val="22"/>
          <w:szCs w:val="22"/>
        </w:rPr>
        <w:t>of 0.50</w:t>
      </w:r>
      <w:r w:rsidR="008F2482" w:rsidRPr="002C494A">
        <w:rPr>
          <w:rFonts w:cs="Arial"/>
          <w:sz w:val="22"/>
          <w:szCs w:val="22"/>
        </w:rPr>
        <w:t>%</w:t>
      </w:r>
      <w:r w:rsidR="00144542" w:rsidRPr="002C494A">
        <w:rPr>
          <w:rFonts w:cs="Arial"/>
          <w:sz w:val="22"/>
          <w:szCs w:val="22"/>
        </w:rPr>
        <w:t xml:space="preserve"> (until 03 August 2016, after which the bank rate was reduced to 0.25%)</w:t>
      </w:r>
      <w:r w:rsidR="008F2482" w:rsidRPr="002C494A">
        <w:rPr>
          <w:rFonts w:cs="Arial"/>
          <w:sz w:val="22"/>
          <w:szCs w:val="22"/>
        </w:rPr>
        <w:t>.</w:t>
      </w:r>
      <w:r w:rsidR="00144542" w:rsidRPr="002C494A">
        <w:rPr>
          <w:rFonts w:cs="Arial"/>
          <w:sz w:val="22"/>
          <w:szCs w:val="22"/>
        </w:rPr>
        <w:t xml:space="preserve"> </w:t>
      </w:r>
      <w:r w:rsidR="00800E05" w:rsidRPr="002C494A">
        <w:rPr>
          <w:rFonts w:cs="Arial"/>
          <w:sz w:val="22"/>
          <w:szCs w:val="22"/>
        </w:rPr>
        <w:t xml:space="preserve"> The</w:t>
      </w:r>
      <w:r w:rsidR="00ED4BD9" w:rsidRPr="002C494A">
        <w:rPr>
          <w:rFonts w:cs="Arial"/>
          <w:sz w:val="22"/>
          <w:szCs w:val="22"/>
        </w:rPr>
        <w:fldChar w:fldCharType="begin"/>
      </w:r>
      <w:r w:rsidR="00ED4BD9" w:rsidRPr="002C494A">
        <w:rPr>
          <w:rFonts w:cs="Arial"/>
          <w:sz w:val="22"/>
          <w:szCs w:val="22"/>
        </w:rPr>
        <w:instrText xml:space="preserve">  </w:instrText>
      </w:r>
      <w:r w:rsidR="00ED4BD9" w:rsidRPr="002C494A">
        <w:rPr>
          <w:rFonts w:cs="Arial"/>
          <w:sz w:val="22"/>
          <w:szCs w:val="22"/>
        </w:rPr>
        <w:fldChar w:fldCharType="end"/>
      </w:r>
      <w:r w:rsidR="00800E05" w:rsidRPr="002C494A">
        <w:rPr>
          <w:rFonts w:cs="Arial"/>
          <w:sz w:val="22"/>
          <w:szCs w:val="22"/>
        </w:rPr>
        <w:t xml:space="preserve"> r</w:t>
      </w:r>
      <w:r w:rsidR="00C21C08" w:rsidRPr="002C494A">
        <w:rPr>
          <w:rFonts w:cs="Arial"/>
          <w:sz w:val="22"/>
          <w:szCs w:val="22"/>
        </w:rPr>
        <w:t xml:space="preserve">eturns up to 30 September 2016 </w:t>
      </w:r>
      <w:r w:rsidR="005E2247" w:rsidRPr="002C494A">
        <w:rPr>
          <w:rFonts w:cs="Arial"/>
          <w:sz w:val="22"/>
          <w:szCs w:val="22"/>
        </w:rPr>
        <w:t>averaged 0.7</w:t>
      </w:r>
      <w:r w:rsidR="008D76E6" w:rsidRPr="002C494A">
        <w:rPr>
          <w:rFonts w:cs="Arial"/>
          <w:sz w:val="22"/>
          <w:szCs w:val="22"/>
        </w:rPr>
        <w:t>4</w:t>
      </w:r>
      <w:r w:rsidR="008F2482" w:rsidRPr="002C494A">
        <w:rPr>
          <w:rFonts w:cs="Arial"/>
          <w:sz w:val="22"/>
          <w:szCs w:val="22"/>
        </w:rPr>
        <w:t>%, against a benchmark rate of 0.62%</w:t>
      </w:r>
      <w:r w:rsidR="00144542" w:rsidRPr="002C494A">
        <w:rPr>
          <w:rFonts w:cs="Arial"/>
          <w:sz w:val="22"/>
          <w:szCs w:val="22"/>
        </w:rPr>
        <w:t xml:space="preserve"> (until 03 August 2016)</w:t>
      </w:r>
      <w:r w:rsidR="008F2482" w:rsidRPr="002C494A">
        <w:rPr>
          <w:rFonts w:cs="Arial"/>
          <w:sz w:val="22"/>
          <w:szCs w:val="22"/>
        </w:rPr>
        <w:t xml:space="preserve">. </w:t>
      </w:r>
    </w:p>
    <w:p w:rsidR="00ED4BD9" w:rsidRPr="002C494A" w:rsidRDefault="00ED4BD9" w:rsidP="00851E27">
      <w:pPr>
        <w:tabs>
          <w:tab w:val="num" w:pos="709"/>
        </w:tabs>
        <w:ind w:left="851" w:hanging="851"/>
        <w:rPr>
          <w:rFonts w:cs="Arial"/>
          <w:sz w:val="22"/>
          <w:szCs w:val="22"/>
        </w:rPr>
      </w:pPr>
    </w:p>
    <w:p w:rsidR="00C4295C" w:rsidRPr="002C494A" w:rsidRDefault="00E70037" w:rsidP="00212BC3">
      <w:pPr>
        <w:tabs>
          <w:tab w:val="num" w:pos="709"/>
        </w:tabs>
        <w:ind w:left="851"/>
        <w:rPr>
          <w:rFonts w:cs="Arial"/>
          <w:sz w:val="22"/>
          <w:szCs w:val="22"/>
        </w:rPr>
      </w:pPr>
      <w:r w:rsidRPr="002C494A">
        <w:rPr>
          <w:rFonts w:cs="Arial"/>
          <w:sz w:val="22"/>
          <w:szCs w:val="22"/>
        </w:rPr>
        <w:t xml:space="preserve">The average yield return was </w:t>
      </w:r>
      <w:r w:rsidR="009D2214" w:rsidRPr="002C494A">
        <w:rPr>
          <w:rFonts w:cs="Arial"/>
          <w:sz w:val="22"/>
          <w:szCs w:val="22"/>
        </w:rPr>
        <w:t>higher</w:t>
      </w:r>
      <w:r w:rsidRPr="002C494A">
        <w:rPr>
          <w:rFonts w:cs="Arial"/>
          <w:sz w:val="22"/>
          <w:szCs w:val="22"/>
        </w:rPr>
        <w:t xml:space="preserve"> than the benchmark for the year to date.</w:t>
      </w:r>
    </w:p>
    <w:p w:rsidR="00C4295C" w:rsidRPr="002C494A" w:rsidRDefault="00C4295C" w:rsidP="00851E27">
      <w:pPr>
        <w:tabs>
          <w:tab w:val="num" w:pos="709"/>
        </w:tabs>
        <w:ind w:left="851" w:hanging="851"/>
        <w:rPr>
          <w:rFonts w:cs="Arial"/>
          <w:sz w:val="22"/>
          <w:szCs w:val="22"/>
        </w:rPr>
      </w:pPr>
    </w:p>
    <w:p w:rsidR="00260BAC" w:rsidRPr="002C494A" w:rsidRDefault="00260BAC" w:rsidP="00212BC3">
      <w:pPr>
        <w:tabs>
          <w:tab w:val="num" w:pos="709"/>
        </w:tabs>
        <w:ind w:left="851"/>
        <w:rPr>
          <w:rFonts w:cs="Arial"/>
          <w:sz w:val="22"/>
          <w:szCs w:val="22"/>
        </w:rPr>
      </w:pPr>
      <w:r w:rsidRPr="002C494A">
        <w:rPr>
          <w:rFonts w:cs="Arial"/>
          <w:sz w:val="22"/>
          <w:szCs w:val="22"/>
        </w:rPr>
        <w:t>Table of Monthly Interest Rate</w:t>
      </w:r>
      <w:r w:rsidR="00E70037" w:rsidRPr="002C494A">
        <w:rPr>
          <w:rFonts w:cs="Arial"/>
          <w:sz w:val="22"/>
          <w:szCs w:val="22"/>
        </w:rPr>
        <w:t>s</w:t>
      </w:r>
      <w:r w:rsidRPr="002C494A">
        <w:rPr>
          <w:rFonts w:cs="Arial"/>
          <w:sz w:val="22"/>
          <w:szCs w:val="22"/>
        </w:rPr>
        <w:t xml:space="preserve"> to Date:</w:t>
      </w:r>
    </w:p>
    <w:p w:rsidR="00697CE8" w:rsidRPr="002C494A" w:rsidRDefault="00697CE8" w:rsidP="00851E27">
      <w:pPr>
        <w:ind w:left="851" w:hanging="851"/>
        <w:rPr>
          <w:rFonts w:cs="Arial"/>
          <w:sz w:val="22"/>
          <w:szCs w:val="22"/>
          <w:highlight w:val="yellow"/>
        </w:rPr>
      </w:pPr>
    </w:p>
    <w:tbl>
      <w:tblPr>
        <w:tblpPr w:leftFromText="180" w:rightFromText="180" w:vertAnchor="text" w:horzAnchor="page" w:tblpX="277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855"/>
      </w:tblGrid>
      <w:tr w:rsidR="00697CE8" w:rsidRPr="002C494A" w:rsidTr="00066F5D">
        <w:tc>
          <w:tcPr>
            <w:tcW w:w="1961" w:type="dxa"/>
            <w:shd w:val="clear" w:color="auto" w:fill="auto"/>
          </w:tcPr>
          <w:p w:rsidR="00697CE8" w:rsidRPr="002C494A" w:rsidRDefault="00697CE8" w:rsidP="00851E27">
            <w:pPr>
              <w:spacing w:line="360" w:lineRule="auto"/>
              <w:ind w:left="851" w:hanging="851"/>
              <w:rPr>
                <w:rFonts w:cs="Arial"/>
                <w:b/>
                <w:sz w:val="22"/>
                <w:szCs w:val="22"/>
              </w:rPr>
            </w:pPr>
            <w:r w:rsidRPr="002C494A">
              <w:rPr>
                <w:rFonts w:cs="Arial"/>
                <w:b/>
                <w:sz w:val="22"/>
                <w:szCs w:val="22"/>
              </w:rPr>
              <w:lastRenderedPageBreak/>
              <w:t>Month</w:t>
            </w:r>
          </w:p>
        </w:tc>
        <w:tc>
          <w:tcPr>
            <w:tcW w:w="1855" w:type="dxa"/>
            <w:shd w:val="clear" w:color="auto" w:fill="auto"/>
          </w:tcPr>
          <w:p w:rsidR="00697CE8" w:rsidRPr="002C494A" w:rsidRDefault="00697CE8" w:rsidP="00851E27">
            <w:pPr>
              <w:spacing w:line="360" w:lineRule="auto"/>
              <w:ind w:left="851" w:hanging="851"/>
              <w:rPr>
                <w:rFonts w:cs="Arial"/>
                <w:b/>
                <w:sz w:val="22"/>
                <w:szCs w:val="22"/>
              </w:rPr>
            </w:pPr>
            <w:r w:rsidRPr="002C494A">
              <w:rPr>
                <w:rFonts w:cs="Arial"/>
                <w:b/>
                <w:sz w:val="22"/>
                <w:szCs w:val="22"/>
              </w:rPr>
              <w:t>Rate Achieved</w:t>
            </w:r>
          </w:p>
        </w:tc>
      </w:tr>
      <w:tr w:rsidR="00697CE8" w:rsidRPr="002C494A" w:rsidTr="00066F5D">
        <w:trPr>
          <w:trHeight w:val="313"/>
        </w:trPr>
        <w:tc>
          <w:tcPr>
            <w:tcW w:w="1961" w:type="dxa"/>
            <w:shd w:val="clear" w:color="auto" w:fill="auto"/>
          </w:tcPr>
          <w:p w:rsidR="00697CE8" w:rsidRPr="002C494A" w:rsidRDefault="00697CE8" w:rsidP="00851E27">
            <w:pPr>
              <w:spacing w:line="360" w:lineRule="auto"/>
              <w:ind w:left="851" w:hanging="851"/>
              <w:rPr>
                <w:rFonts w:cs="Arial"/>
                <w:sz w:val="22"/>
                <w:szCs w:val="22"/>
              </w:rPr>
            </w:pPr>
            <w:r w:rsidRPr="002C494A">
              <w:rPr>
                <w:rFonts w:cs="Arial"/>
                <w:sz w:val="22"/>
                <w:szCs w:val="22"/>
              </w:rPr>
              <w:t>April</w:t>
            </w:r>
          </w:p>
        </w:tc>
        <w:tc>
          <w:tcPr>
            <w:tcW w:w="1855" w:type="dxa"/>
            <w:shd w:val="clear" w:color="auto" w:fill="auto"/>
          </w:tcPr>
          <w:p w:rsidR="00697CE8" w:rsidRPr="002C494A" w:rsidRDefault="00016558" w:rsidP="00851E27">
            <w:pPr>
              <w:spacing w:line="360" w:lineRule="auto"/>
              <w:ind w:left="851" w:hanging="851"/>
              <w:jc w:val="center"/>
              <w:rPr>
                <w:rFonts w:cs="Arial"/>
                <w:sz w:val="22"/>
                <w:szCs w:val="22"/>
              </w:rPr>
            </w:pPr>
            <w:r w:rsidRPr="002C494A">
              <w:rPr>
                <w:rFonts w:cs="Arial"/>
                <w:sz w:val="22"/>
                <w:szCs w:val="22"/>
              </w:rPr>
              <w:t>0.</w:t>
            </w:r>
            <w:r w:rsidR="005E2247" w:rsidRPr="002C494A">
              <w:rPr>
                <w:rFonts w:cs="Arial"/>
                <w:sz w:val="22"/>
                <w:szCs w:val="22"/>
              </w:rPr>
              <w:t>76</w:t>
            </w:r>
            <w:r w:rsidRPr="002C494A">
              <w:rPr>
                <w:rFonts w:cs="Arial"/>
                <w:sz w:val="22"/>
                <w:szCs w:val="22"/>
              </w:rPr>
              <w:t>%</w:t>
            </w:r>
          </w:p>
        </w:tc>
      </w:tr>
      <w:tr w:rsidR="00697CE8" w:rsidRPr="002C494A" w:rsidTr="00066F5D">
        <w:trPr>
          <w:trHeight w:val="296"/>
        </w:trPr>
        <w:tc>
          <w:tcPr>
            <w:tcW w:w="1961" w:type="dxa"/>
            <w:shd w:val="clear" w:color="auto" w:fill="auto"/>
          </w:tcPr>
          <w:p w:rsidR="00697CE8" w:rsidRPr="002C494A" w:rsidRDefault="00697CE8" w:rsidP="00851E27">
            <w:pPr>
              <w:spacing w:line="360" w:lineRule="auto"/>
              <w:ind w:left="851" w:hanging="851"/>
              <w:rPr>
                <w:rFonts w:cs="Arial"/>
                <w:sz w:val="22"/>
                <w:szCs w:val="22"/>
              </w:rPr>
            </w:pPr>
            <w:r w:rsidRPr="002C494A">
              <w:rPr>
                <w:rFonts w:cs="Arial"/>
                <w:sz w:val="22"/>
                <w:szCs w:val="22"/>
              </w:rPr>
              <w:t>May</w:t>
            </w:r>
          </w:p>
        </w:tc>
        <w:tc>
          <w:tcPr>
            <w:tcW w:w="1855" w:type="dxa"/>
            <w:shd w:val="clear" w:color="auto" w:fill="auto"/>
          </w:tcPr>
          <w:p w:rsidR="00697CE8" w:rsidRPr="002C494A" w:rsidRDefault="00016558" w:rsidP="00851E27">
            <w:pPr>
              <w:spacing w:line="360" w:lineRule="auto"/>
              <w:ind w:left="851" w:hanging="851"/>
              <w:jc w:val="center"/>
              <w:rPr>
                <w:rFonts w:cs="Arial"/>
                <w:sz w:val="22"/>
                <w:szCs w:val="22"/>
              </w:rPr>
            </w:pPr>
            <w:r w:rsidRPr="002C494A">
              <w:rPr>
                <w:rFonts w:cs="Arial"/>
                <w:sz w:val="22"/>
                <w:szCs w:val="22"/>
              </w:rPr>
              <w:t>0.</w:t>
            </w:r>
            <w:r w:rsidR="005E2247" w:rsidRPr="002C494A">
              <w:rPr>
                <w:rFonts w:cs="Arial"/>
                <w:sz w:val="22"/>
                <w:szCs w:val="22"/>
              </w:rPr>
              <w:t>72</w:t>
            </w:r>
            <w:r w:rsidRPr="002C494A">
              <w:rPr>
                <w:rFonts w:cs="Arial"/>
                <w:sz w:val="22"/>
                <w:szCs w:val="22"/>
              </w:rPr>
              <w:t>%</w:t>
            </w:r>
          </w:p>
        </w:tc>
      </w:tr>
      <w:tr w:rsidR="00697CE8" w:rsidRPr="002C494A" w:rsidTr="00066F5D">
        <w:tc>
          <w:tcPr>
            <w:tcW w:w="1961" w:type="dxa"/>
            <w:shd w:val="clear" w:color="auto" w:fill="auto"/>
          </w:tcPr>
          <w:p w:rsidR="00697CE8" w:rsidRPr="002C494A" w:rsidRDefault="00697CE8" w:rsidP="00851E27">
            <w:pPr>
              <w:spacing w:line="360" w:lineRule="auto"/>
              <w:ind w:left="851" w:hanging="851"/>
              <w:rPr>
                <w:rFonts w:cs="Arial"/>
                <w:sz w:val="22"/>
                <w:szCs w:val="22"/>
              </w:rPr>
            </w:pPr>
            <w:r w:rsidRPr="002C494A">
              <w:rPr>
                <w:rFonts w:cs="Arial"/>
                <w:sz w:val="22"/>
                <w:szCs w:val="22"/>
              </w:rPr>
              <w:t>June</w:t>
            </w:r>
          </w:p>
        </w:tc>
        <w:tc>
          <w:tcPr>
            <w:tcW w:w="1855" w:type="dxa"/>
            <w:shd w:val="clear" w:color="auto" w:fill="auto"/>
          </w:tcPr>
          <w:p w:rsidR="00697CE8" w:rsidRPr="002C494A" w:rsidRDefault="00697CE8" w:rsidP="00851E27">
            <w:pPr>
              <w:spacing w:line="360" w:lineRule="auto"/>
              <w:ind w:left="851" w:hanging="851"/>
              <w:jc w:val="center"/>
              <w:rPr>
                <w:rFonts w:cs="Arial"/>
                <w:sz w:val="22"/>
                <w:szCs w:val="22"/>
              </w:rPr>
            </w:pPr>
            <w:r w:rsidRPr="002C494A">
              <w:rPr>
                <w:rFonts w:cs="Arial"/>
                <w:sz w:val="22"/>
                <w:szCs w:val="22"/>
              </w:rPr>
              <w:t>0.</w:t>
            </w:r>
            <w:r w:rsidR="005E2247" w:rsidRPr="002C494A">
              <w:rPr>
                <w:rFonts w:cs="Arial"/>
                <w:sz w:val="22"/>
                <w:szCs w:val="22"/>
              </w:rPr>
              <w:t>78</w:t>
            </w:r>
            <w:r w:rsidRPr="002C494A">
              <w:rPr>
                <w:rFonts w:cs="Arial"/>
                <w:sz w:val="22"/>
                <w:szCs w:val="22"/>
              </w:rPr>
              <w:t>%</w:t>
            </w:r>
          </w:p>
        </w:tc>
      </w:tr>
      <w:tr w:rsidR="00697CE8" w:rsidRPr="002C494A" w:rsidTr="00066F5D">
        <w:tc>
          <w:tcPr>
            <w:tcW w:w="1961" w:type="dxa"/>
            <w:shd w:val="clear" w:color="auto" w:fill="auto"/>
          </w:tcPr>
          <w:p w:rsidR="00697CE8" w:rsidRPr="002C494A" w:rsidRDefault="00697CE8" w:rsidP="00851E27">
            <w:pPr>
              <w:spacing w:line="360" w:lineRule="auto"/>
              <w:ind w:left="851" w:hanging="851"/>
              <w:rPr>
                <w:rFonts w:cs="Arial"/>
                <w:sz w:val="22"/>
                <w:szCs w:val="22"/>
              </w:rPr>
            </w:pPr>
            <w:r w:rsidRPr="002C494A">
              <w:rPr>
                <w:rFonts w:cs="Arial"/>
                <w:sz w:val="22"/>
                <w:szCs w:val="22"/>
              </w:rPr>
              <w:t>July</w:t>
            </w:r>
          </w:p>
        </w:tc>
        <w:tc>
          <w:tcPr>
            <w:tcW w:w="1855" w:type="dxa"/>
            <w:shd w:val="clear" w:color="auto" w:fill="auto"/>
          </w:tcPr>
          <w:p w:rsidR="00697CE8" w:rsidRPr="002C494A" w:rsidRDefault="00697CE8" w:rsidP="00851E27">
            <w:pPr>
              <w:spacing w:line="360" w:lineRule="auto"/>
              <w:ind w:left="851" w:hanging="851"/>
              <w:jc w:val="center"/>
              <w:rPr>
                <w:rFonts w:cs="Arial"/>
                <w:sz w:val="22"/>
                <w:szCs w:val="22"/>
              </w:rPr>
            </w:pPr>
            <w:r w:rsidRPr="002C494A">
              <w:rPr>
                <w:rFonts w:cs="Arial"/>
                <w:sz w:val="22"/>
                <w:szCs w:val="22"/>
              </w:rPr>
              <w:t>0.</w:t>
            </w:r>
            <w:r w:rsidR="005E2247" w:rsidRPr="002C494A">
              <w:rPr>
                <w:rFonts w:cs="Arial"/>
                <w:sz w:val="22"/>
                <w:szCs w:val="22"/>
              </w:rPr>
              <w:t>75</w:t>
            </w:r>
            <w:r w:rsidRPr="002C494A">
              <w:rPr>
                <w:rFonts w:cs="Arial"/>
                <w:sz w:val="22"/>
                <w:szCs w:val="22"/>
              </w:rPr>
              <w:t>%</w:t>
            </w:r>
          </w:p>
        </w:tc>
      </w:tr>
      <w:tr w:rsidR="00697CE8" w:rsidRPr="002C494A" w:rsidTr="00066F5D">
        <w:tc>
          <w:tcPr>
            <w:tcW w:w="1961" w:type="dxa"/>
            <w:shd w:val="clear" w:color="auto" w:fill="auto"/>
          </w:tcPr>
          <w:p w:rsidR="00697CE8" w:rsidRPr="002C494A" w:rsidRDefault="00697CE8" w:rsidP="00851E27">
            <w:pPr>
              <w:spacing w:line="360" w:lineRule="auto"/>
              <w:ind w:left="851" w:hanging="851"/>
              <w:rPr>
                <w:rFonts w:cs="Arial"/>
                <w:sz w:val="22"/>
                <w:szCs w:val="22"/>
              </w:rPr>
            </w:pPr>
            <w:r w:rsidRPr="002C494A">
              <w:rPr>
                <w:rFonts w:cs="Arial"/>
                <w:sz w:val="22"/>
                <w:szCs w:val="22"/>
              </w:rPr>
              <w:t>August</w:t>
            </w:r>
          </w:p>
        </w:tc>
        <w:tc>
          <w:tcPr>
            <w:tcW w:w="1855" w:type="dxa"/>
            <w:shd w:val="clear" w:color="auto" w:fill="auto"/>
          </w:tcPr>
          <w:p w:rsidR="00697CE8" w:rsidRPr="002C494A" w:rsidRDefault="00697CE8" w:rsidP="00851E27">
            <w:pPr>
              <w:spacing w:line="360" w:lineRule="auto"/>
              <w:ind w:left="851" w:hanging="851"/>
              <w:jc w:val="center"/>
              <w:rPr>
                <w:rFonts w:cs="Arial"/>
                <w:sz w:val="22"/>
                <w:szCs w:val="22"/>
              </w:rPr>
            </w:pPr>
            <w:r w:rsidRPr="002C494A">
              <w:rPr>
                <w:rFonts w:cs="Arial"/>
                <w:sz w:val="22"/>
                <w:szCs w:val="22"/>
              </w:rPr>
              <w:t>0.</w:t>
            </w:r>
            <w:r w:rsidR="005E2247" w:rsidRPr="002C494A">
              <w:rPr>
                <w:rFonts w:cs="Arial"/>
                <w:sz w:val="22"/>
                <w:szCs w:val="22"/>
              </w:rPr>
              <w:t>73</w:t>
            </w:r>
            <w:r w:rsidRPr="002C494A">
              <w:rPr>
                <w:rFonts w:cs="Arial"/>
                <w:sz w:val="22"/>
                <w:szCs w:val="22"/>
              </w:rPr>
              <w:t>%</w:t>
            </w:r>
          </w:p>
        </w:tc>
      </w:tr>
      <w:tr w:rsidR="00697CE8" w:rsidRPr="002C494A" w:rsidTr="00066F5D">
        <w:tc>
          <w:tcPr>
            <w:tcW w:w="1961" w:type="dxa"/>
            <w:shd w:val="clear" w:color="auto" w:fill="auto"/>
          </w:tcPr>
          <w:p w:rsidR="00697CE8" w:rsidRPr="002C494A" w:rsidRDefault="00697CE8" w:rsidP="00851E27">
            <w:pPr>
              <w:spacing w:line="360" w:lineRule="auto"/>
              <w:ind w:left="851" w:hanging="851"/>
              <w:rPr>
                <w:rFonts w:cs="Arial"/>
                <w:sz w:val="22"/>
                <w:szCs w:val="22"/>
              </w:rPr>
            </w:pPr>
            <w:r w:rsidRPr="002C494A">
              <w:rPr>
                <w:rFonts w:cs="Arial"/>
                <w:sz w:val="22"/>
                <w:szCs w:val="22"/>
              </w:rPr>
              <w:t>September</w:t>
            </w:r>
          </w:p>
        </w:tc>
        <w:tc>
          <w:tcPr>
            <w:tcW w:w="1855" w:type="dxa"/>
            <w:shd w:val="clear" w:color="auto" w:fill="auto"/>
          </w:tcPr>
          <w:p w:rsidR="00697CE8" w:rsidRPr="002C494A" w:rsidRDefault="00697CE8" w:rsidP="00851E27">
            <w:pPr>
              <w:spacing w:line="360" w:lineRule="auto"/>
              <w:ind w:left="851" w:hanging="851"/>
              <w:jc w:val="center"/>
              <w:rPr>
                <w:rFonts w:cs="Arial"/>
                <w:sz w:val="22"/>
                <w:szCs w:val="22"/>
              </w:rPr>
            </w:pPr>
            <w:r w:rsidRPr="002C494A">
              <w:rPr>
                <w:rFonts w:cs="Arial"/>
                <w:sz w:val="22"/>
                <w:szCs w:val="22"/>
              </w:rPr>
              <w:t>0.</w:t>
            </w:r>
            <w:r w:rsidR="005E2247" w:rsidRPr="002C494A">
              <w:rPr>
                <w:rFonts w:cs="Arial"/>
                <w:sz w:val="22"/>
                <w:szCs w:val="22"/>
              </w:rPr>
              <w:t>71</w:t>
            </w:r>
            <w:r w:rsidRPr="002C494A">
              <w:rPr>
                <w:rFonts w:cs="Arial"/>
                <w:sz w:val="22"/>
                <w:szCs w:val="22"/>
              </w:rPr>
              <w:t>%</w:t>
            </w:r>
          </w:p>
        </w:tc>
      </w:tr>
    </w:tbl>
    <w:p w:rsidR="00697CE8" w:rsidRPr="002C494A" w:rsidRDefault="00697CE8" w:rsidP="00851E27">
      <w:pPr>
        <w:ind w:left="851" w:hanging="851"/>
        <w:rPr>
          <w:rFonts w:cs="Arial"/>
          <w:sz w:val="22"/>
          <w:szCs w:val="22"/>
        </w:rPr>
      </w:pPr>
    </w:p>
    <w:p w:rsidR="00697CE8" w:rsidRPr="002C494A" w:rsidRDefault="00697CE8" w:rsidP="00851E27">
      <w:pPr>
        <w:ind w:left="851" w:hanging="851"/>
        <w:rPr>
          <w:rFonts w:cs="Arial"/>
          <w:sz w:val="22"/>
          <w:szCs w:val="22"/>
        </w:rPr>
      </w:pPr>
    </w:p>
    <w:p w:rsidR="00260BAC" w:rsidRPr="002C494A" w:rsidRDefault="00260BAC" w:rsidP="00851E27">
      <w:pPr>
        <w:ind w:left="851" w:hanging="851"/>
        <w:rPr>
          <w:rFonts w:cs="Arial"/>
          <w:sz w:val="22"/>
          <w:szCs w:val="22"/>
        </w:rPr>
      </w:pPr>
    </w:p>
    <w:p w:rsidR="00697CE8" w:rsidRPr="002C494A" w:rsidRDefault="00697CE8" w:rsidP="00851E27">
      <w:pPr>
        <w:ind w:left="851" w:hanging="851"/>
        <w:rPr>
          <w:rFonts w:cs="Arial"/>
          <w:sz w:val="22"/>
          <w:szCs w:val="22"/>
        </w:rPr>
      </w:pPr>
    </w:p>
    <w:p w:rsidR="00697CE8" w:rsidRPr="002C494A" w:rsidRDefault="00697CE8" w:rsidP="00851E27">
      <w:pPr>
        <w:ind w:left="851" w:hanging="851"/>
        <w:rPr>
          <w:rFonts w:cs="Arial"/>
          <w:sz w:val="22"/>
          <w:szCs w:val="22"/>
        </w:rPr>
      </w:pPr>
    </w:p>
    <w:p w:rsidR="00697CE8" w:rsidRPr="002C494A" w:rsidRDefault="00697CE8" w:rsidP="00851E27">
      <w:pPr>
        <w:ind w:left="851" w:hanging="851"/>
        <w:rPr>
          <w:rFonts w:cs="Arial"/>
          <w:sz w:val="22"/>
          <w:szCs w:val="22"/>
        </w:rPr>
      </w:pPr>
    </w:p>
    <w:p w:rsidR="00697CE8" w:rsidRPr="002C494A" w:rsidRDefault="00697CE8" w:rsidP="00851E27">
      <w:pPr>
        <w:ind w:left="851" w:hanging="851"/>
        <w:rPr>
          <w:rFonts w:cs="Arial"/>
          <w:sz w:val="22"/>
          <w:szCs w:val="22"/>
        </w:rPr>
      </w:pPr>
    </w:p>
    <w:p w:rsidR="00137FEE" w:rsidRPr="002C494A" w:rsidRDefault="00137FEE" w:rsidP="00851E27">
      <w:pPr>
        <w:ind w:left="851" w:hanging="851"/>
        <w:rPr>
          <w:rFonts w:cs="Arial"/>
          <w:sz w:val="22"/>
          <w:szCs w:val="22"/>
        </w:rPr>
      </w:pPr>
    </w:p>
    <w:p w:rsidR="00137FEE" w:rsidRPr="002C494A" w:rsidRDefault="00137FEE" w:rsidP="00851E27">
      <w:pPr>
        <w:ind w:left="851" w:hanging="851"/>
        <w:rPr>
          <w:rFonts w:cs="Arial"/>
          <w:sz w:val="22"/>
          <w:szCs w:val="22"/>
        </w:rPr>
      </w:pPr>
    </w:p>
    <w:p w:rsidR="00137FEE" w:rsidRPr="002C494A" w:rsidRDefault="00137FEE" w:rsidP="00851E27">
      <w:pPr>
        <w:ind w:left="851" w:hanging="851"/>
        <w:rPr>
          <w:rFonts w:cs="Arial"/>
          <w:sz w:val="22"/>
          <w:szCs w:val="22"/>
        </w:rPr>
      </w:pPr>
    </w:p>
    <w:p w:rsidR="00ED4BD9" w:rsidRPr="002C494A" w:rsidRDefault="00ED4BD9" w:rsidP="00851E27">
      <w:pPr>
        <w:ind w:left="851" w:hanging="851"/>
        <w:rPr>
          <w:rFonts w:cs="Arial"/>
          <w:sz w:val="22"/>
          <w:szCs w:val="22"/>
        </w:rPr>
      </w:pPr>
    </w:p>
    <w:p w:rsidR="00260BAC" w:rsidRPr="002C494A" w:rsidRDefault="00260BAC" w:rsidP="00851E27">
      <w:pPr>
        <w:ind w:left="851" w:hanging="851"/>
        <w:rPr>
          <w:rFonts w:cs="Arial"/>
          <w:sz w:val="22"/>
          <w:szCs w:val="22"/>
        </w:rPr>
      </w:pPr>
      <w:r w:rsidRPr="002C494A">
        <w:rPr>
          <w:rFonts w:cs="Arial"/>
          <w:sz w:val="22"/>
          <w:szCs w:val="22"/>
        </w:rPr>
        <w:t xml:space="preserve"> </w:t>
      </w:r>
    </w:p>
    <w:p w:rsidR="00ED4BD9" w:rsidRPr="002C494A" w:rsidRDefault="00ED4BD9" w:rsidP="004E3AE0">
      <w:pPr>
        <w:tabs>
          <w:tab w:val="num" w:pos="720"/>
        </w:tabs>
        <w:ind w:left="851" w:hanging="851"/>
        <w:jc w:val="both"/>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00212BC3" w:rsidRPr="002C494A">
        <w:rPr>
          <w:rFonts w:cs="Arial"/>
          <w:sz w:val="22"/>
          <w:szCs w:val="22"/>
        </w:rPr>
        <w:t>T</w:t>
      </w:r>
      <w:r w:rsidR="00213CE0" w:rsidRPr="002C494A">
        <w:rPr>
          <w:rFonts w:cs="Arial"/>
          <w:sz w:val="22"/>
          <w:szCs w:val="22"/>
        </w:rPr>
        <w:t xml:space="preserve">he Council keeps all investments short term. There are no sums invested for greater than 364 days. Counterparties have been downgraded over the past few </w:t>
      </w:r>
      <w:r w:rsidR="00800E05" w:rsidRPr="002C494A">
        <w:rPr>
          <w:rFonts w:cs="Arial"/>
          <w:sz w:val="22"/>
          <w:szCs w:val="22"/>
        </w:rPr>
        <w:t>years;</w:t>
      </w:r>
      <w:r w:rsidR="00213CE0" w:rsidRPr="002C494A">
        <w:rPr>
          <w:rFonts w:cs="Arial"/>
          <w:sz w:val="22"/>
          <w:szCs w:val="22"/>
        </w:rPr>
        <w:t xml:space="preserve"> most investments have been limited to a 6 months period. This has resulted in lower interest rates being achieved.</w:t>
      </w:r>
      <w:r w:rsidR="00857EAF" w:rsidRPr="002C494A">
        <w:rPr>
          <w:rFonts w:cs="Arial"/>
          <w:sz w:val="22"/>
          <w:szCs w:val="22"/>
        </w:rPr>
        <w:t xml:space="preserve"> </w:t>
      </w:r>
    </w:p>
    <w:p w:rsidR="0028593C" w:rsidRPr="002C494A" w:rsidRDefault="0028593C" w:rsidP="00851E27">
      <w:pPr>
        <w:tabs>
          <w:tab w:val="num" w:pos="720"/>
        </w:tabs>
        <w:ind w:left="851" w:hanging="851"/>
        <w:rPr>
          <w:rFonts w:cs="Arial"/>
          <w:sz w:val="22"/>
          <w:szCs w:val="22"/>
        </w:rPr>
      </w:pPr>
    </w:p>
    <w:p w:rsidR="008F2482" w:rsidRPr="002C494A" w:rsidRDefault="00ED4BD9" w:rsidP="00851E27">
      <w:pPr>
        <w:tabs>
          <w:tab w:val="num" w:pos="720"/>
        </w:tabs>
        <w:ind w:left="851" w:hanging="851"/>
        <w:rPr>
          <w:rFonts w:cs="Arial"/>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Pr="002C494A">
        <w:rPr>
          <w:rFonts w:cs="Arial"/>
          <w:sz w:val="22"/>
          <w:szCs w:val="22"/>
        </w:rPr>
        <w:t>T</w:t>
      </w:r>
      <w:r w:rsidR="008F2482" w:rsidRPr="002C494A">
        <w:rPr>
          <w:rFonts w:cs="Arial"/>
          <w:sz w:val="22"/>
          <w:szCs w:val="22"/>
        </w:rPr>
        <w:t>he current investment counterparty criteria selection approved in the T</w:t>
      </w:r>
      <w:r w:rsidR="00E70037" w:rsidRPr="002C494A">
        <w:rPr>
          <w:rFonts w:cs="Arial"/>
          <w:sz w:val="22"/>
          <w:szCs w:val="22"/>
        </w:rPr>
        <w:t xml:space="preserve">MS </w:t>
      </w:r>
      <w:r w:rsidR="008F2482" w:rsidRPr="002C494A">
        <w:rPr>
          <w:rFonts w:cs="Arial"/>
          <w:sz w:val="22"/>
          <w:szCs w:val="22"/>
        </w:rPr>
        <w:t>is</w:t>
      </w:r>
      <w:r w:rsidR="00E70037" w:rsidRPr="002C494A">
        <w:rPr>
          <w:rFonts w:cs="Arial"/>
          <w:sz w:val="22"/>
          <w:szCs w:val="22"/>
        </w:rPr>
        <w:t xml:space="preserve"> being met</w:t>
      </w:r>
      <w:r w:rsidR="008F2482" w:rsidRPr="002C494A">
        <w:rPr>
          <w:rFonts w:cs="Arial"/>
          <w:sz w:val="22"/>
          <w:szCs w:val="22"/>
        </w:rPr>
        <w:t xml:space="preserve">.  </w:t>
      </w:r>
    </w:p>
    <w:p w:rsidR="00137FEE" w:rsidRPr="002C494A" w:rsidRDefault="00137FEE" w:rsidP="00851E27">
      <w:pPr>
        <w:ind w:left="851" w:hanging="851"/>
        <w:rPr>
          <w:rFonts w:cs="Arial"/>
          <w:b/>
          <w:sz w:val="22"/>
          <w:szCs w:val="22"/>
        </w:rPr>
      </w:pPr>
    </w:p>
    <w:p w:rsidR="001E3E7E" w:rsidRPr="002C494A" w:rsidRDefault="009D472B" w:rsidP="00851E27">
      <w:pPr>
        <w:tabs>
          <w:tab w:val="num" w:pos="709"/>
        </w:tabs>
        <w:ind w:left="851" w:hanging="851"/>
        <w:rPr>
          <w:rFonts w:cs="Arial"/>
          <w:i/>
          <w:sz w:val="22"/>
          <w:szCs w:val="22"/>
        </w:rPr>
      </w:pPr>
      <w:r w:rsidRPr="002C494A">
        <w:rPr>
          <w:rFonts w:cs="Arial"/>
          <w:sz w:val="22"/>
          <w:szCs w:val="22"/>
        </w:rPr>
        <w:t>2.14</w:t>
      </w: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1E3E7E" w:rsidRPr="002C494A">
        <w:rPr>
          <w:rFonts w:cs="Arial"/>
          <w:i/>
          <w:sz w:val="22"/>
          <w:szCs w:val="22"/>
        </w:rPr>
        <w:t>Credit Ratings</w:t>
      </w:r>
    </w:p>
    <w:p w:rsidR="009D472B" w:rsidRPr="002C494A" w:rsidRDefault="009D472B" w:rsidP="00851E27">
      <w:pPr>
        <w:tabs>
          <w:tab w:val="num" w:pos="709"/>
        </w:tabs>
        <w:ind w:left="851" w:hanging="851"/>
        <w:rPr>
          <w:rFonts w:cs="Arial"/>
          <w:b/>
          <w:sz w:val="22"/>
          <w:szCs w:val="22"/>
        </w:rPr>
      </w:pPr>
    </w:p>
    <w:p w:rsidR="008F2482" w:rsidRPr="002C494A" w:rsidRDefault="00EE235D" w:rsidP="00851E27">
      <w:pPr>
        <w:tabs>
          <w:tab w:val="num" w:pos="709"/>
        </w:tabs>
        <w:ind w:left="851" w:hanging="851"/>
        <w:rPr>
          <w:rFonts w:cs="Arial"/>
          <w:b/>
          <w:sz w:val="22"/>
          <w:szCs w:val="22"/>
        </w:rPr>
      </w:pPr>
      <w:r w:rsidRPr="002C494A">
        <w:rPr>
          <w:rFonts w:cs="Arial"/>
          <w:sz w:val="22"/>
          <w:szCs w:val="22"/>
        </w:rPr>
        <w:tab/>
      </w:r>
      <w:r w:rsidR="009D472B" w:rsidRPr="002C494A">
        <w:rPr>
          <w:rFonts w:cs="Arial"/>
          <w:sz w:val="22"/>
          <w:szCs w:val="22"/>
        </w:rPr>
        <w:fldChar w:fldCharType="begin"/>
      </w:r>
      <w:r w:rsidR="009D472B" w:rsidRPr="002C494A">
        <w:rPr>
          <w:rFonts w:cs="Arial"/>
          <w:sz w:val="22"/>
          <w:szCs w:val="22"/>
        </w:rPr>
        <w:instrText xml:space="preserve">  </w:instrText>
      </w:r>
      <w:r w:rsidR="009D472B" w:rsidRPr="002C494A">
        <w:rPr>
          <w:rFonts w:cs="Arial"/>
          <w:sz w:val="22"/>
          <w:szCs w:val="22"/>
        </w:rPr>
        <w:fldChar w:fldCharType="end"/>
      </w:r>
      <w:r w:rsidR="009D472B" w:rsidRPr="002C494A">
        <w:rPr>
          <w:rFonts w:cs="Arial"/>
          <w:noProof/>
          <w:sz w:val="22"/>
          <w:szCs w:val="22"/>
        </w:rPr>
        <w:t xml:space="preserve"> </w:t>
      </w:r>
      <w:r w:rsidR="009D472B" w:rsidRPr="002C494A">
        <w:rPr>
          <w:rFonts w:cs="Arial"/>
          <w:noProof/>
          <w:sz w:val="22"/>
          <w:szCs w:val="22"/>
        </w:rPr>
        <w:tab/>
      </w:r>
      <w:r w:rsidR="008F2482" w:rsidRPr="002C494A">
        <w:rPr>
          <w:rFonts w:cs="Arial"/>
          <w:sz w:val="22"/>
          <w:szCs w:val="22"/>
        </w:rPr>
        <w:t xml:space="preserve">Fitch and Moody provide </w:t>
      </w:r>
      <w:r w:rsidR="00C66467" w:rsidRPr="002C494A">
        <w:rPr>
          <w:rFonts w:cs="Arial"/>
          <w:sz w:val="22"/>
          <w:szCs w:val="22"/>
        </w:rPr>
        <w:t>the Council with</w:t>
      </w:r>
      <w:r w:rsidR="008F2482" w:rsidRPr="002C494A">
        <w:rPr>
          <w:rFonts w:cs="Arial"/>
          <w:sz w:val="22"/>
          <w:szCs w:val="22"/>
        </w:rPr>
        <w:t xml:space="preserve"> credit ratings for financial institutions</w:t>
      </w:r>
      <w:r w:rsidR="00C66467" w:rsidRPr="002C494A">
        <w:rPr>
          <w:rFonts w:cs="Arial"/>
          <w:sz w:val="22"/>
          <w:szCs w:val="22"/>
        </w:rPr>
        <w:t>,</w:t>
      </w:r>
      <w:r w:rsidR="008F2482" w:rsidRPr="002C494A">
        <w:rPr>
          <w:rFonts w:cs="Arial"/>
          <w:sz w:val="22"/>
          <w:szCs w:val="22"/>
        </w:rPr>
        <w:t xml:space="preserve"> </w:t>
      </w:r>
    </w:p>
    <w:p w:rsidR="008F2482" w:rsidRPr="002C494A" w:rsidRDefault="008F2482" w:rsidP="00851E27">
      <w:pPr>
        <w:tabs>
          <w:tab w:val="num" w:pos="540"/>
        </w:tabs>
        <w:ind w:left="851" w:hanging="851"/>
        <w:rPr>
          <w:rFonts w:cs="Arial"/>
          <w:sz w:val="22"/>
          <w:szCs w:val="22"/>
        </w:rPr>
      </w:pPr>
    </w:p>
    <w:p w:rsidR="00BE79C0" w:rsidRPr="002C494A" w:rsidRDefault="009D472B" w:rsidP="004E3AE0">
      <w:pPr>
        <w:tabs>
          <w:tab w:val="num" w:pos="709"/>
        </w:tabs>
        <w:ind w:left="851" w:hanging="851"/>
        <w:jc w:val="both"/>
        <w:rPr>
          <w:rFonts w:cs="Arial"/>
          <w:b/>
          <w:sz w:val="22"/>
          <w:szCs w:val="22"/>
        </w:rPr>
      </w:pPr>
      <w:r w:rsidRPr="002C494A">
        <w:rPr>
          <w:rFonts w:cs="Arial"/>
          <w:sz w:val="22"/>
          <w:szCs w:val="22"/>
        </w:rPr>
        <w:tab/>
      </w:r>
      <w:r w:rsidRPr="002C494A">
        <w:rPr>
          <w:rFonts w:cs="Arial"/>
          <w:sz w:val="22"/>
          <w:szCs w:val="22"/>
        </w:rPr>
        <w:fldChar w:fldCharType="begin"/>
      </w:r>
      <w:r w:rsidRPr="002C494A">
        <w:rPr>
          <w:rFonts w:cs="Arial"/>
          <w:sz w:val="22"/>
          <w:szCs w:val="22"/>
        </w:rPr>
        <w:instrText xml:space="preserve">  </w:instrText>
      </w:r>
      <w:r w:rsidRPr="002C494A">
        <w:rPr>
          <w:rFonts w:cs="Arial"/>
          <w:sz w:val="22"/>
          <w:szCs w:val="22"/>
        </w:rPr>
        <w:fldChar w:fldCharType="end"/>
      </w:r>
      <w:r w:rsidRPr="002C494A">
        <w:rPr>
          <w:rFonts w:cs="Arial"/>
          <w:noProof/>
          <w:sz w:val="22"/>
          <w:szCs w:val="22"/>
        </w:rPr>
        <w:t xml:space="preserve"> </w:t>
      </w:r>
      <w:r w:rsidRPr="002C494A">
        <w:rPr>
          <w:rFonts w:cs="Arial"/>
          <w:noProof/>
          <w:sz w:val="22"/>
          <w:szCs w:val="22"/>
        </w:rPr>
        <w:tab/>
      </w:r>
      <w:r w:rsidR="00C66467" w:rsidRPr="002C494A">
        <w:rPr>
          <w:rFonts w:cs="Arial"/>
          <w:noProof/>
          <w:sz w:val="22"/>
          <w:szCs w:val="22"/>
        </w:rPr>
        <w:t>T</w:t>
      </w:r>
      <w:r w:rsidR="00DA2DB8" w:rsidRPr="002C494A">
        <w:rPr>
          <w:rFonts w:cs="Arial"/>
          <w:sz w:val="22"/>
          <w:szCs w:val="22"/>
        </w:rPr>
        <w:t xml:space="preserve">he credit rating of counterparties </w:t>
      </w:r>
      <w:r w:rsidR="008133D5" w:rsidRPr="002C494A">
        <w:rPr>
          <w:rFonts w:cs="Arial"/>
          <w:sz w:val="22"/>
          <w:szCs w:val="22"/>
        </w:rPr>
        <w:t>is</w:t>
      </w:r>
      <w:r w:rsidR="00DA2DB8" w:rsidRPr="002C494A">
        <w:rPr>
          <w:rFonts w:cs="Arial"/>
          <w:sz w:val="22"/>
          <w:szCs w:val="22"/>
        </w:rPr>
        <w:t xml:space="preserve"> monitored regularly.</w:t>
      </w:r>
      <w:r w:rsidR="004F63B6" w:rsidRPr="002C494A">
        <w:rPr>
          <w:rFonts w:cs="Arial"/>
          <w:sz w:val="22"/>
          <w:szCs w:val="22"/>
        </w:rPr>
        <w:t xml:space="preserve"> The Council receives credit </w:t>
      </w:r>
      <w:r w:rsidR="00DA2DB8" w:rsidRPr="002C494A">
        <w:rPr>
          <w:rFonts w:cs="Arial"/>
          <w:sz w:val="22"/>
          <w:szCs w:val="22"/>
        </w:rPr>
        <w:t xml:space="preserve">rating information (changes, rating watches and rating outlooks) from </w:t>
      </w:r>
      <w:r w:rsidR="006F33CC" w:rsidRPr="002C494A">
        <w:rPr>
          <w:rFonts w:cs="Arial"/>
          <w:sz w:val="22"/>
          <w:szCs w:val="22"/>
        </w:rPr>
        <w:t>Capita Asset Services Treasury Solutions</w:t>
      </w:r>
      <w:r w:rsidR="00DA2DB8" w:rsidRPr="002C494A">
        <w:rPr>
          <w:rFonts w:cs="Arial"/>
          <w:sz w:val="22"/>
          <w:szCs w:val="22"/>
        </w:rPr>
        <w:t xml:space="preserve"> as and when ratings change, and counterparties are checked promptly. The Council considers </w:t>
      </w:r>
      <w:r w:rsidR="00DA2DB8" w:rsidRPr="002C494A">
        <w:rPr>
          <w:rFonts w:cs="Arial"/>
          <w:bCs/>
          <w:sz w:val="22"/>
          <w:szCs w:val="22"/>
        </w:rPr>
        <w:t>minimum short term ratings</w:t>
      </w:r>
      <w:r w:rsidR="008133D5" w:rsidRPr="002C494A">
        <w:rPr>
          <w:rFonts w:cs="Arial"/>
          <w:bCs/>
          <w:sz w:val="22"/>
          <w:szCs w:val="22"/>
        </w:rPr>
        <w:t> </w:t>
      </w:r>
      <w:r w:rsidR="008133D5" w:rsidRPr="002C494A">
        <w:rPr>
          <w:rFonts w:cs="Arial"/>
          <w:sz w:val="22"/>
          <w:szCs w:val="22"/>
        </w:rPr>
        <w:t>as</w:t>
      </w:r>
      <w:r w:rsidR="00DA2DB8" w:rsidRPr="002C494A">
        <w:rPr>
          <w:rFonts w:cs="Arial"/>
          <w:sz w:val="22"/>
          <w:szCs w:val="22"/>
        </w:rPr>
        <w:t xml:space="preserve"> key criteria in the choice of creditworthy investment counterparties. F1+, P-1 and A-1+ are the highest short term credit ratings of Fitch, Moody's and Standard and Poor's respectively. Minimum Short Term Ratings, where given, these must be met, for all categories.</w:t>
      </w:r>
    </w:p>
    <w:p w:rsidR="004F63B6" w:rsidRPr="002C494A" w:rsidRDefault="004F63B6" w:rsidP="00851E27">
      <w:pPr>
        <w:tabs>
          <w:tab w:val="num" w:pos="540"/>
        </w:tabs>
        <w:ind w:left="851" w:hanging="851"/>
        <w:rPr>
          <w:rFonts w:cs="Arial"/>
          <w:sz w:val="22"/>
          <w:szCs w:val="22"/>
        </w:rPr>
      </w:pPr>
    </w:p>
    <w:p w:rsidR="004F1BCF" w:rsidRPr="002C494A" w:rsidRDefault="005A7CE7" w:rsidP="00851E27">
      <w:pPr>
        <w:tabs>
          <w:tab w:val="num" w:pos="709"/>
          <w:tab w:val="left" w:pos="1260"/>
        </w:tabs>
        <w:ind w:left="851" w:hanging="851"/>
        <w:rPr>
          <w:rFonts w:cs="Arial"/>
          <w:b/>
          <w:sz w:val="22"/>
          <w:szCs w:val="22"/>
        </w:rPr>
      </w:pPr>
      <w:r w:rsidRPr="002C494A">
        <w:rPr>
          <w:rFonts w:cs="Arial"/>
          <w:sz w:val="22"/>
          <w:szCs w:val="22"/>
        </w:rPr>
        <w:t>3</w:t>
      </w:r>
      <w:r w:rsidR="0070012C" w:rsidRPr="002C494A">
        <w:rPr>
          <w:rFonts w:cs="Arial"/>
          <w:sz w:val="22"/>
          <w:szCs w:val="22"/>
        </w:rPr>
        <w:t>.</w:t>
      </w:r>
      <w:r w:rsidR="0070012C" w:rsidRPr="002C494A">
        <w:rPr>
          <w:rFonts w:cs="Arial"/>
          <w:sz w:val="22"/>
          <w:szCs w:val="22"/>
        </w:rPr>
        <w:tab/>
      </w:r>
      <w:r w:rsidR="0070012C" w:rsidRPr="002C494A">
        <w:rPr>
          <w:rFonts w:cs="Arial"/>
          <w:sz w:val="22"/>
          <w:szCs w:val="22"/>
        </w:rPr>
        <w:tab/>
      </w:r>
      <w:r w:rsidR="004F1BCF" w:rsidRPr="002C494A">
        <w:rPr>
          <w:rFonts w:cs="Arial"/>
          <w:b/>
          <w:sz w:val="22"/>
          <w:szCs w:val="22"/>
        </w:rPr>
        <w:t>Options/Reasons for Recommendation</w:t>
      </w:r>
    </w:p>
    <w:p w:rsidR="00B2320E" w:rsidRPr="002C494A" w:rsidRDefault="00B2320E" w:rsidP="00851E27">
      <w:pPr>
        <w:tabs>
          <w:tab w:val="num" w:pos="709"/>
          <w:tab w:val="left" w:pos="1260"/>
        </w:tabs>
        <w:ind w:left="851" w:hanging="851"/>
        <w:rPr>
          <w:rFonts w:cs="Arial"/>
          <w:b/>
          <w:sz w:val="22"/>
          <w:szCs w:val="22"/>
        </w:rPr>
      </w:pPr>
    </w:p>
    <w:p w:rsidR="00B2320E" w:rsidRPr="002C494A" w:rsidRDefault="00B2320E" w:rsidP="00851E27">
      <w:pPr>
        <w:ind w:left="851" w:hanging="851"/>
        <w:rPr>
          <w:rFonts w:cs="Arial"/>
          <w:sz w:val="22"/>
          <w:szCs w:val="22"/>
        </w:rPr>
      </w:pPr>
      <w:r w:rsidRPr="002C494A">
        <w:rPr>
          <w:rFonts w:cs="Arial"/>
          <w:sz w:val="22"/>
          <w:szCs w:val="22"/>
        </w:rPr>
        <w:t>3.1</w:t>
      </w:r>
      <w:r w:rsidRPr="002C494A">
        <w:rPr>
          <w:rFonts w:cs="Arial"/>
          <w:sz w:val="22"/>
          <w:szCs w:val="22"/>
        </w:rPr>
        <w:tab/>
        <w:t>The recommendation allows members to note the contents of</w:t>
      </w:r>
      <w:r w:rsidRPr="002C494A">
        <w:rPr>
          <w:rFonts w:cs="Arial"/>
          <w:b/>
          <w:sz w:val="22"/>
          <w:szCs w:val="22"/>
        </w:rPr>
        <w:t xml:space="preserve"> </w:t>
      </w:r>
      <w:r w:rsidRPr="002C494A">
        <w:rPr>
          <w:rFonts w:cs="Arial"/>
          <w:sz w:val="22"/>
          <w:szCs w:val="22"/>
        </w:rPr>
        <w:t xml:space="preserve">the </w:t>
      </w:r>
      <w:r w:rsidR="00C21C08" w:rsidRPr="002C494A">
        <w:rPr>
          <w:rFonts w:cs="Arial"/>
          <w:sz w:val="22"/>
          <w:szCs w:val="22"/>
        </w:rPr>
        <w:t>2016/17</w:t>
      </w:r>
      <w:r w:rsidRPr="002C494A">
        <w:rPr>
          <w:rFonts w:cs="Arial"/>
          <w:sz w:val="22"/>
          <w:szCs w:val="22"/>
        </w:rPr>
        <w:t xml:space="preserve"> M</w:t>
      </w:r>
      <w:r w:rsidR="002A0A99" w:rsidRPr="002C494A">
        <w:rPr>
          <w:rFonts w:cs="Arial"/>
          <w:sz w:val="22"/>
          <w:szCs w:val="22"/>
        </w:rPr>
        <w:t xml:space="preserve">id Year Review of the Treasury </w:t>
      </w:r>
      <w:r w:rsidRPr="002C494A">
        <w:rPr>
          <w:rFonts w:cs="Arial"/>
          <w:sz w:val="22"/>
          <w:szCs w:val="22"/>
        </w:rPr>
        <w:t>Management function.</w:t>
      </w:r>
    </w:p>
    <w:p w:rsidR="00B2320E" w:rsidRPr="002C494A" w:rsidRDefault="00B2320E" w:rsidP="00851E27">
      <w:pPr>
        <w:tabs>
          <w:tab w:val="num" w:pos="709"/>
          <w:tab w:val="left" w:pos="1260"/>
        </w:tabs>
        <w:ind w:left="851" w:hanging="851"/>
        <w:rPr>
          <w:rFonts w:cs="Arial"/>
          <w:b/>
          <w:sz w:val="22"/>
          <w:szCs w:val="22"/>
        </w:rPr>
      </w:pPr>
    </w:p>
    <w:p w:rsidR="0070012C" w:rsidRPr="002C494A" w:rsidRDefault="00B2320E" w:rsidP="00851E27">
      <w:pPr>
        <w:tabs>
          <w:tab w:val="num" w:pos="709"/>
          <w:tab w:val="left" w:pos="1260"/>
        </w:tabs>
        <w:ind w:left="851" w:hanging="851"/>
        <w:rPr>
          <w:rFonts w:cs="Arial"/>
          <w:b/>
          <w:sz w:val="22"/>
          <w:szCs w:val="22"/>
        </w:rPr>
      </w:pPr>
      <w:r w:rsidRPr="002C494A">
        <w:rPr>
          <w:rFonts w:cs="Arial"/>
          <w:sz w:val="22"/>
          <w:szCs w:val="22"/>
        </w:rPr>
        <w:t>4.</w:t>
      </w:r>
      <w:r w:rsidRPr="002C494A">
        <w:rPr>
          <w:rFonts w:cs="Arial"/>
          <w:sz w:val="22"/>
          <w:szCs w:val="22"/>
        </w:rPr>
        <w:tab/>
      </w:r>
      <w:r w:rsidRPr="002C494A">
        <w:rPr>
          <w:rFonts w:cs="Arial"/>
          <w:sz w:val="22"/>
          <w:szCs w:val="22"/>
        </w:rPr>
        <w:tab/>
      </w:r>
      <w:r w:rsidR="0070012C" w:rsidRPr="002C494A">
        <w:rPr>
          <w:rFonts w:cs="Arial"/>
          <w:b/>
          <w:sz w:val="22"/>
          <w:szCs w:val="22"/>
        </w:rPr>
        <w:t>Policy/Budget Implications</w:t>
      </w:r>
    </w:p>
    <w:p w:rsidR="00B2320E" w:rsidRPr="002C494A" w:rsidRDefault="00B2320E" w:rsidP="00851E27">
      <w:pPr>
        <w:tabs>
          <w:tab w:val="num" w:pos="709"/>
          <w:tab w:val="left" w:pos="1260"/>
        </w:tabs>
        <w:ind w:left="851" w:hanging="851"/>
        <w:rPr>
          <w:rFonts w:cs="Arial"/>
          <w:sz w:val="22"/>
          <w:szCs w:val="22"/>
        </w:rPr>
      </w:pPr>
    </w:p>
    <w:p w:rsidR="0070012C" w:rsidRPr="002C494A" w:rsidRDefault="00B2320E" w:rsidP="00851E27">
      <w:pPr>
        <w:tabs>
          <w:tab w:val="num" w:pos="720"/>
          <w:tab w:val="left" w:pos="1260"/>
        </w:tabs>
        <w:ind w:left="851" w:hanging="851"/>
        <w:rPr>
          <w:rFonts w:cs="Arial"/>
          <w:sz w:val="22"/>
          <w:szCs w:val="22"/>
        </w:rPr>
      </w:pPr>
      <w:r w:rsidRPr="002C494A">
        <w:rPr>
          <w:rFonts w:cs="Arial"/>
          <w:sz w:val="22"/>
          <w:szCs w:val="22"/>
        </w:rPr>
        <w:t>4.1</w:t>
      </w:r>
      <w:r w:rsidRPr="002C494A">
        <w:rPr>
          <w:rFonts w:cs="Arial"/>
          <w:sz w:val="22"/>
          <w:szCs w:val="22"/>
        </w:rPr>
        <w:tab/>
      </w:r>
      <w:r w:rsidRPr="002C494A">
        <w:rPr>
          <w:rFonts w:cs="Arial"/>
          <w:sz w:val="22"/>
          <w:szCs w:val="22"/>
        </w:rPr>
        <w:tab/>
        <w:t>The recommendation</w:t>
      </w:r>
      <w:r w:rsidR="00B04F87" w:rsidRPr="002C494A">
        <w:rPr>
          <w:rFonts w:cs="Arial"/>
          <w:sz w:val="22"/>
          <w:szCs w:val="22"/>
        </w:rPr>
        <w:t>s</w:t>
      </w:r>
      <w:r w:rsidRPr="002C494A">
        <w:rPr>
          <w:rFonts w:cs="Arial"/>
          <w:sz w:val="22"/>
          <w:szCs w:val="22"/>
        </w:rPr>
        <w:t xml:space="preserve"> in this report are within the Council’s agreed policy and budgets.</w:t>
      </w:r>
    </w:p>
    <w:p w:rsidR="00E12642" w:rsidRPr="002C494A" w:rsidRDefault="00E12642" w:rsidP="00851E27">
      <w:pPr>
        <w:tabs>
          <w:tab w:val="num" w:pos="720"/>
          <w:tab w:val="left" w:pos="1260"/>
        </w:tabs>
        <w:ind w:left="851" w:hanging="851"/>
        <w:rPr>
          <w:rFonts w:cs="Arial"/>
          <w:sz w:val="22"/>
          <w:szCs w:val="22"/>
        </w:rPr>
      </w:pPr>
    </w:p>
    <w:p w:rsidR="00E12642" w:rsidRPr="002C494A" w:rsidRDefault="00E12642" w:rsidP="00851E27">
      <w:pPr>
        <w:tabs>
          <w:tab w:val="num" w:pos="709"/>
          <w:tab w:val="left" w:pos="1260"/>
        </w:tabs>
        <w:ind w:left="851" w:hanging="851"/>
        <w:rPr>
          <w:rFonts w:cs="Arial"/>
          <w:b/>
          <w:sz w:val="22"/>
          <w:szCs w:val="22"/>
        </w:rPr>
      </w:pPr>
      <w:r w:rsidRPr="002C494A">
        <w:rPr>
          <w:rFonts w:cs="Arial"/>
          <w:sz w:val="22"/>
          <w:szCs w:val="22"/>
        </w:rPr>
        <w:t>5.</w:t>
      </w:r>
      <w:r w:rsidRPr="002C494A">
        <w:rPr>
          <w:rFonts w:cs="Arial"/>
          <w:sz w:val="22"/>
          <w:szCs w:val="22"/>
        </w:rPr>
        <w:tab/>
      </w:r>
      <w:r w:rsidRPr="002C494A">
        <w:rPr>
          <w:rFonts w:cs="Arial"/>
          <w:sz w:val="22"/>
          <w:szCs w:val="22"/>
        </w:rPr>
        <w:tab/>
      </w:r>
      <w:r w:rsidR="008133D5" w:rsidRPr="002C494A">
        <w:rPr>
          <w:rFonts w:cs="Arial"/>
          <w:b/>
          <w:sz w:val="22"/>
          <w:szCs w:val="22"/>
        </w:rPr>
        <w:t xml:space="preserve">Financial </w:t>
      </w:r>
      <w:r w:rsidRPr="002C494A">
        <w:rPr>
          <w:rFonts w:cs="Arial"/>
          <w:b/>
          <w:sz w:val="22"/>
          <w:szCs w:val="22"/>
        </w:rPr>
        <w:t>Implications</w:t>
      </w:r>
    </w:p>
    <w:p w:rsidR="00E12642" w:rsidRPr="002C494A" w:rsidRDefault="00E12642" w:rsidP="00851E27">
      <w:pPr>
        <w:tabs>
          <w:tab w:val="num" w:pos="709"/>
          <w:tab w:val="left" w:pos="1260"/>
        </w:tabs>
        <w:ind w:left="851" w:hanging="851"/>
        <w:rPr>
          <w:rFonts w:cs="Arial"/>
          <w:sz w:val="22"/>
          <w:szCs w:val="22"/>
        </w:rPr>
      </w:pPr>
    </w:p>
    <w:p w:rsidR="00E12642" w:rsidRPr="002C494A" w:rsidRDefault="00E12642" w:rsidP="00851E27">
      <w:pPr>
        <w:tabs>
          <w:tab w:val="num" w:pos="709"/>
          <w:tab w:val="left" w:pos="1260"/>
        </w:tabs>
        <w:ind w:left="851" w:hanging="851"/>
        <w:rPr>
          <w:rFonts w:cs="Arial"/>
          <w:sz w:val="22"/>
          <w:szCs w:val="22"/>
        </w:rPr>
      </w:pPr>
      <w:r w:rsidRPr="002C494A">
        <w:rPr>
          <w:rFonts w:cs="Arial"/>
          <w:sz w:val="22"/>
          <w:szCs w:val="22"/>
        </w:rPr>
        <w:t>5</w:t>
      </w:r>
      <w:r w:rsidR="008133D5" w:rsidRPr="002C494A">
        <w:rPr>
          <w:rFonts w:cs="Arial"/>
          <w:sz w:val="22"/>
          <w:szCs w:val="22"/>
        </w:rPr>
        <w:t>.1</w:t>
      </w:r>
      <w:r w:rsidRPr="002C494A">
        <w:rPr>
          <w:rFonts w:cs="Arial"/>
          <w:sz w:val="22"/>
          <w:szCs w:val="22"/>
        </w:rPr>
        <w:tab/>
      </w:r>
      <w:r w:rsidRPr="002C494A">
        <w:rPr>
          <w:rFonts w:cs="Arial"/>
          <w:sz w:val="22"/>
          <w:szCs w:val="22"/>
        </w:rPr>
        <w:tab/>
      </w:r>
      <w:r w:rsidR="008133D5" w:rsidRPr="002C494A">
        <w:rPr>
          <w:rFonts w:cs="Arial"/>
          <w:sz w:val="22"/>
          <w:szCs w:val="22"/>
        </w:rPr>
        <w:t>As c</w:t>
      </w:r>
      <w:r w:rsidR="004E3AE0">
        <w:rPr>
          <w:rFonts w:cs="Arial"/>
          <w:sz w:val="22"/>
          <w:szCs w:val="22"/>
        </w:rPr>
        <w:t xml:space="preserve">ontained </w:t>
      </w:r>
      <w:r w:rsidR="008133D5" w:rsidRPr="002C494A">
        <w:rPr>
          <w:rFonts w:cs="Arial"/>
          <w:sz w:val="22"/>
          <w:szCs w:val="22"/>
        </w:rPr>
        <w:t>in the body of the report</w:t>
      </w:r>
      <w:r w:rsidR="004E3AE0">
        <w:rPr>
          <w:rFonts w:cs="Arial"/>
          <w:sz w:val="22"/>
          <w:szCs w:val="22"/>
        </w:rPr>
        <w:t>.</w:t>
      </w:r>
    </w:p>
    <w:p w:rsidR="00E12642" w:rsidRPr="002C494A" w:rsidRDefault="00E12642" w:rsidP="00851E27">
      <w:pPr>
        <w:tabs>
          <w:tab w:val="num" w:pos="709"/>
          <w:tab w:val="left" w:pos="1260"/>
        </w:tabs>
        <w:ind w:left="851" w:hanging="851"/>
        <w:rPr>
          <w:rFonts w:cs="Arial"/>
          <w:b/>
          <w:sz w:val="22"/>
          <w:szCs w:val="22"/>
        </w:rPr>
      </w:pPr>
    </w:p>
    <w:p w:rsidR="00E12642" w:rsidRPr="002C494A" w:rsidRDefault="008133D5" w:rsidP="00851E27">
      <w:pPr>
        <w:tabs>
          <w:tab w:val="left" w:pos="1260"/>
        </w:tabs>
        <w:ind w:left="851" w:hanging="851"/>
        <w:rPr>
          <w:rFonts w:cs="Arial"/>
          <w:b/>
          <w:sz w:val="22"/>
          <w:szCs w:val="22"/>
        </w:rPr>
      </w:pPr>
      <w:r w:rsidRPr="002C494A">
        <w:rPr>
          <w:rFonts w:cs="Arial"/>
          <w:sz w:val="22"/>
          <w:szCs w:val="22"/>
        </w:rPr>
        <w:t>6.</w:t>
      </w:r>
      <w:r w:rsidRPr="002C494A">
        <w:rPr>
          <w:rFonts w:cs="Arial"/>
          <w:b/>
          <w:sz w:val="22"/>
          <w:szCs w:val="22"/>
        </w:rPr>
        <w:tab/>
      </w:r>
      <w:r w:rsidR="00E12642" w:rsidRPr="002C494A">
        <w:rPr>
          <w:rFonts w:cs="Arial"/>
          <w:b/>
          <w:sz w:val="22"/>
          <w:szCs w:val="22"/>
        </w:rPr>
        <w:t>Legal Implications</w:t>
      </w:r>
    </w:p>
    <w:p w:rsidR="008133D5" w:rsidRPr="002C494A" w:rsidRDefault="008133D5" w:rsidP="00851E27">
      <w:pPr>
        <w:tabs>
          <w:tab w:val="left" w:pos="1260"/>
        </w:tabs>
        <w:ind w:left="851" w:hanging="851"/>
        <w:rPr>
          <w:rFonts w:cs="Arial"/>
          <w:b/>
          <w:sz w:val="22"/>
          <w:szCs w:val="22"/>
        </w:rPr>
      </w:pPr>
    </w:p>
    <w:p w:rsidR="00E12642" w:rsidRPr="002C494A" w:rsidRDefault="008133D5" w:rsidP="00851E27">
      <w:pPr>
        <w:tabs>
          <w:tab w:val="num" w:pos="709"/>
          <w:tab w:val="left" w:pos="1260"/>
        </w:tabs>
        <w:ind w:left="851" w:hanging="851"/>
        <w:rPr>
          <w:rFonts w:cs="Arial"/>
          <w:sz w:val="22"/>
          <w:szCs w:val="22"/>
        </w:rPr>
      </w:pPr>
      <w:r w:rsidRPr="002C494A">
        <w:rPr>
          <w:rFonts w:cs="Arial"/>
          <w:sz w:val="22"/>
          <w:szCs w:val="22"/>
        </w:rPr>
        <w:t>6.1</w:t>
      </w:r>
      <w:r w:rsidRPr="002C494A">
        <w:rPr>
          <w:rFonts w:cs="Arial"/>
          <w:sz w:val="22"/>
          <w:szCs w:val="22"/>
        </w:rPr>
        <w:tab/>
      </w:r>
      <w:r w:rsidRPr="002C494A">
        <w:rPr>
          <w:rFonts w:cs="Arial"/>
          <w:sz w:val="22"/>
          <w:szCs w:val="22"/>
        </w:rPr>
        <w:tab/>
      </w:r>
      <w:r w:rsidR="00E12642" w:rsidRPr="002C494A">
        <w:rPr>
          <w:rFonts w:cs="Arial"/>
          <w:sz w:val="22"/>
          <w:szCs w:val="22"/>
        </w:rPr>
        <w:t>There is no requirement to make any amend</w:t>
      </w:r>
      <w:bookmarkStart w:id="4" w:name="_GoBack"/>
      <w:bookmarkEnd w:id="4"/>
      <w:r w:rsidR="00E12642" w:rsidRPr="002C494A">
        <w:rPr>
          <w:rFonts w:cs="Arial"/>
          <w:sz w:val="22"/>
          <w:szCs w:val="22"/>
        </w:rPr>
        <w:t>ments to the Treasury Management Strategy at this stage.</w:t>
      </w:r>
    </w:p>
    <w:p w:rsidR="00E12642" w:rsidRPr="002C494A" w:rsidRDefault="00E12642" w:rsidP="00851E27">
      <w:pPr>
        <w:tabs>
          <w:tab w:val="left" w:pos="1260"/>
        </w:tabs>
        <w:ind w:left="851" w:hanging="851"/>
        <w:rPr>
          <w:rFonts w:cs="Arial"/>
          <w:sz w:val="22"/>
          <w:szCs w:val="22"/>
        </w:rPr>
      </w:pPr>
    </w:p>
    <w:p w:rsidR="008133D5" w:rsidRPr="002C494A" w:rsidRDefault="008133D5" w:rsidP="00851E27">
      <w:pPr>
        <w:ind w:left="851" w:hanging="851"/>
        <w:rPr>
          <w:rFonts w:cs="Arial"/>
          <w:b/>
          <w:sz w:val="22"/>
          <w:szCs w:val="22"/>
        </w:rPr>
      </w:pPr>
      <w:r w:rsidRPr="002C494A">
        <w:rPr>
          <w:rFonts w:cs="Arial"/>
          <w:sz w:val="22"/>
          <w:szCs w:val="22"/>
        </w:rPr>
        <w:t>7.</w:t>
      </w:r>
      <w:r w:rsidR="00E12642" w:rsidRPr="002C494A">
        <w:rPr>
          <w:rFonts w:cs="Arial"/>
          <w:sz w:val="22"/>
          <w:szCs w:val="22"/>
        </w:rPr>
        <w:tab/>
      </w:r>
      <w:r w:rsidR="00E12642" w:rsidRPr="002C494A">
        <w:rPr>
          <w:rFonts w:cs="Arial"/>
          <w:b/>
          <w:sz w:val="22"/>
          <w:szCs w:val="22"/>
        </w:rPr>
        <w:t>Equal Opportunities, Staffing, Environmental, Community Safety</w:t>
      </w:r>
      <w:r w:rsidR="00EE235D" w:rsidRPr="002C494A">
        <w:rPr>
          <w:rFonts w:cs="Arial"/>
          <w:b/>
          <w:sz w:val="22"/>
          <w:szCs w:val="22"/>
        </w:rPr>
        <w:t>, Customer</w:t>
      </w:r>
      <w:r w:rsidR="00E12642" w:rsidRPr="002C494A">
        <w:rPr>
          <w:rFonts w:cs="Arial"/>
          <w:b/>
          <w:sz w:val="22"/>
          <w:szCs w:val="22"/>
        </w:rPr>
        <w:t xml:space="preserve"> Services Centre Implications</w:t>
      </w:r>
      <w:r w:rsidRPr="002C494A">
        <w:rPr>
          <w:rFonts w:cs="Arial"/>
          <w:b/>
          <w:sz w:val="22"/>
          <w:szCs w:val="22"/>
        </w:rPr>
        <w:t xml:space="preserve"> and Website Implications</w:t>
      </w:r>
    </w:p>
    <w:p w:rsidR="00E12642" w:rsidRPr="002C494A" w:rsidRDefault="00E12642" w:rsidP="00851E27">
      <w:pPr>
        <w:tabs>
          <w:tab w:val="num" w:pos="709"/>
          <w:tab w:val="left" w:pos="1260"/>
        </w:tabs>
        <w:ind w:left="851" w:hanging="851"/>
        <w:rPr>
          <w:rFonts w:cs="Arial"/>
          <w:sz w:val="22"/>
          <w:szCs w:val="22"/>
        </w:rPr>
      </w:pPr>
    </w:p>
    <w:p w:rsidR="007D393F" w:rsidRPr="002C494A" w:rsidRDefault="008133D5" w:rsidP="00851E27">
      <w:pPr>
        <w:ind w:left="851" w:hanging="851"/>
        <w:rPr>
          <w:rFonts w:cs="Arial"/>
          <w:sz w:val="22"/>
          <w:szCs w:val="22"/>
        </w:rPr>
      </w:pPr>
      <w:r w:rsidRPr="002C494A">
        <w:rPr>
          <w:rFonts w:cs="Arial"/>
          <w:sz w:val="22"/>
          <w:szCs w:val="22"/>
        </w:rPr>
        <w:t>7</w:t>
      </w:r>
      <w:r w:rsidR="007D393F" w:rsidRPr="002C494A">
        <w:rPr>
          <w:rFonts w:cs="Arial"/>
          <w:sz w:val="22"/>
          <w:szCs w:val="22"/>
        </w:rPr>
        <w:t>.1</w:t>
      </w:r>
      <w:r w:rsidR="007D393F" w:rsidRPr="002C494A">
        <w:rPr>
          <w:rFonts w:cs="Arial"/>
          <w:sz w:val="22"/>
          <w:szCs w:val="22"/>
        </w:rPr>
        <w:tab/>
      </w:r>
      <w:r w:rsidRPr="002C494A">
        <w:rPr>
          <w:rFonts w:cs="Arial"/>
          <w:sz w:val="22"/>
          <w:szCs w:val="22"/>
        </w:rPr>
        <w:t>None specific.</w:t>
      </w:r>
    </w:p>
    <w:p w:rsidR="00E12642" w:rsidRPr="002C494A" w:rsidRDefault="00E12642" w:rsidP="00851E27">
      <w:pPr>
        <w:ind w:left="851" w:hanging="851"/>
        <w:rPr>
          <w:rFonts w:cs="Arial"/>
          <w:b/>
          <w:sz w:val="22"/>
          <w:szCs w:val="22"/>
        </w:rPr>
      </w:pPr>
    </w:p>
    <w:p w:rsidR="00CA3E29" w:rsidRPr="002C494A" w:rsidRDefault="008133D5" w:rsidP="00851E27">
      <w:pPr>
        <w:tabs>
          <w:tab w:val="left" w:pos="1260"/>
        </w:tabs>
        <w:ind w:left="851" w:hanging="851"/>
        <w:rPr>
          <w:rFonts w:cs="Arial"/>
          <w:b/>
          <w:sz w:val="22"/>
          <w:szCs w:val="22"/>
        </w:rPr>
      </w:pPr>
      <w:r w:rsidRPr="002C494A">
        <w:rPr>
          <w:rFonts w:cs="Arial"/>
          <w:sz w:val="22"/>
          <w:szCs w:val="22"/>
        </w:rPr>
        <w:t>8.</w:t>
      </w:r>
      <w:r w:rsidRPr="002C494A">
        <w:rPr>
          <w:rFonts w:cs="Arial"/>
          <w:b/>
          <w:sz w:val="22"/>
          <w:szCs w:val="22"/>
        </w:rPr>
        <w:tab/>
      </w:r>
      <w:r w:rsidR="0070012C" w:rsidRPr="002C494A">
        <w:rPr>
          <w:rFonts w:cs="Arial"/>
          <w:b/>
          <w:sz w:val="22"/>
          <w:szCs w:val="22"/>
        </w:rPr>
        <w:t>Risk Management Implications</w:t>
      </w:r>
    </w:p>
    <w:p w:rsidR="007D393F" w:rsidRPr="002C494A" w:rsidRDefault="007D393F" w:rsidP="00851E27">
      <w:pPr>
        <w:ind w:left="851" w:hanging="851"/>
        <w:rPr>
          <w:rFonts w:cs="Arial"/>
          <w:b/>
          <w:sz w:val="22"/>
          <w:szCs w:val="22"/>
        </w:rPr>
      </w:pPr>
    </w:p>
    <w:p w:rsidR="00CA3E29" w:rsidRPr="002C494A" w:rsidRDefault="008133D5" w:rsidP="00851E27">
      <w:pPr>
        <w:tabs>
          <w:tab w:val="num" w:pos="709"/>
          <w:tab w:val="left" w:pos="1260"/>
        </w:tabs>
        <w:ind w:left="851" w:hanging="851"/>
        <w:rPr>
          <w:rFonts w:cs="Arial"/>
          <w:sz w:val="22"/>
          <w:szCs w:val="22"/>
        </w:rPr>
      </w:pPr>
      <w:r w:rsidRPr="002C494A">
        <w:rPr>
          <w:rFonts w:cs="Arial"/>
          <w:sz w:val="22"/>
          <w:szCs w:val="22"/>
        </w:rPr>
        <w:t>8</w:t>
      </w:r>
      <w:r w:rsidR="007D393F" w:rsidRPr="002C494A">
        <w:rPr>
          <w:rFonts w:cs="Arial"/>
          <w:sz w:val="22"/>
          <w:szCs w:val="22"/>
        </w:rPr>
        <w:t>.1</w:t>
      </w:r>
      <w:r w:rsidR="007D393F" w:rsidRPr="002C494A">
        <w:rPr>
          <w:rFonts w:cs="Arial"/>
          <w:sz w:val="22"/>
          <w:szCs w:val="22"/>
        </w:rPr>
        <w:tab/>
      </w:r>
      <w:r w:rsidR="007D393F" w:rsidRPr="002C494A">
        <w:rPr>
          <w:rFonts w:cs="Arial"/>
          <w:sz w:val="22"/>
          <w:szCs w:val="22"/>
        </w:rPr>
        <w:tab/>
        <w:t>There are no risks associated with the decision Members are being asked to make, i.e. to note this report.</w:t>
      </w:r>
    </w:p>
    <w:p w:rsidR="00CA3E29" w:rsidRPr="002C494A" w:rsidRDefault="00CA3E29" w:rsidP="00851E27">
      <w:pPr>
        <w:ind w:left="851" w:hanging="851"/>
        <w:rPr>
          <w:rFonts w:cs="Arial"/>
          <w:b/>
          <w:sz w:val="22"/>
          <w:szCs w:val="22"/>
        </w:rPr>
      </w:pPr>
    </w:p>
    <w:p w:rsidR="0070012C" w:rsidRPr="002C494A" w:rsidRDefault="008133D5" w:rsidP="00851E27">
      <w:pPr>
        <w:tabs>
          <w:tab w:val="left" w:pos="1260"/>
        </w:tabs>
        <w:ind w:left="851" w:hanging="851"/>
        <w:rPr>
          <w:rFonts w:cs="Arial"/>
          <w:b/>
          <w:sz w:val="22"/>
          <w:szCs w:val="22"/>
        </w:rPr>
      </w:pPr>
      <w:r w:rsidRPr="002C494A">
        <w:rPr>
          <w:rFonts w:cs="Arial"/>
          <w:sz w:val="22"/>
          <w:szCs w:val="22"/>
        </w:rPr>
        <w:t>9</w:t>
      </w:r>
      <w:r w:rsidR="009E4D70" w:rsidRPr="002C494A">
        <w:rPr>
          <w:rFonts w:cs="Arial"/>
          <w:b/>
          <w:sz w:val="22"/>
          <w:szCs w:val="22"/>
        </w:rPr>
        <w:t>.</w:t>
      </w:r>
      <w:r w:rsidR="009E4D70" w:rsidRPr="002C494A">
        <w:rPr>
          <w:rFonts w:cs="Arial"/>
          <w:b/>
          <w:sz w:val="22"/>
          <w:szCs w:val="22"/>
        </w:rPr>
        <w:tab/>
      </w:r>
      <w:r w:rsidR="0070012C" w:rsidRPr="002C494A">
        <w:rPr>
          <w:rFonts w:cs="Arial"/>
          <w:b/>
          <w:sz w:val="22"/>
          <w:szCs w:val="22"/>
        </w:rPr>
        <w:t>Recommendation</w:t>
      </w:r>
    </w:p>
    <w:p w:rsidR="007D393F" w:rsidRPr="002C494A" w:rsidRDefault="007D393F" w:rsidP="00851E27">
      <w:pPr>
        <w:ind w:left="851" w:hanging="851"/>
        <w:rPr>
          <w:rFonts w:cs="Arial"/>
          <w:b/>
          <w:sz w:val="22"/>
          <w:szCs w:val="22"/>
        </w:rPr>
      </w:pPr>
    </w:p>
    <w:p w:rsidR="007D393F" w:rsidRPr="002C494A" w:rsidRDefault="0070012C" w:rsidP="00851E27">
      <w:pPr>
        <w:numPr>
          <w:ilvl w:val="1"/>
          <w:numId w:val="26"/>
        </w:numPr>
        <w:tabs>
          <w:tab w:val="clear" w:pos="360"/>
          <w:tab w:val="num" w:pos="1260"/>
        </w:tabs>
        <w:ind w:left="851" w:hanging="851"/>
        <w:rPr>
          <w:rFonts w:cs="Arial"/>
          <w:sz w:val="22"/>
          <w:szCs w:val="22"/>
        </w:rPr>
      </w:pPr>
      <w:r w:rsidRPr="002C494A">
        <w:rPr>
          <w:rFonts w:cs="Arial"/>
          <w:sz w:val="22"/>
          <w:szCs w:val="22"/>
        </w:rPr>
        <w:t xml:space="preserve">That </w:t>
      </w:r>
      <w:r w:rsidR="004E3AE0">
        <w:rPr>
          <w:rFonts w:cs="Arial"/>
          <w:sz w:val="22"/>
          <w:szCs w:val="22"/>
        </w:rPr>
        <w:t>M</w:t>
      </w:r>
      <w:r w:rsidR="007D393F" w:rsidRPr="002C494A">
        <w:rPr>
          <w:rFonts w:cs="Arial"/>
          <w:sz w:val="22"/>
          <w:szCs w:val="22"/>
        </w:rPr>
        <w:t xml:space="preserve">embers note the contents of </w:t>
      </w:r>
      <w:r w:rsidR="00B04F87" w:rsidRPr="002C494A">
        <w:rPr>
          <w:rFonts w:cs="Arial"/>
          <w:sz w:val="22"/>
          <w:szCs w:val="22"/>
        </w:rPr>
        <w:t xml:space="preserve">the </w:t>
      </w:r>
      <w:r w:rsidR="00C21C08" w:rsidRPr="002C494A">
        <w:rPr>
          <w:rFonts w:cs="Arial"/>
          <w:sz w:val="22"/>
          <w:szCs w:val="22"/>
        </w:rPr>
        <w:t>2016/17</w:t>
      </w:r>
      <w:r w:rsidR="007D393F" w:rsidRPr="002C494A">
        <w:rPr>
          <w:rFonts w:cs="Arial"/>
          <w:sz w:val="22"/>
          <w:szCs w:val="22"/>
        </w:rPr>
        <w:t xml:space="preserve"> Mid Year Review of the Treasury Management function</w:t>
      </w:r>
      <w:r w:rsidR="00A72856" w:rsidRPr="002C494A">
        <w:rPr>
          <w:rFonts w:cs="Arial"/>
          <w:sz w:val="22"/>
          <w:szCs w:val="22"/>
        </w:rPr>
        <w:t>.</w:t>
      </w:r>
    </w:p>
    <w:p w:rsidR="00CA3E29" w:rsidRPr="002C494A" w:rsidRDefault="00CA3E29" w:rsidP="00851E27">
      <w:pPr>
        <w:tabs>
          <w:tab w:val="num" w:pos="709"/>
        </w:tabs>
        <w:ind w:left="851" w:hanging="851"/>
        <w:rPr>
          <w:rFonts w:cs="Arial"/>
          <w:b/>
          <w:sz w:val="22"/>
          <w:szCs w:val="22"/>
        </w:rPr>
      </w:pPr>
    </w:p>
    <w:p w:rsidR="0070012C" w:rsidRPr="002C494A" w:rsidRDefault="0070012C" w:rsidP="00851E27">
      <w:pPr>
        <w:tabs>
          <w:tab w:val="num" w:pos="709"/>
        </w:tabs>
        <w:ind w:left="851" w:hanging="851"/>
        <w:outlineLvl w:val="0"/>
        <w:rPr>
          <w:rFonts w:cs="Arial"/>
          <w:b/>
          <w:sz w:val="22"/>
          <w:szCs w:val="22"/>
        </w:rPr>
      </w:pPr>
      <w:r w:rsidRPr="002C494A">
        <w:rPr>
          <w:rFonts w:cs="Arial"/>
          <w:b/>
          <w:sz w:val="22"/>
          <w:szCs w:val="22"/>
        </w:rPr>
        <w:t>Background Papers:</w:t>
      </w:r>
    </w:p>
    <w:p w:rsidR="0070012C" w:rsidRPr="002C494A" w:rsidRDefault="0070012C" w:rsidP="00851E27">
      <w:pPr>
        <w:tabs>
          <w:tab w:val="num" w:pos="709"/>
        </w:tabs>
        <w:ind w:left="851" w:hanging="851"/>
        <w:rPr>
          <w:rFonts w:cs="Arial"/>
          <w:b/>
          <w:sz w:val="22"/>
          <w:szCs w:val="22"/>
        </w:rPr>
      </w:pPr>
    </w:p>
    <w:p w:rsidR="00646DEB" w:rsidRPr="002C494A" w:rsidRDefault="00646DEB" w:rsidP="00851E27">
      <w:pPr>
        <w:ind w:left="851" w:hanging="851"/>
        <w:rPr>
          <w:rFonts w:cs="Arial"/>
          <w:sz w:val="22"/>
          <w:szCs w:val="22"/>
        </w:rPr>
      </w:pPr>
      <w:r w:rsidRPr="002C494A">
        <w:rPr>
          <w:rFonts w:cs="Arial"/>
          <w:sz w:val="22"/>
          <w:szCs w:val="22"/>
        </w:rPr>
        <w:t xml:space="preserve">Treasury Management Strategy </w:t>
      </w:r>
      <w:r w:rsidR="00C21C08" w:rsidRPr="002C494A">
        <w:rPr>
          <w:rFonts w:cs="Arial"/>
          <w:sz w:val="22"/>
          <w:szCs w:val="22"/>
        </w:rPr>
        <w:t>2016/17</w:t>
      </w:r>
      <w:r w:rsidR="00816278" w:rsidRPr="002C494A">
        <w:rPr>
          <w:rFonts w:cs="Arial"/>
          <w:sz w:val="22"/>
          <w:szCs w:val="22"/>
        </w:rPr>
        <w:t>;</w:t>
      </w:r>
    </w:p>
    <w:p w:rsidR="0070012C" w:rsidRPr="002C494A" w:rsidRDefault="0070012C" w:rsidP="00851E27">
      <w:pPr>
        <w:ind w:left="851" w:hanging="851"/>
        <w:rPr>
          <w:rFonts w:cs="Arial"/>
          <w:sz w:val="22"/>
          <w:szCs w:val="22"/>
        </w:rPr>
      </w:pPr>
      <w:r w:rsidRPr="002C494A">
        <w:rPr>
          <w:rFonts w:cs="Arial"/>
          <w:sz w:val="22"/>
          <w:szCs w:val="22"/>
        </w:rPr>
        <w:t xml:space="preserve">UK Economic Forecasts provided by </w:t>
      </w:r>
      <w:r w:rsidR="006F33CC" w:rsidRPr="002C494A">
        <w:rPr>
          <w:rFonts w:cs="Arial"/>
          <w:sz w:val="22"/>
          <w:szCs w:val="22"/>
        </w:rPr>
        <w:t>Capita Asset Services Treasury Solutions</w:t>
      </w:r>
      <w:r w:rsidRPr="002C494A">
        <w:rPr>
          <w:rFonts w:cs="Arial"/>
          <w:sz w:val="22"/>
          <w:szCs w:val="22"/>
        </w:rPr>
        <w:t>;</w:t>
      </w:r>
    </w:p>
    <w:p w:rsidR="007D393F" w:rsidRPr="002C494A" w:rsidRDefault="007D393F" w:rsidP="00851E27">
      <w:pPr>
        <w:pStyle w:val="BodyText"/>
        <w:tabs>
          <w:tab w:val="left" w:pos="720"/>
          <w:tab w:val="left" w:pos="5115"/>
        </w:tabs>
        <w:ind w:left="851" w:hanging="851"/>
        <w:rPr>
          <w:rFonts w:cs="Arial"/>
          <w:b/>
          <w:szCs w:val="22"/>
        </w:rPr>
      </w:pPr>
    </w:p>
    <w:p w:rsidR="003A6944" w:rsidRPr="002C494A" w:rsidRDefault="003A6944" w:rsidP="00851E27">
      <w:pPr>
        <w:pStyle w:val="BodyText"/>
        <w:tabs>
          <w:tab w:val="left" w:pos="720"/>
          <w:tab w:val="left" w:pos="5115"/>
        </w:tabs>
        <w:ind w:left="851" w:hanging="851"/>
        <w:outlineLvl w:val="0"/>
        <w:rPr>
          <w:rFonts w:cs="Arial"/>
          <w:b/>
          <w:szCs w:val="22"/>
        </w:rPr>
      </w:pPr>
      <w:r w:rsidRPr="002C494A">
        <w:rPr>
          <w:rFonts w:cs="Arial"/>
          <w:b/>
          <w:szCs w:val="22"/>
        </w:rPr>
        <w:t>Report prepared by:</w:t>
      </w:r>
      <w:r w:rsidR="004F63B6" w:rsidRPr="002C494A">
        <w:rPr>
          <w:rFonts w:cs="Arial"/>
          <w:b/>
          <w:szCs w:val="22"/>
        </w:rPr>
        <w:t xml:space="preserve">  </w:t>
      </w:r>
      <w:r w:rsidR="008F35A6" w:rsidRPr="002C494A">
        <w:rPr>
          <w:rFonts w:cs="Arial"/>
          <w:szCs w:val="22"/>
        </w:rPr>
        <w:t xml:space="preserve">Sunjiv Seetul (Finance Manager) and </w:t>
      </w:r>
      <w:r w:rsidR="00AB6267" w:rsidRPr="002C494A">
        <w:rPr>
          <w:rFonts w:cs="Arial"/>
          <w:szCs w:val="22"/>
        </w:rPr>
        <w:t>Loretta Manhertz</w:t>
      </w:r>
      <w:r w:rsidR="00FE083E" w:rsidRPr="002C494A">
        <w:rPr>
          <w:rFonts w:cs="Arial"/>
          <w:szCs w:val="22"/>
        </w:rPr>
        <w:t xml:space="preserve"> (Finance Officer)</w:t>
      </w:r>
    </w:p>
    <w:p w:rsidR="007D393F" w:rsidRPr="002C494A" w:rsidRDefault="007D393F" w:rsidP="00851E27">
      <w:pPr>
        <w:ind w:left="851" w:hanging="851"/>
        <w:rPr>
          <w:rFonts w:cs="Arial"/>
          <w:sz w:val="22"/>
          <w:szCs w:val="22"/>
        </w:rPr>
      </w:pPr>
    </w:p>
    <w:p w:rsidR="003A6944" w:rsidRPr="002C494A" w:rsidRDefault="003A6944" w:rsidP="00851E27">
      <w:pPr>
        <w:keepNext/>
        <w:tabs>
          <w:tab w:val="left" w:pos="1260"/>
          <w:tab w:val="left" w:pos="2160"/>
          <w:tab w:val="left" w:pos="2700"/>
          <w:tab w:val="left" w:pos="3420"/>
        </w:tabs>
        <w:autoSpaceDE w:val="0"/>
        <w:autoSpaceDN w:val="0"/>
        <w:adjustRightInd w:val="0"/>
        <w:ind w:left="851" w:hanging="851"/>
        <w:outlineLvl w:val="0"/>
        <w:rPr>
          <w:rFonts w:cs="Arial"/>
          <w:sz w:val="22"/>
          <w:szCs w:val="22"/>
        </w:rPr>
      </w:pPr>
      <w:r w:rsidRPr="002C494A">
        <w:rPr>
          <w:rFonts w:cs="Arial"/>
          <w:b/>
          <w:sz w:val="22"/>
          <w:szCs w:val="22"/>
        </w:rPr>
        <w:t>Data source:</w:t>
      </w:r>
      <w:r w:rsidR="009E4D70" w:rsidRPr="002C494A">
        <w:rPr>
          <w:rFonts w:cs="Arial"/>
          <w:b/>
          <w:sz w:val="22"/>
          <w:szCs w:val="22"/>
        </w:rPr>
        <w:tab/>
      </w:r>
      <w:r w:rsidRPr="002C494A">
        <w:rPr>
          <w:rFonts w:cs="Arial"/>
          <w:sz w:val="22"/>
          <w:szCs w:val="22"/>
        </w:rPr>
        <w:t xml:space="preserve">Logotech Treasury Management </w:t>
      </w:r>
      <w:r w:rsidR="008133D5" w:rsidRPr="002C494A">
        <w:rPr>
          <w:rFonts w:cs="Arial"/>
          <w:sz w:val="22"/>
          <w:szCs w:val="22"/>
        </w:rPr>
        <w:t>system</w:t>
      </w:r>
    </w:p>
    <w:p w:rsidR="007D393F" w:rsidRPr="002C494A" w:rsidRDefault="007D393F" w:rsidP="00851E27">
      <w:pPr>
        <w:pStyle w:val="BodyText"/>
        <w:ind w:left="851" w:hanging="851"/>
        <w:rPr>
          <w:rFonts w:cs="Arial"/>
          <w:szCs w:val="22"/>
        </w:rPr>
      </w:pPr>
    </w:p>
    <w:p w:rsidR="003A6944" w:rsidRPr="002C494A" w:rsidRDefault="003A6944" w:rsidP="00851E27">
      <w:pPr>
        <w:pStyle w:val="BodyText"/>
        <w:ind w:left="851" w:hanging="851"/>
        <w:outlineLvl w:val="0"/>
        <w:rPr>
          <w:rFonts w:cs="Arial"/>
          <w:szCs w:val="22"/>
        </w:rPr>
      </w:pPr>
      <w:r w:rsidRPr="002C494A">
        <w:rPr>
          <w:rFonts w:cs="Arial"/>
          <w:b/>
          <w:szCs w:val="22"/>
        </w:rPr>
        <w:t>Data checked by:</w:t>
      </w:r>
      <w:r w:rsidR="009E4D70" w:rsidRPr="002C494A">
        <w:rPr>
          <w:rFonts w:cs="Arial"/>
          <w:b/>
          <w:szCs w:val="22"/>
        </w:rPr>
        <w:tab/>
      </w:r>
      <w:r w:rsidR="004F63B6" w:rsidRPr="002C494A">
        <w:rPr>
          <w:rFonts w:cs="Arial"/>
          <w:b/>
          <w:szCs w:val="22"/>
        </w:rPr>
        <w:t xml:space="preserve"> </w:t>
      </w:r>
      <w:r w:rsidR="008F35A6" w:rsidRPr="002C494A">
        <w:rPr>
          <w:rFonts w:cs="Arial"/>
          <w:szCs w:val="22"/>
        </w:rPr>
        <w:t>Bob Watson (Head of Finance)</w:t>
      </w:r>
    </w:p>
    <w:p w:rsidR="007D393F" w:rsidRPr="002C494A" w:rsidRDefault="009E4D70" w:rsidP="00851E27">
      <w:pPr>
        <w:pStyle w:val="BodyText"/>
        <w:ind w:left="851" w:hanging="851"/>
        <w:rPr>
          <w:rFonts w:cs="Arial"/>
          <w:szCs w:val="22"/>
        </w:rPr>
      </w:pPr>
      <w:r w:rsidRPr="002C494A">
        <w:rPr>
          <w:rFonts w:cs="Arial"/>
          <w:szCs w:val="22"/>
        </w:rPr>
        <w:t>Data rating</w:t>
      </w:r>
    </w:p>
    <w:tbl>
      <w:tblPr>
        <w:tblW w:w="0" w:type="auto"/>
        <w:tblInd w:w="36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276"/>
        <w:gridCol w:w="492"/>
      </w:tblGrid>
      <w:tr w:rsidR="003A6944" w:rsidRPr="002C494A" w:rsidTr="00BE2F27">
        <w:trPr>
          <w:trHeight w:hRule="exact" w:val="346"/>
        </w:trPr>
        <w:tc>
          <w:tcPr>
            <w:tcW w:w="392" w:type="dxa"/>
            <w:tcBorders>
              <w:top w:val="single" w:sz="4" w:space="0" w:color="auto"/>
              <w:bottom w:val="single" w:sz="4" w:space="0" w:color="auto"/>
              <w:right w:val="single" w:sz="4" w:space="0" w:color="auto"/>
            </w:tcBorders>
            <w:vAlign w:val="center"/>
          </w:tcPr>
          <w:p w:rsidR="003A6944" w:rsidRPr="002C494A" w:rsidRDefault="009E4D70"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r w:rsidRPr="002C494A">
              <w:rPr>
                <w:rFonts w:cs="Arial"/>
                <w:sz w:val="22"/>
                <w:szCs w:val="22"/>
              </w:rPr>
              <w:t>1</w:t>
            </w:r>
            <w:r w:rsidR="003A6944" w:rsidRPr="002C494A">
              <w:rPr>
                <w:rFonts w:cs="Arial"/>
                <w:sz w:val="22"/>
                <w:szCs w:val="22"/>
              </w:rPr>
              <w:tab/>
              <w:t>Data rating:</w:t>
            </w:r>
            <w:r w:rsidRPr="002C494A">
              <w:rPr>
                <w:rFonts w:cs="Arial"/>
                <w:sz w:val="22"/>
                <w:szCs w:val="22"/>
              </w:rPr>
              <w:t xml:space="preserve"> </w:t>
            </w:r>
            <w:r w:rsidR="003A6944" w:rsidRPr="002C494A">
              <w:rPr>
                <w:rFonts w:cs="Arial"/>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3A6944" w:rsidRPr="002C494A" w:rsidRDefault="003A6944"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r w:rsidRPr="002C494A">
              <w:rPr>
                <w:rFonts w:cs="Arial"/>
                <w:sz w:val="22"/>
                <w:szCs w:val="22"/>
              </w:rPr>
              <w:t>Poor</w:t>
            </w:r>
          </w:p>
        </w:tc>
        <w:tc>
          <w:tcPr>
            <w:tcW w:w="492" w:type="dxa"/>
            <w:tcBorders>
              <w:top w:val="single" w:sz="4" w:space="0" w:color="auto"/>
              <w:left w:val="single" w:sz="4" w:space="0" w:color="auto"/>
              <w:bottom w:val="single" w:sz="4" w:space="0" w:color="auto"/>
            </w:tcBorders>
            <w:vAlign w:val="center"/>
          </w:tcPr>
          <w:p w:rsidR="003A6944" w:rsidRPr="002C494A" w:rsidRDefault="003A6944"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p>
        </w:tc>
      </w:tr>
      <w:tr w:rsidR="003A6944" w:rsidRPr="002C494A" w:rsidTr="00BE2F27">
        <w:trPr>
          <w:trHeight w:hRule="exact" w:val="346"/>
        </w:trPr>
        <w:tc>
          <w:tcPr>
            <w:tcW w:w="392" w:type="dxa"/>
            <w:tcBorders>
              <w:top w:val="single" w:sz="4" w:space="0" w:color="auto"/>
              <w:bottom w:val="single" w:sz="4" w:space="0" w:color="auto"/>
              <w:right w:val="single" w:sz="4" w:space="0" w:color="auto"/>
            </w:tcBorders>
            <w:vAlign w:val="center"/>
          </w:tcPr>
          <w:p w:rsidR="003A6944" w:rsidRPr="002C494A" w:rsidRDefault="003A6944"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r w:rsidRPr="002C494A">
              <w:rPr>
                <w:rFonts w:cs="Arial"/>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3A6944" w:rsidRPr="002C494A" w:rsidRDefault="003A6944"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r w:rsidRPr="002C494A">
              <w:rPr>
                <w:rFonts w:cs="Arial"/>
                <w:sz w:val="22"/>
                <w:szCs w:val="22"/>
              </w:rPr>
              <w:t>Sufficient</w:t>
            </w:r>
          </w:p>
        </w:tc>
        <w:tc>
          <w:tcPr>
            <w:tcW w:w="492" w:type="dxa"/>
            <w:tcBorders>
              <w:top w:val="single" w:sz="4" w:space="0" w:color="auto"/>
              <w:left w:val="single" w:sz="4" w:space="0" w:color="auto"/>
              <w:bottom w:val="single" w:sz="4" w:space="0" w:color="auto"/>
            </w:tcBorders>
            <w:vAlign w:val="center"/>
          </w:tcPr>
          <w:p w:rsidR="003A6944" w:rsidRPr="002C494A" w:rsidRDefault="003A6944"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p>
        </w:tc>
      </w:tr>
      <w:tr w:rsidR="003A6944" w:rsidRPr="002C494A" w:rsidTr="00BE2F27">
        <w:trPr>
          <w:trHeight w:hRule="exact" w:val="346"/>
        </w:trPr>
        <w:tc>
          <w:tcPr>
            <w:tcW w:w="392" w:type="dxa"/>
            <w:tcBorders>
              <w:top w:val="single" w:sz="4" w:space="0" w:color="auto"/>
              <w:bottom w:val="single" w:sz="4" w:space="0" w:color="auto"/>
              <w:right w:val="single" w:sz="4" w:space="0" w:color="auto"/>
            </w:tcBorders>
            <w:vAlign w:val="center"/>
          </w:tcPr>
          <w:p w:rsidR="003A6944" w:rsidRPr="002C494A" w:rsidRDefault="003A6944"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r w:rsidRPr="002C494A">
              <w:rPr>
                <w:rFonts w:cs="Arial"/>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3A6944" w:rsidRPr="002C494A" w:rsidRDefault="003A6944"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r w:rsidRPr="002C494A">
              <w:rPr>
                <w:rFonts w:cs="Arial"/>
                <w:sz w:val="22"/>
                <w:szCs w:val="22"/>
              </w:rPr>
              <w:t>High</w:t>
            </w:r>
          </w:p>
        </w:tc>
        <w:tc>
          <w:tcPr>
            <w:tcW w:w="492" w:type="dxa"/>
            <w:tcBorders>
              <w:top w:val="single" w:sz="4" w:space="0" w:color="auto"/>
              <w:left w:val="single" w:sz="4" w:space="0" w:color="auto"/>
              <w:bottom w:val="single" w:sz="4" w:space="0" w:color="auto"/>
            </w:tcBorders>
            <w:vAlign w:val="center"/>
          </w:tcPr>
          <w:p w:rsidR="003A6944" w:rsidRPr="002C494A" w:rsidRDefault="006F33CC" w:rsidP="00851E27">
            <w:pPr>
              <w:keepNext/>
              <w:keepLines/>
              <w:tabs>
                <w:tab w:val="left" w:pos="1260"/>
                <w:tab w:val="left" w:pos="1980"/>
                <w:tab w:val="left" w:pos="2700"/>
                <w:tab w:val="left" w:pos="3420"/>
              </w:tabs>
              <w:autoSpaceDE w:val="0"/>
              <w:autoSpaceDN w:val="0"/>
              <w:adjustRightInd w:val="0"/>
              <w:ind w:left="851" w:hanging="851"/>
              <w:rPr>
                <w:rFonts w:cs="Arial"/>
                <w:sz w:val="22"/>
                <w:szCs w:val="22"/>
              </w:rPr>
            </w:pPr>
            <w:r w:rsidRPr="002C494A">
              <w:rPr>
                <w:rFonts w:cs="Arial"/>
                <w:b/>
                <w:bCs/>
                <w:sz w:val="22"/>
                <w:szCs w:val="22"/>
              </w:rPr>
              <w:sym w:font="Wingdings" w:char="F0FC"/>
            </w:r>
          </w:p>
        </w:tc>
      </w:tr>
    </w:tbl>
    <w:p w:rsidR="00CB462E" w:rsidRPr="002C494A" w:rsidRDefault="00CB462E" w:rsidP="00851E27">
      <w:pPr>
        <w:pStyle w:val="BodyText"/>
        <w:ind w:left="851" w:hanging="851"/>
        <w:rPr>
          <w:rFonts w:cs="Arial"/>
          <w:szCs w:val="22"/>
        </w:rPr>
      </w:pPr>
    </w:p>
    <w:p w:rsidR="009D26D5" w:rsidRPr="002C494A" w:rsidRDefault="009D26D5" w:rsidP="00851E27">
      <w:pPr>
        <w:pStyle w:val="BodyText"/>
        <w:tabs>
          <w:tab w:val="left" w:pos="3420"/>
        </w:tabs>
        <w:ind w:left="851" w:hanging="851"/>
        <w:rPr>
          <w:rFonts w:cs="Arial"/>
          <w:szCs w:val="22"/>
        </w:rPr>
      </w:pPr>
    </w:p>
    <w:sectPr w:rsidR="009D26D5" w:rsidRPr="002C494A" w:rsidSect="002C494A">
      <w:footerReference w:type="even" r:id="rId8"/>
      <w:footerReference w:type="default" r:id="rId9"/>
      <w:pgSz w:w="11906" w:h="16838" w:code="9"/>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21" w:rsidRDefault="00F45821">
      <w:r>
        <w:separator/>
      </w:r>
    </w:p>
  </w:endnote>
  <w:endnote w:type="continuationSeparator" w:id="0">
    <w:p w:rsidR="00F45821" w:rsidRDefault="00F4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CA" w:rsidRDefault="00BC02CA" w:rsidP="00BE2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C02CA" w:rsidRDefault="00BC02CA" w:rsidP="00DC3F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CA" w:rsidRDefault="00BC02CA" w:rsidP="004171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21" w:rsidRDefault="00F45821">
      <w:r>
        <w:separator/>
      </w:r>
    </w:p>
  </w:footnote>
  <w:footnote w:type="continuationSeparator" w:id="0">
    <w:p w:rsidR="00F45821" w:rsidRDefault="00F45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46D"/>
    <w:multiLevelType w:val="multilevel"/>
    <w:tmpl w:val="DA24506C"/>
    <w:lvl w:ilvl="0">
      <w:start w:val="4"/>
      <w:numFmt w:val="decimal"/>
      <w:lvlText w:val="%1"/>
      <w:lvlJc w:val="left"/>
      <w:pPr>
        <w:tabs>
          <w:tab w:val="num" w:pos="435"/>
        </w:tabs>
        <w:ind w:left="435" w:hanging="435"/>
      </w:pPr>
      <w:rPr>
        <w:rFonts w:hint="default"/>
        <w:b w:val="0"/>
      </w:rPr>
    </w:lvl>
    <w:lvl w:ilvl="1">
      <w:start w:val="30"/>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nsid w:val="0D8965C0"/>
    <w:multiLevelType w:val="hybridMultilevel"/>
    <w:tmpl w:val="6A5E27B0"/>
    <w:lvl w:ilvl="0" w:tplc="08090001">
      <w:start w:val="1"/>
      <w:numFmt w:val="bullet"/>
      <w:lvlText w:val=""/>
      <w:lvlJc w:val="left"/>
      <w:pPr>
        <w:ind w:left="1803" w:hanging="360"/>
      </w:pPr>
      <w:rPr>
        <w:rFonts w:ascii="Symbol" w:hAnsi="Symbol" w:hint="default"/>
      </w:rPr>
    </w:lvl>
    <w:lvl w:ilvl="1" w:tplc="08090003" w:tentative="1">
      <w:start w:val="1"/>
      <w:numFmt w:val="bullet"/>
      <w:lvlText w:val="o"/>
      <w:lvlJc w:val="left"/>
      <w:pPr>
        <w:ind w:left="2523" w:hanging="360"/>
      </w:pPr>
      <w:rPr>
        <w:rFonts w:ascii="Courier New" w:hAnsi="Courier New" w:hint="default"/>
      </w:rPr>
    </w:lvl>
    <w:lvl w:ilvl="2" w:tplc="08090005" w:tentative="1">
      <w:start w:val="1"/>
      <w:numFmt w:val="bullet"/>
      <w:lvlText w:val=""/>
      <w:lvlJc w:val="left"/>
      <w:pPr>
        <w:ind w:left="3243" w:hanging="360"/>
      </w:pPr>
      <w:rPr>
        <w:rFonts w:ascii="Wingdings" w:hAnsi="Wingdings" w:hint="default"/>
      </w:rPr>
    </w:lvl>
    <w:lvl w:ilvl="3" w:tplc="0809000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2">
    <w:nsid w:val="109E29E5"/>
    <w:multiLevelType w:val="hybridMultilevel"/>
    <w:tmpl w:val="52DC2D2A"/>
    <w:lvl w:ilvl="0" w:tplc="EFCAC0BA">
      <w:start w:val="1"/>
      <w:numFmt w:val="decimal"/>
      <w:lvlText w:val="%1."/>
      <w:lvlJc w:val="left"/>
      <w:pPr>
        <w:tabs>
          <w:tab w:val="num" w:pos="1260"/>
        </w:tabs>
        <w:ind w:left="1260" w:hanging="12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1201AD4"/>
    <w:multiLevelType w:val="multilevel"/>
    <w:tmpl w:val="37204932"/>
    <w:lvl w:ilvl="0">
      <w:start w:val="6"/>
      <w:numFmt w:val="decimal"/>
      <w:lvlText w:val="%1.0"/>
      <w:lvlJc w:val="left"/>
      <w:pPr>
        <w:tabs>
          <w:tab w:val="num" w:pos="1260"/>
        </w:tabs>
        <w:ind w:left="1260" w:hanging="1260"/>
      </w:pPr>
      <w:rPr>
        <w:rFonts w:hint="default"/>
        <w:b w:val="0"/>
      </w:rPr>
    </w:lvl>
    <w:lvl w:ilvl="1">
      <w:start w:val="1"/>
      <w:numFmt w:val="decimal"/>
      <w:lvlText w:val="%1.%2"/>
      <w:lvlJc w:val="left"/>
      <w:pPr>
        <w:tabs>
          <w:tab w:val="num" w:pos="1980"/>
        </w:tabs>
        <w:ind w:left="1980" w:hanging="1260"/>
      </w:pPr>
      <w:rPr>
        <w:rFonts w:hint="default"/>
        <w:b w:val="0"/>
      </w:rPr>
    </w:lvl>
    <w:lvl w:ilvl="2">
      <w:start w:val="1"/>
      <w:numFmt w:val="decimal"/>
      <w:lvlText w:val="%1.%2.%3"/>
      <w:lvlJc w:val="left"/>
      <w:pPr>
        <w:tabs>
          <w:tab w:val="num" w:pos="2700"/>
        </w:tabs>
        <w:ind w:left="2700" w:hanging="1260"/>
      </w:pPr>
      <w:rPr>
        <w:rFonts w:hint="default"/>
        <w:b w:val="0"/>
      </w:rPr>
    </w:lvl>
    <w:lvl w:ilvl="3">
      <w:start w:val="1"/>
      <w:numFmt w:val="decimal"/>
      <w:lvlText w:val="%1.%2.%3.%4"/>
      <w:lvlJc w:val="left"/>
      <w:pPr>
        <w:tabs>
          <w:tab w:val="num" w:pos="3420"/>
        </w:tabs>
        <w:ind w:left="3420" w:hanging="1260"/>
      </w:pPr>
      <w:rPr>
        <w:rFonts w:hint="default"/>
        <w:b w:val="0"/>
      </w:rPr>
    </w:lvl>
    <w:lvl w:ilvl="4">
      <w:start w:val="1"/>
      <w:numFmt w:val="decimal"/>
      <w:lvlText w:val="%1.%2.%3.%4.%5"/>
      <w:lvlJc w:val="left"/>
      <w:pPr>
        <w:tabs>
          <w:tab w:val="num" w:pos="4140"/>
        </w:tabs>
        <w:ind w:left="4140" w:hanging="1260"/>
      </w:pPr>
      <w:rPr>
        <w:rFonts w:hint="default"/>
        <w:b w:val="0"/>
      </w:rPr>
    </w:lvl>
    <w:lvl w:ilvl="5">
      <w:start w:val="1"/>
      <w:numFmt w:val="decimal"/>
      <w:lvlText w:val="%1.%2.%3.%4.%5.%6"/>
      <w:lvlJc w:val="left"/>
      <w:pPr>
        <w:tabs>
          <w:tab w:val="num" w:pos="4860"/>
        </w:tabs>
        <w:ind w:left="4860" w:hanging="126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
    <w:nsid w:val="112208DB"/>
    <w:multiLevelType w:val="hybridMultilevel"/>
    <w:tmpl w:val="C4D23594"/>
    <w:lvl w:ilvl="0" w:tplc="81507B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6C17E6"/>
    <w:multiLevelType w:val="hybridMultilevel"/>
    <w:tmpl w:val="302A2CFC"/>
    <w:lvl w:ilvl="0" w:tplc="BB36B26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
    <w:nsid w:val="15A87080"/>
    <w:multiLevelType w:val="hybridMultilevel"/>
    <w:tmpl w:val="6DEC9150"/>
    <w:lvl w:ilvl="0" w:tplc="C166DA24">
      <w:start w:val="1"/>
      <w:numFmt w:val="bullet"/>
      <w:lvlText w:val=""/>
      <w:lvlJc w:val="left"/>
      <w:pPr>
        <w:tabs>
          <w:tab w:val="num" w:pos="417"/>
        </w:tabs>
        <w:ind w:left="284"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07135"/>
    <w:multiLevelType w:val="hybridMultilevel"/>
    <w:tmpl w:val="56100A0A"/>
    <w:lvl w:ilvl="0" w:tplc="86B2E154">
      <w:start w:val="1"/>
      <w:numFmt w:val="decimal"/>
      <w:lvlText w:val="%1."/>
      <w:lvlJc w:val="left"/>
      <w:pPr>
        <w:tabs>
          <w:tab w:val="num" w:pos="360"/>
        </w:tabs>
        <w:ind w:left="360" w:hanging="360"/>
      </w:pPr>
      <w:rPr>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3C5B82"/>
    <w:multiLevelType w:val="multilevel"/>
    <w:tmpl w:val="AA109BA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F90E12"/>
    <w:multiLevelType w:val="multilevel"/>
    <w:tmpl w:val="E44824FE"/>
    <w:lvl w:ilvl="0">
      <w:start w:val="4"/>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8020F5"/>
    <w:multiLevelType w:val="hybridMultilevel"/>
    <w:tmpl w:val="D03C1DD6"/>
    <w:lvl w:ilvl="0" w:tplc="08090001">
      <w:start w:val="1"/>
      <w:numFmt w:val="bullet"/>
      <w:lvlText w:val=""/>
      <w:lvlJc w:val="left"/>
      <w:pPr>
        <w:tabs>
          <w:tab w:val="num" w:pos="720"/>
        </w:tabs>
        <w:ind w:left="720" w:hanging="360"/>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07846F2"/>
    <w:multiLevelType w:val="hybridMultilevel"/>
    <w:tmpl w:val="EF66C434"/>
    <w:lvl w:ilvl="0" w:tplc="C166DA24">
      <w:start w:val="1"/>
      <w:numFmt w:val="bullet"/>
      <w:lvlText w:val=""/>
      <w:lvlJc w:val="left"/>
      <w:pPr>
        <w:tabs>
          <w:tab w:val="num" w:pos="3483"/>
        </w:tabs>
        <w:ind w:left="3350" w:hanging="227"/>
      </w:pPr>
      <w:rPr>
        <w:rFonts w:ascii="Symbol" w:hAnsi="Symbol" w:hint="default"/>
        <w:color w:val="auto"/>
      </w:rPr>
    </w:lvl>
    <w:lvl w:ilvl="1" w:tplc="08090003" w:tentative="1">
      <w:start w:val="1"/>
      <w:numFmt w:val="bullet"/>
      <w:lvlText w:val="o"/>
      <w:lvlJc w:val="left"/>
      <w:pPr>
        <w:tabs>
          <w:tab w:val="num" w:pos="4506"/>
        </w:tabs>
        <w:ind w:left="4506" w:hanging="360"/>
      </w:pPr>
      <w:rPr>
        <w:rFonts w:ascii="Courier New" w:hAnsi="Courier New" w:cs="Courier New" w:hint="default"/>
      </w:rPr>
    </w:lvl>
    <w:lvl w:ilvl="2" w:tplc="08090005" w:tentative="1">
      <w:start w:val="1"/>
      <w:numFmt w:val="bullet"/>
      <w:lvlText w:val=""/>
      <w:lvlJc w:val="left"/>
      <w:pPr>
        <w:tabs>
          <w:tab w:val="num" w:pos="5226"/>
        </w:tabs>
        <w:ind w:left="5226" w:hanging="360"/>
      </w:pPr>
      <w:rPr>
        <w:rFonts w:ascii="Wingdings" w:hAnsi="Wingdings" w:hint="default"/>
      </w:rPr>
    </w:lvl>
    <w:lvl w:ilvl="3" w:tplc="08090001" w:tentative="1">
      <w:start w:val="1"/>
      <w:numFmt w:val="bullet"/>
      <w:lvlText w:val=""/>
      <w:lvlJc w:val="left"/>
      <w:pPr>
        <w:tabs>
          <w:tab w:val="num" w:pos="5946"/>
        </w:tabs>
        <w:ind w:left="5946" w:hanging="360"/>
      </w:pPr>
      <w:rPr>
        <w:rFonts w:ascii="Symbol" w:hAnsi="Symbol" w:hint="default"/>
      </w:rPr>
    </w:lvl>
    <w:lvl w:ilvl="4" w:tplc="08090003" w:tentative="1">
      <w:start w:val="1"/>
      <w:numFmt w:val="bullet"/>
      <w:lvlText w:val="o"/>
      <w:lvlJc w:val="left"/>
      <w:pPr>
        <w:tabs>
          <w:tab w:val="num" w:pos="6666"/>
        </w:tabs>
        <w:ind w:left="6666" w:hanging="360"/>
      </w:pPr>
      <w:rPr>
        <w:rFonts w:ascii="Courier New" w:hAnsi="Courier New" w:cs="Courier New" w:hint="default"/>
      </w:rPr>
    </w:lvl>
    <w:lvl w:ilvl="5" w:tplc="08090005" w:tentative="1">
      <w:start w:val="1"/>
      <w:numFmt w:val="bullet"/>
      <w:lvlText w:val=""/>
      <w:lvlJc w:val="left"/>
      <w:pPr>
        <w:tabs>
          <w:tab w:val="num" w:pos="7386"/>
        </w:tabs>
        <w:ind w:left="7386" w:hanging="360"/>
      </w:pPr>
      <w:rPr>
        <w:rFonts w:ascii="Wingdings" w:hAnsi="Wingdings" w:hint="default"/>
      </w:rPr>
    </w:lvl>
    <w:lvl w:ilvl="6" w:tplc="08090001" w:tentative="1">
      <w:start w:val="1"/>
      <w:numFmt w:val="bullet"/>
      <w:lvlText w:val=""/>
      <w:lvlJc w:val="left"/>
      <w:pPr>
        <w:tabs>
          <w:tab w:val="num" w:pos="8106"/>
        </w:tabs>
        <w:ind w:left="8106" w:hanging="360"/>
      </w:pPr>
      <w:rPr>
        <w:rFonts w:ascii="Symbol" w:hAnsi="Symbol" w:hint="default"/>
      </w:rPr>
    </w:lvl>
    <w:lvl w:ilvl="7" w:tplc="08090003" w:tentative="1">
      <w:start w:val="1"/>
      <w:numFmt w:val="bullet"/>
      <w:lvlText w:val="o"/>
      <w:lvlJc w:val="left"/>
      <w:pPr>
        <w:tabs>
          <w:tab w:val="num" w:pos="8826"/>
        </w:tabs>
        <w:ind w:left="8826" w:hanging="360"/>
      </w:pPr>
      <w:rPr>
        <w:rFonts w:ascii="Courier New" w:hAnsi="Courier New" w:cs="Courier New" w:hint="default"/>
      </w:rPr>
    </w:lvl>
    <w:lvl w:ilvl="8" w:tplc="08090005" w:tentative="1">
      <w:start w:val="1"/>
      <w:numFmt w:val="bullet"/>
      <w:lvlText w:val=""/>
      <w:lvlJc w:val="left"/>
      <w:pPr>
        <w:tabs>
          <w:tab w:val="num" w:pos="9546"/>
        </w:tabs>
        <w:ind w:left="9546" w:hanging="360"/>
      </w:pPr>
      <w:rPr>
        <w:rFonts w:ascii="Wingdings" w:hAnsi="Wingdings" w:hint="default"/>
      </w:rPr>
    </w:lvl>
  </w:abstractNum>
  <w:abstractNum w:abstractNumId="12">
    <w:nsid w:val="29E31F9A"/>
    <w:multiLevelType w:val="hybridMultilevel"/>
    <w:tmpl w:val="21E0F7D0"/>
    <w:lvl w:ilvl="0" w:tplc="08090001">
      <w:start w:val="1"/>
      <w:numFmt w:val="bullet"/>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13">
    <w:nsid w:val="2E41381D"/>
    <w:multiLevelType w:val="multilevel"/>
    <w:tmpl w:val="B7A8531E"/>
    <w:lvl w:ilvl="0">
      <w:start w:val="6"/>
      <w:numFmt w:val="decimal"/>
      <w:lvlText w:val="%1."/>
      <w:lvlJc w:val="left"/>
      <w:pPr>
        <w:tabs>
          <w:tab w:val="num" w:pos="1260"/>
        </w:tabs>
        <w:ind w:left="1260" w:hanging="1260"/>
      </w:pPr>
      <w:rPr>
        <w:rFonts w:hint="default"/>
        <w:b w:val="0"/>
      </w:rPr>
    </w:lvl>
    <w:lvl w:ilvl="1">
      <w:start w:val="1"/>
      <w:numFmt w:val="decimal"/>
      <w:isLgl/>
      <w:lvlText w:val="%1.%2"/>
      <w:lvlJc w:val="left"/>
      <w:pPr>
        <w:tabs>
          <w:tab w:val="num" w:pos="1260"/>
        </w:tabs>
        <w:ind w:left="1260" w:hanging="1260"/>
      </w:pPr>
      <w:rPr>
        <w:rFonts w:hint="default"/>
      </w:rPr>
    </w:lvl>
    <w:lvl w:ilvl="2">
      <w:start w:val="1"/>
      <w:numFmt w:val="decimal"/>
      <w:isLgl/>
      <w:lvlText w:val="%1.%2.%3"/>
      <w:lvlJc w:val="left"/>
      <w:pPr>
        <w:tabs>
          <w:tab w:val="num" w:pos="1260"/>
        </w:tabs>
        <w:ind w:left="1260" w:hanging="1260"/>
      </w:pPr>
      <w:rPr>
        <w:rFonts w:hint="default"/>
      </w:rPr>
    </w:lvl>
    <w:lvl w:ilvl="3">
      <w:start w:val="1"/>
      <w:numFmt w:val="decimal"/>
      <w:isLgl/>
      <w:lvlText w:val="%1.%2.%3.%4"/>
      <w:lvlJc w:val="left"/>
      <w:pPr>
        <w:tabs>
          <w:tab w:val="num" w:pos="1260"/>
        </w:tabs>
        <w:ind w:left="1260" w:hanging="1260"/>
      </w:pPr>
      <w:rPr>
        <w:rFonts w:hint="default"/>
      </w:rPr>
    </w:lvl>
    <w:lvl w:ilvl="4">
      <w:start w:val="1"/>
      <w:numFmt w:val="decimal"/>
      <w:isLgl/>
      <w:lvlText w:val="%1.%2.%3.%4.%5"/>
      <w:lvlJc w:val="left"/>
      <w:pPr>
        <w:tabs>
          <w:tab w:val="num" w:pos="1260"/>
        </w:tabs>
        <w:ind w:left="1260" w:hanging="1260"/>
      </w:pPr>
      <w:rPr>
        <w:rFonts w:hint="default"/>
      </w:rPr>
    </w:lvl>
    <w:lvl w:ilvl="5">
      <w:start w:val="1"/>
      <w:numFmt w:val="decimal"/>
      <w:isLgl/>
      <w:lvlText w:val="%1.%2.%3.%4.%5.%6"/>
      <w:lvlJc w:val="left"/>
      <w:pPr>
        <w:tabs>
          <w:tab w:val="num" w:pos="1260"/>
        </w:tabs>
        <w:ind w:left="1260" w:hanging="126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07E0CCE"/>
    <w:multiLevelType w:val="hybridMultilevel"/>
    <w:tmpl w:val="E8244F0E"/>
    <w:lvl w:ilvl="0" w:tplc="08090001">
      <w:start w:val="1"/>
      <w:numFmt w:val="bullet"/>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15">
    <w:nsid w:val="33B26848"/>
    <w:multiLevelType w:val="hybridMultilevel"/>
    <w:tmpl w:val="B5E21B76"/>
    <w:lvl w:ilvl="0" w:tplc="08090001">
      <w:start w:val="1"/>
      <w:numFmt w:val="bullet"/>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2347"/>
        </w:tabs>
        <w:ind w:left="2347" w:hanging="360"/>
      </w:pPr>
      <w:rPr>
        <w:rFonts w:ascii="Courier New" w:hAnsi="Courier New" w:cs="Courier New" w:hint="default"/>
      </w:rPr>
    </w:lvl>
    <w:lvl w:ilvl="2" w:tplc="08090005" w:tentative="1">
      <w:start w:val="1"/>
      <w:numFmt w:val="bullet"/>
      <w:lvlText w:val=""/>
      <w:lvlJc w:val="left"/>
      <w:pPr>
        <w:tabs>
          <w:tab w:val="num" w:pos="3067"/>
        </w:tabs>
        <w:ind w:left="3067" w:hanging="360"/>
      </w:pPr>
      <w:rPr>
        <w:rFonts w:ascii="Wingdings" w:hAnsi="Wingdings" w:hint="default"/>
      </w:rPr>
    </w:lvl>
    <w:lvl w:ilvl="3" w:tplc="08090001" w:tentative="1">
      <w:start w:val="1"/>
      <w:numFmt w:val="bullet"/>
      <w:lvlText w:val=""/>
      <w:lvlJc w:val="left"/>
      <w:pPr>
        <w:tabs>
          <w:tab w:val="num" w:pos="3787"/>
        </w:tabs>
        <w:ind w:left="3787" w:hanging="360"/>
      </w:pPr>
      <w:rPr>
        <w:rFonts w:ascii="Symbol" w:hAnsi="Symbol" w:hint="default"/>
      </w:rPr>
    </w:lvl>
    <w:lvl w:ilvl="4" w:tplc="08090003" w:tentative="1">
      <w:start w:val="1"/>
      <w:numFmt w:val="bullet"/>
      <w:lvlText w:val="o"/>
      <w:lvlJc w:val="left"/>
      <w:pPr>
        <w:tabs>
          <w:tab w:val="num" w:pos="4507"/>
        </w:tabs>
        <w:ind w:left="4507" w:hanging="360"/>
      </w:pPr>
      <w:rPr>
        <w:rFonts w:ascii="Courier New" w:hAnsi="Courier New" w:cs="Courier New" w:hint="default"/>
      </w:rPr>
    </w:lvl>
    <w:lvl w:ilvl="5" w:tplc="08090005" w:tentative="1">
      <w:start w:val="1"/>
      <w:numFmt w:val="bullet"/>
      <w:lvlText w:val=""/>
      <w:lvlJc w:val="left"/>
      <w:pPr>
        <w:tabs>
          <w:tab w:val="num" w:pos="5227"/>
        </w:tabs>
        <w:ind w:left="5227" w:hanging="360"/>
      </w:pPr>
      <w:rPr>
        <w:rFonts w:ascii="Wingdings" w:hAnsi="Wingdings" w:hint="default"/>
      </w:rPr>
    </w:lvl>
    <w:lvl w:ilvl="6" w:tplc="08090001" w:tentative="1">
      <w:start w:val="1"/>
      <w:numFmt w:val="bullet"/>
      <w:lvlText w:val=""/>
      <w:lvlJc w:val="left"/>
      <w:pPr>
        <w:tabs>
          <w:tab w:val="num" w:pos="5947"/>
        </w:tabs>
        <w:ind w:left="5947" w:hanging="360"/>
      </w:pPr>
      <w:rPr>
        <w:rFonts w:ascii="Symbol" w:hAnsi="Symbol" w:hint="default"/>
      </w:rPr>
    </w:lvl>
    <w:lvl w:ilvl="7" w:tplc="08090003" w:tentative="1">
      <w:start w:val="1"/>
      <w:numFmt w:val="bullet"/>
      <w:lvlText w:val="o"/>
      <w:lvlJc w:val="left"/>
      <w:pPr>
        <w:tabs>
          <w:tab w:val="num" w:pos="6667"/>
        </w:tabs>
        <w:ind w:left="6667" w:hanging="360"/>
      </w:pPr>
      <w:rPr>
        <w:rFonts w:ascii="Courier New" w:hAnsi="Courier New" w:cs="Courier New" w:hint="default"/>
      </w:rPr>
    </w:lvl>
    <w:lvl w:ilvl="8" w:tplc="08090005" w:tentative="1">
      <w:start w:val="1"/>
      <w:numFmt w:val="bullet"/>
      <w:lvlText w:val=""/>
      <w:lvlJc w:val="left"/>
      <w:pPr>
        <w:tabs>
          <w:tab w:val="num" w:pos="7387"/>
        </w:tabs>
        <w:ind w:left="7387" w:hanging="360"/>
      </w:pPr>
      <w:rPr>
        <w:rFonts w:ascii="Wingdings" w:hAnsi="Wingdings" w:hint="default"/>
      </w:rPr>
    </w:lvl>
  </w:abstractNum>
  <w:abstractNum w:abstractNumId="16">
    <w:nsid w:val="3F4509E0"/>
    <w:multiLevelType w:val="hybridMultilevel"/>
    <w:tmpl w:val="2926DF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502"/>
        </w:tabs>
        <w:ind w:left="502"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1C7050"/>
    <w:multiLevelType w:val="hybridMultilevel"/>
    <w:tmpl w:val="57085BD8"/>
    <w:lvl w:ilvl="0" w:tplc="0809000F">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C47089B6">
      <w:start w:val="1"/>
      <w:numFmt w:val="decimal"/>
      <w:lvlText w:val="%3"/>
      <w:lvlJc w:val="left"/>
      <w:pPr>
        <w:tabs>
          <w:tab w:val="num" w:pos="2340"/>
        </w:tabs>
        <w:ind w:left="2340" w:hanging="360"/>
      </w:pPr>
      <w:rPr>
        <w:rFonts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32B7F54"/>
    <w:multiLevelType w:val="multilevel"/>
    <w:tmpl w:val="37204932"/>
    <w:lvl w:ilvl="0">
      <w:start w:val="6"/>
      <w:numFmt w:val="decimal"/>
      <w:lvlText w:val="%1.0"/>
      <w:lvlJc w:val="left"/>
      <w:pPr>
        <w:tabs>
          <w:tab w:val="num" w:pos="1260"/>
        </w:tabs>
        <w:ind w:left="1260" w:hanging="1260"/>
      </w:pPr>
      <w:rPr>
        <w:rFonts w:hint="default"/>
        <w:b w:val="0"/>
      </w:rPr>
    </w:lvl>
    <w:lvl w:ilvl="1">
      <w:start w:val="1"/>
      <w:numFmt w:val="decimal"/>
      <w:lvlText w:val="%1.%2"/>
      <w:lvlJc w:val="left"/>
      <w:pPr>
        <w:tabs>
          <w:tab w:val="num" w:pos="1980"/>
        </w:tabs>
        <w:ind w:left="1980" w:hanging="1260"/>
      </w:pPr>
      <w:rPr>
        <w:rFonts w:hint="default"/>
        <w:b w:val="0"/>
      </w:rPr>
    </w:lvl>
    <w:lvl w:ilvl="2">
      <w:start w:val="1"/>
      <w:numFmt w:val="decimal"/>
      <w:lvlText w:val="%1.%2.%3"/>
      <w:lvlJc w:val="left"/>
      <w:pPr>
        <w:tabs>
          <w:tab w:val="num" w:pos="2700"/>
        </w:tabs>
        <w:ind w:left="2700" w:hanging="1260"/>
      </w:pPr>
      <w:rPr>
        <w:rFonts w:hint="default"/>
        <w:b w:val="0"/>
      </w:rPr>
    </w:lvl>
    <w:lvl w:ilvl="3">
      <w:start w:val="1"/>
      <w:numFmt w:val="decimal"/>
      <w:lvlText w:val="%1.%2.%3.%4"/>
      <w:lvlJc w:val="left"/>
      <w:pPr>
        <w:tabs>
          <w:tab w:val="num" w:pos="3420"/>
        </w:tabs>
        <w:ind w:left="3420" w:hanging="1260"/>
      </w:pPr>
      <w:rPr>
        <w:rFonts w:hint="default"/>
        <w:b w:val="0"/>
      </w:rPr>
    </w:lvl>
    <w:lvl w:ilvl="4">
      <w:start w:val="1"/>
      <w:numFmt w:val="decimal"/>
      <w:lvlText w:val="%1.%2.%3.%4.%5"/>
      <w:lvlJc w:val="left"/>
      <w:pPr>
        <w:tabs>
          <w:tab w:val="num" w:pos="4140"/>
        </w:tabs>
        <w:ind w:left="4140" w:hanging="1260"/>
      </w:pPr>
      <w:rPr>
        <w:rFonts w:hint="default"/>
        <w:b w:val="0"/>
      </w:rPr>
    </w:lvl>
    <w:lvl w:ilvl="5">
      <w:start w:val="1"/>
      <w:numFmt w:val="decimal"/>
      <w:lvlText w:val="%1.%2.%3.%4.%5.%6"/>
      <w:lvlJc w:val="left"/>
      <w:pPr>
        <w:tabs>
          <w:tab w:val="num" w:pos="4860"/>
        </w:tabs>
        <w:ind w:left="4860" w:hanging="126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9">
    <w:nsid w:val="48F062D4"/>
    <w:multiLevelType w:val="hybridMultilevel"/>
    <w:tmpl w:val="595A392A"/>
    <w:lvl w:ilvl="0" w:tplc="6E74E3CE">
      <w:start w:val="1"/>
      <w:numFmt w:val="bullet"/>
      <w:lvlText w:val=""/>
      <w:lvlJc w:val="left"/>
      <w:pPr>
        <w:ind w:left="-3451" w:hanging="360"/>
      </w:pPr>
      <w:rPr>
        <w:rFonts w:ascii="Symbol" w:hAnsi="Symbol" w:hint="default"/>
      </w:rPr>
    </w:lvl>
    <w:lvl w:ilvl="1" w:tplc="08090003" w:tentative="1">
      <w:start w:val="1"/>
      <w:numFmt w:val="bullet"/>
      <w:lvlText w:val="o"/>
      <w:lvlJc w:val="left"/>
      <w:pPr>
        <w:ind w:left="-2731" w:hanging="360"/>
      </w:pPr>
      <w:rPr>
        <w:rFonts w:ascii="Courier New" w:hAnsi="Courier New" w:hint="default"/>
      </w:rPr>
    </w:lvl>
    <w:lvl w:ilvl="2" w:tplc="08090005" w:tentative="1">
      <w:start w:val="1"/>
      <w:numFmt w:val="bullet"/>
      <w:lvlText w:val=""/>
      <w:lvlJc w:val="left"/>
      <w:pPr>
        <w:ind w:left="-2011" w:hanging="360"/>
      </w:pPr>
      <w:rPr>
        <w:rFonts w:ascii="Wingdings" w:hAnsi="Wingdings" w:hint="default"/>
      </w:rPr>
    </w:lvl>
    <w:lvl w:ilvl="3" w:tplc="08090001" w:tentative="1">
      <w:start w:val="1"/>
      <w:numFmt w:val="bullet"/>
      <w:lvlText w:val=""/>
      <w:lvlJc w:val="left"/>
      <w:pPr>
        <w:ind w:left="-1291" w:hanging="360"/>
      </w:pPr>
      <w:rPr>
        <w:rFonts w:ascii="Symbol" w:hAnsi="Symbol" w:hint="default"/>
      </w:rPr>
    </w:lvl>
    <w:lvl w:ilvl="4" w:tplc="08090003" w:tentative="1">
      <w:start w:val="1"/>
      <w:numFmt w:val="bullet"/>
      <w:lvlText w:val="o"/>
      <w:lvlJc w:val="left"/>
      <w:pPr>
        <w:ind w:left="-571" w:hanging="360"/>
      </w:pPr>
      <w:rPr>
        <w:rFonts w:ascii="Courier New" w:hAnsi="Courier New" w:hint="default"/>
      </w:rPr>
    </w:lvl>
    <w:lvl w:ilvl="5" w:tplc="08090005" w:tentative="1">
      <w:start w:val="1"/>
      <w:numFmt w:val="bullet"/>
      <w:lvlText w:val=""/>
      <w:lvlJc w:val="left"/>
      <w:pPr>
        <w:ind w:left="149" w:hanging="360"/>
      </w:pPr>
      <w:rPr>
        <w:rFonts w:ascii="Wingdings" w:hAnsi="Wingdings" w:hint="default"/>
      </w:rPr>
    </w:lvl>
    <w:lvl w:ilvl="6" w:tplc="08090001" w:tentative="1">
      <w:start w:val="1"/>
      <w:numFmt w:val="bullet"/>
      <w:lvlText w:val=""/>
      <w:lvlJc w:val="left"/>
      <w:pPr>
        <w:ind w:left="869" w:hanging="360"/>
      </w:pPr>
      <w:rPr>
        <w:rFonts w:ascii="Symbol" w:hAnsi="Symbol" w:hint="default"/>
      </w:rPr>
    </w:lvl>
    <w:lvl w:ilvl="7" w:tplc="08090003" w:tentative="1">
      <w:start w:val="1"/>
      <w:numFmt w:val="bullet"/>
      <w:lvlText w:val="o"/>
      <w:lvlJc w:val="left"/>
      <w:pPr>
        <w:ind w:left="1589" w:hanging="360"/>
      </w:pPr>
      <w:rPr>
        <w:rFonts w:ascii="Courier New" w:hAnsi="Courier New" w:hint="default"/>
      </w:rPr>
    </w:lvl>
    <w:lvl w:ilvl="8" w:tplc="08090005" w:tentative="1">
      <w:start w:val="1"/>
      <w:numFmt w:val="bullet"/>
      <w:lvlText w:val=""/>
      <w:lvlJc w:val="left"/>
      <w:pPr>
        <w:ind w:left="2309" w:hanging="360"/>
      </w:pPr>
      <w:rPr>
        <w:rFonts w:ascii="Wingdings" w:hAnsi="Wingdings" w:hint="default"/>
      </w:rPr>
    </w:lvl>
  </w:abstractNum>
  <w:abstractNum w:abstractNumId="20">
    <w:nsid w:val="4B983CF4"/>
    <w:multiLevelType w:val="hybridMultilevel"/>
    <w:tmpl w:val="3316360C"/>
    <w:lvl w:ilvl="0" w:tplc="08090007">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1">
    <w:nsid w:val="56DA4037"/>
    <w:multiLevelType w:val="multilevel"/>
    <w:tmpl w:val="89785E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17A434A"/>
    <w:multiLevelType w:val="multilevel"/>
    <w:tmpl w:val="F804783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4F55329"/>
    <w:multiLevelType w:val="hybridMultilevel"/>
    <w:tmpl w:val="39D8A08A"/>
    <w:lvl w:ilvl="0" w:tplc="C166DA2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C24421D"/>
    <w:multiLevelType w:val="multilevel"/>
    <w:tmpl w:val="18E69344"/>
    <w:lvl w:ilvl="0">
      <w:start w:val="4"/>
      <w:numFmt w:val="decimal"/>
      <w:lvlText w:val="%1"/>
      <w:lvlJc w:val="left"/>
      <w:pPr>
        <w:tabs>
          <w:tab w:val="num" w:pos="360"/>
        </w:tabs>
        <w:ind w:left="360" w:hanging="360"/>
      </w:pPr>
      <w:rPr>
        <w:rFonts w:hint="default"/>
        <w:color w:val="005B82"/>
      </w:rPr>
    </w:lvl>
    <w:lvl w:ilvl="1">
      <w:start w:val="1"/>
      <w:numFmt w:val="decimal"/>
      <w:lvlText w:val="%1.%2"/>
      <w:lvlJc w:val="left"/>
      <w:pPr>
        <w:tabs>
          <w:tab w:val="num" w:pos="360"/>
        </w:tabs>
        <w:ind w:left="360" w:hanging="360"/>
      </w:pPr>
      <w:rPr>
        <w:rFonts w:hint="default"/>
        <w:color w:val="005B82"/>
      </w:rPr>
    </w:lvl>
    <w:lvl w:ilvl="2">
      <w:start w:val="1"/>
      <w:numFmt w:val="decimal"/>
      <w:lvlText w:val="%1.%2.%3"/>
      <w:lvlJc w:val="left"/>
      <w:pPr>
        <w:tabs>
          <w:tab w:val="num" w:pos="720"/>
        </w:tabs>
        <w:ind w:left="720" w:hanging="720"/>
      </w:pPr>
      <w:rPr>
        <w:rFonts w:hint="default"/>
        <w:color w:val="005B82"/>
      </w:rPr>
    </w:lvl>
    <w:lvl w:ilvl="3">
      <w:start w:val="1"/>
      <w:numFmt w:val="decimal"/>
      <w:lvlText w:val="%1.%2.%3.%4"/>
      <w:lvlJc w:val="left"/>
      <w:pPr>
        <w:tabs>
          <w:tab w:val="num" w:pos="720"/>
        </w:tabs>
        <w:ind w:left="720" w:hanging="720"/>
      </w:pPr>
      <w:rPr>
        <w:rFonts w:hint="default"/>
        <w:color w:val="005B82"/>
      </w:rPr>
    </w:lvl>
    <w:lvl w:ilvl="4">
      <w:start w:val="1"/>
      <w:numFmt w:val="decimal"/>
      <w:lvlText w:val="%1.%2.%3.%4.%5"/>
      <w:lvlJc w:val="left"/>
      <w:pPr>
        <w:tabs>
          <w:tab w:val="num" w:pos="1080"/>
        </w:tabs>
        <w:ind w:left="1080" w:hanging="1080"/>
      </w:pPr>
      <w:rPr>
        <w:rFonts w:hint="default"/>
        <w:color w:val="005B82"/>
      </w:rPr>
    </w:lvl>
    <w:lvl w:ilvl="5">
      <w:start w:val="1"/>
      <w:numFmt w:val="decimal"/>
      <w:lvlText w:val="%1.%2.%3.%4.%5.%6"/>
      <w:lvlJc w:val="left"/>
      <w:pPr>
        <w:tabs>
          <w:tab w:val="num" w:pos="1080"/>
        </w:tabs>
        <w:ind w:left="1080" w:hanging="1080"/>
      </w:pPr>
      <w:rPr>
        <w:rFonts w:hint="default"/>
        <w:color w:val="005B82"/>
      </w:rPr>
    </w:lvl>
    <w:lvl w:ilvl="6">
      <w:start w:val="1"/>
      <w:numFmt w:val="decimal"/>
      <w:lvlText w:val="%1.%2.%3.%4.%5.%6.%7"/>
      <w:lvlJc w:val="left"/>
      <w:pPr>
        <w:tabs>
          <w:tab w:val="num" w:pos="1440"/>
        </w:tabs>
        <w:ind w:left="1440" w:hanging="1440"/>
      </w:pPr>
      <w:rPr>
        <w:rFonts w:hint="default"/>
        <w:color w:val="005B82"/>
      </w:rPr>
    </w:lvl>
    <w:lvl w:ilvl="7">
      <w:start w:val="1"/>
      <w:numFmt w:val="decimal"/>
      <w:lvlText w:val="%1.%2.%3.%4.%5.%6.%7.%8"/>
      <w:lvlJc w:val="left"/>
      <w:pPr>
        <w:tabs>
          <w:tab w:val="num" w:pos="1440"/>
        </w:tabs>
        <w:ind w:left="1440" w:hanging="1440"/>
      </w:pPr>
      <w:rPr>
        <w:rFonts w:hint="default"/>
        <w:color w:val="005B82"/>
      </w:rPr>
    </w:lvl>
    <w:lvl w:ilvl="8">
      <w:start w:val="1"/>
      <w:numFmt w:val="decimal"/>
      <w:lvlText w:val="%1.%2.%3.%4.%5.%6.%7.%8.%9"/>
      <w:lvlJc w:val="left"/>
      <w:pPr>
        <w:tabs>
          <w:tab w:val="num" w:pos="1800"/>
        </w:tabs>
        <w:ind w:left="1800" w:hanging="1800"/>
      </w:pPr>
      <w:rPr>
        <w:rFonts w:hint="default"/>
        <w:color w:val="005B82"/>
      </w:rPr>
    </w:lvl>
  </w:abstractNum>
  <w:abstractNum w:abstractNumId="25">
    <w:nsid w:val="7C4E09B5"/>
    <w:multiLevelType w:val="hybridMultilevel"/>
    <w:tmpl w:val="38381E04"/>
    <w:lvl w:ilvl="0" w:tplc="C166DA24">
      <w:start w:val="1"/>
      <w:numFmt w:val="bullet"/>
      <w:lvlText w:val=""/>
      <w:lvlJc w:val="left"/>
      <w:pPr>
        <w:tabs>
          <w:tab w:val="num" w:pos="1627"/>
        </w:tabs>
        <w:ind w:left="1627" w:hanging="360"/>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6">
    <w:nsid w:val="7F1525C6"/>
    <w:multiLevelType w:val="hybridMultilevel"/>
    <w:tmpl w:val="455C25DC"/>
    <w:lvl w:ilvl="0" w:tplc="C166DA2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1"/>
  </w:num>
  <w:num w:numId="3">
    <w:abstractNumId w:val="10"/>
  </w:num>
  <w:num w:numId="4">
    <w:abstractNumId w:val="23"/>
  </w:num>
  <w:num w:numId="5">
    <w:abstractNumId w:val="5"/>
  </w:num>
  <w:num w:numId="6">
    <w:abstractNumId w:val="19"/>
  </w:num>
  <w:num w:numId="7">
    <w:abstractNumId w:val="4"/>
  </w:num>
  <w:num w:numId="8">
    <w:abstractNumId w:val="20"/>
  </w:num>
  <w:num w:numId="9">
    <w:abstractNumId w:val="6"/>
  </w:num>
  <w:num w:numId="10">
    <w:abstractNumId w:val="7"/>
  </w:num>
  <w:num w:numId="11">
    <w:abstractNumId w:val="16"/>
  </w:num>
  <w:num w:numId="12">
    <w:abstractNumId w:val="26"/>
  </w:num>
  <w:num w:numId="13">
    <w:abstractNumId w:val="22"/>
  </w:num>
  <w:num w:numId="14">
    <w:abstractNumId w:val="24"/>
  </w:num>
  <w:num w:numId="15">
    <w:abstractNumId w:val="0"/>
  </w:num>
  <w:num w:numId="16">
    <w:abstractNumId w:val="9"/>
  </w:num>
  <w:num w:numId="17">
    <w:abstractNumId w:val="13"/>
  </w:num>
  <w:num w:numId="18">
    <w:abstractNumId w:val="2"/>
  </w:num>
  <w:num w:numId="19">
    <w:abstractNumId w:val="8"/>
  </w:num>
  <w:num w:numId="20">
    <w:abstractNumId w:val="12"/>
  </w:num>
  <w:num w:numId="21">
    <w:abstractNumId w:val="15"/>
  </w:num>
  <w:num w:numId="22">
    <w:abstractNumId w:val="14"/>
  </w:num>
  <w:num w:numId="23">
    <w:abstractNumId w:val="25"/>
  </w:num>
  <w:num w:numId="24">
    <w:abstractNumId w:val="18"/>
  </w:num>
  <w:num w:numId="25">
    <w:abstractNumId w:val="3"/>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55"/>
    <w:rsid w:val="00001295"/>
    <w:rsid w:val="00004C31"/>
    <w:rsid w:val="00016558"/>
    <w:rsid w:val="000258AF"/>
    <w:rsid w:val="000267D8"/>
    <w:rsid w:val="00027166"/>
    <w:rsid w:val="00033CB0"/>
    <w:rsid w:val="00041FCF"/>
    <w:rsid w:val="00062D13"/>
    <w:rsid w:val="00066F5D"/>
    <w:rsid w:val="000874B2"/>
    <w:rsid w:val="000F11E5"/>
    <w:rsid w:val="00101C9E"/>
    <w:rsid w:val="0012163D"/>
    <w:rsid w:val="00123CE5"/>
    <w:rsid w:val="00127814"/>
    <w:rsid w:val="00136A07"/>
    <w:rsid w:val="00137FEE"/>
    <w:rsid w:val="00144542"/>
    <w:rsid w:val="00174014"/>
    <w:rsid w:val="001920A1"/>
    <w:rsid w:val="001B355B"/>
    <w:rsid w:val="001B5252"/>
    <w:rsid w:val="001D665A"/>
    <w:rsid w:val="001E3E7E"/>
    <w:rsid w:val="001E551A"/>
    <w:rsid w:val="00206332"/>
    <w:rsid w:val="00210F82"/>
    <w:rsid w:val="00212BC3"/>
    <w:rsid w:val="00213CE0"/>
    <w:rsid w:val="0021623A"/>
    <w:rsid w:val="002164AA"/>
    <w:rsid w:val="00237A4F"/>
    <w:rsid w:val="00251CE2"/>
    <w:rsid w:val="00260BAC"/>
    <w:rsid w:val="00270811"/>
    <w:rsid w:val="00274B2A"/>
    <w:rsid w:val="0028171B"/>
    <w:rsid w:val="0028593C"/>
    <w:rsid w:val="002A0A99"/>
    <w:rsid w:val="002C494A"/>
    <w:rsid w:val="002D0F7F"/>
    <w:rsid w:val="0032054F"/>
    <w:rsid w:val="00333875"/>
    <w:rsid w:val="003378A9"/>
    <w:rsid w:val="00346B73"/>
    <w:rsid w:val="00363160"/>
    <w:rsid w:val="00391B36"/>
    <w:rsid w:val="00394428"/>
    <w:rsid w:val="003A3983"/>
    <w:rsid w:val="003A6944"/>
    <w:rsid w:val="003B0BB2"/>
    <w:rsid w:val="003B5133"/>
    <w:rsid w:val="003C3BA5"/>
    <w:rsid w:val="003D03B3"/>
    <w:rsid w:val="003D11B4"/>
    <w:rsid w:val="003D6A57"/>
    <w:rsid w:val="003E778C"/>
    <w:rsid w:val="003F420A"/>
    <w:rsid w:val="003F631D"/>
    <w:rsid w:val="004033BE"/>
    <w:rsid w:val="00410D33"/>
    <w:rsid w:val="00416A26"/>
    <w:rsid w:val="00416F9E"/>
    <w:rsid w:val="004171D7"/>
    <w:rsid w:val="00425F7B"/>
    <w:rsid w:val="00426138"/>
    <w:rsid w:val="004322D2"/>
    <w:rsid w:val="00454A23"/>
    <w:rsid w:val="00473729"/>
    <w:rsid w:val="004741B6"/>
    <w:rsid w:val="00497BBF"/>
    <w:rsid w:val="004A02BA"/>
    <w:rsid w:val="004A2543"/>
    <w:rsid w:val="004B46C5"/>
    <w:rsid w:val="004C4745"/>
    <w:rsid w:val="004E19BD"/>
    <w:rsid w:val="004E3AE0"/>
    <w:rsid w:val="004F1BCF"/>
    <w:rsid w:val="004F3A84"/>
    <w:rsid w:val="004F63B6"/>
    <w:rsid w:val="00511CA4"/>
    <w:rsid w:val="00532CA2"/>
    <w:rsid w:val="005372D1"/>
    <w:rsid w:val="005373B8"/>
    <w:rsid w:val="0055207B"/>
    <w:rsid w:val="005A16BC"/>
    <w:rsid w:val="005A341B"/>
    <w:rsid w:val="005A7CE7"/>
    <w:rsid w:val="005B4062"/>
    <w:rsid w:val="005D05EF"/>
    <w:rsid w:val="005E2247"/>
    <w:rsid w:val="005F7FB9"/>
    <w:rsid w:val="00601FCE"/>
    <w:rsid w:val="00615B5E"/>
    <w:rsid w:val="006214A2"/>
    <w:rsid w:val="00625B83"/>
    <w:rsid w:val="00646DEB"/>
    <w:rsid w:val="0066690B"/>
    <w:rsid w:val="00675305"/>
    <w:rsid w:val="00680081"/>
    <w:rsid w:val="006937D9"/>
    <w:rsid w:val="00693FEF"/>
    <w:rsid w:val="00697CE8"/>
    <w:rsid w:val="006A688B"/>
    <w:rsid w:val="006F33CC"/>
    <w:rsid w:val="0070012C"/>
    <w:rsid w:val="0070785E"/>
    <w:rsid w:val="00714880"/>
    <w:rsid w:val="007169BD"/>
    <w:rsid w:val="007322C7"/>
    <w:rsid w:val="00735C9C"/>
    <w:rsid w:val="007827F3"/>
    <w:rsid w:val="007C1BF3"/>
    <w:rsid w:val="007D393F"/>
    <w:rsid w:val="007E1DAC"/>
    <w:rsid w:val="007F4DBF"/>
    <w:rsid w:val="00800E05"/>
    <w:rsid w:val="0080463A"/>
    <w:rsid w:val="00806B6C"/>
    <w:rsid w:val="008133D5"/>
    <w:rsid w:val="00816278"/>
    <w:rsid w:val="00822243"/>
    <w:rsid w:val="008235E6"/>
    <w:rsid w:val="00825443"/>
    <w:rsid w:val="0083576F"/>
    <w:rsid w:val="008365D0"/>
    <w:rsid w:val="00851E27"/>
    <w:rsid w:val="00857EAF"/>
    <w:rsid w:val="008749BC"/>
    <w:rsid w:val="008817FF"/>
    <w:rsid w:val="008869B6"/>
    <w:rsid w:val="008B28C2"/>
    <w:rsid w:val="008D4DF6"/>
    <w:rsid w:val="008D76E6"/>
    <w:rsid w:val="008F2482"/>
    <w:rsid w:val="008F2B5F"/>
    <w:rsid w:val="008F35A6"/>
    <w:rsid w:val="00916BBF"/>
    <w:rsid w:val="00926095"/>
    <w:rsid w:val="00940EA4"/>
    <w:rsid w:val="009B64C6"/>
    <w:rsid w:val="009C7747"/>
    <w:rsid w:val="009D2214"/>
    <w:rsid w:val="009D26D5"/>
    <w:rsid w:val="009D472B"/>
    <w:rsid w:val="009D7764"/>
    <w:rsid w:val="009E4D70"/>
    <w:rsid w:val="00A02652"/>
    <w:rsid w:val="00A04F65"/>
    <w:rsid w:val="00A114B1"/>
    <w:rsid w:val="00A13BF3"/>
    <w:rsid w:val="00A36746"/>
    <w:rsid w:val="00A36DBD"/>
    <w:rsid w:val="00A46155"/>
    <w:rsid w:val="00A52633"/>
    <w:rsid w:val="00A61AC3"/>
    <w:rsid w:val="00A723BC"/>
    <w:rsid w:val="00A72856"/>
    <w:rsid w:val="00A8106C"/>
    <w:rsid w:val="00A82777"/>
    <w:rsid w:val="00A82822"/>
    <w:rsid w:val="00A90DE1"/>
    <w:rsid w:val="00AB411E"/>
    <w:rsid w:val="00AB5BCD"/>
    <w:rsid w:val="00AB6267"/>
    <w:rsid w:val="00AC447A"/>
    <w:rsid w:val="00AC49CD"/>
    <w:rsid w:val="00AD42AD"/>
    <w:rsid w:val="00AD5C65"/>
    <w:rsid w:val="00AD64EB"/>
    <w:rsid w:val="00AE1A0C"/>
    <w:rsid w:val="00AE2A20"/>
    <w:rsid w:val="00AE4102"/>
    <w:rsid w:val="00B0392F"/>
    <w:rsid w:val="00B04F87"/>
    <w:rsid w:val="00B07E62"/>
    <w:rsid w:val="00B20879"/>
    <w:rsid w:val="00B2320E"/>
    <w:rsid w:val="00B27F76"/>
    <w:rsid w:val="00B34C6B"/>
    <w:rsid w:val="00B41B6B"/>
    <w:rsid w:val="00B46516"/>
    <w:rsid w:val="00B76303"/>
    <w:rsid w:val="00B90620"/>
    <w:rsid w:val="00BA0C5C"/>
    <w:rsid w:val="00BA3F74"/>
    <w:rsid w:val="00BC02CA"/>
    <w:rsid w:val="00BE04D6"/>
    <w:rsid w:val="00BE2F27"/>
    <w:rsid w:val="00BE79C0"/>
    <w:rsid w:val="00BF2080"/>
    <w:rsid w:val="00BF4927"/>
    <w:rsid w:val="00C05EAD"/>
    <w:rsid w:val="00C21C08"/>
    <w:rsid w:val="00C323B6"/>
    <w:rsid w:val="00C4195C"/>
    <w:rsid w:val="00C4295C"/>
    <w:rsid w:val="00C66467"/>
    <w:rsid w:val="00C764C5"/>
    <w:rsid w:val="00C93F2C"/>
    <w:rsid w:val="00C94925"/>
    <w:rsid w:val="00CA1E46"/>
    <w:rsid w:val="00CA2A5F"/>
    <w:rsid w:val="00CA3E29"/>
    <w:rsid w:val="00CB3457"/>
    <w:rsid w:val="00CB462E"/>
    <w:rsid w:val="00CC1CB8"/>
    <w:rsid w:val="00CD4433"/>
    <w:rsid w:val="00CD66CD"/>
    <w:rsid w:val="00CE3503"/>
    <w:rsid w:val="00CF13E4"/>
    <w:rsid w:val="00CF7B67"/>
    <w:rsid w:val="00D02A08"/>
    <w:rsid w:val="00D55D62"/>
    <w:rsid w:val="00D9080C"/>
    <w:rsid w:val="00D96795"/>
    <w:rsid w:val="00DA2786"/>
    <w:rsid w:val="00DA2DB8"/>
    <w:rsid w:val="00DC3F55"/>
    <w:rsid w:val="00DD085F"/>
    <w:rsid w:val="00DF5C5E"/>
    <w:rsid w:val="00DF6233"/>
    <w:rsid w:val="00E12642"/>
    <w:rsid w:val="00E14DE2"/>
    <w:rsid w:val="00E16375"/>
    <w:rsid w:val="00E17E6A"/>
    <w:rsid w:val="00E35845"/>
    <w:rsid w:val="00E45E6D"/>
    <w:rsid w:val="00E4600E"/>
    <w:rsid w:val="00E47EFF"/>
    <w:rsid w:val="00E57304"/>
    <w:rsid w:val="00E62DA4"/>
    <w:rsid w:val="00E70037"/>
    <w:rsid w:val="00E80909"/>
    <w:rsid w:val="00E822A8"/>
    <w:rsid w:val="00E94D09"/>
    <w:rsid w:val="00EA289E"/>
    <w:rsid w:val="00EA7042"/>
    <w:rsid w:val="00EA7523"/>
    <w:rsid w:val="00ED4BD9"/>
    <w:rsid w:val="00EE235D"/>
    <w:rsid w:val="00F02C57"/>
    <w:rsid w:val="00F05450"/>
    <w:rsid w:val="00F41669"/>
    <w:rsid w:val="00F41F19"/>
    <w:rsid w:val="00F43FDA"/>
    <w:rsid w:val="00F45821"/>
    <w:rsid w:val="00F53064"/>
    <w:rsid w:val="00F85AF0"/>
    <w:rsid w:val="00F86E14"/>
    <w:rsid w:val="00F96EC1"/>
    <w:rsid w:val="00FA5B92"/>
    <w:rsid w:val="00FA638F"/>
    <w:rsid w:val="00FB0673"/>
    <w:rsid w:val="00FC7B1D"/>
    <w:rsid w:val="00FD4488"/>
    <w:rsid w:val="00FE083E"/>
    <w:rsid w:val="00FF1B81"/>
    <w:rsid w:val="00FF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72B"/>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3F55"/>
    <w:pPr>
      <w:tabs>
        <w:tab w:val="center" w:pos="4153"/>
        <w:tab w:val="right" w:pos="8306"/>
      </w:tabs>
    </w:pPr>
  </w:style>
  <w:style w:type="character" w:customStyle="1" w:styleId="FooterChar">
    <w:name w:val="Footer Char"/>
    <w:link w:val="Footer"/>
    <w:locked/>
    <w:rsid w:val="00DC3F55"/>
    <w:rPr>
      <w:rFonts w:ascii="Arial" w:hAnsi="Arial"/>
      <w:sz w:val="24"/>
      <w:lang w:val="en-GB" w:eastAsia="en-US" w:bidi="ar-SA"/>
    </w:rPr>
  </w:style>
  <w:style w:type="paragraph" w:styleId="BodyText">
    <w:name w:val="Body Text"/>
    <w:basedOn w:val="Normal"/>
    <w:link w:val="BodyTextChar"/>
    <w:rsid w:val="00DC3F55"/>
    <w:rPr>
      <w:sz w:val="22"/>
    </w:rPr>
  </w:style>
  <w:style w:type="character" w:customStyle="1" w:styleId="BodyTextChar">
    <w:name w:val="Body Text Char"/>
    <w:link w:val="BodyText"/>
    <w:semiHidden/>
    <w:locked/>
    <w:rsid w:val="00DC3F55"/>
    <w:rPr>
      <w:rFonts w:ascii="Arial" w:hAnsi="Arial"/>
      <w:sz w:val="22"/>
      <w:lang w:val="en-GB" w:eastAsia="en-US" w:bidi="ar-SA"/>
    </w:rPr>
  </w:style>
  <w:style w:type="paragraph" w:styleId="BodyText2">
    <w:name w:val="Body Text 2"/>
    <w:basedOn w:val="Normal"/>
    <w:link w:val="BodyText2Char"/>
    <w:rsid w:val="00DC3F55"/>
    <w:rPr>
      <w:sz w:val="18"/>
    </w:rPr>
  </w:style>
  <w:style w:type="character" w:customStyle="1" w:styleId="BodyText2Char">
    <w:name w:val="Body Text 2 Char"/>
    <w:link w:val="BodyText2"/>
    <w:locked/>
    <w:rsid w:val="00DC3F55"/>
    <w:rPr>
      <w:rFonts w:ascii="Arial" w:hAnsi="Arial"/>
      <w:sz w:val="18"/>
      <w:lang w:val="en-GB" w:eastAsia="en-US" w:bidi="ar-SA"/>
    </w:rPr>
  </w:style>
  <w:style w:type="paragraph" w:styleId="ListParagraph">
    <w:name w:val="List Paragraph"/>
    <w:basedOn w:val="Normal"/>
    <w:qFormat/>
    <w:rsid w:val="00DC3F55"/>
    <w:pPr>
      <w:ind w:left="720"/>
      <w:contextualSpacing/>
    </w:pPr>
    <w:rPr>
      <w:rFonts w:ascii="Times New Roman" w:eastAsia="Calibri" w:hAnsi="Times New Roman"/>
      <w:szCs w:val="24"/>
      <w:lang w:eastAsia="en-GB"/>
    </w:rPr>
  </w:style>
  <w:style w:type="character" w:customStyle="1" w:styleId="CharChar">
    <w:name w:val="Char Char"/>
    <w:rsid w:val="00DC3F55"/>
    <w:rPr>
      <w:rFonts w:ascii="Times New Roman" w:eastAsia="Times New Roman" w:hAnsi="Times New Roman" w:cs="Times New Roman"/>
      <w:b/>
      <w:bCs/>
      <w:sz w:val="24"/>
      <w:szCs w:val="24"/>
    </w:rPr>
  </w:style>
  <w:style w:type="character" w:styleId="PageNumber">
    <w:name w:val="page number"/>
    <w:basedOn w:val="DefaultParagraphFont"/>
    <w:rsid w:val="00DC3F55"/>
  </w:style>
  <w:style w:type="paragraph" w:styleId="Header">
    <w:name w:val="header"/>
    <w:basedOn w:val="Normal"/>
    <w:rsid w:val="00DC3F55"/>
    <w:pPr>
      <w:tabs>
        <w:tab w:val="center" w:pos="4153"/>
        <w:tab w:val="right" w:pos="8306"/>
      </w:tabs>
    </w:pPr>
  </w:style>
  <w:style w:type="table" w:styleId="TableGrid">
    <w:name w:val="Table Grid"/>
    <w:basedOn w:val="TableNormal"/>
    <w:rsid w:val="0026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33CB0"/>
    <w:pPr>
      <w:shd w:val="clear" w:color="auto" w:fill="000080"/>
    </w:pPr>
    <w:rPr>
      <w:rFonts w:ascii="Tahoma" w:hAnsi="Tahoma" w:cs="Tahoma"/>
      <w:sz w:val="20"/>
    </w:rPr>
  </w:style>
  <w:style w:type="paragraph" w:styleId="BalloonText">
    <w:name w:val="Balloon Text"/>
    <w:basedOn w:val="Normal"/>
    <w:semiHidden/>
    <w:rsid w:val="00A02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72B"/>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3F55"/>
    <w:pPr>
      <w:tabs>
        <w:tab w:val="center" w:pos="4153"/>
        <w:tab w:val="right" w:pos="8306"/>
      </w:tabs>
    </w:pPr>
  </w:style>
  <w:style w:type="character" w:customStyle="1" w:styleId="FooterChar">
    <w:name w:val="Footer Char"/>
    <w:link w:val="Footer"/>
    <w:locked/>
    <w:rsid w:val="00DC3F55"/>
    <w:rPr>
      <w:rFonts w:ascii="Arial" w:hAnsi="Arial"/>
      <w:sz w:val="24"/>
      <w:lang w:val="en-GB" w:eastAsia="en-US" w:bidi="ar-SA"/>
    </w:rPr>
  </w:style>
  <w:style w:type="paragraph" w:styleId="BodyText">
    <w:name w:val="Body Text"/>
    <w:basedOn w:val="Normal"/>
    <w:link w:val="BodyTextChar"/>
    <w:rsid w:val="00DC3F55"/>
    <w:rPr>
      <w:sz w:val="22"/>
    </w:rPr>
  </w:style>
  <w:style w:type="character" w:customStyle="1" w:styleId="BodyTextChar">
    <w:name w:val="Body Text Char"/>
    <w:link w:val="BodyText"/>
    <w:semiHidden/>
    <w:locked/>
    <w:rsid w:val="00DC3F55"/>
    <w:rPr>
      <w:rFonts w:ascii="Arial" w:hAnsi="Arial"/>
      <w:sz w:val="22"/>
      <w:lang w:val="en-GB" w:eastAsia="en-US" w:bidi="ar-SA"/>
    </w:rPr>
  </w:style>
  <w:style w:type="paragraph" w:styleId="BodyText2">
    <w:name w:val="Body Text 2"/>
    <w:basedOn w:val="Normal"/>
    <w:link w:val="BodyText2Char"/>
    <w:rsid w:val="00DC3F55"/>
    <w:rPr>
      <w:sz w:val="18"/>
    </w:rPr>
  </w:style>
  <w:style w:type="character" w:customStyle="1" w:styleId="BodyText2Char">
    <w:name w:val="Body Text 2 Char"/>
    <w:link w:val="BodyText2"/>
    <w:locked/>
    <w:rsid w:val="00DC3F55"/>
    <w:rPr>
      <w:rFonts w:ascii="Arial" w:hAnsi="Arial"/>
      <w:sz w:val="18"/>
      <w:lang w:val="en-GB" w:eastAsia="en-US" w:bidi="ar-SA"/>
    </w:rPr>
  </w:style>
  <w:style w:type="paragraph" w:styleId="ListParagraph">
    <w:name w:val="List Paragraph"/>
    <w:basedOn w:val="Normal"/>
    <w:qFormat/>
    <w:rsid w:val="00DC3F55"/>
    <w:pPr>
      <w:ind w:left="720"/>
      <w:contextualSpacing/>
    </w:pPr>
    <w:rPr>
      <w:rFonts w:ascii="Times New Roman" w:eastAsia="Calibri" w:hAnsi="Times New Roman"/>
      <w:szCs w:val="24"/>
      <w:lang w:eastAsia="en-GB"/>
    </w:rPr>
  </w:style>
  <w:style w:type="character" w:customStyle="1" w:styleId="CharChar">
    <w:name w:val="Char Char"/>
    <w:rsid w:val="00DC3F55"/>
    <w:rPr>
      <w:rFonts w:ascii="Times New Roman" w:eastAsia="Times New Roman" w:hAnsi="Times New Roman" w:cs="Times New Roman"/>
      <w:b/>
      <w:bCs/>
      <w:sz w:val="24"/>
      <w:szCs w:val="24"/>
    </w:rPr>
  </w:style>
  <w:style w:type="character" w:styleId="PageNumber">
    <w:name w:val="page number"/>
    <w:basedOn w:val="DefaultParagraphFont"/>
    <w:rsid w:val="00DC3F55"/>
  </w:style>
  <w:style w:type="paragraph" w:styleId="Header">
    <w:name w:val="header"/>
    <w:basedOn w:val="Normal"/>
    <w:rsid w:val="00DC3F55"/>
    <w:pPr>
      <w:tabs>
        <w:tab w:val="center" w:pos="4153"/>
        <w:tab w:val="right" w:pos="8306"/>
      </w:tabs>
    </w:pPr>
  </w:style>
  <w:style w:type="table" w:styleId="TableGrid">
    <w:name w:val="Table Grid"/>
    <w:basedOn w:val="TableNormal"/>
    <w:rsid w:val="0026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33CB0"/>
    <w:pPr>
      <w:shd w:val="clear" w:color="auto" w:fill="000080"/>
    </w:pPr>
    <w:rPr>
      <w:rFonts w:ascii="Tahoma" w:hAnsi="Tahoma" w:cs="Tahoma"/>
      <w:sz w:val="20"/>
    </w:rPr>
  </w:style>
  <w:style w:type="paragraph" w:styleId="BalloonText">
    <w:name w:val="Balloon Text"/>
    <w:basedOn w:val="Normal"/>
    <w:semiHidden/>
    <w:rsid w:val="00A02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5427">
      <w:bodyDiv w:val="1"/>
      <w:marLeft w:val="0"/>
      <w:marRight w:val="0"/>
      <w:marTop w:val="0"/>
      <w:marBottom w:val="0"/>
      <w:divBdr>
        <w:top w:val="none" w:sz="0" w:space="0" w:color="auto"/>
        <w:left w:val="none" w:sz="0" w:space="0" w:color="auto"/>
        <w:bottom w:val="none" w:sz="0" w:space="0" w:color="auto"/>
        <w:right w:val="none" w:sz="0" w:space="0" w:color="auto"/>
      </w:divBdr>
    </w:div>
    <w:div w:id="1515848670">
      <w:bodyDiv w:val="1"/>
      <w:marLeft w:val="0"/>
      <w:marRight w:val="0"/>
      <w:marTop w:val="0"/>
      <w:marBottom w:val="0"/>
      <w:divBdr>
        <w:top w:val="none" w:sz="0" w:space="0" w:color="auto"/>
        <w:left w:val="none" w:sz="0" w:space="0" w:color="auto"/>
        <w:bottom w:val="none" w:sz="0" w:space="0" w:color="auto"/>
        <w:right w:val="none" w:sz="0" w:space="0" w:color="auto"/>
      </w:divBdr>
    </w:div>
    <w:div w:id="18632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2526</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THREE RIVERS DISTRICT COUNCIL</vt:lpstr>
    </vt:vector>
  </TitlesOfParts>
  <Company>Watford Borough Council</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RIVERS DISTRICT COUNCIL</dc:title>
  <dc:creator>insitets</dc:creator>
  <cp:lastModifiedBy>Sarah Haythorpe</cp:lastModifiedBy>
  <cp:revision>7</cp:revision>
  <cp:lastPrinted>2016-11-14T16:15:00Z</cp:lastPrinted>
  <dcterms:created xsi:type="dcterms:W3CDTF">2016-11-14T08:30:00Z</dcterms:created>
  <dcterms:modified xsi:type="dcterms:W3CDTF">2016-11-14T16:15:00Z</dcterms:modified>
</cp:coreProperties>
</file>