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A0D" w:rsidRDefault="00407A0D" w:rsidP="00CA4E51">
      <w:pPr>
        <w:pStyle w:val="Footer"/>
        <w:tabs>
          <w:tab w:val="clear" w:pos="4153"/>
          <w:tab w:val="clear" w:pos="8306"/>
        </w:tabs>
        <w:jc w:val="center"/>
        <w:rPr>
          <w:rFonts w:cs="Arial"/>
          <w:b/>
          <w:sz w:val="22"/>
          <w:szCs w:val="22"/>
        </w:rPr>
      </w:pPr>
      <w:r w:rsidRPr="009D4E09">
        <w:rPr>
          <w:rFonts w:cs="Arial"/>
          <w:b/>
          <w:sz w:val="22"/>
          <w:szCs w:val="22"/>
        </w:rPr>
        <w:t>AUDIT COMMITTEE – 22 NOVEMBER 2016</w:t>
      </w:r>
    </w:p>
    <w:p w:rsidR="009D4E09" w:rsidRPr="009D4E09" w:rsidRDefault="009D4E09" w:rsidP="00CA4E51">
      <w:pPr>
        <w:pStyle w:val="Footer"/>
        <w:tabs>
          <w:tab w:val="clear" w:pos="4153"/>
          <w:tab w:val="clear" w:pos="8306"/>
        </w:tabs>
        <w:jc w:val="center"/>
        <w:rPr>
          <w:rFonts w:cs="Arial"/>
          <w:b/>
          <w:sz w:val="22"/>
          <w:szCs w:val="22"/>
        </w:rPr>
      </w:pPr>
    </w:p>
    <w:p w:rsidR="00CA4E51" w:rsidRPr="009D4E09" w:rsidRDefault="00BD2CD1" w:rsidP="00CA4E51">
      <w:pPr>
        <w:pStyle w:val="Footer"/>
        <w:tabs>
          <w:tab w:val="clear" w:pos="4153"/>
          <w:tab w:val="clear" w:pos="8306"/>
        </w:tabs>
        <w:jc w:val="center"/>
        <w:rPr>
          <w:rFonts w:cs="Arial"/>
          <w:b/>
          <w:sz w:val="22"/>
          <w:szCs w:val="22"/>
        </w:rPr>
      </w:pPr>
      <w:r w:rsidRPr="009D4E09">
        <w:rPr>
          <w:rFonts w:cs="Arial"/>
          <w:b/>
          <w:sz w:val="22"/>
          <w:szCs w:val="22"/>
        </w:rPr>
        <w:t>POLICY AND</w:t>
      </w:r>
      <w:r w:rsidR="005C591A" w:rsidRPr="009D4E09">
        <w:rPr>
          <w:rFonts w:cs="Arial"/>
          <w:b/>
          <w:sz w:val="22"/>
          <w:szCs w:val="22"/>
        </w:rPr>
        <w:t xml:space="preserve"> RESOURCES</w:t>
      </w:r>
      <w:r w:rsidR="00CA4E51" w:rsidRPr="009D4E09">
        <w:rPr>
          <w:rFonts w:cs="Arial"/>
          <w:b/>
          <w:sz w:val="22"/>
          <w:szCs w:val="22"/>
        </w:rPr>
        <w:t xml:space="preserve"> COMMITTEE – </w:t>
      </w:r>
      <w:r w:rsidR="00203FBE" w:rsidRPr="009D4E09">
        <w:rPr>
          <w:rFonts w:cs="Arial"/>
          <w:b/>
          <w:sz w:val="22"/>
          <w:szCs w:val="22"/>
        </w:rPr>
        <w:t>2</w:t>
      </w:r>
      <w:r w:rsidR="00477D4E" w:rsidRPr="009D4E09">
        <w:rPr>
          <w:rFonts w:cs="Arial"/>
          <w:b/>
          <w:sz w:val="22"/>
          <w:szCs w:val="22"/>
        </w:rPr>
        <w:t>3</w:t>
      </w:r>
      <w:r w:rsidR="00203FBE" w:rsidRPr="009D4E09">
        <w:rPr>
          <w:rFonts w:cs="Arial"/>
          <w:b/>
          <w:sz w:val="22"/>
          <w:szCs w:val="22"/>
        </w:rPr>
        <w:t xml:space="preserve"> </w:t>
      </w:r>
      <w:r w:rsidR="00CA4E51" w:rsidRPr="009D4E09">
        <w:rPr>
          <w:rFonts w:cs="Arial"/>
          <w:b/>
          <w:sz w:val="22"/>
          <w:szCs w:val="22"/>
        </w:rPr>
        <w:t>JANUARY 201</w:t>
      </w:r>
      <w:r w:rsidR="00477D4E" w:rsidRPr="009D4E09">
        <w:rPr>
          <w:rFonts w:cs="Arial"/>
          <w:b/>
          <w:sz w:val="22"/>
          <w:szCs w:val="22"/>
        </w:rPr>
        <w:t>7</w:t>
      </w:r>
    </w:p>
    <w:p w:rsidR="009D4E09" w:rsidRDefault="009D4E09" w:rsidP="00CA4E51">
      <w:pPr>
        <w:pStyle w:val="Footer"/>
        <w:tabs>
          <w:tab w:val="clear" w:pos="4153"/>
          <w:tab w:val="clear" w:pos="8306"/>
        </w:tabs>
        <w:jc w:val="center"/>
        <w:rPr>
          <w:rFonts w:cs="Arial"/>
          <w:b/>
          <w:sz w:val="22"/>
          <w:szCs w:val="22"/>
        </w:rPr>
      </w:pPr>
    </w:p>
    <w:p w:rsidR="00477D4E" w:rsidRPr="009D4E09" w:rsidRDefault="00477D4E" w:rsidP="00CA4E51">
      <w:pPr>
        <w:pStyle w:val="Footer"/>
        <w:tabs>
          <w:tab w:val="clear" w:pos="4153"/>
          <w:tab w:val="clear" w:pos="8306"/>
        </w:tabs>
        <w:jc w:val="center"/>
        <w:rPr>
          <w:rFonts w:cs="Arial"/>
          <w:b/>
          <w:sz w:val="22"/>
          <w:szCs w:val="22"/>
        </w:rPr>
      </w:pPr>
      <w:r w:rsidRPr="009D4E09">
        <w:rPr>
          <w:rFonts w:cs="Arial"/>
          <w:b/>
          <w:sz w:val="22"/>
          <w:szCs w:val="22"/>
        </w:rPr>
        <w:t>COUNCIL – 21 FEBRUARY 2017</w:t>
      </w:r>
    </w:p>
    <w:p w:rsidR="00CA4E51" w:rsidRPr="009D4E09" w:rsidRDefault="00CA4E51" w:rsidP="00CA4E51">
      <w:pPr>
        <w:pStyle w:val="Footer"/>
        <w:tabs>
          <w:tab w:val="clear" w:pos="4153"/>
          <w:tab w:val="clear" w:pos="8306"/>
        </w:tabs>
        <w:rPr>
          <w:rFonts w:cs="Arial"/>
          <w:sz w:val="22"/>
          <w:szCs w:val="22"/>
        </w:rPr>
      </w:pPr>
    </w:p>
    <w:p w:rsidR="00CA4E51" w:rsidRPr="009D4E09" w:rsidRDefault="00CA4E51" w:rsidP="00CA4E51">
      <w:pPr>
        <w:pStyle w:val="Footer"/>
        <w:tabs>
          <w:tab w:val="clear" w:pos="4153"/>
          <w:tab w:val="clear" w:pos="8306"/>
        </w:tabs>
        <w:jc w:val="center"/>
        <w:rPr>
          <w:rFonts w:cs="Arial"/>
          <w:b/>
          <w:sz w:val="22"/>
          <w:szCs w:val="22"/>
        </w:rPr>
      </w:pPr>
      <w:r w:rsidRPr="009D4E09">
        <w:rPr>
          <w:rFonts w:cs="Arial"/>
          <w:b/>
          <w:sz w:val="22"/>
          <w:szCs w:val="22"/>
        </w:rPr>
        <w:t xml:space="preserve">PART </w:t>
      </w:r>
      <w:r w:rsidRPr="009D4E09">
        <w:rPr>
          <w:rFonts w:cs="Arial"/>
          <w:b/>
          <w:sz w:val="22"/>
          <w:szCs w:val="22"/>
        </w:rPr>
        <w:fldChar w:fldCharType="begin"/>
      </w:r>
      <w:r w:rsidRPr="009D4E09">
        <w:rPr>
          <w:rFonts w:cs="Arial"/>
          <w:b/>
          <w:sz w:val="22"/>
          <w:szCs w:val="22"/>
        </w:rPr>
        <w:instrText xml:space="preserve">  </w:instrText>
      </w:r>
      <w:r w:rsidRPr="009D4E09">
        <w:rPr>
          <w:rFonts w:cs="Arial"/>
          <w:b/>
          <w:sz w:val="22"/>
          <w:szCs w:val="22"/>
        </w:rPr>
        <w:fldChar w:fldCharType="end"/>
      </w:r>
      <w:r w:rsidRPr="009D4E09">
        <w:rPr>
          <w:rFonts w:cs="Arial"/>
          <w:b/>
          <w:sz w:val="22"/>
          <w:szCs w:val="22"/>
        </w:rPr>
        <w:t>I</w:t>
      </w:r>
      <w:r w:rsidRPr="009D4E09">
        <w:rPr>
          <w:rFonts w:cs="Arial"/>
          <w:b/>
          <w:sz w:val="22"/>
          <w:szCs w:val="22"/>
        </w:rPr>
        <w:fldChar w:fldCharType="begin"/>
      </w:r>
      <w:r w:rsidRPr="009D4E09">
        <w:rPr>
          <w:rFonts w:cs="Arial"/>
          <w:b/>
          <w:sz w:val="22"/>
          <w:szCs w:val="22"/>
        </w:rPr>
        <w:instrText xml:space="preserve">  </w:instrText>
      </w:r>
      <w:r w:rsidRPr="009D4E09">
        <w:rPr>
          <w:rFonts w:cs="Arial"/>
          <w:b/>
          <w:sz w:val="22"/>
          <w:szCs w:val="22"/>
        </w:rPr>
        <w:fldChar w:fldCharType="end"/>
      </w:r>
      <w:r w:rsidRPr="009D4E09">
        <w:rPr>
          <w:rFonts w:cs="Arial"/>
          <w:b/>
          <w:sz w:val="22"/>
          <w:szCs w:val="22"/>
        </w:rPr>
        <w:t xml:space="preserve"> – NOT DELEGATED</w:t>
      </w:r>
      <w:r w:rsidRPr="009D4E09">
        <w:rPr>
          <w:rFonts w:cs="Arial"/>
          <w:b/>
          <w:sz w:val="22"/>
          <w:szCs w:val="22"/>
        </w:rPr>
        <w:fldChar w:fldCharType="begin"/>
      </w:r>
      <w:r w:rsidRPr="009D4E09">
        <w:rPr>
          <w:rFonts w:cs="Arial"/>
          <w:b/>
          <w:sz w:val="22"/>
          <w:szCs w:val="22"/>
        </w:rPr>
        <w:instrText xml:space="preserve">  </w:instrText>
      </w:r>
      <w:r w:rsidRPr="009D4E09">
        <w:rPr>
          <w:rFonts w:cs="Arial"/>
          <w:b/>
          <w:sz w:val="22"/>
          <w:szCs w:val="22"/>
        </w:rPr>
        <w:fldChar w:fldCharType="end"/>
      </w:r>
    </w:p>
    <w:p w:rsidR="00CA4E51" w:rsidRPr="009D4E09" w:rsidRDefault="00CA4E51" w:rsidP="00CA4E51">
      <w:pPr>
        <w:tabs>
          <w:tab w:val="left" w:pos="709"/>
          <w:tab w:val="left" w:pos="1980"/>
          <w:tab w:val="left" w:pos="2700"/>
          <w:tab w:val="left" w:pos="3420"/>
        </w:tabs>
        <w:ind w:left="720" w:hanging="720"/>
        <w:rPr>
          <w:rFonts w:cs="Arial"/>
          <w:b/>
          <w:sz w:val="22"/>
          <w:szCs w:val="22"/>
        </w:rPr>
      </w:pPr>
    </w:p>
    <w:p w:rsidR="00CA4E51" w:rsidRPr="009D4E09" w:rsidRDefault="00CA4E51" w:rsidP="00CA4E51">
      <w:pPr>
        <w:keepNext/>
        <w:ind w:left="1267" w:hanging="1267"/>
        <w:rPr>
          <w:rFonts w:cs="Arial"/>
          <w:b/>
          <w:i/>
          <w:sz w:val="22"/>
          <w:szCs w:val="22"/>
        </w:rPr>
      </w:pPr>
      <w:r w:rsidRPr="009D4E09">
        <w:rPr>
          <w:rFonts w:cs="Arial"/>
          <w:b/>
          <w:sz w:val="22"/>
          <w:szCs w:val="22"/>
        </w:rPr>
        <w:fldChar w:fldCharType="begin"/>
      </w:r>
      <w:r w:rsidRPr="009D4E09">
        <w:rPr>
          <w:rFonts w:cs="Arial"/>
          <w:b/>
          <w:sz w:val="22"/>
          <w:szCs w:val="22"/>
        </w:rPr>
        <w:instrText xml:space="preserve">  </w:instrText>
      </w:r>
      <w:r w:rsidRPr="009D4E09">
        <w:rPr>
          <w:rFonts w:cs="Arial"/>
          <w:b/>
          <w:sz w:val="22"/>
          <w:szCs w:val="22"/>
        </w:rPr>
        <w:fldChar w:fldCharType="end"/>
      </w:r>
      <w:r w:rsidR="006B7862" w:rsidRPr="009D4E09">
        <w:rPr>
          <w:rFonts w:cs="Arial"/>
          <w:b/>
          <w:sz w:val="22"/>
          <w:szCs w:val="22"/>
        </w:rPr>
        <w:t>1</w:t>
      </w:r>
      <w:r w:rsidR="00407A0D" w:rsidRPr="009D4E09">
        <w:rPr>
          <w:rFonts w:cs="Arial"/>
          <w:b/>
          <w:sz w:val="22"/>
          <w:szCs w:val="22"/>
        </w:rPr>
        <w:t>2</w:t>
      </w:r>
      <w:r w:rsidRPr="009D4E09">
        <w:rPr>
          <w:rFonts w:cs="Arial"/>
          <w:b/>
          <w:sz w:val="22"/>
          <w:szCs w:val="22"/>
        </w:rPr>
        <w:t>.</w:t>
      </w:r>
      <w:r w:rsidRPr="009D4E09">
        <w:rPr>
          <w:rFonts w:cs="Arial"/>
          <w:b/>
          <w:sz w:val="22"/>
          <w:szCs w:val="22"/>
        </w:rPr>
        <w:tab/>
      </w:r>
      <w:r w:rsidR="005A06F8" w:rsidRPr="009D4E09">
        <w:rPr>
          <w:rFonts w:cs="Arial"/>
          <w:b/>
          <w:sz w:val="22"/>
          <w:szCs w:val="22"/>
        </w:rPr>
        <w:t xml:space="preserve">FINANCIAL PLANNING - </w:t>
      </w:r>
      <w:r w:rsidRPr="009D4E09">
        <w:rPr>
          <w:rFonts w:cs="Arial"/>
          <w:b/>
          <w:sz w:val="22"/>
          <w:szCs w:val="22"/>
        </w:rPr>
        <w:t>TREASURY MANAGEMENT</w:t>
      </w:r>
      <w:r w:rsidRPr="009D4E09">
        <w:rPr>
          <w:rFonts w:cs="Arial"/>
          <w:b/>
          <w:sz w:val="22"/>
          <w:szCs w:val="22"/>
        </w:rPr>
        <w:fldChar w:fldCharType="begin"/>
      </w:r>
      <w:r w:rsidRPr="009D4E09">
        <w:rPr>
          <w:rFonts w:cs="Arial"/>
          <w:b/>
          <w:sz w:val="22"/>
          <w:szCs w:val="22"/>
        </w:rPr>
        <w:instrText xml:space="preserve">  </w:instrText>
      </w:r>
      <w:r w:rsidRPr="009D4E09">
        <w:rPr>
          <w:rFonts w:cs="Arial"/>
          <w:b/>
          <w:sz w:val="22"/>
          <w:szCs w:val="22"/>
        </w:rPr>
        <w:fldChar w:fldCharType="end"/>
      </w:r>
    </w:p>
    <w:p w:rsidR="00CA4E51" w:rsidRPr="009D4E09" w:rsidRDefault="00CA4E51" w:rsidP="00CA4E51">
      <w:pPr>
        <w:keepNext/>
        <w:ind w:left="1267" w:hanging="1267"/>
        <w:rPr>
          <w:rFonts w:cs="Arial"/>
          <w:b/>
          <w:i/>
          <w:sz w:val="22"/>
          <w:szCs w:val="22"/>
        </w:rPr>
      </w:pPr>
      <w:r w:rsidRPr="009D4E09">
        <w:rPr>
          <w:rFonts w:cs="Arial"/>
          <w:b/>
          <w:sz w:val="22"/>
          <w:szCs w:val="22"/>
        </w:rPr>
        <w:tab/>
      </w: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sz w:val="22"/>
          <w:szCs w:val="22"/>
        </w:rPr>
        <w:t>(</w:t>
      </w:r>
      <w:r w:rsidR="008D5620" w:rsidRPr="009D4E09">
        <w:rPr>
          <w:rFonts w:cs="Arial"/>
          <w:sz w:val="22"/>
          <w:szCs w:val="22"/>
        </w:rPr>
        <w:t>D</w:t>
      </w:r>
      <w:r w:rsidR="00477D4E" w:rsidRPr="009D4E09">
        <w:rPr>
          <w:rFonts w:cs="Arial"/>
          <w:sz w:val="22"/>
          <w:szCs w:val="22"/>
        </w:rPr>
        <w:t>o</w:t>
      </w:r>
      <w:r w:rsidR="008D5620" w:rsidRPr="009D4E09">
        <w:rPr>
          <w:rFonts w:cs="Arial"/>
          <w:sz w:val="22"/>
          <w:szCs w:val="22"/>
        </w:rPr>
        <w:t>F</w:t>
      </w:r>
      <w:r w:rsidRPr="009D4E09">
        <w:rPr>
          <w:rFonts w:cs="Arial"/>
          <w:sz w:val="22"/>
          <w:szCs w:val="22"/>
        </w:rPr>
        <w:t>)</w:t>
      </w:r>
    </w:p>
    <w:p w:rsidR="00CA4E51" w:rsidRPr="009D4E09" w:rsidRDefault="00CA4E51" w:rsidP="00CA4E51">
      <w:pPr>
        <w:ind w:left="1260" w:hanging="1260"/>
        <w:rPr>
          <w:rFonts w:cs="Arial"/>
          <w:sz w:val="22"/>
          <w:szCs w:val="22"/>
        </w:rPr>
      </w:pPr>
    </w:p>
    <w:p w:rsidR="00CA4E51" w:rsidRPr="009D4E09" w:rsidRDefault="00CA4E51" w:rsidP="00CA4E51">
      <w:pPr>
        <w:keepNext/>
        <w:ind w:left="1267" w:hanging="1267"/>
        <w:rPr>
          <w:rFonts w:cs="Arial"/>
          <w:sz w:val="22"/>
          <w:szCs w:val="22"/>
        </w:rPr>
      </w:pPr>
      <w:r w:rsidRPr="009D4E09">
        <w:rPr>
          <w:rFonts w:cs="Arial"/>
          <w:sz w:val="22"/>
          <w:szCs w:val="22"/>
        </w:rPr>
        <w:t>1.</w:t>
      </w:r>
      <w:r w:rsidRPr="009D4E09">
        <w:rPr>
          <w:rFonts w:cs="Arial"/>
          <w:sz w:val="22"/>
          <w:szCs w:val="22"/>
        </w:rPr>
        <w:tab/>
      </w:r>
      <w:r w:rsidRPr="009D4E09">
        <w:rPr>
          <w:rFonts w:cs="Arial"/>
          <w:b/>
          <w:sz w:val="22"/>
          <w:szCs w:val="22"/>
        </w:rPr>
        <w:t>Summary</w:t>
      </w:r>
    </w:p>
    <w:p w:rsidR="00CA4E51" w:rsidRPr="009D4E09" w:rsidRDefault="00CA4E51" w:rsidP="00CA4E51">
      <w:pPr>
        <w:keepNext/>
        <w:ind w:left="1267" w:hanging="1267"/>
        <w:rPr>
          <w:rFonts w:cs="Arial"/>
          <w:sz w:val="22"/>
          <w:szCs w:val="22"/>
        </w:rPr>
      </w:pPr>
    </w:p>
    <w:p w:rsidR="00CA4E51" w:rsidRPr="009D4E09" w:rsidRDefault="00CA4E51" w:rsidP="008A56EF">
      <w:pPr>
        <w:ind w:left="1267" w:hanging="1267"/>
        <w:rPr>
          <w:rFonts w:cs="Arial"/>
          <w:sz w:val="22"/>
          <w:szCs w:val="22"/>
        </w:rPr>
      </w:pPr>
      <w:r w:rsidRPr="009D4E09">
        <w:rPr>
          <w:rFonts w:cs="Arial"/>
          <w:sz w:val="22"/>
          <w:szCs w:val="22"/>
        </w:rPr>
        <w:t>1.1</w:t>
      </w:r>
      <w:r w:rsidRPr="009D4E09">
        <w:rPr>
          <w:rFonts w:cs="Arial"/>
          <w:sz w:val="22"/>
          <w:szCs w:val="22"/>
        </w:rPr>
        <w:tab/>
      </w: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00C07C9F" w:rsidRPr="009D4E09">
        <w:rPr>
          <w:rFonts w:cs="Arial"/>
          <w:sz w:val="22"/>
          <w:szCs w:val="22"/>
        </w:rPr>
        <w:t xml:space="preserve">The purpose of this report is to enable </w:t>
      </w:r>
      <w:r w:rsidR="009D4E09">
        <w:rPr>
          <w:rFonts w:cs="Arial"/>
          <w:sz w:val="22"/>
          <w:szCs w:val="22"/>
        </w:rPr>
        <w:t xml:space="preserve">the </w:t>
      </w:r>
      <w:r w:rsidR="00407A0D" w:rsidRPr="009D4E09">
        <w:rPr>
          <w:rFonts w:cs="Arial"/>
          <w:sz w:val="22"/>
          <w:szCs w:val="22"/>
        </w:rPr>
        <w:t>Audit Committee and then</w:t>
      </w:r>
      <w:r w:rsidR="00C07C9F" w:rsidRPr="009D4E09">
        <w:rPr>
          <w:rFonts w:cs="Arial"/>
          <w:sz w:val="22"/>
          <w:szCs w:val="22"/>
        </w:rPr>
        <w:t xml:space="preserve"> </w:t>
      </w:r>
      <w:r w:rsidR="009D4E09">
        <w:rPr>
          <w:rFonts w:cs="Arial"/>
          <w:sz w:val="22"/>
          <w:szCs w:val="22"/>
        </w:rPr>
        <w:t xml:space="preserve">the </w:t>
      </w:r>
      <w:bookmarkStart w:id="0" w:name="_GoBack"/>
      <w:bookmarkEnd w:id="0"/>
      <w:r w:rsidR="00C07C9F" w:rsidRPr="009D4E09">
        <w:rPr>
          <w:rFonts w:cs="Arial"/>
          <w:sz w:val="22"/>
          <w:szCs w:val="22"/>
        </w:rPr>
        <w:t>Policy and Resources Committee to recommend to Council its Treasury Management Strategy Statement.</w:t>
      </w:r>
    </w:p>
    <w:p w:rsidR="00CA4E51" w:rsidRPr="009D4E09" w:rsidRDefault="00CA4E51" w:rsidP="00CA4E51">
      <w:pPr>
        <w:ind w:left="1267" w:hanging="1267"/>
        <w:rPr>
          <w:rFonts w:cs="Arial"/>
          <w:sz w:val="22"/>
          <w:szCs w:val="22"/>
        </w:rPr>
      </w:pPr>
    </w:p>
    <w:p w:rsidR="00CA4E51" w:rsidRPr="009D4E09" w:rsidRDefault="00CA4E51" w:rsidP="00CA4E51">
      <w:pPr>
        <w:keepNext/>
        <w:ind w:left="1267" w:hanging="1267"/>
        <w:rPr>
          <w:rFonts w:cs="Arial"/>
          <w:b/>
          <w:sz w:val="22"/>
          <w:szCs w:val="22"/>
        </w:rPr>
      </w:pPr>
      <w:r w:rsidRPr="009D4E09">
        <w:rPr>
          <w:rFonts w:cs="Arial"/>
          <w:sz w:val="22"/>
          <w:szCs w:val="22"/>
        </w:rPr>
        <w:t>2.</w:t>
      </w:r>
      <w:r w:rsidRPr="009D4E09">
        <w:rPr>
          <w:rFonts w:cs="Arial"/>
          <w:sz w:val="22"/>
          <w:szCs w:val="22"/>
        </w:rPr>
        <w:tab/>
      </w:r>
      <w:r w:rsidRPr="009D4E09">
        <w:rPr>
          <w:rFonts w:cs="Arial"/>
          <w:b/>
          <w:sz w:val="22"/>
          <w:szCs w:val="22"/>
        </w:rPr>
        <w:t>Details</w:t>
      </w:r>
    </w:p>
    <w:p w:rsidR="00CA4E51" w:rsidRPr="009D4E09" w:rsidRDefault="00CA4E51" w:rsidP="00CA4E51">
      <w:pPr>
        <w:keepNext/>
        <w:ind w:left="1267" w:hanging="1267"/>
        <w:rPr>
          <w:rFonts w:cs="Arial"/>
          <w:b/>
          <w:sz w:val="22"/>
          <w:szCs w:val="22"/>
          <w:u w:val="single"/>
        </w:rPr>
      </w:pPr>
    </w:p>
    <w:p w:rsidR="00CA4E51" w:rsidRPr="009D4E09" w:rsidRDefault="00CA4E51" w:rsidP="00CA4E51">
      <w:pPr>
        <w:tabs>
          <w:tab w:val="num" w:pos="709"/>
        </w:tabs>
        <w:ind w:left="1267" w:hanging="1267"/>
        <w:jc w:val="both"/>
        <w:rPr>
          <w:rFonts w:cs="Arial"/>
          <w:sz w:val="22"/>
          <w:szCs w:val="22"/>
        </w:rPr>
      </w:pPr>
      <w:r w:rsidRPr="009D4E09">
        <w:rPr>
          <w:rFonts w:cs="Arial"/>
          <w:sz w:val="22"/>
          <w:szCs w:val="22"/>
        </w:rPr>
        <w:t>2.1</w:t>
      </w:r>
      <w:r w:rsidRPr="009D4E09">
        <w:rPr>
          <w:rFonts w:cs="Arial"/>
          <w:sz w:val="22"/>
          <w:szCs w:val="22"/>
        </w:rPr>
        <w:tab/>
      </w: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noProof/>
          <w:sz w:val="22"/>
          <w:szCs w:val="22"/>
        </w:rPr>
        <w:t xml:space="preserve"> </w:t>
      </w:r>
      <w:r w:rsidRPr="009D4E09">
        <w:rPr>
          <w:rFonts w:cs="Arial"/>
          <w:noProof/>
          <w:sz w:val="22"/>
          <w:szCs w:val="22"/>
        </w:rPr>
        <w:tab/>
        <w:t>The Chartered Institute of Public Finance and Accountancy (CIPFA) defines treasury management as: “</w:t>
      </w:r>
      <w:r w:rsidR="00477D4E" w:rsidRPr="009D4E09">
        <w:rPr>
          <w:rFonts w:cs="Arial"/>
          <w:noProof/>
          <w:sz w:val="22"/>
          <w:szCs w:val="22"/>
        </w:rPr>
        <w:t>t</w:t>
      </w:r>
      <w:r w:rsidRPr="009D4E09">
        <w:rPr>
          <w:rFonts w:cs="Arial"/>
          <w:noProof/>
          <w:sz w:val="22"/>
          <w:szCs w:val="22"/>
        </w:rPr>
        <w:t>he management of the local authority’s investments and cash flows, its banking, money market and capital market transactions; the effective control of the risks associated with those activities; and the pursuit of optimum performance consistent with those risks”.</w:t>
      </w:r>
    </w:p>
    <w:p w:rsidR="00CA4E51" w:rsidRPr="009D4E09" w:rsidRDefault="00CA4E51" w:rsidP="00CA4E51">
      <w:pPr>
        <w:tabs>
          <w:tab w:val="num" w:pos="709"/>
        </w:tabs>
        <w:ind w:left="709" w:hanging="709"/>
        <w:jc w:val="both"/>
        <w:rPr>
          <w:rFonts w:cs="Arial"/>
          <w:sz w:val="22"/>
          <w:szCs w:val="22"/>
        </w:rPr>
      </w:pPr>
      <w:r w:rsidRPr="009D4E09">
        <w:rPr>
          <w:rFonts w:cs="Arial"/>
          <w:sz w:val="22"/>
          <w:szCs w:val="22"/>
        </w:rPr>
        <w:tab/>
      </w:r>
    </w:p>
    <w:p w:rsidR="00CA4E51" w:rsidRPr="009D4E09" w:rsidRDefault="00CA4E51" w:rsidP="00CA4E51">
      <w:pPr>
        <w:tabs>
          <w:tab w:val="num" w:pos="709"/>
        </w:tabs>
        <w:ind w:left="1267" w:hanging="1267"/>
        <w:jc w:val="both"/>
        <w:rPr>
          <w:rFonts w:cs="Arial"/>
          <w:sz w:val="22"/>
          <w:szCs w:val="22"/>
        </w:rPr>
      </w:pPr>
      <w:r w:rsidRPr="009D4E09">
        <w:rPr>
          <w:rFonts w:cs="Arial"/>
          <w:sz w:val="22"/>
          <w:szCs w:val="22"/>
        </w:rPr>
        <w:t>2.2</w:t>
      </w:r>
      <w:r w:rsidRPr="009D4E09">
        <w:rPr>
          <w:rFonts w:cs="Arial"/>
          <w:sz w:val="22"/>
          <w:szCs w:val="22"/>
        </w:rPr>
        <w:tab/>
      </w:r>
      <w:r w:rsidRPr="009D4E09">
        <w:rPr>
          <w:rFonts w:cs="Arial"/>
          <w:sz w:val="22"/>
          <w:szCs w:val="22"/>
        </w:rPr>
        <w:tab/>
        <w:t>This report meets the requirements of both the CIPFA Code of Practice on Treasury Management and the CIPFA Prudential Code for Capital Finance in Local Authorities and complies with the Local Government Act 2003.</w:t>
      </w:r>
    </w:p>
    <w:p w:rsidR="00CA4E51" w:rsidRPr="009D4E09" w:rsidRDefault="00CA4E51" w:rsidP="00CA4E51">
      <w:pPr>
        <w:ind w:left="1267" w:hanging="1267"/>
        <w:jc w:val="both"/>
        <w:rPr>
          <w:rFonts w:cs="Arial"/>
          <w:sz w:val="22"/>
          <w:szCs w:val="22"/>
        </w:rPr>
      </w:pPr>
    </w:p>
    <w:p w:rsidR="00CA4E51" w:rsidRPr="009D4E09" w:rsidRDefault="00CA4E51" w:rsidP="00A36127">
      <w:pPr>
        <w:tabs>
          <w:tab w:val="num" w:pos="0"/>
          <w:tab w:val="num" w:pos="709"/>
          <w:tab w:val="num" w:pos="1276"/>
        </w:tabs>
        <w:ind w:left="1267" w:hanging="1267"/>
        <w:jc w:val="both"/>
        <w:rPr>
          <w:rFonts w:cs="Arial"/>
          <w:sz w:val="22"/>
          <w:szCs w:val="22"/>
        </w:rPr>
      </w:pPr>
      <w:r w:rsidRPr="009D4E09">
        <w:rPr>
          <w:rFonts w:cs="Arial"/>
          <w:sz w:val="22"/>
          <w:szCs w:val="22"/>
        </w:rPr>
        <w:t>3.</w:t>
      </w:r>
      <w:r w:rsidRPr="009D4E09">
        <w:rPr>
          <w:rFonts w:cs="Arial"/>
          <w:b/>
          <w:sz w:val="22"/>
          <w:szCs w:val="22"/>
        </w:rPr>
        <w:tab/>
      </w:r>
      <w:r w:rsidRPr="009D4E09">
        <w:rPr>
          <w:rFonts w:cs="Arial"/>
          <w:b/>
          <w:sz w:val="22"/>
          <w:szCs w:val="22"/>
        </w:rPr>
        <w:tab/>
        <w:t>Treasury Management Strategy Statement 201</w:t>
      </w:r>
      <w:r w:rsidR="00D848C9" w:rsidRPr="009D4E09">
        <w:rPr>
          <w:rFonts w:cs="Arial"/>
          <w:b/>
          <w:sz w:val="22"/>
          <w:szCs w:val="22"/>
        </w:rPr>
        <w:t>7</w:t>
      </w:r>
      <w:r w:rsidRPr="009D4E09">
        <w:rPr>
          <w:rFonts w:cs="Arial"/>
          <w:b/>
          <w:sz w:val="22"/>
          <w:szCs w:val="22"/>
        </w:rPr>
        <w:t>/1</w:t>
      </w:r>
      <w:r w:rsidR="00D848C9" w:rsidRPr="009D4E09">
        <w:rPr>
          <w:rFonts w:cs="Arial"/>
          <w:b/>
          <w:sz w:val="22"/>
          <w:szCs w:val="22"/>
        </w:rPr>
        <w:t>8</w:t>
      </w:r>
      <w:r w:rsidRPr="009D4E09">
        <w:rPr>
          <w:rFonts w:cs="Arial"/>
          <w:b/>
          <w:sz w:val="22"/>
          <w:szCs w:val="22"/>
        </w:rPr>
        <w:t xml:space="preserve"> – 201</w:t>
      </w:r>
      <w:r w:rsidR="00D848C9" w:rsidRPr="009D4E09">
        <w:rPr>
          <w:rFonts w:cs="Arial"/>
          <w:b/>
          <w:sz w:val="22"/>
          <w:szCs w:val="22"/>
        </w:rPr>
        <w:t>9</w:t>
      </w:r>
      <w:r w:rsidRPr="009D4E09">
        <w:rPr>
          <w:rFonts w:cs="Arial"/>
          <w:b/>
          <w:sz w:val="22"/>
          <w:szCs w:val="22"/>
        </w:rPr>
        <w:t>/</w:t>
      </w:r>
      <w:r w:rsidR="00D848C9" w:rsidRPr="009D4E09">
        <w:rPr>
          <w:rFonts w:cs="Arial"/>
          <w:b/>
          <w:sz w:val="22"/>
          <w:szCs w:val="22"/>
        </w:rPr>
        <w:t>20</w:t>
      </w:r>
    </w:p>
    <w:p w:rsidR="00CA4E51" w:rsidRPr="009D4E09" w:rsidRDefault="00CA4E51" w:rsidP="00CA4E51">
      <w:pPr>
        <w:tabs>
          <w:tab w:val="left" w:pos="709"/>
        </w:tabs>
        <w:rPr>
          <w:rFonts w:cs="Arial"/>
          <w:b/>
          <w:sz w:val="22"/>
          <w:szCs w:val="22"/>
        </w:rPr>
      </w:pPr>
      <w:r w:rsidRPr="009D4E09">
        <w:rPr>
          <w:rFonts w:cs="Arial"/>
          <w:sz w:val="22"/>
          <w:szCs w:val="22"/>
        </w:rPr>
        <w:t xml:space="preserve"> </w:t>
      </w:r>
    </w:p>
    <w:p w:rsidR="00CA4E51" w:rsidRPr="009D4E09" w:rsidRDefault="00A36127" w:rsidP="00CA4E51">
      <w:pPr>
        <w:tabs>
          <w:tab w:val="num" w:pos="0"/>
          <w:tab w:val="num" w:pos="720"/>
          <w:tab w:val="num" w:pos="1276"/>
        </w:tabs>
        <w:ind w:left="1267" w:hanging="1267"/>
        <w:jc w:val="both"/>
        <w:rPr>
          <w:rFonts w:cs="Arial"/>
          <w:noProof/>
          <w:sz w:val="22"/>
          <w:szCs w:val="22"/>
        </w:rPr>
      </w:pPr>
      <w:r w:rsidRPr="009D4E09">
        <w:rPr>
          <w:rFonts w:cs="Arial"/>
          <w:noProof/>
          <w:sz w:val="22"/>
          <w:szCs w:val="22"/>
        </w:rPr>
        <w:t>3</w:t>
      </w:r>
      <w:r w:rsidR="00CA4E51" w:rsidRPr="009D4E09">
        <w:rPr>
          <w:rFonts w:cs="Arial"/>
          <w:noProof/>
          <w:sz w:val="22"/>
          <w:szCs w:val="22"/>
        </w:rPr>
        <w:t xml:space="preserve">.1 </w:t>
      </w:r>
      <w:r w:rsidR="00CA4E51" w:rsidRPr="009D4E09">
        <w:rPr>
          <w:rFonts w:cs="Arial"/>
          <w:noProof/>
          <w:sz w:val="22"/>
          <w:szCs w:val="22"/>
        </w:rPr>
        <w:tab/>
      </w:r>
      <w:r w:rsidR="00CA4E51" w:rsidRPr="009D4E09">
        <w:rPr>
          <w:rFonts w:cs="Arial"/>
          <w:noProof/>
          <w:sz w:val="22"/>
          <w:szCs w:val="22"/>
        </w:rPr>
        <w:tab/>
        <w:t>The Council is required to operate a balanced budget</w:t>
      </w:r>
      <w:r w:rsidR="00A10E03" w:rsidRPr="009D4E09">
        <w:rPr>
          <w:rFonts w:cs="Arial"/>
          <w:noProof/>
          <w:sz w:val="22"/>
          <w:szCs w:val="22"/>
        </w:rPr>
        <w:t xml:space="preserve"> over the medium term</w:t>
      </w:r>
      <w:r w:rsidR="00CA4E51" w:rsidRPr="009D4E09">
        <w:rPr>
          <w:rFonts w:cs="Arial"/>
          <w:noProof/>
          <w:sz w:val="22"/>
          <w:szCs w:val="22"/>
        </w:rPr>
        <w:t xml:space="preserve"> which, after allowing for contributions to and from reserves, broadly means that cash raised during the year will meet cash expenditure. </w:t>
      </w:r>
      <w:r w:rsidR="00477D4E" w:rsidRPr="009D4E09">
        <w:rPr>
          <w:rFonts w:cs="Arial"/>
          <w:noProof/>
          <w:sz w:val="22"/>
          <w:szCs w:val="22"/>
        </w:rPr>
        <w:t xml:space="preserve"> </w:t>
      </w:r>
      <w:r w:rsidR="00CA4E51" w:rsidRPr="009D4E09">
        <w:rPr>
          <w:rFonts w:cs="Arial"/>
          <w:noProof/>
          <w:sz w:val="22"/>
          <w:szCs w:val="22"/>
        </w:rPr>
        <w:t xml:space="preserve">Part of the treasury management operation is to ensure that this cash flow is adequately planned, with cash being available when it is needed.  Surplus monies are invested in low risk counterparties or instruments commensurate with the Council’s low risk appetite, providing </w:t>
      </w:r>
      <w:r w:rsidR="00477D4E" w:rsidRPr="009D4E09">
        <w:rPr>
          <w:rFonts w:cs="Arial"/>
          <w:noProof/>
          <w:sz w:val="22"/>
          <w:szCs w:val="22"/>
        </w:rPr>
        <w:t xml:space="preserve">the requisite </w:t>
      </w:r>
      <w:r w:rsidR="00CA4E51" w:rsidRPr="009D4E09">
        <w:rPr>
          <w:rFonts w:cs="Arial"/>
          <w:noProof/>
          <w:sz w:val="22"/>
          <w:szCs w:val="22"/>
        </w:rPr>
        <w:t>liquidity before considering investment return.</w:t>
      </w:r>
    </w:p>
    <w:p w:rsidR="00CA4E51" w:rsidRPr="009D4E09" w:rsidRDefault="00CA4E51" w:rsidP="00CA4E51">
      <w:pPr>
        <w:tabs>
          <w:tab w:val="num" w:pos="540"/>
        </w:tabs>
        <w:jc w:val="both"/>
        <w:rPr>
          <w:rFonts w:cs="Arial"/>
          <w:noProof/>
          <w:sz w:val="22"/>
          <w:szCs w:val="22"/>
        </w:rPr>
      </w:pPr>
    </w:p>
    <w:p w:rsidR="00CA4E51" w:rsidRPr="009D4E09" w:rsidRDefault="00A36127" w:rsidP="00CA4E51">
      <w:pPr>
        <w:tabs>
          <w:tab w:val="num" w:pos="0"/>
          <w:tab w:val="num" w:pos="720"/>
          <w:tab w:val="num" w:pos="1276"/>
        </w:tabs>
        <w:ind w:left="1267" w:hanging="1267"/>
        <w:jc w:val="both"/>
        <w:rPr>
          <w:rFonts w:cs="Arial"/>
          <w:noProof/>
          <w:sz w:val="22"/>
          <w:szCs w:val="22"/>
        </w:rPr>
      </w:pPr>
      <w:r w:rsidRPr="009D4E09">
        <w:rPr>
          <w:rFonts w:cs="Arial"/>
          <w:noProof/>
          <w:sz w:val="22"/>
          <w:szCs w:val="22"/>
        </w:rPr>
        <w:t>3</w:t>
      </w:r>
      <w:r w:rsidR="00CA4E51" w:rsidRPr="009D4E09">
        <w:rPr>
          <w:rFonts w:cs="Arial"/>
          <w:noProof/>
          <w:sz w:val="22"/>
          <w:szCs w:val="22"/>
        </w:rPr>
        <w:t>.2</w:t>
      </w:r>
      <w:r w:rsidR="00CA4E51" w:rsidRPr="009D4E09">
        <w:rPr>
          <w:rFonts w:cs="Arial"/>
          <w:noProof/>
          <w:sz w:val="22"/>
          <w:szCs w:val="22"/>
        </w:rPr>
        <w:tab/>
      </w:r>
      <w:r w:rsidR="00CA4E51" w:rsidRPr="009D4E09">
        <w:rPr>
          <w:rFonts w:cs="Arial"/>
          <w:noProof/>
          <w:sz w:val="22"/>
          <w:szCs w:val="22"/>
        </w:rPr>
        <w:tab/>
        <w:t>The Treasury Management Strategy Statement for 201</w:t>
      </w:r>
      <w:r w:rsidR="00D848C9" w:rsidRPr="009D4E09">
        <w:rPr>
          <w:rFonts w:cs="Arial"/>
          <w:noProof/>
          <w:sz w:val="22"/>
          <w:szCs w:val="22"/>
        </w:rPr>
        <w:t>7</w:t>
      </w:r>
      <w:r w:rsidR="00CA4E51" w:rsidRPr="009D4E09">
        <w:rPr>
          <w:rFonts w:cs="Arial"/>
          <w:noProof/>
          <w:sz w:val="22"/>
          <w:szCs w:val="22"/>
        </w:rPr>
        <w:t>/1</w:t>
      </w:r>
      <w:r w:rsidR="00D848C9" w:rsidRPr="009D4E09">
        <w:rPr>
          <w:rFonts w:cs="Arial"/>
          <w:noProof/>
          <w:sz w:val="22"/>
          <w:szCs w:val="22"/>
        </w:rPr>
        <w:t>8</w:t>
      </w:r>
      <w:r w:rsidR="00CA4E51" w:rsidRPr="009D4E09">
        <w:rPr>
          <w:rFonts w:cs="Arial"/>
          <w:noProof/>
          <w:sz w:val="22"/>
          <w:szCs w:val="22"/>
        </w:rPr>
        <w:t xml:space="preserve"> to 201</w:t>
      </w:r>
      <w:r w:rsidR="00D848C9" w:rsidRPr="009D4E09">
        <w:rPr>
          <w:rFonts w:cs="Arial"/>
          <w:noProof/>
          <w:sz w:val="22"/>
          <w:szCs w:val="22"/>
        </w:rPr>
        <w:t>9</w:t>
      </w:r>
      <w:r w:rsidR="00CA4E51" w:rsidRPr="009D4E09">
        <w:rPr>
          <w:rFonts w:cs="Arial"/>
          <w:noProof/>
          <w:sz w:val="22"/>
          <w:szCs w:val="22"/>
        </w:rPr>
        <w:t>/</w:t>
      </w:r>
      <w:r w:rsidR="00D848C9" w:rsidRPr="009D4E09">
        <w:rPr>
          <w:rFonts w:cs="Arial"/>
          <w:noProof/>
          <w:sz w:val="22"/>
          <w:szCs w:val="22"/>
        </w:rPr>
        <w:t>20</w:t>
      </w:r>
      <w:r w:rsidR="008A56EF" w:rsidRPr="009D4E09">
        <w:rPr>
          <w:rFonts w:cs="Arial"/>
          <w:noProof/>
          <w:sz w:val="22"/>
          <w:szCs w:val="22"/>
        </w:rPr>
        <w:t xml:space="preserve"> is attached at Appendix 1</w:t>
      </w:r>
      <w:r w:rsidR="00CA4E51" w:rsidRPr="009D4E09">
        <w:rPr>
          <w:rFonts w:cs="Arial"/>
          <w:noProof/>
          <w:sz w:val="22"/>
          <w:szCs w:val="22"/>
        </w:rPr>
        <w:t>.</w:t>
      </w:r>
    </w:p>
    <w:p w:rsidR="00CA4E51" w:rsidRPr="009D4E09" w:rsidRDefault="00CA4E51" w:rsidP="008A56EF">
      <w:pPr>
        <w:ind w:left="2712" w:hanging="709"/>
        <w:rPr>
          <w:rFonts w:cs="Arial"/>
          <w:noProof/>
          <w:sz w:val="22"/>
          <w:szCs w:val="22"/>
        </w:rPr>
      </w:pPr>
    </w:p>
    <w:p w:rsidR="00CA4E51" w:rsidRPr="009D4E09" w:rsidRDefault="00A36127" w:rsidP="00B87646">
      <w:pPr>
        <w:tabs>
          <w:tab w:val="num" w:pos="0"/>
          <w:tab w:val="num" w:pos="720"/>
          <w:tab w:val="num" w:pos="1276"/>
        </w:tabs>
        <w:ind w:left="1267" w:hanging="1267"/>
        <w:jc w:val="both"/>
        <w:rPr>
          <w:rFonts w:cs="Arial"/>
          <w:noProof/>
          <w:sz w:val="22"/>
          <w:szCs w:val="22"/>
        </w:rPr>
      </w:pPr>
      <w:r w:rsidRPr="009D4E09">
        <w:rPr>
          <w:rFonts w:cs="Arial"/>
          <w:noProof/>
          <w:sz w:val="22"/>
          <w:szCs w:val="22"/>
        </w:rPr>
        <w:t>3</w:t>
      </w:r>
      <w:r w:rsidR="00CA4E51" w:rsidRPr="009D4E09">
        <w:rPr>
          <w:rFonts w:cs="Arial"/>
          <w:noProof/>
          <w:sz w:val="22"/>
          <w:szCs w:val="22"/>
        </w:rPr>
        <w:t>.3</w:t>
      </w:r>
      <w:r w:rsidR="00CA4E51" w:rsidRPr="009D4E09">
        <w:rPr>
          <w:rFonts w:cs="Arial"/>
          <w:noProof/>
        </w:rPr>
        <w:tab/>
      </w:r>
      <w:r w:rsidR="00CA4E51" w:rsidRPr="009D4E09">
        <w:rPr>
          <w:rFonts w:cs="Arial"/>
          <w:noProof/>
        </w:rPr>
        <w:tab/>
      </w:r>
      <w:r w:rsidR="00CA4E51" w:rsidRPr="009D4E09">
        <w:rPr>
          <w:rFonts w:cs="Arial"/>
          <w:noProof/>
          <w:sz w:val="22"/>
          <w:szCs w:val="22"/>
        </w:rPr>
        <w:t xml:space="preserve">The Treasury Management Policy Statement, </w:t>
      </w:r>
      <w:r w:rsidR="00A10E03" w:rsidRPr="009D4E09">
        <w:rPr>
          <w:rFonts w:cs="Arial"/>
          <w:noProof/>
          <w:sz w:val="22"/>
          <w:szCs w:val="22"/>
        </w:rPr>
        <w:t>details</w:t>
      </w:r>
      <w:r w:rsidR="00CA4E51" w:rsidRPr="009D4E09">
        <w:rPr>
          <w:rFonts w:cs="Arial"/>
          <w:noProof/>
          <w:sz w:val="22"/>
          <w:szCs w:val="22"/>
        </w:rPr>
        <w:t xml:space="preserve"> the policies, practices, objectives and approaches to risk management of its treasury management activities,</w:t>
      </w:r>
      <w:r w:rsidR="001C5AB5" w:rsidRPr="009D4E09">
        <w:rPr>
          <w:rFonts w:cs="Arial"/>
          <w:noProof/>
          <w:sz w:val="22"/>
          <w:szCs w:val="22"/>
        </w:rPr>
        <w:t xml:space="preserve"> which</w:t>
      </w:r>
      <w:r w:rsidR="00CA4E51" w:rsidRPr="009D4E09">
        <w:rPr>
          <w:rFonts w:cs="Arial"/>
          <w:noProof/>
          <w:sz w:val="22"/>
          <w:szCs w:val="22"/>
        </w:rPr>
        <w:t xml:space="preserve"> </w:t>
      </w:r>
      <w:r w:rsidR="001C5AB5" w:rsidRPr="009D4E09">
        <w:rPr>
          <w:rFonts w:cs="Arial"/>
          <w:noProof/>
          <w:sz w:val="22"/>
          <w:szCs w:val="22"/>
        </w:rPr>
        <w:t xml:space="preserve">is to be monitiored </w:t>
      </w:r>
      <w:r w:rsidR="00CA4E51" w:rsidRPr="009D4E09">
        <w:rPr>
          <w:rFonts w:cs="Arial"/>
          <w:noProof/>
          <w:sz w:val="22"/>
          <w:szCs w:val="22"/>
        </w:rPr>
        <w:t xml:space="preserve">by the </w:t>
      </w:r>
      <w:r w:rsidR="00A10E03" w:rsidRPr="009D4E09">
        <w:rPr>
          <w:rFonts w:cs="Arial"/>
          <w:noProof/>
          <w:sz w:val="22"/>
          <w:szCs w:val="22"/>
        </w:rPr>
        <w:t>Audit</w:t>
      </w:r>
      <w:r w:rsidR="00CA4E51" w:rsidRPr="009D4E09">
        <w:rPr>
          <w:rFonts w:cs="Arial"/>
          <w:noProof/>
          <w:sz w:val="22"/>
          <w:szCs w:val="22"/>
        </w:rPr>
        <w:t xml:space="preserve"> Committee</w:t>
      </w:r>
      <w:r w:rsidR="00CA4E51" w:rsidRPr="009D4E09">
        <w:rPr>
          <w:rFonts w:cs="Arial"/>
          <w:noProof/>
        </w:rPr>
        <w:t xml:space="preserve">. </w:t>
      </w:r>
      <w:r w:rsidR="00477D4E" w:rsidRPr="009D4E09">
        <w:rPr>
          <w:rFonts w:cs="Arial"/>
          <w:noProof/>
        </w:rPr>
        <w:t xml:space="preserve"> </w:t>
      </w:r>
      <w:r w:rsidR="00986A0A" w:rsidRPr="009D4E09">
        <w:rPr>
          <w:rFonts w:cs="Arial"/>
          <w:bCs/>
          <w:iCs/>
          <w:sz w:val="22"/>
          <w:szCs w:val="22"/>
        </w:rPr>
        <w:t xml:space="preserve">The Council’s investment strategy’s primary objectives are safeguarding the repayment of the principal and interest of its investments on time, and then ensuring adequate liquidity, with the investment return being the final objective. The strategy allows </w:t>
      </w:r>
      <w:r w:rsidR="00986A0A" w:rsidRPr="009D4E09">
        <w:rPr>
          <w:rFonts w:cs="Arial"/>
          <w:noProof/>
          <w:sz w:val="22"/>
          <w:szCs w:val="22"/>
        </w:rPr>
        <w:t>the</w:t>
      </w:r>
      <w:r w:rsidR="00477D4E" w:rsidRPr="009D4E09">
        <w:rPr>
          <w:rFonts w:cs="Arial"/>
          <w:noProof/>
          <w:sz w:val="22"/>
          <w:szCs w:val="22"/>
        </w:rPr>
        <w:t xml:space="preserve"> Director of Finance</w:t>
      </w:r>
      <w:r w:rsidR="00986A0A" w:rsidRPr="009D4E09">
        <w:rPr>
          <w:rFonts w:cs="Arial"/>
          <w:noProof/>
          <w:sz w:val="22"/>
          <w:szCs w:val="22"/>
        </w:rPr>
        <w:t xml:space="preserve">, in consultation with the </w:t>
      </w:r>
      <w:r w:rsidR="00477D4E" w:rsidRPr="009D4E09">
        <w:rPr>
          <w:rFonts w:cs="Arial"/>
          <w:noProof/>
          <w:sz w:val="22"/>
          <w:szCs w:val="22"/>
        </w:rPr>
        <w:t>Lead Member</w:t>
      </w:r>
      <w:r w:rsidR="00986A0A" w:rsidRPr="009D4E09">
        <w:rPr>
          <w:rFonts w:cs="Arial"/>
          <w:noProof/>
          <w:sz w:val="22"/>
          <w:szCs w:val="22"/>
        </w:rPr>
        <w:t>, the delegated authority to approve any variation to the Treasury Management St</w:t>
      </w:r>
      <w:r w:rsidR="00477D4E" w:rsidRPr="009D4E09">
        <w:rPr>
          <w:rFonts w:cs="Arial"/>
          <w:noProof/>
          <w:sz w:val="22"/>
          <w:szCs w:val="22"/>
        </w:rPr>
        <w:t>ra</w:t>
      </w:r>
      <w:r w:rsidR="00986A0A" w:rsidRPr="009D4E09">
        <w:rPr>
          <w:rFonts w:cs="Arial"/>
          <w:noProof/>
          <w:sz w:val="22"/>
          <w:szCs w:val="22"/>
        </w:rPr>
        <w:t xml:space="preserve">tegy during the year which may be brought about by investigating the opportunity to invest for greater than </w:t>
      </w:r>
      <w:r w:rsidR="00477D4E" w:rsidRPr="009D4E09">
        <w:rPr>
          <w:rFonts w:cs="Arial"/>
          <w:noProof/>
          <w:sz w:val="22"/>
          <w:szCs w:val="22"/>
        </w:rPr>
        <w:t xml:space="preserve">one </w:t>
      </w:r>
      <w:r w:rsidR="00986A0A" w:rsidRPr="009D4E09">
        <w:rPr>
          <w:rFonts w:cs="Arial"/>
          <w:noProof/>
          <w:sz w:val="22"/>
          <w:szCs w:val="22"/>
        </w:rPr>
        <w:t>year</w:t>
      </w:r>
      <w:r w:rsidR="00477D4E" w:rsidRPr="009D4E09">
        <w:rPr>
          <w:rFonts w:cs="Arial"/>
          <w:noProof/>
          <w:sz w:val="22"/>
          <w:szCs w:val="22"/>
        </w:rPr>
        <w:t xml:space="preserve"> </w:t>
      </w:r>
      <w:r w:rsidR="00986A0A" w:rsidRPr="009D4E09">
        <w:rPr>
          <w:rFonts w:cs="Arial"/>
          <w:noProof/>
          <w:sz w:val="22"/>
          <w:szCs w:val="22"/>
        </w:rPr>
        <w:t xml:space="preserve">and </w:t>
      </w:r>
      <w:r w:rsidR="00477D4E" w:rsidRPr="009D4E09">
        <w:rPr>
          <w:rFonts w:cs="Arial"/>
          <w:noProof/>
          <w:sz w:val="22"/>
          <w:szCs w:val="22"/>
        </w:rPr>
        <w:t xml:space="preserve">also </w:t>
      </w:r>
      <w:r w:rsidR="00986A0A" w:rsidRPr="009D4E09">
        <w:rPr>
          <w:rFonts w:cs="Arial"/>
          <w:noProof/>
          <w:sz w:val="22"/>
          <w:szCs w:val="22"/>
        </w:rPr>
        <w:t xml:space="preserve">to invest in other investment instruments i.e Government bonds, Gilts and </w:t>
      </w:r>
      <w:r w:rsidR="00477D4E" w:rsidRPr="009D4E09">
        <w:rPr>
          <w:rFonts w:cs="Arial"/>
          <w:noProof/>
          <w:sz w:val="22"/>
          <w:szCs w:val="22"/>
        </w:rPr>
        <w:t xml:space="preserve">investment </w:t>
      </w:r>
      <w:r w:rsidR="00986A0A" w:rsidRPr="009D4E09">
        <w:rPr>
          <w:rFonts w:cs="Arial"/>
          <w:noProof/>
          <w:sz w:val="22"/>
          <w:szCs w:val="22"/>
        </w:rPr>
        <w:t>property</w:t>
      </w:r>
      <w:r w:rsidR="00477D4E" w:rsidRPr="009D4E09">
        <w:rPr>
          <w:rFonts w:cs="Arial"/>
          <w:noProof/>
          <w:sz w:val="22"/>
          <w:szCs w:val="22"/>
        </w:rPr>
        <w:t xml:space="preserve"> </w:t>
      </w:r>
      <w:r w:rsidR="00986A0A" w:rsidRPr="009D4E09">
        <w:rPr>
          <w:rFonts w:cs="Arial"/>
          <w:noProof/>
          <w:sz w:val="22"/>
          <w:szCs w:val="22"/>
        </w:rPr>
        <w:t>with a view of maximising the Council’s returns without significantly increasing risk.</w:t>
      </w:r>
    </w:p>
    <w:p w:rsidR="00986A0A" w:rsidRPr="009D4E09" w:rsidRDefault="00986A0A" w:rsidP="00B87646">
      <w:pPr>
        <w:tabs>
          <w:tab w:val="num" w:pos="0"/>
          <w:tab w:val="num" w:pos="720"/>
          <w:tab w:val="num" w:pos="1276"/>
        </w:tabs>
        <w:ind w:left="1267" w:hanging="1267"/>
        <w:jc w:val="both"/>
        <w:rPr>
          <w:rFonts w:cs="Arial"/>
          <w:b/>
          <w:highlight w:val="yellow"/>
        </w:rPr>
      </w:pPr>
    </w:p>
    <w:p w:rsidR="00CA4E51" w:rsidRPr="009D4E09" w:rsidRDefault="00A36127" w:rsidP="00CA4E51">
      <w:pPr>
        <w:tabs>
          <w:tab w:val="num" w:pos="709"/>
          <w:tab w:val="left" w:pos="1260"/>
        </w:tabs>
        <w:ind w:left="1267" w:hanging="1267"/>
        <w:rPr>
          <w:rFonts w:cs="Arial"/>
          <w:b/>
          <w:sz w:val="22"/>
          <w:szCs w:val="22"/>
        </w:rPr>
      </w:pPr>
      <w:r w:rsidRPr="009D4E09">
        <w:rPr>
          <w:rFonts w:cs="Arial"/>
          <w:sz w:val="22"/>
          <w:szCs w:val="22"/>
        </w:rPr>
        <w:t>4</w:t>
      </w:r>
      <w:r w:rsidR="00CA4E51" w:rsidRPr="009D4E09">
        <w:rPr>
          <w:rFonts w:cs="Arial"/>
          <w:sz w:val="22"/>
          <w:szCs w:val="22"/>
        </w:rPr>
        <w:t>.</w:t>
      </w:r>
      <w:r w:rsidR="00CA4E51" w:rsidRPr="009D4E09">
        <w:rPr>
          <w:rFonts w:cs="Arial"/>
          <w:sz w:val="22"/>
          <w:szCs w:val="22"/>
        </w:rPr>
        <w:tab/>
      </w:r>
      <w:r w:rsidR="00CA4E51" w:rsidRPr="009D4E09">
        <w:rPr>
          <w:rFonts w:cs="Arial"/>
          <w:sz w:val="22"/>
          <w:szCs w:val="22"/>
        </w:rPr>
        <w:tab/>
      </w:r>
      <w:r w:rsidR="00CA4E51" w:rsidRPr="009D4E09">
        <w:rPr>
          <w:rFonts w:cs="Arial"/>
          <w:b/>
          <w:sz w:val="22"/>
          <w:szCs w:val="22"/>
        </w:rPr>
        <w:t>Policy/Budget Implications</w:t>
      </w:r>
    </w:p>
    <w:p w:rsidR="00CA4E51" w:rsidRPr="009D4E09" w:rsidRDefault="00CA4E51" w:rsidP="00CA4E51">
      <w:pPr>
        <w:pStyle w:val="BodyText"/>
        <w:rPr>
          <w:rFonts w:cs="Arial"/>
          <w:b/>
          <w:szCs w:val="22"/>
        </w:rPr>
      </w:pPr>
    </w:p>
    <w:p w:rsidR="00CA4E51" w:rsidRPr="009D4E09" w:rsidRDefault="00A36127" w:rsidP="00CA4E51">
      <w:pPr>
        <w:tabs>
          <w:tab w:val="num" w:pos="0"/>
          <w:tab w:val="num" w:pos="720"/>
          <w:tab w:val="num" w:pos="1276"/>
          <w:tab w:val="left" w:pos="1980"/>
        </w:tabs>
        <w:ind w:left="1267" w:hanging="1267"/>
        <w:rPr>
          <w:rFonts w:cs="Arial"/>
          <w:sz w:val="22"/>
          <w:szCs w:val="22"/>
        </w:rPr>
      </w:pPr>
      <w:r w:rsidRPr="009D4E09">
        <w:rPr>
          <w:rFonts w:cs="Arial"/>
          <w:sz w:val="22"/>
          <w:szCs w:val="22"/>
        </w:rPr>
        <w:t>4</w:t>
      </w:r>
      <w:r w:rsidR="00CA4E51" w:rsidRPr="009D4E09">
        <w:rPr>
          <w:rFonts w:cs="Arial"/>
          <w:sz w:val="22"/>
          <w:szCs w:val="22"/>
        </w:rPr>
        <w:t>.1</w:t>
      </w:r>
      <w:r w:rsidR="00CA4E51" w:rsidRPr="009D4E09">
        <w:rPr>
          <w:rFonts w:cs="Arial"/>
          <w:sz w:val="22"/>
          <w:szCs w:val="22"/>
        </w:rPr>
        <w:tab/>
      </w:r>
      <w:r w:rsidR="00CA4E51" w:rsidRPr="009D4E09">
        <w:rPr>
          <w:rFonts w:cs="Arial"/>
          <w:sz w:val="22"/>
          <w:szCs w:val="22"/>
        </w:rPr>
        <w:tab/>
      </w:r>
      <w:r w:rsidR="00477D4E" w:rsidRPr="009D4E09">
        <w:rPr>
          <w:rFonts w:cs="Arial"/>
          <w:sz w:val="22"/>
          <w:szCs w:val="22"/>
        </w:rPr>
        <w:t>Returns on investments provide a source of income that contributes to the Council’s medium term financial plan</w:t>
      </w:r>
      <w:r w:rsidR="00CA4E51" w:rsidRPr="009D4E09">
        <w:rPr>
          <w:rFonts w:cs="Arial"/>
          <w:sz w:val="22"/>
          <w:szCs w:val="22"/>
        </w:rPr>
        <w:t>.</w:t>
      </w:r>
    </w:p>
    <w:p w:rsidR="00CA4E51" w:rsidRPr="009D4E09" w:rsidRDefault="00CA4E51" w:rsidP="00CA4E51">
      <w:pPr>
        <w:pStyle w:val="BodyText"/>
        <w:rPr>
          <w:rFonts w:cs="Arial"/>
          <w:b/>
          <w:szCs w:val="22"/>
        </w:rPr>
      </w:pPr>
    </w:p>
    <w:p w:rsidR="00CA4E51" w:rsidRPr="009D4E09" w:rsidRDefault="00A36127" w:rsidP="00CA4E51">
      <w:pPr>
        <w:tabs>
          <w:tab w:val="num" w:pos="709"/>
          <w:tab w:val="left" w:pos="1260"/>
        </w:tabs>
        <w:ind w:left="1267" w:hanging="1267"/>
        <w:rPr>
          <w:rFonts w:cs="Arial"/>
          <w:b/>
          <w:sz w:val="22"/>
          <w:szCs w:val="22"/>
        </w:rPr>
      </w:pPr>
      <w:r w:rsidRPr="009D4E09">
        <w:rPr>
          <w:rFonts w:cs="Arial"/>
          <w:sz w:val="22"/>
          <w:szCs w:val="22"/>
        </w:rPr>
        <w:t>5</w:t>
      </w:r>
      <w:r w:rsidR="00CA4E51" w:rsidRPr="009D4E09">
        <w:rPr>
          <w:rFonts w:cs="Arial"/>
          <w:sz w:val="22"/>
          <w:szCs w:val="22"/>
        </w:rPr>
        <w:t>.</w:t>
      </w:r>
      <w:r w:rsidR="00CA4E51" w:rsidRPr="009D4E09">
        <w:rPr>
          <w:rFonts w:cs="Arial"/>
          <w:sz w:val="22"/>
          <w:szCs w:val="22"/>
        </w:rPr>
        <w:tab/>
      </w:r>
      <w:r w:rsidR="00CA4E51" w:rsidRPr="009D4E09">
        <w:rPr>
          <w:rFonts w:cs="Arial"/>
          <w:sz w:val="22"/>
          <w:szCs w:val="22"/>
        </w:rPr>
        <w:tab/>
      </w:r>
      <w:r w:rsidR="00CA4E51" w:rsidRPr="009D4E09">
        <w:rPr>
          <w:rFonts w:cs="Arial"/>
          <w:b/>
          <w:sz w:val="22"/>
          <w:szCs w:val="22"/>
        </w:rPr>
        <w:t>Legal, Staffing, Environmental, Community Safety, Customer Services Centre, and Website Implications</w:t>
      </w:r>
    </w:p>
    <w:p w:rsidR="00CA4E51" w:rsidRPr="009D4E09" w:rsidRDefault="00CA4E51" w:rsidP="00CA4E51">
      <w:pPr>
        <w:pStyle w:val="BodyText"/>
        <w:rPr>
          <w:rFonts w:cs="Arial"/>
          <w:b/>
          <w:szCs w:val="22"/>
        </w:rPr>
      </w:pPr>
    </w:p>
    <w:p w:rsidR="00E674CA" w:rsidRPr="009D4E09" w:rsidRDefault="00A36127" w:rsidP="00CA4E51">
      <w:pPr>
        <w:tabs>
          <w:tab w:val="num" w:pos="0"/>
          <w:tab w:val="num" w:pos="720"/>
          <w:tab w:val="num" w:pos="1276"/>
        </w:tabs>
        <w:ind w:left="1267" w:hanging="1267"/>
        <w:rPr>
          <w:rFonts w:cs="Arial"/>
          <w:sz w:val="22"/>
          <w:szCs w:val="22"/>
          <w:highlight w:val="yellow"/>
        </w:rPr>
      </w:pPr>
      <w:r w:rsidRPr="009D4E09">
        <w:rPr>
          <w:rFonts w:cs="Arial"/>
          <w:sz w:val="22"/>
          <w:szCs w:val="22"/>
        </w:rPr>
        <w:t>5</w:t>
      </w:r>
      <w:r w:rsidR="00CA4E51" w:rsidRPr="009D4E09">
        <w:rPr>
          <w:rFonts w:cs="Arial"/>
          <w:sz w:val="22"/>
          <w:szCs w:val="22"/>
        </w:rPr>
        <w:t>.1</w:t>
      </w:r>
      <w:r w:rsidR="00CA4E51" w:rsidRPr="009D4E09">
        <w:rPr>
          <w:rFonts w:cs="Arial"/>
          <w:sz w:val="22"/>
          <w:szCs w:val="22"/>
        </w:rPr>
        <w:tab/>
      </w:r>
      <w:r w:rsidR="00CA4E51" w:rsidRPr="009D4E09">
        <w:rPr>
          <w:rFonts w:cs="Arial"/>
          <w:sz w:val="22"/>
          <w:szCs w:val="22"/>
        </w:rPr>
        <w:tab/>
      </w:r>
      <w:r w:rsidR="00E674CA" w:rsidRPr="009D4E09">
        <w:rPr>
          <w:rFonts w:cs="Arial"/>
          <w:sz w:val="22"/>
          <w:szCs w:val="22"/>
        </w:rPr>
        <w:tab/>
        <w:t xml:space="preserve">It is a statutory requirement that the Treasury Management Strategy and Treasury Management Practices are reviewed annually. </w:t>
      </w:r>
      <w:r w:rsidR="00477D4E" w:rsidRPr="009D4E09">
        <w:rPr>
          <w:rFonts w:cs="Arial"/>
          <w:sz w:val="22"/>
          <w:szCs w:val="22"/>
        </w:rPr>
        <w:t xml:space="preserve"> </w:t>
      </w:r>
      <w:r w:rsidR="00E674CA" w:rsidRPr="009D4E09">
        <w:rPr>
          <w:rFonts w:cs="Arial"/>
          <w:sz w:val="22"/>
          <w:szCs w:val="22"/>
        </w:rPr>
        <w:t>The report meets the requirement of CIPF</w:t>
      </w:r>
      <w:r w:rsidR="008F23E9" w:rsidRPr="009D4E09">
        <w:rPr>
          <w:rFonts w:cs="Arial"/>
          <w:sz w:val="22"/>
          <w:szCs w:val="22"/>
        </w:rPr>
        <w:t>A</w:t>
      </w:r>
      <w:r w:rsidR="00E674CA" w:rsidRPr="009D4E09">
        <w:rPr>
          <w:rFonts w:cs="Arial"/>
          <w:sz w:val="22"/>
          <w:szCs w:val="22"/>
        </w:rPr>
        <w:t>’s Code of Practice on Treasury Management and the CIPFA Prudential Code for Capital Finance in Local Authorities and complies with the Local Government Act 2003.</w:t>
      </w:r>
    </w:p>
    <w:p w:rsidR="00CA4E51" w:rsidRPr="009D4E09" w:rsidRDefault="00CA4E51" w:rsidP="00CA4E51">
      <w:pPr>
        <w:pStyle w:val="BodyText"/>
        <w:rPr>
          <w:rFonts w:cs="Arial"/>
          <w:b/>
          <w:szCs w:val="22"/>
          <w:highlight w:val="yellow"/>
        </w:rPr>
      </w:pPr>
    </w:p>
    <w:p w:rsidR="00CA4E51" w:rsidRPr="009D4E09" w:rsidRDefault="00A36127" w:rsidP="00CA4E51">
      <w:pPr>
        <w:tabs>
          <w:tab w:val="num" w:pos="709"/>
          <w:tab w:val="left" w:pos="1260"/>
        </w:tabs>
        <w:ind w:left="1267" w:hanging="1267"/>
        <w:rPr>
          <w:rFonts w:cs="Arial"/>
          <w:b/>
          <w:sz w:val="22"/>
          <w:szCs w:val="22"/>
        </w:rPr>
      </w:pPr>
      <w:r w:rsidRPr="009D4E09">
        <w:rPr>
          <w:rFonts w:cs="Arial"/>
          <w:sz w:val="22"/>
          <w:szCs w:val="22"/>
        </w:rPr>
        <w:t>6</w:t>
      </w:r>
      <w:r w:rsidR="00CA4E51" w:rsidRPr="009D4E09">
        <w:rPr>
          <w:rFonts w:cs="Arial"/>
          <w:sz w:val="22"/>
          <w:szCs w:val="22"/>
        </w:rPr>
        <w:t>.</w:t>
      </w:r>
      <w:r w:rsidR="00CA4E51" w:rsidRPr="009D4E09">
        <w:rPr>
          <w:rFonts w:cs="Arial"/>
          <w:sz w:val="22"/>
          <w:szCs w:val="22"/>
        </w:rPr>
        <w:tab/>
      </w:r>
      <w:r w:rsidR="00CA4E51" w:rsidRPr="009D4E09">
        <w:rPr>
          <w:rFonts w:cs="Arial"/>
          <w:sz w:val="22"/>
          <w:szCs w:val="22"/>
        </w:rPr>
        <w:tab/>
      </w:r>
      <w:r w:rsidR="00CA4E51" w:rsidRPr="009D4E09">
        <w:rPr>
          <w:rFonts w:cs="Arial"/>
          <w:b/>
          <w:sz w:val="22"/>
          <w:szCs w:val="22"/>
        </w:rPr>
        <w:t>Financial Implications</w:t>
      </w:r>
    </w:p>
    <w:p w:rsidR="00CA4E51" w:rsidRPr="009D4E09" w:rsidRDefault="00CA4E51" w:rsidP="00CA4E51">
      <w:pPr>
        <w:pStyle w:val="BodyText"/>
        <w:rPr>
          <w:rFonts w:cs="Arial"/>
          <w:b/>
          <w:szCs w:val="22"/>
        </w:rPr>
      </w:pPr>
    </w:p>
    <w:p w:rsidR="00CA4E51" w:rsidRPr="009D4E09" w:rsidRDefault="00A36127" w:rsidP="00CA4E51">
      <w:pPr>
        <w:tabs>
          <w:tab w:val="num" w:pos="0"/>
          <w:tab w:val="num" w:pos="720"/>
          <w:tab w:val="num" w:pos="1276"/>
          <w:tab w:val="num" w:pos="1440"/>
        </w:tabs>
        <w:ind w:left="1267" w:hanging="1267"/>
        <w:rPr>
          <w:rFonts w:cs="Arial"/>
          <w:sz w:val="22"/>
          <w:szCs w:val="22"/>
        </w:rPr>
      </w:pPr>
      <w:r w:rsidRPr="009D4E09">
        <w:rPr>
          <w:rFonts w:cs="Arial"/>
          <w:sz w:val="22"/>
          <w:szCs w:val="22"/>
        </w:rPr>
        <w:t>6</w:t>
      </w:r>
      <w:r w:rsidR="00CA4E51" w:rsidRPr="009D4E09">
        <w:rPr>
          <w:rFonts w:cs="Arial"/>
          <w:sz w:val="22"/>
          <w:szCs w:val="22"/>
        </w:rPr>
        <w:t>.1</w:t>
      </w:r>
      <w:r w:rsidR="00CA4E51" w:rsidRPr="009D4E09">
        <w:rPr>
          <w:rFonts w:cs="Arial"/>
          <w:sz w:val="22"/>
          <w:szCs w:val="22"/>
        </w:rPr>
        <w:tab/>
      </w:r>
      <w:r w:rsidR="00CA4E51" w:rsidRPr="009D4E09">
        <w:rPr>
          <w:rFonts w:cs="Arial"/>
          <w:sz w:val="22"/>
          <w:szCs w:val="22"/>
        </w:rPr>
        <w:tab/>
        <w:t>None specific.</w:t>
      </w:r>
    </w:p>
    <w:p w:rsidR="00CA4E51" w:rsidRPr="009D4E09" w:rsidRDefault="00CA4E51" w:rsidP="00CA4E51">
      <w:pPr>
        <w:pStyle w:val="BodyText"/>
        <w:rPr>
          <w:rFonts w:cs="Arial"/>
          <w:b/>
          <w:szCs w:val="22"/>
        </w:rPr>
      </w:pPr>
    </w:p>
    <w:p w:rsidR="00CA4E51" w:rsidRPr="009D4E09" w:rsidRDefault="00A36127" w:rsidP="00CA4E51">
      <w:pPr>
        <w:tabs>
          <w:tab w:val="num" w:pos="709"/>
          <w:tab w:val="left" w:pos="1260"/>
        </w:tabs>
        <w:ind w:left="1267" w:hanging="1267"/>
        <w:rPr>
          <w:rFonts w:cs="Arial"/>
          <w:b/>
          <w:sz w:val="22"/>
          <w:szCs w:val="22"/>
        </w:rPr>
      </w:pPr>
      <w:r w:rsidRPr="009D4E09">
        <w:rPr>
          <w:rFonts w:cs="Arial"/>
          <w:sz w:val="22"/>
          <w:szCs w:val="22"/>
        </w:rPr>
        <w:t>7</w:t>
      </w:r>
      <w:r w:rsidR="00CA4E51" w:rsidRPr="009D4E09">
        <w:rPr>
          <w:rFonts w:cs="Arial"/>
          <w:sz w:val="22"/>
          <w:szCs w:val="22"/>
        </w:rPr>
        <w:t>.</w:t>
      </w:r>
      <w:r w:rsidR="00CA4E51" w:rsidRPr="009D4E09">
        <w:rPr>
          <w:rFonts w:cs="Arial"/>
          <w:sz w:val="22"/>
          <w:szCs w:val="22"/>
        </w:rPr>
        <w:tab/>
      </w:r>
      <w:r w:rsidR="00CA4E51" w:rsidRPr="009D4E09">
        <w:rPr>
          <w:rFonts w:cs="Arial"/>
          <w:sz w:val="22"/>
          <w:szCs w:val="22"/>
        </w:rPr>
        <w:tab/>
      </w:r>
      <w:r w:rsidR="00A34F69" w:rsidRPr="009D4E09">
        <w:rPr>
          <w:rFonts w:cs="Arial"/>
          <w:b/>
          <w:sz w:val="22"/>
          <w:szCs w:val="22"/>
        </w:rPr>
        <w:t>Risk Management Implication</w:t>
      </w:r>
    </w:p>
    <w:p w:rsidR="00CA4E51" w:rsidRPr="009D4E09" w:rsidRDefault="00CA4E51" w:rsidP="00CA4E51">
      <w:pPr>
        <w:pStyle w:val="BodyText"/>
        <w:rPr>
          <w:rFonts w:cs="Arial"/>
          <w:b/>
          <w:szCs w:val="22"/>
        </w:rPr>
      </w:pPr>
    </w:p>
    <w:p w:rsidR="00CA4E51" w:rsidRPr="009D4E09" w:rsidRDefault="00A36127" w:rsidP="00CA4E51">
      <w:pPr>
        <w:tabs>
          <w:tab w:val="num" w:pos="0"/>
          <w:tab w:val="num" w:pos="720"/>
          <w:tab w:val="num" w:pos="1276"/>
          <w:tab w:val="left" w:pos="1980"/>
          <w:tab w:val="left" w:pos="2700"/>
          <w:tab w:val="left" w:pos="3420"/>
        </w:tabs>
        <w:ind w:left="1267" w:hanging="1267"/>
        <w:jc w:val="both"/>
        <w:rPr>
          <w:rFonts w:cs="Arial"/>
          <w:sz w:val="22"/>
          <w:szCs w:val="22"/>
        </w:rPr>
      </w:pPr>
      <w:r w:rsidRPr="009D4E09">
        <w:rPr>
          <w:rFonts w:cs="Arial"/>
          <w:sz w:val="22"/>
          <w:szCs w:val="22"/>
        </w:rPr>
        <w:t>7</w:t>
      </w:r>
      <w:r w:rsidR="00CA4E51" w:rsidRPr="009D4E09">
        <w:rPr>
          <w:rFonts w:cs="Arial"/>
          <w:sz w:val="22"/>
          <w:szCs w:val="22"/>
        </w:rPr>
        <w:t>.1</w:t>
      </w:r>
      <w:r w:rsidR="00CA4E51" w:rsidRPr="009D4E09">
        <w:rPr>
          <w:rFonts w:cs="Arial"/>
          <w:sz w:val="22"/>
          <w:szCs w:val="22"/>
        </w:rPr>
        <w:tab/>
      </w:r>
      <w:r w:rsidR="00CA4E51" w:rsidRPr="009D4E09">
        <w:rPr>
          <w:rFonts w:cs="Arial"/>
          <w:sz w:val="22"/>
          <w:szCs w:val="22"/>
        </w:rPr>
        <w:tab/>
        <w:t xml:space="preserve">The Council has agreed its risk management strategy which can be found on the </w:t>
      </w:r>
      <w:r w:rsidR="00477D4E" w:rsidRPr="009D4E09">
        <w:rPr>
          <w:rFonts w:cs="Arial"/>
          <w:sz w:val="22"/>
          <w:szCs w:val="22"/>
        </w:rPr>
        <w:t>w</w:t>
      </w:r>
      <w:r w:rsidR="00CA4E51" w:rsidRPr="009D4E09">
        <w:rPr>
          <w:rFonts w:cs="Arial"/>
          <w:sz w:val="22"/>
          <w:szCs w:val="22"/>
        </w:rPr>
        <w:t>ebsite at http//www.threerivers.gov.uk.</w:t>
      </w:r>
    </w:p>
    <w:p w:rsidR="00CA4E51" w:rsidRPr="009D4E09" w:rsidRDefault="00CA4E51" w:rsidP="00CA4E51">
      <w:pPr>
        <w:pStyle w:val="BodyText"/>
        <w:jc w:val="both"/>
        <w:rPr>
          <w:rFonts w:cs="Arial"/>
          <w:b/>
          <w:szCs w:val="22"/>
        </w:rPr>
      </w:pPr>
    </w:p>
    <w:p w:rsidR="00CA4E51" w:rsidRPr="009D4E09" w:rsidRDefault="00A36127" w:rsidP="00CA4E51">
      <w:pPr>
        <w:tabs>
          <w:tab w:val="num" w:pos="0"/>
          <w:tab w:val="num" w:pos="720"/>
          <w:tab w:val="num" w:pos="1276"/>
        </w:tabs>
        <w:ind w:left="1267" w:hanging="1267"/>
        <w:jc w:val="both"/>
        <w:rPr>
          <w:rFonts w:cs="Arial"/>
          <w:sz w:val="22"/>
          <w:szCs w:val="22"/>
        </w:rPr>
      </w:pPr>
      <w:r w:rsidRPr="009D4E09">
        <w:rPr>
          <w:rFonts w:cs="Arial"/>
          <w:sz w:val="22"/>
          <w:szCs w:val="22"/>
        </w:rPr>
        <w:t>7</w:t>
      </w:r>
      <w:r w:rsidR="00CA4E51" w:rsidRPr="009D4E09">
        <w:rPr>
          <w:rFonts w:cs="Arial"/>
          <w:sz w:val="22"/>
          <w:szCs w:val="22"/>
        </w:rPr>
        <w:t>.2</w:t>
      </w:r>
      <w:r w:rsidR="00CA4E51" w:rsidRPr="009D4E09">
        <w:rPr>
          <w:rFonts w:cs="Arial"/>
          <w:sz w:val="22"/>
          <w:szCs w:val="22"/>
        </w:rPr>
        <w:tab/>
      </w:r>
      <w:r w:rsidR="00CA4E51" w:rsidRPr="009D4E09">
        <w:rPr>
          <w:rFonts w:cs="Arial"/>
          <w:sz w:val="22"/>
          <w:szCs w:val="22"/>
        </w:rPr>
        <w:tab/>
        <w:t xml:space="preserve">The subject of this report is covered by the Finance (Shared Services) Service Plan. </w:t>
      </w:r>
      <w:r w:rsidR="00477D4E" w:rsidRPr="009D4E09">
        <w:rPr>
          <w:rFonts w:cs="Arial"/>
          <w:sz w:val="22"/>
          <w:szCs w:val="22"/>
        </w:rPr>
        <w:t xml:space="preserve"> </w:t>
      </w:r>
      <w:r w:rsidR="00CA4E51" w:rsidRPr="009D4E09">
        <w:rPr>
          <w:rFonts w:cs="Arial"/>
          <w:sz w:val="22"/>
          <w:szCs w:val="22"/>
        </w:rPr>
        <w:t>Any risks resulting from this report will be included in the risk register and, if necessary, managed within this plan.</w:t>
      </w:r>
    </w:p>
    <w:p w:rsidR="00CA4E51" w:rsidRPr="009D4E09" w:rsidRDefault="00CA4E51" w:rsidP="00CA4E51">
      <w:pPr>
        <w:pStyle w:val="BodyText"/>
        <w:jc w:val="both"/>
        <w:rPr>
          <w:rFonts w:cs="Arial"/>
          <w:szCs w:val="22"/>
          <w:highlight w:val="yellow"/>
        </w:rPr>
      </w:pPr>
    </w:p>
    <w:p w:rsidR="00CA4E51" w:rsidRPr="009D4E09" w:rsidRDefault="00A36127" w:rsidP="00CA4E51">
      <w:pPr>
        <w:tabs>
          <w:tab w:val="num" w:pos="709"/>
        </w:tabs>
        <w:ind w:left="1267" w:hanging="1267"/>
        <w:rPr>
          <w:rFonts w:cs="Arial"/>
          <w:b/>
          <w:sz w:val="22"/>
          <w:szCs w:val="22"/>
        </w:rPr>
      </w:pPr>
      <w:r w:rsidRPr="009D4E09">
        <w:rPr>
          <w:rFonts w:cs="Arial"/>
          <w:b/>
          <w:sz w:val="22"/>
          <w:szCs w:val="22"/>
        </w:rPr>
        <w:t>8</w:t>
      </w:r>
      <w:r w:rsidR="00CA4E51" w:rsidRPr="009D4E09">
        <w:rPr>
          <w:rFonts w:cs="Arial"/>
          <w:b/>
          <w:sz w:val="22"/>
          <w:szCs w:val="22"/>
        </w:rPr>
        <w:t>.</w:t>
      </w:r>
      <w:r w:rsidR="00CA4E51" w:rsidRPr="009D4E09">
        <w:rPr>
          <w:rFonts w:cs="Arial"/>
          <w:b/>
          <w:sz w:val="22"/>
          <w:szCs w:val="22"/>
        </w:rPr>
        <w:tab/>
      </w:r>
      <w:r w:rsidR="00CA4E51" w:rsidRPr="009D4E09">
        <w:rPr>
          <w:rFonts w:cs="Arial"/>
          <w:b/>
          <w:sz w:val="22"/>
          <w:szCs w:val="22"/>
        </w:rPr>
        <w:tab/>
        <w:t>Recommendation</w:t>
      </w:r>
    </w:p>
    <w:p w:rsidR="00CA4E51" w:rsidRPr="009D4E09" w:rsidRDefault="00CA4E51" w:rsidP="00CA4E51">
      <w:pPr>
        <w:rPr>
          <w:rFonts w:cs="Arial"/>
          <w:sz w:val="22"/>
          <w:szCs w:val="22"/>
        </w:rPr>
      </w:pPr>
    </w:p>
    <w:p w:rsidR="00CA4E51" w:rsidRPr="009D4E09" w:rsidRDefault="00A36127" w:rsidP="00CA4E51">
      <w:pPr>
        <w:tabs>
          <w:tab w:val="num" w:pos="0"/>
          <w:tab w:val="num" w:pos="720"/>
          <w:tab w:val="num" w:pos="1276"/>
        </w:tabs>
        <w:ind w:left="1267" w:hanging="1267"/>
        <w:rPr>
          <w:rFonts w:cs="Arial"/>
          <w:sz w:val="22"/>
          <w:szCs w:val="22"/>
        </w:rPr>
      </w:pPr>
      <w:r w:rsidRPr="009D4E09">
        <w:rPr>
          <w:rFonts w:cs="Arial"/>
          <w:sz w:val="22"/>
          <w:szCs w:val="22"/>
        </w:rPr>
        <w:t>8</w:t>
      </w:r>
      <w:r w:rsidR="00CA4E51" w:rsidRPr="009D4E09">
        <w:rPr>
          <w:rFonts w:cs="Arial"/>
          <w:sz w:val="22"/>
          <w:szCs w:val="22"/>
        </w:rPr>
        <w:t>.1</w:t>
      </w:r>
      <w:r w:rsidR="00CA4E51" w:rsidRPr="009D4E09">
        <w:rPr>
          <w:rFonts w:cs="Arial"/>
          <w:sz w:val="22"/>
          <w:szCs w:val="22"/>
        </w:rPr>
        <w:tab/>
      </w:r>
      <w:r w:rsidR="00CA4E51" w:rsidRPr="009D4E09">
        <w:rPr>
          <w:rFonts w:cs="Arial"/>
          <w:sz w:val="22"/>
          <w:szCs w:val="22"/>
        </w:rPr>
        <w:tab/>
        <w:t>That this report be noted.</w:t>
      </w:r>
    </w:p>
    <w:p w:rsidR="00CA4E51" w:rsidRPr="009D4E09" w:rsidRDefault="00CA4E51" w:rsidP="00CA4E51">
      <w:pPr>
        <w:pStyle w:val="BodyText"/>
        <w:rPr>
          <w:rFonts w:cs="Arial"/>
          <w:b/>
          <w:szCs w:val="22"/>
        </w:rPr>
      </w:pPr>
    </w:p>
    <w:p w:rsidR="00CA4E51" w:rsidRPr="009D4E09" w:rsidRDefault="00CA4E51" w:rsidP="00CA4E51">
      <w:pPr>
        <w:tabs>
          <w:tab w:val="num" w:pos="709"/>
        </w:tabs>
        <w:ind w:left="1267" w:hanging="1267"/>
        <w:rPr>
          <w:rFonts w:cs="Arial"/>
          <w:b/>
          <w:sz w:val="22"/>
          <w:szCs w:val="22"/>
        </w:rPr>
      </w:pPr>
      <w:r w:rsidRPr="009D4E09">
        <w:rPr>
          <w:rFonts w:cs="Arial"/>
          <w:b/>
          <w:sz w:val="22"/>
          <w:szCs w:val="22"/>
        </w:rPr>
        <w:tab/>
      </w:r>
      <w:r w:rsidRPr="009D4E09">
        <w:rPr>
          <w:rFonts w:cs="Arial"/>
          <w:b/>
          <w:szCs w:val="22"/>
        </w:rPr>
        <w:tab/>
      </w:r>
      <w:r w:rsidRPr="009D4E09">
        <w:rPr>
          <w:rFonts w:cs="Arial"/>
          <w:b/>
          <w:sz w:val="22"/>
          <w:szCs w:val="22"/>
        </w:rPr>
        <w:t>Background Papers:</w:t>
      </w:r>
    </w:p>
    <w:p w:rsidR="00CA4E51" w:rsidRPr="009D4E09" w:rsidRDefault="00CA4E51" w:rsidP="00CA4E51">
      <w:pPr>
        <w:tabs>
          <w:tab w:val="num" w:pos="709"/>
        </w:tabs>
        <w:ind w:left="1267" w:hanging="1267"/>
        <w:rPr>
          <w:rFonts w:cs="Arial"/>
          <w:b/>
          <w:sz w:val="22"/>
          <w:szCs w:val="22"/>
          <w:highlight w:val="yellow"/>
        </w:rPr>
      </w:pPr>
    </w:p>
    <w:p w:rsidR="001B6EFF" w:rsidRPr="009D4E09" w:rsidRDefault="006F0CBF" w:rsidP="001B6EFF">
      <w:pPr>
        <w:ind w:left="1276"/>
        <w:rPr>
          <w:rFonts w:cs="Arial"/>
          <w:sz w:val="22"/>
          <w:szCs w:val="22"/>
        </w:rPr>
      </w:pPr>
      <w:r w:rsidRPr="009D4E09">
        <w:rPr>
          <w:rFonts w:cs="Arial"/>
          <w:sz w:val="22"/>
          <w:szCs w:val="22"/>
        </w:rPr>
        <w:t>UK Economic Forecasts provided by Capita Asset Services</w:t>
      </w:r>
      <w:r w:rsidR="00477D4E" w:rsidRPr="009D4E09">
        <w:rPr>
          <w:rFonts w:cs="Arial"/>
          <w:sz w:val="22"/>
          <w:szCs w:val="22"/>
        </w:rPr>
        <w:t xml:space="preserve"> Treasury Solutions</w:t>
      </w:r>
      <w:r w:rsidRPr="009D4E09">
        <w:rPr>
          <w:rFonts w:cs="Arial"/>
          <w:sz w:val="22"/>
          <w:szCs w:val="22"/>
        </w:rPr>
        <w:t>;</w:t>
      </w:r>
    </w:p>
    <w:p w:rsidR="006F0CBF" w:rsidRPr="009D4E09" w:rsidRDefault="0006742A" w:rsidP="001B6EFF">
      <w:pPr>
        <w:ind w:left="1276"/>
        <w:rPr>
          <w:rFonts w:cs="Arial"/>
          <w:sz w:val="22"/>
          <w:szCs w:val="22"/>
        </w:rPr>
      </w:pPr>
      <w:r w:rsidRPr="009D4E09">
        <w:rPr>
          <w:rFonts w:cs="Arial"/>
          <w:sz w:val="22"/>
          <w:szCs w:val="22"/>
        </w:rPr>
        <w:t>The</w:t>
      </w:r>
      <w:r w:rsidR="006F0CBF" w:rsidRPr="009D4E09">
        <w:rPr>
          <w:rFonts w:cs="Arial"/>
          <w:sz w:val="22"/>
          <w:szCs w:val="22"/>
        </w:rPr>
        <w:t xml:space="preserve"> Prudential Code for Capit</w:t>
      </w:r>
      <w:r w:rsidRPr="009D4E09">
        <w:rPr>
          <w:rFonts w:cs="Arial"/>
          <w:sz w:val="22"/>
          <w:szCs w:val="22"/>
        </w:rPr>
        <w:t>al Finance in Local Authorities: Guidance Notes for Practitioners</w:t>
      </w:r>
      <w:r w:rsidR="006F0CBF" w:rsidRPr="009D4E09">
        <w:rPr>
          <w:rFonts w:cs="Arial"/>
          <w:sz w:val="22"/>
          <w:szCs w:val="22"/>
        </w:rPr>
        <w:t xml:space="preserve"> </w:t>
      </w:r>
      <w:r w:rsidRPr="009D4E09">
        <w:rPr>
          <w:rFonts w:cs="Arial"/>
          <w:sz w:val="22"/>
          <w:szCs w:val="22"/>
        </w:rPr>
        <w:t>(2013</w:t>
      </w:r>
      <w:r w:rsidR="006F0CBF" w:rsidRPr="009D4E09">
        <w:rPr>
          <w:rFonts w:cs="Arial"/>
          <w:sz w:val="22"/>
          <w:szCs w:val="22"/>
        </w:rPr>
        <w:t xml:space="preserve"> Edition</w:t>
      </w:r>
      <w:r w:rsidRPr="009D4E09">
        <w:rPr>
          <w:rFonts w:cs="Arial"/>
          <w:sz w:val="22"/>
          <w:szCs w:val="22"/>
        </w:rPr>
        <w:t>)</w:t>
      </w:r>
      <w:r w:rsidR="006F0CBF" w:rsidRPr="009D4E09">
        <w:rPr>
          <w:rFonts w:cs="Arial"/>
          <w:sz w:val="22"/>
          <w:szCs w:val="22"/>
        </w:rPr>
        <w:t>;</w:t>
      </w:r>
    </w:p>
    <w:p w:rsidR="006F0CBF" w:rsidRPr="009D4E09" w:rsidRDefault="006F0CBF" w:rsidP="00477D4E">
      <w:pPr>
        <w:autoSpaceDE w:val="0"/>
        <w:autoSpaceDN w:val="0"/>
        <w:adjustRightInd w:val="0"/>
        <w:ind w:left="1276"/>
        <w:rPr>
          <w:rFonts w:cs="Arial"/>
          <w:sz w:val="22"/>
          <w:szCs w:val="22"/>
        </w:rPr>
      </w:pPr>
      <w:r w:rsidRPr="009D4E09">
        <w:rPr>
          <w:rFonts w:cs="Arial"/>
          <w:sz w:val="22"/>
          <w:szCs w:val="22"/>
        </w:rPr>
        <w:t>CIPFA Treasury Management in the Public Servi</w:t>
      </w:r>
      <w:r w:rsidR="00477D4E" w:rsidRPr="009D4E09">
        <w:rPr>
          <w:rFonts w:cs="Arial"/>
          <w:sz w:val="22"/>
          <w:szCs w:val="22"/>
        </w:rPr>
        <w:t>ces: Code of Practice and Cross-</w:t>
      </w:r>
      <w:r w:rsidR="006E77FC" w:rsidRPr="009D4E09">
        <w:rPr>
          <w:rFonts w:cs="Arial"/>
          <w:sz w:val="22"/>
          <w:szCs w:val="22"/>
        </w:rPr>
        <w:t>sectorial</w:t>
      </w:r>
      <w:r w:rsidRPr="009D4E09">
        <w:rPr>
          <w:rFonts w:cs="Arial"/>
          <w:sz w:val="22"/>
          <w:szCs w:val="22"/>
        </w:rPr>
        <w:t xml:space="preserve"> Guidance Notes (2011 Edition); </w:t>
      </w:r>
    </w:p>
    <w:p w:rsidR="0006742A" w:rsidRPr="009D4E09" w:rsidRDefault="006F0CBF" w:rsidP="0006742A">
      <w:pPr>
        <w:autoSpaceDE w:val="0"/>
        <w:autoSpaceDN w:val="0"/>
        <w:adjustRightInd w:val="0"/>
        <w:ind w:left="1276"/>
        <w:rPr>
          <w:rFonts w:cs="Arial"/>
          <w:sz w:val="22"/>
          <w:szCs w:val="22"/>
        </w:rPr>
      </w:pPr>
      <w:r w:rsidRPr="009D4E09">
        <w:rPr>
          <w:rFonts w:cs="Arial"/>
          <w:sz w:val="22"/>
          <w:szCs w:val="22"/>
        </w:rPr>
        <w:t xml:space="preserve">CIPFA Treasury Management in the Public Services: Guidance Notes for Local Authorities including </w:t>
      </w:r>
      <w:r w:rsidR="00127B68" w:rsidRPr="009D4E09">
        <w:rPr>
          <w:rFonts w:cs="Arial"/>
          <w:sz w:val="22"/>
          <w:szCs w:val="22"/>
        </w:rPr>
        <w:t>Police</w:t>
      </w:r>
      <w:r w:rsidRPr="009D4E09">
        <w:rPr>
          <w:rFonts w:cs="Arial"/>
          <w:sz w:val="22"/>
          <w:szCs w:val="22"/>
        </w:rPr>
        <w:t xml:space="preserve"> Authorities and Fire Authorities (2011 Edition)</w:t>
      </w:r>
      <w:r w:rsidR="00512BBA" w:rsidRPr="009D4E09">
        <w:rPr>
          <w:rFonts w:cs="Arial"/>
          <w:sz w:val="22"/>
          <w:szCs w:val="22"/>
        </w:rPr>
        <w:t>;</w:t>
      </w:r>
    </w:p>
    <w:p w:rsidR="00EA1E88" w:rsidRPr="009D4E09" w:rsidRDefault="00D24613" w:rsidP="00EA1E88">
      <w:pPr>
        <w:autoSpaceDE w:val="0"/>
        <w:autoSpaceDN w:val="0"/>
        <w:adjustRightInd w:val="0"/>
        <w:ind w:left="1276"/>
        <w:rPr>
          <w:rFonts w:cs="Arial"/>
          <w:sz w:val="22"/>
          <w:szCs w:val="22"/>
        </w:rPr>
      </w:pPr>
      <w:r w:rsidRPr="009D4E09">
        <w:rPr>
          <w:rFonts w:cs="Arial"/>
          <w:sz w:val="22"/>
          <w:szCs w:val="22"/>
        </w:rPr>
        <w:t>DCLG Guidance on Local Government Investments (2010 Edition);</w:t>
      </w:r>
    </w:p>
    <w:p w:rsidR="00EA1E88" w:rsidRPr="009D4E09" w:rsidRDefault="00EA1E88" w:rsidP="00EA1E88">
      <w:pPr>
        <w:autoSpaceDE w:val="0"/>
        <w:autoSpaceDN w:val="0"/>
        <w:adjustRightInd w:val="0"/>
        <w:ind w:left="1276"/>
        <w:rPr>
          <w:rFonts w:cs="Arial"/>
          <w:sz w:val="22"/>
          <w:szCs w:val="22"/>
        </w:rPr>
      </w:pPr>
    </w:p>
    <w:p w:rsidR="00CA4E51" w:rsidRPr="009D4E09" w:rsidRDefault="00CA4E51" w:rsidP="00EA1E88">
      <w:pPr>
        <w:autoSpaceDE w:val="0"/>
        <w:autoSpaceDN w:val="0"/>
        <w:adjustRightInd w:val="0"/>
        <w:ind w:left="1276"/>
        <w:rPr>
          <w:rFonts w:cs="Arial"/>
          <w:sz w:val="22"/>
          <w:szCs w:val="22"/>
          <w:highlight w:val="cyan"/>
        </w:rPr>
      </w:pPr>
      <w:r w:rsidRPr="009D4E09">
        <w:rPr>
          <w:rFonts w:cs="Arial"/>
          <w:b/>
          <w:sz w:val="22"/>
          <w:szCs w:val="22"/>
        </w:rPr>
        <w:t>Report prepared by:</w:t>
      </w:r>
    </w:p>
    <w:p w:rsidR="00CA4E51" w:rsidRPr="009D4E09" w:rsidRDefault="00CA4E51" w:rsidP="00CA4E51">
      <w:pPr>
        <w:pStyle w:val="BodyText"/>
        <w:tabs>
          <w:tab w:val="left" w:pos="720"/>
          <w:tab w:val="left" w:pos="5115"/>
        </w:tabs>
        <w:jc w:val="both"/>
        <w:rPr>
          <w:rFonts w:cs="Arial"/>
          <w:b/>
        </w:rPr>
      </w:pPr>
      <w:r w:rsidRPr="009D4E09">
        <w:rPr>
          <w:rFonts w:cs="Arial"/>
          <w:b/>
        </w:rPr>
        <w:tab/>
      </w:r>
    </w:p>
    <w:p w:rsidR="002A270A" w:rsidRPr="009D4E09" w:rsidRDefault="00D848C9" w:rsidP="00CA4E51">
      <w:pPr>
        <w:ind w:firstLine="1276"/>
        <w:rPr>
          <w:rFonts w:cs="Arial"/>
          <w:sz w:val="22"/>
          <w:szCs w:val="22"/>
        </w:rPr>
      </w:pPr>
      <w:r w:rsidRPr="009D4E09">
        <w:rPr>
          <w:rFonts w:cs="Arial"/>
          <w:sz w:val="22"/>
          <w:szCs w:val="22"/>
        </w:rPr>
        <w:t>Sunjiv Seetul – Finance Manager</w:t>
      </w:r>
    </w:p>
    <w:p w:rsidR="00CA4E51" w:rsidRPr="009D4E09" w:rsidRDefault="00CA4E51" w:rsidP="00CA4E51">
      <w:pPr>
        <w:ind w:left="1267" w:hanging="1267"/>
        <w:rPr>
          <w:rFonts w:cs="Arial"/>
          <w:sz w:val="22"/>
          <w:szCs w:val="22"/>
          <w:highlight w:val="yellow"/>
        </w:rPr>
      </w:pPr>
    </w:p>
    <w:p w:rsidR="00CA2904" w:rsidRPr="009D4E09" w:rsidRDefault="00CA4E51" w:rsidP="00803CE3">
      <w:pPr>
        <w:pStyle w:val="BodyText"/>
        <w:tabs>
          <w:tab w:val="num" w:pos="1276"/>
        </w:tabs>
        <w:ind w:left="1276"/>
        <w:rPr>
          <w:rFonts w:cs="Arial"/>
          <w:szCs w:val="22"/>
        </w:rPr>
      </w:pPr>
      <w:r w:rsidRPr="009D4E09">
        <w:rPr>
          <w:rFonts w:cs="Arial"/>
          <w:szCs w:val="22"/>
        </w:rPr>
        <w:t>Data checked by:</w:t>
      </w:r>
      <w:r w:rsidR="00441BE1" w:rsidRPr="009D4E09">
        <w:rPr>
          <w:rFonts w:cs="Arial"/>
          <w:szCs w:val="22"/>
        </w:rPr>
        <w:t xml:space="preserve"> </w:t>
      </w:r>
      <w:r w:rsidR="00D848C9" w:rsidRPr="009D4E09">
        <w:rPr>
          <w:rFonts w:cs="Arial"/>
          <w:szCs w:val="22"/>
        </w:rPr>
        <w:t>Bob Watson – Head of Finance</w:t>
      </w:r>
    </w:p>
    <w:p w:rsidR="00CA4E51" w:rsidRPr="009D4E09" w:rsidRDefault="00CA4E51" w:rsidP="00CA4E51">
      <w:pPr>
        <w:tabs>
          <w:tab w:val="left" w:pos="1260"/>
          <w:tab w:val="left" w:pos="1980"/>
          <w:tab w:val="left" w:pos="2700"/>
          <w:tab w:val="left" w:pos="3420"/>
        </w:tabs>
        <w:autoSpaceDE w:val="0"/>
        <w:autoSpaceDN w:val="0"/>
        <w:adjustRightInd w:val="0"/>
        <w:ind w:left="1260" w:hanging="1260"/>
        <w:rPr>
          <w:rFonts w:cs="Arial"/>
          <w:b/>
          <w:bCs/>
          <w:i/>
          <w:iCs/>
          <w:sz w:val="22"/>
          <w:szCs w:val="22"/>
        </w:rPr>
      </w:pPr>
      <w:r w:rsidRPr="009D4E09">
        <w:rPr>
          <w:rFonts w:cs="Arial"/>
          <w:sz w:val="22"/>
          <w:szCs w:val="22"/>
        </w:rPr>
        <w:tab/>
        <w:t>Data rating:</w:t>
      </w:r>
    </w:p>
    <w:tbl>
      <w:tblPr>
        <w:tblW w:w="0" w:type="auto"/>
        <w:tblInd w:w="363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
        <w:gridCol w:w="1276"/>
        <w:gridCol w:w="492"/>
      </w:tblGrid>
      <w:tr w:rsidR="00CA4E51" w:rsidRPr="009D4E09" w:rsidTr="000A6EBC">
        <w:trPr>
          <w:trHeight w:hRule="exact" w:val="346"/>
        </w:trPr>
        <w:tc>
          <w:tcPr>
            <w:tcW w:w="392" w:type="dxa"/>
            <w:tcBorders>
              <w:top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1</w:t>
            </w:r>
          </w:p>
        </w:tc>
        <w:tc>
          <w:tcPr>
            <w:tcW w:w="1276" w:type="dxa"/>
            <w:tcBorders>
              <w:top w:val="single" w:sz="4" w:space="0" w:color="auto"/>
              <w:left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Poor</w:t>
            </w:r>
          </w:p>
        </w:tc>
        <w:tc>
          <w:tcPr>
            <w:tcW w:w="492" w:type="dxa"/>
            <w:tcBorders>
              <w:top w:val="single" w:sz="4" w:space="0" w:color="auto"/>
              <w:left w:val="single" w:sz="4" w:space="0" w:color="auto"/>
              <w:bottom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jc w:val="center"/>
              <w:rPr>
                <w:rFonts w:cs="Arial"/>
                <w:sz w:val="22"/>
                <w:szCs w:val="22"/>
              </w:rPr>
            </w:pPr>
          </w:p>
        </w:tc>
      </w:tr>
      <w:tr w:rsidR="00CA4E51" w:rsidRPr="009D4E09" w:rsidTr="000A6EBC">
        <w:trPr>
          <w:trHeight w:hRule="exact" w:val="346"/>
        </w:trPr>
        <w:tc>
          <w:tcPr>
            <w:tcW w:w="392" w:type="dxa"/>
            <w:tcBorders>
              <w:top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2</w:t>
            </w:r>
          </w:p>
        </w:tc>
        <w:tc>
          <w:tcPr>
            <w:tcW w:w="1276" w:type="dxa"/>
            <w:tcBorders>
              <w:top w:val="single" w:sz="4" w:space="0" w:color="auto"/>
              <w:left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Sufficient</w:t>
            </w:r>
          </w:p>
        </w:tc>
        <w:tc>
          <w:tcPr>
            <w:tcW w:w="492" w:type="dxa"/>
            <w:tcBorders>
              <w:top w:val="single" w:sz="4" w:space="0" w:color="auto"/>
              <w:left w:val="single" w:sz="4" w:space="0" w:color="auto"/>
              <w:bottom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jc w:val="center"/>
              <w:rPr>
                <w:rFonts w:cs="Arial"/>
                <w:sz w:val="22"/>
                <w:szCs w:val="22"/>
              </w:rPr>
            </w:pPr>
          </w:p>
        </w:tc>
      </w:tr>
      <w:tr w:rsidR="00CA4E51" w:rsidRPr="009D4E09" w:rsidTr="000A6EBC">
        <w:trPr>
          <w:trHeight w:hRule="exact" w:val="346"/>
        </w:trPr>
        <w:tc>
          <w:tcPr>
            <w:tcW w:w="392" w:type="dxa"/>
            <w:tcBorders>
              <w:top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3</w:t>
            </w:r>
          </w:p>
        </w:tc>
        <w:tc>
          <w:tcPr>
            <w:tcW w:w="1276" w:type="dxa"/>
            <w:tcBorders>
              <w:top w:val="single" w:sz="4" w:space="0" w:color="auto"/>
              <w:left w:val="single" w:sz="4" w:space="0" w:color="auto"/>
              <w:bottom w:val="single" w:sz="4" w:space="0" w:color="auto"/>
              <w:right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rPr>
                <w:rFonts w:cs="Arial"/>
                <w:sz w:val="22"/>
                <w:szCs w:val="22"/>
              </w:rPr>
            </w:pPr>
            <w:r w:rsidRPr="009D4E09">
              <w:rPr>
                <w:rFonts w:cs="Arial"/>
                <w:sz w:val="22"/>
                <w:szCs w:val="22"/>
              </w:rPr>
              <w:t>High</w:t>
            </w:r>
          </w:p>
        </w:tc>
        <w:tc>
          <w:tcPr>
            <w:tcW w:w="492" w:type="dxa"/>
            <w:tcBorders>
              <w:top w:val="single" w:sz="4" w:space="0" w:color="auto"/>
              <w:left w:val="single" w:sz="4" w:space="0" w:color="auto"/>
              <w:bottom w:val="single" w:sz="4" w:space="0" w:color="auto"/>
            </w:tcBorders>
            <w:vAlign w:val="center"/>
          </w:tcPr>
          <w:p w:rsidR="00CA4E51" w:rsidRPr="009D4E09" w:rsidRDefault="00CA4E51" w:rsidP="000A6EBC">
            <w:pPr>
              <w:keepNext/>
              <w:keepLines/>
              <w:tabs>
                <w:tab w:val="left" w:pos="1260"/>
                <w:tab w:val="left" w:pos="1980"/>
                <w:tab w:val="left" w:pos="2700"/>
                <w:tab w:val="left" w:pos="3420"/>
              </w:tabs>
              <w:autoSpaceDE w:val="0"/>
              <w:autoSpaceDN w:val="0"/>
              <w:adjustRightInd w:val="0"/>
              <w:jc w:val="center"/>
              <w:rPr>
                <w:rFonts w:cs="Arial"/>
                <w:sz w:val="22"/>
                <w:szCs w:val="22"/>
              </w:rPr>
            </w:pPr>
            <w:r w:rsidRPr="009D4E09">
              <w:rPr>
                <w:rFonts w:cs="Arial"/>
                <w:b/>
                <w:bCs/>
                <w:sz w:val="22"/>
                <w:szCs w:val="22"/>
              </w:rPr>
              <w:t></w:t>
            </w:r>
          </w:p>
        </w:tc>
      </w:tr>
    </w:tbl>
    <w:p w:rsidR="00CA4E51" w:rsidRPr="009D4E09" w:rsidRDefault="00CA4E51" w:rsidP="00CA4E51">
      <w:pPr>
        <w:pStyle w:val="BodyText"/>
        <w:ind w:firstLine="720"/>
        <w:rPr>
          <w:rFonts w:cs="Arial"/>
          <w:b/>
          <w:szCs w:val="22"/>
        </w:rPr>
      </w:pPr>
    </w:p>
    <w:p w:rsidR="00CA4E51" w:rsidRPr="009D4E09" w:rsidRDefault="00CA4E51" w:rsidP="00CA4E51">
      <w:pPr>
        <w:pStyle w:val="BodyText"/>
        <w:ind w:firstLine="720"/>
        <w:rPr>
          <w:rFonts w:cs="Arial"/>
          <w:b/>
          <w:szCs w:val="22"/>
        </w:rPr>
      </w:pPr>
      <w:r w:rsidRPr="009D4E09">
        <w:rPr>
          <w:rFonts w:cs="Arial"/>
          <w:b/>
          <w:szCs w:val="22"/>
        </w:rPr>
        <w:t>APPENDICES / ATTACHMENTS</w:t>
      </w:r>
    </w:p>
    <w:p w:rsidR="00CA4E51" w:rsidRPr="009D4E09" w:rsidRDefault="00CA4E51" w:rsidP="00CA4E51">
      <w:pPr>
        <w:pStyle w:val="BodyText"/>
        <w:ind w:firstLine="720"/>
        <w:rPr>
          <w:rFonts w:cs="Arial"/>
          <w:b/>
          <w:szCs w:val="22"/>
        </w:rPr>
      </w:pPr>
    </w:p>
    <w:p w:rsidR="00CA4E51" w:rsidRPr="009D4E09" w:rsidRDefault="00A36127" w:rsidP="00A36127">
      <w:pPr>
        <w:pStyle w:val="BodyText"/>
        <w:ind w:left="2160" w:hanging="1440"/>
        <w:rPr>
          <w:rFonts w:cs="Arial"/>
          <w:szCs w:val="22"/>
        </w:rPr>
      </w:pPr>
      <w:r w:rsidRPr="009D4E09">
        <w:rPr>
          <w:rFonts w:cs="Arial"/>
          <w:szCs w:val="22"/>
        </w:rPr>
        <w:t>Appendix 1</w:t>
      </w:r>
      <w:r w:rsidR="00CA4E51" w:rsidRPr="009D4E09">
        <w:rPr>
          <w:rFonts w:cs="Arial"/>
          <w:szCs w:val="22"/>
        </w:rPr>
        <w:tab/>
        <w:t>Treasury Management Strategy Statement 201</w:t>
      </w:r>
      <w:r w:rsidR="00D848C9" w:rsidRPr="009D4E09">
        <w:rPr>
          <w:rFonts w:cs="Arial"/>
          <w:szCs w:val="22"/>
        </w:rPr>
        <w:t>7</w:t>
      </w:r>
      <w:r w:rsidR="00CA4E51" w:rsidRPr="009D4E09">
        <w:rPr>
          <w:rFonts w:cs="Arial"/>
          <w:szCs w:val="22"/>
        </w:rPr>
        <w:t>/1</w:t>
      </w:r>
      <w:r w:rsidR="00D848C9" w:rsidRPr="009D4E09">
        <w:rPr>
          <w:rFonts w:cs="Arial"/>
          <w:szCs w:val="22"/>
        </w:rPr>
        <w:t>8</w:t>
      </w:r>
      <w:r w:rsidR="00CA4E51" w:rsidRPr="009D4E09">
        <w:rPr>
          <w:rFonts w:cs="Arial"/>
          <w:szCs w:val="22"/>
        </w:rPr>
        <w:t xml:space="preserve"> – 201</w:t>
      </w:r>
      <w:r w:rsidR="00D848C9" w:rsidRPr="009D4E09">
        <w:rPr>
          <w:rFonts w:cs="Arial"/>
          <w:szCs w:val="22"/>
        </w:rPr>
        <w:t>9</w:t>
      </w:r>
      <w:r w:rsidR="00CA4E51" w:rsidRPr="009D4E09">
        <w:rPr>
          <w:rFonts w:cs="Arial"/>
          <w:szCs w:val="22"/>
        </w:rPr>
        <w:t>/</w:t>
      </w:r>
      <w:r w:rsidR="00D848C9" w:rsidRPr="009D4E09">
        <w:rPr>
          <w:rFonts w:cs="Arial"/>
          <w:szCs w:val="22"/>
        </w:rPr>
        <w:t>20</w:t>
      </w:r>
    </w:p>
    <w:p w:rsidR="0007292D" w:rsidRPr="009D4E09" w:rsidRDefault="0007292D" w:rsidP="0007292D">
      <w:pPr>
        <w:pStyle w:val="BodyText"/>
        <w:ind w:left="2160" w:hanging="1440"/>
        <w:rPr>
          <w:rFonts w:cs="Arial"/>
          <w:noProof/>
        </w:rPr>
      </w:pPr>
      <w:r w:rsidRPr="009D4E09">
        <w:rPr>
          <w:rFonts w:cs="Arial"/>
        </w:rPr>
        <w:t>Annex A</w:t>
      </w:r>
      <w:r w:rsidRPr="009D4E09">
        <w:rPr>
          <w:rFonts w:cs="Arial"/>
        </w:rPr>
        <w:tab/>
      </w:r>
      <w:r w:rsidRPr="009D4E09">
        <w:rPr>
          <w:rFonts w:cs="Arial"/>
          <w:noProof/>
        </w:rPr>
        <w:t xml:space="preserve">Treasury Management Practice (TMP1) </w:t>
      </w:r>
    </w:p>
    <w:p w:rsidR="001B6EFF" w:rsidRPr="009D4E09" w:rsidRDefault="0007292D" w:rsidP="001B6EFF">
      <w:pPr>
        <w:pStyle w:val="BodyText"/>
        <w:ind w:left="3600" w:hanging="1440"/>
        <w:rPr>
          <w:rFonts w:cs="Arial"/>
          <w:noProof/>
          <w:spacing w:val="-5"/>
          <w:szCs w:val="22"/>
        </w:rPr>
      </w:pPr>
      <w:r w:rsidRPr="009D4E09">
        <w:rPr>
          <w:rFonts w:cs="Arial"/>
          <w:noProof/>
          <w:spacing w:val="-5"/>
          <w:szCs w:val="22"/>
        </w:rPr>
        <w:lastRenderedPageBreak/>
        <w:t>Credit and Counterparty Risk Management</w:t>
      </w:r>
      <w:r w:rsidRPr="009D4E09">
        <w:rPr>
          <w:rFonts w:cs="Arial"/>
          <w:noProof/>
          <w:spacing w:val="-5"/>
          <w:szCs w:val="22"/>
        </w:rPr>
        <w:tab/>
      </w:r>
    </w:p>
    <w:p w:rsidR="001B6EFF" w:rsidRPr="009D4E09" w:rsidRDefault="0007292D" w:rsidP="001B6EFF">
      <w:pPr>
        <w:pStyle w:val="BodyText"/>
        <w:ind w:left="2160" w:hanging="1440"/>
        <w:rPr>
          <w:rFonts w:cs="Arial"/>
          <w:noProof/>
          <w:spacing w:val="-5"/>
          <w:szCs w:val="22"/>
        </w:rPr>
      </w:pPr>
      <w:r w:rsidRPr="009D4E09">
        <w:rPr>
          <w:rFonts w:cs="Arial"/>
        </w:rPr>
        <w:t>Schedule 1</w:t>
      </w:r>
      <w:r w:rsidRPr="009D4E09">
        <w:rPr>
          <w:rFonts w:cs="Arial"/>
        </w:rPr>
        <w:tab/>
        <w:t xml:space="preserve">Details of the ratings criteria and counterparty exposure limits </w:t>
      </w:r>
    </w:p>
    <w:p w:rsidR="00803CE3" w:rsidRPr="009D4E09" w:rsidRDefault="00803CE3" w:rsidP="000E18B8">
      <w:pPr>
        <w:pStyle w:val="BodyText"/>
        <w:ind w:left="539"/>
        <w:jc w:val="right"/>
        <w:rPr>
          <w:rFonts w:cs="Arial"/>
          <w:b/>
        </w:rPr>
      </w:pPr>
    </w:p>
    <w:p w:rsidR="005E4477" w:rsidRPr="009D4E09" w:rsidRDefault="005E4477" w:rsidP="000E18B8">
      <w:pPr>
        <w:pStyle w:val="BodyText"/>
        <w:ind w:left="539"/>
        <w:jc w:val="right"/>
        <w:rPr>
          <w:rFonts w:cs="Arial"/>
          <w:b/>
        </w:rPr>
      </w:pPr>
    </w:p>
    <w:p w:rsidR="000E18B8" w:rsidRPr="009D4E09" w:rsidRDefault="000E18B8" w:rsidP="000E18B8">
      <w:pPr>
        <w:pStyle w:val="BodyText"/>
        <w:ind w:left="539"/>
        <w:jc w:val="right"/>
        <w:rPr>
          <w:rFonts w:cs="Arial"/>
          <w:b/>
        </w:rPr>
      </w:pPr>
      <w:r w:rsidRPr="009D4E09">
        <w:rPr>
          <w:rFonts w:cs="Arial"/>
          <w:b/>
        </w:rPr>
        <w:t>APPENDIX 1</w:t>
      </w:r>
    </w:p>
    <w:p w:rsidR="000E18B8" w:rsidRPr="009D4E09" w:rsidRDefault="000E18B8" w:rsidP="000E18B8">
      <w:pPr>
        <w:spacing w:after="60"/>
        <w:jc w:val="both"/>
        <w:outlineLvl w:val="0"/>
        <w:rPr>
          <w:rFonts w:cs="Arial"/>
          <w:sz w:val="22"/>
          <w:szCs w:val="22"/>
        </w:rPr>
      </w:pPr>
    </w:p>
    <w:p w:rsidR="000E18B8" w:rsidRPr="009D4E09" w:rsidRDefault="000E18B8" w:rsidP="000E18B8">
      <w:pPr>
        <w:spacing w:after="60"/>
        <w:jc w:val="both"/>
        <w:outlineLvl w:val="0"/>
        <w:rPr>
          <w:rFonts w:cs="Arial"/>
          <w:b/>
          <w:sz w:val="22"/>
          <w:szCs w:val="22"/>
        </w:rPr>
      </w:pPr>
      <w:r w:rsidRPr="009D4E09">
        <w:rPr>
          <w:rFonts w:cs="Arial"/>
          <w:b/>
          <w:sz w:val="22"/>
          <w:szCs w:val="22"/>
        </w:rPr>
        <w:t>TREASURY MANAGEMENT STRATEGY STATEMENT 201</w:t>
      </w:r>
      <w:r w:rsidR="00D848C9" w:rsidRPr="009D4E09">
        <w:rPr>
          <w:rFonts w:cs="Arial"/>
          <w:b/>
          <w:sz w:val="22"/>
          <w:szCs w:val="22"/>
        </w:rPr>
        <w:t>7</w:t>
      </w:r>
      <w:r w:rsidRPr="009D4E09">
        <w:rPr>
          <w:rFonts w:cs="Arial"/>
          <w:b/>
          <w:sz w:val="22"/>
          <w:szCs w:val="22"/>
        </w:rPr>
        <w:t xml:space="preserve"> – 20</w:t>
      </w:r>
      <w:r w:rsidR="00D848C9" w:rsidRPr="009D4E09">
        <w:rPr>
          <w:rFonts w:cs="Arial"/>
          <w:b/>
          <w:sz w:val="22"/>
          <w:szCs w:val="22"/>
        </w:rPr>
        <w:t>20</w:t>
      </w:r>
    </w:p>
    <w:p w:rsidR="000E18B8" w:rsidRPr="009D4E09" w:rsidRDefault="000E18B8" w:rsidP="000E18B8">
      <w:pPr>
        <w:jc w:val="both"/>
        <w:rPr>
          <w:rFonts w:cs="Arial"/>
          <w:b/>
          <w:noProof/>
          <w:sz w:val="22"/>
          <w:szCs w:val="22"/>
        </w:rPr>
      </w:pPr>
    </w:p>
    <w:p w:rsidR="000E18B8" w:rsidRPr="009D4E09" w:rsidRDefault="000E18B8" w:rsidP="000E18B8">
      <w:pPr>
        <w:spacing w:after="120"/>
        <w:ind w:left="540" w:hanging="540"/>
        <w:jc w:val="both"/>
        <w:outlineLvl w:val="0"/>
        <w:rPr>
          <w:rFonts w:cs="Arial"/>
          <w:b/>
          <w:sz w:val="22"/>
          <w:szCs w:val="22"/>
        </w:rPr>
      </w:pPr>
      <w:r w:rsidRPr="009D4E09">
        <w:rPr>
          <w:rFonts w:cs="Arial"/>
          <w:b/>
          <w:sz w:val="22"/>
          <w:szCs w:val="22"/>
        </w:rPr>
        <w:t>1.0</w:t>
      </w:r>
      <w:r w:rsidRPr="009D4E09">
        <w:rPr>
          <w:rFonts w:cs="Arial"/>
          <w:b/>
          <w:sz w:val="22"/>
          <w:szCs w:val="22"/>
        </w:rPr>
        <w:tab/>
        <w:t>Introduction</w:t>
      </w:r>
    </w:p>
    <w:p w:rsidR="000E18B8" w:rsidRPr="009D4E09" w:rsidRDefault="000E18B8" w:rsidP="00434847">
      <w:pPr>
        <w:spacing w:after="120"/>
        <w:jc w:val="both"/>
        <w:rPr>
          <w:rFonts w:cs="Arial"/>
          <w:b/>
          <w:noProof/>
          <w:sz w:val="22"/>
          <w:szCs w:val="22"/>
        </w:rPr>
      </w:pPr>
      <w:r w:rsidRPr="009D4E09">
        <w:rPr>
          <w:rFonts w:cs="Arial"/>
          <w:sz w:val="22"/>
          <w:szCs w:val="22"/>
        </w:rPr>
        <w:t>The Local Government Act 2003 requires the Council to adopt the CIPFA Prudential Code and produce prudential indicators. Each indicator either summarises the expected capital activity or introduces limits upon that activity, reflecting the outcome of the Council’s underlying capital appraisal systems. This report updates the approved indicators.  Within this overall prudential framework there is an impact on the Council’s treasury management function as it can directly impact on borrowing or investment decisions. As a consequence the treasury management strategy for 201</w:t>
      </w:r>
      <w:r w:rsidR="005740EB" w:rsidRPr="009D4E09">
        <w:rPr>
          <w:rFonts w:cs="Arial"/>
          <w:sz w:val="22"/>
          <w:szCs w:val="22"/>
        </w:rPr>
        <w:t>6</w:t>
      </w:r>
      <w:r w:rsidRPr="009D4E09">
        <w:rPr>
          <w:rFonts w:cs="Arial"/>
          <w:sz w:val="22"/>
          <w:szCs w:val="22"/>
        </w:rPr>
        <w:t>/1</w:t>
      </w:r>
      <w:r w:rsidR="005740EB" w:rsidRPr="009D4E09">
        <w:rPr>
          <w:rFonts w:cs="Arial"/>
          <w:sz w:val="22"/>
          <w:szCs w:val="22"/>
        </w:rPr>
        <w:t>7</w:t>
      </w:r>
      <w:r w:rsidRPr="009D4E09">
        <w:rPr>
          <w:rFonts w:cs="Arial"/>
          <w:sz w:val="22"/>
          <w:szCs w:val="22"/>
        </w:rPr>
        <w:t xml:space="preserve"> to 201</w:t>
      </w:r>
      <w:r w:rsidR="005740EB" w:rsidRPr="009D4E09">
        <w:rPr>
          <w:rFonts w:cs="Arial"/>
          <w:sz w:val="22"/>
          <w:szCs w:val="22"/>
        </w:rPr>
        <w:t>8</w:t>
      </w:r>
      <w:r w:rsidRPr="009D4E09">
        <w:rPr>
          <w:rFonts w:cs="Arial"/>
          <w:sz w:val="22"/>
          <w:szCs w:val="22"/>
        </w:rPr>
        <w:t>/1</w:t>
      </w:r>
      <w:r w:rsidR="005740EB" w:rsidRPr="009D4E09">
        <w:rPr>
          <w:rFonts w:cs="Arial"/>
          <w:sz w:val="22"/>
          <w:szCs w:val="22"/>
        </w:rPr>
        <w:t>9</w:t>
      </w:r>
      <w:r w:rsidRPr="009D4E09">
        <w:rPr>
          <w:rFonts w:cs="Arial"/>
          <w:sz w:val="22"/>
          <w:szCs w:val="22"/>
        </w:rPr>
        <w:t xml:space="preserve"> is included.</w:t>
      </w:r>
    </w:p>
    <w:p w:rsidR="000E18B8" w:rsidRPr="009D4E09" w:rsidRDefault="000E18B8" w:rsidP="000E18B8">
      <w:pPr>
        <w:jc w:val="both"/>
        <w:rPr>
          <w:rFonts w:cs="Arial"/>
          <w:sz w:val="22"/>
          <w:szCs w:val="22"/>
        </w:rPr>
      </w:pPr>
      <w:r w:rsidRPr="009D4E09">
        <w:rPr>
          <w:rFonts w:cs="Arial"/>
          <w:b/>
          <w:noProof/>
          <w:sz w:val="22"/>
          <w:szCs w:val="22"/>
        </w:rPr>
        <w:t>2.0</w:t>
      </w:r>
      <w:r w:rsidRPr="009D4E09">
        <w:rPr>
          <w:rFonts w:cs="Arial"/>
          <w:b/>
          <w:noProof/>
          <w:sz w:val="22"/>
          <w:szCs w:val="22"/>
        </w:rPr>
        <w:tab/>
        <w:t xml:space="preserve">The Capital Plans and Prudential Indicators </w:t>
      </w:r>
      <w:r w:rsidRPr="009D4E09">
        <w:rPr>
          <w:rFonts w:cs="Arial"/>
          <w:b/>
          <w:sz w:val="22"/>
          <w:szCs w:val="22"/>
        </w:rPr>
        <w:t>201</w:t>
      </w:r>
      <w:r w:rsidR="00D848C9" w:rsidRPr="009D4E09">
        <w:rPr>
          <w:rFonts w:cs="Arial"/>
          <w:b/>
          <w:sz w:val="22"/>
          <w:szCs w:val="22"/>
        </w:rPr>
        <w:t>7</w:t>
      </w:r>
      <w:r w:rsidRPr="009D4E09">
        <w:rPr>
          <w:rFonts w:cs="Arial"/>
          <w:b/>
          <w:sz w:val="22"/>
          <w:szCs w:val="22"/>
        </w:rPr>
        <w:t>/1</w:t>
      </w:r>
      <w:r w:rsidR="00D848C9" w:rsidRPr="009D4E09">
        <w:rPr>
          <w:rFonts w:cs="Arial"/>
          <w:b/>
          <w:sz w:val="22"/>
          <w:szCs w:val="22"/>
        </w:rPr>
        <w:t>8</w:t>
      </w:r>
      <w:r w:rsidRPr="009D4E09">
        <w:rPr>
          <w:rFonts w:cs="Arial"/>
          <w:b/>
          <w:sz w:val="22"/>
          <w:szCs w:val="22"/>
        </w:rPr>
        <w:t xml:space="preserve"> – 201</w:t>
      </w:r>
      <w:r w:rsidR="00D848C9" w:rsidRPr="009D4E09">
        <w:rPr>
          <w:rFonts w:cs="Arial"/>
          <w:b/>
          <w:sz w:val="22"/>
          <w:szCs w:val="22"/>
        </w:rPr>
        <w:t>9</w:t>
      </w:r>
      <w:r w:rsidRPr="009D4E09">
        <w:rPr>
          <w:rFonts w:cs="Arial"/>
          <w:b/>
          <w:sz w:val="22"/>
          <w:szCs w:val="22"/>
        </w:rPr>
        <w:t>/</w:t>
      </w:r>
      <w:r w:rsidR="00D848C9" w:rsidRPr="009D4E09">
        <w:rPr>
          <w:rFonts w:cs="Arial"/>
          <w:b/>
          <w:sz w:val="22"/>
          <w:szCs w:val="22"/>
        </w:rPr>
        <w:t>20</w:t>
      </w:r>
    </w:p>
    <w:p w:rsidR="000E18B8" w:rsidRPr="009D4E09" w:rsidRDefault="000E18B8" w:rsidP="000E18B8">
      <w:pPr>
        <w:jc w:val="both"/>
        <w:rPr>
          <w:rFonts w:cs="Arial"/>
          <w:b/>
          <w:noProof/>
          <w:sz w:val="22"/>
          <w:szCs w:val="22"/>
        </w:rPr>
      </w:pPr>
    </w:p>
    <w:p w:rsidR="000E18B8" w:rsidRPr="009D4E09" w:rsidRDefault="000E18B8" w:rsidP="000E18B8">
      <w:pPr>
        <w:tabs>
          <w:tab w:val="num" w:pos="709"/>
        </w:tabs>
        <w:rPr>
          <w:rFonts w:cs="Arial"/>
          <w:sz w:val="22"/>
          <w:szCs w:val="22"/>
        </w:rPr>
      </w:pP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sz w:val="22"/>
          <w:szCs w:val="22"/>
        </w:rPr>
        <w:t>The Council’s capital expenditure plans are one of the key drivers of the treasury management function. The outputs of the capital expenditure plans are reflected in prudential indicators, which are designed to assist members’ overview and confirm capital expenditure plans.</w:t>
      </w:r>
    </w:p>
    <w:p w:rsidR="000E18B8" w:rsidRPr="009D4E09" w:rsidRDefault="000E18B8" w:rsidP="000E18B8">
      <w:pPr>
        <w:tabs>
          <w:tab w:val="num" w:pos="709"/>
        </w:tabs>
        <w:rPr>
          <w:rFonts w:cs="Arial"/>
          <w:b/>
          <w:noProof/>
          <w:sz w:val="22"/>
          <w:szCs w:val="22"/>
        </w:rPr>
      </w:pPr>
    </w:p>
    <w:p w:rsidR="000E18B8" w:rsidRPr="009D4E09" w:rsidRDefault="000E18B8" w:rsidP="000E18B8">
      <w:pPr>
        <w:tabs>
          <w:tab w:val="num" w:pos="709"/>
        </w:tabs>
        <w:outlineLvl w:val="0"/>
        <w:rPr>
          <w:rStyle w:val="CharChar"/>
          <w:rFonts w:ascii="Arial" w:hAnsi="Arial" w:cs="Arial"/>
          <w:sz w:val="22"/>
          <w:szCs w:val="22"/>
        </w:rPr>
      </w:pPr>
      <w:r w:rsidRPr="009D4E09">
        <w:rPr>
          <w:rFonts w:cs="Arial"/>
          <w:b/>
          <w:sz w:val="22"/>
          <w:szCs w:val="22"/>
        </w:rPr>
        <w:t>2.1    T</w:t>
      </w:r>
      <w:r w:rsidRPr="009D4E09">
        <w:rPr>
          <w:rStyle w:val="CharChar"/>
          <w:rFonts w:ascii="Arial" w:hAnsi="Arial" w:cs="Arial"/>
          <w:sz w:val="22"/>
          <w:szCs w:val="22"/>
        </w:rPr>
        <w:t xml:space="preserve">he Council’s Capital Position </w:t>
      </w:r>
    </w:p>
    <w:p w:rsidR="000E18B8" w:rsidRPr="009D4E09" w:rsidRDefault="000E18B8" w:rsidP="000E18B8">
      <w:pPr>
        <w:tabs>
          <w:tab w:val="num" w:pos="709"/>
        </w:tabs>
        <w:rPr>
          <w:rFonts w:cs="Arial"/>
          <w:sz w:val="22"/>
          <w:szCs w:val="22"/>
          <w:highlight w:val="cyan"/>
        </w:rPr>
      </w:pPr>
    </w:p>
    <w:p w:rsidR="000E18B8" w:rsidRPr="009D4E09" w:rsidRDefault="000E18B8" w:rsidP="000E18B8">
      <w:pPr>
        <w:pStyle w:val="BodyText"/>
        <w:jc w:val="both"/>
        <w:rPr>
          <w:rFonts w:cs="Arial"/>
          <w:szCs w:val="22"/>
        </w:rPr>
      </w:pPr>
      <w:r w:rsidRPr="009D4E09">
        <w:rPr>
          <w:rFonts w:cs="Arial"/>
          <w:szCs w:val="22"/>
        </w:rPr>
        <w:t xml:space="preserve">This prudential indicator is a summary of the Council’s capital expenditure plans, both those agreed previously, and those forming part of this budget cycle. </w:t>
      </w:r>
      <w:r w:rsidR="00477D4E" w:rsidRPr="009D4E09">
        <w:rPr>
          <w:rFonts w:cs="Arial"/>
          <w:szCs w:val="22"/>
        </w:rPr>
        <w:t xml:space="preserve"> </w:t>
      </w:r>
      <w:r w:rsidRPr="009D4E09">
        <w:rPr>
          <w:rFonts w:cs="Arial"/>
          <w:szCs w:val="22"/>
        </w:rPr>
        <w:t>Members are asked to approve the</w:t>
      </w:r>
      <w:r w:rsidR="00267970" w:rsidRPr="009D4E09">
        <w:rPr>
          <w:rFonts w:cs="Arial"/>
          <w:szCs w:val="22"/>
        </w:rPr>
        <w:t xml:space="preserve"> total</w:t>
      </w:r>
      <w:r w:rsidRPr="009D4E09">
        <w:rPr>
          <w:rFonts w:cs="Arial"/>
          <w:szCs w:val="22"/>
        </w:rPr>
        <w:t xml:space="preserve"> capital expenditure forecasts within the proposed capital expenditure programme. </w:t>
      </w:r>
    </w:p>
    <w:p w:rsidR="000E18B8" w:rsidRPr="009D4E09" w:rsidRDefault="000E18B8" w:rsidP="000E18B8">
      <w:pPr>
        <w:autoSpaceDE w:val="0"/>
        <w:autoSpaceDN w:val="0"/>
        <w:adjustRightInd w:val="0"/>
        <w:rPr>
          <w:rFonts w:cs="Arial"/>
          <w:sz w:val="22"/>
          <w:szCs w:val="22"/>
        </w:rPr>
      </w:pPr>
    </w:p>
    <w:tbl>
      <w:tblPr>
        <w:tblW w:w="77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260"/>
        <w:gridCol w:w="1260"/>
        <w:gridCol w:w="1260"/>
        <w:gridCol w:w="1260"/>
      </w:tblGrid>
      <w:tr w:rsidR="00D848C9" w:rsidRPr="009D4E09" w:rsidTr="00BF3A3B">
        <w:trPr>
          <w:trHeight w:val="888"/>
          <w:jc w:val="center"/>
        </w:trPr>
        <w:tc>
          <w:tcPr>
            <w:tcW w:w="2700" w:type="dxa"/>
            <w:shd w:val="clear" w:color="auto" w:fill="B3B3B3"/>
            <w:vAlign w:val="center"/>
          </w:tcPr>
          <w:p w:rsidR="00D848C9" w:rsidRPr="009D4E09" w:rsidRDefault="00D848C9" w:rsidP="000352E9">
            <w:pPr>
              <w:pStyle w:val="BodyText"/>
              <w:jc w:val="center"/>
              <w:rPr>
                <w:rFonts w:cs="Arial"/>
                <w:szCs w:val="22"/>
              </w:rPr>
            </w:pPr>
          </w:p>
        </w:tc>
        <w:tc>
          <w:tcPr>
            <w:tcW w:w="1260" w:type="dxa"/>
            <w:shd w:val="clear" w:color="auto" w:fill="B3B3B3"/>
            <w:vAlign w:val="center"/>
          </w:tcPr>
          <w:p w:rsidR="00D848C9" w:rsidRPr="009D4E09" w:rsidRDefault="00D848C9" w:rsidP="00D848C9">
            <w:pPr>
              <w:pStyle w:val="BodyText"/>
              <w:jc w:val="center"/>
              <w:rPr>
                <w:rFonts w:cs="Arial"/>
                <w:b/>
                <w:bCs/>
                <w:szCs w:val="22"/>
              </w:rPr>
            </w:pPr>
            <w:r w:rsidRPr="009D4E09">
              <w:rPr>
                <w:rFonts w:cs="Arial"/>
                <w:b/>
                <w:bCs/>
                <w:szCs w:val="22"/>
              </w:rPr>
              <w:t>2016/17</w:t>
            </w:r>
          </w:p>
          <w:p w:rsidR="00D848C9" w:rsidRPr="009D4E09" w:rsidRDefault="00D848C9" w:rsidP="00D848C9">
            <w:pPr>
              <w:pStyle w:val="BodyText"/>
              <w:jc w:val="center"/>
              <w:rPr>
                <w:rFonts w:cs="Arial"/>
                <w:b/>
                <w:bCs/>
                <w:szCs w:val="22"/>
              </w:rPr>
            </w:pPr>
            <w:r w:rsidRPr="009D4E09">
              <w:rPr>
                <w:rFonts w:cs="Arial"/>
                <w:b/>
                <w:bCs/>
                <w:szCs w:val="22"/>
              </w:rPr>
              <w:t>Revised Budget</w:t>
            </w:r>
          </w:p>
        </w:tc>
        <w:tc>
          <w:tcPr>
            <w:tcW w:w="1260" w:type="dxa"/>
            <w:shd w:val="clear" w:color="auto" w:fill="B3B3B3"/>
            <w:vAlign w:val="center"/>
          </w:tcPr>
          <w:p w:rsidR="00D848C9" w:rsidRPr="009D4E09" w:rsidRDefault="00D848C9" w:rsidP="00D848C9">
            <w:pPr>
              <w:pStyle w:val="BodyText"/>
              <w:jc w:val="center"/>
              <w:rPr>
                <w:rFonts w:cs="Arial"/>
                <w:b/>
                <w:bCs/>
                <w:szCs w:val="22"/>
              </w:rPr>
            </w:pPr>
            <w:r w:rsidRPr="009D4E09">
              <w:rPr>
                <w:rFonts w:cs="Arial"/>
                <w:b/>
                <w:bCs/>
                <w:szCs w:val="22"/>
              </w:rPr>
              <w:t>2017/18</w:t>
            </w:r>
          </w:p>
          <w:p w:rsidR="00D848C9" w:rsidRPr="009D4E09" w:rsidRDefault="00D848C9" w:rsidP="00D848C9">
            <w:pPr>
              <w:pStyle w:val="BodyText"/>
              <w:jc w:val="center"/>
              <w:rPr>
                <w:rFonts w:cs="Arial"/>
                <w:b/>
                <w:bCs/>
                <w:szCs w:val="22"/>
              </w:rPr>
            </w:pPr>
            <w:r w:rsidRPr="009D4E09">
              <w:rPr>
                <w:rFonts w:cs="Arial"/>
                <w:b/>
                <w:bCs/>
                <w:szCs w:val="22"/>
              </w:rPr>
              <w:t>Budget</w:t>
            </w:r>
          </w:p>
        </w:tc>
        <w:tc>
          <w:tcPr>
            <w:tcW w:w="1260" w:type="dxa"/>
            <w:shd w:val="clear" w:color="auto" w:fill="B3B3B3"/>
            <w:vAlign w:val="center"/>
          </w:tcPr>
          <w:p w:rsidR="00D848C9" w:rsidRPr="009D4E09" w:rsidRDefault="00D848C9" w:rsidP="00D848C9">
            <w:pPr>
              <w:pStyle w:val="BodyText"/>
              <w:jc w:val="center"/>
              <w:rPr>
                <w:rFonts w:cs="Arial"/>
                <w:b/>
                <w:bCs/>
                <w:szCs w:val="22"/>
              </w:rPr>
            </w:pPr>
            <w:r w:rsidRPr="009D4E09">
              <w:rPr>
                <w:rFonts w:cs="Arial"/>
                <w:b/>
                <w:bCs/>
                <w:szCs w:val="22"/>
              </w:rPr>
              <w:t>2018/19</w:t>
            </w:r>
          </w:p>
          <w:p w:rsidR="00D848C9" w:rsidRPr="009D4E09" w:rsidRDefault="00D848C9" w:rsidP="00D848C9">
            <w:pPr>
              <w:pStyle w:val="BodyText"/>
              <w:jc w:val="center"/>
              <w:rPr>
                <w:rFonts w:cs="Arial"/>
                <w:b/>
                <w:bCs/>
                <w:szCs w:val="22"/>
              </w:rPr>
            </w:pPr>
            <w:r w:rsidRPr="009D4E09">
              <w:rPr>
                <w:rFonts w:cs="Arial"/>
                <w:b/>
                <w:bCs/>
                <w:szCs w:val="22"/>
              </w:rPr>
              <w:t>Budget</w:t>
            </w:r>
          </w:p>
        </w:tc>
        <w:tc>
          <w:tcPr>
            <w:tcW w:w="1260" w:type="dxa"/>
            <w:shd w:val="clear" w:color="auto" w:fill="B3B3B3"/>
            <w:vAlign w:val="center"/>
          </w:tcPr>
          <w:p w:rsidR="00D848C9" w:rsidRPr="009D4E09" w:rsidRDefault="00D848C9" w:rsidP="000352E9">
            <w:pPr>
              <w:pStyle w:val="BodyText"/>
              <w:jc w:val="center"/>
              <w:rPr>
                <w:rFonts w:cs="Arial"/>
                <w:b/>
                <w:bCs/>
                <w:szCs w:val="22"/>
              </w:rPr>
            </w:pPr>
            <w:r w:rsidRPr="009D4E09">
              <w:rPr>
                <w:rFonts w:cs="Arial"/>
                <w:b/>
                <w:bCs/>
                <w:szCs w:val="22"/>
              </w:rPr>
              <w:t>2019/20</w:t>
            </w:r>
          </w:p>
          <w:p w:rsidR="00D848C9" w:rsidRPr="009D4E09" w:rsidRDefault="00D848C9" w:rsidP="000352E9">
            <w:pPr>
              <w:pStyle w:val="BodyText"/>
              <w:jc w:val="center"/>
              <w:rPr>
                <w:rFonts w:cs="Arial"/>
                <w:b/>
                <w:bCs/>
                <w:szCs w:val="22"/>
              </w:rPr>
            </w:pPr>
            <w:r w:rsidRPr="009D4E09">
              <w:rPr>
                <w:rFonts w:cs="Arial"/>
                <w:b/>
                <w:bCs/>
                <w:szCs w:val="22"/>
              </w:rPr>
              <w:t>Budget</w:t>
            </w:r>
          </w:p>
        </w:tc>
      </w:tr>
      <w:tr w:rsidR="00BF3A3B" w:rsidRPr="009D4E09" w:rsidTr="00DC0525">
        <w:trPr>
          <w:trHeight w:val="364"/>
          <w:jc w:val="center"/>
        </w:trPr>
        <w:tc>
          <w:tcPr>
            <w:tcW w:w="2700" w:type="dxa"/>
            <w:tcBorders>
              <w:bottom w:val="single" w:sz="4" w:space="0" w:color="auto"/>
            </w:tcBorders>
            <w:vAlign w:val="center"/>
          </w:tcPr>
          <w:p w:rsidR="00BF3A3B" w:rsidRPr="009D4E09" w:rsidRDefault="00BF3A3B" w:rsidP="000352E9">
            <w:pPr>
              <w:pStyle w:val="BodyText"/>
              <w:rPr>
                <w:rFonts w:cs="Arial"/>
                <w:szCs w:val="22"/>
              </w:rPr>
            </w:pPr>
            <w:r w:rsidRPr="009D4E09">
              <w:rPr>
                <w:rFonts w:cs="Arial"/>
                <w:bCs/>
                <w:szCs w:val="22"/>
              </w:rPr>
              <w:t>Total Capital Expenditure</w:t>
            </w:r>
          </w:p>
        </w:tc>
        <w:tc>
          <w:tcPr>
            <w:tcW w:w="1260" w:type="dxa"/>
            <w:tcBorders>
              <w:bottom w:val="single" w:sz="4" w:space="0" w:color="auto"/>
            </w:tcBorders>
            <w:vAlign w:val="center"/>
          </w:tcPr>
          <w:p w:rsidR="00BF3A3B" w:rsidRPr="009D4E09" w:rsidRDefault="00D848C9" w:rsidP="000352E9">
            <w:pPr>
              <w:pStyle w:val="BodyText"/>
              <w:jc w:val="center"/>
              <w:rPr>
                <w:rFonts w:cs="Arial"/>
                <w:szCs w:val="22"/>
              </w:rPr>
            </w:pPr>
            <w:r w:rsidRPr="009D4E09">
              <w:rPr>
                <w:rFonts w:cs="Arial"/>
                <w:szCs w:val="22"/>
              </w:rPr>
              <w:t>£9.9M</w:t>
            </w:r>
          </w:p>
        </w:tc>
        <w:tc>
          <w:tcPr>
            <w:tcW w:w="1260" w:type="dxa"/>
            <w:tcBorders>
              <w:bottom w:val="single" w:sz="4" w:space="0" w:color="auto"/>
            </w:tcBorders>
            <w:vAlign w:val="center"/>
          </w:tcPr>
          <w:p w:rsidR="00BF3A3B" w:rsidRPr="009D4E09" w:rsidRDefault="00BF3A3B" w:rsidP="0072488A">
            <w:pPr>
              <w:pStyle w:val="BodyText"/>
              <w:jc w:val="center"/>
              <w:rPr>
                <w:rFonts w:cs="Arial"/>
                <w:szCs w:val="22"/>
              </w:rPr>
            </w:pPr>
            <w:r w:rsidRPr="009D4E09">
              <w:rPr>
                <w:rFonts w:cs="Arial"/>
                <w:szCs w:val="22"/>
              </w:rPr>
              <w:t>£</w:t>
            </w:r>
            <w:r w:rsidR="0072488A" w:rsidRPr="009D4E09">
              <w:rPr>
                <w:rFonts w:cs="Arial"/>
                <w:szCs w:val="22"/>
              </w:rPr>
              <w:t>11.9</w:t>
            </w:r>
            <w:r w:rsidRPr="009D4E09">
              <w:rPr>
                <w:rFonts w:cs="Arial"/>
                <w:szCs w:val="22"/>
              </w:rPr>
              <w:t>M</w:t>
            </w:r>
          </w:p>
        </w:tc>
        <w:tc>
          <w:tcPr>
            <w:tcW w:w="1260" w:type="dxa"/>
            <w:tcBorders>
              <w:bottom w:val="single" w:sz="4" w:space="0" w:color="auto"/>
            </w:tcBorders>
            <w:vAlign w:val="center"/>
          </w:tcPr>
          <w:p w:rsidR="00BF3A3B" w:rsidRPr="009D4E09" w:rsidRDefault="00BF3A3B" w:rsidP="0072488A">
            <w:pPr>
              <w:pStyle w:val="BodyText"/>
              <w:jc w:val="center"/>
              <w:rPr>
                <w:rFonts w:cs="Arial"/>
                <w:szCs w:val="22"/>
              </w:rPr>
            </w:pPr>
            <w:r w:rsidRPr="009D4E09">
              <w:rPr>
                <w:rFonts w:cs="Arial"/>
                <w:szCs w:val="22"/>
              </w:rPr>
              <w:t>£</w:t>
            </w:r>
            <w:r w:rsidR="0072488A" w:rsidRPr="009D4E09">
              <w:rPr>
                <w:rFonts w:cs="Arial"/>
                <w:szCs w:val="22"/>
              </w:rPr>
              <w:t>4.8</w:t>
            </w:r>
            <w:r w:rsidRPr="009D4E09">
              <w:rPr>
                <w:rFonts w:cs="Arial"/>
                <w:szCs w:val="22"/>
              </w:rPr>
              <w:t>M</w:t>
            </w:r>
          </w:p>
        </w:tc>
        <w:tc>
          <w:tcPr>
            <w:tcW w:w="1260" w:type="dxa"/>
            <w:tcBorders>
              <w:bottom w:val="single" w:sz="4" w:space="0" w:color="auto"/>
            </w:tcBorders>
            <w:vAlign w:val="center"/>
          </w:tcPr>
          <w:p w:rsidR="00BF3A3B" w:rsidRPr="009D4E09" w:rsidRDefault="00BF3A3B" w:rsidP="000352E9">
            <w:pPr>
              <w:pStyle w:val="BodyText"/>
              <w:jc w:val="center"/>
              <w:rPr>
                <w:rFonts w:cs="Arial"/>
                <w:szCs w:val="22"/>
              </w:rPr>
            </w:pPr>
            <w:r w:rsidRPr="009D4E09">
              <w:rPr>
                <w:rFonts w:cs="Arial"/>
                <w:szCs w:val="22"/>
                <w:highlight w:val="yellow"/>
              </w:rPr>
              <w:t>£</w:t>
            </w:r>
            <w:r w:rsidR="00A04672" w:rsidRPr="009D4E09">
              <w:rPr>
                <w:rFonts w:cs="Arial"/>
                <w:szCs w:val="22"/>
                <w:highlight w:val="yellow"/>
              </w:rPr>
              <w:t>3</w:t>
            </w:r>
            <w:r w:rsidRPr="009D4E09">
              <w:rPr>
                <w:rFonts w:cs="Arial"/>
                <w:szCs w:val="22"/>
                <w:highlight w:val="yellow"/>
              </w:rPr>
              <w:t>.</w:t>
            </w:r>
            <w:r w:rsidR="00C56EEC" w:rsidRPr="009D4E09">
              <w:rPr>
                <w:rFonts w:cs="Arial"/>
                <w:szCs w:val="22"/>
                <w:highlight w:val="yellow"/>
              </w:rPr>
              <w:t>5</w:t>
            </w:r>
            <w:r w:rsidRPr="009D4E09">
              <w:rPr>
                <w:rFonts w:cs="Arial"/>
                <w:szCs w:val="22"/>
                <w:highlight w:val="yellow"/>
              </w:rPr>
              <w:t>M</w:t>
            </w:r>
          </w:p>
        </w:tc>
      </w:tr>
    </w:tbl>
    <w:p w:rsidR="000E18B8" w:rsidRPr="009D4E09" w:rsidRDefault="000E18B8" w:rsidP="000E18B8">
      <w:pPr>
        <w:pStyle w:val="BodyText"/>
        <w:jc w:val="both"/>
        <w:rPr>
          <w:rFonts w:cs="Arial"/>
          <w:szCs w:val="22"/>
        </w:rPr>
      </w:pPr>
    </w:p>
    <w:p w:rsidR="000E18B8" w:rsidRPr="009D4E09" w:rsidRDefault="000E18B8" w:rsidP="000E18B8">
      <w:pPr>
        <w:pStyle w:val="BodyText"/>
        <w:jc w:val="both"/>
        <w:rPr>
          <w:rFonts w:cs="Arial"/>
          <w:szCs w:val="22"/>
        </w:rPr>
      </w:pPr>
      <w:r w:rsidRPr="009D4E09">
        <w:rPr>
          <w:rFonts w:cs="Arial"/>
          <w:szCs w:val="22"/>
        </w:rPr>
        <w:t>The capital expenditure p</w:t>
      </w:r>
      <w:r w:rsidR="00477D4E" w:rsidRPr="009D4E09">
        <w:rPr>
          <w:rFonts w:cs="Arial"/>
          <w:szCs w:val="22"/>
        </w:rPr>
        <w:t xml:space="preserve">rogramme is </w:t>
      </w:r>
      <w:r w:rsidRPr="009D4E09">
        <w:rPr>
          <w:rFonts w:cs="Arial"/>
          <w:szCs w:val="22"/>
        </w:rPr>
        <w:t xml:space="preserve">financed by </w:t>
      </w:r>
      <w:r w:rsidR="00477D4E" w:rsidRPr="009D4E09">
        <w:rPr>
          <w:rFonts w:cs="Arial"/>
          <w:szCs w:val="22"/>
        </w:rPr>
        <w:t xml:space="preserve">a combination of </w:t>
      </w:r>
      <w:r w:rsidRPr="009D4E09">
        <w:rPr>
          <w:rFonts w:cs="Arial"/>
          <w:szCs w:val="22"/>
        </w:rPr>
        <w:t>capital receipts, capital grants or</w:t>
      </w:r>
      <w:r w:rsidR="00477D4E" w:rsidRPr="009D4E09">
        <w:rPr>
          <w:rFonts w:cs="Arial"/>
          <w:szCs w:val="22"/>
        </w:rPr>
        <w:t xml:space="preserve"> use of</w:t>
      </w:r>
      <w:r w:rsidRPr="009D4E09">
        <w:rPr>
          <w:rFonts w:cs="Arial"/>
          <w:szCs w:val="22"/>
        </w:rPr>
        <w:t xml:space="preserve"> capital reserves. </w:t>
      </w:r>
      <w:r w:rsidR="00477D4E" w:rsidRPr="009D4E09">
        <w:rPr>
          <w:rFonts w:cs="Arial"/>
          <w:szCs w:val="22"/>
        </w:rPr>
        <w:t xml:space="preserve">  The Council is also permitted to borrow to finance its capital programme, provided that the borrowing is prudent, affordable and sustainable.  </w:t>
      </w:r>
      <w:r w:rsidRPr="009D4E09">
        <w:rPr>
          <w:rFonts w:cs="Arial"/>
          <w:szCs w:val="22"/>
        </w:rPr>
        <w:t xml:space="preserve">Over the next three years there are no planned shortfalls </w:t>
      </w:r>
      <w:r w:rsidR="00477D4E" w:rsidRPr="009D4E09">
        <w:rPr>
          <w:rFonts w:cs="Arial"/>
          <w:szCs w:val="22"/>
        </w:rPr>
        <w:t xml:space="preserve">in the level of </w:t>
      </w:r>
      <w:r w:rsidRPr="009D4E09">
        <w:rPr>
          <w:rFonts w:cs="Arial"/>
          <w:szCs w:val="22"/>
        </w:rPr>
        <w:t xml:space="preserve">resources which would result in </w:t>
      </w:r>
      <w:r w:rsidR="00477D4E" w:rsidRPr="009D4E09">
        <w:rPr>
          <w:rFonts w:cs="Arial"/>
          <w:szCs w:val="22"/>
        </w:rPr>
        <w:t xml:space="preserve">a need to </w:t>
      </w:r>
      <w:r w:rsidRPr="009D4E09">
        <w:rPr>
          <w:rFonts w:cs="Arial"/>
          <w:szCs w:val="22"/>
        </w:rPr>
        <w:t>borrow</w:t>
      </w:r>
      <w:r w:rsidR="00477D4E" w:rsidRPr="009D4E09">
        <w:rPr>
          <w:rFonts w:cs="Arial"/>
          <w:szCs w:val="22"/>
        </w:rPr>
        <w:t xml:space="preserve">, however </w:t>
      </w:r>
      <w:r w:rsidR="00EB13C1" w:rsidRPr="009D4E09">
        <w:rPr>
          <w:rFonts w:cs="Arial"/>
          <w:szCs w:val="22"/>
        </w:rPr>
        <w:t>it is always prudent to review the future borrowing requirements and if necessary borrow at the most prudent time based on expectations of need and future rates</w:t>
      </w:r>
      <w:r w:rsidRPr="009D4E09">
        <w:rPr>
          <w:rFonts w:cs="Arial"/>
          <w:szCs w:val="22"/>
        </w:rPr>
        <w:t xml:space="preserve">. </w:t>
      </w:r>
      <w:r w:rsidR="00EB13C1" w:rsidRPr="009D4E09">
        <w:rPr>
          <w:rFonts w:cs="Arial"/>
          <w:szCs w:val="22"/>
        </w:rPr>
        <w:t xml:space="preserve"> </w:t>
      </w:r>
      <w:r w:rsidRPr="009D4E09">
        <w:rPr>
          <w:rFonts w:cs="Arial"/>
          <w:szCs w:val="22"/>
        </w:rPr>
        <w:t xml:space="preserve">The Council is currently debt </w:t>
      </w:r>
      <w:r w:rsidR="00E33A52" w:rsidRPr="009D4E09">
        <w:rPr>
          <w:rFonts w:cs="Arial"/>
          <w:szCs w:val="22"/>
        </w:rPr>
        <w:t>free;</w:t>
      </w:r>
      <w:r w:rsidRPr="009D4E09">
        <w:rPr>
          <w:rFonts w:cs="Arial"/>
          <w:szCs w:val="22"/>
        </w:rPr>
        <w:t xml:space="preserve"> </w:t>
      </w:r>
      <w:r w:rsidR="00B145A7" w:rsidRPr="009D4E09">
        <w:rPr>
          <w:rFonts w:cs="Arial"/>
          <w:szCs w:val="22"/>
        </w:rPr>
        <w:t xml:space="preserve">and is expected to continue to be so over the medium term.  It is </w:t>
      </w:r>
      <w:r w:rsidR="00EB13C1" w:rsidRPr="009D4E09">
        <w:rPr>
          <w:rFonts w:cs="Arial"/>
          <w:szCs w:val="22"/>
        </w:rPr>
        <w:t xml:space="preserve">anticipated </w:t>
      </w:r>
      <w:r w:rsidR="00B145A7" w:rsidRPr="009D4E09">
        <w:rPr>
          <w:rFonts w:cs="Arial"/>
          <w:szCs w:val="22"/>
        </w:rPr>
        <w:t xml:space="preserve">that the </w:t>
      </w:r>
      <w:r w:rsidRPr="009D4E09">
        <w:rPr>
          <w:rFonts w:cs="Arial"/>
          <w:szCs w:val="22"/>
        </w:rPr>
        <w:t>major project in South Oxhey</w:t>
      </w:r>
      <w:r w:rsidR="00B145A7" w:rsidRPr="009D4E09">
        <w:rPr>
          <w:rFonts w:cs="Arial"/>
          <w:szCs w:val="22"/>
        </w:rPr>
        <w:t xml:space="preserve"> will be internally funded; </w:t>
      </w:r>
    </w:p>
    <w:p w:rsidR="00445776" w:rsidRPr="009D4E09" w:rsidRDefault="00445776" w:rsidP="000E18B8">
      <w:pPr>
        <w:pStyle w:val="BodyText"/>
        <w:jc w:val="both"/>
        <w:rPr>
          <w:rFonts w:cs="Arial"/>
          <w:szCs w:val="22"/>
        </w:rPr>
      </w:pPr>
    </w:p>
    <w:p w:rsidR="000E18B8" w:rsidRPr="009D4E09" w:rsidRDefault="000E18B8" w:rsidP="000E18B8">
      <w:pPr>
        <w:pStyle w:val="BodyText"/>
        <w:outlineLvl w:val="0"/>
        <w:rPr>
          <w:rFonts w:cs="Arial"/>
          <w:b/>
          <w:szCs w:val="22"/>
        </w:rPr>
      </w:pPr>
      <w:r w:rsidRPr="009D4E09">
        <w:rPr>
          <w:rFonts w:cs="Arial"/>
          <w:b/>
          <w:szCs w:val="22"/>
        </w:rPr>
        <w:t>2.2</w:t>
      </w:r>
      <w:r w:rsidRPr="009D4E09">
        <w:rPr>
          <w:rFonts w:cs="Arial"/>
          <w:b/>
          <w:szCs w:val="22"/>
        </w:rPr>
        <w:tab/>
        <w:t xml:space="preserve">The Council’s Borrowing Need - The </w:t>
      </w:r>
      <w:smartTag w:uri="urn:schemas-microsoft-com:office:smarttags" w:element="PersonName">
        <w:r w:rsidRPr="009D4E09">
          <w:rPr>
            <w:rFonts w:cs="Arial"/>
            <w:b/>
            <w:szCs w:val="22"/>
          </w:rPr>
          <w:t>Capita</w:t>
        </w:r>
      </w:smartTag>
      <w:r w:rsidRPr="009D4E09">
        <w:rPr>
          <w:rFonts w:cs="Arial"/>
          <w:b/>
          <w:szCs w:val="22"/>
        </w:rPr>
        <w:t>l Financing Requirement (CFR)</w:t>
      </w:r>
    </w:p>
    <w:p w:rsidR="000E18B8" w:rsidRPr="009D4E09" w:rsidRDefault="000E18B8" w:rsidP="000E18B8">
      <w:pPr>
        <w:pStyle w:val="BodyText"/>
        <w:jc w:val="both"/>
        <w:rPr>
          <w:rFonts w:cs="Arial"/>
          <w:szCs w:val="22"/>
        </w:rPr>
      </w:pPr>
    </w:p>
    <w:p w:rsidR="000E18B8" w:rsidRPr="009D4E09" w:rsidRDefault="000E18B8" w:rsidP="000E18B8">
      <w:pPr>
        <w:pStyle w:val="BodyText"/>
        <w:jc w:val="both"/>
        <w:rPr>
          <w:rFonts w:cs="Arial"/>
          <w:szCs w:val="22"/>
        </w:rPr>
      </w:pPr>
      <w:r w:rsidRPr="009D4E09">
        <w:rPr>
          <w:rFonts w:cs="Arial"/>
          <w:szCs w:val="22"/>
        </w:rPr>
        <w:t xml:space="preserve">The CFR is simply the total historic outstanding capital expenditure which has not yet been paid for from either revenue or capital resources.  It is essentially a measure of the Council’s underlying borrowing need.  Any capital expenditure above, which has not immediately been paid for, will increase the CFR. </w:t>
      </w:r>
      <w:r w:rsidR="00EB13C1" w:rsidRPr="009D4E09">
        <w:rPr>
          <w:rFonts w:cs="Arial"/>
          <w:szCs w:val="22"/>
        </w:rPr>
        <w:t xml:space="preserve"> </w:t>
      </w:r>
      <w:r w:rsidR="00445776" w:rsidRPr="009D4E09">
        <w:rPr>
          <w:rFonts w:cs="Arial"/>
          <w:szCs w:val="22"/>
        </w:rPr>
        <w:t>Even though it is predicted to fund the South Oxhey project through internal funds, it will increase the CFR.</w:t>
      </w:r>
      <w:r w:rsidRPr="009D4E09">
        <w:rPr>
          <w:rFonts w:cs="Arial"/>
          <w:szCs w:val="22"/>
        </w:rPr>
        <w:t xml:space="preserve"> </w:t>
      </w:r>
      <w:r w:rsidR="00EB13C1" w:rsidRPr="009D4E09">
        <w:rPr>
          <w:rFonts w:cs="Arial"/>
          <w:szCs w:val="22"/>
        </w:rPr>
        <w:t xml:space="preserve"> </w:t>
      </w:r>
      <w:r w:rsidRPr="009D4E09">
        <w:rPr>
          <w:rFonts w:cs="Arial"/>
          <w:szCs w:val="22"/>
        </w:rPr>
        <w:t>Following accounting changes</w:t>
      </w:r>
      <w:r w:rsidR="00EB13C1" w:rsidRPr="009D4E09">
        <w:rPr>
          <w:rFonts w:cs="Arial"/>
          <w:szCs w:val="22"/>
        </w:rPr>
        <w:t>,</w:t>
      </w:r>
      <w:r w:rsidRPr="009D4E09">
        <w:rPr>
          <w:rFonts w:cs="Arial"/>
          <w:szCs w:val="22"/>
        </w:rPr>
        <w:t xml:space="preserve"> the CFR </w:t>
      </w:r>
      <w:r w:rsidR="00EB13C1" w:rsidRPr="009D4E09">
        <w:rPr>
          <w:rFonts w:cs="Arial"/>
          <w:szCs w:val="22"/>
        </w:rPr>
        <w:t xml:space="preserve">also </w:t>
      </w:r>
      <w:r w:rsidRPr="009D4E09">
        <w:rPr>
          <w:rFonts w:cs="Arial"/>
          <w:szCs w:val="22"/>
        </w:rPr>
        <w:t xml:space="preserve">includes any other long term liabilities (e.g. finance leases) </w:t>
      </w:r>
      <w:r w:rsidR="00EB13C1" w:rsidRPr="009D4E09">
        <w:rPr>
          <w:rFonts w:cs="Arial"/>
          <w:szCs w:val="22"/>
        </w:rPr>
        <w:t xml:space="preserve">that have been </w:t>
      </w:r>
      <w:r w:rsidRPr="009D4E09">
        <w:rPr>
          <w:rFonts w:cs="Arial"/>
          <w:szCs w:val="22"/>
        </w:rPr>
        <w:t xml:space="preserve">brought onto the balance sheet. </w:t>
      </w:r>
      <w:r w:rsidR="00EB13C1" w:rsidRPr="009D4E09">
        <w:rPr>
          <w:rFonts w:cs="Arial"/>
          <w:szCs w:val="22"/>
        </w:rPr>
        <w:t xml:space="preserve"> </w:t>
      </w:r>
      <w:r w:rsidRPr="009D4E09">
        <w:rPr>
          <w:rFonts w:cs="Arial"/>
          <w:szCs w:val="22"/>
        </w:rPr>
        <w:t xml:space="preserve">Whilst this increases the CFR, and therefore the Council’s borrowing requirement, these types of scheme include a borrowing facility and so the Council is not required to separately borrow for these schemes.  </w:t>
      </w:r>
    </w:p>
    <w:p w:rsidR="000E18B8" w:rsidRPr="009D4E09" w:rsidRDefault="000E18B8" w:rsidP="000E18B8">
      <w:pPr>
        <w:pStyle w:val="BodyText"/>
        <w:jc w:val="both"/>
        <w:rPr>
          <w:rFonts w:cs="Arial"/>
          <w:szCs w:val="22"/>
        </w:rPr>
      </w:pPr>
    </w:p>
    <w:p w:rsidR="000E18B8" w:rsidRPr="009D4E09" w:rsidRDefault="000E18B8" w:rsidP="00434847">
      <w:pPr>
        <w:pStyle w:val="BodyText"/>
        <w:jc w:val="both"/>
        <w:rPr>
          <w:rFonts w:cs="Arial"/>
        </w:rPr>
      </w:pPr>
      <w:r w:rsidRPr="009D4E09">
        <w:rPr>
          <w:rFonts w:cs="Arial"/>
        </w:rPr>
        <w:lastRenderedPageBreak/>
        <w:t>The Council is asked to approve the CFR projections below:</w:t>
      </w:r>
    </w:p>
    <w:p w:rsidR="00434847" w:rsidRPr="009D4E09" w:rsidRDefault="00434847" w:rsidP="00434847">
      <w:pPr>
        <w:pStyle w:val="BodyText"/>
        <w:jc w:val="both"/>
        <w:rPr>
          <w:rFonts w:cs="Arial"/>
          <w:color w:val="000000"/>
          <w:sz w:val="23"/>
          <w:szCs w:val="23"/>
          <w:lang w:eastAsia="en-GB"/>
        </w:rPr>
      </w:pP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260"/>
        <w:gridCol w:w="1260"/>
        <w:gridCol w:w="1260"/>
        <w:gridCol w:w="1260"/>
        <w:gridCol w:w="1260"/>
      </w:tblGrid>
      <w:tr w:rsidR="0072488A" w:rsidRPr="009D4E09" w:rsidTr="000352E9">
        <w:trPr>
          <w:trHeight w:val="888"/>
          <w:jc w:val="center"/>
        </w:trPr>
        <w:tc>
          <w:tcPr>
            <w:tcW w:w="2700" w:type="dxa"/>
            <w:shd w:val="clear" w:color="auto" w:fill="B3B3B3"/>
            <w:vAlign w:val="center"/>
          </w:tcPr>
          <w:p w:rsidR="0072488A" w:rsidRPr="009D4E09" w:rsidRDefault="0072488A" w:rsidP="000352E9">
            <w:pPr>
              <w:pStyle w:val="BodyText"/>
              <w:jc w:val="center"/>
              <w:rPr>
                <w:rFonts w:cs="Arial"/>
                <w:szCs w:val="22"/>
              </w:rPr>
            </w:pP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2015/16</w:t>
            </w:r>
          </w:p>
          <w:p w:rsidR="0072488A" w:rsidRPr="009D4E09" w:rsidRDefault="0072488A" w:rsidP="0072488A">
            <w:pPr>
              <w:pStyle w:val="BodyText"/>
              <w:jc w:val="center"/>
              <w:rPr>
                <w:rFonts w:cs="Arial"/>
                <w:b/>
                <w:bCs/>
                <w:szCs w:val="22"/>
              </w:rPr>
            </w:pPr>
            <w:r w:rsidRPr="009D4E09">
              <w:rPr>
                <w:rFonts w:cs="Arial"/>
                <w:b/>
                <w:bCs/>
                <w:szCs w:val="22"/>
              </w:rPr>
              <w:t>Actual</w:t>
            </w: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2016/17</w:t>
            </w:r>
          </w:p>
          <w:p w:rsidR="0072488A" w:rsidRPr="009D4E09" w:rsidRDefault="00EB13C1" w:rsidP="00EB13C1">
            <w:pPr>
              <w:pStyle w:val="BodyText"/>
              <w:jc w:val="center"/>
              <w:rPr>
                <w:rFonts w:cs="Arial"/>
                <w:b/>
                <w:bCs/>
                <w:szCs w:val="22"/>
              </w:rPr>
            </w:pPr>
            <w:r w:rsidRPr="009D4E09">
              <w:rPr>
                <w:rFonts w:cs="Arial"/>
                <w:b/>
                <w:bCs/>
                <w:szCs w:val="22"/>
              </w:rPr>
              <w:t>Forecast</w:t>
            </w: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2017/18</w:t>
            </w:r>
          </w:p>
          <w:p w:rsidR="0072488A" w:rsidRPr="009D4E09" w:rsidRDefault="0072488A" w:rsidP="0072488A">
            <w:pPr>
              <w:pStyle w:val="BodyText"/>
              <w:jc w:val="center"/>
              <w:rPr>
                <w:rFonts w:cs="Arial"/>
                <w:b/>
                <w:bCs/>
                <w:szCs w:val="22"/>
              </w:rPr>
            </w:pPr>
            <w:r w:rsidRPr="009D4E09">
              <w:rPr>
                <w:rFonts w:cs="Arial"/>
                <w:b/>
                <w:bCs/>
                <w:szCs w:val="22"/>
              </w:rPr>
              <w:t>Estimate</w:t>
            </w: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2018/19</w:t>
            </w:r>
          </w:p>
          <w:p w:rsidR="0072488A" w:rsidRPr="009D4E09" w:rsidRDefault="0072488A" w:rsidP="0072488A">
            <w:pPr>
              <w:pStyle w:val="BodyText"/>
              <w:jc w:val="center"/>
              <w:rPr>
                <w:rFonts w:cs="Arial"/>
                <w:b/>
                <w:bCs/>
                <w:szCs w:val="22"/>
              </w:rPr>
            </w:pPr>
            <w:r w:rsidRPr="009D4E09">
              <w:rPr>
                <w:rFonts w:cs="Arial"/>
                <w:b/>
                <w:bCs/>
                <w:szCs w:val="22"/>
              </w:rPr>
              <w:t>Estimate</w:t>
            </w:r>
          </w:p>
        </w:tc>
        <w:tc>
          <w:tcPr>
            <w:tcW w:w="1260" w:type="dxa"/>
            <w:shd w:val="clear" w:color="auto" w:fill="B3B3B3"/>
            <w:vAlign w:val="center"/>
          </w:tcPr>
          <w:p w:rsidR="0072488A" w:rsidRPr="009D4E09" w:rsidRDefault="0072488A" w:rsidP="000352E9">
            <w:pPr>
              <w:pStyle w:val="BodyText"/>
              <w:jc w:val="center"/>
              <w:rPr>
                <w:rFonts w:cs="Arial"/>
                <w:b/>
                <w:bCs/>
                <w:szCs w:val="22"/>
              </w:rPr>
            </w:pPr>
            <w:r w:rsidRPr="009D4E09">
              <w:rPr>
                <w:rFonts w:cs="Arial"/>
                <w:b/>
                <w:bCs/>
                <w:szCs w:val="22"/>
              </w:rPr>
              <w:t>2019/20</w:t>
            </w:r>
          </w:p>
          <w:p w:rsidR="0072488A" w:rsidRPr="009D4E09" w:rsidRDefault="0072488A" w:rsidP="000352E9">
            <w:pPr>
              <w:pStyle w:val="BodyText"/>
              <w:jc w:val="center"/>
              <w:rPr>
                <w:rFonts w:cs="Arial"/>
                <w:b/>
                <w:bCs/>
                <w:szCs w:val="22"/>
              </w:rPr>
            </w:pPr>
            <w:r w:rsidRPr="009D4E09">
              <w:rPr>
                <w:rFonts w:cs="Arial"/>
                <w:b/>
                <w:bCs/>
                <w:szCs w:val="22"/>
              </w:rPr>
              <w:t>Estimate</w:t>
            </w:r>
          </w:p>
        </w:tc>
      </w:tr>
      <w:tr w:rsidR="0072488A" w:rsidRPr="009D4E09" w:rsidTr="00DC0525">
        <w:trPr>
          <w:trHeight w:val="283"/>
          <w:jc w:val="center"/>
        </w:trPr>
        <w:tc>
          <w:tcPr>
            <w:tcW w:w="2700" w:type="dxa"/>
            <w:tcBorders>
              <w:bottom w:val="single" w:sz="4" w:space="0" w:color="auto"/>
            </w:tcBorders>
            <w:vAlign w:val="center"/>
          </w:tcPr>
          <w:p w:rsidR="0072488A" w:rsidRPr="009D4E09" w:rsidRDefault="0072488A" w:rsidP="000352E9">
            <w:pPr>
              <w:pStyle w:val="BodyText"/>
              <w:rPr>
                <w:rFonts w:cs="Arial"/>
                <w:szCs w:val="22"/>
              </w:rPr>
            </w:pPr>
            <w:r w:rsidRPr="009D4E09">
              <w:rPr>
                <w:rFonts w:cs="Arial"/>
                <w:bCs/>
                <w:szCs w:val="22"/>
              </w:rPr>
              <w:t>Total CFR</w:t>
            </w:r>
          </w:p>
        </w:tc>
        <w:tc>
          <w:tcPr>
            <w:tcW w:w="1260" w:type="dxa"/>
            <w:tcBorders>
              <w:bottom w:val="single" w:sz="4" w:space="0" w:color="auto"/>
            </w:tcBorders>
            <w:vAlign w:val="center"/>
          </w:tcPr>
          <w:p w:rsidR="0072488A" w:rsidRPr="009D4E09" w:rsidRDefault="0072488A" w:rsidP="000352E9">
            <w:pPr>
              <w:pStyle w:val="BodyText"/>
              <w:jc w:val="center"/>
              <w:rPr>
                <w:rFonts w:cs="Arial"/>
                <w:szCs w:val="22"/>
              </w:rPr>
            </w:pPr>
            <w:r w:rsidRPr="009D4E09">
              <w:rPr>
                <w:rFonts w:cs="Arial"/>
                <w:szCs w:val="22"/>
              </w:rPr>
              <w:t>£0M</w:t>
            </w:r>
          </w:p>
        </w:tc>
        <w:tc>
          <w:tcPr>
            <w:tcW w:w="1260" w:type="dxa"/>
            <w:tcBorders>
              <w:bottom w:val="single" w:sz="4" w:space="0" w:color="auto"/>
            </w:tcBorders>
            <w:vAlign w:val="center"/>
          </w:tcPr>
          <w:p w:rsidR="0072488A" w:rsidRPr="009D4E09" w:rsidRDefault="0072488A" w:rsidP="0072488A">
            <w:pPr>
              <w:pStyle w:val="BodyText"/>
              <w:jc w:val="center"/>
              <w:rPr>
                <w:rFonts w:cs="Arial"/>
                <w:szCs w:val="22"/>
              </w:rPr>
            </w:pPr>
            <w:r w:rsidRPr="009D4E09">
              <w:rPr>
                <w:rFonts w:cs="Arial"/>
                <w:szCs w:val="22"/>
              </w:rPr>
              <w:t>£1.4M</w:t>
            </w:r>
          </w:p>
        </w:tc>
        <w:tc>
          <w:tcPr>
            <w:tcW w:w="1260" w:type="dxa"/>
            <w:tcBorders>
              <w:bottom w:val="single" w:sz="4" w:space="0" w:color="auto"/>
            </w:tcBorders>
            <w:vAlign w:val="center"/>
          </w:tcPr>
          <w:p w:rsidR="0072488A" w:rsidRPr="009D4E09" w:rsidRDefault="0072488A" w:rsidP="0072488A">
            <w:pPr>
              <w:pStyle w:val="BodyText"/>
              <w:jc w:val="center"/>
              <w:rPr>
                <w:rFonts w:cs="Arial"/>
                <w:szCs w:val="22"/>
              </w:rPr>
            </w:pPr>
            <w:r w:rsidRPr="009D4E09">
              <w:rPr>
                <w:rFonts w:cs="Arial"/>
                <w:szCs w:val="22"/>
              </w:rPr>
              <w:t>£4.7M</w:t>
            </w:r>
          </w:p>
        </w:tc>
        <w:tc>
          <w:tcPr>
            <w:tcW w:w="1260" w:type="dxa"/>
            <w:tcBorders>
              <w:bottom w:val="single" w:sz="4" w:space="0" w:color="auto"/>
            </w:tcBorders>
            <w:vAlign w:val="center"/>
          </w:tcPr>
          <w:p w:rsidR="0072488A" w:rsidRPr="009D4E09" w:rsidRDefault="0072488A" w:rsidP="0072488A">
            <w:pPr>
              <w:pStyle w:val="BodyText"/>
              <w:jc w:val="center"/>
              <w:rPr>
                <w:rFonts w:cs="Arial"/>
                <w:szCs w:val="22"/>
              </w:rPr>
            </w:pPr>
            <w:r w:rsidRPr="009D4E09">
              <w:rPr>
                <w:rFonts w:cs="Arial"/>
                <w:szCs w:val="22"/>
              </w:rPr>
              <w:t>£1.2M</w:t>
            </w:r>
          </w:p>
        </w:tc>
        <w:tc>
          <w:tcPr>
            <w:tcW w:w="1260" w:type="dxa"/>
            <w:tcBorders>
              <w:bottom w:val="single" w:sz="4" w:space="0" w:color="auto"/>
            </w:tcBorders>
            <w:vAlign w:val="center"/>
          </w:tcPr>
          <w:p w:rsidR="0072488A" w:rsidRPr="009D4E09" w:rsidRDefault="0072488A" w:rsidP="000352E9">
            <w:pPr>
              <w:pStyle w:val="BodyText"/>
              <w:jc w:val="center"/>
              <w:rPr>
                <w:rFonts w:cs="Arial"/>
                <w:szCs w:val="22"/>
              </w:rPr>
            </w:pPr>
            <w:r w:rsidRPr="009D4E09">
              <w:rPr>
                <w:rFonts w:cs="Arial"/>
                <w:szCs w:val="22"/>
                <w:highlight w:val="yellow"/>
              </w:rPr>
              <w:t>£1.2M</w:t>
            </w:r>
          </w:p>
        </w:tc>
      </w:tr>
    </w:tbl>
    <w:p w:rsidR="00EB13C1" w:rsidRPr="009D4E09" w:rsidRDefault="00EB13C1" w:rsidP="000E18B8">
      <w:pPr>
        <w:pStyle w:val="BodyText"/>
        <w:outlineLvl w:val="0"/>
        <w:rPr>
          <w:rFonts w:cs="Arial"/>
          <w:b/>
          <w:szCs w:val="22"/>
        </w:rPr>
      </w:pPr>
    </w:p>
    <w:p w:rsidR="000E18B8" w:rsidRPr="009D4E09" w:rsidRDefault="000E18B8" w:rsidP="000E18B8">
      <w:pPr>
        <w:pStyle w:val="BodyText"/>
        <w:outlineLvl w:val="0"/>
        <w:rPr>
          <w:rFonts w:cs="Arial"/>
          <w:b/>
          <w:szCs w:val="22"/>
        </w:rPr>
      </w:pPr>
      <w:r w:rsidRPr="009D4E09">
        <w:rPr>
          <w:rFonts w:cs="Arial"/>
          <w:b/>
          <w:szCs w:val="22"/>
        </w:rPr>
        <w:t>2.3</w:t>
      </w:r>
      <w:r w:rsidRPr="009D4E09">
        <w:rPr>
          <w:rFonts w:cs="Arial"/>
          <w:b/>
          <w:szCs w:val="22"/>
        </w:rPr>
        <w:tab/>
        <w:t>Minimum Revenue Provision (MRP) Strategy and Policy Statement</w:t>
      </w:r>
    </w:p>
    <w:p w:rsidR="000E18B8" w:rsidRPr="009D4E09" w:rsidRDefault="000E18B8" w:rsidP="000E18B8">
      <w:pPr>
        <w:pStyle w:val="BodyText"/>
        <w:jc w:val="both"/>
        <w:rPr>
          <w:rFonts w:cs="Arial"/>
          <w:szCs w:val="22"/>
        </w:rPr>
      </w:pPr>
    </w:p>
    <w:p w:rsidR="000E18B8" w:rsidRPr="009D4E09" w:rsidRDefault="000E18B8" w:rsidP="000E18B8">
      <w:pPr>
        <w:pStyle w:val="BodyText"/>
        <w:jc w:val="both"/>
        <w:rPr>
          <w:rFonts w:cs="Arial"/>
          <w:szCs w:val="22"/>
        </w:rPr>
      </w:pPr>
      <w:r w:rsidRPr="009D4E09">
        <w:rPr>
          <w:rFonts w:cs="Arial"/>
          <w:szCs w:val="22"/>
        </w:rPr>
        <w:t xml:space="preserve">The Council is required to pay off an element of the accumulated General Fund capital spend each year (the CFR) through a revenue charge (the minimum revenue provision - MRP), although it is also allowed to undertake additional voluntary payments if required (voluntary revenue provision - VRP).  </w:t>
      </w:r>
    </w:p>
    <w:p w:rsidR="000E18B8" w:rsidRPr="009D4E09" w:rsidRDefault="000E18B8" w:rsidP="000E18B8">
      <w:pPr>
        <w:pStyle w:val="BodyText"/>
        <w:jc w:val="both"/>
        <w:rPr>
          <w:rFonts w:cs="Arial"/>
          <w:szCs w:val="22"/>
        </w:rPr>
      </w:pPr>
    </w:p>
    <w:p w:rsidR="000E18B8" w:rsidRPr="009D4E09" w:rsidRDefault="000E18B8" w:rsidP="000E18B8">
      <w:pPr>
        <w:pStyle w:val="BodyText"/>
        <w:jc w:val="both"/>
        <w:rPr>
          <w:rFonts w:cs="Arial"/>
          <w:szCs w:val="22"/>
        </w:rPr>
      </w:pPr>
      <w:r w:rsidRPr="009D4E09">
        <w:rPr>
          <w:rFonts w:cs="Arial"/>
          <w:szCs w:val="22"/>
        </w:rPr>
        <w:t>Communities and Local Government Regulations require the Council to approve an MRP Statement in advance of each year.</w:t>
      </w:r>
      <w:r w:rsidR="00445776" w:rsidRPr="009D4E09">
        <w:rPr>
          <w:rFonts w:cs="Arial"/>
          <w:szCs w:val="22"/>
        </w:rPr>
        <w:t xml:space="preserve"> </w:t>
      </w:r>
      <w:r w:rsidR="00EB13C1" w:rsidRPr="009D4E09">
        <w:rPr>
          <w:rFonts w:cs="Arial"/>
          <w:szCs w:val="22"/>
        </w:rPr>
        <w:t xml:space="preserve"> </w:t>
      </w:r>
      <w:r w:rsidR="00445776" w:rsidRPr="009D4E09">
        <w:rPr>
          <w:rFonts w:cs="Arial"/>
          <w:szCs w:val="22"/>
        </w:rPr>
        <w:t>Although the South Oxhey Project results in a positive CFR it is recommended that MRP is not applied to this scheme as the project is short</w:t>
      </w:r>
      <w:r w:rsidR="00EB13C1" w:rsidRPr="009D4E09">
        <w:rPr>
          <w:rFonts w:cs="Arial"/>
          <w:szCs w:val="22"/>
        </w:rPr>
        <w:t>-</w:t>
      </w:r>
      <w:r w:rsidR="00445776" w:rsidRPr="009D4E09">
        <w:rPr>
          <w:rFonts w:cs="Arial"/>
          <w:szCs w:val="22"/>
        </w:rPr>
        <w:t>dated</w:t>
      </w:r>
      <w:r w:rsidR="00EB13C1" w:rsidRPr="009D4E09">
        <w:rPr>
          <w:rFonts w:cs="Arial"/>
          <w:szCs w:val="22"/>
        </w:rPr>
        <w:t xml:space="preserve">, is expected to generate a receipt to cover any financing costs and is mainly </w:t>
      </w:r>
      <w:r w:rsidR="00445776" w:rsidRPr="009D4E09">
        <w:rPr>
          <w:rFonts w:cs="Arial"/>
          <w:szCs w:val="22"/>
        </w:rPr>
        <w:t>improving works, rather than a capital scheme which will depreciate over time</w:t>
      </w:r>
      <w:r w:rsidR="00EB13C1" w:rsidRPr="009D4E09">
        <w:rPr>
          <w:rFonts w:cs="Arial"/>
          <w:szCs w:val="22"/>
        </w:rPr>
        <w:t>;</w:t>
      </w:r>
      <w:r w:rsidR="00445776" w:rsidRPr="009D4E09">
        <w:rPr>
          <w:rFonts w:cs="Arial"/>
          <w:szCs w:val="22"/>
        </w:rPr>
        <w:t xml:space="preserve"> therefore the Council </w:t>
      </w:r>
      <w:r w:rsidRPr="009D4E09">
        <w:rPr>
          <w:rFonts w:cs="Arial"/>
          <w:szCs w:val="22"/>
        </w:rPr>
        <w:t>will not be making a Minimum Revenue Provision</w:t>
      </w:r>
      <w:r w:rsidR="00EB13C1" w:rsidRPr="009D4E09">
        <w:rPr>
          <w:rFonts w:cs="Arial"/>
          <w:szCs w:val="22"/>
        </w:rPr>
        <w:t xml:space="preserve"> for this scheme</w:t>
      </w:r>
      <w:r w:rsidRPr="009D4E09">
        <w:rPr>
          <w:rFonts w:cs="Arial"/>
          <w:szCs w:val="22"/>
        </w:rPr>
        <w:t xml:space="preserve">. </w:t>
      </w:r>
    </w:p>
    <w:p w:rsidR="007678A8" w:rsidRPr="009D4E09" w:rsidRDefault="007678A8" w:rsidP="000E18B8">
      <w:pPr>
        <w:pStyle w:val="BodyText"/>
        <w:jc w:val="both"/>
        <w:rPr>
          <w:rFonts w:cs="Arial"/>
          <w:szCs w:val="22"/>
          <w:highlight w:val="yellow"/>
        </w:rPr>
      </w:pPr>
    </w:p>
    <w:p w:rsidR="000E18B8" w:rsidRPr="009D4E09" w:rsidRDefault="000E18B8" w:rsidP="000E18B8">
      <w:pPr>
        <w:pStyle w:val="BodyText"/>
        <w:outlineLvl w:val="0"/>
        <w:rPr>
          <w:rFonts w:cs="Arial"/>
          <w:b/>
          <w:szCs w:val="22"/>
        </w:rPr>
      </w:pPr>
      <w:r w:rsidRPr="009D4E09">
        <w:rPr>
          <w:rFonts w:cs="Arial"/>
          <w:b/>
          <w:szCs w:val="22"/>
        </w:rPr>
        <w:t>2.4</w:t>
      </w:r>
      <w:r w:rsidRPr="009D4E09">
        <w:rPr>
          <w:rFonts w:cs="Arial"/>
          <w:b/>
          <w:szCs w:val="22"/>
        </w:rPr>
        <w:tab/>
      </w:r>
      <w:r w:rsidRPr="009D4E09">
        <w:rPr>
          <w:rFonts w:cs="Arial"/>
          <w:b/>
          <w:bCs/>
          <w:szCs w:val="22"/>
        </w:rPr>
        <w:t>The Use of the Council’s Resources and the Investment Position</w:t>
      </w:r>
    </w:p>
    <w:p w:rsidR="000E18B8" w:rsidRPr="009D4E09" w:rsidRDefault="000E18B8" w:rsidP="000E18B8">
      <w:pPr>
        <w:pStyle w:val="BodyText"/>
        <w:jc w:val="both"/>
        <w:rPr>
          <w:rFonts w:cs="Arial"/>
          <w:b/>
          <w:bCs/>
          <w:szCs w:val="22"/>
        </w:rPr>
      </w:pPr>
    </w:p>
    <w:p w:rsidR="000E18B8" w:rsidRPr="009D4E09" w:rsidRDefault="000E18B8" w:rsidP="000E18B8">
      <w:pPr>
        <w:pStyle w:val="BodyText"/>
        <w:jc w:val="both"/>
        <w:rPr>
          <w:rFonts w:cs="Arial"/>
        </w:rPr>
      </w:pPr>
      <w:r w:rsidRPr="009D4E09">
        <w:rPr>
          <w:rFonts w:cs="Arial"/>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etc). </w:t>
      </w:r>
    </w:p>
    <w:p w:rsidR="000E18B8" w:rsidRPr="009D4E09" w:rsidRDefault="000E18B8" w:rsidP="000E18B8">
      <w:pPr>
        <w:rPr>
          <w:rFonts w:cs="Arial"/>
          <w:b/>
          <w:noProof/>
          <w:sz w:val="22"/>
          <w:szCs w:val="22"/>
        </w:rPr>
      </w:pPr>
    </w:p>
    <w:p w:rsidR="000E18B8" w:rsidRPr="009D4E09" w:rsidRDefault="000E18B8" w:rsidP="000E18B8">
      <w:pPr>
        <w:jc w:val="both"/>
        <w:outlineLvl w:val="0"/>
        <w:rPr>
          <w:rFonts w:cs="Arial"/>
          <w:b/>
          <w:noProof/>
          <w:sz w:val="22"/>
          <w:szCs w:val="22"/>
        </w:rPr>
      </w:pPr>
      <w:r w:rsidRPr="009D4E09">
        <w:rPr>
          <w:rFonts w:cs="Arial"/>
          <w:b/>
          <w:noProof/>
          <w:sz w:val="22"/>
          <w:szCs w:val="22"/>
        </w:rPr>
        <w:t>3.0</w:t>
      </w:r>
      <w:r w:rsidRPr="009D4E09">
        <w:rPr>
          <w:rFonts w:cs="Arial"/>
          <w:b/>
          <w:noProof/>
          <w:sz w:val="22"/>
          <w:szCs w:val="22"/>
        </w:rPr>
        <w:tab/>
        <w:t xml:space="preserve">Treasury Management </w:t>
      </w:r>
      <w:r w:rsidRPr="009D4E09">
        <w:rPr>
          <w:rFonts w:cs="Arial"/>
          <w:b/>
          <w:bCs/>
          <w:noProof/>
          <w:sz w:val="22"/>
          <w:szCs w:val="22"/>
        </w:rPr>
        <w:t>Strategy</w:t>
      </w:r>
    </w:p>
    <w:p w:rsidR="000E18B8" w:rsidRPr="009D4E09" w:rsidRDefault="000E18B8" w:rsidP="000E18B8">
      <w:pPr>
        <w:tabs>
          <w:tab w:val="left" w:pos="540"/>
        </w:tabs>
        <w:ind w:left="360"/>
        <w:rPr>
          <w:rFonts w:cs="Arial"/>
          <w:bCs/>
          <w:noProof/>
          <w:sz w:val="22"/>
          <w:szCs w:val="22"/>
        </w:rPr>
      </w:pPr>
    </w:p>
    <w:p w:rsidR="000E18B8" w:rsidRPr="009D4E09" w:rsidRDefault="000E18B8" w:rsidP="000E18B8">
      <w:pPr>
        <w:pStyle w:val="BodyText"/>
        <w:jc w:val="both"/>
        <w:rPr>
          <w:rFonts w:cs="Arial"/>
          <w:szCs w:val="22"/>
        </w:rPr>
      </w:pPr>
      <w:r w:rsidRPr="009D4E09">
        <w:rPr>
          <w:rFonts w:cs="Arial"/>
          <w:szCs w:val="22"/>
        </w:rPr>
        <w:t xml:space="preserve">The treasury management strategy is an important part of the overall financial management of the Council’s affairs. The prudential indicators consider the affordability and impact of capital expenditure decisions, and set out the Council’s overall capital framework.  The treasury service considers the effective funding of these decisions. </w:t>
      </w:r>
      <w:r w:rsidR="00EB13C1" w:rsidRPr="009D4E09">
        <w:rPr>
          <w:rFonts w:cs="Arial"/>
          <w:szCs w:val="22"/>
        </w:rPr>
        <w:t xml:space="preserve"> </w:t>
      </w:r>
      <w:r w:rsidRPr="009D4E09">
        <w:rPr>
          <w:rFonts w:cs="Arial"/>
          <w:szCs w:val="22"/>
        </w:rPr>
        <w:t xml:space="preserve">Together they form part of the process which ensures the Council meets its balanced budget requirement under the Local Government Finance Act 1992. </w:t>
      </w:r>
    </w:p>
    <w:p w:rsidR="000E18B8" w:rsidRPr="009D4E09" w:rsidRDefault="000E18B8" w:rsidP="000E18B8">
      <w:pPr>
        <w:pStyle w:val="BodyText"/>
        <w:jc w:val="both"/>
        <w:rPr>
          <w:rFonts w:cs="Arial"/>
          <w:szCs w:val="22"/>
        </w:rPr>
      </w:pPr>
      <w:r w:rsidRPr="009D4E09">
        <w:rPr>
          <w:rFonts w:cs="Arial"/>
          <w:szCs w:val="22"/>
        </w:rPr>
        <w:t xml:space="preserve">The Council’s treasury activities are regulated by statutory requirements and the CIPFA Code of Practice on Treasury Management. </w:t>
      </w:r>
      <w:r w:rsidR="00EB13C1" w:rsidRPr="009D4E09">
        <w:rPr>
          <w:rFonts w:cs="Arial"/>
          <w:szCs w:val="22"/>
        </w:rPr>
        <w:t xml:space="preserve"> </w:t>
      </w:r>
      <w:r w:rsidRPr="009D4E09">
        <w:rPr>
          <w:rFonts w:cs="Arial"/>
          <w:szCs w:val="22"/>
        </w:rPr>
        <w:t xml:space="preserve">The Council has adopted a Treasury Management Policy Statement in accordance with the code of practice. </w:t>
      </w:r>
    </w:p>
    <w:p w:rsidR="000E18B8" w:rsidRPr="009D4E09" w:rsidRDefault="000E18B8" w:rsidP="000E18B8">
      <w:pPr>
        <w:pStyle w:val="BodyText"/>
        <w:jc w:val="both"/>
        <w:rPr>
          <w:rFonts w:cs="Arial"/>
          <w:szCs w:val="22"/>
        </w:rPr>
      </w:pPr>
      <w:r w:rsidRPr="009D4E09">
        <w:rPr>
          <w:rFonts w:cs="Arial"/>
          <w:szCs w:val="22"/>
        </w:rPr>
        <w:t xml:space="preserve"> </w:t>
      </w:r>
    </w:p>
    <w:p w:rsidR="000E18B8" w:rsidRPr="009D4E09" w:rsidRDefault="000E18B8" w:rsidP="000E18B8">
      <w:pPr>
        <w:pStyle w:val="BodyText"/>
        <w:tabs>
          <w:tab w:val="left" w:pos="540"/>
        </w:tabs>
        <w:rPr>
          <w:rFonts w:cs="Arial"/>
          <w:szCs w:val="22"/>
        </w:rPr>
      </w:pPr>
      <w:r w:rsidRPr="009D4E09">
        <w:rPr>
          <w:rFonts w:cs="Arial"/>
          <w:szCs w:val="22"/>
        </w:rPr>
        <w:t xml:space="preserve">The Constitution requires a strategy to be reported to Council outlining the expected treasury activity for the forthcoming 3 years. </w:t>
      </w:r>
      <w:r w:rsidR="00EB13C1" w:rsidRPr="009D4E09">
        <w:rPr>
          <w:rFonts w:cs="Arial"/>
          <w:szCs w:val="22"/>
        </w:rPr>
        <w:t xml:space="preserve"> </w:t>
      </w:r>
      <w:r w:rsidRPr="009D4E09">
        <w:rPr>
          <w:rFonts w:cs="Arial"/>
          <w:szCs w:val="22"/>
        </w:rPr>
        <w:t xml:space="preserve">A key requirement is to explain the risks associated with the treasury service. </w:t>
      </w:r>
      <w:r w:rsidR="00EB13C1" w:rsidRPr="009D4E09">
        <w:rPr>
          <w:rFonts w:cs="Arial"/>
          <w:szCs w:val="22"/>
        </w:rPr>
        <w:t xml:space="preserve"> </w:t>
      </w:r>
      <w:r w:rsidRPr="009D4E09">
        <w:rPr>
          <w:rFonts w:cs="Arial"/>
          <w:szCs w:val="22"/>
        </w:rPr>
        <w:t xml:space="preserve">Further treasury reports are produced after the year-end to report on actual activity for the year and a mid-year monitoring update. </w:t>
      </w:r>
      <w:r w:rsidR="00EB13C1" w:rsidRPr="009D4E09">
        <w:rPr>
          <w:rFonts w:cs="Arial"/>
          <w:szCs w:val="22"/>
        </w:rPr>
        <w:t xml:space="preserve"> </w:t>
      </w:r>
      <w:r w:rsidRPr="009D4E09">
        <w:rPr>
          <w:rFonts w:cs="Arial"/>
          <w:szCs w:val="22"/>
        </w:rPr>
        <w:t>This strategy covers:</w:t>
      </w:r>
    </w:p>
    <w:p w:rsidR="00BF3D55" w:rsidRPr="009D4E09" w:rsidRDefault="00BF3D55" w:rsidP="000E18B8">
      <w:pPr>
        <w:pStyle w:val="BodyText"/>
        <w:tabs>
          <w:tab w:val="left" w:pos="540"/>
        </w:tabs>
        <w:rPr>
          <w:rFonts w:cs="Arial"/>
          <w:szCs w:val="22"/>
        </w:rPr>
      </w:pP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szCs w:val="22"/>
        </w:rPr>
        <w:t>The current portfolio position;</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rPr>
        <w:t>The borrowing strategy;</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rPr>
        <w:t>Annual investment strategy;</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szCs w:val="22"/>
        </w:rPr>
        <w:t xml:space="preserve">Specific limits on treasury activities; </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szCs w:val="22"/>
        </w:rPr>
        <w:t>Treasury performance indicators;</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rPr>
        <w:t xml:space="preserve">Reporting requirements; </w:t>
      </w:r>
    </w:p>
    <w:p w:rsidR="000E18B8" w:rsidRPr="009D4E09" w:rsidRDefault="000E18B8" w:rsidP="000E18B8">
      <w:pPr>
        <w:pStyle w:val="BodyText"/>
        <w:numPr>
          <w:ilvl w:val="0"/>
          <w:numId w:val="30"/>
        </w:numPr>
        <w:tabs>
          <w:tab w:val="clear" w:pos="1080"/>
          <w:tab w:val="left" w:pos="540"/>
          <w:tab w:val="num" w:pos="900"/>
        </w:tabs>
        <w:ind w:left="767"/>
        <w:jc w:val="both"/>
        <w:rPr>
          <w:rFonts w:cs="Arial"/>
          <w:szCs w:val="22"/>
        </w:rPr>
      </w:pPr>
      <w:r w:rsidRPr="009D4E09">
        <w:rPr>
          <w:rFonts w:cs="Arial"/>
        </w:rPr>
        <w:t xml:space="preserve">Policy on use of external service providers; </w:t>
      </w:r>
    </w:p>
    <w:p w:rsidR="000E18B8" w:rsidRPr="009D4E09" w:rsidRDefault="000E18B8" w:rsidP="000E18B8">
      <w:pPr>
        <w:pStyle w:val="BodyText"/>
        <w:numPr>
          <w:ilvl w:val="0"/>
          <w:numId w:val="30"/>
        </w:numPr>
        <w:tabs>
          <w:tab w:val="clear" w:pos="1080"/>
          <w:tab w:val="num" w:pos="900"/>
        </w:tabs>
        <w:ind w:left="767"/>
        <w:jc w:val="both"/>
        <w:rPr>
          <w:rFonts w:cs="Arial"/>
          <w:szCs w:val="22"/>
        </w:rPr>
      </w:pPr>
      <w:r w:rsidRPr="009D4E09">
        <w:rPr>
          <w:rFonts w:cs="Arial"/>
          <w:szCs w:val="22"/>
        </w:rPr>
        <w:t>Training of Officers and Members.</w:t>
      </w:r>
    </w:p>
    <w:p w:rsidR="000E18B8" w:rsidRPr="009D4E09" w:rsidRDefault="000E18B8" w:rsidP="000E18B8">
      <w:pPr>
        <w:pStyle w:val="BodyText"/>
        <w:tabs>
          <w:tab w:val="left" w:pos="540"/>
        </w:tabs>
        <w:ind w:left="540"/>
        <w:jc w:val="both"/>
        <w:rPr>
          <w:rFonts w:cs="Arial"/>
          <w:szCs w:val="22"/>
        </w:rPr>
      </w:pPr>
    </w:p>
    <w:p w:rsidR="000E18B8" w:rsidRPr="009D4E09" w:rsidRDefault="000E18B8" w:rsidP="000E18B8">
      <w:pPr>
        <w:numPr>
          <w:ilvl w:val="12"/>
          <w:numId w:val="0"/>
        </w:numPr>
        <w:tabs>
          <w:tab w:val="left" w:pos="360"/>
        </w:tabs>
        <w:jc w:val="both"/>
        <w:rPr>
          <w:rFonts w:cs="Arial"/>
          <w:noProof/>
          <w:sz w:val="22"/>
          <w:szCs w:val="22"/>
        </w:rPr>
      </w:pPr>
      <w:r w:rsidRPr="009D4E09">
        <w:rPr>
          <w:rFonts w:cs="Arial"/>
          <w:noProof/>
          <w:sz w:val="22"/>
          <w:szCs w:val="22"/>
        </w:rPr>
        <w:t>The treasury management function ensures that the Council’s cash is organised in accordance with the relevant professional codes, so that sufficient cash is available to meet this service delivery</w:t>
      </w:r>
      <w:r w:rsidR="007A65E6" w:rsidRPr="009D4E09">
        <w:rPr>
          <w:rFonts w:cs="Arial"/>
          <w:noProof/>
          <w:sz w:val="22"/>
          <w:szCs w:val="22"/>
        </w:rPr>
        <w:t>.</w:t>
      </w:r>
      <w:r w:rsidR="00EB13C1" w:rsidRPr="009D4E09">
        <w:rPr>
          <w:rFonts w:cs="Arial"/>
          <w:noProof/>
          <w:sz w:val="22"/>
          <w:szCs w:val="22"/>
        </w:rPr>
        <w:t xml:space="preserve">  </w:t>
      </w:r>
      <w:r w:rsidRPr="009D4E09">
        <w:rPr>
          <w:rFonts w:cs="Arial"/>
          <w:noProof/>
          <w:sz w:val="22"/>
          <w:szCs w:val="22"/>
        </w:rPr>
        <w:t xml:space="preserve">This will involve the organisation of both cash flow and </w:t>
      </w:r>
      <w:r w:rsidR="00EB13C1" w:rsidRPr="009D4E09">
        <w:rPr>
          <w:rFonts w:cs="Arial"/>
          <w:noProof/>
          <w:sz w:val="22"/>
          <w:szCs w:val="22"/>
        </w:rPr>
        <w:t xml:space="preserve">the use </w:t>
      </w:r>
      <w:r w:rsidRPr="009D4E09">
        <w:rPr>
          <w:rFonts w:cs="Arial"/>
          <w:noProof/>
          <w:sz w:val="22"/>
          <w:szCs w:val="22"/>
        </w:rPr>
        <w:t xml:space="preserve">of approporiate </w:t>
      </w:r>
      <w:r w:rsidR="00EB13C1" w:rsidRPr="009D4E09">
        <w:rPr>
          <w:rFonts w:cs="Arial"/>
          <w:noProof/>
          <w:sz w:val="22"/>
          <w:szCs w:val="22"/>
        </w:rPr>
        <w:t xml:space="preserve">short-term </w:t>
      </w:r>
      <w:r w:rsidRPr="009D4E09">
        <w:rPr>
          <w:rFonts w:cs="Arial"/>
          <w:noProof/>
          <w:sz w:val="22"/>
          <w:szCs w:val="22"/>
        </w:rPr>
        <w:t xml:space="preserve">borrowing </w:t>
      </w:r>
      <w:r w:rsidRPr="009D4E09">
        <w:rPr>
          <w:rFonts w:cs="Arial"/>
          <w:noProof/>
          <w:sz w:val="22"/>
          <w:szCs w:val="22"/>
        </w:rPr>
        <w:lastRenderedPageBreak/>
        <w:t xml:space="preserve">facilities if required. </w:t>
      </w:r>
      <w:r w:rsidR="00EB13C1" w:rsidRPr="009D4E09">
        <w:rPr>
          <w:rFonts w:cs="Arial"/>
          <w:noProof/>
          <w:sz w:val="22"/>
          <w:szCs w:val="22"/>
        </w:rPr>
        <w:t xml:space="preserve"> </w:t>
      </w:r>
      <w:r w:rsidRPr="009D4E09">
        <w:rPr>
          <w:rFonts w:cs="Arial"/>
          <w:noProof/>
          <w:sz w:val="22"/>
          <w:szCs w:val="22"/>
        </w:rPr>
        <w:t>The strategy covers the relevant treasury prudential indicators, the current and projected debt positions and the annual investment strategy.</w:t>
      </w:r>
    </w:p>
    <w:p w:rsidR="000E18B8" w:rsidRPr="009D4E09" w:rsidRDefault="000E18B8" w:rsidP="000E18B8">
      <w:pPr>
        <w:rPr>
          <w:rFonts w:cs="Arial"/>
          <w:b/>
          <w:bCs/>
          <w:noProof/>
          <w:sz w:val="22"/>
          <w:szCs w:val="22"/>
        </w:rPr>
      </w:pPr>
      <w:r w:rsidRPr="009D4E09">
        <w:rPr>
          <w:rFonts w:cs="Arial"/>
          <w:b/>
          <w:bCs/>
          <w:noProof/>
          <w:sz w:val="22"/>
          <w:szCs w:val="22"/>
        </w:rPr>
        <w:t>3.1</w:t>
      </w:r>
      <w:r w:rsidRPr="009D4E09">
        <w:rPr>
          <w:rFonts w:cs="Arial"/>
          <w:b/>
          <w:bCs/>
          <w:noProof/>
          <w:sz w:val="22"/>
          <w:szCs w:val="22"/>
        </w:rPr>
        <w:tab/>
        <w:t>Current Portfolio Position</w:t>
      </w:r>
    </w:p>
    <w:p w:rsidR="000E18B8" w:rsidRPr="009D4E09" w:rsidRDefault="000E18B8" w:rsidP="000E18B8">
      <w:pPr>
        <w:ind w:left="360"/>
        <w:rPr>
          <w:rFonts w:cs="Arial"/>
          <w:bCs/>
          <w:noProof/>
          <w:sz w:val="22"/>
          <w:szCs w:val="22"/>
        </w:rPr>
      </w:pPr>
    </w:p>
    <w:p w:rsidR="000E18B8" w:rsidRPr="009D4E09" w:rsidRDefault="000E18B8" w:rsidP="000E18B8">
      <w:pPr>
        <w:widowControl w:val="0"/>
        <w:numPr>
          <w:ilvl w:val="12"/>
          <w:numId w:val="0"/>
        </w:numPr>
        <w:jc w:val="both"/>
        <w:rPr>
          <w:rFonts w:cs="Arial"/>
          <w:bCs/>
          <w:noProof/>
          <w:sz w:val="22"/>
          <w:szCs w:val="22"/>
        </w:rPr>
      </w:pPr>
      <w:r w:rsidRPr="009D4E09">
        <w:rPr>
          <w:rFonts w:cs="Arial"/>
          <w:bCs/>
          <w:noProof/>
          <w:sz w:val="22"/>
          <w:szCs w:val="22"/>
        </w:rPr>
        <w:t>The</w:t>
      </w:r>
      <w:r w:rsidR="00F335D2" w:rsidRPr="009D4E09">
        <w:rPr>
          <w:rFonts w:cs="Arial"/>
          <w:bCs/>
          <w:noProof/>
          <w:sz w:val="22"/>
          <w:szCs w:val="22"/>
        </w:rPr>
        <w:t xml:space="preserve"> table below shows the</w:t>
      </w:r>
      <w:r w:rsidRPr="009D4E09">
        <w:rPr>
          <w:rFonts w:cs="Arial"/>
          <w:bCs/>
          <w:noProof/>
          <w:sz w:val="22"/>
          <w:szCs w:val="22"/>
        </w:rPr>
        <w:t xml:space="preserve"> Council’s treasury portfolio position </w:t>
      </w:r>
      <w:r w:rsidRPr="009D4E09">
        <w:rPr>
          <w:rFonts w:cs="Arial"/>
          <w:bCs/>
          <w:noProof/>
          <w:sz w:val="22"/>
          <w:szCs w:val="22"/>
          <w:highlight w:val="yellow"/>
        </w:rPr>
        <w:t>at 31 December 201</w:t>
      </w:r>
      <w:r w:rsidR="005740EB" w:rsidRPr="009D4E09">
        <w:rPr>
          <w:rFonts w:cs="Arial"/>
          <w:bCs/>
          <w:noProof/>
          <w:sz w:val="22"/>
          <w:szCs w:val="22"/>
          <w:highlight w:val="yellow"/>
        </w:rPr>
        <w:t>5</w:t>
      </w:r>
      <w:r w:rsidR="00F335D2" w:rsidRPr="009D4E09">
        <w:rPr>
          <w:rFonts w:cs="Arial"/>
          <w:bCs/>
          <w:noProof/>
          <w:sz w:val="22"/>
          <w:szCs w:val="22"/>
          <w:highlight w:val="yellow"/>
        </w:rPr>
        <w:t>.</w:t>
      </w:r>
      <w:r w:rsidR="00F335D2" w:rsidRPr="009D4E09">
        <w:rPr>
          <w:rFonts w:cs="Arial"/>
          <w:bCs/>
          <w:noProof/>
          <w:sz w:val="22"/>
          <w:szCs w:val="22"/>
        </w:rPr>
        <w:t xml:space="preserve"> F</w:t>
      </w:r>
      <w:r w:rsidRPr="009D4E09">
        <w:rPr>
          <w:rFonts w:cs="Arial"/>
          <w:bCs/>
          <w:noProof/>
          <w:sz w:val="22"/>
          <w:szCs w:val="22"/>
        </w:rPr>
        <w:t xml:space="preserve">orward projections </w:t>
      </w:r>
      <w:r w:rsidR="00F335D2" w:rsidRPr="009D4E09">
        <w:rPr>
          <w:rFonts w:cs="Arial"/>
          <w:bCs/>
          <w:noProof/>
          <w:sz w:val="22"/>
          <w:szCs w:val="22"/>
        </w:rPr>
        <w:t xml:space="preserve">allow for the funding of the </w:t>
      </w:r>
      <w:smartTag w:uri="urn:schemas-microsoft-com:office:smarttags" w:element="place">
        <w:r w:rsidR="00F335D2" w:rsidRPr="009D4E09">
          <w:rPr>
            <w:rFonts w:cs="Arial"/>
            <w:bCs/>
            <w:noProof/>
            <w:sz w:val="22"/>
            <w:szCs w:val="22"/>
          </w:rPr>
          <w:t>South Oxhey</w:t>
        </w:r>
      </w:smartTag>
      <w:r w:rsidR="00F335D2" w:rsidRPr="009D4E09">
        <w:rPr>
          <w:rFonts w:cs="Arial"/>
          <w:bCs/>
          <w:noProof/>
          <w:sz w:val="22"/>
          <w:szCs w:val="22"/>
        </w:rPr>
        <w:t xml:space="preserve"> project from internal cash resou</w:t>
      </w:r>
      <w:r w:rsidR="000F027D" w:rsidRPr="009D4E09">
        <w:rPr>
          <w:rFonts w:cs="Arial"/>
          <w:bCs/>
          <w:noProof/>
          <w:sz w:val="22"/>
          <w:szCs w:val="22"/>
        </w:rPr>
        <w:t>r</w:t>
      </w:r>
      <w:r w:rsidR="00F335D2" w:rsidRPr="009D4E09">
        <w:rPr>
          <w:rFonts w:cs="Arial"/>
          <w:bCs/>
          <w:noProof/>
          <w:sz w:val="22"/>
          <w:szCs w:val="22"/>
        </w:rPr>
        <w:t>ces.</w:t>
      </w:r>
      <w:r w:rsidRPr="009D4E09">
        <w:rPr>
          <w:rFonts w:cs="Arial"/>
          <w:bCs/>
          <w:noProof/>
          <w:sz w:val="22"/>
          <w:szCs w:val="22"/>
        </w:rPr>
        <w:t xml:space="preserve"> </w:t>
      </w:r>
    </w:p>
    <w:p w:rsidR="00EB13C1" w:rsidRPr="009D4E09" w:rsidRDefault="00EB13C1" w:rsidP="000E18B8">
      <w:pPr>
        <w:widowControl w:val="0"/>
        <w:numPr>
          <w:ilvl w:val="12"/>
          <w:numId w:val="0"/>
        </w:numPr>
        <w:jc w:val="both"/>
        <w:rPr>
          <w:rFonts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1260"/>
      </w:tblGrid>
      <w:tr w:rsidR="0072488A" w:rsidRPr="009D4E09" w:rsidTr="000352E9">
        <w:trPr>
          <w:trHeight w:val="708"/>
        </w:trPr>
        <w:tc>
          <w:tcPr>
            <w:tcW w:w="3240" w:type="dxa"/>
            <w:shd w:val="clear" w:color="auto" w:fill="B3B3B3"/>
            <w:vAlign w:val="center"/>
          </w:tcPr>
          <w:p w:rsidR="0072488A" w:rsidRPr="009D4E09" w:rsidRDefault="0072488A" w:rsidP="000352E9">
            <w:pPr>
              <w:pStyle w:val="BodyText"/>
              <w:jc w:val="center"/>
              <w:rPr>
                <w:rFonts w:cs="Arial"/>
                <w:szCs w:val="22"/>
              </w:rPr>
            </w:pPr>
            <w:r w:rsidRPr="009D4E09">
              <w:rPr>
                <w:rFonts w:cs="Arial"/>
                <w:b/>
                <w:szCs w:val="22"/>
              </w:rPr>
              <w:t>Treasury Portfolio</w:t>
            </w:r>
          </w:p>
        </w:tc>
        <w:tc>
          <w:tcPr>
            <w:tcW w:w="144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2016/17</w:t>
            </w:r>
          </w:p>
          <w:p w:rsidR="0072488A" w:rsidRPr="009D4E09" w:rsidRDefault="0072488A" w:rsidP="0072488A">
            <w:pPr>
              <w:pStyle w:val="BodyText"/>
              <w:jc w:val="center"/>
              <w:rPr>
                <w:rFonts w:cs="Arial"/>
                <w:b/>
                <w:bCs/>
                <w:szCs w:val="22"/>
              </w:rPr>
            </w:pPr>
            <w:r w:rsidRPr="009D4E09">
              <w:rPr>
                <w:rFonts w:cs="Arial"/>
                <w:b/>
                <w:bCs/>
                <w:szCs w:val="22"/>
              </w:rPr>
              <w:t>Estimate</w:t>
            </w: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2017/18</w:t>
            </w:r>
          </w:p>
          <w:p w:rsidR="0072488A" w:rsidRPr="009D4E09" w:rsidRDefault="0072488A" w:rsidP="0072488A">
            <w:pPr>
              <w:pStyle w:val="BodyText"/>
              <w:jc w:val="center"/>
              <w:rPr>
                <w:rFonts w:cs="Arial"/>
                <w:b/>
                <w:bCs/>
                <w:szCs w:val="22"/>
              </w:rPr>
            </w:pPr>
            <w:r w:rsidRPr="009D4E09">
              <w:rPr>
                <w:rFonts w:cs="Arial"/>
                <w:b/>
                <w:bCs/>
                <w:szCs w:val="22"/>
              </w:rPr>
              <w:t>Estimate</w:t>
            </w:r>
          </w:p>
        </w:tc>
        <w:tc>
          <w:tcPr>
            <w:tcW w:w="1260" w:type="dxa"/>
            <w:shd w:val="clear" w:color="auto" w:fill="B3B3B3"/>
            <w:vAlign w:val="center"/>
          </w:tcPr>
          <w:p w:rsidR="0072488A" w:rsidRPr="009D4E09" w:rsidRDefault="0072488A" w:rsidP="0072488A">
            <w:pPr>
              <w:pStyle w:val="BodyText"/>
              <w:jc w:val="center"/>
              <w:rPr>
                <w:rFonts w:cs="Arial"/>
                <w:b/>
                <w:bCs/>
                <w:szCs w:val="22"/>
              </w:rPr>
            </w:pPr>
            <w:r w:rsidRPr="009D4E09">
              <w:rPr>
                <w:rFonts w:cs="Arial"/>
                <w:b/>
                <w:bCs/>
                <w:szCs w:val="22"/>
              </w:rPr>
              <w:t>2018/19</w:t>
            </w:r>
          </w:p>
          <w:p w:rsidR="0072488A" w:rsidRPr="009D4E09" w:rsidRDefault="0072488A" w:rsidP="0072488A">
            <w:pPr>
              <w:pStyle w:val="BodyText"/>
              <w:jc w:val="center"/>
              <w:rPr>
                <w:rFonts w:cs="Arial"/>
                <w:b/>
                <w:bCs/>
                <w:szCs w:val="22"/>
              </w:rPr>
            </w:pPr>
            <w:r w:rsidRPr="009D4E09">
              <w:rPr>
                <w:rFonts w:cs="Arial"/>
                <w:b/>
                <w:bCs/>
                <w:szCs w:val="22"/>
              </w:rPr>
              <w:t>Estimate</w:t>
            </w:r>
          </w:p>
        </w:tc>
        <w:tc>
          <w:tcPr>
            <w:tcW w:w="1260" w:type="dxa"/>
            <w:shd w:val="clear" w:color="auto" w:fill="B3B3B3"/>
            <w:vAlign w:val="center"/>
          </w:tcPr>
          <w:p w:rsidR="0072488A" w:rsidRPr="009D4E09" w:rsidRDefault="0072488A" w:rsidP="000352E9">
            <w:pPr>
              <w:pStyle w:val="BodyText"/>
              <w:jc w:val="center"/>
              <w:rPr>
                <w:rFonts w:cs="Arial"/>
                <w:b/>
                <w:bCs/>
                <w:szCs w:val="22"/>
              </w:rPr>
            </w:pPr>
            <w:r w:rsidRPr="009D4E09">
              <w:rPr>
                <w:rFonts w:cs="Arial"/>
                <w:b/>
                <w:bCs/>
                <w:szCs w:val="22"/>
              </w:rPr>
              <w:t>2019/20</w:t>
            </w:r>
          </w:p>
          <w:p w:rsidR="0072488A" w:rsidRPr="009D4E09" w:rsidRDefault="0072488A" w:rsidP="000352E9">
            <w:pPr>
              <w:pStyle w:val="BodyText"/>
              <w:jc w:val="center"/>
              <w:rPr>
                <w:rFonts w:cs="Arial"/>
                <w:b/>
                <w:bCs/>
                <w:szCs w:val="22"/>
              </w:rPr>
            </w:pPr>
            <w:r w:rsidRPr="009D4E09">
              <w:rPr>
                <w:rFonts w:cs="Arial"/>
                <w:b/>
                <w:bCs/>
                <w:szCs w:val="22"/>
              </w:rPr>
              <w:t>Estimate</w:t>
            </w:r>
          </w:p>
        </w:tc>
      </w:tr>
      <w:tr w:rsidR="00BF3A3B" w:rsidRPr="009D4E09" w:rsidTr="000352E9">
        <w:trPr>
          <w:trHeight w:val="379"/>
        </w:trPr>
        <w:tc>
          <w:tcPr>
            <w:tcW w:w="3240" w:type="dxa"/>
            <w:tcBorders>
              <w:top w:val="single" w:sz="4" w:space="0" w:color="auto"/>
            </w:tcBorders>
            <w:vAlign w:val="center"/>
          </w:tcPr>
          <w:p w:rsidR="00BF3A3B" w:rsidRPr="009D4E09" w:rsidRDefault="00BF3A3B" w:rsidP="000352E9">
            <w:pPr>
              <w:pStyle w:val="BodyText"/>
              <w:rPr>
                <w:rFonts w:cs="Arial"/>
                <w:szCs w:val="22"/>
              </w:rPr>
            </w:pPr>
            <w:r w:rsidRPr="009D4E09">
              <w:rPr>
                <w:rFonts w:cs="Arial"/>
                <w:szCs w:val="22"/>
              </w:rPr>
              <w:t xml:space="preserve">External Borrowing                         </w:t>
            </w:r>
          </w:p>
        </w:tc>
        <w:tc>
          <w:tcPr>
            <w:tcW w:w="1440" w:type="dxa"/>
            <w:tcBorders>
              <w:top w:val="single" w:sz="4" w:space="0" w:color="auto"/>
            </w:tcBorders>
            <w:vAlign w:val="center"/>
          </w:tcPr>
          <w:p w:rsidR="00BF3A3B" w:rsidRPr="009D4E09" w:rsidRDefault="00BF3A3B" w:rsidP="000352E9">
            <w:pPr>
              <w:pStyle w:val="BodyText"/>
              <w:jc w:val="center"/>
              <w:rPr>
                <w:rFonts w:cs="Arial"/>
                <w:szCs w:val="22"/>
              </w:rPr>
            </w:pPr>
            <w:r w:rsidRPr="009D4E09">
              <w:rPr>
                <w:rFonts w:cs="Arial"/>
                <w:szCs w:val="22"/>
              </w:rPr>
              <w:t>£0M</w:t>
            </w:r>
          </w:p>
        </w:tc>
        <w:tc>
          <w:tcPr>
            <w:tcW w:w="1260" w:type="dxa"/>
            <w:tcBorders>
              <w:top w:val="single" w:sz="4" w:space="0" w:color="auto"/>
            </w:tcBorders>
            <w:vAlign w:val="center"/>
          </w:tcPr>
          <w:p w:rsidR="00BF3A3B" w:rsidRPr="009D4E09" w:rsidRDefault="00BF3A3B" w:rsidP="000352E9">
            <w:pPr>
              <w:pStyle w:val="BodyText"/>
              <w:jc w:val="center"/>
              <w:rPr>
                <w:rFonts w:cs="Arial"/>
                <w:szCs w:val="22"/>
              </w:rPr>
            </w:pPr>
            <w:r w:rsidRPr="009D4E09">
              <w:rPr>
                <w:rFonts w:cs="Arial"/>
                <w:szCs w:val="22"/>
              </w:rPr>
              <w:t>£</w:t>
            </w:r>
            <w:r w:rsidR="00DC0525" w:rsidRPr="009D4E09">
              <w:rPr>
                <w:rFonts w:cs="Arial"/>
                <w:szCs w:val="22"/>
              </w:rPr>
              <w:t>0</w:t>
            </w:r>
            <w:r w:rsidRPr="009D4E09">
              <w:rPr>
                <w:rFonts w:cs="Arial"/>
                <w:szCs w:val="22"/>
              </w:rPr>
              <w:t>M</w:t>
            </w:r>
          </w:p>
        </w:tc>
        <w:tc>
          <w:tcPr>
            <w:tcW w:w="1260" w:type="dxa"/>
            <w:tcBorders>
              <w:top w:val="single" w:sz="4" w:space="0" w:color="auto"/>
            </w:tcBorders>
            <w:vAlign w:val="center"/>
          </w:tcPr>
          <w:p w:rsidR="00BF3A3B" w:rsidRPr="009D4E09" w:rsidRDefault="00BF3A3B" w:rsidP="000352E9">
            <w:pPr>
              <w:pStyle w:val="BodyText"/>
              <w:jc w:val="center"/>
              <w:rPr>
                <w:rFonts w:cs="Arial"/>
                <w:szCs w:val="22"/>
              </w:rPr>
            </w:pPr>
            <w:r w:rsidRPr="009D4E09">
              <w:rPr>
                <w:rFonts w:cs="Arial"/>
                <w:szCs w:val="22"/>
              </w:rPr>
              <w:t>£</w:t>
            </w:r>
            <w:r w:rsidR="00DC0525" w:rsidRPr="009D4E09">
              <w:rPr>
                <w:rFonts w:cs="Arial"/>
                <w:szCs w:val="22"/>
              </w:rPr>
              <w:t>0</w:t>
            </w:r>
            <w:r w:rsidRPr="009D4E09">
              <w:rPr>
                <w:rFonts w:cs="Arial"/>
                <w:szCs w:val="22"/>
              </w:rPr>
              <w:t>M</w:t>
            </w:r>
          </w:p>
        </w:tc>
        <w:tc>
          <w:tcPr>
            <w:tcW w:w="1260" w:type="dxa"/>
            <w:tcBorders>
              <w:top w:val="single" w:sz="4" w:space="0" w:color="auto"/>
            </w:tcBorders>
            <w:vAlign w:val="center"/>
          </w:tcPr>
          <w:p w:rsidR="00BF3A3B" w:rsidRPr="009D4E09" w:rsidRDefault="00BF3A3B" w:rsidP="000352E9">
            <w:pPr>
              <w:pStyle w:val="BodyText"/>
              <w:jc w:val="center"/>
              <w:rPr>
                <w:rFonts w:cs="Arial"/>
                <w:szCs w:val="22"/>
              </w:rPr>
            </w:pPr>
            <w:r w:rsidRPr="009D4E09">
              <w:rPr>
                <w:rFonts w:cs="Arial"/>
                <w:szCs w:val="22"/>
              </w:rPr>
              <w:t>£</w:t>
            </w:r>
            <w:r w:rsidR="00DC0525" w:rsidRPr="009D4E09">
              <w:rPr>
                <w:rFonts w:cs="Arial"/>
                <w:szCs w:val="22"/>
              </w:rPr>
              <w:t>0</w:t>
            </w:r>
            <w:r w:rsidRPr="009D4E09">
              <w:rPr>
                <w:rFonts w:cs="Arial"/>
                <w:szCs w:val="22"/>
              </w:rPr>
              <w:t>M</w:t>
            </w:r>
          </w:p>
        </w:tc>
      </w:tr>
      <w:tr w:rsidR="0072488A" w:rsidRPr="009D4E09" w:rsidTr="000352E9">
        <w:trPr>
          <w:trHeight w:val="379"/>
        </w:trPr>
        <w:tc>
          <w:tcPr>
            <w:tcW w:w="3240" w:type="dxa"/>
            <w:tcBorders>
              <w:top w:val="single" w:sz="4" w:space="0" w:color="auto"/>
            </w:tcBorders>
            <w:vAlign w:val="center"/>
          </w:tcPr>
          <w:p w:rsidR="0072488A" w:rsidRPr="009D4E09" w:rsidRDefault="0072488A" w:rsidP="000352E9">
            <w:pPr>
              <w:pStyle w:val="BodyText"/>
              <w:rPr>
                <w:rFonts w:cs="Arial"/>
                <w:szCs w:val="22"/>
              </w:rPr>
            </w:pPr>
            <w:r w:rsidRPr="009D4E09">
              <w:rPr>
                <w:rFonts w:cs="Arial"/>
                <w:szCs w:val="22"/>
              </w:rPr>
              <w:t>Total Investments 31 March</w:t>
            </w:r>
          </w:p>
        </w:tc>
        <w:tc>
          <w:tcPr>
            <w:tcW w:w="1440" w:type="dxa"/>
            <w:tcBorders>
              <w:top w:val="single" w:sz="4" w:space="0" w:color="auto"/>
            </w:tcBorders>
            <w:vAlign w:val="center"/>
          </w:tcPr>
          <w:p w:rsidR="0072488A" w:rsidRPr="009D4E09" w:rsidRDefault="0072488A" w:rsidP="00833F30">
            <w:pPr>
              <w:pStyle w:val="BodyText"/>
              <w:jc w:val="center"/>
              <w:rPr>
                <w:rFonts w:cs="Arial"/>
                <w:szCs w:val="22"/>
              </w:rPr>
            </w:pPr>
            <w:r w:rsidRPr="009D4E09">
              <w:rPr>
                <w:rFonts w:cs="Arial"/>
                <w:szCs w:val="22"/>
              </w:rPr>
              <w:t>£2</w:t>
            </w:r>
            <w:r w:rsidR="00833F30" w:rsidRPr="009D4E09">
              <w:rPr>
                <w:rFonts w:cs="Arial"/>
                <w:szCs w:val="22"/>
              </w:rPr>
              <w:t>6</w:t>
            </w:r>
            <w:r w:rsidRPr="009D4E09">
              <w:rPr>
                <w:rFonts w:cs="Arial"/>
                <w:szCs w:val="22"/>
              </w:rPr>
              <w:t>M</w:t>
            </w:r>
          </w:p>
        </w:tc>
        <w:tc>
          <w:tcPr>
            <w:tcW w:w="1260" w:type="dxa"/>
            <w:tcBorders>
              <w:top w:val="single" w:sz="4" w:space="0" w:color="auto"/>
            </w:tcBorders>
            <w:vAlign w:val="center"/>
          </w:tcPr>
          <w:p w:rsidR="0072488A" w:rsidRPr="009D4E09" w:rsidRDefault="0072488A" w:rsidP="0072488A">
            <w:pPr>
              <w:pStyle w:val="BodyText"/>
              <w:jc w:val="center"/>
              <w:rPr>
                <w:rFonts w:cs="Arial"/>
                <w:szCs w:val="22"/>
                <w:highlight w:val="yellow"/>
              </w:rPr>
            </w:pPr>
            <w:r w:rsidRPr="009D4E09">
              <w:rPr>
                <w:rFonts w:cs="Arial"/>
                <w:szCs w:val="22"/>
                <w:highlight w:val="yellow"/>
              </w:rPr>
              <w:t>£17M</w:t>
            </w:r>
          </w:p>
        </w:tc>
        <w:tc>
          <w:tcPr>
            <w:tcW w:w="1260" w:type="dxa"/>
            <w:tcBorders>
              <w:top w:val="single" w:sz="4" w:space="0" w:color="auto"/>
            </w:tcBorders>
            <w:vAlign w:val="center"/>
          </w:tcPr>
          <w:p w:rsidR="0072488A" w:rsidRPr="009D4E09" w:rsidRDefault="0072488A" w:rsidP="0072488A">
            <w:pPr>
              <w:pStyle w:val="BodyText"/>
              <w:jc w:val="center"/>
              <w:rPr>
                <w:rFonts w:cs="Arial"/>
                <w:szCs w:val="22"/>
                <w:highlight w:val="yellow"/>
              </w:rPr>
            </w:pPr>
            <w:r w:rsidRPr="009D4E09">
              <w:rPr>
                <w:rFonts w:cs="Arial"/>
                <w:szCs w:val="22"/>
                <w:highlight w:val="yellow"/>
              </w:rPr>
              <w:t>£18M</w:t>
            </w:r>
          </w:p>
        </w:tc>
        <w:tc>
          <w:tcPr>
            <w:tcW w:w="1260" w:type="dxa"/>
            <w:tcBorders>
              <w:top w:val="single" w:sz="4" w:space="0" w:color="auto"/>
            </w:tcBorders>
            <w:vAlign w:val="center"/>
          </w:tcPr>
          <w:p w:rsidR="0072488A" w:rsidRPr="009D4E09" w:rsidRDefault="0072488A" w:rsidP="000352E9">
            <w:pPr>
              <w:pStyle w:val="BodyText"/>
              <w:jc w:val="center"/>
              <w:rPr>
                <w:rFonts w:cs="Arial"/>
                <w:szCs w:val="22"/>
                <w:highlight w:val="yellow"/>
              </w:rPr>
            </w:pPr>
            <w:r w:rsidRPr="009D4E09">
              <w:rPr>
                <w:rFonts w:cs="Arial"/>
                <w:szCs w:val="22"/>
                <w:highlight w:val="yellow"/>
              </w:rPr>
              <w:t>£18M</w:t>
            </w:r>
          </w:p>
        </w:tc>
      </w:tr>
    </w:tbl>
    <w:p w:rsidR="000E18B8" w:rsidRPr="009D4E09" w:rsidRDefault="000E18B8" w:rsidP="000E18B8">
      <w:pPr>
        <w:jc w:val="both"/>
        <w:rPr>
          <w:rFonts w:cs="Arial"/>
          <w:sz w:val="22"/>
          <w:szCs w:val="22"/>
          <w:lang w:eastAsia="en-GB"/>
        </w:rPr>
      </w:pPr>
    </w:p>
    <w:p w:rsidR="00EB13C1" w:rsidRPr="009D4E09" w:rsidRDefault="00641A90" w:rsidP="000E18B8">
      <w:pPr>
        <w:jc w:val="both"/>
        <w:rPr>
          <w:rFonts w:cs="Arial"/>
          <w:sz w:val="22"/>
          <w:szCs w:val="22"/>
        </w:rPr>
      </w:pPr>
      <w:r w:rsidRPr="009D4E09">
        <w:rPr>
          <w:rFonts w:cs="Arial"/>
          <w:sz w:val="22"/>
          <w:szCs w:val="22"/>
        </w:rPr>
        <w:t>The Council held £</w:t>
      </w:r>
      <w:r w:rsidR="0072488A" w:rsidRPr="009D4E09">
        <w:rPr>
          <w:rFonts w:cs="Arial"/>
          <w:sz w:val="22"/>
          <w:szCs w:val="22"/>
        </w:rPr>
        <w:t>26</w:t>
      </w:r>
      <w:r w:rsidRPr="009D4E09">
        <w:rPr>
          <w:rFonts w:cs="Arial"/>
          <w:sz w:val="22"/>
          <w:szCs w:val="22"/>
        </w:rPr>
        <w:t xml:space="preserve">m of investments as at </w:t>
      </w:r>
      <w:r w:rsidR="005A02AB" w:rsidRPr="009D4E09">
        <w:rPr>
          <w:rFonts w:cs="Arial"/>
          <w:sz w:val="22"/>
          <w:szCs w:val="22"/>
        </w:rPr>
        <w:t>31</w:t>
      </w:r>
      <w:r w:rsidR="0072488A" w:rsidRPr="009D4E09">
        <w:rPr>
          <w:rFonts w:cs="Arial"/>
          <w:sz w:val="22"/>
          <w:szCs w:val="22"/>
        </w:rPr>
        <w:t xml:space="preserve"> </w:t>
      </w:r>
      <w:r w:rsidR="005A02AB" w:rsidRPr="009D4E09">
        <w:rPr>
          <w:rFonts w:cs="Arial"/>
          <w:sz w:val="22"/>
          <w:szCs w:val="22"/>
        </w:rPr>
        <w:t>October</w:t>
      </w:r>
      <w:r w:rsidR="0072488A" w:rsidRPr="009D4E09">
        <w:rPr>
          <w:rFonts w:cs="Arial"/>
          <w:sz w:val="22"/>
          <w:szCs w:val="22"/>
        </w:rPr>
        <w:t xml:space="preserve"> 2016</w:t>
      </w:r>
      <w:r w:rsidRPr="009D4E09">
        <w:rPr>
          <w:rFonts w:cs="Arial"/>
          <w:sz w:val="22"/>
          <w:szCs w:val="22"/>
        </w:rPr>
        <w:t xml:space="preserve">.  Included in the Lloyds Bank total (see table below) is a balance of £3.5m on the current account which is retained for liquidity in order to meet short term cash commitments including precepts. </w:t>
      </w:r>
      <w:r w:rsidR="00EB13C1" w:rsidRPr="009D4E09">
        <w:rPr>
          <w:rFonts w:cs="Arial"/>
          <w:sz w:val="22"/>
          <w:szCs w:val="22"/>
        </w:rPr>
        <w:t xml:space="preserve"> </w:t>
      </w:r>
      <w:r w:rsidRPr="009D4E09">
        <w:rPr>
          <w:rFonts w:cs="Arial"/>
          <w:sz w:val="22"/>
          <w:szCs w:val="22"/>
        </w:rPr>
        <w:t xml:space="preserve">An Interest rate of </w:t>
      </w:r>
      <w:r w:rsidRPr="009D4E09">
        <w:rPr>
          <w:rFonts w:cs="Arial"/>
          <w:sz w:val="22"/>
          <w:szCs w:val="22"/>
          <w:highlight w:val="yellow"/>
        </w:rPr>
        <w:t>0.</w:t>
      </w:r>
      <w:r w:rsidR="00833F30" w:rsidRPr="009D4E09">
        <w:rPr>
          <w:rFonts w:cs="Arial"/>
          <w:sz w:val="22"/>
          <w:szCs w:val="22"/>
          <w:highlight w:val="yellow"/>
        </w:rPr>
        <w:t>50</w:t>
      </w:r>
      <w:r w:rsidRPr="009D4E09">
        <w:rPr>
          <w:rFonts w:cs="Arial"/>
          <w:sz w:val="22"/>
          <w:szCs w:val="22"/>
          <w:highlight w:val="yellow"/>
        </w:rPr>
        <w:t>%</w:t>
      </w:r>
      <w:r w:rsidR="00833F30" w:rsidRPr="009D4E09">
        <w:rPr>
          <w:rFonts w:cs="Arial"/>
          <w:sz w:val="22"/>
          <w:szCs w:val="22"/>
        </w:rPr>
        <w:t xml:space="preserve"> was</w:t>
      </w:r>
      <w:r w:rsidRPr="009D4E09">
        <w:rPr>
          <w:rFonts w:cs="Arial"/>
          <w:sz w:val="22"/>
          <w:szCs w:val="22"/>
        </w:rPr>
        <w:t xml:space="preserve"> paid on credit balances on the current account</w:t>
      </w:r>
      <w:r w:rsidR="00833F30" w:rsidRPr="009D4E09">
        <w:rPr>
          <w:rFonts w:cs="Arial"/>
          <w:sz w:val="22"/>
          <w:szCs w:val="22"/>
        </w:rPr>
        <w:t xml:space="preserve"> (until 3 Aug 2016) and is currently 0.25% in line with the current bank rate</w:t>
      </w:r>
      <w:r w:rsidRPr="009D4E09">
        <w:rPr>
          <w:rFonts w:cs="Arial"/>
          <w:sz w:val="22"/>
          <w:szCs w:val="22"/>
        </w:rPr>
        <w:t xml:space="preserve">. </w:t>
      </w:r>
      <w:r w:rsidR="00EB13C1" w:rsidRPr="009D4E09">
        <w:rPr>
          <w:rFonts w:cs="Arial"/>
          <w:sz w:val="22"/>
          <w:szCs w:val="22"/>
        </w:rPr>
        <w:t xml:space="preserve"> </w:t>
      </w:r>
      <w:r w:rsidR="000E18B8" w:rsidRPr="009D4E09">
        <w:rPr>
          <w:rFonts w:cs="Arial"/>
          <w:sz w:val="22"/>
          <w:szCs w:val="22"/>
        </w:rPr>
        <w:t>This information is reported in the monthly Members Information Bulletin.</w:t>
      </w:r>
    </w:p>
    <w:p w:rsidR="000E18B8" w:rsidRPr="009D4E09" w:rsidRDefault="000E18B8" w:rsidP="000E18B8">
      <w:pPr>
        <w:jc w:val="both"/>
        <w:rPr>
          <w:rFonts w:cs="Arial"/>
          <w:color w:val="0000FF"/>
          <w:sz w:val="22"/>
          <w:szCs w:val="22"/>
        </w:rPr>
      </w:pPr>
      <w:r w:rsidRPr="009D4E09">
        <w:rPr>
          <w:rFonts w:cs="Arial"/>
          <w:sz w:val="22"/>
          <w:szCs w:val="22"/>
        </w:rPr>
        <w:t xml:space="preserve"> </w:t>
      </w:r>
    </w:p>
    <w:tbl>
      <w:tblPr>
        <w:tblW w:w="6120" w:type="dxa"/>
        <w:tblInd w:w="1466" w:type="dxa"/>
        <w:tblLook w:val="0000" w:firstRow="0" w:lastRow="0" w:firstColumn="0" w:lastColumn="0" w:noHBand="0" w:noVBand="0"/>
      </w:tblPr>
      <w:tblGrid>
        <w:gridCol w:w="4316"/>
        <w:gridCol w:w="1804"/>
      </w:tblGrid>
      <w:tr w:rsidR="000E18B8" w:rsidRPr="009D4E09" w:rsidTr="000352E9">
        <w:trPr>
          <w:trHeight w:val="270"/>
        </w:trPr>
        <w:tc>
          <w:tcPr>
            <w:tcW w:w="4316" w:type="dxa"/>
            <w:vMerge w:val="restart"/>
            <w:tcBorders>
              <w:top w:val="nil"/>
              <w:left w:val="nil"/>
              <w:bottom w:val="single" w:sz="4" w:space="0" w:color="C0C0C0"/>
              <w:right w:val="nil"/>
            </w:tcBorders>
            <w:shd w:val="clear" w:color="auto" w:fill="B3B3B3"/>
            <w:noWrap/>
            <w:vAlign w:val="center"/>
          </w:tcPr>
          <w:p w:rsidR="000E18B8" w:rsidRPr="009D4E09" w:rsidRDefault="000E18B8" w:rsidP="000352E9">
            <w:pPr>
              <w:rPr>
                <w:rFonts w:cs="Arial"/>
                <w:b/>
                <w:bCs/>
                <w:sz w:val="22"/>
                <w:szCs w:val="22"/>
                <w:lang w:eastAsia="en-GB"/>
              </w:rPr>
            </w:pPr>
            <w:r w:rsidRPr="009D4E09">
              <w:rPr>
                <w:rFonts w:cs="Arial"/>
                <w:b/>
                <w:bCs/>
                <w:sz w:val="22"/>
                <w:szCs w:val="22"/>
                <w:lang w:eastAsia="en-GB"/>
              </w:rPr>
              <w:t>Institution</w:t>
            </w:r>
          </w:p>
        </w:tc>
        <w:tc>
          <w:tcPr>
            <w:tcW w:w="1804" w:type="dxa"/>
            <w:vMerge w:val="restart"/>
            <w:tcBorders>
              <w:top w:val="nil"/>
              <w:left w:val="nil"/>
              <w:bottom w:val="single" w:sz="4" w:space="0" w:color="C0C0C0"/>
              <w:right w:val="nil"/>
            </w:tcBorders>
            <w:shd w:val="clear" w:color="auto" w:fill="B3B3B3"/>
            <w:vAlign w:val="center"/>
          </w:tcPr>
          <w:p w:rsidR="000E18B8" w:rsidRPr="009D4E09" w:rsidRDefault="000E18B8" w:rsidP="000352E9">
            <w:pPr>
              <w:rPr>
                <w:rFonts w:cs="Arial"/>
                <w:b/>
                <w:bCs/>
                <w:sz w:val="22"/>
                <w:szCs w:val="22"/>
                <w:lang w:eastAsia="en-GB"/>
              </w:rPr>
            </w:pPr>
            <w:r w:rsidRPr="009D4E09">
              <w:rPr>
                <w:rFonts w:cs="Arial"/>
                <w:b/>
                <w:bCs/>
                <w:sz w:val="22"/>
                <w:szCs w:val="22"/>
                <w:lang w:eastAsia="en-GB"/>
              </w:rPr>
              <w:t>Principal (£)</w:t>
            </w:r>
          </w:p>
        </w:tc>
      </w:tr>
      <w:tr w:rsidR="000E18B8" w:rsidRPr="009D4E09" w:rsidTr="000352E9">
        <w:trPr>
          <w:trHeight w:val="270"/>
        </w:trPr>
        <w:tc>
          <w:tcPr>
            <w:tcW w:w="4316" w:type="dxa"/>
            <w:vMerge/>
            <w:tcBorders>
              <w:top w:val="nil"/>
              <w:left w:val="nil"/>
              <w:bottom w:val="single" w:sz="4" w:space="0" w:color="C0C0C0"/>
              <w:right w:val="nil"/>
            </w:tcBorders>
            <w:shd w:val="clear" w:color="auto" w:fill="B3B3B3"/>
            <w:vAlign w:val="center"/>
          </w:tcPr>
          <w:p w:rsidR="000E18B8" w:rsidRPr="009D4E09" w:rsidRDefault="000E18B8" w:rsidP="000352E9">
            <w:pPr>
              <w:rPr>
                <w:rFonts w:cs="Arial"/>
                <w:b/>
                <w:bCs/>
                <w:sz w:val="22"/>
                <w:szCs w:val="22"/>
                <w:lang w:eastAsia="en-GB"/>
              </w:rPr>
            </w:pPr>
          </w:p>
        </w:tc>
        <w:tc>
          <w:tcPr>
            <w:tcW w:w="1804" w:type="dxa"/>
            <w:vMerge/>
            <w:tcBorders>
              <w:top w:val="nil"/>
              <w:left w:val="nil"/>
              <w:bottom w:val="single" w:sz="4" w:space="0" w:color="C0C0C0"/>
              <w:right w:val="nil"/>
            </w:tcBorders>
            <w:shd w:val="clear" w:color="auto" w:fill="B3B3B3"/>
            <w:vAlign w:val="center"/>
          </w:tcPr>
          <w:p w:rsidR="000E18B8" w:rsidRPr="009D4E09" w:rsidRDefault="000E18B8" w:rsidP="000352E9">
            <w:pPr>
              <w:rPr>
                <w:rFonts w:cs="Arial"/>
                <w:b/>
                <w:bCs/>
                <w:sz w:val="22"/>
                <w:szCs w:val="22"/>
                <w:lang w:eastAsia="en-GB"/>
              </w:rPr>
            </w:pPr>
          </w:p>
        </w:tc>
      </w:tr>
      <w:tr w:rsidR="00BF3A3B" w:rsidRPr="009D4E09" w:rsidTr="000352E9">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BF3A3B" w:rsidRPr="009D4E09" w:rsidRDefault="00BF3A3B" w:rsidP="000352E9">
            <w:pPr>
              <w:rPr>
                <w:rFonts w:cs="Arial"/>
                <w:b/>
                <w:i/>
                <w:sz w:val="22"/>
                <w:szCs w:val="22"/>
                <w:u w:val="single"/>
                <w:lang w:eastAsia="en-GB"/>
              </w:rPr>
            </w:pPr>
            <w:r w:rsidRPr="009D4E09">
              <w:rPr>
                <w:rFonts w:cs="Arial"/>
                <w:b/>
                <w:i/>
                <w:sz w:val="22"/>
                <w:szCs w:val="22"/>
                <w:u w:val="single"/>
                <w:lang w:eastAsia="en-GB"/>
              </w:rPr>
              <w:t>Banks</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BF3A3B" w:rsidRPr="009D4E09" w:rsidRDefault="00BF3A3B" w:rsidP="000352E9">
            <w:pPr>
              <w:jc w:val="right"/>
              <w:rPr>
                <w:rFonts w:cs="Arial"/>
                <w:sz w:val="22"/>
                <w:szCs w:val="22"/>
                <w:lang w:eastAsia="en-GB"/>
              </w:rPr>
            </w:pPr>
          </w:p>
        </w:tc>
      </w:tr>
      <w:tr w:rsidR="000E18B8" w:rsidRPr="009D4E09" w:rsidTr="000352E9">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0E18B8" w:rsidRPr="009D4E09" w:rsidRDefault="000E18B8" w:rsidP="000352E9">
            <w:pPr>
              <w:rPr>
                <w:rFonts w:cs="Arial"/>
                <w:sz w:val="22"/>
                <w:szCs w:val="22"/>
                <w:lang w:eastAsia="en-GB"/>
              </w:rPr>
            </w:pPr>
            <w:r w:rsidRPr="009D4E09">
              <w:rPr>
                <w:rFonts w:cs="Arial"/>
                <w:sz w:val="22"/>
                <w:szCs w:val="22"/>
                <w:lang w:eastAsia="en-GB"/>
              </w:rPr>
              <w:t xml:space="preserve">Lloyds </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0E18B8" w:rsidRPr="009D4E09" w:rsidRDefault="0072488A" w:rsidP="000352E9">
            <w:pPr>
              <w:jc w:val="right"/>
              <w:rPr>
                <w:rFonts w:cs="Arial"/>
                <w:sz w:val="22"/>
                <w:szCs w:val="22"/>
                <w:lang w:eastAsia="en-GB"/>
              </w:rPr>
            </w:pPr>
            <w:r w:rsidRPr="009D4E09">
              <w:rPr>
                <w:rFonts w:cs="Arial"/>
                <w:sz w:val="22"/>
                <w:szCs w:val="22"/>
                <w:lang w:eastAsia="en-GB"/>
              </w:rPr>
              <w:t>5,500,000</w:t>
            </w:r>
          </w:p>
        </w:tc>
      </w:tr>
      <w:tr w:rsidR="000E18B8" w:rsidRPr="009D4E09" w:rsidTr="000352E9">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0E18B8" w:rsidRPr="009D4E09" w:rsidRDefault="000E18B8" w:rsidP="000352E9">
            <w:pPr>
              <w:rPr>
                <w:rFonts w:cs="Arial"/>
                <w:b/>
                <w:i/>
                <w:sz w:val="22"/>
                <w:szCs w:val="22"/>
                <w:lang w:eastAsia="en-GB"/>
              </w:rPr>
            </w:pPr>
            <w:r w:rsidRPr="009D4E09">
              <w:rPr>
                <w:rFonts w:cs="Arial"/>
                <w:b/>
                <w:i/>
                <w:sz w:val="22"/>
                <w:szCs w:val="22"/>
                <w:lang w:eastAsia="en-GB"/>
              </w:rPr>
              <w:t xml:space="preserve">Total </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0E18B8" w:rsidRPr="009D4E09" w:rsidRDefault="0072488A" w:rsidP="0072488A">
            <w:pPr>
              <w:jc w:val="right"/>
              <w:rPr>
                <w:rFonts w:cs="Arial"/>
                <w:b/>
                <w:i/>
                <w:sz w:val="22"/>
                <w:szCs w:val="22"/>
                <w:lang w:eastAsia="en-GB"/>
              </w:rPr>
            </w:pPr>
            <w:r w:rsidRPr="009D4E09">
              <w:rPr>
                <w:rFonts w:cs="Arial"/>
                <w:b/>
                <w:i/>
                <w:sz w:val="22"/>
                <w:szCs w:val="22"/>
                <w:lang w:eastAsia="en-GB"/>
              </w:rPr>
              <w:t>5</w:t>
            </w:r>
            <w:r w:rsidR="009B607F" w:rsidRPr="009D4E09">
              <w:rPr>
                <w:rFonts w:cs="Arial"/>
                <w:b/>
                <w:i/>
                <w:sz w:val="22"/>
                <w:szCs w:val="22"/>
                <w:lang w:eastAsia="en-GB"/>
              </w:rPr>
              <w:t>,</w:t>
            </w:r>
            <w:r w:rsidRPr="009D4E09">
              <w:rPr>
                <w:rFonts w:cs="Arial"/>
                <w:b/>
                <w:i/>
                <w:sz w:val="22"/>
                <w:szCs w:val="22"/>
                <w:lang w:eastAsia="en-GB"/>
              </w:rPr>
              <w:t>5</w:t>
            </w:r>
            <w:r w:rsidR="004E5CBC" w:rsidRPr="009D4E09">
              <w:rPr>
                <w:rFonts w:cs="Arial"/>
                <w:b/>
                <w:i/>
                <w:sz w:val="22"/>
                <w:szCs w:val="22"/>
                <w:lang w:eastAsia="en-GB"/>
              </w:rPr>
              <w:t>00</w:t>
            </w:r>
            <w:r w:rsidR="000E18B8" w:rsidRPr="009D4E09">
              <w:rPr>
                <w:rFonts w:cs="Arial"/>
                <w:b/>
                <w:i/>
                <w:sz w:val="22"/>
                <w:szCs w:val="22"/>
                <w:lang w:eastAsia="en-GB"/>
              </w:rPr>
              <w:t>,000</w:t>
            </w:r>
          </w:p>
        </w:tc>
      </w:tr>
      <w:tr w:rsidR="00BF3A3B" w:rsidRPr="009D4E09" w:rsidTr="000352E9">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BF3A3B" w:rsidRPr="009D4E09" w:rsidRDefault="00BF3A3B" w:rsidP="000352E9">
            <w:pPr>
              <w:rPr>
                <w:rFonts w:cs="Arial"/>
                <w:b/>
                <w:i/>
                <w:sz w:val="22"/>
                <w:szCs w:val="22"/>
                <w:u w:val="single"/>
                <w:lang w:eastAsia="en-GB"/>
              </w:rPr>
            </w:pPr>
            <w:r w:rsidRPr="009D4E09">
              <w:rPr>
                <w:rFonts w:cs="Arial"/>
                <w:b/>
                <w:i/>
                <w:sz w:val="22"/>
                <w:szCs w:val="22"/>
                <w:u w:val="single"/>
                <w:lang w:eastAsia="en-GB"/>
              </w:rPr>
              <w:t>Building Societies</w:t>
            </w:r>
          </w:p>
        </w:tc>
        <w:tc>
          <w:tcPr>
            <w:tcW w:w="1804" w:type="dxa"/>
            <w:tcBorders>
              <w:top w:val="nil"/>
              <w:left w:val="nil"/>
              <w:bottom w:val="single" w:sz="4" w:space="0" w:color="C0C0C0"/>
              <w:right w:val="single" w:sz="4" w:space="0" w:color="C0C0C0"/>
            </w:tcBorders>
            <w:shd w:val="clear" w:color="auto" w:fill="auto"/>
            <w:noWrap/>
            <w:vAlign w:val="bottom"/>
          </w:tcPr>
          <w:p w:rsidR="00BF3A3B" w:rsidRPr="009D4E09" w:rsidRDefault="00BF3A3B" w:rsidP="000352E9">
            <w:pPr>
              <w:jc w:val="right"/>
              <w:rPr>
                <w:rFonts w:cs="Arial"/>
                <w:sz w:val="22"/>
                <w:szCs w:val="22"/>
                <w:lang w:eastAsia="en-GB"/>
              </w:rPr>
            </w:pPr>
          </w:p>
        </w:tc>
      </w:tr>
      <w:tr w:rsidR="009B607F" w:rsidRPr="009D4E09" w:rsidTr="000352E9">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9B607F" w:rsidRPr="009D4E09" w:rsidRDefault="009B607F" w:rsidP="00081FBA">
            <w:pPr>
              <w:rPr>
                <w:rFonts w:cs="Arial"/>
                <w:sz w:val="22"/>
                <w:szCs w:val="22"/>
                <w:lang w:eastAsia="en-GB"/>
              </w:rPr>
            </w:pPr>
            <w:r w:rsidRPr="009D4E09">
              <w:rPr>
                <w:rFonts w:cs="Arial"/>
                <w:sz w:val="22"/>
                <w:szCs w:val="22"/>
                <w:lang w:eastAsia="en-GB"/>
              </w:rPr>
              <w:t xml:space="preserve">Nationwide </w:t>
            </w:r>
          </w:p>
        </w:tc>
        <w:tc>
          <w:tcPr>
            <w:tcW w:w="1804" w:type="dxa"/>
            <w:tcBorders>
              <w:top w:val="nil"/>
              <w:left w:val="nil"/>
              <w:bottom w:val="single" w:sz="4" w:space="0" w:color="C0C0C0"/>
              <w:right w:val="single" w:sz="4" w:space="0" w:color="C0C0C0"/>
            </w:tcBorders>
            <w:shd w:val="clear" w:color="auto" w:fill="auto"/>
            <w:noWrap/>
            <w:vAlign w:val="bottom"/>
          </w:tcPr>
          <w:p w:rsidR="009B607F" w:rsidRPr="009D4E09" w:rsidRDefault="0072488A" w:rsidP="0072488A">
            <w:pPr>
              <w:jc w:val="right"/>
              <w:rPr>
                <w:rFonts w:cs="Arial"/>
                <w:sz w:val="22"/>
                <w:szCs w:val="22"/>
                <w:lang w:eastAsia="en-GB"/>
              </w:rPr>
            </w:pPr>
            <w:r w:rsidRPr="009D4E09">
              <w:rPr>
                <w:rFonts w:cs="Arial"/>
                <w:sz w:val="22"/>
                <w:szCs w:val="22"/>
                <w:lang w:eastAsia="en-GB"/>
              </w:rPr>
              <w:t>4</w:t>
            </w:r>
            <w:r w:rsidR="009B607F" w:rsidRPr="009D4E09">
              <w:rPr>
                <w:rFonts w:cs="Arial"/>
                <w:sz w:val="22"/>
                <w:szCs w:val="22"/>
                <w:lang w:eastAsia="en-GB"/>
              </w:rPr>
              <w:t xml:space="preserve">,000,000 </w:t>
            </w:r>
          </w:p>
        </w:tc>
      </w:tr>
      <w:tr w:rsidR="000E18B8" w:rsidRPr="009D4E09" w:rsidTr="000352E9">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0E18B8" w:rsidRPr="009D4E09" w:rsidRDefault="000E18B8" w:rsidP="000352E9">
            <w:pPr>
              <w:rPr>
                <w:rFonts w:cs="Arial"/>
                <w:sz w:val="22"/>
                <w:szCs w:val="22"/>
                <w:lang w:eastAsia="en-GB"/>
              </w:rPr>
            </w:pPr>
            <w:r w:rsidRPr="009D4E09">
              <w:rPr>
                <w:rFonts w:cs="Arial"/>
                <w:sz w:val="22"/>
                <w:szCs w:val="22"/>
                <w:lang w:eastAsia="en-GB"/>
              </w:rPr>
              <w:t xml:space="preserve">Principality </w:t>
            </w:r>
          </w:p>
        </w:tc>
        <w:tc>
          <w:tcPr>
            <w:tcW w:w="1804" w:type="dxa"/>
            <w:tcBorders>
              <w:top w:val="nil"/>
              <w:left w:val="nil"/>
              <w:bottom w:val="single" w:sz="4" w:space="0" w:color="C0C0C0"/>
              <w:right w:val="single" w:sz="4" w:space="0" w:color="C0C0C0"/>
            </w:tcBorders>
            <w:shd w:val="clear" w:color="auto" w:fill="auto"/>
            <w:noWrap/>
            <w:vAlign w:val="bottom"/>
          </w:tcPr>
          <w:p w:rsidR="000E18B8" w:rsidRPr="009D4E09" w:rsidRDefault="0072488A" w:rsidP="000352E9">
            <w:pPr>
              <w:jc w:val="right"/>
              <w:rPr>
                <w:rFonts w:cs="Arial"/>
                <w:sz w:val="22"/>
                <w:szCs w:val="22"/>
                <w:lang w:eastAsia="en-GB"/>
              </w:rPr>
            </w:pPr>
            <w:r w:rsidRPr="009D4E09">
              <w:rPr>
                <w:rFonts w:cs="Arial"/>
                <w:sz w:val="22"/>
                <w:szCs w:val="22"/>
                <w:lang w:eastAsia="en-GB"/>
              </w:rPr>
              <w:t>8</w:t>
            </w:r>
            <w:r w:rsidR="000E18B8" w:rsidRPr="009D4E09">
              <w:rPr>
                <w:rFonts w:cs="Arial"/>
                <w:sz w:val="22"/>
                <w:szCs w:val="22"/>
                <w:lang w:eastAsia="en-GB"/>
              </w:rPr>
              <w:t>,000,000</w:t>
            </w:r>
          </w:p>
        </w:tc>
      </w:tr>
      <w:tr w:rsidR="000E18B8" w:rsidRPr="009D4E09" w:rsidTr="000352E9">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0E18B8" w:rsidRPr="009D4E09" w:rsidRDefault="000E18B8" w:rsidP="000352E9">
            <w:pPr>
              <w:rPr>
                <w:rFonts w:cs="Arial"/>
                <w:sz w:val="22"/>
                <w:szCs w:val="22"/>
                <w:lang w:eastAsia="en-GB"/>
              </w:rPr>
            </w:pPr>
            <w:r w:rsidRPr="009D4E09">
              <w:rPr>
                <w:rFonts w:cs="Arial"/>
                <w:sz w:val="22"/>
                <w:szCs w:val="22"/>
                <w:lang w:eastAsia="en-GB"/>
              </w:rPr>
              <w:t xml:space="preserve">Skipton </w:t>
            </w:r>
          </w:p>
        </w:tc>
        <w:tc>
          <w:tcPr>
            <w:tcW w:w="1804" w:type="dxa"/>
            <w:tcBorders>
              <w:top w:val="single" w:sz="4" w:space="0" w:color="C0C0C0"/>
              <w:left w:val="nil"/>
              <w:right w:val="single" w:sz="4" w:space="0" w:color="C0C0C0"/>
            </w:tcBorders>
            <w:shd w:val="clear" w:color="auto" w:fill="auto"/>
            <w:noWrap/>
            <w:vAlign w:val="bottom"/>
          </w:tcPr>
          <w:p w:rsidR="000E18B8" w:rsidRPr="009D4E09" w:rsidRDefault="0072488A" w:rsidP="0072488A">
            <w:pPr>
              <w:jc w:val="right"/>
              <w:rPr>
                <w:rFonts w:cs="Arial"/>
                <w:sz w:val="22"/>
                <w:szCs w:val="22"/>
                <w:u w:val="single"/>
                <w:lang w:eastAsia="en-GB"/>
              </w:rPr>
            </w:pPr>
            <w:r w:rsidRPr="009D4E09">
              <w:rPr>
                <w:rFonts w:cs="Arial"/>
                <w:sz w:val="22"/>
                <w:szCs w:val="22"/>
                <w:u w:val="single"/>
                <w:lang w:eastAsia="en-GB"/>
              </w:rPr>
              <w:t>8</w:t>
            </w:r>
            <w:r w:rsidR="004A69A7" w:rsidRPr="009D4E09">
              <w:rPr>
                <w:rFonts w:cs="Arial"/>
                <w:sz w:val="22"/>
                <w:szCs w:val="22"/>
                <w:u w:val="single"/>
                <w:lang w:eastAsia="en-GB"/>
              </w:rPr>
              <w:t>,</w:t>
            </w:r>
            <w:r w:rsidRPr="009D4E09">
              <w:rPr>
                <w:rFonts w:cs="Arial"/>
                <w:sz w:val="22"/>
                <w:szCs w:val="22"/>
                <w:u w:val="single"/>
                <w:lang w:eastAsia="en-GB"/>
              </w:rPr>
              <w:t>5</w:t>
            </w:r>
            <w:r w:rsidR="004A69A7" w:rsidRPr="009D4E09">
              <w:rPr>
                <w:rFonts w:cs="Arial"/>
                <w:sz w:val="22"/>
                <w:szCs w:val="22"/>
                <w:u w:val="single"/>
                <w:lang w:eastAsia="en-GB"/>
              </w:rPr>
              <w:t>00</w:t>
            </w:r>
            <w:r w:rsidR="000E18B8" w:rsidRPr="009D4E09">
              <w:rPr>
                <w:rFonts w:cs="Arial"/>
                <w:sz w:val="22"/>
                <w:szCs w:val="22"/>
                <w:u w:val="single"/>
                <w:lang w:eastAsia="en-GB"/>
              </w:rPr>
              <w:t xml:space="preserve">,000 </w:t>
            </w:r>
          </w:p>
        </w:tc>
      </w:tr>
      <w:tr w:rsidR="000E18B8" w:rsidRPr="009D4E09" w:rsidTr="000352E9">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0E18B8" w:rsidRPr="009D4E09" w:rsidRDefault="000E18B8" w:rsidP="000352E9">
            <w:pPr>
              <w:rPr>
                <w:rFonts w:cs="Arial"/>
                <w:b/>
                <w:bCs/>
                <w:i/>
                <w:sz w:val="22"/>
                <w:szCs w:val="22"/>
                <w:lang w:eastAsia="en-GB"/>
              </w:rPr>
            </w:pPr>
            <w:r w:rsidRPr="009D4E09">
              <w:rPr>
                <w:rFonts w:cs="Arial"/>
                <w:b/>
                <w:i/>
                <w:sz w:val="22"/>
                <w:szCs w:val="22"/>
                <w:lang w:eastAsia="en-GB"/>
              </w:rPr>
              <w:t xml:space="preserve">Total </w:t>
            </w:r>
          </w:p>
        </w:tc>
        <w:tc>
          <w:tcPr>
            <w:tcW w:w="1804" w:type="dxa"/>
            <w:tcBorders>
              <w:left w:val="nil"/>
              <w:right w:val="nil"/>
            </w:tcBorders>
            <w:shd w:val="clear" w:color="auto" w:fill="auto"/>
            <w:noWrap/>
            <w:vAlign w:val="bottom"/>
          </w:tcPr>
          <w:p w:rsidR="000E18B8" w:rsidRPr="009D4E09" w:rsidRDefault="007C4FB7" w:rsidP="0072488A">
            <w:pPr>
              <w:jc w:val="right"/>
              <w:rPr>
                <w:rFonts w:cs="Arial"/>
                <w:b/>
                <w:bCs/>
                <w:i/>
                <w:sz w:val="22"/>
                <w:szCs w:val="22"/>
                <w:lang w:eastAsia="en-GB"/>
              </w:rPr>
            </w:pPr>
            <w:r w:rsidRPr="009D4E09">
              <w:rPr>
                <w:rFonts w:cs="Arial"/>
                <w:b/>
                <w:bCs/>
                <w:i/>
                <w:sz w:val="22"/>
                <w:szCs w:val="22"/>
                <w:lang w:eastAsia="en-GB"/>
              </w:rPr>
              <w:t>2</w:t>
            </w:r>
            <w:r w:rsidR="0072488A" w:rsidRPr="009D4E09">
              <w:rPr>
                <w:rFonts w:cs="Arial"/>
                <w:b/>
                <w:bCs/>
                <w:i/>
                <w:sz w:val="22"/>
                <w:szCs w:val="22"/>
                <w:lang w:eastAsia="en-GB"/>
              </w:rPr>
              <w:t>0</w:t>
            </w:r>
            <w:r w:rsidRPr="009D4E09">
              <w:rPr>
                <w:rFonts w:cs="Arial"/>
                <w:b/>
                <w:bCs/>
                <w:i/>
                <w:sz w:val="22"/>
                <w:szCs w:val="22"/>
                <w:lang w:eastAsia="en-GB"/>
              </w:rPr>
              <w:t>,0</w:t>
            </w:r>
            <w:r w:rsidR="000E18B8" w:rsidRPr="009D4E09">
              <w:rPr>
                <w:rFonts w:cs="Arial"/>
                <w:b/>
                <w:bCs/>
                <w:i/>
                <w:sz w:val="22"/>
                <w:szCs w:val="22"/>
                <w:lang w:eastAsia="en-GB"/>
              </w:rPr>
              <w:t>00,000</w:t>
            </w:r>
          </w:p>
        </w:tc>
      </w:tr>
      <w:tr w:rsidR="000E18B8" w:rsidRPr="009D4E09" w:rsidTr="000352E9">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0E18B8" w:rsidRPr="009D4E09" w:rsidRDefault="00005E64" w:rsidP="000352E9">
            <w:pPr>
              <w:rPr>
                <w:rFonts w:cs="Arial"/>
                <w:b/>
                <w:bCs/>
                <w:i/>
                <w:sz w:val="22"/>
                <w:szCs w:val="22"/>
                <w:lang w:eastAsia="en-GB"/>
              </w:rPr>
            </w:pPr>
            <w:r w:rsidRPr="009D4E09">
              <w:rPr>
                <w:rFonts w:cs="Arial"/>
                <w:b/>
                <w:bCs/>
                <w:i/>
                <w:sz w:val="22"/>
                <w:szCs w:val="22"/>
                <w:lang w:eastAsia="en-GB"/>
              </w:rPr>
              <w:t xml:space="preserve">Grand </w:t>
            </w:r>
            <w:r w:rsidR="000E18B8" w:rsidRPr="009D4E09">
              <w:rPr>
                <w:rFonts w:cs="Arial"/>
                <w:b/>
                <w:bCs/>
                <w:i/>
                <w:sz w:val="22"/>
                <w:szCs w:val="22"/>
                <w:lang w:eastAsia="en-GB"/>
              </w:rPr>
              <w:t>Total</w:t>
            </w:r>
          </w:p>
        </w:tc>
        <w:tc>
          <w:tcPr>
            <w:tcW w:w="1804" w:type="dxa"/>
            <w:tcBorders>
              <w:top w:val="single" w:sz="4" w:space="0" w:color="auto"/>
              <w:left w:val="nil"/>
              <w:bottom w:val="double" w:sz="6" w:space="0" w:color="auto"/>
              <w:right w:val="nil"/>
            </w:tcBorders>
            <w:shd w:val="clear" w:color="auto" w:fill="auto"/>
            <w:noWrap/>
            <w:vAlign w:val="bottom"/>
          </w:tcPr>
          <w:p w:rsidR="000E18B8" w:rsidRPr="009D4E09" w:rsidRDefault="0072488A" w:rsidP="000352E9">
            <w:pPr>
              <w:jc w:val="right"/>
              <w:rPr>
                <w:rFonts w:cs="Arial"/>
                <w:b/>
                <w:bCs/>
                <w:i/>
                <w:sz w:val="22"/>
                <w:szCs w:val="22"/>
                <w:lang w:eastAsia="en-GB"/>
              </w:rPr>
            </w:pPr>
            <w:r w:rsidRPr="009D4E09">
              <w:rPr>
                <w:rFonts w:cs="Arial"/>
                <w:b/>
                <w:bCs/>
                <w:i/>
                <w:sz w:val="22"/>
                <w:szCs w:val="22"/>
                <w:lang w:eastAsia="en-GB"/>
              </w:rPr>
              <w:t>26</w:t>
            </w:r>
            <w:r w:rsidR="009B607F" w:rsidRPr="009D4E09">
              <w:rPr>
                <w:rFonts w:cs="Arial"/>
                <w:b/>
                <w:bCs/>
                <w:i/>
                <w:sz w:val="22"/>
                <w:szCs w:val="22"/>
                <w:lang w:eastAsia="en-GB"/>
              </w:rPr>
              <w:t>,</w:t>
            </w:r>
            <w:r w:rsidR="004E5CBC" w:rsidRPr="009D4E09">
              <w:rPr>
                <w:rFonts w:cs="Arial"/>
                <w:b/>
                <w:bCs/>
                <w:i/>
                <w:sz w:val="22"/>
                <w:szCs w:val="22"/>
                <w:lang w:eastAsia="en-GB"/>
              </w:rPr>
              <w:t>000</w:t>
            </w:r>
            <w:r w:rsidR="000E18B8" w:rsidRPr="009D4E09">
              <w:rPr>
                <w:rFonts w:cs="Arial"/>
                <w:b/>
                <w:bCs/>
                <w:i/>
                <w:sz w:val="22"/>
                <w:szCs w:val="22"/>
                <w:lang w:eastAsia="en-GB"/>
              </w:rPr>
              <w:t xml:space="preserve">,000 </w:t>
            </w:r>
          </w:p>
        </w:tc>
      </w:tr>
    </w:tbl>
    <w:p w:rsidR="000E18B8" w:rsidRPr="009D4E09" w:rsidRDefault="000E18B8" w:rsidP="000E18B8">
      <w:pPr>
        <w:autoSpaceDE w:val="0"/>
        <w:autoSpaceDN w:val="0"/>
        <w:adjustRightInd w:val="0"/>
        <w:rPr>
          <w:rFonts w:cs="Arial"/>
          <w:sz w:val="22"/>
          <w:szCs w:val="22"/>
        </w:rPr>
      </w:pPr>
      <w:r w:rsidRPr="009D4E09">
        <w:rPr>
          <w:rFonts w:cs="Arial"/>
          <w:sz w:val="22"/>
        </w:rPr>
        <w:tab/>
      </w:r>
      <w:r w:rsidRPr="009D4E09">
        <w:rPr>
          <w:rFonts w:cs="Arial"/>
          <w:sz w:val="22"/>
        </w:rPr>
        <w:fldChar w:fldCharType="begin"/>
      </w:r>
      <w:r w:rsidRPr="009D4E09">
        <w:rPr>
          <w:rFonts w:cs="Arial"/>
          <w:sz w:val="22"/>
        </w:rPr>
        <w:instrText xml:space="preserve">  </w:instrText>
      </w:r>
      <w:r w:rsidRPr="009D4E09">
        <w:rPr>
          <w:rFonts w:cs="Arial"/>
          <w:sz w:val="22"/>
        </w:rPr>
        <w:fldChar w:fldCharType="end"/>
      </w:r>
      <w:r w:rsidRPr="009D4E09">
        <w:rPr>
          <w:rFonts w:cs="Arial"/>
          <w:noProof/>
          <w:sz w:val="22"/>
        </w:rPr>
        <w:t xml:space="preserve"> </w:t>
      </w:r>
      <w:r w:rsidRPr="009D4E09">
        <w:rPr>
          <w:rFonts w:cs="Arial"/>
          <w:noProof/>
          <w:sz w:val="22"/>
        </w:rPr>
        <w:tab/>
      </w:r>
    </w:p>
    <w:p w:rsidR="00DC0525" w:rsidRPr="009D4E09" w:rsidRDefault="000E18B8" w:rsidP="000E18B8">
      <w:pPr>
        <w:tabs>
          <w:tab w:val="num" w:pos="709"/>
        </w:tabs>
        <w:rPr>
          <w:rFonts w:cs="Arial"/>
          <w:sz w:val="22"/>
          <w:szCs w:val="22"/>
        </w:rPr>
      </w:pPr>
      <w:r w:rsidRPr="009D4E09">
        <w:rPr>
          <w:rFonts w:cs="Arial"/>
          <w:sz w:val="22"/>
          <w:szCs w:val="22"/>
        </w:rPr>
        <w:t xml:space="preserve">In accordance with the Code, it is the Council’s priority to ensure security of capital and liquidity, and to obtain an appropriate level of return which is consistent with the Council’s risk appetite.  </w:t>
      </w:r>
    </w:p>
    <w:p w:rsidR="00856A95" w:rsidRPr="009D4E09" w:rsidRDefault="00856A95" w:rsidP="000E18B8">
      <w:pPr>
        <w:tabs>
          <w:tab w:val="num" w:pos="709"/>
        </w:tabs>
        <w:rPr>
          <w:rFonts w:cs="Arial"/>
          <w:sz w:val="22"/>
          <w:szCs w:val="22"/>
        </w:rPr>
      </w:pPr>
    </w:p>
    <w:p w:rsidR="00EB13C1" w:rsidRPr="009D4E09" w:rsidRDefault="000E18B8" w:rsidP="000E18B8">
      <w:pPr>
        <w:tabs>
          <w:tab w:val="num" w:pos="709"/>
        </w:tabs>
        <w:rPr>
          <w:rFonts w:cs="Arial"/>
          <w:sz w:val="22"/>
          <w:szCs w:val="22"/>
        </w:rPr>
      </w:pPr>
      <w:r w:rsidRPr="009D4E09">
        <w:rPr>
          <w:rFonts w:cs="Arial"/>
          <w:sz w:val="22"/>
          <w:szCs w:val="22"/>
        </w:rPr>
        <w:t xml:space="preserve">Monthly Interest Rates to </w:t>
      </w:r>
      <w:r w:rsidR="00DC0525" w:rsidRPr="009D4E09">
        <w:rPr>
          <w:rFonts w:cs="Arial"/>
          <w:sz w:val="22"/>
          <w:szCs w:val="22"/>
        </w:rPr>
        <w:t xml:space="preserve">the end </w:t>
      </w:r>
      <w:r w:rsidR="0072488A" w:rsidRPr="009D4E09">
        <w:rPr>
          <w:rFonts w:cs="Arial"/>
          <w:sz w:val="22"/>
          <w:szCs w:val="22"/>
        </w:rPr>
        <w:t xml:space="preserve">of </w:t>
      </w:r>
      <w:r w:rsidR="00EB13C1" w:rsidRPr="009D4E09">
        <w:rPr>
          <w:rFonts w:cs="Arial"/>
          <w:sz w:val="22"/>
          <w:szCs w:val="22"/>
        </w:rPr>
        <w:t>December 2016</w:t>
      </w:r>
    </w:p>
    <w:tbl>
      <w:tblPr>
        <w:tblpPr w:leftFromText="180" w:rightFromText="180" w:vertAnchor="text" w:horzAnchor="page" w:tblpX="3061"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82"/>
      </w:tblGrid>
      <w:tr w:rsidR="00EB13C1" w:rsidRPr="009D4E09" w:rsidTr="00EB13C1">
        <w:trPr>
          <w:trHeight w:val="278"/>
        </w:trPr>
        <w:tc>
          <w:tcPr>
            <w:tcW w:w="2621" w:type="dxa"/>
            <w:shd w:val="clear" w:color="auto" w:fill="auto"/>
          </w:tcPr>
          <w:p w:rsidR="00EB13C1" w:rsidRPr="009D4E09" w:rsidRDefault="00EB13C1" w:rsidP="00EB13C1">
            <w:pPr>
              <w:spacing w:line="360" w:lineRule="auto"/>
              <w:jc w:val="center"/>
              <w:rPr>
                <w:rFonts w:cs="Arial"/>
                <w:b/>
                <w:sz w:val="22"/>
                <w:szCs w:val="22"/>
              </w:rPr>
            </w:pPr>
            <w:r w:rsidRPr="009D4E09">
              <w:rPr>
                <w:rFonts w:cs="Arial"/>
                <w:b/>
                <w:sz w:val="22"/>
                <w:szCs w:val="22"/>
              </w:rPr>
              <w:t>Month</w:t>
            </w:r>
          </w:p>
        </w:tc>
        <w:tc>
          <w:tcPr>
            <w:tcW w:w="1882" w:type="dxa"/>
            <w:shd w:val="clear" w:color="auto" w:fill="auto"/>
          </w:tcPr>
          <w:p w:rsidR="00EB13C1" w:rsidRPr="009D4E09" w:rsidRDefault="00EB13C1" w:rsidP="00EB13C1">
            <w:pPr>
              <w:spacing w:line="360" w:lineRule="auto"/>
              <w:jc w:val="center"/>
              <w:rPr>
                <w:rFonts w:cs="Arial"/>
                <w:b/>
                <w:sz w:val="22"/>
                <w:szCs w:val="22"/>
              </w:rPr>
            </w:pPr>
            <w:r w:rsidRPr="009D4E09">
              <w:rPr>
                <w:rFonts w:cs="Arial"/>
                <w:b/>
                <w:sz w:val="22"/>
                <w:szCs w:val="22"/>
              </w:rPr>
              <w:t>Rate Achieved</w:t>
            </w:r>
          </w:p>
        </w:tc>
      </w:tr>
      <w:tr w:rsidR="00EB13C1" w:rsidRPr="009D4E09" w:rsidTr="00EB13C1">
        <w:trPr>
          <w:trHeight w:val="298"/>
        </w:trPr>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April</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0.76%</w:t>
            </w:r>
          </w:p>
        </w:tc>
      </w:tr>
      <w:tr w:rsidR="00EB13C1" w:rsidRPr="009D4E09" w:rsidTr="00EB13C1">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May</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0.72%</w:t>
            </w:r>
          </w:p>
        </w:tc>
      </w:tr>
      <w:tr w:rsidR="00EB13C1" w:rsidRPr="009D4E09" w:rsidTr="00EB13C1">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June</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0.78%</w:t>
            </w:r>
          </w:p>
        </w:tc>
      </w:tr>
      <w:tr w:rsidR="00EB13C1" w:rsidRPr="009D4E09" w:rsidTr="00EB13C1">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July</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0.75%</w:t>
            </w:r>
          </w:p>
        </w:tc>
      </w:tr>
      <w:tr w:rsidR="00EB13C1" w:rsidRPr="009D4E09" w:rsidTr="00EB13C1">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August</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0.73%</w:t>
            </w:r>
          </w:p>
        </w:tc>
      </w:tr>
      <w:tr w:rsidR="00EB13C1" w:rsidRPr="009D4E09" w:rsidTr="00EB13C1">
        <w:trPr>
          <w:trHeight w:val="285"/>
        </w:trPr>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September</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0.71%</w:t>
            </w:r>
          </w:p>
        </w:tc>
      </w:tr>
      <w:tr w:rsidR="00EB13C1" w:rsidRPr="009D4E09" w:rsidTr="00EB13C1">
        <w:trPr>
          <w:trHeight w:val="285"/>
        </w:trPr>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October</w:t>
            </w:r>
          </w:p>
        </w:tc>
        <w:tc>
          <w:tcPr>
            <w:tcW w:w="1882"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0.68%</w:t>
            </w:r>
          </w:p>
        </w:tc>
      </w:tr>
      <w:tr w:rsidR="00EB13C1" w:rsidRPr="009D4E09" w:rsidTr="00EB13C1">
        <w:trPr>
          <w:trHeight w:val="240"/>
        </w:trPr>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November</w:t>
            </w:r>
          </w:p>
        </w:tc>
        <w:tc>
          <w:tcPr>
            <w:tcW w:w="1882" w:type="dxa"/>
            <w:shd w:val="clear" w:color="auto" w:fill="auto"/>
          </w:tcPr>
          <w:p w:rsidR="00EB13C1" w:rsidRPr="009D4E09" w:rsidRDefault="00EB13C1" w:rsidP="00EB13C1">
            <w:pPr>
              <w:spacing w:line="360" w:lineRule="auto"/>
              <w:jc w:val="center"/>
              <w:rPr>
                <w:rFonts w:cs="Arial"/>
                <w:i/>
                <w:color w:val="0070C0"/>
                <w:sz w:val="22"/>
                <w:szCs w:val="22"/>
              </w:rPr>
            </w:pPr>
            <w:r w:rsidRPr="009D4E09">
              <w:rPr>
                <w:rFonts w:cs="Arial"/>
                <w:i/>
                <w:color w:val="0070C0"/>
                <w:sz w:val="22"/>
                <w:szCs w:val="22"/>
              </w:rPr>
              <w:t>To be updated</w:t>
            </w:r>
          </w:p>
        </w:tc>
      </w:tr>
      <w:tr w:rsidR="00EB13C1" w:rsidRPr="009D4E09" w:rsidTr="00EB13C1">
        <w:trPr>
          <w:trHeight w:val="285"/>
        </w:trPr>
        <w:tc>
          <w:tcPr>
            <w:tcW w:w="2621" w:type="dxa"/>
            <w:shd w:val="clear" w:color="auto" w:fill="auto"/>
          </w:tcPr>
          <w:p w:rsidR="00EB13C1" w:rsidRPr="009D4E09" w:rsidRDefault="00EB13C1" w:rsidP="00EB13C1">
            <w:pPr>
              <w:spacing w:line="360" w:lineRule="auto"/>
              <w:jc w:val="center"/>
              <w:rPr>
                <w:rFonts w:cs="Arial"/>
                <w:sz w:val="22"/>
                <w:szCs w:val="22"/>
              </w:rPr>
            </w:pPr>
            <w:r w:rsidRPr="009D4E09">
              <w:rPr>
                <w:rFonts w:cs="Arial"/>
                <w:sz w:val="22"/>
                <w:szCs w:val="22"/>
              </w:rPr>
              <w:t xml:space="preserve">December </w:t>
            </w:r>
          </w:p>
        </w:tc>
        <w:tc>
          <w:tcPr>
            <w:tcW w:w="1882" w:type="dxa"/>
            <w:shd w:val="clear" w:color="auto" w:fill="auto"/>
          </w:tcPr>
          <w:p w:rsidR="00EB13C1" w:rsidRPr="009D4E09" w:rsidRDefault="00EB13C1" w:rsidP="00EB13C1">
            <w:pPr>
              <w:spacing w:line="360" w:lineRule="auto"/>
              <w:jc w:val="center"/>
              <w:rPr>
                <w:rFonts w:cs="Arial"/>
                <w:i/>
                <w:color w:val="0070C0"/>
                <w:sz w:val="22"/>
                <w:szCs w:val="22"/>
              </w:rPr>
            </w:pPr>
            <w:r w:rsidRPr="009D4E09">
              <w:rPr>
                <w:rFonts w:cs="Arial"/>
                <w:i/>
                <w:color w:val="0070C0"/>
                <w:sz w:val="22"/>
                <w:szCs w:val="22"/>
              </w:rPr>
              <w:t>To be updated</w:t>
            </w:r>
          </w:p>
        </w:tc>
      </w:tr>
    </w:tbl>
    <w:p w:rsidR="000E18B8" w:rsidRPr="009D4E09" w:rsidRDefault="000E18B8" w:rsidP="000E18B8">
      <w:pPr>
        <w:tabs>
          <w:tab w:val="num" w:pos="709"/>
        </w:tabs>
        <w:rPr>
          <w:rFonts w:cs="Arial"/>
          <w:color w:val="0000FF"/>
          <w:sz w:val="22"/>
          <w:szCs w:val="22"/>
        </w:rPr>
      </w:pPr>
    </w:p>
    <w:p w:rsidR="00EB13C1" w:rsidRPr="009D4E09" w:rsidRDefault="00EB13C1" w:rsidP="000E18B8">
      <w:pPr>
        <w:tabs>
          <w:tab w:val="num" w:pos="709"/>
        </w:tabs>
        <w:rPr>
          <w:rFonts w:cs="Arial"/>
          <w:color w:val="0000FF"/>
          <w:sz w:val="22"/>
          <w:szCs w:val="22"/>
        </w:rPr>
      </w:pPr>
    </w:p>
    <w:p w:rsidR="000E18B8" w:rsidRPr="009D4E09" w:rsidRDefault="000E18B8" w:rsidP="000E18B8">
      <w:pPr>
        <w:tabs>
          <w:tab w:val="num" w:pos="709"/>
        </w:tabs>
        <w:rPr>
          <w:rFonts w:cs="Arial"/>
          <w:color w:val="0000FF"/>
          <w:sz w:val="22"/>
          <w:szCs w:val="22"/>
        </w:rPr>
      </w:pPr>
    </w:p>
    <w:p w:rsidR="000E18B8" w:rsidRPr="009D4E09" w:rsidRDefault="000E18B8"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DD51B9" w:rsidRPr="009D4E09" w:rsidRDefault="00DD51B9" w:rsidP="000E18B8">
      <w:pPr>
        <w:tabs>
          <w:tab w:val="num" w:pos="709"/>
        </w:tabs>
        <w:rPr>
          <w:rFonts w:cs="Arial"/>
          <w:sz w:val="22"/>
          <w:szCs w:val="22"/>
        </w:rPr>
      </w:pPr>
    </w:p>
    <w:p w:rsidR="00DD51B9" w:rsidRPr="009D4E09" w:rsidRDefault="00DD51B9"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4E5CBC" w:rsidRPr="009D4E09" w:rsidRDefault="004E5CBC"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p>
    <w:p w:rsidR="00A71576" w:rsidRPr="009D4E09" w:rsidRDefault="00A71576" w:rsidP="000E18B8">
      <w:pPr>
        <w:tabs>
          <w:tab w:val="num" w:pos="709"/>
        </w:tabs>
        <w:rPr>
          <w:rFonts w:cs="Arial"/>
          <w:sz w:val="22"/>
          <w:szCs w:val="22"/>
        </w:rPr>
      </w:pPr>
    </w:p>
    <w:p w:rsidR="00A71576" w:rsidRPr="009D4E09" w:rsidRDefault="00A71576" w:rsidP="000E18B8">
      <w:pPr>
        <w:tabs>
          <w:tab w:val="num" w:pos="709"/>
        </w:tabs>
        <w:rPr>
          <w:rFonts w:cs="Arial"/>
          <w:sz w:val="22"/>
          <w:szCs w:val="22"/>
        </w:rPr>
      </w:pPr>
    </w:p>
    <w:p w:rsidR="00A71576" w:rsidRPr="009D4E09" w:rsidRDefault="00A71576" w:rsidP="000E18B8">
      <w:pPr>
        <w:tabs>
          <w:tab w:val="num" w:pos="709"/>
        </w:tabs>
        <w:rPr>
          <w:rFonts w:cs="Arial"/>
          <w:sz w:val="22"/>
          <w:szCs w:val="22"/>
        </w:rPr>
      </w:pPr>
    </w:p>
    <w:p w:rsidR="005B4E98" w:rsidRPr="009D4E09" w:rsidRDefault="005B4E98" w:rsidP="000E18B8">
      <w:pPr>
        <w:tabs>
          <w:tab w:val="num" w:pos="709"/>
        </w:tabs>
        <w:rPr>
          <w:rFonts w:cs="Arial"/>
          <w:sz w:val="22"/>
          <w:szCs w:val="22"/>
        </w:rPr>
      </w:pPr>
    </w:p>
    <w:p w:rsidR="000E18B8" w:rsidRPr="009D4E09" w:rsidRDefault="000E18B8" w:rsidP="000E18B8">
      <w:pPr>
        <w:tabs>
          <w:tab w:val="num" w:pos="709"/>
        </w:tabs>
        <w:rPr>
          <w:rFonts w:cs="Arial"/>
          <w:sz w:val="22"/>
          <w:szCs w:val="22"/>
        </w:rPr>
      </w:pPr>
      <w:r w:rsidRPr="009D4E09">
        <w:rPr>
          <w:rFonts w:cs="Arial"/>
          <w:sz w:val="22"/>
          <w:szCs w:val="22"/>
        </w:rPr>
        <w:lastRenderedPageBreak/>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noProof/>
          <w:sz w:val="22"/>
          <w:szCs w:val="22"/>
        </w:rPr>
        <w:t>The approved</w:t>
      </w:r>
      <w:r w:rsidRPr="009D4E09">
        <w:rPr>
          <w:rFonts w:cs="Arial"/>
          <w:sz w:val="22"/>
          <w:szCs w:val="22"/>
        </w:rPr>
        <w:t xml:space="preserve"> benchmark measure of yield is a return of 0.12% above the average bank rate of 0.</w:t>
      </w:r>
      <w:r w:rsidR="00C81D1A" w:rsidRPr="009D4E09">
        <w:rPr>
          <w:rFonts w:cs="Arial"/>
          <w:sz w:val="22"/>
          <w:szCs w:val="22"/>
        </w:rPr>
        <w:t>50</w:t>
      </w:r>
      <w:r w:rsidRPr="009D4E09">
        <w:rPr>
          <w:rFonts w:cs="Arial"/>
          <w:sz w:val="22"/>
          <w:szCs w:val="22"/>
        </w:rPr>
        <w:t xml:space="preserve">%. </w:t>
      </w:r>
      <w:r w:rsidR="00757359" w:rsidRPr="009D4E09">
        <w:rPr>
          <w:rFonts w:cs="Arial"/>
          <w:sz w:val="22"/>
          <w:szCs w:val="22"/>
        </w:rPr>
        <w:t xml:space="preserve"> </w:t>
      </w:r>
      <w:r w:rsidRPr="009D4E09">
        <w:rPr>
          <w:rFonts w:cs="Arial"/>
          <w:sz w:val="22"/>
          <w:szCs w:val="22"/>
        </w:rPr>
        <w:t>The</w:t>
      </w: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sz w:val="22"/>
          <w:szCs w:val="22"/>
        </w:rPr>
        <w:t xml:space="preserve"> returns up t</w:t>
      </w:r>
      <w:r w:rsidR="007B58CE" w:rsidRPr="009D4E09">
        <w:rPr>
          <w:rFonts w:cs="Arial"/>
          <w:sz w:val="22"/>
          <w:szCs w:val="22"/>
        </w:rPr>
        <w:t xml:space="preserve">o </w:t>
      </w:r>
      <w:r w:rsidR="0072488A" w:rsidRPr="009D4E09">
        <w:rPr>
          <w:rFonts w:cs="Arial"/>
          <w:sz w:val="22"/>
          <w:szCs w:val="22"/>
          <w:highlight w:val="yellow"/>
        </w:rPr>
        <w:t>31 October</w:t>
      </w:r>
      <w:r w:rsidRPr="009D4E09">
        <w:rPr>
          <w:rFonts w:cs="Arial"/>
          <w:sz w:val="22"/>
          <w:szCs w:val="22"/>
          <w:highlight w:val="yellow"/>
        </w:rPr>
        <w:t xml:space="preserve"> averaged 0.</w:t>
      </w:r>
      <w:r w:rsidR="00C81D1A" w:rsidRPr="009D4E09">
        <w:rPr>
          <w:rFonts w:cs="Arial"/>
          <w:sz w:val="22"/>
          <w:szCs w:val="22"/>
          <w:highlight w:val="yellow"/>
        </w:rPr>
        <w:t>7</w:t>
      </w:r>
      <w:r w:rsidR="00A71576" w:rsidRPr="009D4E09">
        <w:rPr>
          <w:rFonts w:cs="Arial"/>
          <w:sz w:val="22"/>
          <w:szCs w:val="22"/>
          <w:highlight w:val="yellow"/>
        </w:rPr>
        <w:t>3</w:t>
      </w:r>
      <w:r w:rsidRPr="009D4E09">
        <w:rPr>
          <w:rFonts w:cs="Arial"/>
          <w:sz w:val="22"/>
          <w:szCs w:val="22"/>
          <w:highlight w:val="yellow"/>
        </w:rPr>
        <w:t>%</w:t>
      </w:r>
      <w:r w:rsidR="00A71576" w:rsidRPr="009D4E09">
        <w:rPr>
          <w:rFonts w:cs="Arial"/>
          <w:sz w:val="22"/>
          <w:szCs w:val="22"/>
        </w:rPr>
        <w:t xml:space="preserve"> </w:t>
      </w:r>
      <w:r w:rsidR="00A71576" w:rsidRPr="009D4E09">
        <w:rPr>
          <w:rFonts w:cs="Arial"/>
          <w:i/>
          <w:color w:val="0070C0"/>
          <w:sz w:val="22"/>
          <w:szCs w:val="22"/>
        </w:rPr>
        <w:t>(to be updated to Dec 16)</w:t>
      </w:r>
      <w:r w:rsidRPr="009D4E09">
        <w:rPr>
          <w:rFonts w:cs="Arial"/>
          <w:sz w:val="22"/>
          <w:szCs w:val="22"/>
        </w:rPr>
        <w:t xml:space="preserve">, against a benchmark rate of </w:t>
      </w:r>
      <w:r w:rsidR="0072488A" w:rsidRPr="009D4E09">
        <w:rPr>
          <w:rFonts w:cs="Arial"/>
          <w:sz w:val="22"/>
          <w:szCs w:val="22"/>
        </w:rPr>
        <w:t>0.</w:t>
      </w:r>
      <w:r w:rsidR="00C81D1A" w:rsidRPr="009D4E09">
        <w:rPr>
          <w:rFonts w:cs="Arial"/>
          <w:sz w:val="22"/>
          <w:szCs w:val="22"/>
        </w:rPr>
        <w:t>62</w:t>
      </w:r>
      <w:r w:rsidR="0072488A" w:rsidRPr="009D4E09">
        <w:rPr>
          <w:rFonts w:cs="Arial"/>
          <w:sz w:val="22"/>
          <w:szCs w:val="22"/>
        </w:rPr>
        <w:t xml:space="preserve">%. </w:t>
      </w:r>
      <w:r w:rsidRPr="009D4E09">
        <w:rPr>
          <w:rFonts w:cs="Arial"/>
          <w:sz w:val="22"/>
          <w:szCs w:val="22"/>
        </w:rPr>
        <w:t xml:space="preserve"> The average yield return is lower than the benchmark for the year to date. </w:t>
      </w:r>
      <w:r w:rsidR="00757359" w:rsidRPr="009D4E09">
        <w:rPr>
          <w:rFonts w:cs="Arial"/>
          <w:sz w:val="22"/>
          <w:szCs w:val="22"/>
        </w:rPr>
        <w:t>In accordance with its risk appetite, t</w:t>
      </w:r>
      <w:r w:rsidRPr="009D4E09">
        <w:rPr>
          <w:rFonts w:cs="Arial"/>
          <w:sz w:val="22"/>
          <w:szCs w:val="22"/>
        </w:rPr>
        <w:t>he Council tends to keep th</w:t>
      </w:r>
      <w:r w:rsidR="00757359" w:rsidRPr="009D4E09">
        <w:rPr>
          <w:rFonts w:cs="Arial"/>
          <w:sz w:val="22"/>
          <w:szCs w:val="22"/>
        </w:rPr>
        <w:t>e majority of investments short-</w:t>
      </w:r>
      <w:r w:rsidRPr="009D4E09">
        <w:rPr>
          <w:rFonts w:cs="Arial"/>
          <w:sz w:val="22"/>
          <w:szCs w:val="22"/>
        </w:rPr>
        <w:t xml:space="preserve">term (not greater than 364 days). </w:t>
      </w:r>
    </w:p>
    <w:p w:rsidR="000E18B8" w:rsidRPr="009D4E09" w:rsidRDefault="000E18B8" w:rsidP="000E18B8">
      <w:pPr>
        <w:tabs>
          <w:tab w:val="num" w:pos="709"/>
        </w:tabs>
        <w:ind w:left="1267"/>
        <w:jc w:val="both"/>
        <w:rPr>
          <w:rFonts w:cs="Arial"/>
          <w:color w:val="0000FF"/>
          <w:sz w:val="22"/>
          <w:szCs w:val="22"/>
          <w:highlight w:val="cyan"/>
        </w:rPr>
      </w:pPr>
    </w:p>
    <w:p w:rsidR="00E33A52" w:rsidRPr="009D4E09" w:rsidRDefault="000E18B8" w:rsidP="000E18B8">
      <w:pPr>
        <w:tabs>
          <w:tab w:val="num" w:pos="709"/>
        </w:tabs>
        <w:jc w:val="both"/>
        <w:rPr>
          <w:rFonts w:cs="Arial"/>
          <w:sz w:val="22"/>
          <w:szCs w:val="22"/>
        </w:rPr>
      </w:pPr>
      <w:r w:rsidRPr="009D4E09">
        <w:rPr>
          <w:rFonts w:cs="Arial"/>
          <w:sz w:val="22"/>
          <w:szCs w:val="22"/>
        </w:rPr>
        <w:t xml:space="preserve">The budget for interest on investments for </w:t>
      </w:r>
      <w:r w:rsidR="00DD51B9" w:rsidRPr="009D4E09">
        <w:rPr>
          <w:rFonts w:cs="Arial"/>
          <w:sz w:val="22"/>
          <w:szCs w:val="22"/>
        </w:rPr>
        <w:t>201</w:t>
      </w:r>
      <w:r w:rsidR="0072488A" w:rsidRPr="009D4E09">
        <w:rPr>
          <w:rFonts w:cs="Arial"/>
          <w:sz w:val="22"/>
          <w:szCs w:val="22"/>
        </w:rPr>
        <w:t>6</w:t>
      </w:r>
      <w:r w:rsidR="00DD51B9" w:rsidRPr="009D4E09">
        <w:rPr>
          <w:rFonts w:cs="Arial"/>
          <w:sz w:val="22"/>
          <w:szCs w:val="22"/>
        </w:rPr>
        <w:t>/1</w:t>
      </w:r>
      <w:r w:rsidR="0072488A" w:rsidRPr="009D4E09">
        <w:rPr>
          <w:rFonts w:cs="Arial"/>
          <w:sz w:val="22"/>
          <w:szCs w:val="22"/>
        </w:rPr>
        <w:t>7</w:t>
      </w:r>
      <w:r w:rsidR="00DD51B9" w:rsidRPr="009D4E09">
        <w:rPr>
          <w:rFonts w:cs="Arial"/>
          <w:sz w:val="22"/>
          <w:szCs w:val="22"/>
        </w:rPr>
        <w:t xml:space="preserve"> is £</w:t>
      </w:r>
      <w:r w:rsidR="0099497D" w:rsidRPr="009D4E09">
        <w:rPr>
          <w:rFonts w:cs="Arial"/>
          <w:sz w:val="22"/>
          <w:szCs w:val="22"/>
        </w:rPr>
        <w:t>283,000</w:t>
      </w:r>
      <w:r w:rsidRPr="009D4E09">
        <w:rPr>
          <w:rFonts w:cs="Arial"/>
          <w:sz w:val="22"/>
          <w:szCs w:val="22"/>
        </w:rPr>
        <w:t>; intere</w:t>
      </w:r>
      <w:r w:rsidR="007B58CE" w:rsidRPr="009D4E09">
        <w:rPr>
          <w:rFonts w:cs="Arial"/>
          <w:sz w:val="22"/>
          <w:szCs w:val="22"/>
        </w:rPr>
        <w:t xml:space="preserve">st received up to the end of </w:t>
      </w:r>
      <w:r w:rsidR="0072488A" w:rsidRPr="009D4E09">
        <w:rPr>
          <w:rFonts w:cs="Arial"/>
          <w:sz w:val="22"/>
          <w:szCs w:val="22"/>
        </w:rPr>
        <w:t>October</w:t>
      </w:r>
      <w:r w:rsidRPr="009D4E09">
        <w:rPr>
          <w:rFonts w:cs="Arial"/>
          <w:sz w:val="22"/>
          <w:szCs w:val="22"/>
        </w:rPr>
        <w:t xml:space="preserve"> was </w:t>
      </w:r>
      <w:r w:rsidR="007B58CE" w:rsidRPr="009D4E09">
        <w:rPr>
          <w:rFonts w:cs="Arial"/>
          <w:sz w:val="22"/>
          <w:szCs w:val="22"/>
        </w:rPr>
        <w:t>£</w:t>
      </w:r>
      <w:r w:rsidR="00833F30" w:rsidRPr="009D4E09">
        <w:rPr>
          <w:rFonts w:cs="Arial"/>
          <w:sz w:val="22"/>
          <w:szCs w:val="22"/>
        </w:rPr>
        <w:t>120,000</w:t>
      </w:r>
      <w:r w:rsidR="0099497D" w:rsidRPr="009D4E09">
        <w:rPr>
          <w:rFonts w:cs="Arial"/>
          <w:sz w:val="22"/>
          <w:szCs w:val="22"/>
        </w:rPr>
        <w:t>.</w:t>
      </w:r>
      <w:r w:rsidR="00E33A52" w:rsidRPr="009D4E09">
        <w:rPr>
          <w:rFonts w:cs="Arial"/>
          <w:sz w:val="22"/>
          <w:szCs w:val="22"/>
        </w:rPr>
        <w:t xml:space="preserve"> </w:t>
      </w:r>
      <w:r w:rsidR="00757359" w:rsidRPr="009D4E09">
        <w:rPr>
          <w:rFonts w:cs="Arial"/>
          <w:sz w:val="22"/>
          <w:szCs w:val="22"/>
        </w:rPr>
        <w:t xml:space="preserve"> </w:t>
      </w:r>
      <w:r w:rsidR="00E33A52" w:rsidRPr="009D4E09">
        <w:rPr>
          <w:rFonts w:cs="Arial"/>
          <w:sz w:val="22"/>
          <w:szCs w:val="22"/>
        </w:rPr>
        <w:t>In light of curre</w:t>
      </w:r>
      <w:r w:rsidR="00757359" w:rsidRPr="009D4E09">
        <w:rPr>
          <w:rFonts w:cs="Arial"/>
          <w:sz w:val="22"/>
          <w:szCs w:val="22"/>
        </w:rPr>
        <w:t>nt interest earned</w:t>
      </w:r>
      <w:r w:rsidR="003927AB" w:rsidRPr="009D4E09">
        <w:rPr>
          <w:rFonts w:cs="Arial"/>
          <w:sz w:val="22"/>
          <w:szCs w:val="22"/>
        </w:rPr>
        <w:t xml:space="preserve">, this has been revised to </w:t>
      </w:r>
      <w:r w:rsidR="003927AB" w:rsidRPr="009D4E09">
        <w:rPr>
          <w:rFonts w:cs="Arial"/>
          <w:sz w:val="22"/>
          <w:szCs w:val="22"/>
          <w:highlight w:val="yellow"/>
        </w:rPr>
        <w:t>£</w:t>
      </w:r>
      <w:r w:rsidR="00833F30" w:rsidRPr="009D4E09">
        <w:rPr>
          <w:rFonts w:cs="Arial"/>
          <w:sz w:val="22"/>
          <w:szCs w:val="22"/>
          <w:highlight w:val="yellow"/>
        </w:rPr>
        <w:t>165,000</w:t>
      </w:r>
      <w:r w:rsidR="003927AB" w:rsidRPr="009D4E09">
        <w:rPr>
          <w:rFonts w:cs="Arial"/>
          <w:sz w:val="22"/>
          <w:szCs w:val="22"/>
        </w:rPr>
        <w:t xml:space="preserve"> and the budget adjusted accordingly. </w:t>
      </w:r>
      <w:r w:rsidR="00757359" w:rsidRPr="009D4E09">
        <w:rPr>
          <w:rFonts w:cs="Arial"/>
          <w:sz w:val="22"/>
          <w:szCs w:val="22"/>
        </w:rPr>
        <w:t xml:space="preserve"> </w:t>
      </w:r>
      <w:r w:rsidR="005731B2" w:rsidRPr="009D4E09">
        <w:rPr>
          <w:rFonts w:cs="Arial"/>
          <w:sz w:val="22"/>
          <w:szCs w:val="22"/>
        </w:rPr>
        <w:t xml:space="preserve">Future </w:t>
      </w:r>
      <w:r w:rsidR="0001118A" w:rsidRPr="009D4E09">
        <w:rPr>
          <w:rFonts w:cs="Arial"/>
          <w:sz w:val="22"/>
          <w:szCs w:val="22"/>
        </w:rPr>
        <w:t>year’s</w:t>
      </w:r>
      <w:r w:rsidR="005731B2" w:rsidRPr="009D4E09">
        <w:rPr>
          <w:rFonts w:cs="Arial"/>
          <w:sz w:val="22"/>
          <w:szCs w:val="22"/>
        </w:rPr>
        <w:t xml:space="preserve"> budgets </w:t>
      </w:r>
      <w:r w:rsidR="0001118A" w:rsidRPr="009D4E09">
        <w:rPr>
          <w:rFonts w:cs="Arial"/>
          <w:sz w:val="22"/>
          <w:szCs w:val="22"/>
        </w:rPr>
        <w:t>remain unchanged</w:t>
      </w:r>
      <w:r w:rsidR="005731B2" w:rsidRPr="009D4E09">
        <w:rPr>
          <w:rFonts w:cs="Arial"/>
          <w:sz w:val="22"/>
          <w:szCs w:val="22"/>
        </w:rPr>
        <w:t xml:space="preserve"> at this stage</w:t>
      </w:r>
      <w:r w:rsidR="0001118A" w:rsidRPr="009D4E09">
        <w:rPr>
          <w:rFonts w:cs="Arial"/>
          <w:sz w:val="22"/>
          <w:szCs w:val="22"/>
        </w:rPr>
        <w:t>.</w:t>
      </w:r>
    </w:p>
    <w:p w:rsidR="00E33A52" w:rsidRPr="009D4E09" w:rsidRDefault="00E33A52" w:rsidP="000E18B8">
      <w:pPr>
        <w:tabs>
          <w:tab w:val="num" w:pos="709"/>
        </w:tabs>
        <w:jc w:val="both"/>
        <w:rPr>
          <w:rFonts w:cs="Arial"/>
          <w:sz w:val="22"/>
          <w:szCs w:val="22"/>
        </w:rPr>
      </w:pPr>
    </w:p>
    <w:p w:rsidR="000E18B8" w:rsidRPr="009D4E09" w:rsidRDefault="000E18B8" w:rsidP="000E18B8">
      <w:pPr>
        <w:pStyle w:val="BodyText3"/>
        <w:tabs>
          <w:tab w:val="left" w:pos="540"/>
          <w:tab w:val="left" w:pos="720"/>
        </w:tabs>
        <w:jc w:val="both"/>
        <w:rPr>
          <w:rFonts w:cs="Arial"/>
          <w:bCs/>
          <w:noProof/>
          <w:sz w:val="22"/>
          <w:szCs w:val="22"/>
        </w:rPr>
      </w:pPr>
      <w:r w:rsidRPr="009D4E09">
        <w:rPr>
          <w:rFonts w:cs="Arial"/>
          <w:bCs/>
          <w:noProof/>
          <w:sz w:val="22"/>
          <w:szCs w:val="22"/>
        </w:rPr>
        <w:t>3.2</w:t>
      </w:r>
      <w:r w:rsidRPr="009D4E09">
        <w:rPr>
          <w:rFonts w:cs="Arial"/>
          <w:bCs/>
          <w:noProof/>
          <w:sz w:val="22"/>
          <w:szCs w:val="22"/>
        </w:rPr>
        <w:tab/>
        <w:t xml:space="preserve">Prospects for Interest Rates </w:t>
      </w:r>
    </w:p>
    <w:p w:rsidR="00757359" w:rsidRPr="009D4E09" w:rsidRDefault="00757359" w:rsidP="006240DB">
      <w:pPr>
        <w:jc w:val="both"/>
        <w:rPr>
          <w:rFonts w:cs="Arial"/>
          <w:i/>
          <w:color w:val="0070C0"/>
          <w:sz w:val="22"/>
          <w:szCs w:val="22"/>
        </w:rPr>
      </w:pPr>
    </w:p>
    <w:p w:rsidR="00757359" w:rsidRPr="009D4E09" w:rsidRDefault="00757359" w:rsidP="006240DB">
      <w:pPr>
        <w:jc w:val="both"/>
        <w:rPr>
          <w:rFonts w:cs="Arial"/>
          <w:i/>
          <w:color w:val="0070C0"/>
          <w:sz w:val="22"/>
          <w:szCs w:val="22"/>
          <w:u w:val="single"/>
        </w:rPr>
      </w:pPr>
      <w:r w:rsidRPr="009D4E09">
        <w:rPr>
          <w:rFonts w:cs="Arial"/>
          <w:i/>
          <w:color w:val="0070C0"/>
          <w:sz w:val="22"/>
          <w:szCs w:val="22"/>
          <w:u w:val="single"/>
        </w:rPr>
        <w:t>Note for Audit Committee:</w:t>
      </w:r>
    </w:p>
    <w:p w:rsidR="006240DB" w:rsidRPr="009D4E09" w:rsidRDefault="00645067" w:rsidP="006240DB">
      <w:pPr>
        <w:jc w:val="both"/>
        <w:rPr>
          <w:rFonts w:cs="Arial"/>
          <w:i/>
          <w:color w:val="0070C0"/>
          <w:sz w:val="22"/>
          <w:szCs w:val="22"/>
        </w:rPr>
      </w:pPr>
      <w:r w:rsidRPr="009D4E09">
        <w:rPr>
          <w:rFonts w:cs="Arial"/>
          <w:i/>
          <w:color w:val="0070C0"/>
          <w:sz w:val="22"/>
          <w:szCs w:val="22"/>
        </w:rPr>
        <w:t>This information will be provided by our retained treasury advisor Capita Asset Services</w:t>
      </w:r>
      <w:r w:rsidR="00757359" w:rsidRPr="009D4E09">
        <w:rPr>
          <w:rFonts w:cs="Arial"/>
          <w:i/>
          <w:color w:val="0070C0"/>
          <w:sz w:val="22"/>
          <w:szCs w:val="22"/>
        </w:rPr>
        <w:t xml:space="preserve"> Treasury Solutions</w:t>
      </w:r>
      <w:r w:rsidRPr="009D4E09">
        <w:rPr>
          <w:rFonts w:cs="Arial"/>
          <w:i/>
          <w:color w:val="0070C0"/>
          <w:sz w:val="22"/>
          <w:szCs w:val="22"/>
        </w:rPr>
        <w:t xml:space="preserve"> </w:t>
      </w:r>
      <w:r w:rsidR="006C0A70" w:rsidRPr="009D4E09">
        <w:rPr>
          <w:rFonts w:cs="Arial"/>
          <w:i/>
          <w:color w:val="0070C0"/>
          <w:sz w:val="22"/>
          <w:szCs w:val="22"/>
        </w:rPr>
        <w:t xml:space="preserve">in December 2016 and this </w:t>
      </w:r>
      <w:r w:rsidR="00833F30" w:rsidRPr="009D4E09">
        <w:rPr>
          <w:rFonts w:cs="Arial"/>
          <w:i/>
          <w:color w:val="0070C0"/>
          <w:sz w:val="22"/>
          <w:szCs w:val="22"/>
        </w:rPr>
        <w:t>section</w:t>
      </w:r>
      <w:r w:rsidR="006C0A70" w:rsidRPr="009D4E09">
        <w:rPr>
          <w:rFonts w:cs="Arial"/>
          <w:i/>
          <w:color w:val="0070C0"/>
          <w:sz w:val="22"/>
          <w:szCs w:val="22"/>
        </w:rPr>
        <w:t xml:space="preserve"> will be updated before </w:t>
      </w:r>
      <w:r w:rsidR="00757359" w:rsidRPr="009D4E09">
        <w:rPr>
          <w:rFonts w:cs="Arial"/>
          <w:i/>
          <w:color w:val="0070C0"/>
          <w:sz w:val="22"/>
          <w:szCs w:val="22"/>
        </w:rPr>
        <w:t xml:space="preserve">P&amp;R committee and </w:t>
      </w:r>
      <w:r w:rsidR="006C0A70" w:rsidRPr="009D4E09">
        <w:rPr>
          <w:rFonts w:cs="Arial"/>
          <w:i/>
          <w:color w:val="0070C0"/>
          <w:sz w:val="22"/>
          <w:szCs w:val="22"/>
        </w:rPr>
        <w:t>the full council meeting.</w:t>
      </w:r>
    </w:p>
    <w:p w:rsidR="006240DB" w:rsidRPr="009D4E09" w:rsidRDefault="006240DB" w:rsidP="006240DB">
      <w:pPr>
        <w:jc w:val="both"/>
        <w:rPr>
          <w:rFonts w:cs="Arial"/>
          <w:color w:val="0D0D0D"/>
          <w:sz w:val="22"/>
          <w:szCs w:val="22"/>
        </w:rPr>
      </w:pPr>
    </w:p>
    <w:p w:rsidR="000E18B8" w:rsidRPr="009D4E09" w:rsidRDefault="000E18B8" w:rsidP="000E18B8">
      <w:pPr>
        <w:numPr>
          <w:ilvl w:val="1"/>
          <w:numId w:val="49"/>
        </w:numPr>
        <w:rPr>
          <w:rFonts w:cs="Arial"/>
          <w:b/>
          <w:noProof/>
          <w:sz w:val="22"/>
          <w:szCs w:val="22"/>
        </w:rPr>
      </w:pPr>
      <w:r w:rsidRPr="009D4E09">
        <w:rPr>
          <w:rFonts w:cs="Arial"/>
          <w:b/>
          <w:noProof/>
          <w:sz w:val="22"/>
          <w:szCs w:val="22"/>
        </w:rPr>
        <w:t xml:space="preserve">   Treasury Indicators: Limits to Borrowing Activity</w:t>
      </w:r>
    </w:p>
    <w:p w:rsidR="000E18B8" w:rsidRPr="009D4E09" w:rsidRDefault="000E18B8" w:rsidP="000E18B8">
      <w:pPr>
        <w:rPr>
          <w:rFonts w:cs="Arial"/>
          <w:b/>
          <w:noProof/>
          <w:sz w:val="22"/>
          <w:szCs w:val="22"/>
        </w:rPr>
      </w:pPr>
    </w:p>
    <w:p w:rsidR="000E18B8" w:rsidRPr="009D4E09" w:rsidRDefault="000E18B8" w:rsidP="000E18B8">
      <w:pPr>
        <w:tabs>
          <w:tab w:val="left" w:pos="567"/>
        </w:tabs>
        <w:rPr>
          <w:rFonts w:cs="Arial"/>
          <w:sz w:val="22"/>
          <w:szCs w:val="22"/>
        </w:rPr>
      </w:pPr>
      <w:r w:rsidRPr="009D4E09">
        <w:rPr>
          <w:rFonts w:cs="Arial"/>
          <w:sz w:val="22"/>
          <w:szCs w:val="22"/>
        </w:rPr>
        <w:t xml:space="preserve">There are two limits on external debt: the ‘Operational Boundary’ and the ‘Authorised Limit’.   Both are consistent with existing plans and the proposals in the budget report for capital expenditure and financing, and with approved treasury management policy statement and practices. </w:t>
      </w:r>
    </w:p>
    <w:p w:rsidR="000E18B8" w:rsidRPr="009D4E09" w:rsidRDefault="000E18B8" w:rsidP="000E18B8">
      <w:pPr>
        <w:tabs>
          <w:tab w:val="left" w:pos="567"/>
        </w:tabs>
        <w:rPr>
          <w:rFonts w:cs="Arial"/>
          <w:sz w:val="22"/>
          <w:szCs w:val="22"/>
        </w:rPr>
      </w:pPr>
    </w:p>
    <w:p w:rsidR="000E18B8" w:rsidRPr="009D4E09" w:rsidRDefault="000E18B8" w:rsidP="000E18B8">
      <w:pPr>
        <w:tabs>
          <w:tab w:val="left" w:pos="567"/>
        </w:tabs>
        <w:rPr>
          <w:rFonts w:cs="Arial"/>
          <w:sz w:val="22"/>
          <w:szCs w:val="22"/>
        </w:rPr>
      </w:pPr>
      <w:r w:rsidRPr="009D4E09">
        <w:rPr>
          <w:rFonts w:cs="Arial"/>
          <w:sz w:val="22"/>
          <w:szCs w:val="22"/>
        </w:rPr>
        <w:t xml:space="preserve">The key difference is that the Authorised Limit cannot be breached without prior approval of the Council. The Operational Boundary is a more realistic indicator of the likely position. </w:t>
      </w:r>
      <w:r w:rsidRPr="009D4E09">
        <w:rPr>
          <w:rFonts w:cs="Arial"/>
          <w:sz w:val="22"/>
          <w:szCs w:val="22"/>
          <w:lang w:eastAsia="en-GB"/>
        </w:rPr>
        <w:t>The difference between the authorised limit and operational boundary for borrowing</w:t>
      </w:r>
      <w:r w:rsidRPr="009D4E09">
        <w:rPr>
          <w:rFonts w:cs="Arial"/>
          <w:sz w:val="22"/>
          <w:szCs w:val="22"/>
        </w:rPr>
        <w:t xml:space="preserve"> </w:t>
      </w:r>
      <w:r w:rsidRPr="009D4E09">
        <w:rPr>
          <w:rFonts w:cs="Arial"/>
          <w:sz w:val="22"/>
          <w:szCs w:val="22"/>
          <w:lang w:eastAsia="en-GB"/>
        </w:rPr>
        <w:t>is that the authorised limit includes a head room for borrowing for future known</w:t>
      </w:r>
      <w:r w:rsidRPr="009D4E09">
        <w:rPr>
          <w:rFonts w:cs="Arial"/>
          <w:sz w:val="22"/>
          <w:szCs w:val="22"/>
        </w:rPr>
        <w:t xml:space="preserve"> </w:t>
      </w:r>
      <w:r w:rsidRPr="009D4E09">
        <w:rPr>
          <w:rFonts w:cs="Arial"/>
          <w:sz w:val="22"/>
          <w:szCs w:val="22"/>
          <w:lang w:eastAsia="en-GB"/>
        </w:rPr>
        <w:t>capital needs now. The Authorised Limit represents the limit beyond which borrowing is</w:t>
      </w:r>
      <w:r w:rsidRPr="009D4E09">
        <w:rPr>
          <w:rFonts w:cs="Arial"/>
          <w:sz w:val="22"/>
          <w:szCs w:val="22"/>
        </w:rPr>
        <w:t xml:space="preserve"> </w:t>
      </w:r>
      <w:r w:rsidRPr="009D4E09">
        <w:rPr>
          <w:rFonts w:cs="Arial"/>
          <w:sz w:val="22"/>
          <w:szCs w:val="22"/>
          <w:lang w:eastAsia="en-GB"/>
        </w:rPr>
        <w:t>prohibited, and needs to be revised if necessary by members.</w:t>
      </w:r>
    </w:p>
    <w:p w:rsidR="000E18B8" w:rsidRPr="009D4E09" w:rsidRDefault="000E18B8" w:rsidP="000E18B8">
      <w:pPr>
        <w:pStyle w:val="BodyText"/>
        <w:jc w:val="both"/>
        <w:rPr>
          <w:rFonts w:cs="Arial"/>
        </w:rPr>
      </w:pPr>
    </w:p>
    <w:p w:rsidR="000E18B8" w:rsidRPr="009D4E09" w:rsidRDefault="000E18B8" w:rsidP="000E18B8">
      <w:pPr>
        <w:pStyle w:val="BodyText"/>
        <w:jc w:val="both"/>
        <w:rPr>
          <w:rFonts w:cs="Arial"/>
          <w:szCs w:val="22"/>
        </w:rPr>
      </w:pPr>
      <w:r w:rsidRPr="009D4E09">
        <w:rPr>
          <w:rFonts w:cs="Arial"/>
        </w:rPr>
        <w:t>The first key control over the treasury activity is a Performance Indicator (PI) to ensure that over the medium term, net borrowing (borrowings less investments) will only be for a capital purpose.  Gross external borrowing should not, except in the short term, exceed the total of CFR in the preceding year plus the estimates of any additional CFR for 201</w:t>
      </w:r>
      <w:r w:rsidR="006C0A70" w:rsidRPr="009D4E09">
        <w:rPr>
          <w:rFonts w:cs="Arial"/>
        </w:rPr>
        <w:t>7</w:t>
      </w:r>
      <w:r w:rsidRPr="009D4E09">
        <w:rPr>
          <w:rFonts w:cs="Arial"/>
        </w:rPr>
        <w:t>/1</w:t>
      </w:r>
      <w:r w:rsidR="006C0A70" w:rsidRPr="009D4E09">
        <w:rPr>
          <w:rFonts w:cs="Arial"/>
        </w:rPr>
        <w:t>8</w:t>
      </w:r>
      <w:r w:rsidRPr="009D4E09">
        <w:rPr>
          <w:rFonts w:cs="Arial"/>
        </w:rPr>
        <w:t xml:space="preserve"> and next two financial years. This allows some flexibility for limited early borrowing for future years, but ensures that borrowing is not undertaken for revenue purposes. The Council has approved a policy for borrowing in advance of need which will be adhered to if this proves prudent.  </w:t>
      </w:r>
    </w:p>
    <w:p w:rsidR="000E18B8" w:rsidRPr="009D4E09" w:rsidRDefault="000E18B8" w:rsidP="000E18B8">
      <w:pPr>
        <w:pStyle w:val="BodyText"/>
        <w:outlineLvl w:val="0"/>
        <w:rPr>
          <w:rFonts w:cs="Arial"/>
          <w:b/>
          <w:szCs w:val="22"/>
        </w:rPr>
      </w:pPr>
    </w:p>
    <w:p w:rsidR="000E18B8" w:rsidRPr="009D4E09" w:rsidRDefault="000E18B8" w:rsidP="000E18B8">
      <w:pPr>
        <w:pStyle w:val="BodyText"/>
        <w:outlineLvl w:val="0"/>
        <w:rPr>
          <w:rFonts w:cs="Arial"/>
          <w:b/>
          <w:szCs w:val="22"/>
        </w:rPr>
      </w:pPr>
      <w:r w:rsidRPr="009D4E09">
        <w:rPr>
          <w:rFonts w:cs="Arial"/>
          <w:b/>
          <w:szCs w:val="22"/>
        </w:rPr>
        <w:t>3.3.1</w:t>
      </w:r>
      <w:r w:rsidRPr="009D4E09">
        <w:rPr>
          <w:rFonts w:cs="Arial"/>
          <w:b/>
          <w:szCs w:val="22"/>
        </w:rPr>
        <w:tab/>
        <w:t>Treasury Management Indicator - The Operational Boundary</w:t>
      </w:r>
    </w:p>
    <w:p w:rsidR="000E18B8" w:rsidRPr="009D4E09" w:rsidRDefault="000E18B8" w:rsidP="000E18B8">
      <w:pPr>
        <w:pStyle w:val="BodyText"/>
        <w:outlineLvl w:val="0"/>
        <w:rPr>
          <w:rFonts w:cs="Arial"/>
          <w:b/>
          <w:szCs w:val="22"/>
        </w:rPr>
      </w:pPr>
    </w:p>
    <w:p w:rsidR="000E18B8" w:rsidRPr="009D4E09" w:rsidRDefault="000E18B8" w:rsidP="000E18B8">
      <w:pPr>
        <w:pStyle w:val="BodyText"/>
        <w:outlineLvl w:val="0"/>
        <w:rPr>
          <w:rFonts w:cs="Arial"/>
          <w:szCs w:val="22"/>
        </w:rPr>
      </w:pPr>
      <w:r w:rsidRPr="009D4E09">
        <w:rPr>
          <w:rFonts w:cs="Arial"/>
          <w:szCs w:val="22"/>
        </w:rPr>
        <w:t xml:space="preserve">This is the limit beyond which external borrowing is not normally expected to exceed.  In most cases this would link directly to the authority’s plans for capital expenditure, its estimates for CFR and its estimate of cashflow requirements for the year for all purposes. </w:t>
      </w:r>
      <w:r w:rsidR="00C41EE4" w:rsidRPr="009D4E09">
        <w:rPr>
          <w:rFonts w:cs="Arial"/>
          <w:szCs w:val="22"/>
        </w:rPr>
        <w:t>It is not currently expected that the Council will need to borrow, this limit represents a contingency should the need arise.</w:t>
      </w:r>
    </w:p>
    <w:p w:rsidR="000E18B8" w:rsidRPr="009D4E09" w:rsidRDefault="000E18B8" w:rsidP="000E18B8">
      <w:pPr>
        <w:pStyle w:val="BodyText"/>
        <w:rPr>
          <w:rFonts w:cs="Arial"/>
          <w:color w:val="0000FF"/>
          <w:szCs w:val="22"/>
        </w:rPr>
      </w:pP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40"/>
        <w:gridCol w:w="1440"/>
        <w:gridCol w:w="1440"/>
      </w:tblGrid>
      <w:tr w:rsidR="006C0A70" w:rsidRPr="009D4E09" w:rsidTr="000352E9">
        <w:trPr>
          <w:trHeight w:val="725"/>
          <w:jc w:val="center"/>
        </w:trPr>
        <w:tc>
          <w:tcPr>
            <w:tcW w:w="2700" w:type="dxa"/>
            <w:shd w:val="clear" w:color="auto" w:fill="B3B3B3"/>
            <w:vAlign w:val="center"/>
          </w:tcPr>
          <w:p w:rsidR="006C0A70" w:rsidRPr="009D4E09" w:rsidRDefault="006C0A70" w:rsidP="000352E9">
            <w:pPr>
              <w:jc w:val="center"/>
              <w:rPr>
                <w:rFonts w:cs="Arial"/>
                <w:sz w:val="22"/>
                <w:szCs w:val="22"/>
              </w:rPr>
            </w:pPr>
            <w:r w:rsidRPr="009D4E09">
              <w:rPr>
                <w:rFonts w:cs="Arial"/>
                <w:b/>
                <w:bCs/>
                <w:sz w:val="22"/>
                <w:szCs w:val="22"/>
              </w:rPr>
              <w:t xml:space="preserve">Operational Boundary </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2016/17</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2017/18</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2018/19</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0352E9">
            <w:pPr>
              <w:pStyle w:val="BodyText"/>
              <w:jc w:val="center"/>
              <w:rPr>
                <w:rFonts w:cs="Arial"/>
                <w:b/>
                <w:bCs/>
                <w:szCs w:val="22"/>
              </w:rPr>
            </w:pPr>
            <w:r w:rsidRPr="009D4E09">
              <w:rPr>
                <w:rFonts w:cs="Arial"/>
                <w:b/>
                <w:bCs/>
                <w:szCs w:val="22"/>
              </w:rPr>
              <w:t>2019/20</w:t>
            </w:r>
          </w:p>
          <w:p w:rsidR="006C0A70" w:rsidRPr="009D4E09" w:rsidRDefault="006C0A70" w:rsidP="000352E9">
            <w:pPr>
              <w:pStyle w:val="BodyText"/>
              <w:jc w:val="center"/>
              <w:rPr>
                <w:rFonts w:cs="Arial"/>
                <w:b/>
                <w:bCs/>
                <w:szCs w:val="22"/>
              </w:rPr>
            </w:pPr>
            <w:r w:rsidRPr="009D4E09">
              <w:rPr>
                <w:rFonts w:cs="Arial"/>
                <w:b/>
                <w:bCs/>
                <w:szCs w:val="22"/>
              </w:rPr>
              <w:t>Estimate</w:t>
            </w:r>
          </w:p>
        </w:tc>
      </w:tr>
      <w:tr w:rsidR="000E18B8" w:rsidRPr="009D4E09" w:rsidTr="000352E9">
        <w:trPr>
          <w:trHeight w:val="374"/>
          <w:jc w:val="center"/>
        </w:trPr>
        <w:tc>
          <w:tcPr>
            <w:tcW w:w="2700" w:type="dxa"/>
            <w:vAlign w:val="center"/>
          </w:tcPr>
          <w:p w:rsidR="000E18B8" w:rsidRPr="009D4E09" w:rsidRDefault="000E18B8" w:rsidP="000352E9">
            <w:pPr>
              <w:rPr>
                <w:rFonts w:cs="Arial"/>
                <w:sz w:val="22"/>
                <w:szCs w:val="22"/>
              </w:rPr>
            </w:pPr>
            <w:r w:rsidRPr="009D4E09">
              <w:rPr>
                <w:rFonts w:cs="Arial"/>
                <w:sz w:val="22"/>
                <w:szCs w:val="22"/>
              </w:rPr>
              <w:t>Borrowing</w:t>
            </w:r>
          </w:p>
        </w:tc>
        <w:tc>
          <w:tcPr>
            <w:tcW w:w="1440" w:type="dxa"/>
            <w:vAlign w:val="center"/>
          </w:tcPr>
          <w:p w:rsidR="000E18B8" w:rsidRPr="009D4E09" w:rsidRDefault="000E18B8" w:rsidP="006C0A70">
            <w:pPr>
              <w:tabs>
                <w:tab w:val="right" w:pos="702"/>
              </w:tabs>
              <w:jc w:val="center"/>
              <w:rPr>
                <w:rFonts w:cs="Arial"/>
                <w:sz w:val="22"/>
                <w:szCs w:val="22"/>
              </w:rPr>
            </w:pPr>
            <w:r w:rsidRPr="009D4E09">
              <w:rPr>
                <w:rFonts w:cs="Arial"/>
                <w:sz w:val="22"/>
                <w:szCs w:val="22"/>
              </w:rPr>
              <w:t>£</w:t>
            </w:r>
            <w:r w:rsidR="006C0A70" w:rsidRPr="009D4E09">
              <w:rPr>
                <w:rFonts w:cs="Arial"/>
                <w:sz w:val="22"/>
                <w:szCs w:val="22"/>
              </w:rPr>
              <w:t>10</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10</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10</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10</w:t>
            </w:r>
            <w:r w:rsidRPr="009D4E09">
              <w:rPr>
                <w:rFonts w:cs="Arial"/>
                <w:sz w:val="22"/>
                <w:szCs w:val="22"/>
              </w:rPr>
              <w:t>M</w:t>
            </w:r>
          </w:p>
        </w:tc>
      </w:tr>
    </w:tbl>
    <w:p w:rsidR="00E43724" w:rsidRPr="009D4E09" w:rsidRDefault="00E43724" w:rsidP="000E18B8">
      <w:pPr>
        <w:pStyle w:val="BodyText"/>
        <w:outlineLvl w:val="0"/>
        <w:rPr>
          <w:rFonts w:cs="Arial"/>
          <w:b/>
          <w:szCs w:val="22"/>
        </w:rPr>
      </w:pPr>
    </w:p>
    <w:p w:rsidR="000E18B8" w:rsidRPr="009D4E09" w:rsidRDefault="000E18B8" w:rsidP="000E18B8">
      <w:pPr>
        <w:pStyle w:val="BodyText"/>
        <w:outlineLvl w:val="0"/>
        <w:rPr>
          <w:rFonts w:cs="Arial"/>
          <w:b/>
          <w:szCs w:val="22"/>
        </w:rPr>
      </w:pPr>
      <w:r w:rsidRPr="009D4E09">
        <w:rPr>
          <w:rFonts w:cs="Arial"/>
          <w:b/>
          <w:szCs w:val="22"/>
        </w:rPr>
        <w:t>3.3.2</w:t>
      </w:r>
      <w:r w:rsidRPr="009D4E09">
        <w:rPr>
          <w:rFonts w:cs="Arial"/>
          <w:b/>
          <w:szCs w:val="22"/>
        </w:rPr>
        <w:tab/>
        <w:t xml:space="preserve">Treasury Management Indicator - The Authorised Limit for External Borrowing </w:t>
      </w:r>
    </w:p>
    <w:p w:rsidR="000E18B8" w:rsidRPr="009D4E09" w:rsidRDefault="000E18B8" w:rsidP="000E18B8">
      <w:pPr>
        <w:pStyle w:val="BodyText"/>
        <w:rPr>
          <w:rFonts w:cs="Arial"/>
          <w:b/>
          <w:szCs w:val="22"/>
        </w:rPr>
      </w:pPr>
    </w:p>
    <w:p w:rsidR="000E18B8" w:rsidRPr="009D4E09" w:rsidRDefault="000E18B8" w:rsidP="000E18B8">
      <w:pPr>
        <w:tabs>
          <w:tab w:val="num" w:pos="709"/>
        </w:tabs>
        <w:rPr>
          <w:rFonts w:cs="Arial"/>
          <w:b/>
          <w:sz w:val="22"/>
          <w:szCs w:val="22"/>
        </w:rPr>
      </w:pPr>
      <w:r w:rsidRPr="009D4E09">
        <w:rPr>
          <w:rFonts w:cs="Arial"/>
          <w:sz w:val="22"/>
          <w:szCs w:val="22"/>
        </w:rPr>
        <w:t xml:space="preserve">This PI, which is required to be set and revised by Members, controls the overall level of borrowing and represents the limit beyond which external long and short term borrowing is prohibited, and this limit needs to be set or revised by the Council.  It reflects the level of borrowing which, while not </w:t>
      </w:r>
      <w:r w:rsidRPr="009D4E09">
        <w:rPr>
          <w:rFonts w:cs="Arial"/>
          <w:sz w:val="22"/>
          <w:szCs w:val="22"/>
        </w:rPr>
        <w:lastRenderedPageBreak/>
        <w:t xml:space="preserve">desired, could be afforded in the short term, but is not sustainable in the longer term.  It is the expected maximum borrowing need with some headroom for unexpected movements. </w:t>
      </w:r>
      <w:r w:rsidRPr="009D4E09">
        <w:rPr>
          <w:rFonts w:cs="Arial"/>
          <w:iCs/>
          <w:sz w:val="22"/>
          <w:szCs w:val="22"/>
        </w:rPr>
        <w:t>This is the statutory limit determined under</w:t>
      </w:r>
      <w:r w:rsidRPr="009D4E09">
        <w:rPr>
          <w:rFonts w:cs="Arial"/>
          <w:i/>
          <w:iCs/>
          <w:sz w:val="22"/>
          <w:szCs w:val="22"/>
        </w:rPr>
        <w:t xml:space="preserve"> </w:t>
      </w:r>
      <w:r w:rsidRPr="009D4E09">
        <w:rPr>
          <w:rFonts w:cs="Arial"/>
          <w:iCs/>
          <w:sz w:val="22"/>
          <w:szCs w:val="22"/>
        </w:rPr>
        <w:t>section 3 (2) of the Local Government Act 2003.</w:t>
      </w:r>
      <w:r w:rsidRPr="009D4E09">
        <w:rPr>
          <w:rFonts w:cs="Arial"/>
          <w:i/>
          <w:iCs/>
          <w:sz w:val="22"/>
          <w:szCs w:val="22"/>
        </w:rPr>
        <w:t xml:space="preserve"> </w:t>
      </w:r>
    </w:p>
    <w:p w:rsidR="000E18B8" w:rsidRPr="009D4E09" w:rsidRDefault="000E18B8" w:rsidP="000E18B8">
      <w:pPr>
        <w:pStyle w:val="BodyText"/>
        <w:jc w:val="both"/>
        <w:rPr>
          <w:rFonts w:cs="Arial"/>
          <w:color w:val="0000FF"/>
          <w:szCs w:val="22"/>
        </w:rPr>
      </w:pPr>
    </w:p>
    <w:tbl>
      <w:tblPr>
        <w:tblW w:w="8642"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1440"/>
        <w:gridCol w:w="1440"/>
        <w:gridCol w:w="1440"/>
        <w:gridCol w:w="1440"/>
      </w:tblGrid>
      <w:tr w:rsidR="006C0A70" w:rsidRPr="009D4E09" w:rsidTr="000352E9">
        <w:trPr>
          <w:trHeight w:val="817"/>
          <w:jc w:val="center"/>
        </w:trPr>
        <w:tc>
          <w:tcPr>
            <w:tcW w:w="2882" w:type="dxa"/>
            <w:shd w:val="clear" w:color="auto" w:fill="B3B3B3"/>
            <w:vAlign w:val="center"/>
          </w:tcPr>
          <w:p w:rsidR="006C0A70" w:rsidRPr="009D4E09" w:rsidRDefault="006C0A70" w:rsidP="000352E9">
            <w:pPr>
              <w:jc w:val="center"/>
              <w:rPr>
                <w:rFonts w:cs="Arial"/>
                <w:sz w:val="22"/>
                <w:szCs w:val="22"/>
              </w:rPr>
            </w:pPr>
            <w:r w:rsidRPr="009D4E09">
              <w:rPr>
                <w:rFonts w:cs="Arial"/>
                <w:b/>
                <w:bCs/>
                <w:sz w:val="22"/>
                <w:szCs w:val="22"/>
              </w:rPr>
              <w:t xml:space="preserve">Authorised Limit </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2016/17</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2017/18</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6C0A70">
            <w:pPr>
              <w:pStyle w:val="BodyText"/>
              <w:jc w:val="center"/>
              <w:rPr>
                <w:rFonts w:cs="Arial"/>
                <w:b/>
                <w:bCs/>
                <w:szCs w:val="22"/>
              </w:rPr>
            </w:pPr>
            <w:r w:rsidRPr="009D4E09">
              <w:rPr>
                <w:rFonts w:cs="Arial"/>
                <w:b/>
                <w:bCs/>
                <w:szCs w:val="22"/>
              </w:rPr>
              <w:t>2018/19</w:t>
            </w:r>
          </w:p>
          <w:p w:rsidR="006C0A70" w:rsidRPr="009D4E09" w:rsidRDefault="006C0A70" w:rsidP="006C0A70">
            <w:pPr>
              <w:pStyle w:val="BodyText"/>
              <w:jc w:val="center"/>
              <w:rPr>
                <w:rFonts w:cs="Arial"/>
                <w:b/>
                <w:bCs/>
                <w:szCs w:val="22"/>
              </w:rPr>
            </w:pPr>
            <w:r w:rsidRPr="009D4E09">
              <w:rPr>
                <w:rFonts w:cs="Arial"/>
                <w:b/>
                <w:bCs/>
                <w:szCs w:val="22"/>
              </w:rPr>
              <w:t>Estimate</w:t>
            </w:r>
          </w:p>
        </w:tc>
        <w:tc>
          <w:tcPr>
            <w:tcW w:w="1440" w:type="dxa"/>
            <w:shd w:val="clear" w:color="auto" w:fill="B3B3B3"/>
            <w:vAlign w:val="center"/>
          </w:tcPr>
          <w:p w:rsidR="006C0A70" w:rsidRPr="009D4E09" w:rsidRDefault="006C0A70" w:rsidP="000352E9">
            <w:pPr>
              <w:pStyle w:val="BodyText"/>
              <w:jc w:val="center"/>
              <w:rPr>
                <w:rFonts w:cs="Arial"/>
                <w:b/>
                <w:bCs/>
                <w:szCs w:val="22"/>
              </w:rPr>
            </w:pPr>
            <w:r w:rsidRPr="009D4E09">
              <w:rPr>
                <w:rFonts w:cs="Arial"/>
                <w:b/>
                <w:bCs/>
                <w:szCs w:val="22"/>
              </w:rPr>
              <w:t>2019/20</w:t>
            </w:r>
          </w:p>
          <w:p w:rsidR="006C0A70" w:rsidRPr="009D4E09" w:rsidRDefault="006C0A70" w:rsidP="000352E9">
            <w:pPr>
              <w:pStyle w:val="BodyText"/>
              <w:jc w:val="center"/>
              <w:rPr>
                <w:rFonts w:cs="Arial"/>
                <w:b/>
                <w:bCs/>
                <w:szCs w:val="22"/>
              </w:rPr>
            </w:pPr>
            <w:r w:rsidRPr="009D4E09">
              <w:rPr>
                <w:rFonts w:cs="Arial"/>
                <w:b/>
                <w:bCs/>
                <w:szCs w:val="22"/>
              </w:rPr>
              <w:t>Estimate</w:t>
            </w:r>
          </w:p>
        </w:tc>
      </w:tr>
      <w:tr w:rsidR="000E18B8" w:rsidRPr="009D4E09" w:rsidTr="000352E9">
        <w:trPr>
          <w:trHeight w:val="351"/>
          <w:jc w:val="center"/>
        </w:trPr>
        <w:tc>
          <w:tcPr>
            <w:tcW w:w="2882" w:type="dxa"/>
            <w:vAlign w:val="center"/>
          </w:tcPr>
          <w:p w:rsidR="000E18B8" w:rsidRPr="009D4E09" w:rsidRDefault="000E18B8" w:rsidP="000352E9">
            <w:pPr>
              <w:rPr>
                <w:rFonts w:cs="Arial"/>
                <w:sz w:val="22"/>
                <w:szCs w:val="22"/>
              </w:rPr>
            </w:pPr>
            <w:r w:rsidRPr="009D4E09">
              <w:rPr>
                <w:rFonts w:cs="Arial"/>
                <w:sz w:val="22"/>
                <w:szCs w:val="22"/>
              </w:rPr>
              <w:t>Borrowing</w:t>
            </w:r>
          </w:p>
        </w:tc>
        <w:tc>
          <w:tcPr>
            <w:tcW w:w="1440" w:type="dxa"/>
            <w:vAlign w:val="center"/>
          </w:tcPr>
          <w:p w:rsidR="000E18B8" w:rsidRPr="009D4E09" w:rsidRDefault="000E18B8" w:rsidP="000352E9">
            <w:pPr>
              <w:tabs>
                <w:tab w:val="right" w:pos="702"/>
              </w:tabs>
              <w:jc w:val="center"/>
              <w:rPr>
                <w:rFonts w:cs="Arial"/>
                <w:sz w:val="22"/>
                <w:szCs w:val="22"/>
              </w:rPr>
            </w:pPr>
            <w:r w:rsidRPr="009D4E09">
              <w:rPr>
                <w:rFonts w:cs="Arial"/>
                <w:sz w:val="22"/>
                <w:szCs w:val="22"/>
              </w:rPr>
              <w:t>£</w:t>
            </w:r>
            <w:r w:rsidR="006C0A70" w:rsidRPr="009D4E09">
              <w:rPr>
                <w:rFonts w:cs="Arial"/>
                <w:sz w:val="22"/>
                <w:szCs w:val="22"/>
              </w:rPr>
              <w:t>12</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12</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12</w:t>
            </w:r>
            <w:r w:rsidRPr="009D4E09">
              <w:rPr>
                <w:rFonts w:cs="Arial"/>
                <w:sz w:val="22"/>
                <w:szCs w:val="22"/>
              </w:rPr>
              <w:t>M</w:t>
            </w:r>
          </w:p>
        </w:tc>
        <w:tc>
          <w:tcPr>
            <w:tcW w:w="1440" w:type="dxa"/>
            <w:vAlign w:val="center"/>
          </w:tcPr>
          <w:p w:rsidR="000E18B8" w:rsidRPr="009D4E09" w:rsidRDefault="000E18B8" w:rsidP="000352E9">
            <w:pPr>
              <w:jc w:val="center"/>
              <w:rPr>
                <w:rFonts w:cs="Arial"/>
                <w:sz w:val="22"/>
                <w:szCs w:val="22"/>
              </w:rPr>
            </w:pPr>
            <w:r w:rsidRPr="009D4E09">
              <w:rPr>
                <w:rFonts w:cs="Arial"/>
                <w:sz w:val="22"/>
                <w:szCs w:val="22"/>
              </w:rPr>
              <w:t>£</w:t>
            </w:r>
            <w:r w:rsidR="005731B2" w:rsidRPr="009D4E09">
              <w:rPr>
                <w:rFonts w:cs="Arial"/>
                <w:sz w:val="22"/>
                <w:szCs w:val="22"/>
              </w:rPr>
              <w:t>12</w:t>
            </w:r>
            <w:r w:rsidRPr="009D4E09">
              <w:rPr>
                <w:rFonts w:cs="Arial"/>
                <w:sz w:val="22"/>
                <w:szCs w:val="22"/>
              </w:rPr>
              <w:t>M</w:t>
            </w:r>
          </w:p>
        </w:tc>
      </w:tr>
    </w:tbl>
    <w:p w:rsidR="000E18B8" w:rsidRPr="009D4E09" w:rsidRDefault="000E18B8" w:rsidP="000E18B8">
      <w:pPr>
        <w:pStyle w:val="BodyText"/>
        <w:rPr>
          <w:rFonts w:cs="Arial"/>
          <w:b/>
          <w:color w:val="0000FF"/>
          <w:szCs w:val="22"/>
        </w:rPr>
      </w:pPr>
    </w:p>
    <w:p w:rsidR="000E18B8" w:rsidRPr="009D4E09" w:rsidRDefault="000E18B8" w:rsidP="000E18B8">
      <w:pPr>
        <w:pStyle w:val="BodyText"/>
        <w:outlineLvl w:val="0"/>
        <w:rPr>
          <w:rFonts w:cs="Arial"/>
          <w:b/>
          <w:szCs w:val="22"/>
        </w:rPr>
      </w:pPr>
      <w:r w:rsidRPr="009D4E09">
        <w:rPr>
          <w:rFonts w:cs="Arial"/>
          <w:b/>
          <w:szCs w:val="22"/>
        </w:rPr>
        <w:t>3.3.3</w:t>
      </w:r>
      <w:r w:rsidRPr="009D4E09">
        <w:rPr>
          <w:rFonts w:cs="Arial"/>
          <w:b/>
          <w:szCs w:val="22"/>
        </w:rPr>
        <w:tab/>
        <w:t>Treasury Management Indicator – Actual External Debt</w:t>
      </w:r>
    </w:p>
    <w:p w:rsidR="000E18B8" w:rsidRPr="009D4E09" w:rsidRDefault="000E18B8" w:rsidP="000E18B8">
      <w:pPr>
        <w:pStyle w:val="BodyText"/>
        <w:rPr>
          <w:rFonts w:cs="Arial"/>
          <w:b/>
          <w:szCs w:val="22"/>
        </w:rPr>
      </w:pPr>
    </w:p>
    <w:p w:rsidR="000E18B8" w:rsidRPr="009D4E09" w:rsidRDefault="000E18B8" w:rsidP="000E18B8">
      <w:pPr>
        <w:pStyle w:val="BodyText"/>
        <w:jc w:val="both"/>
        <w:rPr>
          <w:rFonts w:cs="Arial"/>
          <w:szCs w:val="22"/>
        </w:rPr>
      </w:pPr>
      <w:r w:rsidRPr="009D4E09">
        <w:rPr>
          <w:rFonts w:cs="Arial"/>
          <w:szCs w:val="22"/>
        </w:rPr>
        <w:t>This is the closing balance for actual gross borrowing obtained directly from the council’s Balance Sheet at year end.</w:t>
      </w:r>
    </w:p>
    <w:p w:rsidR="00F25623" w:rsidRPr="009D4E09" w:rsidRDefault="00F25623" w:rsidP="000E18B8">
      <w:pPr>
        <w:pStyle w:val="BodyText"/>
        <w:jc w:val="both"/>
        <w:rPr>
          <w:rFonts w:cs="Arial"/>
          <w:szCs w:val="22"/>
        </w:rPr>
      </w:pPr>
    </w:p>
    <w:p w:rsidR="000E18B8" w:rsidRPr="009D4E09" w:rsidRDefault="000E18B8" w:rsidP="000E18B8">
      <w:pPr>
        <w:pStyle w:val="BodyText"/>
        <w:rPr>
          <w:rFonts w:cs="Arial"/>
          <w:szCs w:val="22"/>
        </w:rPr>
      </w:pPr>
      <w:r w:rsidRPr="009D4E09">
        <w:rPr>
          <w:rFonts w:cs="Arial"/>
          <w:szCs w:val="22"/>
        </w:rPr>
        <w:t xml:space="preserve">The Director of Finance reports that the Council complied with this prudential indicator in the current year and does not envisage difficulties for the future. This view takes into account current commitments, existing plans, and the proposals within this report regarding future external borrowing.  </w:t>
      </w:r>
    </w:p>
    <w:p w:rsidR="00F24EF7" w:rsidRPr="009D4E09" w:rsidRDefault="00F24EF7" w:rsidP="000E18B8">
      <w:pPr>
        <w:keepNext/>
        <w:tabs>
          <w:tab w:val="left" w:pos="720"/>
        </w:tabs>
        <w:rPr>
          <w:rFonts w:cs="Arial"/>
          <w:b/>
          <w:noProof/>
          <w:sz w:val="22"/>
          <w:szCs w:val="22"/>
        </w:rPr>
      </w:pPr>
    </w:p>
    <w:p w:rsidR="000E18B8" w:rsidRPr="009D4E09" w:rsidRDefault="000E18B8" w:rsidP="000E18B8">
      <w:pPr>
        <w:keepNext/>
        <w:tabs>
          <w:tab w:val="left" w:pos="720"/>
        </w:tabs>
        <w:rPr>
          <w:rFonts w:cs="Arial"/>
          <w:b/>
          <w:noProof/>
          <w:sz w:val="22"/>
          <w:szCs w:val="22"/>
        </w:rPr>
      </w:pPr>
      <w:r w:rsidRPr="009D4E09">
        <w:rPr>
          <w:rFonts w:cs="Arial"/>
          <w:b/>
          <w:noProof/>
          <w:sz w:val="22"/>
          <w:szCs w:val="22"/>
        </w:rPr>
        <w:t>3.4</w:t>
      </w:r>
      <w:r w:rsidRPr="009D4E09">
        <w:rPr>
          <w:rFonts w:cs="Arial"/>
          <w:b/>
          <w:noProof/>
          <w:sz w:val="22"/>
          <w:szCs w:val="22"/>
        </w:rPr>
        <w:tab/>
        <w:t xml:space="preserve">Borrowing Strategy </w:t>
      </w:r>
    </w:p>
    <w:p w:rsidR="000E18B8" w:rsidRPr="009D4E09" w:rsidRDefault="000E18B8" w:rsidP="000E18B8">
      <w:pPr>
        <w:keepNext/>
        <w:ind w:left="360"/>
        <w:rPr>
          <w:rFonts w:cs="Arial"/>
          <w:b/>
          <w:noProof/>
          <w:sz w:val="22"/>
          <w:szCs w:val="22"/>
        </w:rPr>
      </w:pPr>
    </w:p>
    <w:p w:rsidR="005B4E98" w:rsidRPr="009D4E09" w:rsidRDefault="000E18B8" w:rsidP="000E18B8">
      <w:pPr>
        <w:pStyle w:val="BodyText"/>
        <w:jc w:val="both"/>
        <w:rPr>
          <w:rFonts w:cs="Arial"/>
          <w:bCs/>
          <w:iCs/>
          <w:szCs w:val="22"/>
        </w:rPr>
      </w:pPr>
      <w:r w:rsidRPr="009D4E09">
        <w:rPr>
          <w:rFonts w:cs="Arial"/>
          <w:bCs/>
          <w:iCs/>
          <w:szCs w:val="22"/>
        </w:rPr>
        <w:t xml:space="preserve">Although at this stage there is no requirement to borrow externally over the medium term, the Council has a number of regeneration projects and it is possible that these may require pump priming for the necessary infrastructure works. </w:t>
      </w:r>
      <w:r w:rsidR="005B4E98" w:rsidRPr="009D4E09">
        <w:rPr>
          <w:rFonts w:cs="Arial"/>
          <w:bCs/>
          <w:iCs/>
          <w:szCs w:val="22"/>
        </w:rPr>
        <w:t xml:space="preserve"> </w:t>
      </w:r>
      <w:r w:rsidRPr="009D4E09">
        <w:rPr>
          <w:rFonts w:cs="Arial"/>
          <w:bCs/>
          <w:iCs/>
          <w:szCs w:val="22"/>
        </w:rPr>
        <w:t>Any external borrowing that is required by the Council will be reported to Members at the appropriate time.</w:t>
      </w:r>
    </w:p>
    <w:p w:rsidR="005B4E98" w:rsidRPr="009D4E09" w:rsidRDefault="005B4E98" w:rsidP="000E18B8">
      <w:pPr>
        <w:pStyle w:val="BodyText"/>
        <w:jc w:val="both"/>
        <w:rPr>
          <w:rFonts w:cs="Arial"/>
          <w:bCs/>
          <w:iCs/>
          <w:szCs w:val="22"/>
        </w:rPr>
      </w:pPr>
    </w:p>
    <w:p w:rsidR="000E18B8" w:rsidRPr="009D4E09" w:rsidRDefault="005B4E98" w:rsidP="000E18B8">
      <w:pPr>
        <w:pStyle w:val="BodyText"/>
        <w:jc w:val="both"/>
        <w:rPr>
          <w:rFonts w:cs="Arial"/>
          <w:bCs/>
          <w:iCs/>
          <w:szCs w:val="22"/>
        </w:rPr>
      </w:pPr>
      <w:r w:rsidRPr="009D4E09">
        <w:rPr>
          <w:rFonts w:cs="Arial"/>
          <w:bCs/>
          <w:iCs/>
          <w:szCs w:val="22"/>
        </w:rPr>
        <w:t>Although the Council’s treasury team maintains a cashflow forecast and works its liquidity requirements within this forecast, it may, on rare occasions need to borrow short-term for cashflow purposes.  This will be in the form of short term debt or overdraft facilities</w:t>
      </w:r>
      <w:r w:rsidR="00365F7D" w:rsidRPr="009D4E09">
        <w:rPr>
          <w:rFonts w:cs="Arial"/>
          <w:bCs/>
          <w:iCs/>
          <w:szCs w:val="22"/>
        </w:rPr>
        <w:t xml:space="preserve"> and is normally for small amounts</w:t>
      </w:r>
      <w:r w:rsidRPr="009D4E09">
        <w:rPr>
          <w:rFonts w:cs="Arial"/>
          <w:bCs/>
          <w:iCs/>
          <w:szCs w:val="22"/>
        </w:rPr>
        <w:t>.  As this is based on need and has a defined repayment period</w:t>
      </w:r>
      <w:r w:rsidR="00365F7D" w:rsidRPr="009D4E09">
        <w:rPr>
          <w:rFonts w:cs="Arial"/>
          <w:bCs/>
          <w:iCs/>
          <w:szCs w:val="22"/>
        </w:rPr>
        <w:t xml:space="preserve"> it is not normally included within the limits set above.</w:t>
      </w:r>
      <w:r w:rsidRPr="009D4E09">
        <w:rPr>
          <w:rFonts w:cs="Arial"/>
          <w:bCs/>
          <w:iCs/>
          <w:szCs w:val="22"/>
        </w:rPr>
        <w:t xml:space="preserve"> </w:t>
      </w:r>
      <w:r w:rsidR="000E18B8" w:rsidRPr="009D4E09">
        <w:rPr>
          <w:rFonts w:cs="Arial"/>
          <w:bCs/>
          <w:iCs/>
          <w:szCs w:val="22"/>
        </w:rPr>
        <w:t xml:space="preserve"> </w:t>
      </w:r>
    </w:p>
    <w:p w:rsidR="000E18B8" w:rsidRPr="009D4E09" w:rsidRDefault="000E18B8" w:rsidP="000E18B8">
      <w:pPr>
        <w:tabs>
          <w:tab w:val="left" w:pos="720"/>
        </w:tabs>
        <w:jc w:val="both"/>
        <w:rPr>
          <w:rFonts w:cs="Arial"/>
          <w:b/>
          <w:bCs/>
          <w:noProof/>
          <w:sz w:val="22"/>
          <w:szCs w:val="22"/>
        </w:rPr>
      </w:pPr>
    </w:p>
    <w:p w:rsidR="000E18B8" w:rsidRPr="009D4E09" w:rsidRDefault="000E18B8" w:rsidP="000E18B8">
      <w:pPr>
        <w:tabs>
          <w:tab w:val="left" w:pos="720"/>
        </w:tabs>
        <w:jc w:val="both"/>
        <w:rPr>
          <w:rFonts w:cs="Arial"/>
          <w:b/>
          <w:bCs/>
          <w:noProof/>
          <w:sz w:val="22"/>
          <w:szCs w:val="22"/>
        </w:rPr>
      </w:pPr>
      <w:r w:rsidRPr="009D4E09">
        <w:rPr>
          <w:rFonts w:cs="Arial"/>
          <w:b/>
          <w:bCs/>
          <w:noProof/>
          <w:sz w:val="22"/>
          <w:szCs w:val="22"/>
        </w:rPr>
        <w:t>3.5</w:t>
      </w:r>
      <w:r w:rsidRPr="009D4E09">
        <w:rPr>
          <w:rFonts w:cs="Arial"/>
          <w:b/>
          <w:bCs/>
          <w:noProof/>
          <w:sz w:val="22"/>
          <w:szCs w:val="22"/>
        </w:rPr>
        <w:tab/>
        <w:t>Annual Investment Strategy</w:t>
      </w:r>
    </w:p>
    <w:p w:rsidR="000E18B8" w:rsidRPr="009D4E09" w:rsidRDefault="000E18B8" w:rsidP="000E18B8">
      <w:pPr>
        <w:numPr>
          <w:ilvl w:val="12"/>
          <w:numId w:val="0"/>
        </w:numPr>
        <w:jc w:val="both"/>
        <w:rPr>
          <w:rFonts w:cs="Arial"/>
          <w:b/>
          <w:noProof/>
          <w:sz w:val="22"/>
          <w:szCs w:val="22"/>
        </w:rPr>
      </w:pPr>
    </w:p>
    <w:p w:rsidR="000E18B8" w:rsidRPr="009D4E09" w:rsidRDefault="000E18B8" w:rsidP="000E18B8">
      <w:pPr>
        <w:pStyle w:val="BodyText"/>
        <w:tabs>
          <w:tab w:val="left" w:pos="540"/>
        </w:tabs>
        <w:outlineLvl w:val="0"/>
        <w:rPr>
          <w:rFonts w:cs="Arial"/>
          <w:b/>
          <w:bCs/>
          <w:iCs/>
          <w:szCs w:val="22"/>
        </w:rPr>
      </w:pPr>
      <w:r w:rsidRPr="009D4E09">
        <w:rPr>
          <w:rFonts w:cs="Arial"/>
          <w:b/>
          <w:bCs/>
          <w:iCs/>
          <w:szCs w:val="22"/>
        </w:rPr>
        <w:t>3.5.1</w:t>
      </w:r>
      <w:r w:rsidRPr="009D4E09">
        <w:rPr>
          <w:rFonts w:cs="Arial"/>
          <w:b/>
          <w:bCs/>
          <w:iCs/>
          <w:szCs w:val="22"/>
        </w:rPr>
        <w:tab/>
      </w:r>
      <w:r w:rsidRPr="009D4E09">
        <w:rPr>
          <w:rFonts w:cs="Arial"/>
          <w:b/>
          <w:bCs/>
          <w:iCs/>
          <w:szCs w:val="22"/>
        </w:rPr>
        <w:tab/>
        <w:t>Key Objectives</w:t>
      </w:r>
    </w:p>
    <w:p w:rsidR="000E18B8" w:rsidRPr="009D4E09" w:rsidRDefault="000E18B8" w:rsidP="000E18B8">
      <w:pPr>
        <w:pStyle w:val="BodyText"/>
        <w:rPr>
          <w:rFonts w:cs="Arial"/>
          <w:b/>
          <w:bCs/>
          <w:iCs/>
          <w:szCs w:val="22"/>
        </w:rPr>
      </w:pPr>
    </w:p>
    <w:p w:rsidR="007A65E6" w:rsidRPr="009D4E09" w:rsidRDefault="000E18B8" w:rsidP="000E18B8">
      <w:pPr>
        <w:jc w:val="both"/>
        <w:rPr>
          <w:rFonts w:cs="Arial"/>
          <w:bCs/>
          <w:iCs/>
          <w:sz w:val="22"/>
          <w:szCs w:val="22"/>
        </w:rPr>
      </w:pPr>
      <w:r w:rsidRPr="009D4E09">
        <w:rPr>
          <w:rFonts w:cs="Arial"/>
          <w:bCs/>
          <w:iCs/>
          <w:sz w:val="22"/>
          <w:szCs w:val="22"/>
        </w:rPr>
        <w:t>The Council’s investment strategy’s primary objectives are safeguarding the re-payment of the principal and interest of its investments on time, and then ensuring adequate liquidity, with the investment return being the final objective. The current economic ensures that the current investment climate has one over-riding priority which is the management of counterparty security risk.</w:t>
      </w:r>
    </w:p>
    <w:p w:rsidR="007A65E6" w:rsidRPr="009D4E09" w:rsidRDefault="007A65E6" w:rsidP="000E18B8">
      <w:pPr>
        <w:jc w:val="both"/>
        <w:rPr>
          <w:rFonts w:cs="Arial"/>
          <w:bCs/>
          <w:iCs/>
          <w:sz w:val="22"/>
          <w:szCs w:val="22"/>
        </w:rPr>
      </w:pPr>
    </w:p>
    <w:p w:rsidR="000E18B8" w:rsidRPr="009D4E09" w:rsidRDefault="000E18B8" w:rsidP="000E18B8">
      <w:pPr>
        <w:jc w:val="both"/>
        <w:rPr>
          <w:rFonts w:cs="Arial"/>
          <w:noProof/>
          <w:sz w:val="22"/>
          <w:szCs w:val="22"/>
        </w:rPr>
      </w:pPr>
      <w:r w:rsidRPr="009D4E09">
        <w:rPr>
          <w:rFonts w:cs="Arial"/>
          <w:bCs/>
          <w:iCs/>
          <w:sz w:val="22"/>
          <w:szCs w:val="22"/>
        </w:rPr>
        <w:t xml:space="preserve">In order to accommodate any changes to the </w:t>
      </w:r>
      <w:r w:rsidR="005740EB" w:rsidRPr="009D4E09">
        <w:rPr>
          <w:rFonts w:cs="Arial"/>
          <w:bCs/>
          <w:iCs/>
          <w:sz w:val="22"/>
          <w:szCs w:val="22"/>
        </w:rPr>
        <w:t xml:space="preserve">Strategy </w:t>
      </w:r>
      <w:r w:rsidR="005740EB" w:rsidRPr="009D4E09">
        <w:rPr>
          <w:rFonts w:cs="Arial"/>
          <w:noProof/>
          <w:sz w:val="22"/>
          <w:szCs w:val="22"/>
        </w:rPr>
        <w:t>the</w:t>
      </w:r>
      <w:r w:rsidRPr="009D4E09">
        <w:rPr>
          <w:rFonts w:cs="Arial"/>
          <w:noProof/>
          <w:sz w:val="22"/>
          <w:szCs w:val="22"/>
        </w:rPr>
        <w:t xml:space="preserve"> </w:t>
      </w:r>
      <w:r w:rsidR="00D269B5" w:rsidRPr="009D4E09">
        <w:rPr>
          <w:rFonts w:cs="Arial"/>
          <w:noProof/>
          <w:sz w:val="22"/>
          <w:szCs w:val="22"/>
        </w:rPr>
        <w:t xml:space="preserve">the Director of Finance in consultation with the Lead Member, </w:t>
      </w:r>
      <w:r w:rsidR="005740EB" w:rsidRPr="009D4E09">
        <w:rPr>
          <w:rFonts w:cs="Arial"/>
          <w:noProof/>
          <w:sz w:val="22"/>
          <w:szCs w:val="22"/>
        </w:rPr>
        <w:t>has</w:t>
      </w:r>
      <w:r w:rsidR="00D269B5" w:rsidRPr="009D4E09">
        <w:rPr>
          <w:rFonts w:cs="Arial"/>
          <w:noProof/>
          <w:sz w:val="22"/>
          <w:szCs w:val="22"/>
        </w:rPr>
        <w:t xml:space="preserve"> the delegated authority to approve any variation </w:t>
      </w:r>
      <w:r w:rsidRPr="009D4E09">
        <w:rPr>
          <w:rFonts w:cs="Arial"/>
          <w:noProof/>
          <w:sz w:val="22"/>
          <w:szCs w:val="22"/>
        </w:rPr>
        <w:t xml:space="preserve">to the Treasury Management Startegy during the year which may be brought about by </w:t>
      </w:r>
      <w:r w:rsidR="00365F7D" w:rsidRPr="009D4E09">
        <w:rPr>
          <w:rFonts w:cs="Arial"/>
          <w:noProof/>
          <w:sz w:val="22"/>
          <w:szCs w:val="22"/>
        </w:rPr>
        <w:t xml:space="preserve">changing situations in the financail markets and also as a result of </w:t>
      </w:r>
      <w:r w:rsidRPr="009D4E09">
        <w:rPr>
          <w:rFonts w:cs="Arial"/>
          <w:noProof/>
          <w:sz w:val="22"/>
          <w:szCs w:val="22"/>
        </w:rPr>
        <w:t xml:space="preserve">investigating the opportunity to invest for </w:t>
      </w:r>
      <w:r w:rsidR="00365F7D" w:rsidRPr="009D4E09">
        <w:rPr>
          <w:rFonts w:cs="Arial"/>
          <w:noProof/>
          <w:sz w:val="22"/>
          <w:szCs w:val="22"/>
        </w:rPr>
        <w:t xml:space="preserve">period of </w:t>
      </w:r>
      <w:r w:rsidRPr="009D4E09">
        <w:rPr>
          <w:rFonts w:cs="Arial"/>
          <w:noProof/>
          <w:sz w:val="22"/>
          <w:szCs w:val="22"/>
        </w:rPr>
        <w:t xml:space="preserve">greater than </w:t>
      </w:r>
      <w:r w:rsidR="00365F7D" w:rsidRPr="009D4E09">
        <w:rPr>
          <w:rFonts w:cs="Arial"/>
          <w:noProof/>
          <w:sz w:val="22"/>
          <w:szCs w:val="22"/>
        </w:rPr>
        <w:t>one</w:t>
      </w:r>
      <w:r w:rsidRPr="009D4E09">
        <w:rPr>
          <w:rFonts w:cs="Arial"/>
          <w:noProof/>
          <w:sz w:val="22"/>
          <w:szCs w:val="22"/>
        </w:rPr>
        <w:t xml:space="preserve"> year and to invest in other investment instruments i.e Government bonds, Gilts and </w:t>
      </w:r>
      <w:r w:rsidR="00365F7D" w:rsidRPr="009D4E09">
        <w:rPr>
          <w:rFonts w:cs="Arial"/>
          <w:noProof/>
          <w:sz w:val="22"/>
          <w:szCs w:val="22"/>
        </w:rPr>
        <w:t xml:space="preserve">investment </w:t>
      </w:r>
      <w:r w:rsidRPr="009D4E09">
        <w:rPr>
          <w:rFonts w:cs="Arial"/>
          <w:noProof/>
          <w:sz w:val="22"/>
          <w:szCs w:val="22"/>
        </w:rPr>
        <w:t>property with a view of maximising the Council</w:t>
      </w:r>
      <w:r w:rsidR="00365F7D" w:rsidRPr="009D4E09">
        <w:rPr>
          <w:rFonts w:cs="Arial"/>
          <w:noProof/>
          <w:sz w:val="22"/>
          <w:szCs w:val="22"/>
        </w:rPr>
        <w:t>’</w:t>
      </w:r>
      <w:r w:rsidRPr="009D4E09">
        <w:rPr>
          <w:rFonts w:cs="Arial"/>
          <w:noProof/>
          <w:sz w:val="22"/>
          <w:szCs w:val="22"/>
        </w:rPr>
        <w:t>s returns</w:t>
      </w:r>
      <w:r w:rsidR="00365F7D" w:rsidRPr="009D4E09">
        <w:rPr>
          <w:rFonts w:cs="Arial"/>
          <w:noProof/>
          <w:sz w:val="22"/>
          <w:szCs w:val="22"/>
        </w:rPr>
        <w:t>.  As with all investments, security and liquidity will take precedence over the level of returns.</w:t>
      </w:r>
      <w:r w:rsidRPr="009D4E09">
        <w:rPr>
          <w:rFonts w:cs="Arial"/>
          <w:noProof/>
          <w:sz w:val="22"/>
          <w:szCs w:val="22"/>
        </w:rPr>
        <w:t xml:space="preserve"> </w:t>
      </w:r>
    </w:p>
    <w:p w:rsidR="000E18B8" w:rsidRPr="009D4E09" w:rsidRDefault="000E18B8" w:rsidP="000E18B8">
      <w:pPr>
        <w:pStyle w:val="BodyText"/>
        <w:jc w:val="both"/>
        <w:rPr>
          <w:rFonts w:cs="Arial"/>
          <w:bCs/>
          <w:iCs/>
          <w:szCs w:val="22"/>
        </w:rPr>
      </w:pPr>
      <w:r w:rsidRPr="009D4E09">
        <w:rPr>
          <w:rFonts w:cs="Arial"/>
        </w:rPr>
        <w:t xml:space="preserve"> </w:t>
      </w:r>
    </w:p>
    <w:p w:rsidR="000E18B8" w:rsidRPr="009D4E09" w:rsidRDefault="000E18B8" w:rsidP="000E18B8">
      <w:pPr>
        <w:numPr>
          <w:ilvl w:val="12"/>
          <w:numId w:val="0"/>
        </w:numPr>
        <w:tabs>
          <w:tab w:val="left" w:pos="540"/>
        </w:tabs>
        <w:jc w:val="both"/>
        <w:outlineLvl w:val="0"/>
        <w:rPr>
          <w:rFonts w:cs="Arial"/>
          <w:b/>
          <w:noProof/>
          <w:sz w:val="22"/>
          <w:szCs w:val="22"/>
        </w:rPr>
      </w:pPr>
      <w:r w:rsidRPr="009D4E09">
        <w:rPr>
          <w:rFonts w:cs="Arial"/>
          <w:b/>
          <w:noProof/>
          <w:sz w:val="22"/>
          <w:szCs w:val="22"/>
        </w:rPr>
        <w:t>3.5.2</w:t>
      </w:r>
      <w:r w:rsidRPr="009D4E09">
        <w:rPr>
          <w:rFonts w:cs="Arial"/>
          <w:b/>
          <w:noProof/>
          <w:sz w:val="22"/>
          <w:szCs w:val="22"/>
        </w:rPr>
        <w:tab/>
      </w:r>
      <w:r w:rsidRPr="009D4E09">
        <w:rPr>
          <w:rFonts w:cs="Arial"/>
          <w:b/>
          <w:noProof/>
          <w:sz w:val="22"/>
          <w:szCs w:val="22"/>
        </w:rPr>
        <w:tab/>
        <w:t>Investment Policy</w:t>
      </w:r>
    </w:p>
    <w:p w:rsidR="000E18B8" w:rsidRPr="009D4E09" w:rsidRDefault="000E18B8" w:rsidP="000E18B8">
      <w:pPr>
        <w:jc w:val="both"/>
        <w:rPr>
          <w:rFonts w:cs="Arial"/>
          <w:noProof/>
          <w:sz w:val="22"/>
          <w:szCs w:val="22"/>
        </w:rPr>
      </w:pPr>
    </w:p>
    <w:p w:rsidR="000E18B8" w:rsidRPr="009D4E09" w:rsidRDefault="000E18B8" w:rsidP="000E18B8">
      <w:pPr>
        <w:jc w:val="both"/>
        <w:rPr>
          <w:rFonts w:cs="Arial"/>
          <w:noProof/>
          <w:sz w:val="22"/>
          <w:szCs w:val="22"/>
        </w:rPr>
      </w:pPr>
      <w:r w:rsidRPr="009D4E09">
        <w:rPr>
          <w:rFonts w:cs="Arial"/>
          <w:noProof/>
          <w:sz w:val="22"/>
          <w:szCs w:val="22"/>
        </w:rPr>
        <w:t>The Council’s investment policy has regard to the DCLG’s Guidance on Local Government Investments and the CIPFA Treasury Management in Public Services Code of Practice and Cross Sectoral Guidance Notes (“the CIPFA TM Code”). The Council’s investment priorities are security first, liquidity second, then yield.</w:t>
      </w:r>
    </w:p>
    <w:p w:rsidR="000E18B8" w:rsidRPr="009D4E09" w:rsidRDefault="000E18B8" w:rsidP="000E18B8">
      <w:pPr>
        <w:numPr>
          <w:ilvl w:val="12"/>
          <w:numId w:val="0"/>
        </w:numPr>
        <w:tabs>
          <w:tab w:val="left" w:pos="360"/>
        </w:tabs>
        <w:jc w:val="both"/>
        <w:rPr>
          <w:rFonts w:cs="Arial"/>
          <w:noProof/>
          <w:sz w:val="22"/>
          <w:szCs w:val="22"/>
        </w:rPr>
      </w:pPr>
    </w:p>
    <w:p w:rsidR="00DF264D" w:rsidRPr="009D4E09" w:rsidRDefault="000E18B8" w:rsidP="000E18B8">
      <w:pPr>
        <w:numPr>
          <w:ilvl w:val="12"/>
          <w:numId w:val="0"/>
        </w:numPr>
        <w:tabs>
          <w:tab w:val="left" w:pos="0"/>
        </w:tabs>
        <w:jc w:val="both"/>
        <w:rPr>
          <w:rFonts w:cs="Arial"/>
          <w:noProof/>
          <w:sz w:val="22"/>
          <w:szCs w:val="22"/>
        </w:rPr>
      </w:pPr>
      <w:r w:rsidRPr="009D4E09">
        <w:rPr>
          <w:rFonts w:cs="Arial"/>
          <w:noProof/>
          <w:sz w:val="22"/>
          <w:szCs w:val="22"/>
        </w:rPr>
        <w:lastRenderedPageBreak/>
        <w:t xml:space="preserve">Investment instruments identified for use in the financial year are listed below under the ‘Specified’ and ‘Non-Specified’ Investments categories. </w:t>
      </w:r>
      <w:r w:rsidR="006E77FC" w:rsidRPr="009D4E09">
        <w:rPr>
          <w:rFonts w:cs="Arial"/>
          <w:noProof/>
          <w:sz w:val="22"/>
          <w:szCs w:val="22"/>
        </w:rPr>
        <w:t xml:space="preserve"> </w:t>
      </w:r>
      <w:r w:rsidRPr="009D4E09">
        <w:rPr>
          <w:rFonts w:cs="Arial"/>
          <w:noProof/>
          <w:sz w:val="22"/>
          <w:szCs w:val="22"/>
        </w:rPr>
        <w:t>Counterparty limits will be as set through the Council’s Treasury Management Practices Schedules</w:t>
      </w:r>
      <w:r w:rsidR="006E77FC" w:rsidRPr="009D4E09">
        <w:rPr>
          <w:rFonts w:cs="Arial"/>
          <w:noProof/>
          <w:sz w:val="22"/>
          <w:szCs w:val="22"/>
        </w:rPr>
        <w:t xml:space="preserve"> and are detailed at Annex A</w:t>
      </w:r>
      <w:r w:rsidRPr="009D4E09">
        <w:rPr>
          <w:rFonts w:cs="Arial"/>
          <w:noProof/>
          <w:sz w:val="22"/>
          <w:szCs w:val="22"/>
        </w:rPr>
        <w:t>.</w:t>
      </w:r>
    </w:p>
    <w:p w:rsidR="006E77FC" w:rsidRPr="009D4E09" w:rsidRDefault="006E77FC" w:rsidP="000E18B8">
      <w:pPr>
        <w:numPr>
          <w:ilvl w:val="12"/>
          <w:numId w:val="0"/>
        </w:numPr>
        <w:tabs>
          <w:tab w:val="left" w:pos="0"/>
        </w:tabs>
        <w:jc w:val="both"/>
        <w:rPr>
          <w:rFonts w:cs="Arial"/>
          <w:noProof/>
          <w:sz w:val="22"/>
          <w:szCs w:val="22"/>
        </w:rPr>
      </w:pPr>
    </w:p>
    <w:p w:rsidR="006E77FC" w:rsidRPr="009D4E09" w:rsidRDefault="006E77FC" w:rsidP="000E18B8">
      <w:pPr>
        <w:numPr>
          <w:ilvl w:val="12"/>
          <w:numId w:val="0"/>
        </w:numPr>
        <w:tabs>
          <w:tab w:val="left" w:pos="0"/>
        </w:tabs>
        <w:jc w:val="both"/>
        <w:rPr>
          <w:rFonts w:cs="Arial"/>
          <w:noProof/>
          <w:sz w:val="22"/>
          <w:szCs w:val="22"/>
        </w:rPr>
      </w:pPr>
      <w:r w:rsidRPr="009D4E09">
        <w:rPr>
          <w:rFonts w:cs="Arial"/>
          <w:noProof/>
          <w:sz w:val="22"/>
          <w:szCs w:val="22"/>
        </w:rPr>
        <w:t>As part of its diversification of investments, the Council will consider the use of investing some of its core funds (ie: funds not immediately required for cashflow reasons) in longer–term investment property instruments.  These may take the form of individual assets owned by the council or by investment in pooled property funds.  Any property investment is dependent on the development of a Property Investment Strategy and any individual acquisitions will be subject to a full business case before any Council funds are committed.  When developed, the Property Investment Strategy will</w:t>
      </w:r>
      <w:r w:rsidR="005E4477" w:rsidRPr="009D4E09">
        <w:rPr>
          <w:rFonts w:cs="Arial"/>
          <w:noProof/>
          <w:sz w:val="22"/>
          <w:szCs w:val="22"/>
        </w:rPr>
        <w:t xml:space="preserve"> include a scheme of delegation, type of assets (eg: residential and commercial) and prudent investment limits; this </w:t>
      </w:r>
      <w:r w:rsidRPr="009D4E09">
        <w:rPr>
          <w:rFonts w:cs="Arial"/>
          <w:noProof/>
          <w:sz w:val="22"/>
          <w:szCs w:val="22"/>
        </w:rPr>
        <w:t xml:space="preserve">form a separate Annex to the TMS.  </w:t>
      </w:r>
    </w:p>
    <w:p w:rsidR="000E18B8" w:rsidRPr="009D4E09" w:rsidRDefault="000E18B8" w:rsidP="000E18B8">
      <w:pPr>
        <w:numPr>
          <w:ilvl w:val="12"/>
          <w:numId w:val="0"/>
        </w:numPr>
        <w:tabs>
          <w:tab w:val="left" w:pos="0"/>
        </w:tabs>
        <w:jc w:val="both"/>
        <w:rPr>
          <w:rFonts w:cs="Arial"/>
          <w:noProof/>
          <w:sz w:val="22"/>
          <w:szCs w:val="22"/>
        </w:rPr>
      </w:pPr>
      <w:r w:rsidRPr="009D4E09">
        <w:rPr>
          <w:rFonts w:cs="Arial"/>
          <w:noProof/>
          <w:sz w:val="22"/>
          <w:szCs w:val="22"/>
        </w:rPr>
        <w:t xml:space="preserve"> </w:t>
      </w:r>
    </w:p>
    <w:p w:rsidR="000E18B8" w:rsidRPr="009D4E09" w:rsidRDefault="000E18B8" w:rsidP="000E18B8">
      <w:pPr>
        <w:numPr>
          <w:ilvl w:val="12"/>
          <w:numId w:val="0"/>
        </w:numPr>
        <w:tabs>
          <w:tab w:val="left" w:pos="540"/>
        </w:tabs>
        <w:jc w:val="both"/>
        <w:outlineLvl w:val="0"/>
        <w:rPr>
          <w:rFonts w:cs="Arial"/>
          <w:b/>
          <w:noProof/>
          <w:sz w:val="22"/>
          <w:szCs w:val="22"/>
        </w:rPr>
      </w:pPr>
      <w:r w:rsidRPr="009D4E09">
        <w:rPr>
          <w:rFonts w:cs="Arial"/>
          <w:b/>
          <w:noProof/>
          <w:sz w:val="22"/>
          <w:szCs w:val="22"/>
        </w:rPr>
        <w:t>3.5.3</w:t>
      </w:r>
      <w:r w:rsidRPr="009D4E09">
        <w:rPr>
          <w:rFonts w:cs="Arial"/>
          <w:b/>
          <w:noProof/>
          <w:sz w:val="22"/>
          <w:szCs w:val="22"/>
        </w:rPr>
        <w:tab/>
      </w:r>
      <w:r w:rsidRPr="009D4E09">
        <w:rPr>
          <w:rFonts w:cs="Arial"/>
          <w:b/>
          <w:noProof/>
          <w:sz w:val="22"/>
          <w:szCs w:val="22"/>
        </w:rPr>
        <w:tab/>
        <w:t xml:space="preserve">Creditworthiness policy </w:t>
      </w:r>
    </w:p>
    <w:p w:rsidR="000E18B8" w:rsidRPr="009D4E09" w:rsidRDefault="000E18B8" w:rsidP="000E18B8">
      <w:pPr>
        <w:tabs>
          <w:tab w:val="left" w:pos="360"/>
        </w:tabs>
        <w:jc w:val="both"/>
        <w:rPr>
          <w:rFonts w:cs="Arial"/>
          <w:b/>
          <w:i/>
          <w:noProof/>
          <w:sz w:val="22"/>
          <w:szCs w:val="22"/>
        </w:rPr>
      </w:pPr>
    </w:p>
    <w:p w:rsidR="000E18B8" w:rsidRPr="009D4E09" w:rsidRDefault="000E18B8" w:rsidP="000E18B8">
      <w:pPr>
        <w:pStyle w:val="BodyText"/>
        <w:rPr>
          <w:rFonts w:cs="Arial"/>
          <w:iCs/>
          <w:szCs w:val="22"/>
        </w:rPr>
      </w:pPr>
      <w:r w:rsidRPr="009D4E09">
        <w:rPr>
          <w:rFonts w:cs="Arial"/>
          <w:bCs/>
          <w:szCs w:val="22"/>
        </w:rPr>
        <w:t>T</w:t>
      </w:r>
      <w:r w:rsidRPr="009D4E09">
        <w:rPr>
          <w:rFonts w:cs="Arial"/>
          <w:iCs/>
          <w:szCs w:val="22"/>
        </w:rPr>
        <w:t>he Council will ensure:</w:t>
      </w:r>
    </w:p>
    <w:p w:rsidR="000E18B8" w:rsidRPr="009D4E09" w:rsidRDefault="000E18B8" w:rsidP="000E18B8">
      <w:pPr>
        <w:pStyle w:val="BodyText"/>
        <w:rPr>
          <w:rFonts w:cs="Arial"/>
          <w:iCs/>
          <w:szCs w:val="22"/>
        </w:rPr>
      </w:pPr>
    </w:p>
    <w:p w:rsidR="000E18B8" w:rsidRPr="009D4E09" w:rsidRDefault="000E18B8" w:rsidP="000E18B8">
      <w:pPr>
        <w:pStyle w:val="BodyText2"/>
        <w:numPr>
          <w:ilvl w:val="0"/>
          <w:numId w:val="23"/>
        </w:numPr>
        <w:tabs>
          <w:tab w:val="clear" w:pos="720"/>
          <w:tab w:val="num" w:pos="540"/>
        </w:tabs>
        <w:ind w:left="540" w:hanging="540"/>
        <w:jc w:val="both"/>
        <w:rPr>
          <w:rFonts w:cs="Arial"/>
          <w:iCs/>
          <w:sz w:val="22"/>
          <w:szCs w:val="22"/>
        </w:rPr>
      </w:pPr>
      <w:r w:rsidRPr="009D4E09">
        <w:rPr>
          <w:rFonts w:cs="Arial"/>
          <w:iCs/>
          <w:sz w:val="22"/>
          <w:szCs w:val="22"/>
        </w:rPr>
        <w:t>It maintains a policy covering both the categories of investment types it will invest in and the criteria for choosing investment counterparties with adequate security, and monitoring their security. This is set out in the Specified and Non-Specified investment sections below.</w:t>
      </w:r>
    </w:p>
    <w:p w:rsidR="000E18B8" w:rsidRPr="009D4E09" w:rsidRDefault="000E18B8" w:rsidP="000E18B8">
      <w:pPr>
        <w:pStyle w:val="BodyText2"/>
        <w:jc w:val="both"/>
        <w:rPr>
          <w:rFonts w:cs="Arial"/>
          <w:iCs/>
          <w:sz w:val="22"/>
          <w:szCs w:val="22"/>
        </w:rPr>
      </w:pPr>
    </w:p>
    <w:p w:rsidR="000E18B8" w:rsidRPr="009D4E09" w:rsidRDefault="000E18B8" w:rsidP="000E18B8">
      <w:pPr>
        <w:pStyle w:val="BodyText2"/>
        <w:numPr>
          <w:ilvl w:val="0"/>
          <w:numId w:val="23"/>
        </w:numPr>
        <w:tabs>
          <w:tab w:val="clear" w:pos="720"/>
          <w:tab w:val="num" w:pos="540"/>
        </w:tabs>
        <w:ind w:left="540" w:hanging="540"/>
        <w:jc w:val="both"/>
        <w:rPr>
          <w:rFonts w:cs="Arial"/>
          <w:iCs/>
          <w:sz w:val="22"/>
          <w:szCs w:val="22"/>
        </w:rPr>
      </w:pPr>
      <w:r w:rsidRPr="009D4E09">
        <w:rPr>
          <w:rFonts w:cs="Arial"/>
          <w:iCs/>
          <w:sz w:val="22"/>
          <w:szCs w:val="22"/>
        </w:rPr>
        <w:t xml:space="preserve">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  </w:t>
      </w:r>
    </w:p>
    <w:p w:rsidR="000E18B8" w:rsidRPr="009D4E09" w:rsidRDefault="000E18B8" w:rsidP="000E18B8">
      <w:pPr>
        <w:pStyle w:val="BodyText2"/>
        <w:jc w:val="both"/>
        <w:rPr>
          <w:rFonts w:cs="Arial"/>
          <w:iCs/>
          <w:sz w:val="22"/>
          <w:szCs w:val="22"/>
        </w:rPr>
      </w:pPr>
    </w:p>
    <w:p w:rsidR="000E18B8" w:rsidRPr="009D4E09" w:rsidRDefault="000E18B8" w:rsidP="000E18B8">
      <w:pPr>
        <w:pStyle w:val="BodyText"/>
        <w:jc w:val="both"/>
        <w:rPr>
          <w:rFonts w:cs="Arial"/>
          <w:iCs/>
          <w:szCs w:val="22"/>
        </w:rPr>
      </w:pPr>
      <w:r w:rsidRPr="009D4E09">
        <w:rPr>
          <w:rFonts w:cs="Arial"/>
          <w:iCs/>
          <w:szCs w:val="22"/>
        </w:rPr>
        <w:t xml:space="preserve">The Director of Finance will maintain a counterparty list in compliance with the following criteria and will revise the criteria and submit them to Council for approval as necessary and will provide an overall pool of counterparties considered high quality. </w:t>
      </w:r>
    </w:p>
    <w:p w:rsidR="000E18B8" w:rsidRPr="009D4E09" w:rsidRDefault="000E18B8" w:rsidP="000E18B8">
      <w:pPr>
        <w:pStyle w:val="BodyText"/>
        <w:jc w:val="both"/>
        <w:rPr>
          <w:rFonts w:cs="Arial"/>
          <w:iCs/>
          <w:szCs w:val="22"/>
        </w:rPr>
      </w:pPr>
    </w:p>
    <w:p w:rsidR="000E18B8" w:rsidRPr="009D4E09" w:rsidRDefault="000E18B8" w:rsidP="000E18B8">
      <w:pPr>
        <w:pStyle w:val="BodyText"/>
        <w:jc w:val="both"/>
        <w:rPr>
          <w:rFonts w:cs="Arial"/>
          <w:iCs/>
          <w:szCs w:val="22"/>
        </w:rPr>
      </w:pPr>
      <w:r w:rsidRPr="009D4E09">
        <w:rPr>
          <w:rFonts w:cs="Arial"/>
          <w:iCs/>
          <w:szCs w:val="22"/>
        </w:rPr>
        <w:t xml:space="preserve">Credit rating information is supplied by our treasury consultants on all active counterparties that comply with the Council’s criteria. Any counterparty failing to meet the criteria would be omitted from the counterparty (dealing) list. Any rating changes, rating watches (notification of a likely change), rating outlooks (notification of a possible longer term change) are provided to officers almost immediately after they occur and this information is considered before dealing. </w:t>
      </w:r>
    </w:p>
    <w:p w:rsidR="000E18B8" w:rsidRPr="009D4E09" w:rsidRDefault="000E18B8" w:rsidP="000E18B8">
      <w:pPr>
        <w:pStyle w:val="BodyText"/>
        <w:rPr>
          <w:rFonts w:cs="Arial"/>
          <w:iCs/>
          <w:szCs w:val="22"/>
        </w:rPr>
      </w:pPr>
    </w:p>
    <w:p w:rsidR="000E18B8" w:rsidRPr="009D4E09" w:rsidRDefault="000E18B8" w:rsidP="000E18B8">
      <w:pPr>
        <w:pStyle w:val="BodyText"/>
        <w:outlineLvl w:val="0"/>
        <w:rPr>
          <w:rFonts w:cs="Arial"/>
          <w:b/>
          <w:iCs/>
          <w:szCs w:val="22"/>
        </w:rPr>
      </w:pPr>
      <w:r w:rsidRPr="009D4E09">
        <w:rPr>
          <w:rFonts w:cs="Arial"/>
          <w:b/>
          <w:iCs/>
          <w:szCs w:val="22"/>
        </w:rPr>
        <w:t>Counterparty Categories</w:t>
      </w:r>
    </w:p>
    <w:p w:rsidR="000E18B8" w:rsidRPr="009D4E09" w:rsidRDefault="000E18B8" w:rsidP="000E18B8">
      <w:pPr>
        <w:pStyle w:val="BodyText"/>
        <w:rPr>
          <w:rFonts w:cs="Arial"/>
          <w:b/>
          <w:iCs/>
          <w:szCs w:val="22"/>
        </w:rPr>
      </w:pPr>
    </w:p>
    <w:p w:rsidR="000E18B8" w:rsidRPr="009D4E09" w:rsidRDefault="000E18B8" w:rsidP="000E18B8">
      <w:pPr>
        <w:pStyle w:val="BodyText"/>
        <w:rPr>
          <w:rFonts w:cs="Arial"/>
          <w:iCs/>
          <w:szCs w:val="22"/>
        </w:rPr>
      </w:pPr>
      <w:r w:rsidRPr="009D4E09">
        <w:rPr>
          <w:rFonts w:cs="Arial"/>
          <w:iCs/>
          <w:szCs w:val="22"/>
        </w:rPr>
        <w:t>The Council uses the following criteria in choosing the categories of institutions in which to invest:</w:t>
      </w:r>
    </w:p>
    <w:p w:rsidR="000E18B8" w:rsidRPr="009D4E09" w:rsidRDefault="000E18B8" w:rsidP="000E18B8">
      <w:pPr>
        <w:pStyle w:val="BodyText"/>
        <w:rPr>
          <w:rFonts w:cs="Arial"/>
          <w:iCs/>
          <w:szCs w:val="22"/>
        </w:rPr>
      </w:pPr>
    </w:p>
    <w:p w:rsidR="000E18B8" w:rsidRPr="009D4E09" w:rsidRDefault="000E18B8" w:rsidP="000E18B8">
      <w:pPr>
        <w:pStyle w:val="BodyText2"/>
        <w:numPr>
          <w:ilvl w:val="0"/>
          <w:numId w:val="24"/>
        </w:numPr>
        <w:tabs>
          <w:tab w:val="clear" w:pos="720"/>
          <w:tab w:val="num" w:pos="540"/>
        </w:tabs>
        <w:ind w:left="0" w:firstLine="0"/>
        <w:jc w:val="both"/>
        <w:rPr>
          <w:rFonts w:cs="Arial"/>
          <w:b/>
          <w:iCs/>
          <w:sz w:val="22"/>
          <w:szCs w:val="22"/>
        </w:rPr>
      </w:pPr>
      <w:r w:rsidRPr="009D4E09">
        <w:rPr>
          <w:rFonts w:cs="Arial"/>
          <w:b/>
          <w:iCs/>
          <w:sz w:val="22"/>
          <w:szCs w:val="22"/>
        </w:rPr>
        <w:t>Banks 1 - Good Credit Quality</w:t>
      </w:r>
    </w:p>
    <w:p w:rsidR="000E18B8" w:rsidRPr="009D4E09" w:rsidRDefault="000E18B8" w:rsidP="000E18B8">
      <w:pPr>
        <w:pStyle w:val="BodyText2"/>
        <w:ind w:left="539"/>
        <w:jc w:val="both"/>
        <w:rPr>
          <w:rFonts w:cs="Arial"/>
          <w:iCs/>
          <w:sz w:val="22"/>
          <w:szCs w:val="22"/>
        </w:rPr>
      </w:pPr>
      <w:r w:rsidRPr="009D4E09">
        <w:rPr>
          <w:rFonts w:cs="Arial"/>
          <w:iCs/>
          <w:sz w:val="22"/>
          <w:szCs w:val="22"/>
        </w:rPr>
        <w:t xml:space="preserve">The Council will only use </w:t>
      </w:r>
      <w:smartTag w:uri="urn:schemas-microsoft-com:office:smarttags" w:element="country-region">
        <w:r w:rsidRPr="009D4E09">
          <w:rPr>
            <w:rFonts w:cs="Arial"/>
            <w:iCs/>
            <w:sz w:val="22"/>
            <w:szCs w:val="22"/>
          </w:rPr>
          <w:t>UK</w:t>
        </w:r>
      </w:smartTag>
      <w:r w:rsidRPr="009D4E09">
        <w:rPr>
          <w:rFonts w:cs="Arial"/>
          <w:iCs/>
          <w:sz w:val="22"/>
          <w:szCs w:val="22"/>
        </w:rPr>
        <w:t xml:space="preserve"> banks or foreign banks trading in the </w:t>
      </w:r>
      <w:smartTag w:uri="urn:schemas-microsoft-com:office:smarttags" w:element="country-region">
        <w:smartTag w:uri="urn:schemas-microsoft-com:office:smarttags" w:element="place">
          <w:r w:rsidRPr="009D4E09">
            <w:rPr>
              <w:rFonts w:cs="Arial"/>
              <w:iCs/>
              <w:sz w:val="22"/>
              <w:szCs w:val="22"/>
            </w:rPr>
            <w:t>UK</w:t>
          </w:r>
        </w:smartTag>
      </w:smartTag>
      <w:r w:rsidRPr="009D4E09">
        <w:rPr>
          <w:rFonts w:cs="Arial"/>
          <w:iCs/>
          <w:sz w:val="22"/>
          <w:szCs w:val="22"/>
        </w:rPr>
        <w:t xml:space="preserve"> in sterling denomination and which meet the Rating criteria.</w:t>
      </w:r>
    </w:p>
    <w:p w:rsidR="00BF3D55" w:rsidRPr="009D4E09" w:rsidRDefault="00BF3D55" w:rsidP="00BF3D55">
      <w:pPr>
        <w:pStyle w:val="BodyText2"/>
        <w:jc w:val="both"/>
        <w:rPr>
          <w:rFonts w:cs="Arial"/>
          <w:iCs/>
          <w:sz w:val="22"/>
          <w:szCs w:val="22"/>
        </w:rPr>
      </w:pPr>
    </w:p>
    <w:p w:rsidR="000E18B8" w:rsidRPr="009D4E09" w:rsidRDefault="000E18B8" w:rsidP="000E18B8">
      <w:pPr>
        <w:pStyle w:val="BodyText2"/>
        <w:numPr>
          <w:ilvl w:val="0"/>
          <w:numId w:val="24"/>
        </w:numPr>
        <w:tabs>
          <w:tab w:val="clear" w:pos="720"/>
          <w:tab w:val="num" w:pos="540"/>
        </w:tabs>
        <w:ind w:left="540" w:hanging="540"/>
        <w:jc w:val="both"/>
        <w:rPr>
          <w:rFonts w:cs="Arial"/>
          <w:iCs/>
          <w:sz w:val="22"/>
          <w:szCs w:val="22"/>
        </w:rPr>
      </w:pPr>
      <w:r w:rsidRPr="009D4E09">
        <w:rPr>
          <w:rFonts w:cs="Arial"/>
          <w:b/>
          <w:iCs/>
          <w:sz w:val="22"/>
          <w:szCs w:val="22"/>
        </w:rPr>
        <w:t xml:space="preserve">Banks </w:t>
      </w:r>
      <w:r w:rsidR="00FE0532" w:rsidRPr="009D4E09">
        <w:rPr>
          <w:rFonts w:cs="Arial"/>
          <w:b/>
          <w:iCs/>
          <w:sz w:val="22"/>
          <w:szCs w:val="22"/>
        </w:rPr>
        <w:t>2</w:t>
      </w:r>
      <w:r w:rsidRPr="009D4E09">
        <w:rPr>
          <w:rFonts w:cs="Arial"/>
          <w:b/>
          <w:iCs/>
          <w:sz w:val="22"/>
          <w:szCs w:val="22"/>
        </w:rPr>
        <w:t xml:space="preserve"> – The Council’s Own Banker </w:t>
      </w:r>
      <w:r w:rsidRPr="009D4E09">
        <w:rPr>
          <w:rFonts w:cs="Arial"/>
          <w:b/>
          <w:iCs/>
          <w:sz w:val="22"/>
          <w:szCs w:val="22"/>
        </w:rPr>
        <w:tab/>
      </w:r>
      <w:r w:rsidRPr="009D4E09">
        <w:rPr>
          <w:rFonts w:cs="Arial"/>
          <w:b/>
          <w:iCs/>
          <w:sz w:val="22"/>
          <w:szCs w:val="22"/>
        </w:rPr>
        <w:br/>
      </w:r>
      <w:r w:rsidRPr="009D4E09">
        <w:rPr>
          <w:rFonts w:cs="Arial"/>
          <w:iCs/>
          <w:sz w:val="22"/>
          <w:szCs w:val="22"/>
        </w:rPr>
        <w:t>For transactional purposes, if the bank falls below the above criteria, it will be included, although in this case balances will be minimised as far as possible in both monetary size and time within operational constraints.</w:t>
      </w:r>
    </w:p>
    <w:p w:rsidR="000E18B8" w:rsidRPr="009D4E09" w:rsidRDefault="000E18B8" w:rsidP="000E18B8">
      <w:pPr>
        <w:pStyle w:val="BodyText2"/>
        <w:jc w:val="both"/>
        <w:rPr>
          <w:rFonts w:cs="Arial"/>
          <w:iCs/>
          <w:sz w:val="22"/>
          <w:szCs w:val="22"/>
        </w:rPr>
      </w:pPr>
    </w:p>
    <w:p w:rsidR="000E18B8" w:rsidRPr="009D4E09" w:rsidRDefault="000E18B8" w:rsidP="000E18B8">
      <w:pPr>
        <w:pStyle w:val="BodyText2"/>
        <w:numPr>
          <w:ilvl w:val="0"/>
          <w:numId w:val="24"/>
        </w:numPr>
        <w:tabs>
          <w:tab w:val="clear" w:pos="720"/>
          <w:tab w:val="num" w:pos="540"/>
        </w:tabs>
        <w:ind w:left="540" w:hanging="540"/>
        <w:jc w:val="both"/>
        <w:rPr>
          <w:rFonts w:cs="Arial"/>
          <w:iCs/>
          <w:sz w:val="22"/>
          <w:szCs w:val="22"/>
        </w:rPr>
      </w:pPr>
      <w:r w:rsidRPr="009D4E09">
        <w:rPr>
          <w:rFonts w:cs="Arial"/>
          <w:b/>
          <w:iCs/>
          <w:sz w:val="22"/>
          <w:szCs w:val="22"/>
        </w:rPr>
        <w:t>Bank Subsidiary and Treasury Operations</w:t>
      </w:r>
      <w:r w:rsidRPr="009D4E09">
        <w:rPr>
          <w:rFonts w:cs="Arial"/>
          <w:iCs/>
          <w:sz w:val="22"/>
          <w:szCs w:val="22"/>
        </w:rPr>
        <w:t xml:space="preserve"> –</w:t>
      </w:r>
      <w:r w:rsidRPr="009D4E09">
        <w:rPr>
          <w:rFonts w:cs="Arial"/>
          <w:b/>
          <w:iCs/>
          <w:sz w:val="22"/>
          <w:szCs w:val="22"/>
        </w:rPr>
        <w:t xml:space="preserve"> </w:t>
      </w:r>
      <w:r w:rsidRPr="009D4E09">
        <w:rPr>
          <w:rFonts w:cs="Arial"/>
          <w:iCs/>
          <w:sz w:val="22"/>
          <w:szCs w:val="22"/>
        </w:rPr>
        <w:t xml:space="preserve">the Council will use these where the parent bank has the necessary ratings outlined above and the parent has provided an indemnity guarantee. </w:t>
      </w:r>
    </w:p>
    <w:p w:rsidR="000E18B8" w:rsidRPr="009D4E09" w:rsidRDefault="000E18B8" w:rsidP="000E18B8">
      <w:pPr>
        <w:pStyle w:val="BodyText2"/>
        <w:jc w:val="both"/>
        <w:rPr>
          <w:rFonts w:cs="Arial"/>
          <w:iCs/>
          <w:sz w:val="22"/>
          <w:szCs w:val="22"/>
        </w:rPr>
      </w:pPr>
    </w:p>
    <w:p w:rsidR="000E18B8" w:rsidRPr="009D4E09" w:rsidRDefault="000E18B8" w:rsidP="00C41EE4">
      <w:pPr>
        <w:pStyle w:val="BodyText2"/>
        <w:numPr>
          <w:ilvl w:val="0"/>
          <w:numId w:val="24"/>
        </w:numPr>
        <w:tabs>
          <w:tab w:val="clear" w:pos="720"/>
          <w:tab w:val="num" w:pos="540"/>
        </w:tabs>
        <w:ind w:left="540" w:hanging="540"/>
        <w:jc w:val="both"/>
        <w:rPr>
          <w:rFonts w:cs="Arial"/>
          <w:iCs/>
          <w:sz w:val="22"/>
          <w:szCs w:val="22"/>
        </w:rPr>
      </w:pPr>
      <w:r w:rsidRPr="009D4E09">
        <w:rPr>
          <w:rFonts w:cs="Arial"/>
          <w:b/>
          <w:iCs/>
          <w:sz w:val="22"/>
          <w:szCs w:val="22"/>
        </w:rPr>
        <w:t>Building Societies</w:t>
      </w:r>
      <w:r w:rsidRPr="009D4E09">
        <w:rPr>
          <w:rFonts w:cs="Arial"/>
          <w:b/>
          <w:iCs/>
          <w:sz w:val="22"/>
          <w:szCs w:val="22"/>
        </w:rPr>
        <w:tab/>
      </w:r>
      <w:r w:rsidRPr="009D4E09">
        <w:rPr>
          <w:rFonts w:cs="Arial"/>
          <w:b/>
          <w:iCs/>
          <w:sz w:val="22"/>
          <w:szCs w:val="22"/>
        </w:rPr>
        <w:br/>
      </w:r>
      <w:r w:rsidRPr="009D4E09">
        <w:rPr>
          <w:rFonts w:cs="Arial"/>
          <w:iCs/>
          <w:sz w:val="22"/>
          <w:szCs w:val="22"/>
        </w:rPr>
        <w:t>The Counc</w:t>
      </w:r>
      <w:r w:rsidR="00C41EE4" w:rsidRPr="009D4E09">
        <w:rPr>
          <w:rFonts w:cs="Arial"/>
          <w:iCs/>
          <w:sz w:val="22"/>
          <w:szCs w:val="22"/>
        </w:rPr>
        <w:t>il will use all Societies which m</w:t>
      </w:r>
      <w:r w:rsidRPr="009D4E09">
        <w:rPr>
          <w:rFonts w:cs="Arial"/>
          <w:iCs/>
          <w:sz w:val="22"/>
          <w:szCs w:val="22"/>
        </w:rPr>
        <w:t>eet the ratings for banks outlined above</w:t>
      </w:r>
      <w:r w:rsidR="00C41EE4" w:rsidRPr="009D4E09">
        <w:rPr>
          <w:rFonts w:cs="Arial"/>
          <w:iCs/>
          <w:sz w:val="22"/>
          <w:szCs w:val="22"/>
        </w:rPr>
        <w:t>.</w:t>
      </w:r>
    </w:p>
    <w:p w:rsidR="000E18B8" w:rsidRPr="009D4E09" w:rsidRDefault="000E18B8" w:rsidP="000E18B8">
      <w:pPr>
        <w:pStyle w:val="BodyText2"/>
        <w:jc w:val="both"/>
        <w:rPr>
          <w:rFonts w:cs="Arial"/>
          <w:b/>
          <w:iCs/>
          <w:sz w:val="22"/>
          <w:szCs w:val="22"/>
        </w:rPr>
      </w:pPr>
    </w:p>
    <w:p w:rsidR="000E18B8" w:rsidRPr="009D4E09" w:rsidRDefault="000E18B8" w:rsidP="000E18B8">
      <w:pPr>
        <w:pStyle w:val="BodyText2"/>
        <w:numPr>
          <w:ilvl w:val="0"/>
          <w:numId w:val="14"/>
        </w:numPr>
        <w:tabs>
          <w:tab w:val="clear" w:pos="720"/>
          <w:tab w:val="num" w:pos="540"/>
        </w:tabs>
        <w:ind w:left="540" w:hanging="540"/>
        <w:jc w:val="both"/>
        <w:rPr>
          <w:rFonts w:cs="Arial"/>
          <w:iCs/>
          <w:sz w:val="22"/>
          <w:szCs w:val="22"/>
        </w:rPr>
      </w:pPr>
      <w:r w:rsidRPr="009D4E09">
        <w:rPr>
          <w:rFonts w:cs="Arial"/>
          <w:b/>
          <w:iCs/>
          <w:sz w:val="22"/>
          <w:szCs w:val="22"/>
        </w:rPr>
        <w:t>Specific Public Bodies</w:t>
      </w:r>
      <w:r w:rsidRPr="009D4E09">
        <w:rPr>
          <w:rFonts w:cs="Arial"/>
          <w:b/>
          <w:iCs/>
          <w:sz w:val="22"/>
          <w:szCs w:val="22"/>
        </w:rPr>
        <w:tab/>
      </w:r>
      <w:r w:rsidRPr="009D4E09">
        <w:rPr>
          <w:rFonts w:cs="Arial"/>
          <w:b/>
          <w:iCs/>
          <w:sz w:val="22"/>
          <w:szCs w:val="22"/>
        </w:rPr>
        <w:br/>
      </w:r>
      <w:r w:rsidRPr="009D4E09">
        <w:rPr>
          <w:rFonts w:cs="Arial"/>
          <w:iCs/>
          <w:sz w:val="22"/>
          <w:szCs w:val="22"/>
        </w:rPr>
        <w:t>The Council may lend to Public Bodies other than Local Authorities. The criterion for lending to these bodies is that the loan has been approved by Council.</w:t>
      </w:r>
    </w:p>
    <w:p w:rsidR="000E18B8" w:rsidRPr="009D4E09" w:rsidRDefault="000E18B8" w:rsidP="000E18B8">
      <w:pPr>
        <w:pStyle w:val="BodyText2"/>
        <w:jc w:val="both"/>
        <w:rPr>
          <w:rFonts w:cs="Arial"/>
          <w:iCs/>
          <w:sz w:val="22"/>
          <w:szCs w:val="22"/>
        </w:rPr>
      </w:pPr>
    </w:p>
    <w:p w:rsidR="000E18B8" w:rsidRPr="009D4E09" w:rsidRDefault="000E18B8" w:rsidP="000E18B8">
      <w:pPr>
        <w:pStyle w:val="BodyText2"/>
        <w:numPr>
          <w:ilvl w:val="0"/>
          <w:numId w:val="14"/>
        </w:numPr>
        <w:tabs>
          <w:tab w:val="clear" w:pos="720"/>
          <w:tab w:val="num" w:pos="540"/>
        </w:tabs>
        <w:ind w:left="0" w:firstLine="0"/>
        <w:jc w:val="both"/>
        <w:rPr>
          <w:rFonts w:cs="Arial"/>
          <w:b/>
          <w:iCs/>
          <w:sz w:val="22"/>
          <w:szCs w:val="22"/>
        </w:rPr>
      </w:pPr>
      <w:r w:rsidRPr="009D4E09">
        <w:rPr>
          <w:rFonts w:cs="Arial"/>
          <w:b/>
          <w:iCs/>
          <w:sz w:val="22"/>
          <w:szCs w:val="22"/>
        </w:rPr>
        <w:t>Money Market Funds AAA Rated</w:t>
      </w:r>
    </w:p>
    <w:p w:rsidR="000E18B8" w:rsidRPr="009D4E09" w:rsidRDefault="000E18B8" w:rsidP="000E18B8">
      <w:pPr>
        <w:pStyle w:val="BodyText"/>
        <w:ind w:left="540"/>
        <w:rPr>
          <w:rFonts w:cs="Arial"/>
          <w:szCs w:val="22"/>
        </w:rPr>
      </w:pPr>
      <w:r w:rsidRPr="009D4E09">
        <w:rPr>
          <w:rFonts w:cs="Arial"/>
          <w:szCs w:val="22"/>
        </w:rPr>
        <w:t xml:space="preserve">The Council may lend to Money Market Funds in order to spread its investment risk. </w:t>
      </w:r>
    </w:p>
    <w:p w:rsidR="000E18B8" w:rsidRPr="009D4E09" w:rsidRDefault="000E18B8" w:rsidP="000E18B8">
      <w:pPr>
        <w:pStyle w:val="BodyText2"/>
        <w:jc w:val="both"/>
        <w:rPr>
          <w:rFonts w:cs="Arial"/>
          <w:iCs/>
          <w:sz w:val="22"/>
          <w:szCs w:val="22"/>
        </w:rPr>
      </w:pPr>
      <w:r w:rsidRPr="009D4E09">
        <w:rPr>
          <w:rFonts w:cs="Arial"/>
          <w:iCs/>
          <w:sz w:val="22"/>
          <w:szCs w:val="22"/>
        </w:rPr>
        <w:t xml:space="preserve"> </w:t>
      </w:r>
    </w:p>
    <w:p w:rsidR="000E18B8" w:rsidRPr="009D4E09" w:rsidRDefault="000E18B8" w:rsidP="000E18B8">
      <w:pPr>
        <w:pStyle w:val="BodyText2"/>
        <w:numPr>
          <w:ilvl w:val="0"/>
          <w:numId w:val="14"/>
        </w:numPr>
        <w:tabs>
          <w:tab w:val="clear" w:pos="720"/>
          <w:tab w:val="num" w:pos="540"/>
        </w:tabs>
        <w:ind w:left="0" w:firstLine="0"/>
        <w:jc w:val="both"/>
        <w:rPr>
          <w:rFonts w:cs="Arial"/>
          <w:b/>
          <w:iCs/>
          <w:sz w:val="22"/>
          <w:szCs w:val="22"/>
        </w:rPr>
      </w:pPr>
      <w:r w:rsidRPr="009D4E09">
        <w:rPr>
          <w:rFonts w:cs="Arial"/>
          <w:b/>
          <w:iCs/>
          <w:sz w:val="22"/>
          <w:szCs w:val="22"/>
        </w:rPr>
        <w:t>Local Authorities</w:t>
      </w:r>
      <w:r w:rsidRPr="009D4E09">
        <w:rPr>
          <w:rFonts w:cs="Arial"/>
          <w:b/>
          <w:iCs/>
          <w:sz w:val="22"/>
          <w:szCs w:val="22"/>
        </w:rPr>
        <w:tab/>
      </w:r>
    </w:p>
    <w:p w:rsidR="000E18B8" w:rsidRPr="009D4E09" w:rsidRDefault="000E18B8" w:rsidP="000E18B8">
      <w:pPr>
        <w:pStyle w:val="BodyText"/>
        <w:ind w:left="540"/>
        <w:rPr>
          <w:rFonts w:cs="Arial"/>
          <w:iCs/>
          <w:szCs w:val="22"/>
        </w:rPr>
      </w:pPr>
      <w:r w:rsidRPr="009D4E09">
        <w:rPr>
          <w:rFonts w:cs="Arial"/>
          <w:iCs/>
          <w:szCs w:val="22"/>
        </w:rPr>
        <w:t>A limit of £2m per authority will be applied.</w:t>
      </w:r>
    </w:p>
    <w:p w:rsidR="007A65E6" w:rsidRPr="009D4E09" w:rsidRDefault="007A65E6" w:rsidP="000E18B8">
      <w:pPr>
        <w:pStyle w:val="BodyText"/>
        <w:ind w:left="540"/>
        <w:rPr>
          <w:rFonts w:cs="Arial"/>
          <w:iCs/>
          <w:szCs w:val="22"/>
        </w:rPr>
      </w:pPr>
    </w:p>
    <w:p w:rsidR="000E18B8" w:rsidRPr="009D4E09" w:rsidRDefault="000E18B8" w:rsidP="000E18B8">
      <w:pPr>
        <w:pStyle w:val="BodyText2"/>
        <w:numPr>
          <w:ilvl w:val="0"/>
          <w:numId w:val="14"/>
        </w:numPr>
        <w:tabs>
          <w:tab w:val="clear" w:pos="720"/>
          <w:tab w:val="num" w:pos="540"/>
        </w:tabs>
        <w:ind w:left="0" w:firstLine="0"/>
        <w:jc w:val="both"/>
        <w:rPr>
          <w:rFonts w:cs="Arial"/>
          <w:b/>
          <w:iCs/>
          <w:sz w:val="22"/>
          <w:szCs w:val="22"/>
        </w:rPr>
      </w:pPr>
      <w:r w:rsidRPr="009D4E09">
        <w:rPr>
          <w:rFonts w:cs="Arial"/>
          <w:b/>
          <w:iCs/>
          <w:sz w:val="22"/>
          <w:szCs w:val="22"/>
        </w:rPr>
        <w:t>Debt Management Deposit Account Facility</w:t>
      </w:r>
      <w:r w:rsidRPr="009D4E09">
        <w:rPr>
          <w:rFonts w:cs="Arial"/>
          <w:b/>
          <w:iCs/>
          <w:sz w:val="22"/>
          <w:szCs w:val="22"/>
        </w:rPr>
        <w:tab/>
      </w:r>
    </w:p>
    <w:p w:rsidR="000E18B8" w:rsidRPr="009D4E09" w:rsidRDefault="000E18B8" w:rsidP="000E18B8">
      <w:pPr>
        <w:pStyle w:val="BodyText"/>
        <w:ind w:left="540"/>
        <w:rPr>
          <w:rFonts w:cs="Arial"/>
          <w:szCs w:val="22"/>
        </w:rPr>
      </w:pPr>
      <w:r w:rsidRPr="009D4E09">
        <w:rPr>
          <w:rFonts w:cs="Arial"/>
          <w:szCs w:val="22"/>
        </w:rPr>
        <w:t>A Government body which accepts local authority deposits.</w:t>
      </w:r>
    </w:p>
    <w:p w:rsidR="000E18B8" w:rsidRPr="009D4E09" w:rsidRDefault="000E18B8" w:rsidP="000E18B8">
      <w:pPr>
        <w:pStyle w:val="BodyText"/>
        <w:ind w:left="540"/>
        <w:rPr>
          <w:rFonts w:cs="Arial"/>
          <w:szCs w:val="22"/>
        </w:rPr>
      </w:pPr>
    </w:p>
    <w:p w:rsidR="000E18B8" w:rsidRPr="009D4E09" w:rsidRDefault="000E18B8" w:rsidP="000E18B8">
      <w:pPr>
        <w:pStyle w:val="BodyText"/>
        <w:ind w:left="540"/>
        <w:rPr>
          <w:rFonts w:cs="Arial"/>
          <w:b/>
          <w:iCs/>
          <w:szCs w:val="22"/>
        </w:rPr>
      </w:pPr>
      <w:r w:rsidRPr="009D4E09">
        <w:rPr>
          <w:rFonts w:cs="Arial"/>
          <w:szCs w:val="22"/>
        </w:rPr>
        <w:t>The current investment counterparty criteria selection approved in the Treasury Management Strategy is being met.</w:t>
      </w:r>
    </w:p>
    <w:p w:rsidR="000E18B8" w:rsidRPr="009D4E09" w:rsidRDefault="000E18B8" w:rsidP="000E18B8">
      <w:pPr>
        <w:jc w:val="both"/>
        <w:outlineLvl w:val="0"/>
        <w:rPr>
          <w:rFonts w:cs="Arial"/>
          <w:sz w:val="22"/>
          <w:szCs w:val="22"/>
        </w:rPr>
      </w:pPr>
    </w:p>
    <w:p w:rsidR="000E18B8" w:rsidRPr="009D4E09" w:rsidRDefault="000E18B8" w:rsidP="000E18B8">
      <w:pPr>
        <w:jc w:val="both"/>
        <w:outlineLvl w:val="0"/>
        <w:rPr>
          <w:rFonts w:cs="Arial"/>
          <w:sz w:val="22"/>
          <w:szCs w:val="22"/>
        </w:rPr>
      </w:pPr>
      <w:r w:rsidRPr="009D4E09">
        <w:rPr>
          <w:rFonts w:cs="Arial"/>
          <w:sz w:val="22"/>
          <w:szCs w:val="22"/>
        </w:rPr>
        <w:t>For details of Specified and Non-Specified Investments see below.</w:t>
      </w:r>
    </w:p>
    <w:p w:rsidR="00C41EE4" w:rsidRPr="009D4E09" w:rsidRDefault="00C41EE4" w:rsidP="000E18B8">
      <w:pPr>
        <w:jc w:val="both"/>
        <w:outlineLvl w:val="0"/>
        <w:rPr>
          <w:rFonts w:cs="Arial"/>
          <w:sz w:val="22"/>
          <w:szCs w:val="22"/>
        </w:rPr>
      </w:pPr>
    </w:p>
    <w:p w:rsidR="000E18B8" w:rsidRPr="009D4E09" w:rsidRDefault="000E18B8" w:rsidP="000E18B8">
      <w:pPr>
        <w:pStyle w:val="BodyText"/>
        <w:spacing w:after="120"/>
        <w:outlineLvl w:val="0"/>
        <w:rPr>
          <w:rFonts w:cs="Arial"/>
          <w:iCs/>
          <w:szCs w:val="22"/>
        </w:rPr>
      </w:pPr>
      <w:r w:rsidRPr="009D4E09">
        <w:rPr>
          <w:rFonts w:cs="Arial"/>
          <w:b/>
          <w:iCs/>
          <w:szCs w:val="22"/>
        </w:rPr>
        <w:t>Use of Additional Information Other Than Credit Ratings</w:t>
      </w:r>
      <w:r w:rsidRPr="009D4E09">
        <w:rPr>
          <w:rFonts w:cs="Arial"/>
          <w:iCs/>
          <w:szCs w:val="22"/>
        </w:rPr>
        <w:t xml:space="preserve"> </w:t>
      </w:r>
      <w:r w:rsidRPr="009D4E09">
        <w:rPr>
          <w:rFonts w:cs="Arial"/>
          <w:iCs/>
          <w:szCs w:val="22"/>
        </w:rPr>
        <w:tab/>
      </w:r>
    </w:p>
    <w:p w:rsidR="000E18B8" w:rsidRPr="009D4E09" w:rsidRDefault="000E18B8" w:rsidP="000E18B8">
      <w:pPr>
        <w:pStyle w:val="BodyText"/>
        <w:jc w:val="both"/>
        <w:rPr>
          <w:rFonts w:cs="Arial"/>
          <w:iCs/>
          <w:szCs w:val="22"/>
        </w:rPr>
      </w:pPr>
      <w:r w:rsidRPr="009D4E09">
        <w:rPr>
          <w:rFonts w:cs="Arial"/>
          <w:iCs/>
          <w:szCs w:val="22"/>
        </w:rPr>
        <w:t>Additional requirements under the Code of Practice require the Council to supplement credit rating information. Whilst the above criteria rely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rsidR="000E18B8" w:rsidRPr="009D4E09" w:rsidRDefault="000E18B8" w:rsidP="000E18B8">
      <w:pPr>
        <w:pStyle w:val="BodyText"/>
        <w:rPr>
          <w:rFonts w:cs="Arial"/>
          <w:i/>
          <w:iCs/>
          <w:szCs w:val="22"/>
        </w:rPr>
      </w:pPr>
    </w:p>
    <w:p w:rsidR="000E18B8" w:rsidRPr="009D4E09" w:rsidRDefault="000E18B8" w:rsidP="000E18B8">
      <w:pPr>
        <w:pStyle w:val="BodyText"/>
        <w:outlineLvl w:val="0"/>
        <w:rPr>
          <w:rFonts w:cs="Arial"/>
          <w:iCs/>
          <w:szCs w:val="22"/>
        </w:rPr>
      </w:pPr>
      <w:r w:rsidRPr="009D4E09">
        <w:rPr>
          <w:rFonts w:cs="Arial"/>
          <w:b/>
          <w:iCs/>
          <w:szCs w:val="22"/>
        </w:rPr>
        <w:t>Time and Monetary Limits Applying to Investments</w:t>
      </w:r>
      <w:r w:rsidRPr="009D4E09">
        <w:rPr>
          <w:rFonts w:cs="Arial"/>
          <w:iCs/>
          <w:szCs w:val="22"/>
        </w:rPr>
        <w:tab/>
      </w:r>
    </w:p>
    <w:p w:rsidR="000E18B8" w:rsidRPr="009D4E09" w:rsidRDefault="000E18B8" w:rsidP="000E18B8">
      <w:pPr>
        <w:pStyle w:val="BodyText"/>
        <w:rPr>
          <w:rFonts w:cs="Arial"/>
          <w:iCs/>
          <w:szCs w:val="22"/>
        </w:rPr>
      </w:pPr>
    </w:p>
    <w:p w:rsidR="000E18B8" w:rsidRPr="009D4E09" w:rsidRDefault="000E18B8" w:rsidP="000E18B8">
      <w:pPr>
        <w:pStyle w:val="BodyText"/>
        <w:jc w:val="both"/>
        <w:rPr>
          <w:rFonts w:cs="Arial"/>
          <w:iCs/>
          <w:szCs w:val="22"/>
        </w:rPr>
      </w:pPr>
      <w:r w:rsidRPr="009D4E09">
        <w:rPr>
          <w:rFonts w:cs="Arial"/>
          <w:iCs/>
          <w:szCs w:val="22"/>
        </w:rPr>
        <w:t>The time and monetary limits for institutions on the Council’s Counterparty List summarised in the table below, are driven by the above criteria. These limits will cover both Specified and Non-Specified Investments.</w:t>
      </w:r>
    </w:p>
    <w:p w:rsidR="00BF3D55" w:rsidRPr="009D4E09" w:rsidRDefault="00BF3D55" w:rsidP="000E18B8">
      <w:pPr>
        <w:pStyle w:val="BodyText"/>
        <w:outlineLvl w:val="0"/>
        <w:rPr>
          <w:rFonts w:cs="Arial"/>
          <w:b/>
          <w:iCs/>
          <w:szCs w:val="22"/>
        </w:rPr>
      </w:pPr>
    </w:p>
    <w:p w:rsidR="000E18B8" w:rsidRPr="009D4E09" w:rsidRDefault="000E18B8" w:rsidP="000E18B8">
      <w:pPr>
        <w:pStyle w:val="BodyText"/>
        <w:outlineLvl w:val="0"/>
        <w:rPr>
          <w:rFonts w:cs="Arial"/>
          <w:b/>
          <w:iCs/>
          <w:szCs w:val="22"/>
        </w:rPr>
      </w:pPr>
      <w:r w:rsidRPr="009D4E09">
        <w:rPr>
          <w:rFonts w:cs="Arial"/>
          <w:b/>
          <w:iCs/>
          <w:szCs w:val="22"/>
        </w:rPr>
        <w:t>Exceptional Circumstances</w:t>
      </w:r>
      <w:r w:rsidRPr="009D4E09">
        <w:rPr>
          <w:rFonts w:cs="Arial"/>
          <w:b/>
          <w:iCs/>
          <w:szCs w:val="22"/>
        </w:rPr>
        <w:tab/>
      </w:r>
    </w:p>
    <w:p w:rsidR="000E18B8" w:rsidRPr="009D4E09" w:rsidRDefault="000E18B8" w:rsidP="000E18B8">
      <w:pPr>
        <w:pStyle w:val="BodyText"/>
        <w:jc w:val="both"/>
        <w:rPr>
          <w:rFonts w:cs="Arial"/>
          <w:iCs/>
          <w:szCs w:val="22"/>
        </w:rPr>
      </w:pPr>
      <w:r w:rsidRPr="009D4E09">
        <w:rPr>
          <w:rFonts w:cs="Arial"/>
          <w:b/>
          <w:iCs/>
          <w:szCs w:val="22"/>
        </w:rPr>
        <w:br/>
      </w:r>
      <w:r w:rsidRPr="009D4E09">
        <w:rPr>
          <w:rFonts w:cs="Arial"/>
          <w:iCs/>
          <w:szCs w:val="22"/>
        </w:rPr>
        <w:t>The criteria for choosing counterparties set out above provide a sound approach to investment in “normal” market circumstances. Whilst Members are asked to approve this base criteria above, under the exceptional current market conditions Director of Finance may temporarily restrict further investment activity to those counterparties considered of higher credit quality than the minimum criteria set out for approval. These restrictions will remain in place until the banking system returns to “normal” conditions.  Similarly, the time periods for investments will be restricted.</w:t>
      </w:r>
      <w:r w:rsidRPr="009D4E09">
        <w:rPr>
          <w:rFonts w:cs="Arial"/>
          <w:iCs/>
          <w:szCs w:val="22"/>
        </w:rPr>
        <w:tab/>
      </w:r>
    </w:p>
    <w:p w:rsidR="007A65E6" w:rsidRPr="009D4E09" w:rsidRDefault="007A65E6" w:rsidP="000E18B8">
      <w:pPr>
        <w:pStyle w:val="BodyText"/>
        <w:jc w:val="both"/>
        <w:rPr>
          <w:rFonts w:cs="Arial"/>
          <w:iCs/>
          <w:szCs w:val="22"/>
        </w:rPr>
      </w:pPr>
    </w:p>
    <w:p w:rsidR="000E18B8" w:rsidRPr="009D4E09" w:rsidRDefault="000E18B8" w:rsidP="000E18B8">
      <w:pPr>
        <w:pStyle w:val="BodyText"/>
        <w:jc w:val="both"/>
        <w:rPr>
          <w:rFonts w:cs="Arial"/>
          <w:iCs/>
          <w:szCs w:val="22"/>
        </w:rPr>
      </w:pPr>
      <w:r w:rsidRPr="009D4E09">
        <w:rPr>
          <w:rFonts w:cs="Arial"/>
          <w:iCs/>
          <w:szCs w:val="22"/>
        </w:rPr>
        <w:t>Examples of these restrictions would be the greater use of the Debt Management Deposit Account Facility (DMO) – a Government body which accepts local authority deposits, Money Market Funds, and strongly rated institutions. The credit criteria have been amended to reflect these facilities.</w:t>
      </w:r>
    </w:p>
    <w:p w:rsidR="000E18B8" w:rsidRPr="009D4E09" w:rsidRDefault="000E18B8" w:rsidP="000E18B8">
      <w:pPr>
        <w:pStyle w:val="BodyText"/>
        <w:rPr>
          <w:rFonts w:cs="Arial"/>
          <w:i/>
          <w:iCs/>
          <w:szCs w:val="22"/>
        </w:rPr>
      </w:pPr>
    </w:p>
    <w:p w:rsidR="000E18B8" w:rsidRPr="009D4E09" w:rsidRDefault="000E18B8" w:rsidP="000E18B8">
      <w:pPr>
        <w:pStyle w:val="BodyText"/>
        <w:outlineLvl w:val="0"/>
        <w:rPr>
          <w:rFonts w:cs="Arial"/>
          <w:b/>
          <w:noProof/>
          <w:szCs w:val="22"/>
        </w:rPr>
      </w:pPr>
      <w:r w:rsidRPr="009D4E09">
        <w:rPr>
          <w:rFonts w:cs="Arial"/>
          <w:b/>
          <w:iCs/>
          <w:szCs w:val="22"/>
        </w:rPr>
        <w:t>3.5.4</w:t>
      </w:r>
      <w:r w:rsidRPr="009D4E09">
        <w:rPr>
          <w:rFonts w:cs="Arial"/>
          <w:b/>
          <w:iCs/>
          <w:szCs w:val="22"/>
        </w:rPr>
        <w:tab/>
      </w:r>
      <w:r w:rsidRPr="009D4E09">
        <w:rPr>
          <w:rFonts w:cs="Arial"/>
          <w:b/>
          <w:noProof/>
          <w:szCs w:val="22"/>
        </w:rPr>
        <w:t>Investment Strategy</w:t>
      </w:r>
    </w:p>
    <w:p w:rsidR="000E18B8" w:rsidRPr="009D4E09" w:rsidRDefault="000E18B8" w:rsidP="000E18B8">
      <w:pPr>
        <w:pStyle w:val="BodyText"/>
        <w:rPr>
          <w:rFonts w:cs="Arial"/>
          <w:b/>
          <w:noProof/>
          <w:szCs w:val="22"/>
        </w:rPr>
      </w:pPr>
    </w:p>
    <w:p w:rsidR="000E18B8" w:rsidRPr="009D4E09" w:rsidRDefault="000E18B8" w:rsidP="000E18B8">
      <w:pPr>
        <w:tabs>
          <w:tab w:val="left" w:pos="360"/>
        </w:tabs>
        <w:jc w:val="both"/>
        <w:rPr>
          <w:rFonts w:cs="Arial"/>
          <w:noProof/>
          <w:sz w:val="22"/>
          <w:szCs w:val="22"/>
        </w:rPr>
      </w:pPr>
      <w:r w:rsidRPr="009D4E09">
        <w:rPr>
          <w:rFonts w:cs="Arial"/>
          <w:b/>
          <w:noProof/>
          <w:sz w:val="22"/>
          <w:szCs w:val="22"/>
        </w:rPr>
        <w:t xml:space="preserve">In-House Funds </w:t>
      </w:r>
      <w:r w:rsidRPr="009D4E09">
        <w:rPr>
          <w:rFonts w:cs="Arial"/>
          <w:noProof/>
          <w:sz w:val="22"/>
          <w:szCs w:val="22"/>
        </w:rPr>
        <w:t>-</w:t>
      </w:r>
      <w:r w:rsidRPr="009D4E09">
        <w:rPr>
          <w:rFonts w:cs="Arial"/>
          <w:i/>
          <w:noProof/>
          <w:sz w:val="22"/>
          <w:szCs w:val="22"/>
        </w:rPr>
        <w:t xml:space="preserve"> </w:t>
      </w:r>
      <w:r w:rsidRPr="009D4E09">
        <w:rPr>
          <w:rFonts w:cs="Arial"/>
          <w:noProof/>
          <w:sz w:val="22"/>
          <w:szCs w:val="22"/>
        </w:rPr>
        <w:t xml:space="preserve">investments will be made with reference to the core balance and cashflow requirements and the outlook for short-term interest rates (i.e. rates for investments up to 12 months).   </w:t>
      </w:r>
    </w:p>
    <w:p w:rsidR="000E18B8" w:rsidRPr="009D4E09" w:rsidRDefault="000E18B8" w:rsidP="000E18B8">
      <w:pPr>
        <w:tabs>
          <w:tab w:val="left" w:pos="360"/>
        </w:tabs>
        <w:jc w:val="both"/>
        <w:rPr>
          <w:rFonts w:cs="Arial"/>
          <w:noProof/>
          <w:sz w:val="22"/>
          <w:szCs w:val="22"/>
        </w:rPr>
      </w:pPr>
    </w:p>
    <w:p w:rsidR="000E18B8" w:rsidRPr="009D4E09" w:rsidRDefault="000E18B8" w:rsidP="005A02AB">
      <w:pPr>
        <w:tabs>
          <w:tab w:val="left" w:pos="360"/>
        </w:tabs>
        <w:jc w:val="both"/>
        <w:rPr>
          <w:rFonts w:cs="Arial"/>
          <w:b/>
          <w:noProof/>
          <w:sz w:val="22"/>
          <w:szCs w:val="22"/>
        </w:rPr>
      </w:pPr>
      <w:r w:rsidRPr="009D4E09">
        <w:rPr>
          <w:rFonts w:cs="Arial"/>
          <w:b/>
          <w:noProof/>
          <w:sz w:val="22"/>
          <w:szCs w:val="22"/>
        </w:rPr>
        <w:t>Investment Returns Expectations</w:t>
      </w:r>
      <w:r w:rsidR="005A02AB" w:rsidRPr="009D4E09">
        <w:rPr>
          <w:rFonts w:cs="Arial"/>
          <w:b/>
          <w:noProof/>
          <w:sz w:val="22"/>
          <w:szCs w:val="22"/>
        </w:rPr>
        <w:t>:</w:t>
      </w:r>
      <w:r w:rsidRPr="009D4E09">
        <w:rPr>
          <w:rFonts w:cs="Arial"/>
          <w:b/>
          <w:noProof/>
          <w:sz w:val="22"/>
          <w:szCs w:val="22"/>
        </w:rPr>
        <w:t xml:space="preserve"> </w:t>
      </w:r>
    </w:p>
    <w:p w:rsidR="005A02AB" w:rsidRPr="009D4E09" w:rsidRDefault="005A02AB" w:rsidP="005A02AB">
      <w:pPr>
        <w:tabs>
          <w:tab w:val="left" w:pos="360"/>
        </w:tabs>
        <w:jc w:val="both"/>
        <w:rPr>
          <w:rFonts w:cs="Arial"/>
          <w:b/>
          <w:noProof/>
          <w:sz w:val="22"/>
          <w:szCs w:val="22"/>
        </w:rPr>
      </w:pPr>
    </w:p>
    <w:p w:rsidR="0094024B" w:rsidRPr="009D4E09" w:rsidRDefault="0094024B" w:rsidP="005A02AB">
      <w:pPr>
        <w:tabs>
          <w:tab w:val="left" w:pos="360"/>
        </w:tabs>
        <w:jc w:val="both"/>
        <w:rPr>
          <w:rFonts w:cs="Arial"/>
          <w:b/>
          <w:noProof/>
          <w:sz w:val="22"/>
          <w:szCs w:val="22"/>
        </w:rPr>
      </w:pPr>
    </w:p>
    <w:p w:rsidR="0094024B" w:rsidRPr="009D4E09" w:rsidRDefault="0094024B" w:rsidP="005A02AB">
      <w:pPr>
        <w:tabs>
          <w:tab w:val="left" w:pos="360"/>
        </w:tabs>
        <w:jc w:val="both"/>
        <w:rPr>
          <w:rFonts w:cs="Arial"/>
          <w:b/>
          <w:noProof/>
          <w:sz w:val="22"/>
          <w:szCs w:val="22"/>
        </w:rPr>
      </w:pPr>
    </w:p>
    <w:p w:rsidR="0094024B" w:rsidRPr="009D4E09" w:rsidRDefault="0094024B" w:rsidP="005A02AB">
      <w:pPr>
        <w:tabs>
          <w:tab w:val="left" w:pos="360"/>
        </w:tabs>
        <w:jc w:val="both"/>
        <w:rPr>
          <w:rFonts w:cs="Arial"/>
          <w:i/>
          <w:color w:val="0070C0"/>
          <w:sz w:val="22"/>
          <w:szCs w:val="22"/>
          <w:u w:val="single"/>
        </w:rPr>
      </w:pPr>
      <w:r w:rsidRPr="009D4E09">
        <w:rPr>
          <w:rFonts w:cs="Arial"/>
          <w:i/>
          <w:color w:val="0070C0"/>
          <w:sz w:val="22"/>
          <w:szCs w:val="22"/>
          <w:u w:val="single"/>
        </w:rPr>
        <w:lastRenderedPageBreak/>
        <w:t>Note to Audit Committee</w:t>
      </w:r>
    </w:p>
    <w:p w:rsidR="005A02AB" w:rsidRPr="009D4E09" w:rsidRDefault="005A02AB" w:rsidP="005A02AB">
      <w:pPr>
        <w:tabs>
          <w:tab w:val="left" w:pos="360"/>
        </w:tabs>
        <w:jc w:val="both"/>
        <w:rPr>
          <w:rFonts w:cs="Arial"/>
          <w:noProof/>
          <w:color w:val="0070C0"/>
          <w:sz w:val="22"/>
          <w:szCs w:val="22"/>
        </w:rPr>
      </w:pPr>
      <w:r w:rsidRPr="009D4E09">
        <w:rPr>
          <w:rFonts w:cs="Arial"/>
          <w:i/>
          <w:color w:val="0070C0"/>
          <w:sz w:val="22"/>
          <w:szCs w:val="22"/>
        </w:rPr>
        <w:t xml:space="preserve">This information will be provided by our retained treasury advisor Capita Asset Services in December 2016 and this report will be updated before </w:t>
      </w:r>
      <w:r w:rsidR="0094024B" w:rsidRPr="009D4E09">
        <w:rPr>
          <w:rFonts w:cs="Arial"/>
          <w:i/>
          <w:color w:val="0070C0"/>
          <w:sz w:val="22"/>
          <w:szCs w:val="22"/>
        </w:rPr>
        <w:t>P&amp;R Commi</w:t>
      </w:r>
      <w:r w:rsidRPr="009D4E09">
        <w:rPr>
          <w:rFonts w:cs="Arial"/>
          <w:i/>
          <w:color w:val="0070C0"/>
          <w:sz w:val="22"/>
          <w:szCs w:val="22"/>
        </w:rPr>
        <w:t>t</w:t>
      </w:r>
      <w:r w:rsidR="0094024B" w:rsidRPr="009D4E09">
        <w:rPr>
          <w:rFonts w:cs="Arial"/>
          <w:i/>
          <w:color w:val="0070C0"/>
          <w:sz w:val="22"/>
          <w:szCs w:val="22"/>
        </w:rPr>
        <w:t>tee in January and the C</w:t>
      </w:r>
      <w:r w:rsidRPr="009D4E09">
        <w:rPr>
          <w:rFonts w:cs="Arial"/>
          <w:i/>
          <w:color w:val="0070C0"/>
          <w:sz w:val="22"/>
          <w:szCs w:val="22"/>
        </w:rPr>
        <w:t>ouncil meeting in February 2017</w:t>
      </w:r>
    </w:p>
    <w:p w:rsidR="000E18B8" w:rsidRPr="009D4E09" w:rsidRDefault="000E18B8" w:rsidP="000E18B8">
      <w:pPr>
        <w:ind w:left="360"/>
        <w:jc w:val="both"/>
        <w:rPr>
          <w:rFonts w:cs="Arial"/>
          <w:noProof/>
          <w:color w:val="0000FF"/>
          <w:sz w:val="22"/>
          <w:szCs w:val="22"/>
        </w:rPr>
      </w:pPr>
    </w:p>
    <w:p w:rsidR="000E18B8" w:rsidRPr="009D4E09" w:rsidRDefault="000E18B8" w:rsidP="000E18B8">
      <w:pPr>
        <w:jc w:val="both"/>
        <w:rPr>
          <w:rFonts w:cs="Arial"/>
          <w:noProof/>
          <w:sz w:val="22"/>
          <w:szCs w:val="22"/>
        </w:rPr>
      </w:pPr>
      <w:r w:rsidRPr="009D4E09">
        <w:rPr>
          <w:rFonts w:cs="Arial"/>
          <w:b/>
          <w:noProof/>
          <w:sz w:val="22"/>
          <w:szCs w:val="22"/>
        </w:rPr>
        <w:t>Inves</w:t>
      </w:r>
      <w:r w:rsidR="0094024B" w:rsidRPr="009D4E09">
        <w:rPr>
          <w:rFonts w:cs="Arial"/>
          <w:b/>
          <w:noProof/>
          <w:sz w:val="22"/>
          <w:szCs w:val="22"/>
        </w:rPr>
        <w:t>t</w:t>
      </w:r>
      <w:r w:rsidRPr="009D4E09">
        <w:rPr>
          <w:rFonts w:cs="Arial"/>
          <w:b/>
          <w:noProof/>
          <w:sz w:val="22"/>
          <w:szCs w:val="22"/>
        </w:rPr>
        <w:t>ment Treasury Indicator and Limit</w:t>
      </w:r>
      <w:r w:rsidRPr="009D4E09">
        <w:rPr>
          <w:rFonts w:cs="Arial"/>
          <w:noProof/>
          <w:sz w:val="22"/>
          <w:szCs w:val="22"/>
        </w:rPr>
        <w:t xml:space="preserve"> - total principal funds invested for greater than </w:t>
      </w:r>
      <w:r w:rsidR="0094024B" w:rsidRPr="009D4E09">
        <w:rPr>
          <w:rFonts w:cs="Arial"/>
          <w:noProof/>
          <w:sz w:val="22"/>
          <w:szCs w:val="22"/>
        </w:rPr>
        <w:t>one</w:t>
      </w:r>
      <w:r w:rsidR="00943A27" w:rsidRPr="009D4E09">
        <w:rPr>
          <w:rFonts w:cs="Arial"/>
          <w:noProof/>
          <w:sz w:val="22"/>
          <w:szCs w:val="22"/>
        </w:rPr>
        <w:t xml:space="preserve"> year</w:t>
      </w:r>
      <w:r w:rsidRPr="009D4E09">
        <w:rPr>
          <w:rFonts w:cs="Arial"/>
          <w:noProof/>
          <w:sz w:val="22"/>
          <w:szCs w:val="22"/>
        </w:rPr>
        <w:t>. These limits are set with regard to the Council’s liquidity requirements and to reduce the need for early sale of an investment, and are based on the availability of funds after each year-end.</w:t>
      </w:r>
    </w:p>
    <w:p w:rsidR="000E18B8" w:rsidRPr="009D4E09" w:rsidRDefault="000E18B8" w:rsidP="000E18B8">
      <w:pPr>
        <w:rPr>
          <w:rFonts w:cs="Arial"/>
          <w:noProof/>
          <w:color w:val="0000FF"/>
          <w:sz w:val="22"/>
          <w:szCs w:val="22"/>
          <w:highlight w:val="yellow"/>
        </w:rPr>
      </w:pP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701"/>
        <w:gridCol w:w="1624"/>
        <w:gridCol w:w="1636"/>
      </w:tblGrid>
      <w:tr w:rsidR="005A02AB" w:rsidRPr="009D4E09" w:rsidTr="00F25623">
        <w:trPr>
          <w:cantSplit/>
          <w:trHeight w:val="612"/>
          <w:jc w:val="center"/>
        </w:trPr>
        <w:tc>
          <w:tcPr>
            <w:tcW w:w="3443" w:type="dxa"/>
            <w:shd w:val="clear" w:color="auto" w:fill="C0C0C0"/>
            <w:vAlign w:val="center"/>
          </w:tcPr>
          <w:p w:rsidR="005A02AB" w:rsidRPr="009D4E09" w:rsidRDefault="005A02AB" w:rsidP="000352E9">
            <w:pPr>
              <w:pStyle w:val="BodyText"/>
              <w:jc w:val="center"/>
              <w:rPr>
                <w:rFonts w:cs="Arial"/>
                <w:b/>
                <w:bCs/>
                <w:szCs w:val="22"/>
              </w:rPr>
            </w:pPr>
            <w:r w:rsidRPr="009D4E09">
              <w:rPr>
                <w:rFonts w:cs="Arial"/>
                <w:b/>
                <w:szCs w:val="22"/>
              </w:rPr>
              <w:t>Treasury Indicator &amp; Limit</w:t>
            </w:r>
          </w:p>
        </w:tc>
        <w:tc>
          <w:tcPr>
            <w:tcW w:w="1701" w:type="dxa"/>
            <w:shd w:val="clear" w:color="auto" w:fill="C0C0C0"/>
            <w:vAlign w:val="center"/>
          </w:tcPr>
          <w:p w:rsidR="005A02AB" w:rsidRPr="009D4E09" w:rsidRDefault="005A02AB" w:rsidP="007556A3">
            <w:pPr>
              <w:pStyle w:val="BodyText"/>
              <w:jc w:val="center"/>
              <w:rPr>
                <w:rFonts w:cs="Arial"/>
                <w:b/>
                <w:bCs/>
                <w:szCs w:val="22"/>
              </w:rPr>
            </w:pPr>
            <w:r w:rsidRPr="009D4E09">
              <w:rPr>
                <w:rFonts w:cs="Arial"/>
                <w:b/>
                <w:bCs/>
                <w:szCs w:val="22"/>
              </w:rPr>
              <w:t>2016/17</w:t>
            </w:r>
          </w:p>
        </w:tc>
        <w:tc>
          <w:tcPr>
            <w:tcW w:w="1624" w:type="dxa"/>
            <w:shd w:val="clear" w:color="auto" w:fill="C0C0C0"/>
            <w:vAlign w:val="center"/>
          </w:tcPr>
          <w:p w:rsidR="005A02AB" w:rsidRPr="009D4E09" w:rsidRDefault="005A02AB" w:rsidP="007556A3">
            <w:pPr>
              <w:pStyle w:val="BodyText"/>
              <w:jc w:val="center"/>
              <w:rPr>
                <w:rFonts w:cs="Arial"/>
                <w:b/>
                <w:bCs/>
                <w:szCs w:val="22"/>
              </w:rPr>
            </w:pPr>
            <w:r w:rsidRPr="009D4E09">
              <w:rPr>
                <w:rFonts w:cs="Arial"/>
                <w:b/>
                <w:bCs/>
                <w:szCs w:val="22"/>
              </w:rPr>
              <w:t>2017/18</w:t>
            </w:r>
          </w:p>
        </w:tc>
        <w:tc>
          <w:tcPr>
            <w:tcW w:w="1636" w:type="dxa"/>
            <w:shd w:val="clear" w:color="auto" w:fill="C0C0C0"/>
            <w:vAlign w:val="center"/>
          </w:tcPr>
          <w:p w:rsidR="005A02AB" w:rsidRPr="009D4E09" w:rsidRDefault="005A02AB" w:rsidP="005A02AB">
            <w:pPr>
              <w:pStyle w:val="BodyText"/>
              <w:jc w:val="center"/>
              <w:rPr>
                <w:rFonts w:cs="Arial"/>
                <w:b/>
                <w:bCs/>
                <w:szCs w:val="22"/>
              </w:rPr>
            </w:pPr>
            <w:r w:rsidRPr="009D4E09">
              <w:rPr>
                <w:rFonts w:cs="Arial"/>
                <w:b/>
                <w:bCs/>
                <w:szCs w:val="22"/>
              </w:rPr>
              <w:t>2018/19</w:t>
            </w:r>
          </w:p>
        </w:tc>
      </w:tr>
      <w:tr w:rsidR="000E18B8" w:rsidRPr="009D4E09" w:rsidTr="00F25623">
        <w:trPr>
          <w:trHeight w:val="716"/>
          <w:jc w:val="center"/>
        </w:trPr>
        <w:tc>
          <w:tcPr>
            <w:tcW w:w="3443" w:type="dxa"/>
            <w:vAlign w:val="center"/>
          </w:tcPr>
          <w:p w:rsidR="000E18B8" w:rsidRPr="009D4E09" w:rsidRDefault="000E18B8" w:rsidP="0094024B">
            <w:pPr>
              <w:pStyle w:val="BodyText"/>
              <w:rPr>
                <w:rFonts w:cs="Arial"/>
                <w:bCs/>
                <w:szCs w:val="22"/>
                <w:highlight w:val="yellow"/>
              </w:rPr>
            </w:pPr>
            <w:r w:rsidRPr="009D4E09">
              <w:rPr>
                <w:rFonts w:cs="Arial"/>
                <w:bCs/>
                <w:szCs w:val="22"/>
              </w:rPr>
              <w:t xml:space="preserve">Maximum Principal Sums </w:t>
            </w:r>
            <w:r w:rsidR="0094024B" w:rsidRPr="009D4E09">
              <w:rPr>
                <w:rFonts w:cs="Arial"/>
                <w:bCs/>
                <w:szCs w:val="22"/>
              </w:rPr>
              <w:t>i</w:t>
            </w:r>
            <w:r w:rsidRPr="009D4E09">
              <w:rPr>
                <w:rFonts w:cs="Arial"/>
                <w:bCs/>
                <w:szCs w:val="22"/>
              </w:rPr>
              <w:t xml:space="preserve">nvested </w:t>
            </w:r>
            <w:r w:rsidR="00943A27" w:rsidRPr="009D4E09">
              <w:rPr>
                <w:rFonts w:cs="Arial"/>
                <w:noProof/>
                <w:szCs w:val="22"/>
              </w:rPr>
              <w:t xml:space="preserve">for greater than </w:t>
            </w:r>
            <w:r w:rsidR="0094024B" w:rsidRPr="009D4E09">
              <w:rPr>
                <w:rFonts w:cs="Arial"/>
                <w:noProof/>
                <w:szCs w:val="22"/>
              </w:rPr>
              <w:t>one</w:t>
            </w:r>
            <w:r w:rsidR="00943A27" w:rsidRPr="009D4E09">
              <w:rPr>
                <w:rFonts w:cs="Arial"/>
                <w:noProof/>
                <w:szCs w:val="22"/>
              </w:rPr>
              <w:t xml:space="preserve"> year</w:t>
            </w:r>
          </w:p>
        </w:tc>
        <w:tc>
          <w:tcPr>
            <w:tcW w:w="1701" w:type="dxa"/>
            <w:shd w:val="clear" w:color="auto" w:fill="auto"/>
            <w:vAlign w:val="center"/>
          </w:tcPr>
          <w:p w:rsidR="000E18B8" w:rsidRPr="009D4E09" w:rsidRDefault="000E18B8" w:rsidP="0094024B">
            <w:pPr>
              <w:pStyle w:val="BodyText"/>
              <w:jc w:val="center"/>
              <w:rPr>
                <w:rFonts w:cs="Arial"/>
                <w:szCs w:val="22"/>
              </w:rPr>
            </w:pPr>
            <w:r w:rsidRPr="009D4E09">
              <w:rPr>
                <w:rFonts w:cs="Arial"/>
                <w:szCs w:val="22"/>
              </w:rPr>
              <w:t>£</w:t>
            </w:r>
            <w:r w:rsidR="0094024B" w:rsidRPr="009D4E09">
              <w:rPr>
                <w:rFonts w:cs="Arial"/>
                <w:szCs w:val="22"/>
              </w:rPr>
              <w:t>10</w:t>
            </w:r>
            <w:r w:rsidR="00F70935" w:rsidRPr="009D4E09">
              <w:rPr>
                <w:rFonts w:cs="Arial"/>
                <w:szCs w:val="22"/>
              </w:rPr>
              <w:t>m</w:t>
            </w:r>
          </w:p>
        </w:tc>
        <w:tc>
          <w:tcPr>
            <w:tcW w:w="1624" w:type="dxa"/>
            <w:shd w:val="clear" w:color="auto" w:fill="auto"/>
            <w:vAlign w:val="center"/>
          </w:tcPr>
          <w:p w:rsidR="000E18B8" w:rsidRPr="009D4E09" w:rsidRDefault="000E18B8" w:rsidP="0094024B">
            <w:pPr>
              <w:pStyle w:val="BodyText"/>
              <w:jc w:val="center"/>
              <w:rPr>
                <w:rFonts w:cs="Arial"/>
                <w:szCs w:val="22"/>
              </w:rPr>
            </w:pPr>
            <w:r w:rsidRPr="009D4E09">
              <w:rPr>
                <w:rFonts w:cs="Arial"/>
                <w:szCs w:val="22"/>
              </w:rPr>
              <w:t>£</w:t>
            </w:r>
            <w:r w:rsidR="0094024B" w:rsidRPr="009D4E09">
              <w:rPr>
                <w:rFonts w:cs="Arial"/>
                <w:szCs w:val="22"/>
              </w:rPr>
              <w:t>10</w:t>
            </w:r>
            <w:r w:rsidRPr="009D4E09">
              <w:rPr>
                <w:rFonts w:cs="Arial"/>
                <w:szCs w:val="22"/>
              </w:rPr>
              <w:t>m</w:t>
            </w:r>
          </w:p>
        </w:tc>
        <w:tc>
          <w:tcPr>
            <w:tcW w:w="1636" w:type="dxa"/>
            <w:shd w:val="clear" w:color="auto" w:fill="auto"/>
            <w:vAlign w:val="center"/>
          </w:tcPr>
          <w:p w:rsidR="000E18B8" w:rsidRPr="009D4E09" w:rsidRDefault="000E18B8" w:rsidP="0094024B">
            <w:pPr>
              <w:pStyle w:val="BodyText"/>
              <w:jc w:val="center"/>
              <w:rPr>
                <w:rFonts w:cs="Arial"/>
                <w:szCs w:val="22"/>
              </w:rPr>
            </w:pPr>
            <w:r w:rsidRPr="009D4E09">
              <w:rPr>
                <w:rFonts w:cs="Arial"/>
                <w:szCs w:val="22"/>
              </w:rPr>
              <w:t>£</w:t>
            </w:r>
            <w:r w:rsidR="0094024B" w:rsidRPr="009D4E09">
              <w:rPr>
                <w:rFonts w:cs="Arial"/>
                <w:szCs w:val="22"/>
              </w:rPr>
              <w:t>10</w:t>
            </w:r>
            <w:r w:rsidRPr="009D4E09">
              <w:rPr>
                <w:rFonts w:cs="Arial"/>
                <w:szCs w:val="22"/>
              </w:rPr>
              <w:t>m</w:t>
            </w:r>
          </w:p>
        </w:tc>
      </w:tr>
    </w:tbl>
    <w:p w:rsidR="000E18B8" w:rsidRPr="009D4E09" w:rsidRDefault="000E18B8" w:rsidP="000E18B8">
      <w:pPr>
        <w:pStyle w:val="BodyText"/>
        <w:outlineLvl w:val="0"/>
        <w:rPr>
          <w:rFonts w:cs="Arial"/>
          <w:b/>
          <w:szCs w:val="22"/>
        </w:rPr>
      </w:pPr>
    </w:p>
    <w:p w:rsidR="000E18B8" w:rsidRPr="009D4E09" w:rsidRDefault="000E18B8" w:rsidP="000E18B8">
      <w:pPr>
        <w:pStyle w:val="BodyText"/>
        <w:outlineLvl w:val="0"/>
        <w:rPr>
          <w:rFonts w:cs="Arial"/>
          <w:b/>
          <w:szCs w:val="22"/>
        </w:rPr>
      </w:pPr>
      <w:r w:rsidRPr="009D4E09">
        <w:rPr>
          <w:rFonts w:cs="Arial"/>
          <w:b/>
          <w:szCs w:val="22"/>
        </w:rPr>
        <w:t>3.5.5</w:t>
      </w:r>
      <w:r w:rsidRPr="009D4E09">
        <w:rPr>
          <w:rFonts w:cs="Arial"/>
          <w:b/>
          <w:szCs w:val="22"/>
        </w:rPr>
        <w:tab/>
        <w:t xml:space="preserve">Investment Risk &amp; Security Benchmarking </w:t>
      </w:r>
    </w:p>
    <w:p w:rsidR="000E18B8" w:rsidRPr="009D4E09" w:rsidRDefault="000E18B8" w:rsidP="000E18B8">
      <w:pPr>
        <w:pStyle w:val="BodyText"/>
        <w:rPr>
          <w:rFonts w:cs="Arial"/>
          <w:b/>
          <w:szCs w:val="22"/>
        </w:rPr>
      </w:pPr>
    </w:p>
    <w:p w:rsidR="000E18B8" w:rsidRPr="009D4E09" w:rsidRDefault="000E18B8" w:rsidP="000E18B8">
      <w:pPr>
        <w:pStyle w:val="BodyText"/>
        <w:jc w:val="both"/>
        <w:rPr>
          <w:rFonts w:cs="Arial"/>
          <w:iCs/>
          <w:szCs w:val="22"/>
        </w:rPr>
      </w:pPr>
      <w:r w:rsidRPr="009D4E09">
        <w:rPr>
          <w:rFonts w:cs="Arial"/>
          <w:iCs/>
          <w:szCs w:val="22"/>
        </w:rPr>
        <w:t xml:space="preserve">These benchmarks are simple guides to maximum risk and so may be breached from time to time, depending on movements in interest rates and counterparty criteria.  The purpose of the benchmarks is that officers will monitor the current and trend position and amend the operational strategy to manage risk as conditions change.  Any breach of the benchmarks will be reported, with supporting reasons in the Mid-Year or Annual Report. </w:t>
      </w:r>
      <w:r w:rsidRPr="009D4E09">
        <w:rPr>
          <w:rFonts w:cs="Arial"/>
          <w:szCs w:val="22"/>
        </w:rPr>
        <w:t>In line with the T</w:t>
      </w:r>
      <w:r w:rsidR="007A65E6" w:rsidRPr="009D4E09">
        <w:rPr>
          <w:rFonts w:cs="Arial"/>
          <w:szCs w:val="22"/>
        </w:rPr>
        <w:t xml:space="preserve">reasury </w:t>
      </w:r>
      <w:r w:rsidRPr="009D4E09">
        <w:rPr>
          <w:rFonts w:cs="Arial"/>
          <w:szCs w:val="22"/>
        </w:rPr>
        <w:t>M</w:t>
      </w:r>
      <w:r w:rsidR="007A65E6" w:rsidRPr="009D4E09">
        <w:rPr>
          <w:rFonts w:cs="Arial"/>
          <w:szCs w:val="22"/>
        </w:rPr>
        <w:t xml:space="preserve">anagement </w:t>
      </w:r>
      <w:r w:rsidRPr="009D4E09">
        <w:rPr>
          <w:rFonts w:cs="Arial"/>
          <w:szCs w:val="22"/>
        </w:rPr>
        <w:t>S</w:t>
      </w:r>
      <w:r w:rsidR="007A65E6" w:rsidRPr="009D4E09">
        <w:rPr>
          <w:rFonts w:cs="Arial"/>
          <w:szCs w:val="22"/>
        </w:rPr>
        <w:t>trategy</w:t>
      </w:r>
      <w:r w:rsidRPr="009D4E09">
        <w:rPr>
          <w:rFonts w:cs="Arial"/>
          <w:szCs w:val="22"/>
        </w:rPr>
        <w:t>, the Council has managed to invest with those institutions who offered the best rate and the investment portfolio is above the overall benchmark during the year to date.</w:t>
      </w:r>
    </w:p>
    <w:p w:rsidR="000E18B8" w:rsidRPr="009D4E09" w:rsidRDefault="000E18B8" w:rsidP="000E18B8">
      <w:pPr>
        <w:pStyle w:val="BodyText"/>
        <w:jc w:val="both"/>
        <w:outlineLvl w:val="0"/>
        <w:rPr>
          <w:rFonts w:cs="Arial"/>
          <w:b/>
          <w:szCs w:val="22"/>
        </w:rPr>
      </w:pPr>
    </w:p>
    <w:p w:rsidR="000E18B8" w:rsidRPr="009D4E09" w:rsidRDefault="000E18B8" w:rsidP="000E18B8">
      <w:pPr>
        <w:pStyle w:val="BodyText"/>
        <w:jc w:val="both"/>
        <w:outlineLvl w:val="0"/>
        <w:rPr>
          <w:rFonts w:cs="Arial"/>
        </w:rPr>
      </w:pPr>
      <w:r w:rsidRPr="009D4E09">
        <w:rPr>
          <w:rFonts w:cs="Arial"/>
          <w:b/>
          <w:szCs w:val="22"/>
        </w:rPr>
        <w:t xml:space="preserve">Security </w:t>
      </w:r>
    </w:p>
    <w:p w:rsidR="000E18B8" w:rsidRPr="009D4E09" w:rsidRDefault="000E18B8" w:rsidP="000E18B8">
      <w:pPr>
        <w:pStyle w:val="BodyText"/>
        <w:jc w:val="both"/>
        <w:rPr>
          <w:rFonts w:cs="Arial"/>
          <w:szCs w:val="22"/>
        </w:rPr>
      </w:pPr>
    </w:p>
    <w:p w:rsidR="000E18B8" w:rsidRPr="009D4E09" w:rsidRDefault="000E18B8" w:rsidP="000E18B8">
      <w:pPr>
        <w:pStyle w:val="BodyText"/>
        <w:jc w:val="both"/>
        <w:rPr>
          <w:rFonts w:cs="Arial"/>
          <w:color w:val="FF0000"/>
          <w:szCs w:val="22"/>
        </w:rPr>
      </w:pPr>
      <w:r w:rsidRPr="009D4E09">
        <w:rPr>
          <w:rFonts w:cs="Arial"/>
          <w:iCs/>
          <w:szCs w:val="22"/>
        </w:rPr>
        <w:t>Security of the investments is measured by credit ratings, which is supplied by the three main credit rating agencies (Fitch, Moo</w:t>
      </w:r>
      <w:r w:rsidR="0094024B" w:rsidRPr="009D4E09">
        <w:rPr>
          <w:rFonts w:cs="Arial"/>
          <w:iCs/>
          <w:szCs w:val="22"/>
        </w:rPr>
        <w:t>dy</w:t>
      </w:r>
      <w:r w:rsidRPr="009D4E09">
        <w:rPr>
          <w:rFonts w:cs="Arial"/>
          <w:iCs/>
          <w:szCs w:val="22"/>
        </w:rPr>
        <w:t xml:space="preserve">s and Standard </w:t>
      </w:r>
      <w:r w:rsidR="009C0AD4" w:rsidRPr="009D4E09">
        <w:rPr>
          <w:rFonts w:cs="Arial"/>
          <w:iCs/>
          <w:szCs w:val="22"/>
        </w:rPr>
        <w:t>&amp;</w:t>
      </w:r>
      <w:r w:rsidRPr="009D4E09">
        <w:rPr>
          <w:rFonts w:cs="Arial"/>
          <w:iCs/>
          <w:szCs w:val="22"/>
        </w:rPr>
        <w:t xml:space="preserve"> Poors). </w:t>
      </w:r>
    </w:p>
    <w:p w:rsidR="00FE2282" w:rsidRPr="009D4E09" w:rsidRDefault="00FE2282" w:rsidP="000E18B8">
      <w:pPr>
        <w:pStyle w:val="BodyText2"/>
        <w:autoSpaceDE w:val="0"/>
        <w:autoSpaceDN w:val="0"/>
        <w:adjustRightInd w:val="0"/>
        <w:jc w:val="both"/>
        <w:outlineLvl w:val="0"/>
        <w:rPr>
          <w:rFonts w:cs="Arial"/>
          <w:b/>
          <w:sz w:val="22"/>
          <w:szCs w:val="22"/>
        </w:rPr>
      </w:pPr>
    </w:p>
    <w:p w:rsidR="000E18B8" w:rsidRPr="009D4E09" w:rsidRDefault="000E18B8" w:rsidP="000E18B8">
      <w:pPr>
        <w:pStyle w:val="BodyText2"/>
        <w:autoSpaceDE w:val="0"/>
        <w:autoSpaceDN w:val="0"/>
        <w:adjustRightInd w:val="0"/>
        <w:jc w:val="both"/>
        <w:outlineLvl w:val="0"/>
        <w:rPr>
          <w:rFonts w:cs="Arial"/>
          <w:b/>
          <w:sz w:val="22"/>
          <w:szCs w:val="22"/>
        </w:rPr>
      </w:pPr>
      <w:r w:rsidRPr="009D4E09">
        <w:rPr>
          <w:rFonts w:cs="Arial"/>
          <w:b/>
          <w:sz w:val="22"/>
          <w:szCs w:val="22"/>
        </w:rPr>
        <w:t>Liquidity</w:t>
      </w:r>
    </w:p>
    <w:p w:rsidR="000E18B8" w:rsidRPr="009D4E09" w:rsidRDefault="000E18B8" w:rsidP="000E18B8">
      <w:pPr>
        <w:pStyle w:val="BodyText2"/>
        <w:autoSpaceDE w:val="0"/>
        <w:autoSpaceDN w:val="0"/>
        <w:adjustRightInd w:val="0"/>
        <w:jc w:val="both"/>
        <w:rPr>
          <w:rFonts w:cs="Arial"/>
          <w:b/>
          <w:sz w:val="22"/>
          <w:szCs w:val="22"/>
        </w:rPr>
      </w:pPr>
    </w:p>
    <w:p w:rsidR="000E18B8" w:rsidRPr="009D4E09" w:rsidRDefault="000E18B8" w:rsidP="007A65E6">
      <w:pPr>
        <w:tabs>
          <w:tab w:val="num" w:pos="709"/>
        </w:tabs>
        <w:ind w:left="1267" w:hanging="1267"/>
        <w:rPr>
          <w:rFonts w:cs="Arial"/>
          <w:sz w:val="22"/>
          <w:szCs w:val="22"/>
        </w:rPr>
      </w:pPr>
      <w:r w:rsidRPr="009D4E09">
        <w:rPr>
          <w:rFonts w:cs="Arial"/>
          <w:sz w:val="22"/>
          <w:szCs w:val="22"/>
        </w:rPr>
        <w:t>The Council set liquidity facilities/benchmarks to maintain:</w:t>
      </w:r>
    </w:p>
    <w:p w:rsidR="007A65E6" w:rsidRPr="009D4E09" w:rsidRDefault="007A65E6" w:rsidP="007A65E6">
      <w:pPr>
        <w:tabs>
          <w:tab w:val="num" w:pos="709"/>
        </w:tabs>
        <w:ind w:left="1267" w:hanging="1267"/>
        <w:rPr>
          <w:rFonts w:cs="Arial"/>
          <w:iCs/>
          <w:sz w:val="22"/>
          <w:szCs w:val="22"/>
        </w:rPr>
      </w:pPr>
    </w:p>
    <w:p w:rsidR="000E18B8" w:rsidRPr="009D4E09" w:rsidRDefault="0094024B" w:rsidP="000E18B8">
      <w:pPr>
        <w:pStyle w:val="BodyText"/>
        <w:numPr>
          <w:ilvl w:val="0"/>
          <w:numId w:val="27"/>
        </w:numPr>
        <w:tabs>
          <w:tab w:val="clear" w:pos="720"/>
          <w:tab w:val="num" w:pos="360"/>
          <w:tab w:val="num" w:pos="1440"/>
        </w:tabs>
        <w:ind w:left="360"/>
        <w:jc w:val="both"/>
        <w:rPr>
          <w:rFonts w:cs="Arial"/>
          <w:iCs/>
          <w:szCs w:val="22"/>
        </w:rPr>
      </w:pPr>
      <w:r w:rsidRPr="009D4E09">
        <w:rPr>
          <w:rFonts w:cs="Arial"/>
          <w:iCs/>
          <w:szCs w:val="22"/>
        </w:rPr>
        <w:t>Authorised b</w:t>
      </w:r>
      <w:r w:rsidR="000E18B8" w:rsidRPr="009D4E09">
        <w:rPr>
          <w:rFonts w:cs="Arial"/>
          <w:iCs/>
          <w:szCs w:val="22"/>
        </w:rPr>
        <w:t xml:space="preserve">ank overdraft - </w:t>
      </w:r>
      <w:r w:rsidRPr="009D4E09">
        <w:rPr>
          <w:rFonts w:cs="Arial"/>
          <w:iCs/>
          <w:szCs w:val="22"/>
        </w:rPr>
        <w:t>nil</w:t>
      </w:r>
      <w:r w:rsidR="000E18B8" w:rsidRPr="009D4E09">
        <w:rPr>
          <w:rFonts w:cs="Arial"/>
          <w:iCs/>
          <w:szCs w:val="22"/>
        </w:rPr>
        <w:t>.</w:t>
      </w:r>
    </w:p>
    <w:p w:rsidR="000E18B8" w:rsidRPr="009D4E09" w:rsidRDefault="000E18B8" w:rsidP="000E18B8">
      <w:pPr>
        <w:pStyle w:val="BodyText"/>
        <w:numPr>
          <w:ilvl w:val="0"/>
          <w:numId w:val="27"/>
        </w:numPr>
        <w:tabs>
          <w:tab w:val="clear" w:pos="720"/>
          <w:tab w:val="num" w:pos="360"/>
          <w:tab w:val="num" w:pos="1440"/>
        </w:tabs>
        <w:ind w:left="360"/>
        <w:jc w:val="both"/>
        <w:rPr>
          <w:rFonts w:cs="Arial"/>
          <w:iCs/>
          <w:szCs w:val="22"/>
        </w:rPr>
      </w:pPr>
      <w:r w:rsidRPr="009D4E09">
        <w:rPr>
          <w:rFonts w:cs="Arial"/>
          <w:iCs/>
          <w:szCs w:val="22"/>
        </w:rPr>
        <w:t>Liquid sh</w:t>
      </w:r>
      <w:r w:rsidR="00E14491" w:rsidRPr="009D4E09">
        <w:rPr>
          <w:rFonts w:cs="Arial"/>
          <w:iCs/>
          <w:szCs w:val="22"/>
        </w:rPr>
        <w:t>ort term deposits of at least £</w:t>
      </w:r>
      <w:r w:rsidR="005E1761" w:rsidRPr="009D4E09">
        <w:rPr>
          <w:rFonts w:cs="Arial"/>
          <w:iCs/>
          <w:szCs w:val="22"/>
        </w:rPr>
        <w:t>5</w:t>
      </w:r>
      <w:r w:rsidRPr="009D4E09">
        <w:rPr>
          <w:rFonts w:cs="Arial"/>
          <w:iCs/>
          <w:szCs w:val="22"/>
        </w:rPr>
        <w:t>m available with a week’s notice.</w:t>
      </w:r>
    </w:p>
    <w:p w:rsidR="000E18B8" w:rsidRPr="009D4E09" w:rsidRDefault="000E18B8" w:rsidP="000E18B8">
      <w:pPr>
        <w:pStyle w:val="BodyText"/>
        <w:numPr>
          <w:ilvl w:val="0"/>
          <w:numId w:val="27"/>
        </w:numPr>
        <w:tabs>
          <w:tab w:val="clear" w:pos="720"/>
          <w:tab w:val="num" w:pos="360"/>
          <w:tab w:val="num" w:pos="1440"/>
        </w:tabs>
        <w:ind w:left="360"/>
        <w:jc w:val="both"/>
        <w:rPr>
          <w:rFonts w:cs="Arial"/>
          <w:iCs/>
          <w:szCs w:val="22"/>
        </w:rPr>
      </w:pPr>
      <w:r w:rsidRPr="009D4E09">
        <w:rPr>
          <w:rFonts w:cs="Arial"/>
          <w:iCs/>
          <w:szCs w:val="22"/>
        </w:rPr>
        <w:t>Weighted Average Life benchmark is expected to be 0.5</w:t>
      </w:r>
      <w:r w:rsidR="007A65E6" w:rsidRPr="009D4E09">
        <w:rPr>
          <w:rFonts w:cs="Arial"/>
          <w:iCs/>
          <w:szCs w:val="22"/>
        </w:rPr>
        <w:t xml:space="preserve"> </w:t>
      </w:r>
      <w:r w:rsidRPr="009D4E09">
        <w:rPr>
          <w:rFonts w:cs="Arial"/>
          <w:iCs/>
          <w:szCs w:val="22"/>
        </w:rPr>
        <w:t xml:space="preserve">years, with a maximum of 10 years for an individual loan with a public body. </w:t>
      </w:r>
    </w:p>
    <w:p w:rsidR="000E18B8" w:rsidRPr="009D4E09" w:rsidRDefault="000E18B8" w:rsidP="000E18B8">
      <w:pPr>
        <w:rPr>
          <w:rFonts w:cs="Arial"/>
          <w:sz w:val="22"/>
          <w:szCs w:val="22"/>
        </w:rPr>
      </w:pPr>
    </w:p>
    <w:p w:rsidR="000E18B8" w:rsidRPr="009D4E09" w:rsidRDefault="000E18B8" w:rsidP="000E18B8">
      <w:pPr>
        <w:rPr>
          <w:rFonts w:cs="Arial"/>
          <w:b/>
          <w:sz w:val="22"/>
          <w:szCs w:val="22"/>
        </w:rPr>
      </w:pPr>
      <w:r w:rsidRPr="009D4E09">
        <w:rPr>
          <w:rFonts w:cs="Arial"/>
          <w:sz w:val="22"/>
          <w:szCs w:val="22"/>
        </w:rPr>
        <w:t xml:space="preserve">The Council has the benefit of instant access to its funds on the general account with Lloyds. </w:t>
      </w:r>
    </w:p>
    <w:p w:rsidR="000E18B8" w:rsidRPr="009D4E09" w:rsidRDefault="000E18B8" w:rsidP="000E18B8">
      <w:pPr>
        <w:pStyle w:val="BodyText2"/>
        <w:tabs>
          <w:tab w:val="left" w:pos="5812"/>
        </w:tabs>
        <w:autoSpaceDE w:val="0"/>
        <w:autoSpaceDN w:val="0"/>
        <w:adjustRightInd w:val="0"/>
        <w:jc w:val="both"/>
        <w:rPr>
          <w:rFonts w:cs="Arial"/>
          <w:b/>
          <w:sz w:val="22"/>
          <w:szCs w:val="22"/>
        </w:rPr>
      </w:pPr>
    </w:p>
    <w:p w:rsidR="000E18B8" w:rsidRPr="009D4E09" w:rsidRDefault="000E18B8" w:rsidP="000E18B8">
      <w:pPr>
        <w:pStyle w:val="BodyText2"/>
        <w:tabs>
          <w:tab w:val="left" w:pos="5812"/>
        </w:tabs>
        <w:autoSpaceDE w:val="0"/>
        <w:autoSpaceDN w:val="0"/>
        <w:adjustRightInd w:val="0"/>
        <w:jc w:val="both"/>
        <w:rPr>
          <w:rFonts w:cs="Arial"/>
          <w:sz w:val="22"/>
          <w:szCs w:val="22"/>
        </w:rPr>
      </w:pPr>
      <w:r w:rsidRPr="009D4E09">
        <w:rPr>
          <w:rFonts w:cs="Arial"/>
          <w:b/>
          <w:sz w:val="22"/>
          <w:szCs w:val="22"/>
        </w:rPr>
        <w:t>Yield</w:t>
      </w:r>
      <w:r w:rsidRPr="009D4E09">
        <w:rPr>
          <w:rFonts w:cs="Arial"/>
          <w:sz w:val="22"/>
          <w:szCs w:val="22"/>
        </w:rPr>
        <w:t xml:space="preserve"> </w:t>
      </w:r>
    </w:p>
    <w:p w:rsidR="000E18B8" w:rsidRPr="009D4E09" w:rsidRDefault="000E18B8" w:rsidP="000E18B8">
      <w:pPr>
        <w:pStyle w:val="BodyText2"/>
        <w:tabs>
          <w:tab w:val="left" w:pos="5812"/>
        </w:tabs>
        <w:autoSpaceDE w:val="0"/>
        <w:autoSpaceDN w:val="0"/>
        <w:adjustRightInd w:val="0"/>
        <w:jc w:val="both"/>
        <w:rPr>
          <w:rFonts w:cs="Arial"/>
          <w:sz w:val="22"/>
          <w:szCs w:val="22"/>
        </w:rPr>
      </w:pPr>
    </w:p>
    <w:p w:rsidR="000E18B8" w:rsidRPr="009D4E09" w:rsidRDefault="000E18B8" w:rsidP="000E18B8">
      <w:pPr>
        <w:pStyle w:val="BodyText2"/>
        <w:tabs>
          <w:tab w:val="left" w:pos="5812"/>
        </w:tabs>
        <w:autoSpaceDE w:val="0"/>
        <w:autoSpaceDN w:val="0"/>
        <w:adjustRightInd w:val="0"/>
        <w:jc w:val="both"/>
        <w:rPr>
          <w:rFonts w:cs="Arial"/>
          <w:color w:val="000000"/>
          <w:sz w:val="22"/>
          <w:szCs w:val="22"/>
        </w:rPr>
      </w:pPr>
      <w:r w:rsidRPr="009D4E09">
        <w:rPr>
          <w:rFonts w:cs="Arial"/>
          <w:color w:val="000000"/>
          <w:sz w:val="22"/>
          <w:szCs w:val="22"/>
        </w:rPr>
        <w:t>The measure of yield on Investments is a return of 0.12% above average bank rate. In accordance with the Code of Practice on Treasury</w:t>
      </w:r>
      <w:r w:rsidR="00B14859" w:rsidRPr="009D4E09">
        <w:rPr>
          <w:rFonts w:cs="Arial"/>
          <w:color w:val="000000"/>
          <w:sz w:val="22"/>
          <w:szCs w:val="22"/>
        </w:rPr>
        <w:t xml:space="preserve"> Management </w:t>
      </w:r>
      <w:r w:rsidR="005E1761" w:rsidRPr="009D4E09">
        <w:rPr>
          <w:rFonts w:cs="Arial"/>
          <w:color w:val="000000"/>
          <w:sz w:val="22"/>
          <w:szCs w:val="22"/>
        </w:rPr>
        <w:t>which is</w:t>
      </w:r>
      <w:r w:rsidRPr="009D4E09">
        <w:rPr>
          <w:rFonts w:cs="Arial"/>
          <w:color w:val="000000"/>
          <w:sz w:val="22"/>
          <w:szCs w:val="22"/>
        </w:rPr>
        <w:t xml:space="preserve"> used as </w:t>
      </w:r>
      <w:r w:rsidR="007017A9" w:rsidRPr="009D4E09">
        <w:rPr>
          <w:rFonts w:cs="Arial"/>
          <w:color w:val="000000"/>
          <w:sz w:val="22"/>
          <w:szCs w:val="22"/>
        </w:rPr>
        <w:t xml:space="preserve">a </w:t>
      </w:r>
      <w:r w:rsidRPr="009D4E09">
        <w:rPr>
          <w:rFonts w:cs="Arial"/>
          <w:color w:val="000000"/>
          <w:sz w:val="22"/>
          <w:szCs w:val="22"/>
        </w:rPr>
        <w:t>performance indicator</w:t>
      </w:r>
      <w:r w:rsidR="005E1761" w:rsidRPr="009D4E09">
        <w:rPr>
          <w:rFonts w:cs="Arial"/>
          <w:color w:val="000000"/>
          <w:sz w:val="22"/>
          <w:szCs w:val="22"/>
        </w:rPr>
        <w:t>.</w:t>
      </w:r>
      <w:r w:rsidRPr="009D4E09">
        <w:rPr>
          <w:rFonts w:cs="Arial"/>
          <w:color w:val="000000"/>
          <w:sz w:val="22"/>
          <w:szCs w:val="22"/>
        </w:rPr>
        <w:t xml:space="preserve"> The results of this indicator for </w:t>
      </w:r>
      <w:r w:rsidR="001A1EC1" w:rsidRPr="009D4E09">
        <w:rPr>
          <w:rFonts w:cs="Arial"/>
          <w:color w:val="000000"/>
          <w:sz w:val="22"/>
          <w:szCs w:val="22"/>
        </w:rPr>
        <w:t>2015/16</w:t>
      </w:r>
      <w:r w:rsidRPr="009D4E09">
        <w:rPr>
          <w:rFonts w:cs="Arial"/>
          <w:color w:val="000000"/>
          <w:sz w:val="22"/>
          <w:szCs w:val="22"/>
        </w:rPr>
        <w:t xml:space="preserve"> will be reported in the Treasury Annual Report. </w:t>
      </w:r>
    </w:p>
    <w:p w:rsidR="000E18B8" w:rsidRPr="009D4E09" w:rsidRDefault="000E18B8" w:rsidP="000E18B8">
      <w:pPr>
        <w:widowControl w:val="0"/>
        <w:tabs>
          <w:tab w:val="num" w:pos="675"/>
        </w:tabs>
        <w:rPr>
          <w:rFonts w:cs="Arial"/>
          <w:color w:val="0000FF"/>
          <w:sz w:val="22"/>
          <w:szCs w:val="22"/>
        </w:rPr>
      </w:pPr>
    </w:p>
    <w:p w:rsidR="000E18B8" w:rsidRPr="009D4E09" w:rsidRDefault="000E18B8" w:rsidP="000E18B8">
      <w:pPr>
        <w:widowControl w:val="0"/>
        <w:tabs>
          <w:tab w:val="num" w:pos="675"/>
        </w:tabs>
        <w:ind w:left="180" w:hanging="180"/>
        <w:rPr>
          <w:rFonts w:cs="Arial"/>
          <w:b/>
          <w:noProof/>
          <w:sz w:val="22"/>
          <w:szCs w:val="22"/>
        </w:rPr>
      </w:pPr>
      <w:r w:rsidRPr="009D4E09">
        <w:rPr>
          <w:rFonts w:cs="Arial"/>
          <w:b/>
          <w:noProof/>
          <w:sz w:val="22"/>
          <w:szCs w:val="22"/>
        </w:rPr>
        <w:t>3.6</w:t>
      </w:r>
      <w:r w:rsidRPr="009D4E09">
        <w:rPr>
          <w:rFonts w:cs="Arial"/>
          <w:b/>
          <w:noProof/>
          <w:sz w:val="22"/>
          <w:szCs w:val="22"/>
        </w:rPr>
        <w:tab/>
        <w:t>Reporting Requirments</w:t>
      </w:r>
    </w:p>
    <w:p w:rsidR="000E18B8" w:rsidRPr="009D4E09" w:rsidRDefault="000E18B8" w:rsidP="000E18B8">
      <w:pPr>
        <w:widowControl w:val="0"/>
        <w:rPr>
          <w:rFonts w:cs="Arial"/>
          <w:b/>
          <w:noProof/>
          <w:sz w:val="22"/>
          <w:szCs w:val="22"/>
        </w:rPr>
      </w:pPr>
    </w:p>
    <w:p w:rsidR="000E18B8" w:rsidRPr="009D4E09" w:rsidRDefault="000E18B8" w:rsidP="000E18B8">
      <w:pPr>
        <w:widowControl w:val="0"/>
        <w:jc w:val="both"/>
        <w:rPr>
          <w:rFonts w:cs="Arial"/>
          <w:b/>
          <w:noProof/>
          <w:sz w:val="22"/>
          <w:szCs w:val="22"/>
        </w:rPr>
      </w:pPr>
      <w:r w:rsidRPr="009D4E09">
        <w:rPr>
          <w:rFonts w:cs="Arial"/>
          <w:b/>
          <w:noProof/>
          <w:sz w:val="22"/>
          <w:szCs w:val="22"/>
        </w:rPr>
        <w:t>End of Year Investment Report</w:t>
      </w:r>
      <w:r w:rsidRPr="009D4E09">
        <w:rPr>
          <w:rFonts w:cs="Arial"/>
          <w:noProof/>
          <w:sz w:val="22"/>
          <w:szCs w:val="22"/>
        </w:rPr>
        <w:t xml:space="preserve"> - the Council will report on its investment activity for the financial year completed as part of its Annual Treasury Management Report after the end of the financial year.</w:t>
      </w:r>
    </w:p>
    <w:p w:rsidR="000E18B8" w:rsidRPr="009D4E09" w:rsidRDefault="000E18B8" w:rsidP="000E18B8">
      <w:pPr>
        <w:jc w:val="both"/>
        <w:rPr>
          <w:rFonts w:cs="Arial"/>
          <w:noProof/>
          <w:sz w:val="22"/>
          <w:szCs w:val="22"/>
        </w:rPr>
      </w:pPr>
    </w:p>
    <w:p w:rsidR="000E18B8" w:rsidRPr="009D4E09" w:rsidRDefault="000E18B8" w:rsidP="000E18B8">
      <w:pPr>
        <w:widowControl w:val="0"/>
        <w:jc w:val="both"/>
        <w:rPr>
          <w:rFonts w:cs="Arial"/>
          <w:noProof/>
          <w:sz w:val="22"/>
          <w:szCs w:val="22"/>
        </w:rPr>
      </w:pPr>
      <w:r w:rsidRPr="009D4E09">
        <w:rPr>
          <w:rFonts w:cs="Arial"/>
          <w:b/>
          <w:noProof/>
          <w:sz w:val="22"/>
          <w:szCs w:val="22"/>
        </w:rPr>
        <w:t>Mid-year Investment Report</w:t>
      </w:r>
      <w:r w:rsidRPr="009D4E09">
        <w:rPr>
          <w:rFonts w:cs="Arial"/>
          <w:noProof/>
          <w:sz w:val="22"/>
          <w:szCs w:val="22"/>
        </w:rPr>
        <w:t xml:space="preserve"> – the Council will report on its investment activity for that financial year as part of its Mid Year Treasury Management Report at the end of September of that financial year.</w:t>
      </w:r>
    </w:p>
    <w:p w:rsidR="000E18B8" w:rsidRPr="009D4E09" w:rsidRDefault="000E18B8" w:rsidP="000E18B8">
      <w:pPr>
        <w:widowControl w:val="0"/>
        <w:jc w:val="both"/>
        <w:rPr>
          <w:rFonts w:cs="Arial"/>
          <w:noProof/>
          <w:sz w:val="22"/>
          <w:szCs w:val="22"/>
        </w:rPr>
      </w:pPr>
    </w:p>
    <w:p w:rsidR="000E18B8" w:rsidRPr="009D4E09" w:rsidRDefault="000E18B8" w:rsidP="000E18B8">
      <w:pPr>
        <w:widowControl w:val="0"/>
        <w:jc w:val="both"/>
        <w:rPr>
          <w:rFonts w:cs="Arial"/>
          <w:noProof/>
          <w:sz w:val="22"/>
          <w:szCs w:val="22"/>
        </w:rPr>
      </w:pPr>
      <w:r w:rsidRPr="009D4E09">
        <w:rPr>
          <w:rFonts w:cs="Arial"/>
          <w:b/>
          <w:noProof/>
          <w:sz w:val="22"/>
          <w:szCs w:val="22"/>
        </w:rPr>
        <w:lastRenderedPageBreak/>
        <w:t>Treasury Management Strategy</w:t>
      </w:r>
      <w:r w:rsidRPr="009D4E09">
        <w:rPr>
          <w:rFonts w:cs="Arial"/>
          <w:noProof/>
          <w:sz w:val="22"/>
          <w:szCs w:val="22"/>
        </w:rPr>
        <w:t xml:space="preserve"> – the Council will produce the Strategy for the next three financial years towards the end of the current financial year.  </w:t>
      </w:r>
    </w:p>
    <w:p w:rsidR="000E18B8" w:rsidRPr="009D4E09" w:rsidRDefault="000E18B8" w:rsidP="000E18B8">
      <w:pPr>
        <w:widowControl w:val="0"/>
        <w:jc w:val="both"/>
        <w:rPr>
          <w:rFonts w:cs="Arial"/>
          <w:noProof/>
          <w:sz w:val="22"/>
          <w:szCs w:val="22"/>
        </w:rPr>
      </w:pPr>
    </w:p>
    <w:p w:rsidR="000E18B8" w:rsidRPr="009D4E09" w:rsidRDefault="000E18B8" w:rsidP="000E18B8">
      <w:pPr>
        <w:widowControl w:val="0"/>
        <w:tabs>
          <w:tab w:val="left" w:pos="720"/>
        </w:tabs>
        <w:rPr>
          <w:rFonts w:cs="Arial"/>
          <w:b/>
          <w:noProof/>
          <w:sz w:val="22"/>
          <w:szCs w:val="22"/>
        </w:rPr>
      </w:pPr>
      <w:r w:rsidRPr="009D4E09">
        <w:rPr>
          <w:rFonts w:cs="Arial"/>
          <w:b/>
          <w:noProof/>
          <w:sz w:val="22"/>
          <w:szCs w:val="22"/>
        </w:rPr>
        <w:t>3.7</w:t>
      </w:r>
      <w:r w:rsidRPr="009D4E09">
        <w:rPr>
          <w:rFonts w:cs="Arial"/>
          <w:b/>
          <w:noProof/>
          <w:sz w:val="22"/>
          <w:szCs w:val="22"/>
        </w:rPr>
        <w:tab/>
        <w:t>Policy on the Use of External Service Providers</w:t>
      </w:r>
    </w:p>
    <w:p w:rsidR="000E18B8" w:rsidRPr="009D4E09" w:rsidRDefault="000E18B8" w:rsidP="000E18B8">
      <w:pPr>
        <w:widowControl w:val="0"/>
        <w:tabs>
          <w:tab w:val="left" w:pos="720"/>
        </w:tabs>
        <w:rPr>
          <w:rFonts w:cs="Arial"/>
          <w:b/>
          <w:noProof/>
          <w:sz w:val="22"/>
          <w:szCs w:val="22"/>
        </w:rPr>
      </w:pPr>
    </w:p>
    <w:p w:rsidR="000E18B8" w:rsidRPr="009D4E09" w:rsidRDefault="000E18B8" w:rsidP="000E18B8">
      <w:pPr>
        <w:jc w:val="both"/>
        <w:rPr>
          <w:rFonts w:cs="Arial"/>
          <w:noProof/>
          <w:sz w:val="22"/>
          <w:szCs w:val="22"/>
        </w:rPr>
      </w:pPr>
      <w:r w:rsidRPr="009D4E09">
        <w:rPr>
          <w:rFonts w:cs="Arial"/>
          <w:noProof/>
          <w:color w:val="000000"/>
          <w:sz w:val="22"/>
          <w:szCs w:val="22"/>
        </w:rPr>
        <w:t xml:space="preserve">The contract </w:t>
      </w:r>
      <w:r w:rsidR="0094024B" w:rsidRPr="009D4E09">
        <w:rPr>
          <w:rFonts w:cs="Arial"/>
          <w:noProof/>
          <w:color w:val="000000"/>
          <w:sz w:val="22"/>
          <w:szCs w:val="22"/>
        </w:rPr>
        <w:t xml:space="preserve">for external treasury management advisors has been re-tendered </w:t>
      </w:r>
      <w:r w:rsidRPr="009D4E09">
        <w:rPr>
          <w:rFonts w:cs="Arial"/>
          <w:noProof/>
          <w:color w:val="000000"/>
          <w:sz w:val="22"/>
          <w:szCs w:val="22"/>
        </w:rPr>
        <w:t>in October 2016</w:t>
      </w:r>
      <w:r w:rsidR="0094024B" w:rsidRPr="009D4E09">
        <w:rPr>
          <w:rFonts w:cs="Arial"/>
          <w:noProof/>
          <w:color w:val="000000"/>
          <w:sz w:val="22"/>
          <w:szCs w:val="22"/>
        </w:rPr>
        <w:t>, and following this, Capita Asset Services Treasury Solutions have been appointed as the advisors to the Council until Ooctober 2019</w:t>
      </w:r>
      <w:r w:rsidRPr="009D4E09">
        <w:rPr>
          <w:rFonts w:cs="Arial"/>
          <w:noProof/>
          <w:color w:val="000000"/>
          <w:sz w:val="22"/>
          <w:szCs w:val="22"/>
        </w:rPr>
        <w:t xml:space="preserve">. </w:t>
      </w:r>
      <w:r w:rsidR="0094024B" w:rsidRPr="009D4E09">
        <w:rPr>
          <w:rFonts w:cs="Arial"/>
          <w:noProof/>
          <w:color w:val="000000"/>
          <w:sz w:val="22"/>
          <w:szCs w:val="22"/>
        </w:rPr>
        <w:t xml:space="preserve"> </w:t>
      </w:r>
      <w:r w:rsidRPr="009D4E09">
        <w:rPr>
          <w:rFonts w:cs="Arial"/>
          <w:noProof/>
          <w:color w:val="000000"/>
          <w:sz w:val="22"/>
          <w:szCs w:val="22"/>
        </w:rPr>
        <w:t>The Council recognises that responsibility for treasury</w:t>
      </w:r>
      <w:r w:rsidRPr="009D4E09">
        <w:rPr>
          <w:rFonts w:cs="Arial"/>
          <w:noProof/>
          <w:sz w:val="22"/>
          <w:szCs w:val="22"/>
        </w:rPr>
        <w:t xml:space="preserve"> management decisions remains with the Council at all times and will ensure that undue reliance is not placed upon our external service providers. </w:t>
      </w:r>
      <w:r w:rsidR="0094024B" w:rsidRPr="009D4E09">
        <w:rPr>
          <w:rFonts w:cs="Arial"/>
          <w:noProof/>
          <w:sz w:val="22"/>
          <w:szCs w:val="22"/>
        </w:rPr>
        <w:t xml:space="preserve"> </w:t>
      </w:r>
      <w:r w:rsidRPr="009D4E09">
        <w:rPr>
          <w:rFonts w:cs="Arial"/>
          <w:noProof/>
          <w:sz w:val="22"/>
          <w:szCs w:val="22"/>
        </w:rPr>
        <w:t xml:space="preserve">It also recognises that there is value in employing external providers of treasury management services in order to acquire access to specialist skills and resources. </w:t>
      </w:r>
      <w:r w:rsidR="0094024B" w:rsidRPr="009D4E09">
        <w:rPr>
          <w:rFonts w:cs="Arial"/>
          <w:noProof/>
          <w:sz w:val="22"/>
          <w:szCs w:val="22"/>
        </w:rPr>
        <w:t xml:space="preserve"> </w:t>
      </w:r>
      <w:r w:rsidRPr="009D4E09">
        <w:rPr>
          <w:rFonts w:cs="Arial"/>
          <w:noProof/>
          <w:sz w:val="22"/>
          <w:szCs w:val="22"/>
        </w:rPr>
        <w:t>The Council will ensure that the terms of their appointment and the methods by which their value will be assessed are properly agreed and documented, and subjected to regular review.</w:t>
      </w:r>
    </w:p>
    <w:p w:rsidR="0094024B" w:rsidRPr="009D4E09" w:rsidRDefault="0094024B" w:rsidP="000E18B8">
      <w:pPr>
        <w:jc w:val="both"/>
        <w:rPr>
          <w:rFonts w:cs="Arial"/>
          <w:noProof/>
          <w:sz w:val="22"/>
          <w:szCs w:val="22"/>
        </w:rPr>
      </w:pPr>
    </w:p>
    <w:p w:rsidR="0094024B" w:rsidRPr="009D4E09" w:rsidRDefault="0094024B" w:rsidP="000E18B8">
      <w:pPr>
        <w:jc w:val="both"/>
        <w:rPr>
          <w:rFonts w:cs="Arial"/>
          <w:noProof/>
          <w:sz w:val="22"/>
          <w:szCs w:val="22"/>
        </w:rPr>
      </w:pPr>
      <w:r w:rsidRPr="009D4E09">
        <w:rPr>
          <w:rFonts w:cs="Arial"/>
          <w:noProof/>
          <w:sz w:val="22"/>
          <w:szCs w:val="22"/>
        </w:rPr>
        <w:t xml:space="preserve">The Council will also, from time to time, procure specialist advice for ad-hoc pieces of work; this will be procured in accordance with the Council’s normal procedure rules. </w:t>
      </w:r>
    </w:p>
    <w:p w:rsidR="00C41EE4" w:rsidRPr="009D4E09" w:rsidRDefault="00C41EE4" w:rsidP="000E18B8">
      <w:pPr>
        <w:pStyle w:val="BodyText"/>
        <w:tabs>
          <w:tab w:val="left" w:pos="720"/>
        </w:tabs>
        <w:rPr>
          <w:rFonts w:cs="Arial"/>
          <w:b/>
          <w:szCs w:val="22"/>
        </w:rPr>
      </w:pPr>
    </w:p>
    <w:p w:rsidR="000E18B8" w:rsidRPr="009D4E09" w:rsidRDefault="000E18B8" w:rsidP="000E18B8">
      <w:pPr>
        <w:pStyle w:val="BodyText"/>
        <w:tabs>
          <w:tab w:val="left" w:pos="720"/>
        </w:tabs>
        <w:rPr>
          <w:rFonts w:cs="Arial"/>
          <w:b/>
          <w:szCs w:val="22"/>
        </w:rPr>
      </w:pPr>
      <w:r w:rsidRPr="009D4E09">
        <w:rPr>
          <w:rFonts w:cs="Arial"/>
          <w:b/>
          <w:szCs w:val="22"/>
        </w:rPr>
        <w:t xml:space="preserve">3.8 </w:t>
      </w:r>
      <w:r w:rsidRPr="009D4E09">
        <w:rPr>
          <w:rFonts w:cs="Arial"/>
          <w:b/>
          <w:szCs w:val="22"/>
        </w:rPr>
        <w:tab/>
        <w:t>Member and Officer Training</w:t>
      </w:r>
    </w:p>
    <w:p w:rsidR="000E18B8" w:rsidRPr="009D4E09" w:rsidRDefault="000E18B8" w:rsidP="000E18B8">
      <w:pPr>
        <w:pStyle w:val="BodyText"/>
        <w:rPr>
          <w:rFonts w:cs="Arial"/>
          <w:b/>
          <w:szCs w:val="22"/>
        </w:rPr>
      </w:pPr>
    </w:p>
    <w:p w:rsidR="000E18B8" w:rsidRPr="009D4E09" w:rsidRDefault="000E18B8" w:rsidP="000E18B8">
      <w:pPr>
        <w:pStyle w:val="BodyText"/>
        <w:jc w:val="both"/>
        <w:rPr>
          <w:rFonts w:cs="Arial"/>
          <w:iCs/>
          <w:szCs w:val="22"/>
        </w:rPr>
      </w:pPr>
      <w:r w:rsidRPr="009D4E09">
        <w:rPr>
          <w:rFonts w:cs="Arial"/>
          <w:iCs/>
          <w:szCs w:val="22"/>
        </w:rPr>
        <w:t>The increased Member consideration of treasury management matters and the need to ensure officers dealing with treasury management are trained and kept up to date requires a suitable training process for Members and officers.  This Council has addressed this important issue by:</w:t>
      </w:r>
    </w:p>
    <w:p w:rsidR="000E18B8" w:rsidRPr="009D4E09" w:rsidRDefault="000E18B8" w:rsidP="000E18B8">
      <w:pPr>
        <w:pStyle w:val="BodyText"/>
        <w:rPr>
          <w:rFonts w:cs="Arial"/>
          <w:iCs/>
          <w:szCs w:val="22"/>
        </w:rPr>
      </w:pPr>
    </w:p>
    <w:p w:rsidR="000E18B8" w:rsidRPr="009D4E09" w:rsidRDefault="000E18B8" w:rsidP="000E18B8">
      <w:pPr>
        <w:pStyle w:val="BodyText"/>
        <w:numPr>
          <w:ilvl w:val="0"/>
          <w:numId w:val="26"/>
        </w:numPr>
        <w:tabs>
          <w:tab w:val="clear" w:pos="720"/>
          <w:tab w:val="num" w:pos="540"/>
        </w:tabs>
        <w:ind w:left="540" w:hanging="540"/>
        <w:jc w:val="both"/>
        <w:rPr>
          <w:rFonts w:cs="Arial"/>
          <w:iCs/>
          <w:szCs w:val="22"/>
        </w:rPr>
      </w:pPr>
      <w:r w:rsidRPr="009D4E09">
        <w:rPr>
          <w:rFonts w:cs="Arial"/>
          <w:iCs/>
          <w:szCs w:val="22"/>
        </w:rPr>
        <w:t>Ensuring that officers attend suitable courses and seminars to keep their technical knowledge up to date;</w:t>
      </w:r>
    </w:p>
    <w:p w:rsidR="000E18B8" w:rsidRPr="009D4E09" w:rsidRDefault="000E18B8" w:rsidP="000E18B8">
      <w:pPr>
        <w:pStyle w:val="BodyText"/>
        <w:numPr>
          <w:ilvl w:val="0"/>
          <w:numId w:val="26"/>
        </w:numPr>
        <w:tabs>
          <w:tab w:val="clear" w:pos="720"/>
          <w:tab w:val="num" w:pos="540"/>
        </w:tabs>
        <w:ind w:left="540" w:hanging="540"/>
        <w:jc w:val="both"/>
        <w:rPr>
          <w:rFonts w:cs="Arial"/>
          <w:iCs/>
          <w:szCs w:val="22"/>
        </w:rPr>
      </w:pPr>
      <w:r w:rsidRPr="009D4E09">
        <w:rPr>
          <w:rFonts w:cs="Arial"/>
          <w:iCs/>
          <w:szCs w:val="22"/>
        </w:rPr>
        <w:t>Keeping up to date with CIPFA publications on Treasury Management;</w:t>
      </w:r>
    </w:p>
    <w:p w:rsidR="000E18B8" w:rsidRPr="009D4E09" w:rsidRDefault="000E18B8" w:rsidP="000E18B8">
      <w:pPr>
        <w:pStyle w:val="BodyText"/>
        <w:numPr>
          <w:ilvl w:val="0"/>
          <w:numId w:val="26"/>
        </w:numPr>
        <w:tabs>
          <w:tab w:val="clear" w:pos="720"/>
          <w:tab w:val="num" w:pos="540"/>
        </w:tabs>
        <w:ind w:left="540" w:hanging="540"/>
        <w:jc w:val="both"/>
        <w:rPr>
          <w:rFonts w:cs="Arial"/>
          <w:iCs/>
          <w:szCs w:val="22"/>
        </w:rPr>
      </w:pPr>
      <w:r w:rsidRPr="009D4E09">
        <w:rPr>
          <w:rFonts w:cs="Arial"/>
          <w:iCs/>
          <w:szCs w:val="22"/>
        </w:rPr>
        <w:t>Regular briefings both by email and face to face with the Council’s consultants;</w:t>
      </w:r>
    </w:p>
    <w:p w:rsidR="000E18B8" w:rsidRPr="009D4E09" w:rsidRDefault="000E18B8" w:rsidP="000E18B8">
      <w:pPr>
        <w:pStyle w:val="BodyText"/>
        <w:numPr>
          <w:ilvl w:val="0"/>
          <w:numId w:val="26"/>
        </w:numPr>
        <w:tabs>
          <w:tab w:val="clear" w:pos="720"/>
          <w:tab w:val="num" w:pos="540"/>
        </w:tabs>
        <w:ind w:left="540" w:hanging="540"/>
        <w:jc w:val="both"/>
        <w:rPr>
          <w:rFonts w:cs="Arial"/>
          <w:iCs/>
          <w:szCs w:val="22"/>
        </w:rPr>
      </w:pPr>
      <w:r w:rsidRPr="009D4E09">
        <w:rPr>
          <w:rFonts w:cs="Arial"/>
          <w:iCs/>
          <w:szCs w:val="22"/>
        </w:rPr>
        <w:t>Reports and briefing sessions to Members on major changes to Treasury policies and strategies.</w:t>
      </w:r>
    </w:p>
    <w:p w:rsidR="000E18B8" w:rsidRPr="009D4E09" w:rsidRDefault="000E18B8" w:rsidP="000E18B8">
      <w:pPr>
        <w:jc w:val="both"/>
        <w:rPr>
          <w:rFonts w:cs="Arial"/>
          <w:b/>
          <w:bCs/>
          <w:sz w:val="22"/>
          <w:szCs w:val="22"/>
        </w:rPr>
      </w:pPr>
    </w:p>
    <w:p w:rsidR="000E18B8" w:rsidRPr="009D4E09" w:rsidRDefault="000E18B8" w:rsidP="000E18B8">
      <w:pPr>
        <w:pStyle w:val="BodyText2"/>
        <w:jc w:val="both"/>
        <w:rPr>
          <w:rFonts w:cs="Arial"/>
          <w:noProof/>
          <w:spacing w:val="-5"/>
          <w:sz w:val="22"/>
          <w:szCs w:val="22"/>
        </w:rPr>
        <w:sectPr w:rsidR="000E18B8" w:rsidRPr="009D4E09" w:rsidSect="00BF3D55">
          <w:headerReference w:type="default" r:id="rId8"/>
          <w:footerReference w:type="even" r:id="rId9"/>
          <w:footerReference w:type="first" r:id="rId10"/>
          <w:pgSz w:w="11906" w:h="16838" w:code="9"/>
          <w:pgMar w:top="1361" w:right="924" w:bottom="1361" w:left="1077" w:header="692" w:footer="692" w:gutter="0"/>
          <w:cols w:space="708"/>
          <w:docGrid w:linePitch="360"/>
        </w:sectPr>
      </w:pPr>
    </w:p>
    <w:p w:rsidR="000E18B8" w:rsidRPr="009D4E09" w:rsidRDefault="000E18B8" w:rsidP="000E18B8">
      <w:pPr>
        <w:pStyle w:val="BodyText2"/>
        <w:jc w:val="both"/>
        <w:rPr>
          <w:rFonts w:cs="Arial"/>
          <w:noProof/>
          <w:spacing w:val="-5"/>
          <w:sz w:val="22"/>
          <w:szCs w:val="22"/>
        </w:rPr>
      </w:pPr>
      <w:r w:rsidRPr="009D4E09">
        <w:rPr>
          <w:rFonts w:cs="Arial"/>
          <w:b/>
          <w:noProof/>
          <w:spacing w:val="-5"/>
          <w:sz w:val="22"/>
          <w:szCs w:val="22"/>
        </w:rPr>
        <w:lastRenderedPageBreak/>
        <w:t xml:space="preserve">Treasury Management Practice (TMP1) </w:t>
      </w:r>
      <w:r w:rsidRPr="009D4E09">
        <w:rPr>
          <w:rFonts w:cs="Arial"/>
          <w:b/>
          <w:noProof/>
          <w:spacing w:val="-5"/>
          <w:sz w:val="22"/>
          <w:szCs w:val="22"/>
        </w:rPr>
        <w:tab/>
      </w:r>
      <w:r w:rsidRPr="009D4E09">
        <w:rPr>
          <w:rFonts w:cs="Arial"/>
          <w:b/>
          <w:noProof/>
          <w:spacing w:val="-5"/>
          <w:sz w:val="22"/>
          <w:szCs w:val="22"/>
        </w:rPr>
        <w:tab/>
      </w:r>
      <w:r w:rsidRPr="009D4E09">
        <w:rPr>
          <w:rFonts w:cs="Arial"/>
          <w:b/>
          <w:noProof/>
          <w:spacing w:val="-5"/>
          <w:sz w:val="22"/>
          <w:szCs w:val="22"/>
        </w:rPr>
        <w:tab/>
      </w:r>
      <w:r w:rsidRPr="009D4E09">
        <w:rPr>
          <w:rFonts w:cs="Arial"/>
          <w:b/>
          <w:noProof/>
          <w:spacing w:val="-5"/>
          <w:sz w:val="22"/>
          <w:szCs w:val="22"/>
        </w:rPr>
        <w:tab/>
      </w:r>
      <w:r w:rsidRPr="009D4E09">
        <w:rPr>
          <w:rFonts w:cs="Arial"/>
          <w:b/>
          <w:noProof/>
          <w:spacing w:val="-5"/>
          <w:sz w:val="22"/>
          <w:szCs w:val="22"/>
        </w:rPr>
        <w:tab/>
      </w:r>
      <w:r w:rsidRPr="009D4E09">
        <w:rPr>
          <w:rFonts w:cs="Arial"/>
          <w:b/>
          <w:noProof/>
          <w:spacing w:val="-5"/>
          <w:sz w:val="22"/>
          <w:szCs w:val="22"/>
        </w:rPr>
        <w:tab/>
        <w:t>ANNEX A</w:t>
      </w:r>
    </w:p>
    <w:p w:rsidR="000E18B8" w:rsidRPr="009D4E09" w:rsidRDefault="000E18B8" w:rsidP="000E18B8">
      <w:pPr>
        <w:pStyle w:val="BodyText2"/>
        <w:jc w:val="both"/>
        <w:outlineLvl w:val="0"/>
        <w:rPr>
          <w:rFonts w:cs="Arial"/>
          <w:b/>
          <w:noProof/>
          <w:color w:val="0000FF"/>
          <w:spacing w:val="-5"/>
          <w:sz w:val="22"/>
          <w:szCs w:val="22"/>
        </w:rPr>
      </w:pPr>
      <w:r w:rsidRPr="009D4E09">
        <w:rPr>
          <w:rFonts w:cs="Arial"/>
          <w:b/>
          <w:noProof/>
          <w:spacing w:val="-5"/>
          <w:sz w:val="22"/>
          <w:szCs w:val="22"/>
        </w:rPr>
        <w:t>Credit and Counterparty Risk Management</w:t>
      </w:r>
      <w:r w:rsidRPr="009D4E09">
        <w:rPr>
          <w:rFonts w:cs="Arial"/>
          <w:b/>
          <w:noProof/>
          <w:color w:val="0000FF"/>
          <w:spacing w:val="-5"/>
          <w:sz w:val="22"/>
          <w:szCs w:val="22"/>
        </w:rPr>
        <w:tab/>
      </w:r>
    </w:p>
    <w:p w:rsidR="000E18B8" w:rsidRPr="009D4E09" w:rsidRDefault="000E18B8" w:rsidP="000E18B8">
      <w:pPr>
        <w:pStyle w:val="BodyText2"/>
        <w:jc w:val="both"/>
        <w:rPr>
          <w:rFonts w:cs="Arial"/>
          <w:b/>
          <w:noProof/>
          <w:color w:val="0000FF"/>
          <w:spacing w:val="-5"/>
          <w:sz w:val="22"/>
          <w:szCs w:val="22"/>
        </w:rPr>
      </w:pPr>
    </w:p>
    <w:p w:rsidR="000E18B8" w:rsidRPr="009D4E09" w:rsidRDefault="000E18B8" w:rsidP="000E18B8">
      <w:pPr>
        <w:jc w:val="both"/>
        <w:rPr>
          <w:rFonts w:cs="Arial"/>
          <w:i/>
          <w:sz w:val="22"/>
          <w:szCs w:val="22"/>
        </w:rPr>
      </w:pPr>
      <w:r w:rsidRPr="009D4E09">
        <w:rPr>
          <w:rFonts w:cs="Arial"/>
          <w:sz w:val="22"/>
          <w:szCs w:val="22"/>
        </w:rPr>
        <w:t xml:space="preserve">The </w:t>
      </w:r>
      <w:r w:rsidR="007B396B" w:rsidRPr="009D4E09">
        <w:rPr>
          <w:rFonts w:cs="Arial"/>
          <w:sz w:val="22"/>
          <w:szCs w:val="22"/>
        </w:rPr>
        <w:t>D</w:t>
      </w:r>
      <w:r w:rsidRPr="009D4E09">
        <w:rPr>
          <w:rFonts w:cs="Arial"/>
          <w:sz w:val="22"/>
          <w:szCs w:val="22"/>
        </w:rPr>
        <w:t>CLG issued a reviewed Investment Guidance in 2010 (second edition), and this forms the structure of the Council’s policy below. These guidelines do not apply to either trust funds or pension funds, which operate under a different regulatory regime</w:t>
      </w:r>
      <w:r w:rsidRPr="009D4E09">
        <w:rPr>
          <w:rFonts w:cs="Arial"/>
          <w:i/>
          <w:sz w:val="22"/>
          <w:szCs w:val="22"/>
        </w:rPr>
        <w:t>.</w:t>
      </w:r>
    </w:p>
    <w:p w:rsidR="000E18B8" w:rsidRPr="009D4E09" w:rsidRDefault="000E18B8" w:rsidP="000E18B8">
      <w:pPr>
        <w:jc w:val="both"/>
        <w:rPr>
          <w:rFonts w:cs="Arial"/>
          <w:color w:val="0000FF"/>
          <w:sz w:val="22"/>
          <w:szCs w:val="22"/>
        </w:rPr>
      </w:pPr>
    </w:p>
    <w:p w:rsidR="000E18B8" w:rsidRPr="009D4E09" w:rsidRDefault="000E18B8" w:rsidP="000E18B8">
      <w:pPr>
        <w:jc w:val="both"/>
        <w:rPr>
          <w:rFonts w:cs="Arial"/>
          <w:sz w:val="22"/>
          <w:szCs w:val="22"/>
        </w:rPr>
      </w:pPr>
      <w:r w:rsidRPr="009D4E09">
        <w:rPr>
          <w:rFonts w:cs="Arial"/>
          <w:sz w:val="22"/>
          <w:szCs w:val="22"/>
        </w:rPr>
        <w:t>The key intention of the Guidance is to maintain the current requirement for councils to invest prudently, and that priority is given to security and liquidity before yield. In order to facilitate this objective the guidance requires this Council to have regard to the CIPFA publication Treasury Management in the Public Services: Code of Practice and Cross-</w:t>
      </w:r>
      <w:r w:rsidR="006E77FC" w:rsidRPr="009D4E09">
        <w:rPr>
          <w:rFonts w:cs="Arial"/>
          <w:sz w:val="22"/>
          <w:szCs w:val="22"/>
        </w:rPr>
        <w:t>Sectorial</w:t>
      </w:r>
      <w:r w:rsidRPr="009D4E09">
        <w:rPr>
          <w:rFonts w:cs="Arial"/>
          <w:sz w:val="22"/>
          <w:szCs w:val="22"/>
        </w:rPr>
        <w:t xml:space="preserve"> Guidance Notes. This Council has adopted the Code and will apply its principles to all investment activity. In accordance with the Code, the Director of Finance has produced this Treasury Management Practices (TMP’s) guidance. </w:t>
      </w:r>
    </w:p>
    <w:p w:rsidR="000E18B8" w:rsidRPr="009D4E09" w:rsidRDefault="000E18B8" w:rsidP="000E18B8">
      <w:pPr>
        <w:jc w:val="both"/>
        <w:rPr>
          <w:rFonts w:cs="Arial"/>
          <w:color w:val="0000FF"/>
          <w:sz w:val="22"/>
          <w:szCs w:val="22"/>
        </w:rPr>
      </w:pPr>
    </w:p>
    <w:p w:rsidR="000E18B8" w:rsidRPr="009D4E09" w:rsidRDefault="000E18B8" w:rsidP="000E18B8">
      <w:pPr>
        <w:jc w:val="both"/>
        <w:rPr>
          <w:rFonts w:cs="Arial"/>
          <w:sz w:val="22"/>
          <w:szCs w:val="22"/>
        </w:rPr>
      </w:pPr>
      <w:r w:rsidRPr="009D4E09">
        <w:rPr>
          <w:rFonts w:cs="Arial"/>
          <w:b/>
          <w:sz w:val="22"/>
          <w:szCs w:val="22"/>
        </w:rPr>
        <w:t>Annual Investment Strategy</w:t>
      </w:r>
      <w:r w:rsidRPr="009D4E09">
        <w:rPr>
          <w:rFonts w:cs="Arial"/>
          <w:sz w:val="22"/>
          <w:szCs w:val="22"/>
        </w:rPr>
        <w:t xml:space="preserve"> - The key requirements of both the Code and the investment guidance are to set an annual investment strategy for the following year</w:t>
      </w:r>
      <w:r w:rsidRPr="009D4E09">
        <w:rPr>
          <w:rFonts w:cs="Arial"/>
          <w:i/>
          <w:sz w:val="22"/>
          <w:szCs w:val="22"/>
        </w:rPr>
        <w:t>,</w:t>
      </w:r>
      <w:r w:rsidRPr="009D4E09">
        <w:rPr>
          <w:rFonts w:cs="Arial"/>
          <w:sz w:val="22"/>
          <w:szCs w:val="22"/>
        </w:rPr>
        <w:t xml:space="preserve"> covering the identification and approval of following:</w:t>
      </w:r>
    </w:p>
    <w:p w:rsidR="000E18B8" w:rsidRPr="009D4E09" w:rsidRDefault="000E18B8" w:rsidP="000E18B8">
      <w:pPr>
        <w:jc w:val="both"/>
        <w:rPr>
          <w:rFonts w:cs="Arial"/>
          <w:sz w:val="22"/>
          <w:szCs w:val="22"/>
        </w:rPr>
      </w:pPr>
    </w:p>
    <w:p w:rsidR="000E18B8" w:rsidRPr="009D4E09" w:rsidRDefault="000E18B8" w:rsidP="000E18B8">
      <w:pPr>
        <w:numPr>
          <w:ilvl w:val="0"/>
          <w:numId w:val="17"/>
        </w:numPr>
        <w:tabs>
          <w:tab w:val="clear" w:pos="417"/>
          <w:tab w:val="num" w:pos="540"/>
        </w:tabs>
        <w:ind w:left="540" w:hanging="540"/>
        <w:jc w:val="both"/>
        <w:rPr>
          <w:rFonts w:cs="Arial"/>
          <w:sz w:val="22"/>
          <w:szCs w:val="22"/>
        </w:rPr>
      </w:pPr>
      <w:r w:rsidRPr="009D4E09">
        <w:rPr>
          <w:rFonts w:cs="Arial"/>
          <w:sz w:val="22"/>
          <w:szCs w:val="22"/>
        </w:rPr>
        <w:t>The strategy guidelines for choosing and placing investments, particularly non-specified investments;</w:t>
      </w:r>
    </w:p>
    <w:p w:rsidR="000E18B8" w:rsidRPr="009D4E09" w:rsidRDefault="000E18B8" w:rsidP="000E18B8">
      <w:pPr>
        <w:numPr>
          <w:ilvl w:val="0"/>
          <w:numId w:val="17"/>
        </w:numPr>
        <w:tabs>
          <w:tab w:val="clear" w:pos="417"/>
          <w:tab w:val="num" w:pos="540"/>
        </w:tabs>
        <w:ind w:left="540" w:hanging="540"/>
        <w:jc w:val="both"/>
        <w:rPr>
          <w:rFonts w:cs="Arial"/>
          <w:sz w:val="22"/>
          <w:szCs w:val="22"/>
        </w:rPr>
      </w:pPr>
      <w:r w:rsidRPr="009D4E09">
        <w:rPr>
          <w:rFonts w:cs="Arial"/>
          <w:sz w:val="22"/>
          <w:szCs w:val="22"/>
        </w:rPr>
        <w:t>The principles to be used to determine the maximum periods for which funds can be committed;</w:t>
      </w:r>
    </w:p>
    <w:p w:rsidR="000E18B8" w:rsidRPr="009D4E09" w:rsidRDefault="000E18B8" w:rsidP="000E18B8">
      <w:pPr>
        <w:numPr>
          <w:ilvl w:val="0"/>
          <w:numId w:val="17"/>
        </w:numPr>
        <w:tabs>
          <w:tab w:val="clear" w:pos="417"/>
          <w:tab w:val="num" w:pos="540"/>
        </w:tabs>
        <w:ind w:left="540" w:hanging="540"/>
        <w:jc w:val="both"/>
        <w:rPr>
          <w:rFonts w:cs="Arial"/>
          <w:sz w:val="22"/>
          <w:szCs w:val="22"/>
        </w:rPr>
      </w:pPr>
      <w:r w:rsidRPr="009D4E09">
        <w:rPr>
          <w:rFonts w:cs="Arial"/>
          <w:sz w:val="22"/>
          <w:szCs w:val="22"/>
        </w:rPr>
        <w:t>Specified investments that the Council will use. These are high security, and high liquidity investments in sterling and with a maturity of no more than a year;</w:t>
      </w:r>
    </w:p>
    <w:p w:rsidR="000E18B8" w:rsidRPr="009D4E09" w:rsidRDefault="000E18B8" w:rsidP="000E18B8">
      <w:pPr>
        <w:numPr>
          <w:ilvl w:val="0"/>
          <w:numId w:val="17"/>
        </w:numPr>
        <w:tabs>
          <w:tab w:val="clear" w:pos="417"/>
          <w:tab w:val="num" w:pos="540"/>
        </w:tabs>
        <w:ind w:left="540" w:hanging="540"/>
        <w:jc w:val="both"/>
        <w:rPr>
          <w:rFonts w:cs="Arial"/>
          <w:sz w:val="22"/>
          <w:szCs w:val="22"/>
        </w:rPr>
      </w:pPr>
      <w:r w:rsidRPr="009D4E09">
        <w:rPr>
          <w:rFonts w:cs="Arial"/>
          <w:sz w:val="22"/>
          <w:szCs w:val="22"/>
        </w:rPr>
        <w:t>Non-specified investments, clarifying the greater risk implications, identifying the general types of investment that may be used and a limit to the overall amount of various categories that can be held at any time.</w:t>
      </w:r>
    </w:p>
    <w:p w:rsidR="000E18B8" w:rsidRPr="009D4E09" w:rsidRDefault="000E18B8" w:rsidP="000E18B8">
      <w:pPr>
        <w:jc w:val="both"/>
        <w:rPr>
          <w:rFonts w:cs="Arial"/>
          <w:color w:val="0000FF"/>
          <w:sz w:val="22"/>
          <w:szCs w:val="22"/>
        </w:rPr>
      </w:pPr>
    </w:p>
    <w:p w:rsidR="000E18B8" w:rsidRPr="009D4E09" w:rsidRDefault="000E18B8" w:rsidP="000E18B8">
      <w:pPr>
        <w:pStyle w:val="BodyText"/>
        <w:rPr>
          <w:rFonts w:cs="Arial"/>
          <w:szCs w:val="22"/>
        </w:rPr>
      </w:pPr>
      <w:r w:rsidRPr="009D4E09">
        <w:rPr>
          <w:rFonts w:cs="Arial"/>
          <w:szCs w:val="22"/>
        </w:rPr>
        <w:t>The investment policy proposed for the Council is:</w:t>
      </w:r>
    </w:p>
    <w:p w:rsidR="000E18B8" w:rsidRPr="009D4E09" w:rsidRDefault="000E18B8" w:rsidP="000E18B8">
      <w:pPr>
        <w:jc w:val="both"/>
        <w:rPr>
          <w:rFonts w:cs="Arial"/>
          <w:sz w:val="22"/>
          <w:szCs w:val="22"/>
        </w:rPr>
      </w:pPr>
    </w:p>
    <w:p w:rsidR="000E18B8" w:rsidRPr="009D4E09" w:rsidRDefault="000E18B8" w:rsidP="000E18B8">
      <w:pPr>
        <w:jc w:val="both"/>
        <w:rPr>
          <w:rFonts w:cs="Arial"/>
          <w:sz w:val="22"/>
          <w:szCs w:val="22"/>
        </w:rPr>
      </w:pPr>
      <w:r w:rsidRPr="009D4E09">
        <w:rPr>
          <w:rFonts w:cs="Arial"/>
          <w:b/>
          <w:bCs/>
          <w:iCs/>
          <w:sz w:val="22"/>
          <w:szCs w:val="22"/>
        </w:rPr>
        <w:t>Strategy Guidelines</w:t>
      </w:r>
      <w:r w:rsidRPr="009D4E09">
        <w:rPr>
          <w:rFonts w:cs="Arial"/>
          <w:iCs/>
          <w:sz w:val="22"/>
          <w:szCs w:val="22"/>
        </w:rPr>
        <w:t xml:space="preserve"> – the main strategy guidelines are contained in the body of the treasury strategy statement.</w:t>
      </w:r>
    </w:p>
    <w:p w:rsidR="000E18B8" w:rsidRPr="009D4E09" w:rsidRDefault="000E18B8" w:rsidP="000E18B8">
      <w:pPr>
        <w:jc w:val="both"/>
        <w:rPr>
          <w:rFonts w:cs="Arial"/>
          <w:color w:val="0000FF"/>
          <w:sz w:val="22"/>
          <w:szCs w:val="22"/>
        </w:rPr>
      </w:pPr>
    </w:p>
    <w:p w:rsidR="000E18B8" w:rsidRPr="009D4E09" w:rsidRDefault="000E18B8" w:rsidP="000E18B8">
      <w:pPr>
        <w:jc w:val="both"/>
        <w:rPr>
          <w:rFonts w:cs="Arial"/>
          <w:sz w:val="22"/>
          <w:szCs w:val="22"/>
        </w:rPr>
      </w:pPr>
      <w:r w:rsidRPr="009D4E09">
        <w:rPr>
          <w:rFonts w:cs="Arial"/>
          <w:b/>
          <w:bCs/>
          <w:sz w:val="22"/>
          <w:szCs w:val="22"/>
        </w:rPr>
        <w:t>Specified Investments</w:t>
      </w:r>
      <w:r w:rsidRPr="009D4E09">
        <w:rPr>
          <w:rFonts w:cs="Arial"/>
          <w:sz w:val="22"/>
          <w:szCs w:val="22"/>
        </w:rPr>
        <w:t xml:space="preserve"> – these investments are sterling investments of not more than one-year maturity, or those which could be for a longer period but where the Council has the right to be repaid within 12 months if it wishes.  These are considered low risk assets where the possibility of loss of principal or investment income is small. These would include sterling investments with:</w:t>
      </w:r>
    </w:p>
    <w:p w:rsidR="000E18B8" w:rsidRPr="009D4E09" w:rsidRDefault="000E18B8" w:rsidP="000E18B8">
      <w:pPr>
        <w:jc w:val="both"/>
        <w:rPr>
          <w:rFonts w:cs="Arial"/>
          <w:sz w:val="22"/>
          <w:szCs w:val="22"/>
        </w:rPr>
      </w:pPr>
    </w:p>
    <w:p w:rsidR="000E18B8" w:rsidRPr="009D4E09" w:rsidRDefault="000E18B8" w:rsidP="000E18B8">
      <w:pPr>
        <w:numPr>
          <w:ilvl w:val="0"/>
          <w:numId w:val="18"/>
        </w:numPr>
        <w:tabs>
          <w:tab w:val="clear" w:pos="360"/>
          <w:tab w:val="num" w:pos="417"/>
        </w:tabs>
        <w:ind w:left="417"/>
        <w:jc w:val="both"/>
        <w:rPr>
          <w:rFonts w:cs="Arial"/>
          <w:sz w:val="22"/>
          <w:szCs w:val="22"/>
        </w:rPr>
      </w:pPr>
      <w:r w:rsidRPr="009D4E09">
        <w:rPr>
          <w:rFonts w:cs="Arial"/>
          <w:sz w:val="22"/>
          <w:szCs w:val="22"/>
        </w:rPr>
        <w:t>The UK Government (such as the Debt Management Account deposit facility, UK Treasury Bills or a Gilt with less than one year to maturity).</w:t>
      </w:r>
    </w:p>
    <w:p w:rsidR="000E18B8" w:rsidRPr="009D4E09" w:rsidRDefault="000E18B8" w:rsidP="000E18B8">
      <w:pPr>
        <w:ind w:left="57"/>
        <w:jc w:val="both"/>
        <w:rPr>
          <w:rFonts w:cs="Arial"/>
          <w:sz w:val="22"/>
          <w:szCs w:val="22"/>
        </w:rPr>
      </w:pPr>
    </w:p>
    <w:p w:rsidR="000E18B8" w:rsidRPr="009D4E09" w:rsidRDefault="000E18B8" w:rsidP="000E18B8">
      <w:pPr>
        <w:numPr>
          <w:ilvl w:val="0"/>
          <w:numId w:val="18"/>
        </w:numPr>
        <w:tabs>
          <w:tab w:val="clear" w:pos="360"/>
          <w:tab w:val="num" w:pos="417"/>
        </w:tabs>
        <w:ind w:left="417"/>
        <w:jc w:val="both"/>
        <w:rPr>
          <w:rFonts w:cs="Arial"/>
          <w:sz w:val="22"/>
          <w:szCs w:val="22"/>
        </w:rPr>
      </w:pPr>
      <w:r w:rsidRPr="009D4E09">
        <w:rPr>
          <w:rFonts w:cs="Arial"/>
          <w:sz w:val="22"/>
          <w:szCs w:val="22"/>
        </w:rPr>
        <w:t>A local authority, parish council or community council.</w:t>
      </w:r>
    </w:p>
    <w:p w:rsidR="000E18B8" w:rsidRPr="009D4E09" w:rsidRDefault="000E18B8" w:rsidP="000E18B8">
      <w:pPr>
        <w:jc w:val="both"/>
        <w:rPr>
          <w:rFonts w:cs="Arial"/>
          <w:color w:val="0000FF"/>
          <w:sz w:val="22"/>
          <w:szCs w:val="22"/>
        </w:rPr>
      </w:pPr>
    </w:p>
    <w:p w:rsidR="000E18B8" w:rsidRPr="009D4E09" w:rsidRDefault="000E18B8" w:rsidP="000E18B8">
      <w:pPr>
        <w:numPr>
          <w:ilvl w:val="0"/>
          <w:numId w:val="18"/>
        </w:numPr>
        <w:tabs>
          <w:tab w:val="clear" w:pos="360"/>
          <w:tab w:val="num" w:pos="417"/>
        </w:tabs>
        <w:ind w:left="417"/>
        <w:jc w:val="both"/>
        <w:rPr>
          <w:rFonts w:cs="Arial"/>
          <w:sz w:val="22"/>
          <w:szCs w:val="22"/>
        </w:rPr>
      </w:pPr>
      <w:r w:rsidRPr="009D4E09">
        <w:rPr>
          <w:rFonts w:cs="Arial"/>
          <w:sz w:val="22"/>
          <w:szCs w:val="22"/>
        </w:rPr>
        <w:t>A body that is considered of a high credit quality (such as a bank or building society) with a minimum short term rating of F-1 (or the equivalent) as rated by Standard and Poor’s, Moody’s or Fitch rating agencies or a Building Society with assets over £1,000m</w:t>
      </w:r>
      <w:r w:rsidRPr="009D4E09">
        <w:rPr>
          <w:rFonts w:cs="Arial"/>
          <w:i/>
          <w:sz w:val="22"/>
          <w:szCs w:val="22"/>
        </w:rPr>
        <w:t>.</w:t>
      </w:r>
      <w:r w:rsidRPr="009D4E09">
        <w:rPr>
          <w:rFonts w:cs="Arial"/>
          <w:sz w:val="22"/>
          <w:szCs w:val="22"/>
        </w:rPr>
        <w:t xml:space="preserve"> </w:t>
      </w:r>
      <w:r w:rsidR="003644C8" w:rsidRPr="009D4E09">
        <w:rPr>
          <w:rFonts w:cs="Arial"/>
          <w:sz w:val="22"/>
          <w:szCs w:val="22"/>
        </w:rPr>
        <w:t xml:space="preserve"> </w:t>
      </w:r>
      <w:r w:rsidRPr="009D4E09">
        <w:rPr>
          <w:rFonts w:cs="Arial"/>
          <w:sz w:val="22"/>
          <w:szCs w:val="22"/>
        </w:rPr>
        <w:t>Non rated Building Societies are non-specified investments.</w:t>
      </w:r>
    </w:p>
    <w:p w:rsidR="000E18B8" w:rsidRPr="009D4E09" w:rsidRDefault="000E18B8" w:rsidP="000E18B8">
      <w:pPr>
        <w:jc w:val="both"/>
        <w:rPr>
          <w:rFonts w:cs="Arial"/>
          <w:color w:val="0000FF"/>
          <w:sz w:val="22"/>
          <w:szCs w:val="22"/>
        </w:rPr>
      </w:pPr>
    </w:p>
    <w:p w:rsidR="000E18B8" w:rsidRPr="009D4E09" w:rsidRDefault="000E18B8" w:rsidP="000E18B8">
      <w:pPr>
        <w:numPr>
          <w:ilvl w:val="0"/>
          <w:numId w:val="18"/>
        </w:numPr>
        <w:tabs>
          <w:tab w:val="clear" w:pos="360"/>
          <w:tab w:val="num" w:pos="417"/>
        </w:tabs>
        <w:ind w:left="417"/>
        <w:jc w:val="both"/>
        <w:rPr>
          <w:rFonts w:cs="Arial"/>
          <w:sz w:val="22"/>
          <w:szCs w:val="22"/>
        </w:rPr>
      </w:pPr>
      <w:r w:rsidRPr="009D4E09">
        <w:rPr>
          <w:rFonts w:cs="Arial"/>
          <w:sz w:val="22"/>
          <w:szCs w:val="22"/>
        </w:rPr>
        <w:t>Money Market Funds (triple AAA rated only).</w:t>
      </w:r>
    </w:p>
    <w:p w:rsidR="000E18B8" w:rsidRPr="009D4E09" w:rsidRDefault="000E18B8" w:rsidP="000E18B8">
      <w:pPr>
        <w:ind w:left="57"/>
        <w:jc w:val="both"/>
        <w:rPr>
          <w:rFonts w:cs="Arial"/>
          <w:i/>
          <w:iCs/>
          <w:color w:val="0000FF"/>
          <w:sz w:val="22"/>
          <w:szCs w:val="22"/>
        </w:rPr>
      </w:pPr>
      <w:r w:rsidRPr="009D4E09">
        <w:rPr>
          <w:rFonts w:cs="Arial"/>
          <w:color w:val="0000FF"/>
          <w:sz w:val="22"/>
          <w:szCs w:val="22"/>
        </w:rPr>
        <w:t xml:space="preserve">  </w:t>
      </w:r>
    </w:p>
    <w:p w:rsidR="000E18B8" w:rsidRPr="009D4E09" w:rsidRDefault="000E18B8" w:rsidP="000E18B8">
      <w:pPr>
        <w:jc w:val="both"/>
        <w:rPr>
          <w:rFonts w:cs="Arial"/>
          <w:i/>
          <w:iCs/>
          <w:sz w:val="22"/>
          <w:szCs w:val="22"/>
        </w:rPr>
      </w:pPr>
      <w:r w:rsidRPr="009D4E09">
        <w:rPr>
          <w:rFonts w:cs="Arial"/>
          <w:sz w:val="22"/>
          <w:szCs w:val="22"/>
        </w:rPr>
        <w:t>Within these bodies, and in accordance with the Code, the Council has set additional criteria to set the time and amount of monies which will be invested in these bodies.  These criteria are defined in the Treasury Management Strategy</w:t>
      </w:r>
      <w:r w:rsidRPr="009D4E09">
        <w:rPr>
          <w:rFonts w:cs="Arial"/>
          <w:i/>
          <w:iCs/>
          <w:sz w:val="22"/>
          <w:szCs w:val="22"/>
        </w:rPr>
        <w:t>.</w:t>
      </w:r>
    </w:p>
    <w:p w:rsidR="000E18B8" w:rsidRPr="009D4E09" w:rsidRDefault="000E18B8" w:rsidP="000E18B8">
      <w:pPr>
        <w:jc w:val="both"/>
        <w:rPr>
          <w:rFonts w:cs="Arial"/>
          <w:i/>
          <w:iCs/>
          <w:sz w:val="22"/>
          <w:szCs w:val="22"/>
        </w:rPr>
      </w:pPr>
    </w:p>
    <w:p w:rsidR="000E18B8" w:rsidRPr="009D4E09" w:rsidRDefault="000E18B8" w:rsidP="000E18B8">
      <w:pPr>
        <w:jc w:val="both"/>
        <w:outlineLvl w:val="0"/>
        <w:rPr>
          <w:rFonts w:cs="Arial"/>
          <w:b/>
          <w:bCs/>
          <w:sz w:val="22"/>
          <w:szCs w:val="22"/>
        </w:rPr>
      </w:pPr>
      <w:r w:rsidRPr="009D4E09">
        <w:rPr>
          <w:rFonts w:cs="Arial"/>
          <w:bCs/>
          <w:sz w:val="22"/>
          <w:szCs w:val="22"/>
        </w:rPr>
        <w:t xml:space="preserve">The ratings criteria and exposure limits are detailed at </w:t>
      </w:r>
      <w:r w:rsidRPr="009D4E09">
        <w:rPr>
          <w:rFonts w:cs="Arial"/>
          <w:b/>
          <w:bCs/>
          <w:sz w:val="22"/>
          <w:szCs w:val="22"/>
        </w:rPr>
        <w:t>Schedule 1.</w:t>
      </w:r>
    </w:p>
    <w:p w:rsidR="000E18B8" w:rsidRPr="009D4E09" w:rsidRDefault="000E18B8" w:rsidP="000E18B8">
      <w:pPr>
        <w:jc w:val="both"/>
        <w:rPr>
          <w:rFonts w:cs="Arial"/>
          <w:b/>
          <w:bCs/>
          <w:color w:val="0000FF"/>
          <w:sz w:val="22"/>
          <w:szCs w:val="22"/>
        </w:rPr>
      </w:pPr>
    </w:p>
    <w:p w:rsidR="000E18B8" w:rsidRPr="009D4E09" w:rsidRDefault="000E18B8" w:rsidP="000E18B8">
      <w:pPr>
        <w:jc w:val="both"/>
        <w:rPr>
          <w:rFonts w:cs="Arial"/>
          <w:b/>
          <w:bCs/>
          <w:color w:val="0000FF"/>
          <w:sz w:val="22"/>
          <w:szCs w:val="22"/>
        </w:rPr>
      </w:pPr>
    </w:p>
    <w:p w:rsidR="000E18B8" w:rsidRPr="009D4E09" w:rsidRDefault="000E18B8" w:rsidP="000E18B8">
      <w:pPr>
        <w:jc w:val="both"/>
        <w:rPr>
          <w:rFonts w:cs="Arial"/>
          <w:sz w:val="22"/>
          <w:szCs w:val="22"/>
        </w:rPr>
      </w:pPr>
      <w:r w:rsidRPr="009D4E09">
        <w:rPr>
          <w:rFonts w:cs="Arial"/>
          <w:b/>
          <w:bCs/>
          <w:sz w:val="22"/>
          <w:szCs w:val="22"/>
        </w:rPr>
        <w:t>Non-Specified Investments</w:t>
      </w:r>
      <w:r w:rsidRPr="009D4E09">
        <w:rPr>
          <w:rFonts w:cs="Arial"/>
          <w:sz w:val="22"/>
          <w:szCs w:val="22"/>
        </w:rPr>
        <w:t xml:space="preserve"> – non-specified investments are any other type of investment (i.e. not defined as Specified above).  The identification and rationale supporting the selection of these other investments and the maximum limits to be applied are set out below. Non specified investments would include any sterling investments with:</w:t>
      </w:r>
    </w:p>
    <w:p w:rsidR="000E18B8" w:rsidRPr="009D4E09" w:rsidRDefault="000E18B8" w:rsidP="000E18B8">
      <w:pPr>
        <w:jc w:val="both"/>
        <w:rPr>
          <w:rFonts w:cs="Arial"/>
          <w:iCs/>
          <w:color w:val="0000FF"/>
          <w:sz w:val="22"/>
          <w:szCs w:val="22"/>
        </w:rPr>
      </w:pPr>
    </w:p>
    <w:tbl>
      <w:tblPr>
        <w:tblW w:w="0" w:type="auto"/>
        <w:jc w:val="center"/>
        <w:tblInd w:w="-1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7"/>
        <w:gridCol w:w="6480"/>
        <w:gridCol w:w="1754"/>
      </w:tblGrid>
      <w:tr w:rsidR="000E18B8" w:rsidRPr="009D4E09" w:rsidTr="000352E9">
        <w:trPr>
          <w:trHeight w:val="298"/>
          <w:jc w:val="center"/>
        </w:trPr>
        <w:tc>
          <w:tcPr>
            <w:tcW w:w="437" w:type="dxa"/>
            <w:shd w:val="clear" w:color="auto" w:fill="B3B3B3"/>
          </w:tcPr>
          <w:p w:rsidR="000E18B8" w:rsidRPr="009D4E09" w:rsidRDefault="000E18B8" w:rsidP="000352E9">
            <w:pPr>
              <w:spacing w:after="120"/>
              <w:jc w:val="both"/>
              <w:rPr>
                <w:rFonts w:cs="Arial"/>
                <w:b/>
                <w:iCs/>
                <w:sz w:val="22"/>
                <w:szCs w:val="22"/>
              </w:rPr>
            </w:pPr>
          </w:p>
        </w:tc>
        <w:tc>
          <w:tcPr>
            <w:tcW w:w="6480" w:type="dxa"/>
            <w:vAlign w:val="center"/>
          </w:tcPr>
          <w:p w:rsidR="000E18B8" w:rsidRPr="009D4E09" w:rsidRDefault="000E18B8" w:rsidP="000352E9">
            <w:pPr>
              <w:spacing w:after="120"/>
              <w:jc w:val="center"/>
              <w:rPr>
                <w:rFonts w:cs="Arial"/>
                <w:b/>
                <w:iCs/>
                <w:sz w:val="22"/>
                <w:szCs w:val="22"/>
              </w:rPr>
            </w:pPr>
            <w:r w:rsidRPr="009D4E09">
              <w:rPr>
                <w:rFonts w:cs="Arial"/>
                <w:b/>
                <w:iCs/>
                <w:sz w:val="22"/>
                <w:szCs w:val="22"/>
              </w:rPr>
              <w:t>Non Specified Investment Category</w:t>
            </w:r>
          </w:p>
        </w:tc>
        <w:tc>
          <w:tcPr>
            <w:tcW w:w="1754" w:type="dxa"/>
            <w:vAlign w:val="center"/>
          </w:tcPr>
          <w:p w:rsidR="000E18B8" w:rsidRPr="009D4E09" w:rsidRDefault="000E18B8" w:rsidP="000352E9">
            <w:pPr>
              <w:spacing w:after="120"/>
              <w:jc w:val="center"/>
              <w:rPr>
                <w:rFonts w:cs="Arial"/>
                <w:b/>
                <w:iCs/>
                <w:sz w:val="22"/>
                <w:szCs w:val="22"/>
              </w:rPr>
            </w:pPr>
            <w:r w:rsidRPr="009D4E09">
              <w:rPr>
                <w:rFonts w:cs="Arial"/>
                <w:b/>
                <w:iCs/>
                <w:sz w:val="22"/>
                <w:szCs w:val="22"/>
              </w:rPr>
              <w:t>Limit (£ or %)</w:t>
            </w:r>
          </w:p>
        </w:tc>
      </w:tr>
      <w:tr w:rsidR="000E18B8" w:rsidRPr="009D4E09" w:rsidTr="000352E9">
        <w:trPr>
          <w:jc w:val="center"/>
        </w:trPr>
        <w:tc>
          <w:tcPr>
            <w:tcW w:w="437" w:type="dxa"/>
          </w:tcPr>
          <w:p w:rsidR="000E18B8" w:rsidRPr="009D4E09" w:rsidRDefault="000E18B8" w:rsidP="000E18B8">
            <w:pPr>
              <w:numPr>
                <w:ilvl w:val="1"/>
                <w:numId w:val="19"/>
              </w:numPr>
              <w:tabs>
                <w:tab w:val="clear" w:pos="502"/>
                <w:tab w:val="num" w:pos="360"/>
                <w:tab w:val="num" w:pos="540"/>
              </w:tabs>
              <w:spacing w:after="120"/>
              <w:ind w:left="0" w:firstLine="0"/>
              <w:jc w:val="both"/>
              <w:rPr>
                <w:rFonts w:cs="Arial"/>
                <w:sz w:val="22"/>
                <w:szCs w:val="22"/>
              </w:rPr>
            </w:pPr>
          </w:p>
        </w:tc>
        <w:tc>
          <w:tcPr>
            <w:tcW w:w="6480" w:type="dxa"/>
          </w:tcPr>
          <w:p w:rsidR="000E18B8" w:rsidRPr="009D4E09" w:rsidRDefault="000E18B8" w:rsidP="000352E9">
            <w:pPr>
              <w:spacing w:after="120"/>
              <w:jc w:val="both"/>
              <w:rPr>
                <w:rFonts w:cs="Arial"/>
                <w:iCs/>
                <w:sz w:val="22"/>
                <w:szCs w:val="22"/>
              </w:rPr>
            </w:pPr>
            <w:r w:rsidRPr="009D4E09">
              <w:rPr>
                <w:rFonts w:cs="Arial"/>
                <w:sz w:val="22"/>
                <w:szCs w:val="22"/>
              </w:rPr>
              <w:t xml:space="preserve">Any bank or building society that has </w:t>
            </w:r>
            <w:r w:rsidRPr="009D4E09">
              <w:rPr>
                <w:rFonts w:cs="Arial"/>
                <w:iCs/>
                <w:sz w:val="22"/>
                <w:szCs w:val="22"/>
              </w:rPr>
              <w:t>a minimum long term credit rating of</w:t>
            </w:r>
            <w:r w:rsidRPr="009D4E09">
              <w:rPr>
                <w:rFonts w:cs="Arial"/>
                <w:sz w:val="22"/>
                <w:szCs w:val="22"/>
              </w:rPr>
              <w:t xml:space="preserve"> A (or equivalent), for deposits with a maturity of greater than one year (including forward deals in excess of one year from inception to repayment).</w:t>
            </w:r>
          </w:p>
        </w:tc>
        <w:tc>
          <w:tcPr>
            <w:tcW w:w="1754" w:type="dxa"/>
            <w:vAlign w:val="center"/>
          </w:tcPr>
          <w:p w:rsidR="000E18B8" w:rsidRPr="009D4E09" w:rsidRDefault="000E18B8" w:rsidP="000352E9">
            <w:pPr>
              <w:spacing w:after="120"/>
              <w:jc w:val="center"/>
              <w:rPr>
                <w:rFonts w:cs="Arial"/>
                <w:sz w:val="22"/>
                <w:szCs w:val="22"/>
              </w:rPr>
            </w:pPr>
            <w:r w:rsidRPr="009D4E09">
              <w:rPr>
                <w:rFonts w:cs="Arial"/>
                <w:sz w:val="22"/>
                <w:szCs w:val="22"/>
              </w:rPr>
              <w:t xml:space="preserve">£5m </w:t>
            </w:r>
          </w:p>
          <w:p w:rsidR="000E18B8" w:rsidRPr="009D4E09" w:rsidRDefault="000E18B8" w:rsidP="000352E9">
            <w:pPr>
              <w:spacing w:after="120"/>
              <w:jc w:val="center"/>
              <w:rPr>
                <w:rFonts w:cs="Arial"/>
                <w:iCs/>
                <w:sz w:val="22"/>
                <w:szCs w:val="22"/>
                <w:highlight w:val="yellow"/>
              </w:rPr>
            </w:pPr>
          </w:p>
        </w:tc>
      </w:tr>
      <w:tr w:rsidR="000E18B8" w:rsidRPr="009D4E09" w:rsidTr="000352E9">
        <w:trPr>
          <w:jc w:val="center"/>
        </w:trPr>
        <w:tc>
          <w:tcPr>
            <w:tcW w:w="437" w:type="dxa"/>
          </w:tcPr>
          <w:p w:rsidR="000E18B8" w:rsidRPr="009D4E09" w:rsidRDefault="000E18B8" w:rsidP="000E18B8">
            <w:pPr>
              <w:numPr>
                <w:ilvl w:val="1"/>
                <w:numId w:val="19"/>
              </w:numPr>
              <w:tabs>
                <w:tab w:val="clear" w:pos="502"/>
                <w:tab w:val="num" w:pos="360"/>
                <w:tab w:val="num" w:pos="540"/>
              </w:tabs>
              <w:spacing w:after="120"/>
              <w:ind w:left="0" w:firstLine="0"/>
              <w:jc w:val="both"/>
              <w:rPr>
                <w:rFonts w:cs="Arial"/>
                <w:b/>
                <w:sz w:val="22"/>
                <w:szCs w:val="22"/>
              </w:rPr>
            </w:pPr>
          </w:p>
        </w:tc>
        <w:tc>
          <w:tcPr>
            <w:tcW w:w="6480" w:type="dxa"/>
          </w:tcPr>
          <w:p w:rsidR="000E18B8" w:rsidRPr="009D4E09" w:rsidRDefault="000E18B8" w:rsidP="000352E9">
            <w:pPr>
              <w:pStyle w:val="BodyText"/>
              <w:spacing w:after="120"/>
              <w:rPr>
                <w:rFonts w:cs="Arial"/>
                <w:b/>
                <w:iCs/>
                <w:szCs w:val="22"/>
              </w:rPr>
            </w:pPr>
            <w:r w:rsidRPr="009D4E09">
              <w:rPr>
                <w:rFonts w:cs="Arial"/>
                <w:iCs/>
                <w:szCs w:val="22"/>
              </w:rPr>
              <w:t xml:space="preserve">The Council’s own banker if it fails to meet the basic credit criteria.  </w:t>
            </w:r>
          </w:p>
        </w:tc>
        <w:tc>
          <w:tcPr>
            <w:tcW w:w="1754" w:type="dxa"/>
            <w:vAlign w:val="center"/>
          </w:tcPr>
          <w:p w:rsidR="000E18B8" w:rsidRPr="009D4E09" w:rsidRDefault="000E18B8" w:rsidP="000352E9">
            <w:pPr>
              <w:spacing w:after="120"/>
              <w:jc w:val="center"/>
              <w:rPr>
                <w:rFonts w:cs="Arial"/>
                <w:iCs/>
                <w:sz w:val="22"/>
                <w:szCs w:val="22"/>
                <w:highlight w:val="cyan"/>
              </w:rPr>
            </w:pPr>
            <w:r w:rsidRPr="009D4E09">
              <w:rPr>
                <w:rFonts w:cs="Arial"/>
                <w:iCs/>
                <w:sz w:val="22"/>
                <w:szCs w:val="22"/>
              </w:rPr>
              <w:t>In this instance balances will be minimised as much as possible</w:t>
            </w:r>
          </w:p>
        </w:tc>
      </w:tr>
      <w:tr w:rsidR="000E18B8" w:rsidRPr="009D4E09" w:rsidTr="000352E9">
        <w:trPr>
          <w:jc w:val="center"/>
        </w:trPr>
        <w:tc>
          <w:tcPr>
            <w:tcW w:w="437" w:type="dxa"/>
          </w:tcPr>
          <w:p w:rsidR="000E18B8" w:rsidRPr="009D4E09" w:rsidRDefault="000E18B8" w:rsidP="000E18B8">
            <w:pPr>
              <w:numPr>
                <w:ilvl w:val="1"/>
                <w:numId w:val="19"/>
              </w:numPr>
              <w:tabs>
                <w:tab w:val="clear" w:pos="502"/>
                <w:tab w:val="num" w:pos="360"/>
                <w:tab w:val="num" w:pos="540"/>
              </w:tabs>
              <w:spacing w:after="120"/>
              <w:ind w:left="0" w:firstLine="0"/>
              <w:jc w:val="both"/>
              <w:rPr>
                <w:rFonts w:cs="Arial"/>
                <w:sz w:val="22"/>
                <w:szCs w:val="22"/>
              </w:rPr>
            </w:pPr>
          </w:p>
        </w:tc>
        <w:tc>
          <w:tcPr>
            <w:tcW w:w="6480" w:type="dxa"/>
          </w:tcPr>
          <w:p w:rsidR="000E18B8" w:rsidRPr="009D4E09" w:rsidRDefault="000E18B8" w:rsidP="000352E9">
            <w:pPr>
              <w:spacing w:after="120"/>
              <w:jc w:val="both"/>
              <w:rPr>
                <w:rFonts w:cs="Arial"/>
                <w:sz w:val="22"/>
                <w:szCs w:val="22"/>
              </w:rPr>
            </w:pPr>
            <w:r w:rsidRPr="009D4E09">
              <w:rPr>
                <w:rFonts w:cs="Arial"/>
                <w:sz w:val="22"/>
                <w:szCs w:val="22"/>
              </w:rPr>
              <w:t>Building Societies not meeting the basic security requirements under the specified investments.</w:t>
            </w:r>
          </w:p>
          <w:p w:rsidR="000E18B8" w:rsidRPr="009D4E09" w:rsidRDefault="000E18B8" w:rsidP="000352E9">
            <w:pPr>
              <w:spacing w:after="120"/>
              <w:jc w:val="both"/>
              <w:rPr>
                <w:rFonts w:cs="Arial"/>
                <w:iCs/>
                <w:sz w:val="22"/>
                <w:szCs w:val="22"/>
              </w:rPr>
            </w:pPr>
            <w:r w:rsidRPr="009D4E09">
              <w:rPr>
                <w:rFonts w:cs="Arial"/>
                <w:sz w:val="22"/>
                <w:szCs w:val="22"/>
              </w:rPr>
              <w:t>The operation of some building societies does not require a credit rating, although in every other respect the security of the society would match similarly sized societies with ratings.  The Council may use such building societies which were originally considered Eligible Institutions and have a minimum asset size of £5,000</w:t>
            </w:r>
            <w:r w:rsidR="00DF264D" w:rsidRPr="009D4E09">
              <w:rPr>
                <w:rFonts w:cs="Arial"/>
                <w:sz w:val="22"/>
                <w:szCs w:val="22"/>
              </w:rPr>
              <w:t>M</w:t>
            </w:r>
            <w:r w:rsidRPr="009D4E09">
              <w:rPr>
                <w:rFonts w:cs="Arial"/>
                <w:sz w:val="22"/>
                <w:szCs w:val="22"/>
              </w:rPr>
              <w:t xml:space="preserve">, but will restrict these </w:t>
            </w:r>
            <w:r w:rsidR="006E77FC" w:rsidRPr="009D4E09">
              <w:rPr>
                <w:rFonts w:cs="Arial"/>
                <w:sz w:val="22"/>
                <w:szCs w:val="22"/>
              </w:rPr>
              <w:t>types</w:t>
            </w:r>
            <w:r w:rsidRPr="009D4E09">
              <w:rPr>
                <w:rFonts w:cs="Arial"/>
                <w:sz w:val="22"/>
                <w:szCs w:val="22"/>
              </w:rPr>
              <w:t xml:space="preserve"> of investments to £2m for up to six months.</w:t>
            </w:r>
          </w:p>
        </w:tc>
        <w:tc>
          <w:tcPr>
            <w:tcW w:w="1754" w:type="dxa"/>
            <w:vAlign w:val="center"/>
          </w:tcPr>
          <w:p w:rsidR="000E18B8" w:rsidRPr="009D4E09" w:rsidRDefault="000E18B8" w:rsidP="000352E9">
            <w:pPr>
              <w:spacing w:after="120"/>
              <w:jc w:val="center"/>
              <w:rPr>
                <w:rFonts w:cs="Arial"/>
                <w:iCs/>
                <w:sz w:val="22"/>
                <w:szCs w:val="22"/>
              </w:rPr>
            </w:pPr>
            <w:r w:rsidRPr="009D4E09">
              <w:rPr>
                <w:rFonts w:cs="Arial"/>
                <w:iCs/>
                <w:sz w:val="22"/>
                <w:szCs w:val="22"/>
              </w:rPr>
              <w:t>£2m</w:t>
            </w:r>
          </w:p>
          <w:p w:rsidR="000E18B8" w:rsidRPr="009D4E09" w:rsidRDefault="000E18B8" w:rsidP="000352E9">
            <w:pPr>
              <w:spacing w:after="120"/>
              <w:rPr>
                <w:rFonts w:cs="Arial"/>
                <w:iCs/>
                <w:sz w:val="22"/>
                <w:szCs w:val="22"/>
                <w:highlight w:val="yellow"/>
              </w:rPr>
            </w:pPr>
          </w:p>
        </w:tc>
      </w:tr>
      <w:tr w:rsidR="000E18B8" w:rsidRPr="009D4E09" w:rsidTr="000352E9">
        <w:trPr>
          <w:jc w:val="center"/>
        </w:trPr>
        <w:tc>
          <w:tcPr>
            <w:tcW w:w="437" w:type="dxa"/>
          </w:tcPr>
          <w:p w:rsidR="000E18B8" w:rsidRPr="009D4E09" w:rsidRDefault="000E18B8" w:rsidP="000E18B8">
            <w:pPr>
              <w:numPr>
                <w:ilvl w:val="1"/>
                <w:numId w:val="19"/>
              </w:numPr>
              <w:tabs>
                <w:tab w:val="clear" w:pos="502"/>
                <w:tab w:val="num" w:pos="360"/>
                <w:tab w:val="num" w:pos="540"/>
              </w:tabs>
              <w:spacing w:after="120"/>
              <w:ind w:left="0" w:firstLine="0"/>
              <w:jc w:val="both"/>
              <w:rPr>
                <w:rFonts w:cs="Arial"/>
                <w:sz w:val="22"/>
                <w:szCs w:val="22"/>
              </w:rPr>
            </w:pPr>
          </w:p>
        </w:tc>
        <w:tc>
          <w:tcPr>
            <w:tcW w:w="6480" w:type="dxa"/>
          </w:tcPr>
          <w:p w:rsidR="000E18B8" w:rsidRPr="009D4E09" w:rsidRDefault="000E18B8" w:rsidP="000352E9">
            <w:pPr>
              <w:spacing w:after="120"/>
              <w:jc w:val="both"/>
              <w:rPr>
                <w:rFonts w:cs="Arial"/>
                <w:sz w:val="22"/>
                <w:szCs w:val="22"/>
              </w:rPr>
            </w:pPr>
            <w:r w:rsidRPr="009D4E09">
              <w:rPr>
                <w:rFonts w:cs="Arial"/>
                <w:sz w:val="22"/>
                <w:szCs w:val="22"/>
              </w:rPr>
              <w:t>Specific Public Bodies</w:t>
            </w:r>
          </w:p>
          <w:p w:rsidR="000E18B8" w:rsidRPr="009D4E09" w:rsidRDefault="000E18B8" w:rsidP="000352E9">
            <w:pPr>
              <w:spacing w:after="120"/>
              <w:jc w:val="both"/>
              <w:rPr>
                <w:rFonts w:cs="Arial"/>
                <w:sz w:val="22"/>
                <w:szCs w:val="22"/>
              </w:rPr>
            </w:pPr>
            <w:r w:rsidRPr="009D4E09">
              <w:rPr>
                <w:rFonts w:cs="Arial"/>
                <w:sz w:val="22"/>
                <w:szCs w:val="22"/>
              </w:rPr>
              <w:t>The Council can seek Member approval to make loans to other public bodies for periods of more than one year.</w:t>
            </w:r>
          </w:p>
        </w:tc>
        <w:tc>
          <w:tcPr>
            <w:tcW w:w="1754" w:type="dxa"/>
            <w:vAlign w:val="center"/>
          </w:tcPr>
          <w:p w:rsidR="000E18B8" w:rsidRPr="009D4E09" w:rsidRDefault="000E18B8" w:rsidP="000352E9">
            <w:pPr>
              <w:spacing w:after="120"/>
              <w:jc w:val="center"/>
              <w:rPr>
                <w:rFonts w:cs="Arial"/>
                <w:iCs/>
                <w:sz w:val="22"/>
                <w:szCs w:val="22"/>
                <w:highlight w:val="yellow"/>
              </w:rPr>
            </w:pPr>
          </w:p>
          <w:p w:rsidR="000E18B8" w:rsidRPr="009D4E09" w:rsidRDefault="000E18B8" w:rsidP="000352E9">
            <w:pPr>
              <w:spacing w:after="120"/>
              <w:jc w:val="center"/>
              <w:rPr>
                <w:rFonts w:cs="Arial"/>
                <w:iCs/>
                <w:sz w:val="22"/>
                <w:szCs w:val="22"/>
                <w:highlight w:val="yellow"/>
              </w:rPr>
            </w:pPr>
            <w:r w:rsidRPr="009D4E09">
              <w:rPr>
                <w:rFonts w:cs="Arial"/>
                <w:iCs/>
                <w:sz w:val="22"/>
                <w:szCs w:val="22"/>
              </w:rPr>
              <w:t xml:space="preserve">£10m </w:t>
            </w:r>
          </w:p>
        </w:tc>
      </w:tr>
    </w:tbl>
    <w:p w:rsidR="000E18B8" w:rsidRPr="009D4E09" w:rsidRDefault="000E18B8" w:rsidP="000E18B8">
      <w:pPr>
        <w:jc w:val="both"/>
        <w:rPr>
          <w:rFonts w:cs="Arial"/>
          <w:iCs/>
          <w:color w:val="0000FF"/>
          <w:sz w:val="22"/>
          <w:szCs w:val="22"/>
        </w:rPr>
      </w:pPr>
    </w:p>
    <w:p w:rsidR="000E18B8" w:rsidRPr="009D4E09" w:rsidRDefault="000E18B8" w:rsidP="000E18B8">
      <w:pPr>
        <w:jc w:val="both"/>
        <w:rPr>
          <w:rFonts w:cs="Arial"/>
          <w:i/>
          <w:iCs/>
          <w:sz w:val="22"/>
          <w:szCs w:val="22"/>
        </w:rPr>
      </w:pPr>
      <w:r w:rsidRPr="009D4E09">
        <w:rPr>
          <w:rFonts w:cs="Arial"/>
          <w:sz w:val="22"/>
          <w:szCs w:val="22"/>
        </w:rPr>
        <w:t>In accordance with the Code, the Council has developed additional criteria to set the overall amount of monies which will be invested in these bodies. These criteria are defined in the Treasury Management Strategy.</w:t>
      </w:r>
      <w:r w:rsidRPr="009D4E09">
        <w:rPr>
          <w:rFonts w:cs="Arial"/>
          <w:i/>
          <w:iCs/>
          <w:sz w:val="22"/>
          <w:szCs w:val="22"/>
        </w:rPr>
        <w:t xml:space="preserve">  </w:t>
      </w:r>
    </w:p>
    <w:p w:rsidR="000E18B8" w:rsidRPr="009D4E09" w:rsidRDefault="000E18B8" w:rsidP="000E18B8">
      <w:pPr>
        <w:spacing w:before="120" w:after="120"/>
        <w:jc w:val="both"/>
        <w:rPr>
          <w:rFonts w:cs="Arial"/>
          <w:iCs/>
          <w:sz w:val="22"/>
          <w:szCs w:val="22"/>
        </w:rPr>
      </w:pPr>
      <w:r w:rsidRPr="009D4E09">
        <w:rPr>
          <w:rFonts w:cs="Arial"/>
          <w:iCs/>
          <w:sz w:val="22"/>
          <w:szCs w:val="22"/>
        </w:rPr>
        <w:t>In respect of category d this will only be considered after obtaining external advice and subsequent Member approval</w:t>
      </w:r>
      <w:r w:rsidR="005C1A19" w:rsidRPr="009D4E09">
        <w:rPr>
          <w:rFonts w:cs="Arial"/>
          <w:iCs/>
          <w:sz w:val="22"/>
          <w:szCs w:val="22"/>
        </w:rPr>
        <w:t>.</w:t>
      </w:r>
    </w:p>
    <w:p w:rsidR="005C1A19" w:rsidRPr="009D4E09" w:rsidRDefault="005C1A19" w:rsidP="000E18B8">
      <w:pPr>
        <w:spacing w:before="120" w:after="120"/>
        <w:jc w:val="both"/>
        <w:rPr>
          <w:rFonts w:cs="Arial"/>
          <w:iCs/>
          <w:sz w:val="22"/>
          <w:szCs w:val="22"/>
        </w:rPr>
      </w:pPr>
      <w:r w:rsidRPr="009D4E09">
        <w:rPr>
          <w:rFonts w:cs="Arial"/>
          <w:iCs/>
          <w:sz w:val="22"/>
          <w:szCs w:val="22"/>
        </w:rPr>
        <w:t>The Council will also consider investment in property in accordance with its Property Investment Strategy (</w:t>
      </w:r>
      <w:r w:rsidRPr="009D4E09">
        <w:rPr>
          <w:rFonts w:cs="Arial"/>
          <w:iCs/>
          <w:color w:val="4F81BD" w:themeColor="accent1"/>
          <w:sz w:val="22"/>
          <w:szCs w:val="22"/>
        </w:rPr>
        <w:t>to be developed</w:t>
      </w:r>
      <w:r w:rsidRPr="009D4E09">
        <w:rPr>
          <w:rFonts w:cs="Arial"/>
          <w:iCs/>
          <w:sz w:val="22"/>
          <w:szCs w:val="22"/>
        </w:rPr>
        <w:t xml:space="preserve">).  All property investments will be dependent on a standalone business case being proven.  </w:t>
      </w:r>
    </w:p>
    <w:p w:rsidR="000E18B8" w:rsidRPr="009D4E09" w:rsidRDefault="000E18B8" w:rsidP="000E18B8">
      <w:pPr>
        <w:tabs>
          <w:tab w:val="left" w:pos="0"/>
        </w:tabs>
        <w:ind w:hanging="1267"/>
        <w:jc w:val="both"/>
        <w:rPr>
          <w:rFonts w:cs="Arial"/>
          <w:color w:val="0000FF"/>
          <w:sz w:val="22"/>
          <w:szCs w:val="22"/>
        </w:rPr>
      </w:pPr>
      <w:r w:rsidRPr="009D4E09">
        <w:rPr>
          <w:rFonts w:cs="Arial"/>
          <w:color w:val="0000FF"/>
          <w:sz w:val="22"/>
          <w:szCs w:val="22"/>
        </w:rPr>
        <w:tab/>
      </w:r>
      <w:r w:rsidRPr="009D4E09">
        <w:rPr>
          <w:rFonts w:cs="Arial"/>
          <w:color w:val="0000FF"/>
          <w:sz w:val="22"/>
          <w:szCs w:val="22"/>
        </w:rPr>
        <w:tab/>
      </w:r>
    </w:p>
    <w:p w:rsidR="000E18B8" w:rsidRPr="009D4E09" w:rsidRDefault="000E18B8" w:rsidP="000E18B8">
      <w:pPr>
        <w:pStyle w:val="BodyText"/>
        <w:jc w:val="both"/>
        <w:outlineLvl w:val="0"/>
        <w:rPr>
          <w:rFonts w:cs="Arial"/>
          <w:szCs w:val="22"/>
        </w:rPr>
      </w:pPr>
      <w:r w:rsidRPr="009D4E09">
        <w:rPr>
          <w:rFonts w:cs="Arial"/>
          <w:b/>
          <w:bCs/>
          <w:szCs w:val="22"/>
        </w:rPr>
        <w:t>The Monitoring of Investment Counterparties</w:t>
      </w:r>
    </w:p>
    <w:p w:rsidR="000E18B8" w:rsidRPr="009D4E09" w:rsidRDefault="000E18B8" w:rsidP="000E18B8">
      <w:pPr>
        <w:tabs>
          <w:tab w:val="num" w:pos="709"/>
        </w:tabs>
        <w:ind w:left="1267" w:hanging="1267"/>
        <w:jc w:val="both"/>
        <w:rPr>
          <w:rFonts w:cs="Arial"/>
          <w:b/>
          <w:sz w:val="22"/>
          <w:szCs w:val="22"/>
        </w:rPr>
      </w:pPr>
    </w:p>
    <w:p w:rsidR="000E18B8" w:rsidRPr="009D4E09" w:rsidRDefault="000E18B8" w:rsidP="005C1A19">
      <w:pPr>
        <w:tabs>
          <w:tab w:val="num" w:pos="709"/>
        </w:tabs>
        <w:jc w:val="both"/>
        <w:rPr>
          <w:rFonts w:cs="Arial"/>
          <w:b/>
          <w:bCs/>
          <w:color w:val="0000FF"/>
          <w:sz w:val="16"/>
          <w:szCs w:val="16"/>
        </w:rPr>
      </w:pPr>
      <w:r w:rsidRPr="009D4E09">
        <w:rPr>
          <w:rFonts w:cs="Arial"/>
          <w:sz w:val="22"/>
          <w:szCs w:val="22"/>
        </w:rPr>
        <w:t xml:space="preserve">The credit </w:t>
      </w:r>
      <w:r w:rsidR="006E77FC" w:rsidRPr="009D4E09">
        <w:rPr>
          <w:rFonts w:cs="Arial"/>
          <w:sz w:val="22"/>
          <w:szCs w:val="22"/>
        </w:rPr>
        <w:t>rating of counterparties is</w:t>
      </w:r>
      <w:r w:rsidRPr="009D4E09">
        <w:rPr>
          <w:rFonts w:cs="Arial"/>
          <w:sz w:val="22"/>
          <w:szCs w:val="22"/>
        </w:rPr>
        <w:t xml:space="preserve"> monitored regularly. </w:t>
      </w:r>
      <w:r w:rsidR="005C1A19" w:rsidRPr="009D4E09">
        <w:rPr>
          <w:rFonts w:cs="Arial"/>
          <w:sz w:val="22"/>
          <w:szCs w:val="22"/>
        </w:rPr>
        <w:t xml:space="preserve"> </w:t>
      </w:r>
      <w:r w:rsidRPr="009D4E09">
        <w:rPr>
          <w:rFonts w:cs="Arial"/>
          <w:sz w:val="22"/>
          <w:szCs w:val="22"/>
        </w:rPr>
        <w:fldChar w:fldCharType="begin"/>
      </w:r>
      <w:r w:rsidRPr="009D4E09">
        <w:rPr>
          <w:rFonts w:cs="Arial"/>
          <w:sz w:val="22"/>
          <w:szCs w:val="22"/>
        </w:rPr>
        <w:instrText xml:space="preserve">  </w:instrText>
      </w:r>
      <w:r w:rsidRPr="009D4E09">
        <w:rPr>
          <w:rFonts w:cs="Arial"/>
          <w:sz w:val="22"/>
          <w:szCs w:val="22"/>
        </w:rPr>
        <w:fldChar w:fldCharType="end"/>
      </w:r>
      <w:r w:rsidRPr="009D4E09">
        <w:rPr>
          <w:rFonts w:cs="Arial"/>
          <w:sz w:val="22"/>
          <w:szCs w:val="22"/>
        </w:rPr>
        <w:t xml:space="preserve">The main rating agencies (Fitch, Moody’s and Standard &amp; Poor’s) provide credit ratings for financial institutions. </w:t>
      </w:r>
      <w:r w:rsidR="005C1A19" w:rsidRPr="009D4E09">
        <w:rPr>
          <w:rFonts w:cs="Arial"/>
          <w:sz w:val="22"/>
          <w:szCs w:val="22"/>
        </w:rPr>
        <w:t xml:space="preserve"> </w:t>
      </w:r>
      <w:r w:rsidRPr="009D4E09">
        <w:rPr>
          <w:rFonts w:cs="Arial"/>
          <w:sz w:val="22"/>
          <w:szCs w:val="22"/>
        </w:rPr>
        <w:t xml:space="preserve">The Council receives credit rating information (changes, rating watches and rating outlooks) from Capita Asset Services </w:t>
      </w:r>
      <w:r w:rsidR="005C1A19" w:rsidRPr="009D4E09">
        <w:rPr>
          <w:rFonts w:cs="Arial"/>
          <w:sz w:val="22"/>
          <w:szCs w:val="22"/>
        </w:rPr>
        <w:t xml:space="preserve">Treasury Solutions </w:t>
      </w:r>
      <w:r w:rsidRPr="009D4E09">
        <w:rPr>
          <w:rFonts w:cs="Arial"/>
          <w:sz w:val="22"/>
          <w:szCs w:val="22"/>
        </w:rPr>
        <w:t xml:space="preserve">as and when ratings change, and counterparties are checked promptly. </w:t>
      </w:r>
      <w:r w:rsidR="005C1A19" w:rsidRPr="009D4E09">
        <w:rPr>
          <w:rFonts w:cs="Arial"/>
          <w:sz w:val="22"/>
          <w:szCs w:val="22"/>
        </w:rPr>
        <w:t xml:space="preserve"> </w:t>
      </w:r>
      <w:r w:rsidRPr="009D4E09">
        <w:rPr>
          <w:rFonts w:cs="Arial"/>
          <w:sz w:val="22"/>
          <w:szCs w:val="22"/>
        </w:rPr>
        <w:t xml:space="preserve">The Council considers </w:t>
      </w:r>
      <w:r w:rsidRPr="009D4E09">
        <w:rPr>
          <w:rFonts w:cs="Arial"/>
          <w:bCs/>
          <w:sz w:val="22"/>
          <w:szCs w:val="22"/>
        </w:rPr>
        <w:t>minimum short term ratings</w:t>
      </w:r>
      <w:r w:rsidR="006E77FC" w:rsidRPr="009D4E09">
        <w:rPr>
          <w:rFonts w:cs="Arial"/>
          <w:bCs/>
          <w:sz w:val="22"/>
          <w:szCs w:val="22"/>
        </w:rPr>
        <w:t> </w:t>
      </w:r>
      <w:r w:rsidR="006E77FC" w:rsidRPr="009D4E09">
        <w:rPr>
          <w:rFonts w:cs="Arial"/>
          <w:sz w:val="22"/>
          <w:szCs w:val="22"/>
        </w:rPr>
        <w:t>as</w:t>
      </w:r>
      <w:r w:rsidRPr="009D4E09">
        <w:rPr>
          <w:rFonts w:cs="Arial"/>
          <w:sz w:val="22"/>
          <w:szCs w:val="22"/>
        </w:rPr>
        <w:t xml:space="preserve"> key criteria in the choice of creditworthy investment counterparties</w:t>
      </w:r>
      <w:r w:rsidR="005C1A19" w:rsidRPr="009D4E09">
        <w:rPr>
          <w:rFonts w:cs="Arial"/>
          <w:sz w:val="22"/>
          <w:szCs w:val="22"/>
        </w:rPr>
        <w:t>;</w:t>
      </w:r>
      <w:r w:rsidRPr="009D4E09">
        <w:rPr>
          <w:rFonts w:cs="Arial"/>
          <w:sz w:val="22"/>
          <w:szCs w:val="22"/>
        </w:rPr>
        <w:t xml:space="preserve"> F1+, P-1 and A-1+ are the highest short term credit ratings of Fitch, Moody's and Standard </w:t>
      </w:r>
      <w:r w:rsidR="009C0AD4" w:rsidRPr="009D4E09">
        <w:rPr>
          <w:rFonts w:cs="Arial"/>
          <w:sz w:val="22"/>
          <w:szCs w:val="22"/>
        </w:rPr>
        <w:t>&amp;</w:t>
      </w:r>
      <w:r w:rsidRPr="009D4E09">
        <w:rPr>
          <w:rFonts w:cs="Arial"/>
          <w:sz w:val="22"/>
          <w:szCs w:val="22"/>
        </w:rPr>
        <w:t xml:space="preserve"> Poor's respectively. </w:t>
      </w:r>
      <w:r w:rsidR="005C1A19" w:rsidRPr="009D4E09">
        <w:rPr>
          <w:rFonts w:cs="Arial"/>
          <w:sz w:val="22"/>
          <w:szCs w:val="22"/>
        </w:rPr>
        <w:t xml:space="preserve"> </w:t>
      </w:r>
      <w:r w:rsidRPr="009D4E09">
        <w:rPr>
          <w:rFonts w:cs="Arial"/>
          <w:sz w:val="22"/>
          <w:szCs w:val="22"/>
        </w:rPr>
        <w:t>Minimum Short Term Ratings, where given, must be met</w:t>
      </w:r>
      <w:r w:rsidR="005C1A19" w:rsidRPr="009D4E09">
        <w:rPr>
          <w:rFonts w:cs="Arial"/>
          <w:sz w:val="22"/>
          <w:szCs w:val="22"/>
        </w:rPr>
        <w:t xml:space="preserve"> </w:t>
      </w:r>
      <w:r w:rsidRPr="009D4E09">
        <w:rPr>
          <w:rFonts w:cs="Arial"/>
          <w:sz w:val="22"/>
          <w:szCs w:val="22"/>
        </w:rPr>
        <w:t xml:space="preserve">for all categories. </w:t>
      </w:r>
      <w:r w:rsidR="005C1A19" w:rsidRPr="009D4E09">
        <w:rPr>
          <w:rFonts w:cs="Arial"/>
          <w:sz w:val="22"/>
          <w:szCs w:val="22"/>
        </w:rPr>
        <w:t xml:space="preserve"> </w:t>
      </w:r>
      <w:r w:rsidRPr="009D4E09">
        <w:rPr>
          <w:rFonts w:cs="Arial"/>
          <w:sz w:val="22"/>
          <w:szCs w:val="22"/>
        </w:rPr>
        <w:t xml:space="preserve">On occasion ratings may be downgraded when an investment has already been made. </w:t>
      </w:r>
      <w:r w:rsidR="005C1A19" w:rsidRPr="009D4E09">
        <w:rPr>
          <w:rFonts w:cs="Arial"/>
          <w:sz w:val="22"/>
          <w:szCs w:val="22"/>
        </w:rPr>
        <w:t xml:space="preserve"> </w:t>
      </w:r>
      <w:r w:rsidRPr="009D4E09">
        <w:rPr>
          <w:rFonts w:cs="Arial"/>
          <w:sz w:val="22"/>
          <w:szCs w:val="22"/>
        </w:rPr>
        <w:t xml:space="preserve">The criteria used are such that a minor downgrading should not affect the full receipt of the principal and interest. </w:t>
      </w:r>
      <w:r w:rsidR="005C1A19" w:rsidRPr="009D4E09">
        <w:rPr>
          <w:rFonts w:cs="Arial"/>
          <w:sz w:val="22"/>
          <w:szCs w:val="22"/>
        </w:rPr>
        <w:t xml:space="preserve"> </w:t>
      </w:r>
      <w:r w:rsidRPr="009D4E09">
        <w:rPr>
          <w:rFonts w:cs="Arial"/>
          <w:sz w:val="22"/>
          <w:szCs w:val="22"/>
        </w:rPr>
        <w:t>Any counterparty failing to meet the criteria will be removed from the list immediately by the Director of Finance, and if required new counterparties which meet the criteria will be added to the list.</w:t>
      </w:r>
    </w:p>
    <w:p w:rsidR="000E18B8" w:rsidRPr="009D4E09" w:rsidRDefault="000E18B8" w:rsidP="000E18B8">
      <w:pPr>
        <w:spacing w:before="60"/>
        <w:rPr>
          <w:rFonts w:cs="Arial"/>
          <w:b/>
          <w:bCs/>
          <w:sz w:val="16"/>
          <w:szCs w:val="16"/>
        </w:rPr>
        <w:sectPr w:rsidR="000E18B8" w:rsidRPr="009D4E09" w:rsidSect="000352E9">
          <w:pgSz w:w="11906" w:h="16838"/>
          <w:pgMar w:top="1079" w:right="1286" w:bottom="899" w:left="1440" w:header="708" w:footer="708" w:gutter="0"/>
          <w:cols w:space="708"/>
          <w:docGrid w:linePitch="360"/>
        </w:sectPr>
      </w:pPr>
    </w:p>
    <w:tbl>
      <w:tblPr>
        <w:tblW w:w="15011" w:type="dxa"/>
        <w:tblInd w:w="-318" w:type="dxa"/>
        <w:tblLayout w:type="fixed"/>
        <w:tblLook w:val="0000" w:firstRow="0" w:lastRow="0" w:firstColumn="0" w:lastColumn="0" w:noHBand="0" w:noVBand="0"/>
      </w:tblPr>
      <w:tblGrid>
        <w:gridCol w:w="3490"/>
        <w:gridCol w:w="963"/>
        <w:gridCol w:w="964"/>
        <w:gridCol w:w="963"/>
        <w:gridCol w:w="1570"/>
        <w:gridCol w:w="1571"/>
        <w:gridCol w:w="1571"/>
        <w:gridCol w:w="1703"/>
        <w:gridCol w:w="1675"/>
        <w:gridCol w:w="541"/>
      </w:tblGrid>
      <w:tr w:rsidR="000E18B8" w:rsidRPr="009D4E09" w:rsidTr="000352E9">
        <w:trPr>
          <w:trHeight w:val="300"/>
        </w:trPr>
        <w:tc>
          <w:tcPr>
            <w:tcW w:w="3490" w:type="dxa"/>
            <w:tcBorders>
              <w:left w:val="single" w:sz="4" w:space="0" w:color="auto"/>
              <w:bottom w:val="nil"/>
              <w:right w:val="nil"/>
            </w:tcBorders>
            <w:shd w:val="clear" w:color="auto" w:fill="auto"/>
            <w:vAlign w:val="center"/>
          </w:tcPr>
          <w:p w:rsidR="000E18B8" w:rsidRPr="009D4E09" w:rsidRDefault="000E18B8" w:rsidP="000352E9">
            <w:pPr>
              <w:spacing w:before="60"/>
              <w:rPr>
                <w:rFonts w:cs="Arial"/>
                <w:b/>
                <w:bCs/>
                <w:sz w:val="16"/>
                <w:szCs w:val="16"/>
              </w:rPr>
            </w:pPr>
            <w:r w:rsidRPr="009D4E09">
              <w:rPr>
                <w:rFonts w:cs="Arial"/>
                <w:b/>
                <w:bCs/>
                <w:sz w:val="16"/>
                <w:szCs w:val="16"/>
              </w:rPr>
              <w:lastRenderedPageBreak/>
              <w:t>Institution Type</w:t>
            </w:r>
          </w:p>
        </w:tc>
        <w:tc>
          <w:tcPr>
            <w:tcW w:w="2890" w:type="dxa"/>
            <w:gridSpan w:val="3"/>
            <w:tcBorders>
              <w:left w:val="single" w:sz="4" w:space="0" w:color="auto"/>
              <w:bottom w:val="single" w:sz="4" w:space="0" w:color="auto"/>
              <w:right w:val="single" w:sz="4" w:space="0" w:color="auto"/>
            </w:tcBorders>
            <w:shd w:val="clear" w:color="auto" w:fill="auto"/>
            <w:noWrap/>
            <w:vAlign w:val="center"/>
          </w:tcPr>
          <w:p w:rsidR="000E18B8" w:rsidRPr="009D4E09" w:rsidRDefault="000E18B8" w:rsidP="000352E9">
            <w:pPr>
              <w:spacing w:before="60"/>
              <w:rPr>
                <w:rFonts w:cs="Arial"/>
                <w:b/>
                <w:bCs/>
                <w:sz w:val="16"/>
                <w:szCs w:val="16"/>
              </w:rPr>
            </w:pPr>
            <w:r w:rsidRPr="009D4E09">
              <w:rPr>
                <w:rFonts w:cs="Arial"/>
                <w:b/>
                <w:bCs/>
                <w:sz w:val="16"/>
                <w:szCs w:val="16"/>
              </w:rPr>
              <w:t>Max Amount: </w:t>
            </w:r>
          </w:p>
        </w:tc>
        <w:tc>
          <w:tcPr>
            <w:tcW w:w="1570" w:type="dxa"/>
            <w:tcBorders>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£5m</w:t>
            </w:r>
          </w:p>
        </w:tc>
        <w:tc>
          <w:tcPr>
            <w:tcW w:w="1571" w:type="dxa"/>
            <w:tcBorders>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£10m</w:t>
            </w:r>
          </w:p>
        </w:tc>
        <w:tc>
          <w:tcPr>
            <w:tcW w:w="1571" w:type="dxa"/>
            <w:tcBorders>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£10m</w:t>
            </w:r>
          </w:p>
        </w:tc>
        <w:tc>
          <w:tcPr>
            <w:tcW w:w="1703" w:type="dxa"/>
            <w:tcBorders>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£10m</w:t>
            </w:r>
          </w:p>
        </w:tc>
        <w:tc>
          <w:tcPr>
            <w:tcW w:w="1675" w:type="dxa"/>
            <w:tcBorders>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£10m</w:t>
            </w:r>
          </w:p>
        </w:tc>
        <w:tc>
          <w:tcPr>
            <w:tcW w:w="541" w:type="dxa"/>
            <w:vMerge w:val="restart"/>
            <w:tcBorders>
              <w:left w:val="nil"/>
            </w:tcBorders>
            <w:shd w:val="clear" w:color="auto" w:fill="auto"/>
            <w:textDirection w:val="tbRl"/>
          </w:tcPr>
          <w:p w:rsidR="000E18B8" w:rsidRPr="009D4E09" w:rsidRDefault="000E18B8" w:rsidP="000352E9">
            <w:pPr>
              <w:spacing w:before="60"/>
              <w:ind w:left="113" w:right="113"/>
              <w:rPr>
                <w:rFonts w:cs="Arial"/>
                <w:b/>
                <w:bCs/>
                <w:szCs w:val="24"/>
              </w:rPr>
            </w:pPr>
            <w:r w:rsidRPr="009D4E09">
              <w:rPr>
                <w:rFonts w:cs="Arial"/>
                <w:b/>
                <w:bCs/>
                <w:szCs w:val="24"/>
              </w:rPr>
              <w:t>Schedule 1</w:t>
            </w: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b/>
                <w:bCs/>
                <w:sz w:val="16"/>
                <w:szCs w:val="16"/>
              </w:rPr>
            </w:pPr>
          </w:p>
          <w:p w:rsidR="000E18B8" w:rsidRPr="009D4E09" w:rsidRDefault="000E18B8" w:rsidP="000352E9">
            <w:pPr>
              <w:spacing w:before="60"/>
              <w:ind w:left="113" w:right="113"/>
              <w:rPr>
                <w:rFonts w:cs="Arial"/>
                <w:b/>
                <w:bCs/>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sz w:val="16"/>
                <w:szCs w:val="16"/>
              </w:rPr>
            </w:pPr>
          </w:p>
          <w:p w:rsidR="000E18B8" w:rsidRPr="009D4E09" w:rsidRDefault="000E18B8" w:rsidP="000352E9">
            <w:pPr>
              <w:spacing w:before="60"/>
              <w:ind w:left="113" w:right="113"/>
              <w:rPr>
                <w:rFonts w:cs="Arial"/>
                <w:b/>
                <w:bCs/>
                <w:sz w:val="16"/>
                <w:szCs w:val="16"/>
              </w:rPr>
            </w:pPr>
          </w:p>
        </w:tc>
      </w:tr>
      <w:tr w:rsidR="000E18B8" w:rsidRPr="009D4E09" w:rsidTr="000352E9">
        <w:trPr>
          <w:trHeight w:val="300"/>
        </w:trPr>
        <w:tc>
          <w:tcPr>
            <w:tcW w:w="3490" w:type="dxa"/>
            <w:tcBorders>
              <w:top w:val="nil"/>
              <w:left w:val="single" w:sz="4" w:space="0" w:color="auto"/>
              <w:bottom w:val="single" w:sz="4" w:space="0" w:color="auto"/>
              <w:right w:val="nil"/>
            </w:tcBorders>
            <w:shd w:val="clear" w:color="auto" w:fill="auto"/>
            <w:vAlign w:val="center"/>
          </w:tcPr>
          <w:p w:rsidR="000E18B8" w:rsidRPr="009D4E09" w:rsidRDefault="000E18B8" w:rsidP="000352E9">
            <w:pPr>
              <w:spacing w:before="60"/>
              <w:rPr>
                <w:rFonts w:cs="Arial"/>
                <w:b/>
                <w:bCs/>
                <w:sz w:val="16"/>
                <w:szCs w:val="16"/>
              </w:rPr>
            </w:pPr>
            <w:r w:rsidRPr="009D4E09">
              <w:rPr>
                <w:rFonts w:cs="Arial"/>
                <w:b/>
                <w:bCs/>
                <w:sz w:val="16"/>
                <w:szCs w:val="16"/>
              </w:rPr>
              <w:t> </w:t>
            </w:r>
          </w:p>
        </w:tc>
        <w:tc>
          <w:tcPr>
            <w:tcW w:w="2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E18B8" w:rsidRPr="009D4E09" w:rsidRDefault="000E18B8" w:rsidP="000352E9">
            <w:pPr>
              <w:spacing w:before="60"/>
              <w:rPr>
                <w:rFonts w:cs="Arial"/>
                <w:b/>
                <w:bCs/>
                <w:sz w:val="16"/>
                <w:szCs w:val="16"/>
              </w:rPr>
            </w:pPr>
            <w:r w:rsidRPr="009D4E09">
              <w:rPr>
                <w:rFonts w:cs="Arial"/>
                <w:b/>
                <w:bCs/>
                <w:sz w:val="16"/>
                <w:szCs w:val="16"/>
              </w:rPr>
              <w:t>Max Length: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10 Years</w:t>
            </w:r>
          </w:p>
        </w:tc>
        <w:tc>
          <w:tcPr>
            <w:tcW w:w="1571" w:type="dxa"/>
            <w:tcBorders>
              <w:top w:val="single" w:sz="4" w:space="0" w:color="auto"/>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364 Days</w:t>
            </w:r>
          </w:p>
        </w:tc>
        <w:tc>
          <w:tcPr>
            <w:tcW w:w="1571" w:type="dxa"/>
            <w:tcBorders>
              <w:top w:val="single" w:sz="4" w:space="0" w:color="auto"/>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6 Months</w:t>
            </w:r>
          </w:p>
        </w:tc>
        <w:tc>
          <w:tcPr>
            <w:tcW w:w="1703" w:type="dxa"/>
            <w:tcBorders>
              <w:top w:val="single" w:sz="4" w:space="0" w:color="auto"/>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3 Months</w:t>
            </w:r>
          </w:p>
        </w:tc>
        <w:tc>
          <w:tcPr>
            <w:tcW w:w="1675" w:type="dxa"/>
            <w:tcBorders>
              <w:top w:val="single" w:sz="4" w:space="0" w:color="auto"/>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b/>
                <w:bCs/>
                <w:sz w:val="16"/>
                <w:szCs w:val="16"/>
              </w:rPr>
            </w:pPr>
            <w:r w:rsidRPr="009D4E09">
              <w:rPr>
                <w:rFonts w:cs="Arial"/>
                <w:b/>
                <w:bCs/>
                <w:sz w:val="16"/>
                <w:szCs w:val="16"/>
              </w:rPr>
              <w:t>1 Month</w:t>
            </w:r>
          </w:p>
        </w:tc>
        <w:tc>
          <w:tcPr>
            <w:tcW w:w="541" w:type="dxa"/>
            <w:vMerge/>
            <w:tcBorders>
              <w:left w:val="nil"/>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rPr>
                <w:rFonts w:cs="Arial"/>
                <w:b/>
                <w:bCs/>
                <w:sz w:val="16"/>
                <w:szCs w:val="16"/>
              </w:rPr>
            </w:pPr>
            <w:r w:rsidRPr="009D4E09">
              <w:rPr>
                <w:rFonts w:cs="Arial"/>
                <w:b/>
                <w:bCs/>
                <w:sz w:val="16"/>
                <w:szCs w:val="16"/>
              </w:rPr>
              <w:t> </w:t>
            </w:r>
          </w:p>
        </w:tc>
        <w:tc>
          <w:tcPr>
            <w:tcW w:w="2890" w:type="dxa"/>
            <w:gridSpan w:val="3"/>
            <w:tcBorders>
              <w:top w:val="single" w:sz="4" w:space="0" w:color="auto"/>
              <w:left w:val="nil"/>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 Minimum Short Term Ratings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541" w:type="dxa"/>
            <w:vMerge/>
            <w:tcBorders>
              <w:left w:val="nil"/>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rPr>
                <w:rFonts w:cs="Arial"/>
                <w:b/>
                <w:bCs/>
                <w:sz w:val="16"/>
                <w:szCs w:val="16"/>
              </w:rPr>
            </w:pPr>
            <w:r w:rsidRPr="009D4E09">
              <w:rPr>
                <w:rFonts w:cs="Arial"/>
                <w:b/>
                <w:bCs/>
                <w:sz w:val="16"/>
                <w:szCs w:val="16"/>
              </w:rPr>
              <w:t> </w:t>
            </w:r>
          </w:p>
        </w:tc>
        <w:tc>
          <w:tcPr>
            <w:tcW w:w="963" w:type="dxa"/>
            <w:tcBorders>
              <w:top w:val="single" w:sz="4" w:space="0" w:color="auto"/>
              <w:left w:val="nil"/>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Fitch</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Moody's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S&amp;P</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541" w:type="dxa"/>
            <w:vMerge/>
            <w:tcBorders>
              <w:left w:val="single" w:sz="4" w:space="0" w:color="auto"/>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rPr>
                <w:rFonts w:cs="Arial"/>
                <w:b/>
                <w:bCs/>
                <w:sz w:val="16"/>
                <w:szCs w:val="16"/>
              </w:rPr>
            </w:pPr>
            <w:smartTag w:uri="urn:schemas-microsoft-com:office:smarttags" w:element="country-region">
              <w:smartTag w:uri="urn:schemas-microsoft-com:office:smarttags" w:element="place">
                <w:r w:rsidRPr="009D4E09">
                  <w:rPr>
                    <w:rFonts w:cs="Arial"/>
                    <w:b/>
                    <w:bCs/>
                    <w:sz w:val="16"/>
                    <w:szCs w:val="16"/>
                  </w:rPr>
                  <w:t>UK</w:t>
                </w:r>
              </w:smartTag>
            </w:smartTag>
            <w:r w:rsidRPr="009D4E09">
              <w:rPr>
                <w:rFonts w:cs="Arial"/>
                <w:b/>
                <w:bCs/>
                <w:sz w:val="16"/>
                <w:szCs w:val="16"/>
              </w:rPr>
              <w:t xml:space="preserve"> Banks</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0E18B8" w:rsidRPr="009D4E09" w:rsidRDefault="000E18B8" w:rsidP="000352E9">
            <w:pPr>
              <w:spacing w:before="60"/>
              <w:rPr>
                <w:rFonts w:cs="Arial"/>
                <w:sz w:val="16"/>
                <w:szCs w:val="16"/>
              </w:rPr>
            </w:pPr>
            <w:r w:rsidRPr="009D4E09">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8B8" w:rsidRPr="009D4E09" w:rsidRDefault="000E18B8" w:rsidP="000352E9">
            <w:pPr>
              <w:spacing w:before="60"/>
              <w:rPr>
                <w:rFonts w:cs="Arial"/>
                <w:sz w:val="16"/>
                <w:szCs w:val="16"/>
              </w:rPr>
            </w:pPr>
            <w:r w:rsidRPr="009D4E09">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E18B8" w:rsidRPr="009D4E09" w:rsidRDefault="000E18B8" w:rsidP="000352E9">
            <w:pPr>
              <w:spacing w:before="60"/>
              <w:rPr>
                <w:rFonts w:cs="Arial"/>
                <w:sz w:val="16"/>
                <w:szCs w:val="16"/>
              </w:rPr>
            </w:pPr>
            <w:r w:rsidRPr="009D4E09">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541" w:type="dxa"/>
            <w:vMerge/>
            <w:tcBorders>
              <w:left w:val="single" w:sz="4" w:space="0" w:color="auto"/>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446"/>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The Council's own Bankers</w:t>
            </w:r>
          </w:p>
          <w:p w:rsidR="000E18B8" w:rsidRPr="009D4E09" w:rsidRDefault="000E18B8" w:rsidP="000352E9">
            <w:pPr>
              <w:spacing w:before="60"/>
              <w:rPr>
                <w:rFonts w:cs="Arial"/>
                <w:sz w:val="16"/>
                <w:szCs w:val="16"/>
              </w:rPr>
            </w:pPr>
          </w:p>
        </w:tc>
        <w:tc>
          <w:tcPr>
            <w:tcW w:w="963" w:type="dxa"/>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F1</w:t>
            </w:r>
          </w:p>
        </w:tc>
        <w:tc>
          <w:tcPr>
            <w:tcW w:w="964" w:type="dxa"/>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P-1</w:t>
            </w:r>
          </w:p>
        </w:tc>
        <w:tc>
          <w:tcPr>
            <w:tcW w:w="963" w:type="dxa"/>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A-1</w:t>
            </w:r>
          </w:p>
        </w:tc>
        <w:tc>
          <w:tcPr>
            <w:tcW w:w="8090" w:type="dxa"/>
            <w:gridSpan w:val="5"/>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xml:space="preserve">If Council's own bankers fall below the minimum long term criteria for </w:t>
            </w:r>
            <w:smartTag w:uri="urn:schemas-microsoft-com:office:smarttags" w:element="country-region">
              <w:smartTag w:uri="urn:schemas-microsoft-com:office:smarttags" w:element="place">
                <w:r w:rsidRPr="009D4E09">
                  <w:rPr>
                    <w:rFonts w:cs="Arial"/>
                    <w:sz w:val="16"/>
                    <w:szCs w:val="16"/>
                  </w:rPr>
                  <w:t>UK</w:t>
                </w:r>
              </w:smartTag>
            </w:smartTag>
            <w:r w:rsidRPr="009D4E09">
              <w:rPr>
                <w:rFonts w:cs="Arial"/>
                <w:sz w:val="16"/>
                <w:szCs w:val="16"/>
              </w:rPr>
              <w:t xml:space="preserve"> banks, cash balances will be managed within operational liquidity constraints and </w:t>
            </w:r>
            <w:r w:rsidRPr="009D4E09">
              <w:rPr>
                <w:rFonts w:cs="Arial"/>
                <w:iCs/>
                <w:sz w:val="16"/>
                <w:szCs w:val="16"/>
              </w:rPr>
              <w:t>balances will be minimised as much as possible.</w:t>
            </w:r>
          </w:p>
          <w:p w:rsidR="000E18B8" w:rsidRPr="009D4E09" w:rsidRDefault="000E18B8" w:rsidP="000352E9">
            <w:pPr>
              <w:spacing w:before="60"/>
              <w:rPr>
                <w:rFonts w:cs="Arial"/>
                <w:sz w:val="16"/>
                <w:szCs w:val="16"/>
              </w:rPr>
            </w:pPr>
          </w:p>
        </w:tc>
        <w:tc>
          <w:tcPr>
            <w:tcW w:w="541" w:type="dxa"/>
            <w:vMerge/>
            <w:tcBorders>
              <w:left w:val="single" w:sz="4" w:space="0" w:color="auto"/>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855"/>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xml:space="preserve">Wholly Owned Subsidiaries of </w:t>
            </w:r>
            <w:smartTag w:uri="urn:schemas-microsoft-com:office:smarttags" w:element="country-region">
              <w:smartTag w:uri="urn:schemas-microsoft-com:office:smarttags" w:element="place">
                <w:r w:rsidRPr="009D4E09">
                  <w:rPr>
                    <w:rFonts w:cs="Arial"/>
                    <w:sz w:val="16"/>
                    <w:szCs w:val="16"/>
                  </w:rPr>
                  <w:t>UK</w:t>
                </w:r>
              </w:smartTag>
            </w:smartTag>
            <w:r w:rsidRPr="009D4E09">
              <w:rPr>
                <w:rFonts w:cs="Arial"/>
                <w:sz w:val="16"/>
                <w:szCs w:val="16"/>
              </w:rPr>
              <w:t xml:space="preserve"> Clearing Banks - Parent Ratings</w:t>
            </w:r>
          </w:p>
        </w:tc>
        <w:tc>
          <w:tcPr>
            <w:tcW w:w="963" w:type="dxa"/>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lower than A long term rating</w:t>
            </w:r>
          </w:p>
        </w:tc>
        <w:tc>
          <w:tcPr>
            <w:tcW w:w="541" w:type="dxa"/>
            <w:vMerge/>
            <w:tcBorders>
              <w:left w:val="single" w:sz="4" w:space="0" w:color="auto"/>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300"/>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sz w:val="16"/>
                <w:szCs w:val="16"/>
              </w:rPr>
              <w:t xml:space="preserve">Partially Owned Subsidiaries of </w:t>
            </w:r>
            <w:smartTag w:uri="urn:schemas-microsoft-com:office:smarttags" w:element="country-region">
              <w:smartTag w:uri="urn:schemas-microsoft-com:office:smarttags" w:element="place">
                <w:r w:rsidRPr="009D4E09">
                  <w:rPr>
                    <w:rFonts w:cs="Arial"/>
                    <w:sz w:val="16"/>
                    <w:szCs w:val="16"/>
                  </w:rPr>
                  <w:t>UK</w:t>
                </w:r>
              </w:smartTag>
            </w:smartTag>
            <w:r w:rsidRPr="009D4E09">
              <w:rPr>
                <w:rFonts w:cs="Arial"/>
                <w:sz w:val="16"/>
                <w:szCs w:val="16"/>
              </w:rPr>
              <w:t xml:space="preserve"> Clearing Banks - Parent Ratings</w:t>
            </w:r>
          </w:p>
        </w:tc>
        <w:tc>
          <w:tcPr>
            <w:tcW w:w="963" w:type="dxa"/>
            <w:tcBorders>
              <w:top w:val="single" w:sz="4" w:space="0" w:color="auto"/>
              <w:left w:val="nil"/>
              <w:bottom w:val="single" w:sz="4" w:space="0" w:color="auto"/>
              <w:right w:val="single" w:sz="4" w:space="0" w:color="auto"/>
            </w:tcBorders>
            <w:shd w:val="clear" w:color="auto" w:fill="auto"/>
          </w:tcPr>
          <w:p w:rsidR="000E18B8" w:rsidRPr="009D4E09" w:rsidRDefault="000E18B8" w:rsidP="000352E9">
            <w:pPr>
              <w:spacing w:before="60"/>
              <w:jc w:val="center"/>
              <w:rPr>
                <w:rFonts w:cs="Arial"/>
                <w:b/>
                <w:bCs/>
                <w:sz w:val="16"/>
                <w:szCs w:val="16"/>
              </w:rPr>
            </w:pPr>
            <w:r w:rsidRPr="009D4E09">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b/>
                <w:bCs/>
                <w:sz w:val="16"/>
                <w:szCs w:val="16"/>
              </w:rPr>
            </w:pPr>
            <w:r w:rsidRPr="009D4E09">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b/>
                <w:bCs/>
                <w:sz w:val="16"/>
                <w:szCs w:val="16"/>
              </w:rPr>
            </w:pPr>
            <w:r w:rsidRPr="009D4E09">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sz w:val="16"/>
                <w:szCs w:val="16"/>
              </w:rPr>
              <w:t>Backed up by lower than A long term rating</w:t>
            </w:r>
          </w:p>
        </w:tc>
        <w:tc>
          <w:tcPr>
            <w:tcW w:w="541" w:type="dxa"/>
            <w:vMerge/>
            <w:tcBorders>
              <w:left w:val="single" w:sz="4" w:space="0" w:color="auto"/>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300"/>
        </w:trPr>
        <w:tc>
          <w:tcPr>
            <w:tcW w:w="3490" w:type="dxa"/>
            <w:tcBorders>
              <w:top w:val="nil"/>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rPr>
                <w:rFonts w:cs="Arial"/>
                <w:b/>
                <w:bCs/>
                <w:sz w:val="16"/>
                <w:szCs w:val="16"/>
              </w:rPr>
            </w:pPr>
            <w:smartTag w:uri="urn:schemas-microsoft-com:office:smarttags" w:element="country-region">
              <w:smartTag w:uri="urn:schemas-microsoft-com:office:smarttags" w:element="place">
                <w:r w:rsidRPr="009D4E09">
                  <w:rPr>
                    <w:rFonts w:cs="Arial"/>
                    <w:b/>
                    <w:bCs/>
                    <w:sz w:val="16"/>
                    <w:szCs w:val="16"/>
                  </w:rPr>
                  <w:t>UK</w:t>
                </w:r>
              </w:smartTag>
            </w:smartTag>
            <w:r w:rsidRPr="009D4E09">
              <w:rPr>
                <w:rFonts w:cs="Arial"/>
                <w:b/>
                <w:bCs/>
                <w:sz w:val="16"/>
                <w:szCs w:val="16"/>
              </w:rPr>
              <w:t xml:space="preserve"> Building Societies</w:t>
            </w:r>
          </w:p>
        </w:tc>
        <w:tc>
          <w:tcPr>
            <w:tcW w:w="963" w:type="dxa"/>
            <w:tcBorders>
              <w:top w:val="single" w:sz="4" w:space="0" w:color="auto"/>
              <w:left w:val="nil"/>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jc w:val="center"/>
              <w:rPr>
                <w:rFonts w:cs="Arial"/>
                <w:b/>
                <w:bCs/>
                <w:sz w:val="16"/>
                <w:szCs w:val="16"/>
              </w:rPr>
            </w:pPr>
            <w:r w:rsidRPr="009D4E09">
              <w:rPr>
                <w:rFonts w:cs="Arial"/>
                <w:b/>
                <w:bCs/>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 </w:t>
            </w:r>
          </w:p>
        </w:tc>
        <w:tc>
          <w:tcPr>
            <w:tcW w:w="541" w:type="dxa"/>
            <w:vMerge/>
            <w:tcBorders>
              <w:left w:val="single" w:sz="4" w:space="0" w:color="auto"/>
            </w:tcBorders>
            <w:shd w:val="clear" w:color="auto" w:fill="auto"/>
          </w:tcPr>
          <w:p w:rsidR="000E18B8" w:rsidRPr="009D4E09" w:rsidRDefault="000E18B8" w:rsidP="000352E9">
            <w:pPr>
              <w:spacing w:before="60"/>
              <w:rPr>
                <w:rFonts w:cs="Arial"/>
                <w:b/>
                <w:bCs/>
                <w:sz w:val="16"/>
                <w:szCs w:val="16"/>
              </w:rPr>
            </w:pPr>
          </w:p>
        </w:tc>
      </w:tr>
      <w:tr w:rsidR="000E18B8" w:rsidRPr="009D4E09" w:rsidTr="000352E9">
        <w:trPr>
          <w:trHeight w:val="855"/>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986A0A">
            <w:pPr>
              <w:spacing w:before="60"/>
              <w:ind w:firstLineChars="200" w:firstLine="320"/>
              <w:rPr>
                <w:rFonts w:cs="Arial"/>
                <w:sz w:val="16"/>
                <w:szCs w:val="16"/>
              </w:rPr>
            </w:pPr>
            <w:r w:rsidRPr="009D4E09">
              <w:rPr>
                <w:rFonts w:cs="Arial"/>
                <w:sz w:val="16"/>
                <w:szCs w:val="16"/>
              </w:rPr>
              <w:t>Either</w:t>
            </w:r>
          </w:p>
        </w:tc>
        <w:tc>
          <w:tcPr>
            <w:tcW w:w="963" w:type="dxa"/>
            <w:tcBorders>
              <w:top w:val="single" w:sz="4" w:space="0" w:color="auto"/>
              <w:left w:val="nil"/>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sz w:val="16"/>
                <w:szCs w:val="16"/>
              </w:rPr>
            </w:pPr>
            <w:r w:rsidRPr="009D4E09">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sz w:val="16"/>
                <w:szCs w:val="16"/>
              </w:rPr>
            </w:pPr>
            <w:r w:rsidRPr="009D4E09">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jc w:val="center"/>
              <w:rPr>
                <w:rFonts w:cs="Arial"/>
                <w:sz w:val="16"/>
                <w:szCs w:val="16"/>
              </w:rPr>
            </w:pPr>
            <w:r w:rsidRPr="009D4E09">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Backed up by lower than A long term rating</w:t>
            </w:r>
          </w:p>
        </w:tc>
        <w:tc>
          <w:tcPr>
            <w:tcW w:w="541" w:type="dxa"/>
            <w:vMerge/>
            <w:tcBorders>
              <w:left w:val="single" w:sz="4" w:space="0" w:color="auto"/>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570"/>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986A0A">
            <w:pPr>
              <w:spacing w:before="60"/>
              <w:ind w:firstLineChars="200" w:firstLine="320"/>
              <w:rPr>
                <w:rFonts w:cs="Arial"/>
                <w:sz w:val="16"/>
                <w:szCs w:val="16"/>
              </w:rPr>
            </w:pPr>
            <w:r w:rsidRPr="009D4E09">
              <w:rPr>
                <w:rFonts w:cs="Arial"/>
                <w:sz w:val="16"/>
                <w:szCs w:val="16"/>
              </w:rPr>
              <w:t>Or</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xml:space="preserve">Assets over £15,000m  </w:t>
            </w:r>
          </w:p>
          <w:p w:rsidR="000E18B8" w:rsidRPr="009D4E09" w:rsidRDefault="000E18B8" w:rsidP="000352E9">
            <w:pPr>
              <w:spacing w:before="60"/>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Assets over £5,000m</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Assets of £2,500m</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Assets of £1,000m</w:t>
            </w:r>
          </w:p>
        </w:tc>
        <w:tc>
          <w:tcPr>
            <w:tcW w:w="541" w:type="dxa"/>
            <w:vMerge/>
            <w:tcBorders>
              <w:left w:val="single" w:sz="4" w:space="0" w:color="auto"/>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453"/>
        </w:trPr>
        <w:tc>
          <w:tcPr>
            <w:tcW w:w="3490" w:type="dxa"/>
            <w:tcBorders>
              <w:top w:val="nil"/>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rPr>
                <w:rFonts w:cs="Arial"/>
                <w:b/>
                <w:bCs/>
                <w:sz w:val="16"/>
                <w:szCs w:val="16"/>
              </w:rPr>
            </w:pPr>
            <w:r w:rsidRPr="009D4E09">
              <w:rPr>
                <w:rFonts w:cs="Arial"/>
                <w:b/>
                <w:bCs/>
                <w:sz w:val="16"/>
                <w:szCs w:val="16"/>
              </w:rPr>
              <w:t>Specific Public Bodies</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As approved by Members</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541" w:type="dxa"/>
            <w:vMerge/>
            <w:tcBorders>
              <w:left w:val="nil"/>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453"/>
        </w:trPr>
        <w:tc>
          <w:tcPr>
            <w:tcW w:w="3490" w:type="dxa"/>
            <w:tcBorders>
              <w:top w:val="nil"/>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b/>
                <w:bCs/>
                <w:sz w:val="16"/>
                <w:szCs w:val="16"/>
              </w:rPr>
            </w:pPr>
            <w:r w:rsidRPr="009D4E09">
              <w:rPr>
                <w:rFonts w:cs="Arial"/>
                <w:b/>
                <w:bCs/>
                <w:sz w:val="16"/>
                <w:szCs w:val="16"/>
              </w:rPr>
              <w:t>Debt Management Deposit Facility (</w:t>
            </w:r>
            <w:smartTag w:uri="urn:schemas-microsoft-com:office:smarttags" w:element="country-region">
              <w:smartTag w:uri="urn:schemas-microsoft-com:office:smarttags" w:element="place">
                <w:r w:rsidRPr="009D4E09">
                  <w:rPr>
                    <w:rFonts w:cs="Arial"/>
                    <w:b/>
                    <w:bCs/>
                    <w:sz w:val="16"/>
                    <w:szCs w:val="16"/>
                  </w:rPr>
                  <w:t>UK</w:t>
                </w:r>
              </w:smartTag>
            </w:smartTag>
            <w:r w:rsidRPr="009D4E09">
              <w:rPr>
                <w:rFonts w:cs="Arial"/>
                <w:b/>
                <w:bCs/>
                <w:sz w:val="16"/>
                <w:szCs w:val="16"/>
              </w:rPr>
              <w:t xml:space="preserve"> Government)</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Unlimited</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highlight w:val="cya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highlight w:val="cyan"/>
              </w:rPr>
            </w:pPr>
          </w:p>
        </w:tc>
        <w:tc>
          <w:tcPr>
            <w:tcW w:w="541" w:type="dxa"/>
            <w:vMerge/>
            <w:tcBorders>
              <w:left w:val="nil"/>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357"/>
        </w:trPr>
        <w:tc>
          <w:tcPr>
            <w:tcW w:w="3490" w:type="dxa"/>
            <w:tcBorders>
              <w:top w:val="nil"/>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rPr>
                <w:rFonts w:cs="Arial"/>
                <w:b/>
                <w:bCs/>
                <w:sz w:val="16"/>
                <w:szCs w:val="16"/>
              </w:rPr>
            </w:pPr>
            <w:r w:rsidRPr="009D4E09">
              <w:rPr>
                <w:rFonts w:cs="Arial"/>
                <w:b/>
                <w:bCs/>
                <w:sz w:val="16"/>
                <w:szCs w:val="16"/>
              </w:rPr>
              <w:t>Money Market Funds (AAA Rated)</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£5m per fund</w:t>
            </w:r>
          </w:p>
        </w:tc>
        <w:tc>
          <w:tcPr>
            <w:tcW w:w="541" w:type="dxa"/>
            <w:vMerge/>
            <w:tcBorders>
              <w:left w:val="nil"/>
            </w:tcBorders>
            <w:shd w:val="clear" w:color="auto" w:fill="auto"/>
          </w:tcPr>
          <w:p w:rsidR="000E18B8" w:rsidRPr="009D4E09" w:rsidRDefault="000E18B8" w:rsidP="000352E9">
            <w:pPr>
              <w:spacing w:before="60"/>
              <w:rPr>
                <w:rFonts w:cs="Arial"/>
                <w:sz w:val="16"/>
                <w:szCs w:val="16"/>
              </w:rPr>
            </w:pPr>
          </w:p>
        </w:tc>
      </w:tr>
      <w:tr w:rsidR="000E18B8" w:rsidRPr="009D4E09" w:rsidTr="000352E9">
        <w:trPr>
          <w:trHeight w:val="958"/>
        </w:trPr>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rsidR="000E18B8" w:rsidRPr="009D4E09" w:rsidRDefault="000E18B8" w:rsidP="000352E9">
            <w:pPr>
              <w:spacing w:before="60"/>
              <w:rPr>
                <w:rFonts w:cs="Arial"/>
                <w:b/>
                <w:bCs/>
                <w:sz w:val="16"/>
                <w:szCs w:val="16"/>
              </w:rPr>
            </w:pPr>
            <w:smartTag w:uri="urn:schemas-microsoft-com:office:smarttags" w:element="country-region">
              <w:smartTag w:uri="urn:schemas-microsoft-com:office:smarttags" w:element="place">
                <w:r w:rsidRPr="009D4E09">
                  <w:rPr>
                    <w:rFonts w:cs="Arial"/>
                    <w:b/>
                    <w:bCs/>
                    <w:sz w:val="16"/>
                    <w:szCs w:val="16"/>
                  </w:rPr>
                  <w:t>UK</w:t>
                </w:r>
              </w:smartTag>
            </w:smartTag>
            <w:r w:rsidRPr="009D4E09">
              <w:rPr>
                <w:rFonts w:cs="Arial"/>
                <w:b/>
                <w:bCs/>
                <w:sz w:val="16"/>
                <w:szCs w:val="16"/>
              </w:rPr>
              <w:t xml:space="preserve"> Local Authorities</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jc w:val="center"/>
              <w:rPr>
                <w:rFonts w:cs="Arial"/>
                <w:sz w:val="16"/>
                <w:szCs w:val="16"/>
              </w:rPr>
            </w:pPr>
            <w:r w:rsidRPr="009D4E09">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The Council can invest in all UK Local Authorities whether rated or not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0E18B8" w:rsidRPr="009D4E09" w:rsidRDefault="000E18B8" w:rsidP="000352E9">
            <w:pPr>
              <w:spacing w:before="60"/>
              <w:rPr>
                <w:rFonts w:cs="Arial"/>
                <w:sz w:val="16"/>
                <w:szCs w:val="16"/>
              </w:rPr>
            </w:pPr>
            <w:r w:rsidRPr="009D4E09">
              <w:rPr>
                <w:rFonts w:cs="Arial"/>
                <w:sz w:val="16"/>
                <w:szCs w:val="16"/>
              </w:rPr>
              <w:t> </w:t>
            </w:r>
          </w:p>
        </w:tc>
        <w:tc>
          <w:tcPr>
            <w:tcW w:w="541" w:type="dxa"/>
            <w:vMerge/>
            <w:tcBorders>
              <w:left w:val="nil"/>
            </w:tcBorders>
            <w:shd w:val="clear" w:color="auto" w:fill="auto"/>
          </w:tcPr>
          <w:p w:rsidR="000E18B8" w:rsidRPr="009D4E09" w:rsidRDefault="000E18B8" w:rsidP="000352E9">
            <w:pPr>
              <w:spacing w:before="60"/>
              <w:rPr>
                <w:rFonts w:cs="Arial"/>
                <w:sz w:val="16"/>
                <w:szCs w:val="16"/>
              </w:rPr>
            </w:pPr>
          </w:p>
        </w:tc>
      </w:tr>
    </w:tbl>
    <w:p w:rsidR="000E18B8" w:rsidRPr="009D4E09" w:rsidRDefault="000E18B8" w:rsidP="000E18B8">
      <w:pPr>
        <w:tabs>
          <w:tab w:val="left" w:pos="4055"/>
          <w:tab w:val="left" w:pos="4929"/>
          <w:tab w:val="left" w:pos="6087"/>
          <w:tab w:val="left" w:pos="6739"/>
          <w:tab w:val="left" w:pos="8208"/>
          <w:tab w:val="left" w:pos="9828"/>
          <w:tab w:val="left" w:pos="11448"/>
          <w:tab w:val="left" w:pos="12888"/>
        </w:tabs>
        <w:ind w:left="93"/>
        <w:rPr>
          <w:rFonts w:cs="Arial"/>
          <w:sz w:val="22"/>
          <w:szCs w:val="22"/>
        </w:rPr>
        <w:sectPr w:rsidR="000E18B8" w:rsidRPr="009D4E09" w:rsidSect="000352E9">
          <w:headerReference w:type="default" r:id="rId11"/>
          <w:pgSz w:w="16838" w:h="11906" w:orient="landscape" w:code="9"/>
          <w:pgMar w:top="1077" w:right="1077" w:bottom="924" w:left="1440" w:header="692" w:footer="692" w:gutter="0"/>
          <w:cols w:space="708"/>
          <w:docGrid w:linePitch="360"/>
        </w:sectPr>
      </w:pPr>
    </w:p>
    <w:p w:rsidR="000E18B8" w:rsidRPr="009D4E09" w:rsidRDefault="000E18B8" w:rsidP="000E18B8">
      <w:pPr>
        <w:tabs>
          <w:tab w:val="left" w:pos="4055"/>
          <w:tab w:val="left" w:pos="4929"/>
          <w:tab w:val="left" w:pos="6087"/>
          <w:tab w:val="left" w:pos="6739"/>
          <w:tab w:val="left" w:pos="8208"/>
          <w:tab w:val="left" w:pos="9828"/>
          <w:tab w:val="left" w:pos="11448"/>
          <w:tab w:val="left" w:pos="12888"/>
        </w:tabs>
        <w:rPr>
          <w:rFonts w:cs="Arial"/>
          <w:sz w:val="22"/>
          <w:szCs w:val="22"/>
        </w:rPr>
      </w:pPr>
      <w:r w:rsidRPr="009D4E09">
        <w:rPr>
          <w:rFonts w:cs="Arial"/>
          <w:sz w:val="22"/>
          <w:szCs w:val="22"/>
        </w:rPr>
        <w:lastRenderedPageBreak/>
        <w:t>Notes:-</w:t>
      </w:r>
    </w:p>
    <w:p w:rsidR="000E18B8" w:rsidRPr="009D4E09" w:rsidRDefault="000E18B8" w:rsidP="000E18B8">
      <w:pPr>
        <w:tabs>
          <w:tab w:val="left" w:pos="4055"/>
          <w:tab w:val="left" w:pos="4929"/>
          <w:tab w:val="left" w:pos="6087"/>
          <w:tab w:val="left" w:pos="6739"/>
          <w:tab w:val="left" w:pos="8208"/>
          <w:tab w:val="left" w:pos="9828"/>
          <w:tab w:val="left" w:pos="11448"/>
          <w:tab w:val="left" w:pos="12888"/>
        </w:tabs>
        <w:ind w:left="93"/>
        <w:rPr>
          <w:rFonts w:cs="Arial"/>
          <w:sz w:val="22"/>
          <w:szCs w:val="22"/>
        </w:rPr>
      </w:pPr>
    </w:p>
    <w:p w:rsidR="000E18B8" w:rsidRPr="009D4E09" w:rsidRDefault="000E18B8" w:rsidP="000E18B8">
      <w:pPr>
        <w:tabs>
          <w:tab w:val="left" w:pos="540"/>
          <w:tab w:val="left" w:pos="4929"/>
        </w:tabs>
        <w:ind w:left="93"/>
        <w:rPr>
          <w:rFonts w:cs="Arial"/>
          <w:sz w:val="22"/>
          <w:szCs w:val="22"/>
        </w:rPr>
      </w:pPr>
      <w:r w:rsidRPr="009D4E09">
        <w:rPr>
          <w:rFonts w:cs="Arial"/>
          <w:sz w:val="22"/>
          <w:szCs w:val="22"/>
        </w:rPr>
        <w:t>1.</w:t>
      </w:r>
      <w:r w:rsidRPr="009D4E09">
        <w:rPr>
          <w:rFonts w:cs="Arial"/>
          <w:sz w:val="22"/>
          <w:szCs w:val="22"/>
        </w:rPr>
        <w:tab/>
        <w:t>F1+, P-1 and A-1+ are the highest short term credit ratings of Fitch, Moody's and Standard and Poor's respectively.</w:t>
      </w:r>
    </w:p>
    <w:p w:rsidR="000E18B8" w:rsidRPr="009D4E09" w:rsidRDefault="000E18B8" w:rsidP="000E18B8">
      <w:pPr>
        <w:tabs>
          <w:tab w:val="left" w:pos="540"/>
          <w:tab w:val="left" w:pos="4929"/>
        </w:tabs>
        <w:ind w:left="93"/>
        <w:rPr>
          <w:rFonts w:cs="Arial"/>
          <w:sz w:val="22"/>
          <w:szCs w:val="22"/>
        </w:rPr>
      </w:pPr>
    </w:p>
    <w:p w:rsidR="000E18B8" w:rsidRPr="009D4E09" w:rsidRDefault="000E18B8" w:rsidP="000E18B8">
      <w:pPr>
        <w:tabs>
          <w:tab w:val="left" w:pos="540"/>
          <w:tab w:val="left" w:pos="4929"/>
        </w:tabs>
        <w:ind w:left="93"/>
        <w:rPr>
          <w:rFonts w:cs="Arial"/>
          <w:sz w:val="22"/>
          <w:szCs w:val="22"/>
        </w:rPr>
      </w:pPr>
      <w:r w:rsidRPr="009D4E09">
        <w:rPr>
          <w:rFonts w:cs="Arial"/>
          <w:sz w:val="22"/>
          <w:szCs w:val="22"/>
        </w:rPr>
        <w:t>2.</w:t>
      </w:r>
      <w:r w:rsidRPr="009D4E09">
        <w:rPr>
          <w:rFonts w:cs="Arial"/>
          <w:sz w:val="22"/>
          <w:szCs w:val="22"/>
        </w:rPr>
        <w:tab/>
        <w:t>Minimum Short Term Ratings - Where given, these must be met, for all categories (except RBS Group).</w:t>
      </w:r>
    </w:p>
    <w:p w:rsidR="000E18B8" w:rsidRPr="009D4E09" w:rsidRDefault="000E18B8" w:rsidP="000E18B8">
      <w:pPr>
        <w:tabs>
          <w:tab w:val="left" w:pos="540"/>
          <w:tab w:val="left" w:pos="4929"/>
        </w:tabs>
        <w:ind w:left="93"/>
        <w:rPr>
          <w:rFonts w:cs="Arial"/>
          <w:sz w:val="22"/>
          <w:szCs w:val="22"/>
        </w:rPr>
      </w:pPr>
    </w:p>
    <w:p w:rsidR="000E18B8" w:rsidRPr="009D4E09" w:rsidRDefault="000E18B8" w:rsidP="000E18B8">
      <w:pPr>
        <w:tabs>
          <w:tab w:val="left" w:pos="540"/>
          <w:tab w:val="left" w:pos="4929"/>
        </w:tabs>
        <w:ind w:left="93"/>
        <w:rPr>
          <w:rFonts w:cs="Arial"/>
          <w:sz w:val="22"/>
          <w:szCs w:val="22"/>
        </w:rPr>
      </w:pPr>
      <w:r w:rsidRPr="009D4E09">
        <w:rPr>
          <w:rFonts w:cs="Arial"/>
          <w:sz w:val="22"/>
          <w:szCs w:val="22"/>
        </w:rPr>
        <w:t>3.</w:t>
      </w:r>
      <w:r w:rsidRPr="009D4E09">
        <w:rPr>
          <w:rFonts w:cs="Arial"/>
          <w:sz w:val="22"/>
          <w:szCs w:val="22"/>
        </w:rPr>
        <w:tab/>
        <w:t>Building Societies - A Building Society has to meet either the ratings criteria or the assets criterion to be included in the category, not both.</w:t>
      </w:r>
    </w:p>
    <w:p w:rsidR="000E18B8" w:rsidRPr="009D4E09" w:rsidRDefault="000E18B8" w:rsidP="000E18B8">
      <w:pPr>
        <w:tabs>
          <w:tab w:val="left" w:pos="540"/>
          <w:tab w:val="left" w:pos="4929"/>
        </w:tabs>
        <w:ind w:left="93"/>
        <w:rPr>
          <w:rFonts w:cs="Arial"/>
          <w:sz w:val="22"/>
          <w:szCs w:val="22"/>
        </w:rPr>
      </w:pPr>
    </w:p>
    <w:p w:rsidR="000E18B8" w:rsidRPr="009D4E09" w:rsidRDefault="000E18B8" w:rsidP="000E18B8">
      <w:pPr>
        <w:tabs>
          <w:tab w:val="left" w:pos="540"/>
          <w:tab w:val="left" w:pos="4929"/>
        </w:tabs>
        <w:ind w:left="93"/>
        <w:rPr>
          <w:rFonts w:cs="Arial"/>
          <w:sz w:val="20"/>
          <w:lang w:eastAsia="en-GB"/>
        </w:rPr>
      </w:pPr>
      <w:r w:rsidRPr="009D4E09">
        <w:rPr>
          <w:rFonts w:cs="Arial"/>
          <w:sz w:val="22"/>
          <w:szCs w:val="22"/>
        </w:rPr>
        <w:t>4.</w:t>
      </w:r>
      <w:r w:rsidRPr="009D4E09">
        <w:rPr>
          <w:rFonts w:cs="Arial"/>
          <w:sz w:val="22"/>
          <w:szCs w:val="22"/>
        </w:rPr>
        <w:tab/>
        <w:t xml:space="preserve">Maximum amount is the maximum, in total, over all investments, with any one institution (with the exception of RBS Group). </w:t>
      </w:r>
    </w:p>
    <w:p w:rsidR="000E18B8" w:rsidRPr="009D4E09" w:rsidRDefault="000E18B8" w:rsidP="000E18B8">
      <w:pPr>
        <w:spacing w:after="60"/>
        <w:jc w:val="both"/>
        <w:outlineLvl w:val="0"/>
        <w:rPr>
          <w:rFonts w:cs="Arial"/>
          <w:b/>
          <w:sz w:val="22"/>
          <w:szCs w:val="22"/>
        </w:rPr>
      </w:pPr>
    </w:p>
    <w:p w:rsidR="000E18B8" w:rsidRPr="009D4E09" w:rsidRDefault="000E18B8" w:rsidP="000E18B8">
      <w:pPr>
        <w:spacing w:after="60"/>
        <w:jc w:val="both"/>
        <w:outlineLvl w:val="0"/>
        <w:rPr>
          <w:rFonts w:cs="Arial"/>
          <w:b/>
          <w:sz w:val="22"/>
          <w:szCs w:val="22"/>
        </w:rPr>
      </w:pPr>
    </w:p>
    <w:p w:rsidR="000E18B8" w:rsidRPr="009D4E09" w:rsidRDefault="000E18B8" w:rsidP="000E18B8">
      <w:pPr>
        <w:spacing w:after="60"/>
        <w:jc w:val="both"/>
        <w:outlineLvl w:val="0"/>
        <w:rPr>
          <w:rFonts w:cs="Arial"/>
          <w:b/>
          <w:sz w:val="22"/>
          <w:szCs w:val="22"/>
        </w:rPr>
      </w:pPr>
    </w:p>
    <w:p w:rsidR="000E18B8" w:rsidRPr="009D4E09" w:rsidRDefault="000E18B8" w:rsidP="000E18B8">
      <w:pPr>
        <w:spacing w:after="60"/>
        <w:jc w:val="both"/>
        <w:outlineLvl w:val="0"/>
        <w:rPr>
          <w:rFonts w:cs="Arial"/>
          <w:b/>
          <w:sz w:val="22"/>
          <w:szCs w:val="22"/>
        </w:rPr>
      </w:pPr>
    </w:p>
    <w:p w:rsidR="00A56577" w:rsidRPr="009D4E09" w:rsidRDefault="00A56577">
      <w:pPr>
        <w:rPr>
          <w:rFonts w:cs="Arial"/>
          <w:b/>
          <w:sz w:val="22"/>
          <w:szCs w:val="22"/>
        </w:rPr>
      </w:pPr>
      <w:r w:rsidRPr="009D4E09">
        <w:rPr>
          <w:rFonts w:cs="Arial"/>
          <w:b/>
          <w:sz w:val="22"/>
          <w:szCs w:val="22"/>
        </w:rPr>
        <w:br w:type="page"/>
      </w:r>
    </w:p>
    <w:p w:rsidR="000E18B8" w:rsidRPr="009D4E09" w:rsidRDefault="00A56577" w:rsidP="00A56577">
      <w:pPr>
        <w:spacing w:after="60"/>
        <w:jc w:val="right"/>
        <w:outlineLvl w:val="0"/>
        <w:rPr>
          <w:rFonts w:cs="Arial"/>
          <w:b/>
          <w:sz w:val="22"/>
          <w:szCs w:val="22"/>
        </w:rPr>
      </w:pPr>
      <w:r w:rsidRPr="009D4E09">
        <w:rPr>
          <w:rFonts w:cs="Arial"/>
          <w:b/>
          <w:sz w:val="22"/>
          <w:szCs w:val="22"/>
        </w:rPr>
        <w:lastRenderedPageBreak/>
        <w:t>Annex B</w:t>
      </w:r>
    </w:p>
    <w:p w:rsidR="000E18B8" w:rsidRPr="009D4E09" w:rsidRDefault="000E18B8" w:rsidP="000E18B8">
      <w:pPr>
        <w:spacing w:after="60"/>
        <w:jc w:val="both"/>
        <w:outlineLvl w:val="0"/>
        <w:rPr>
          <w:rFonts w:cs="Arial"/>
          <w:b/>
          <w:sz w:val="22"/>
          <w:szCs w:val="22"/>
        </w:rPr>
      </w:pPr>
    </w:p>
    <w:p w:rsidR="00CA4E51" w:rsidRPr="009D4E09" w:rsidRDefault="00A56577" w:rsidP="00A56577">
      <w:pPr>
        <w:pStyle w:val="BodyText"/>
        <w:ind w:left="540"/>
        <w:jc w:val="center"/>
        <w:rPr>
          <w:rFonts w:cs="Arial"/>
          <w:b/>
          <w:szCs w:val="22"/>
          <w:u w:val="single"/>
        </w:rPr>
      </w:pPr>
      <w:r w:rsidRPr="009D4E09">
        <w:rPr>
          <w:rFonts w:cs="Arial"/>
          <w:b/>
          <w:szCs w:val="22"/>
          <w:u w:val="single"/>
        </w:rPr>
        <w:t>Property Investment Strategy</w:t>
      </w:r>
    </w:p>
    <w:p w:rsidR="00BF21DB" w:rsidRPr="009D4E09" w:rsidRDefault="00A56577" w:rsidP="00A56577">
      <w:pPr>
        <w:pStyle w:val="BodyText"/>
        <w:jc w:val="center"/>
        <w:rPr>
          <w:rFonts w:cs="Arial"/>
        </w:rPr>
      </w:pPr>
      <w:r w:rsidRPr="009D4E09">
        <w:rPr>
          <w:rFonts w:cs="Arial"/>
        </w:rPr>
        <w:t>(draft)</w:t>
      </w:r>
    </w:p>
    <w:p w:rsidR="00A56577" w:rsidRPr="009D4E09" w:rsidRDefault="00A56577" w:rsidP="00A56577">
      <w:pPr>
        <w:pStyle w:val="BodyText"/>
        <w:jc w:val="center"/>
        <w:rPr>
          <w:rFonts w:cs="Arial"/>
        </w:rPr>
      </w:pPr>
    </w:p>
    <w:p w:rsidR="00A56577" w:rsidRPr="009D4E09" w:rsidRDefault="00A56577" w:rsidP="00A56577">
      <w:pPr>
        <w:pStyle w:val="BodyText"/>
        <w:rPr>
          <w:rFonts w:cs="Arial"/>
        </w:rPr>
      </w:pPr>
    </w:p>
    <w:p w:rsidR="00A56577" w:rsidRPr="009D4E09" w:rsidRDefault="00A56577" w:rsidP="00A56577">
      <w:pPr>
        <w:pStyle w:val="Heading2"/>
        <w:jc w:val="left"/>
        <w:rPr>
          <w:rFonts w:cs="Arial"/>
          <w:b w:val="0"/>
          <w:sz w:val="22"/>
          <w:szCs w:val="22"/>
        </w:rPr>
      </w:pPr>
      <w:r w:rsidRPr="009D4E09">
        <w:rPr>
          <w:rFonts w:cs="Arial"/>
          <w:b w:val="0"/>
          <w:sz w:val="22"/>
          <w:szCs w:val="22"/>
          <w:u w:val="single"/>
        </w:rPr>
        <w:t>Background</w:t>
      </w:r>
      <w:r w:rsidRPr="009D4E09">
        <w:rPr>
          <w:rFonts w:cs="Arial"/>
          <w:b w:val="0"/>
          <w:sz w:val="22"/>
          <w:szCs w:val="22"/>
        </w:rPr>
        <w:t xml:space="preserve">.  Currently the Council holds all its investments as financial instruments – mainly as cash deposits with individual financial institutions.  This has an inherent risk of holding all its assets in one type of instrument.  Placing investments with financial institutions can be diversified by investing in property through either a pooled property investment fund or by purchase of individual property assets.  </w:t>
      </w:r>
    </w:p>
    <w:p w:rsidR="00A56577" w:rsidRPr="009D4E09" w:rsidRDefault="00A56577" w:rsidP="00A56577">
      <w:pPr>
        <w:pStyle w:val="Heading2"/>
        <w:jc w:val="left"/>
        <w:rPr>
          <w:rFonts w:cs="Arial"/>
          <w:b w:val="0"/>
          <w:sz w:val="22"/>
          <w:szCs w:val="22"/>
        </w:rPr>
      </w:pPr>
    </w:p>
    <w:p w:rsidR="00A56577" w:rsidRPr="009D4E09" w:rsidRDefault="00A56577" w:rsidP="00A56577">
      <w:pPr>
        <w:pStyle w:val="Heading2"/>
        <w:jc w:val="left"/>
        <w:rPr>
          <w:rFonts w:cs="Arial"/>
          <w:b w:val="0"/>
          <w:sz w:val="22"/>
          <w:szCs w:val="22"/>
        </w:rPr>
      </w:pPr>
      <w:r w:rsidRPr="009D4E09">
        <w:rPr>
          <w:rFonts w:cs="Arial"/>
          <w:b w:val="0"/>
          <w:sz w:val="22"/>
          <w:szCs w:val="22"/>
        </w:rPr>
        <w:t>The number of quality financial institutions accepting deposits is falling and subsequently the return on the Council’s investments is likely to remain low for many years to come.  Unlike cash deposits, property investments can offer a reasonable revenue return and also be a useful source of capital growth.</w:t>
      </w:r>
    </w:p>
    <w:p w:rsidR="00A56577" w:rsidRPr="009D4E09" w:rsidRDefault="00A56577" w:rsidP="00A56577">
      <w:pPr>
        <w:rPr>
          <w:rFonts w:cs="Arial"/>
        </w:rPr>
      </w:pPr>
    </w:p>
    <w:p w:rsidR="00A56577" w:rsidRPr="009D4E09" w:rsidRDefault="00A56577" w:rsidP="00A56577">
      <w:pPr>
        <w:pStyle w:val="Heading2"/>
        <w:jc w:val="left"/>
        <w:rPr>
          <w:rFonts w:cs="Arial"/>
          <w:b w:val="0"/>
          <w:sz w:val="22"/>
          <w:szCs w:val="22"/>
        </w:rPr>
      </w:pPr>
      <w:r w:rsidRPr="009D4E09">
        <w:rPr>
          <w:rFonts w:cs="Arial"/>
          <w:b w:val="0"/>
          <w:sz w:val="22"/>
          <w:szCs w:val="22"/>
        </w:rPr>
        <w:t xml:space="preserve">Such investments would ordinarily be deemed as capital expenditure, and as such would need to be accounted for as part of the capital programme, however the Authority can achieve its investment property objectives by relying upon the investment power granted by </w:t>
      </w:r>
      <w:r w:rsidR="000B331C" w:rsidRPr="009D4E09">
        <w:rPr>
          <w:rFonts w:cs="Arial"/>
          <w:b w:val="0"/>
          <w:sz w:val="22"/>
          <w:szCs w:val="22"/>
        </w:rPr>
        <w:t>s</w:t>
      </w:r>
      <w:r w:rsidRPr="009D4E09">
        <w:rPr>
          <w:rFonts w:cs="Arial"/>
          <w:b w:val="0"/>
          <w:sz w:val="22"/>
          <w:szCs w:val="22"/>
        </w:rPr>
        <w:t>.12 of the Local Authority Act 2003</w:t>
      </w:r>
      <w:r w:rsidR="000B331C" w:rsidRPr="009D4E09">
        <w:rPr>
          <w:rFonts w:cs="Arial"/>
          <w:b w:val="0"/>
          <w:sz w:val="22"/>
          <w:szCs w:val="22"/>
        </w:rPr>
        <w:t>.</w:t>
      </w:r>
      <w:r w:rsidRPr="009D4E09">
        <w:rPr>
          <w:rFonts w:cs="Arial"/>
          <w:b w:val="0"/>
          <w:sz w:val="22"/>
          <w:szCs w:val="22"/>
        </w:rPr>
        <w:t xml:space="preserve"> </w:t>
      </w:r>
    </w:p>
    <w:p w:rsidR="00A56577" w:rsidRPr="009D4E09" w:rsidRDefault="00A56577" w:rsidP="00A56577">
      <w:pPr>
        <w:rPr>
          <w:rFonts w:cs="Arial"/>
          <w:sz w:val="22"/>
          <w:szCs w:val="22"/>
        </w:rPr>
      </w:pPr>
    </w:p>
    <w:p w:rsidR="00A56577" w:rsidRPr="009D4E09" w:rsidRDefault="00A56577" w:rsidP="00A56577">
      <w:pPr>
        <w:rPr>
          <w:rFonts w:cs="Arial"/>
          <w:sz w:val="22"/>
          <w:szCs w:val="22"/>
        </w:rPr>
      </w:pPr>
      <w:r w:rsidRPr="009D4E09">
        <w:rPr>
          <w:rFonts w:cs="Arial"/>
          <w:sz w:val="22"/>
          <w:szCs w:val="22"/>
          <w:u w:val="single"/>
        </w:rPr>
        <w:t>Investment in Property</w:t>
      </w:r>
      <w:r w:rsidR="000B331C" w:rsidRPr="009D4E09">
        <w:rPr>
          <w:rFonts w:cs="Arial"/>
          <w:sz w:val="22"/>
          <w:szCs w:val="22"/>
          <w:u w:val="single"/>
        </w:rPr>
        <w:t xml:space="preserve"> – Pooled property fund</w:t>
      </w:r>
      <w:r w:rsidRPr="009D4E09">
        <w:rPr>
          <w:rFonts w:cs="Arial"/>
          <w:sz w:val="22"/>
          <w:szCs w:val="22"/>
        </w:rPr>
        <w:t>.</w:t>
      </w:r>
    </w:p>
    <w:p w:rsidR="00A56577" w:rsidRPr="009D4E09" w:rsidRDefault="00A56577" w:rsidP="00A56577">
      <w:pPr>
        <w:rPr>
          <w:rFonts w:cs="Arial"/>
          <w:sz w:val="22"/>
          <w:szCs w:val="22"/>
        </w:rPr>
      </w:pPr>
    </w:p>
    <w:p w:rsidR="00A56577" w:rsidRPr="009D4E09" w:rsidRDefault="00A56577" w:rsidP="00A56577">
      <w:pPr>
        <w:rPr>
          <w:rFonts w:cs="Arial"/>
          <w:sz w:val="22"/>
          <w:szCs w:val="22"/>
        </w:rPr>
      </w:pPr>
      <w:r w:rsidRPr="009D4E09">
        <w:rPr>
          <w:rFonts w:cs="Arial"/>
          <w:sz w:val="22"/>
          <w:szCs w:val="22"/>
        </w:rPr>
        <w:t xml:space="preserve">The Council could diversify its portfolio into property by investing in a pooled property fund or by individual purchase of investment property assets.  </w:t>
      </w:r>
    </w:p>
    <w:p w:rsidR="00A56577" w:rsidRPr="009D4E09" w:rsidRDefault="00A56577" w:rsidP="00A56577">
      <w:pPr>
        <w:rPr>
          <w:rFonts w:cs="Arial"/>
          <w:sz w:val="22"/>
          <w:szCs w:val="22"/>
        </w:rPr>
      </w:pPr>
    </w:p>
    <w:p w:rsidR="00A56577" w:rsidRPr="009D4E09" w:rsidRDefault="000B331C" w:rsidP="00A56577">
      <w:pPr>
        <w:pStyle w:val="Heading2"/>
        <w:jc w:val="left"/>
        <w:rPr>
          <w:rFonts w:cs="Arial"/>
          <w:b w:val="0"/>
          <w:sz w:val="22"/>
          <w:szCs w:val="22"/>
        </w:rPr>
      </w:pPr>
      <w:r w:rsidRPr="009D4E09">
        <w:rPr>
          <w:rFonts w:cs="Arial"/>
          <w:b w:val="0"/>
          <w:sz w:val="22"/>
          <w:szCs w:val="22"/>
        </w:rPr>
        <w:t xml:space="preserve">A pooled </w:t>
      </w:r>
      <w:r w:rsidR="00A56577" w:rsidRPr="009D4E09">
        <w:rPr>
          <w:rFonts w:cs="Arial"/>
          <w:b w:val="0"/>
          <w:sz w:val="22"/>
          <w:szCs w:val="22"/>
        </w:rPr>
        <w:t>property investment fund compris</w:t>
      </w:r>
      <w:r w:rsidRPr="009D4E09">
        <w:rPr>
          <w:rFonts w:cs="Arial"/>
          <w:b w:val="0"/>
          <w:sz w:val="22"/>
          <w:szCs w:val="22"/>
        </w:rPr>
        <w:t xml:space="preserve">es </w:t>
      </w:r>
      <w:r w:rsidR="00A56577" w:rsidRPr="009D4E09">
        <w:rPr>
          <w:rFonts w:cs="Arial"/>
          <w:b w:val="0"/>
          <w:sz w:val="22"/>
          <w:szCs w:val="22"/>
        </w:rPr>
        <w:t xml:space="preserve">a portfolio of commercial properties to achieve investment returns through rental income and capital growth. </w:t>
      </w:r>
      <w:r w:rsidRPr="009D4E09">
        <w:rPr>
          <w:rFonts w:cs="Arial"/>
          <w:b w:val="0"/>
          <w:sz w:val="22"/>
          <w:szCs w:val="22"/>
        </w:rPr>
        <w:t xml:space="preserve"> </w:t>
      </w:r>
      <w:r w:rsidR="00A56577" w:rsidRPr="009D4E09">
        <w:rPr>
          <w:rFonts w:cs="Arial"/>
          <w:b w:val="0"/>
          <w:sz w:val="22"/>
          <w:szCs w:val="22"/>
        </w:rPr>
        <w:t>However, the value of such investments may fall as well as rise.</w:t>
      </w:r>
      <w:r w:rsidRPr="009D4E09">
        <w:rPr>
          <w:rFonts w:cs="Arial"/>
          <w:b w:val="0"/>
          <w:sz w:val="22"/>
          <w:szCs w:val="22"/>
        </w:rPr>
        <w:t xml:space="preserve">  These funds are normally managed by a property fund manager and the Council could purchase shares within the fund and would pay a fee for this service (normally deducted from any dividend payments).</w:t>
      </w:r>
    </w:p>
    <w:p w:rsidR="00A56577" w:rsidRPr="009D4E09" w:rsidRDefault="00A56577" w:rsidP="00A56577">
      <w:pPr>
        <w:rPr>
          <w:rFonts w:cs="Arial"/>
          <w:sz w:val="22"/>
          <w:szCs w:val="22"/>
        </w:rPr>
      </w:pPr>
    </w:p>
    <w:p w:rsidR="00A56577" w:rsidRPr="009D4E09" w:rsidRDefault="00A56577" w:rsidP="000B331C">
      <w:pPr>
        <w:pStyle w:val="Heading2"/>
        <w:jc w:val="left"/>
        <w:rPr>
          <w:rFonts w:cs="Arial"/>
          <w:b w:val="0"/>
          <w:sz w:val="22"/>
          <w:szCs w:val="22"/>
        </w:rPr>
      </w:pPr>
      <w:r w:rsidRPr="009D4E09">
        <w:rPr>
          <w:rFonts w:cs="Arial"/>
          <w:b w:val="0"/>
          <w:sz w:val="22"/>
          <w:szCs w:val="22"/>
        </w:rPr>
        <w:t>Due diligence would be undertaken before the local authority would enter into this or any other type of investment  and the level of investment would be determined with the assessment of cash balances and cashflow projections.</w:t>
      </w:r>
      <w:r w:rsidR="000B331C" w:rsidRPr="009D4E09">
        <w:rPr>
          <w:rFonts w:cs="Arial"/>
          <w:b w:val="0"/>
          <w:sz w:val="22"/>
          <w:szCs w:val="22"/>
        </w:rPr>
        <w:t xml:space="preserve">  </w:t>
      </w:r>
      <w:r w:rsidRPr="009D4E09">
        <w:rPr>
          <w:rFonts w:cs="Arial"/>
          <w:b w:val="0"/>
          <w:sz w:val="22"/>
          <w:szCs w:val="22"/>
        </w:rPr>
        <w:t xml:space="preserve">The </w:t>
      </w:r>
      <w:r w:rsidR="000B331C" w:rsidRPr="009D4E09">
        <w:rPr>
          <w:rFonts w:cs="Arial"/>
          <w:b w:val="0"/>
          <w:sz w:val="22"/>
          <w:szCs w:val="22"/>
        </w:rPr>
        <w:t>C</w:t>
      </w:r>
      <w:r w:rsidRPr="009D4E09">
        <w:rPr>
          <w:rFonts w:cs="Arial"/>
          <w:b w:val="0"/>
          <w:sz w:val="22"/>
          <w:szCs w:val="22"/>
        </w:rPr>
        <w:t xml:space="preserve">ouncil </w:t>
      </w:r>
      <w:r w:rsidR="000B331C" w:rsidRPr="009D4E09">
        <w:rPr>
          <w:rFonts w:cs="Arial"/>
          <w:b w:val="0"/>
          <w:sz w:val="22"/>
          <w:szCs w:val="22"/>
        </w:rPr>
        <w:t xml:space="preserve">would </w:t>
      </w:r>
      <w:r w:rsidRPr="009D4E09">
        <w:rPr>
          <w:rFonts w:cs="Arial"/>
          <w:b w:val="0"/>
          <w:sz w:val="22"/>
          <w:szCs w:val="22"/>
        </w:rPr>
        <w:t xml:space="preserve">take advice from </w:t>
      </w:r>
      <w:r w:rsidR="000B331C" w:rsidRPr="009D4E09">
        <w:rPr>
          <w:rFonts w:cs="Arial"/>
          <w:b w:val="0"/>
          <w:sz w:val="22"/>
          <w:szCs w:val="22"/>
        </w:rPr>
        <w:t>its retained treasury advisors before entering into any fund share purchase.</w:t>
      </w:r>
    </w:p>
    <w:p w:rsidR="00A56577" w:rsidRPr="009D4E09" w:rsidRDefault="00A56577" w:rsidP="000B331C">
      <w:pPr>
        <w:pStyle w:val="Heading2"/>
        <w:jc w:val="left"/>
        <w:rPr>
          <w:rFonts w:cs="Arial"/>
          <w:b w:val="0"/>
          <w:sz w:val="22"/>
          <w:szCs w:val="22"/>
        </w:rPr>
      </w:pPr>
    </w:p>
    <w:p w:rsidR="000B331C" w:rsidRPr="009D4E09" w:rsidRDefault="000B331C" w:rsidP="000B331C">
      <w:pPr>
        <w:rPr>
          <w:rFonts w:cs="Arial"/>
          <w:sz w:val="22"/>
          <w:szCs w:val="22"/>
        </w:rPr>
      </w:pPr>
      <w:r w:rsidRPr="009D4E09">
        <w:rPr>
          <w:rFonts w:cs="Arial"/>
          <w:sz w:val="22"/>
          <w:szCs w:val="22"/>
          <w:u w:val="single"/>
        </w:rPr>
        <w:t>Investment in Property – individual property acquisitions</w:t>
      </w:r>
      <w:r w:rsidRPr="009D4E09">
        <w:rPr>
          <w:rFonts w:cs="Arial"/>
          <w:sz w:val="22"/>
          <w:szCs w:val="22"/>
        </w:rPr>
        <w:t>.</w:t>
      </w:r>
    </w:p>
    <w:p w:rsidR="000B331C" w:rsidRPr="009D4E09" w:rsidRDefault="000B331C" w:rsidP="000B331C">
      <w:pPr>
        <w:rPr>
          <w:rFonts w:cs="Arial"/>
        </w:rPr>
      </w:pPr>
    </w:p>
    <w:p w:rsidR="000B331C" w:rsidRPr="009D4E09" w:rsidRDefault="000B331C" w:rsidP="000B331C">
      <w:pPr>
        <w:rPr>
          <w:rFonts w:cs="Arial"/>
          <w:sz w:val="22"/>
          <w:szCs w:val="22"/>
        </w:rPr>
      </w:pPr>
      <w:r w:rsidRPr="009D4E09">
        <w:rPr>
          <w:rFonts w:cs="Arial"/>
          <w:sz w:val="22"/>
          <w:szCs w:val="22"/>
        </w:rPr>
        <w:t>As an alternative to a pooled fund, the Council could acquire property for investment purposes which it would then own and collect a revenue rental stream from.  There may also be an element of capital growth or loss of value associated with this.</w:t>
      </w:r>
    </w:p>
    <w:p w:rsidR="000B331C" w:rsidRPr="009D4E09" w:rsidRDefault="000B331C" w:rsidP="000B331C">
      <w:pPr>
        <w:rPr>
          <w:rFonts w:cs="Arial"/>
          <w:sz w:val="22"/>
          <w:szCs w:val="22"/>
        </w:rPr>
      </w:pPr>
    </w:p>
    <w:p w:rsidR="000B331C" w:rsidRPr="009D4E09" w:rsidRDefault="000B331C" w:rsidP="000B331C">
      <w:pPr>
        <w:rPr>
          <w:rFonts w:cs="Arial"/>
          <w:sz w:val="22"/>
          <w:szCs w:val="22"/>
        </w:rPr>
      </w:pPr>
      <w:r w:rsidRPr="009D4E09">
        <w:rPr>
          <w:rFonts w:cs="Arial"/>
          <w:sz w:val="22"/>
          <w:szCs w:val="22"/>
        </w:rPr>
        <w:t>Investment property need not be limited to being within the Council</w:t>
      </w:r>
      <w:r w:rsidR="00B9302A" w:rsidRPr="009D4E09">
        <w:rPr>
          <w:rFonts w:cs="Arial"/>
          <w:sz w:val="22"/>
          <w:szCs w:val="22"/>
        </w:rPr>
        <w:t>’</w:t>
      </w:r>
      <w:r w:rsidRPr="009D4E09">
        <w:rPr>
          <w:rFonts w:cs="Arial"/>
          <w:sz w:val="22"/>
          <w:szCs w:val="22"/>
        </w:rPr>
        <w:t>s district boundaries as it is held solely for investment purposes with no econom</w:t>
      </w:r>
      <w:r w:rsidR="00B9302A" w:rsidRPr="009D4E09">
        <w:rPr>
          <w:rFonts w:cs="Arial"/>
          <w:sz w:val="22"/>
          <w:szCs w:val="22"/>
        </w:rPr>
        <w:t>ic development considerations.</w:t>
      </w:r>
    </w:p>
    <w:p w:rsidR="00B9302A" w:rsidRPr="009D4E09" w:rsidRDefault="00B9302A" w:rsidP="000B331C">
      <w:pPr>
        <w:rPr>
          <w:rFonts w:cs="Arial"/>
          <w:sz w:val="22"/>
          <w:szCs w:val="22"/>
        </w:rPr>
      </w:pPr>
    </w:p>
    <w:p w:rsidR="00B9302A" w:rsidRPr="009D4E09" w:rsidRDefault="00B9302A" w:rsidP="000B331C">
      <w:pPr>
        <w:rPr>
          <w:rFonts w:cs="Arial"/>
          <w:sz w:val="22"/>
          <w:szCs w:val="22"/>
        </w:rPr>
      </w:pPr>
      <w:r w:rsidRPr="009D4E09">
        <w:rPr>
          <w:rFonts w:cs="Arial"/>
          <w:sz w:val="22"/>
          <w:szCs w:val="22"/>
        </w:rPr>
        <w:t xml:space="preserve">Any properties would have to be managed, either in-house or through a management company. </w:t>
      </w:r>
    </w:p>
    <w:p w:rsidR="00B9302A" w:rsidRPr="009D4E09" w:rsidRDefault="00B9302A" w:rsidP="000B331C">
      <w:pPr>
        <w:rPr>
          <w:rFonts w:cs="Arial"/>
          <w:sz w:val="22"/>
          <w:szCs w:val="22"/>
        </w:rPr>
      </w:pPr>
    </w:p>
    <w:p w:rsidR="00B9302A" w:rsidRPr="009D4E09" w:rsidRDefault="00B9302A" w:rsidP="000B331C">
      <w:pPr>
        <w:rPr>
          <w:rFonts w:cs="Arial"/>
          <w:sz w:val="22"/>
          <w:szCs w:val="22"/>
        </w:rPr>
      </w:pPr>
      <w:r w:rsidRPr="009D4E09">
        <w:rPr>
          <w:rFonts w:cs="Arial"/>
          <w:sz w:val="22"/>
          <w:szCs w:val="22"/>
        </w:rPr>
        <w:t xml:space="preserve">The acquisition of any property must be dependent on a full business case being presented and the case made for investment.  Levels of risk should be in line with the Council’s standard approach on all investments and yield should not be the governing factor. </w:t>
      </w:r>
    </w:p>
    <w:p w:rsidR="00B9302A" w:rsidRPr="009D4E09" w:rsidRDefault="00B9302A" w:rsidP="000B331C">
      <w:pPr>
        <w:rPr>
          <w:rFonts w:cs="Arial"/>
          <w:sz w:val="22"/>
          <w:szCs w:val="22"/>
        </w:rPr>
      </w:pPr>
    </w:p>
    <w:p w:rsidR="00B9302A" w:rsidRPr="009D4E09" w:rsidRDefault="00B9302A" w:rsidP="000B331C">
      <w:pPr>
        <w:rPr>
          <w:rFonts w:cs="Arial"/>
          <w:sz w:val="22"/>
          <w:szCs w:val="22"/>
        </w:rPr>
      </w:pPr>
      <w:r w:rsidRPr="009D4E09">
        <w:rPr>
          <w:rFonts w:cs="Arial"/>
          <w:sz w:val="22"/>
          <w:szCs w:val="22"/>
        </w:rPr>
        <w:t>Property investment could be in residential or commercial (eg: retail, office, industrial) properties and consideration must be given to location, security</w:t>
      </w:r>
      <w:r w:rsidR="00B81109" w:rsidRPr="009D4E09">
        <w:rPr>
          <w:rFonts w:cs="Arial"/>
          <w:sz w:val="22"/>
          <w:szCs w:val="22"/>
        </w:rPr>
        <w:t xml:space="preserve"> and term</w:t>
      </w:r>
      <w:r w:rsidRPr="009D4E09">
        <w:rPr>
          <w:rFonts w:cs="Arial"/>
          <w:sz w:val="22"/>
          <w:szCs w:val="22"/>
        </w:rPr>
        <w:t xml:space="preserve"> of tenure, rental reviews, standard of maintenance and </w:t>
      </w:r>
      <w:r w:rsidR="00B81109" w:rsidRPr="009D4E09">
        <w:rPr>
          <w:rFonts w:cs="Arial"/>
          <w:sz w:val="22"/>
          <w:szCs w:val="22"/>
        </w:rPr>
        <w:t>asset value.  VAT implications should always be considered prior to making a purchase.</w:t>
      </w:r>
      <w:r w:rsidRPr="009D4E09">
        <w:rPr>
          <w:rFonts w:cs="Arial"/>
          <w:sz w:val="22"/>
          <w:szCs w:val="22"/>
        </w:rPr>
        <w:t xml:space="preserve">  </w:t>
      </w:r>
    </w:p>
    <w:p w:rsidR="000B331C" w:rsidRPr="009D4E09" w:rsidRDefault="000B331C" w:rsidP="000B331C">
      <w:pPr>
        <w:rPr>
          <w:rFonts w:cs="Arial"/>
          <w:sz w:val="22"/>
          <w:szCs w:val="22"/>
        </w:rPr>
      </w:pPr>
    </w:p>
    <w:p w:rsidR="00B9302A" w:rsidRPr="009D4E09" w:rsidRDefault="00B9302A" w:rsidP="000B331C">
      <w:pPr>
        <w:rPr>
          <w:rFonts w:cs="Arial"/>
          <w:sz w:val="22"/>
          <w:szCs w:val="22"/>
        </w:rPr>
      </w:pPr>
      <w:r w:rsidRPr="009D4E09">
        <w:rPr>
          <w:rFonts w:cs="Arial"/>
          <w:sz w:val="22"/>
          <w:szCs w:val="22"/>
          <w:u w:val="single"/>
        </w:rPr>
        <w:t>Property strategy</w:t>
      </w:r>
      <w:r w:rsidRPr="009D4E09">
        <w:rPr>
          <w:rFonts w:cs="Arial"/>
          <w:sz w:val="22"/>
          <w:szCs w:val="22"/>
        </w:rPr>
        <w:t>.</w:t>
      </w:r>
    </w:p>
    <w:p w:rsidR="00B9302A" w:rsidRPr="009D4E09" w:rsidRDefault="00B9302A" w:rsidP="000B331C">
      <w:pPr>
        <w:rPr>
          <w:rFonts w:cs="Arial"/>
          <w:sz w:val="22"/>
          <w:szCs w:val="22"/>
        </w:rPr>
      </w:pPr>
    </w:p>
    <w:p w:rsidR="000B331C" w:rsidRPr="009D4E09" w:rsidRDefault="000B331C" w:rsidP="000B331C">
      <w:pPr>
        <w:pStyle w:val="Heading2"/>
        <w:jc w:val="left"/>
        <w:rPr>
          <w:rFonts w:cs="Arial"/>
          <w:b w:val="0"/>
          <w:sz w:val="22"/>
          <w:szCs w:val="22"/>
        </w:rPr>
      </w:pPr>
      <w:r w:rsidRPr="009D4E09">
        <w:rPr>
          <w:rFonts w:cs="Arial"/>
          <w:b w:val="0"/>
          <w:sz w:val="22"/>
          <w:szCs w:val="22"/>
        </w:rPr>
        <w:t xml:space="preserve">To enable investments in </w:t>
      </w:r>
      <w:r w:rsidR="00B9302A" w:rsidRPr="009D4E09">
        <w:rPr>
          <w:rFonts w:cs="Arial"/>
          <w:b w:val="0"/>
          <w:sz w:val="22"/>
          <w:szCs w:val="22"/>
        </w:rPr>
        <w:t>p</w:t>
      </w:r>
      <w:r w:rsidRPr="009D4E09">
        <w:rPr>
          <w:rFonts w:cs="Arial"/>
          <w:b w:val="0"/>
          <w:sz w:val="22"/>
          <w:szCs w:val="22"/>
        </w:rPr>
        <w:t>roperty</w:t>
      </w:r>
      <w:r w:rsidR="00B9302A" w:rsidRPr="009D4E09">
        <w:rPr>
          <w:rFonts w:cs="Arial"/>
          <w:b w:val="0"/>
          <w:sz w:val="22"/>
          <w:szCs w:val="22"/>
        </w:rPr>
        <w:t>, th</w:t>
      </w:r>
      <w:r w:rsidRPr="009D4E09">
        <w:rPr>
          <w:rFonts w:cs="Arial"/>
          <w:b w:val="0"/>
          <w:sz w:val="22"/>
          <w:szCs w:val="22"/>
        </w:rPr>
        <w:t xml:space="preserve">e following </w:t>
      </w:r>
      <w:r w:rsidR="00B9302A" w:rsidRPr="009D4E09">
        <w:rPr>
          <w:rFonts w:cs="Arial"/>
          <w:b w:val="0"/>
          <w:sz w:val="22"/>
          <w:szCs w:val="22"/>
        </w:rPr>
        <w:t xml:space="preserve">should be included in the </w:t>
      </w:r>
      <w:r w:rsidRPr="009D4E09">
        <w:rPr>
          <w:rFonts w:cs="Arial"/>
          <w:b w:val="0"/>
          <w:sz w:val="22"/>
          <w:szCs w:val="22"/>
        </w:rPr>
        <w:t>investment portfolio</w:t>
      </w:r>
      <w:r w:rsidR="00B9302A" w:rsidRPr="009D4E09">
        <w:rPr>
          <w:rFonts w:cs="Arial"/>
          <w:b w:val="0"/>
          <w:sz w:val="22"/>
          <w:szCs w:val="22"/>
        </w:rPr>
        <w:t>:</w:t>
      </w:r>
    </w:p>
    <w:p w:rsidR="00B9302A" w:rsidRPr="009D4E09" w:rsidRDefault="00B9302A" w:rsidP="00B9302A">
      <w:pPr>
        <w:rPr>
          <w:rFonts w:cs="Arial"/>
        </w:rPr>
      </w:pPr>
    </w:p>
    <w:p w:rsidR="000B331C" w:rsidRPr="009D4E09" w:rsidRDefault="000B331C" w:rsidP="000B331C">
      <w:pPr>
        <w:rPr>
          <w:rFonts w:cs="Arial"/>
          <w:sz w:val="22"/>
          <w:szCs w:val="22"/>
        </w:rPr>
      </w:pPr>
    </w:p>
    <w:tbl>
      <w:tblPr>
        <w:tblW w:w="87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17"/>
        <w:gridCol w:w="1183"/>
        <w:gridCol w:w="1418"/>
        <w:gridCol w:w="2835"/>
      </w:tblGrid>
      <w:tr w:rsidR="000B331C" w:rsidRPr="009D4E09" w:rsidTr="00B9302A">
        <w:tc>
          <w:tcPr>
            <w:tcW w:w="1740" w:type="dxa"/>
            <w:shd w:val="clear" w:color="auto" w:fill="F2F2F2" w:themeFill="background1" w:themeFillShade="F2"/>
          </w:tcPr>
          <w:p w:rsidR="000B331C" w:rsidRPr="009D4E09" w:rsidRDefault="000B331C" w:rsidP="000B331C">
            <w:pPr>
              <w:rPr>
                <w:rFonts w:cs="Arial"/>
                <w:sz w:val="22"/>
                <w:szCs w:val="22"/>
              </w:rPr>
            </w:pPr>
          </w:p>
        </w:tc>
        <w:tc>
          <w:tcPr>
            <w:tcW w:w="1617" w:type="dxa"/>
            <w:shd w:val="clear" w:color="auto" w:fill="F2F2F2" w:themeFill="background1" w:themeFillShade="F2"/>
          </w:tcPr>
          <w:p w:rsidR="000B331C" w:rsidRPr="009D4E09" w:rsidRDefault="000B331C" w:rsidP="000B331C">
            <w:pPr>
              <w:rPr>
                <w:rFonts w:cs="Arial"/>
                <w:sz w:val="22"/>
                <w:szCs w:val="22"/>
              </w:rPr>
            </w:pPr>
            <w:r w:rsidRPr="009D4E09">
              <w:rPr>
                <w:rFonts w:cs="Arial"/>
                <w:sz w:val="22"/>
                <w:szCs w:val="22"/>
              </w:rPr>
              <w:t>Security /Minimum Credit Rating</w:t>
            </w:r>
          </w:p>
        </w:tc>
        <w:tc>
          <w:tcPr>
            <w:tcW w:w="1183" w:type="dxa"/>
            <w:shd w:val="clear" w:color="auto" w:fill="F2F2F2" w:themeFill="background1" w:themeFillShade="F2"/>
          </w:tcPr>
          <w:p w:rsidR="000B331C" w:rsidRPr="009D4E09" w:rsidRDefault="000B331C" w:rsidP="000B331C">
            <w:pPr>
              <w:rPr>
                <w:rFonts w:cs="Arial"/>
                <w:sz w:val="22"/>
                <w:szCs w:val="22"/>
              </w:rPr>
            </w:pPr>
            <w:r w:rsidRPr="009D4E09">
              <w:rPr>
                <w:rFonts w:cs="Arial"/>
                <w:sz w:val="22"/>
                <w:szCs w:val="22"/>
              </w:rPr>
              <w:t>Use</w:t>
            </w:r>
          </w:p>
        </w:tc>
        <w:tc>
          <w:tcPr>
            <w:tcW w:w="1418" w:type="dxa"/>
            <w:shd w:val="clear" w:color="auto" w:fill="F2F2F2" w:themeFill="background1" w:themeFillShade="F2"/>
          </w:tcPr>
          <w:p w:rsidR="000B331C" w:rsidRPr="009D4E09" w:rsidRDefault="000B331C" w:rsidP="000B331C">
            <w:pPr>
              <w:rPr>
                <w:rFonts w:cs="Arial"/>
                <w:sz w:val="22"/>
                <w:szCs w:val="22"/>
              </w:rPr>
            </w:pPr>
            <w:r w:rsidRPr="009D4E09">
              <w:rPr>
                <w:rFonts w:cs="Arial"/>
                <w:sz w:val="22"/>
                <w:szCs w:val="22"/>
              </w:rPr>
              <w:t>Maximum Investment</w:t>
            </w:r>
          </w:p>
        </w:tc>
        <w:tc>
          <w:tcPr>
            <w:tcW w:w="2835" w:type="dxa"/>
            <w:shd w:val="clear" w:color="auto" w:fill="F2F2F2" w:themeFill="background1" w:themeFillShade="F2"/>
          </w:tcPr>
          <w:p w:rsidR="000B331C" w:rsidRPr="009D4E09" w:rsidRDefault="000B331C" w:rsidP="000B331C">
            <w:pPr>
              <w:rPr>
                <w:rFonts w:cs="Arial"/>
                <w:sz w:val="22"/>
                <w:szCs w:val="22"/>
              </w:rPr>
            </w:pPr>
            <w:r w:rsidRPr="009D4E09">
              <w:rPr>
                <w:rFonts w:cs="Arial"/>
                <w:sz w:val="22"/>
                <w:szCs w:val="22"/>
              </w:rPr>
              <w:t>Maximum Period</w:t>
            </w:r>
          </w:p>
        </w:tc>
      </w:tr>
      <w:tr w:rsidR="000B331C" w:rsidRPr="009D4E09" w:rsidTr="00B9302A">
        <w:tc>
          <w:tcPr>
            <w:tcW w:w="1740" w:type="dxa"/>
            <w:shd w:val="clear" w:color="auto" w:fill="auto"/>
          </w:tcPr>
          <w:p w:rsidR="000B331C" w:rsidRPr="009D4E09" w:rsidRDefault="000B331C" w:rsidP="000B331C">
            <w:pPr>
              <w:rPr>
                <w:rFonts w:cs="Arial"/>
                <w:sz w:val="22"/>
                <w:szCs w:val="22"/>
              </w:rPr>
            </w:pPr>
            <w:r w:rsidRPr="009D4E09">
              <w:rPr>
                <w:rFonts w:cs="Arial"/>
                <w:sz w:val="22"/>
                <w:szCs w:val="22"/>
              </w:rPr>
              <w:t xml:space="preserve">Property </w:t>
            </w:r>
            <w:r w:rsidR="00B9302A" w:rsidRPr="009D4E09">
              <w:rPr>
                <w:rFonts w:cs="Arial"/>
                <w:sz w:val="22"/>
                <w:szCs w:val="22"/>
              </w:rPr>
              <w:t xml:space="preserve">Investment </w:t>
            </w:r>
            <w:r w:rsidRPr="009D4E09">
              <w:rPr>
                <w:rFonts w:cs="Arial"/>
                <w:sz w:val="22"/>
                <w:szCs w:val="22"/>
              </w:rPr>
              <w:t>Fund</w:t>
            </w:r>
          </w:p>
        </w:tc>
        <w:tc>
          <w:tcPr>
            <w:tcW w:w="1617" w:type="dxa"/>
            <w:shd w:val="clear" w:color="auto" w:fill="auto"/>
          </w:tcPr>
          <w:p w:rsidR="000B331C" w:rsidRPr="009D4E09" w:rsidRDefault="00B9302A" w:rsidP="00B9302A">
            <w:pPr>
              <w:rPr>
                <w:rFonts w:cs="Arial"/>
                <w:sz w:val="22"/>
                <w:szCs w:val="22"/>
              </w:rPr>
            </w:pPr>
            <w:r w:rsidRPr="009D4E09">
              <w:rPr>
                <w:rFonts w:cs="Arial"/>
                <w:sz w:val="22"/>
                <w:szCs w:val="22"/>
              </w:rPr>
              <w:t>TBA</w:t>
            </w:r>
          </w:p>
        </w:tc>
        <w:tc>
          <w:tcPr>
            <w:tcW w:w="1183" w:type="dxa"/>
            <w:shd w:val="clear" w:color="auto" w:fill="auto"/>
          </w:tcPr>
          <w:p w:rsidR="000B331C" w:rsidRPr="009D4E09" w:rsidRDefault="000B331C" w:rsidP="000B331C">
            <w:pPr>
              <w:rPr>
                <w:rFonts w:cs="Arial"/>
                <w:sz w:val="22"/>
                <w:szCs w:val="22"/>
              </w:rPr>
            </w:pPr>
            <w:r w:rsidRPr="009D4E09">
              <w:rPr>
                <w:rFonts w:cs="Arial"/>
                <w:sz w:val="22"/>
                <w:szCs w:val="22"/>
              </w:rPr>
              <w:t>In house</w:t>
            </w:r>
          </w:p>
        </w:tc>
        <w:tc>
          <w:tcPr>
            <w:tcW w:w="1418" w:type="dxa"/>
            <w:shd w:val="clear" w:color="auto" w:fill="auto"/>
          </w:tcPr>
          <w:p w:rsidR="000B331C" w:rsidRPr="009D4E09" w:rsidRDefault="000B331C" w:rsidP="00B9302A">
            <w:pPr>
              <w:rPr>
                <w:rFonts w:cs="Arial"/>
                <w:sz w:val="22"/>
                <w:szCs w:val="22"/>
              </w:rPr>
            </w:pPr>
            <w:r w:rsidRPr="009D4E09">
              <w:rPr>
                <w:rFonts w:cs="Arial"/>
                <w:sz w:val="22"/>
                <w:szCs w:val="22"/>
              </w:rPr>
              <w:t>£</w:t>
            </w:r>
            <w:r w:rsidR="00B9302A" w:rsidRPr="009D4E09">
              <w:rPr>
                <w:rFonts w:cs="Arial"/>
                <w:sz w:val="22"/>
                <w:szCs w:val="22"/>
              </w:rPr>
              <w:t>X m</w:t>
            </w:r>
          </w:p>
        </w:tc>
        <w:tc>
          <w:tcPr>
            <w:tcW w:w="2835" w:type="dxa"/>
            <w:shd w:val="clear" w:color="auto" w:fill="auto"/>
          </w:tcPr>
          <w:p w:rsidR="000B331C" w:rsidRPr="009D4E09" w:rsidRDefault="000B331C" w:rsidP="000B331C">
            <w:pPr>
              <w:rPr>
                <w:rFonts w:cs="Arial"/>
                <w:sz w:val="22"/>
                <w:szCs w:val="22"/>
              </w:rPr>
            </w:pPr>
            <w:r w:rsidRPr="009D4E09">
              <w:rPr>
                <w:rFonts w:cs="Arial"/>
                <w:sz w:val="22"/>
                <w:szCs w:val="22"/>
              </w:rPr>
              <w:t>These funds do not have a defined maturity date</w:t>
            </w:r>
            <w:r w:rsidR="00B9302A" w:rsidRPr="009D4E09">
              <w:rPr>
                <w:rFonts w:cs="Arial"/>
                <w:sz w:val="22"/>
                <w:szCs w:val="22"/>
              </w:rPr>
              <w:t xml:space="preserve"> but can normally be liquidated on a given notice period.</w:t>
            </w:r>
          </w:p>
        </w:tc>
      </w:tr>
      <w:tr w:rsidR="00B9302A" w:rsidRPr="009D4E09" w:rsidTr="00B9302A">
        <w:tc>
          <w:tcPr>
            <w:tcW w:w="1740" w:type="dxa"/>
            <w:shd w:val="clear" w:color="auto" w:fill="auto"/>
          </w:tcPr>
          <w:p w:rsidR="00B9302A" w:rsidRPr="009D4E09" w:rsidRDefault="00B9302A" w:rsidP="000B331C">
            <w:pPr>
              <w:rPr>
                <w:rFonts w:cs="Arial"/>
                <w:sz w:val="22"/>
                <w:szCs w:val="22"/>
              </w:rPr>
            </w:pPr>
            <w:r w:rsidRPr="009D4E09">
              <w:rPr>
                <w:rFonts w:cs="Arial"/>
                <w:sz w:val="22"/>
                <w:szCs w:val="22"/>
              </w:rPr>
              <w:t>Individual property assets purchase</w:t>
            </w:r>
          </w:p>
        </w:tc>
        <w:tc>
          <w:tcPr>
            <w:tcW w:w="1617" w:type="dxa"/>
            <w:shd w:val="clear" w:color="auto" w:fill="auto"/>
          </w:tcPr>
          <w:p w:rsidR="00B9302A" w:rsidRPr="009D4E09" w:rsidRDefault="00B9302A" w:rsidP="00B9302A">
            <w:pPr>
              <w:rPr>
                <w:rFonts w:cs="Arial"/>
                <w:sz w:val="22"/>
                <w:szCs w:val="22"/>
              </w:rPr>
            </w:pPr>
            <w:r w:rsidRPr="009D4E09">
              <w:rPr>
                <w:rFonts w:cs="Arial"/>
                <w:sz w:val="22"/>
                <w:szCs w:val="22"/>
              </w:rPr>
              <w:t>N/A but risk should be assessed on an individual basis</w:t>
            </w:r>
          </w:p>
        </w:tc>
        <w:tc>
          <w:tcPr>
            <w:tcW w:w="1183" w:type="dxa"/>
            <w:shd w:val="clear" w:color="auto" w:fill="auto"/>
          </w:tcPr>
          <w:p w:rsidR="00B9302A" w:rsidRPr="009D4E09" w:rsidRDefault="00B81109" w:rsidP="000B331C">
            <w:pPr>
              <w:rPr>
                <w:rFonts w:cs="Arial"/>
                <w:sz w:val="22"/>
                <w:szCs w:val="22"/>
              </w:rPr>
            </w:pPr>
            <w:r w:rsidRPr="009D4E09">
              <w:rPr>
                <w:rFonts w:cs="Arial"/>
                <w:sz w:val="22"/>
                <w:szCs w:val="22"/>
              </w:rPr>
              <w:t>In house</w:t>
            </w:r>
          </w:p>
        </w:tc>
        <w:tc>
          <w:tcPr>
            <w:tcW w:w="1418" w:type="dxa"/>
            <w:shd w:val="clear" w:color="auto" w:fill="auto"/>
          </w:tcPr>
          <w:p w:rsidR="00B9302A" w:rsidRPr="009D4E09" w:rsidRDefault="00B81109" w:rsidP="00B9302A">
            <w:pPr>
              <w:rPr>
                <w:rFonts w:cs="Arial"/>
                <w:sz w:val="22"/>
                <w:szCs w:val="22"/>
              </w:rPr>
            </w:pPr>
            <w:r w:rsidRPr="009D4E09">
              <w:rPr>
                <w:rFonts w:cs="Arial"/>
                <w:sz w:val="22"/>
                <w:szCs w:val="22"/>
              </w:rPr>
              <w:t>£X m</w:t>
            </w:r>
          </w:p>
        </w:tc>
        <w:tc>
          <w:tcPr>
            <w:tcW w:w="2835" w:type="dxa"/>
            <w:shd w:val="clear" w:color="auto" w:fill="auto"/>
          </w:tcPr>
          <w:p w:rsidR="00B9302A" w:rsidRPr="009D4E09" w:rsidRDefault="00B81109" w:rsidP="00B81109">
            <w:pPr>
              <w:rPr>
                <w:rFonts w:cs="Arial"/>
                <w:sz w:val="22"/>
                <w:szCs w:val="22"/>
              </w:rPr>
            </w:pPr>
            <w:r w:rsidRPr="009D4E09">
              <w:rPr>
                <w:rFonts w:cs="Arial"/>
                <w:sz w:val="22"/>
                <w:szCs w:val="22"/>
              </w:rPr>
              <w:t>These are normally long-term holds for revenue income stream purposes, however assets can be disposed of to realise capital funds</w:t>
            </w:r>
          </w:p>
        </w:tc>
      </w:tr>
    </w:tbl>
    <w:p w:rsidR="000B331C" w:rsidRPr="009D4E09" w:rsidRDefault="000B331C" w:rsidP="000B331C">
      <w:pPr>
        <w:ind w:left="720"/>
        <w:rPr>
          <w:rFonts w:cs="Arial"/>
          <w:sz w:val="22"/>
          <w:szCs w:val="22"/>
        </w:rPr>
      </w:pPr>
    </w:p>
    <w:p w:rsidR="0097368D" w:rsidRPr="009D4E09" w:rsidRDefault="0097368D" w:rsidP="000B331C">
      <w:pPr>
        <w:pStyle w:val="Heading2"/>
        <w:jc w:val="left"/>
        <w:rPr>
          <w:rFonts w:cs="Arial"/>
          <w:b w:val="0"/>
          <w:sz w:val="22"/>
          <w:szCs w:val="22"/>
        </w:rPr>
      </w:pPr>
    </w:p>
    <w:p w:rsidR="0097368D" w:rsidRPr="009D4E09" w:rsidRDefault="000B331C" w:rsidP="0097368D">
      <w:pPr>
        <w:pStyle w:val="Heading2"/>
        <w:jc w:val="left"/>
        <w:rPr>
          <w:rFonts w:cs="Arial"/>
          <w:b w:val="0"/>
          <w:sz w:val="22"/>
          <w:szCs w:val="22"/>
        </w:rPr>
      </w:pPr>
      <w:r w:rsidRPr="009D4E09">
        <w:rPr>
          <w:rFonts w:cs="Arial"/>
          <w:b w:val="0"/>
          <w:sz w:val="22"/>
          <w:szCs w:val="22"/>
        </w:rPr>
        <w:t xml:space="preserve">The </w:t>
      </w:r>
      <w:r w:rsidR="00B81109" w:rsidRPr="009D4E09">
        <w:rPr>
          <w:rFonts w:cs="Arial"/>
          <w:b w:val="0"/>
          <w:sz w:val="22"/>
          <w:szCs w:val="22"/>
        </w:rPr>
        <w:t xml:space="preserve">Council must ensure it has </w:t>
      </w:r>
      <w:r w:rsidRPr="009D4E09">
        <w:rPr>
          <w:rFonts w:cs="Arial"/>
          <w:b w:val="0"/>
          <w:sz w:val="22"/>
          <w:szCs w:val="22"/>
        </w:rPr>
        <w:t xml:space="preserve">reasonably adequate level of </w:t>
      </w:r>
      <w:r w:rsidR="00B81109" w:rsidRPr="009D4E09">
        <w:rPr>
          <w:rFonts w:cs="Arial"/>
          <w:b w:val="0"/>
          <w:sz w:val="22"/>
          <w:szCs w:val="22"/>
        </w:rPr>
        <w:t xml:space="preserve">core funds </w:t>
      </w:r>
      <w:r w:rsidRPr="009D4E09">
        <w:rPr>
          <w:rFonts w:cs="Arial"/>
          <w:b w:val="0"/>
          <w:sz w:val="22"/>
          <w:szCs w:val="22"/>
        </w:rPr>
        <w:t>to facilitate the expenditure in property investment.</w:t>
      </w:r>
      <w:r w:rsidR="0097368D" w:rsidRPr="009D4E09">
        <w:rPr>
          <w:rFonts w:cs="Arial"/>
          <w:b w:val="0"/>
          <w:sz w:val="22"/>
          <w:szCs w:val="22"/>
        </w:rPr>
        <w:t xml:space="preserve">  The council will not invest more than </w:t>
      </w:r>
      <w:r w:rsidR="0097368D" w:rsidRPr="009D4E09">
        <w:rPr>
          <w:rFonts w:cs="Arial"/>
          <w:b w:val="0"/>
          <w:sz w:val="22"/>
          <w:szCs w:val="22"/>
          <w:highlight w:val="yellow"/>
        </w:rPr>
        <w:t>50%</w:t>
      </w:r>
      <w:r w:rsidR="0097368D" w:rsidRPr="009D4E09">
        <w:rPr>
          <w:rFonts w:cs="Arial"/>
          <w:b w:val="0"/>
          <w:sz w:val="22"/>
          <w:szCs w:val="22"/>
        </w:rPr>
        <w:t xml:space="preserve"> of its core funds in property.</w:t>
      </w:r>
    </w:p>
    <w:p w:rsidR="000B331C" w:rsidRPr="009D4E09" w:rsidRDefault="000B331C" w:rsidP="000B331C">
      <w:pPr>
        <w:pStyle w:val="Heading2"/>
        <w:jc w:val="left"/>
        <w:rPr>
          <w:rFonts w:cs="Arial"/>
          <w:b w:val="0"/>
          <w:sz w:val="22"/>
          <w:szCs w:val="22"/>
        </w:rPr>
      </w:pPr>
    </w:p>
    <w:p w:rsidR="000B331C" w:rsidRPr="009D4E09" w:rsidRDefault="000B331C" w:rsidP="000B331C">
      <w:pPr>
        <w:rPr>
          <w:rFonts w:cs="Arial"/>
        </w:rPr>
      </w:pPr>
    </w:p>
    <w:sectPr w:rsidR="000B331C" w:rsidRPr="009D4E09" w:rsidSect="000E18B8">
      <w:headerReference w:type="default" r:id="rId12"/>
      <w:pgSz w:w="11906" w:h="16838" w:code="9"/>
      <w:pgMar w:top="1077" w:right="1287" w:bottom="902"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02A" w:rsidRDefault="00B9302A">
      <w:r>
        <w:separator/>
      </w:r>
    </w:p>
  </w:endnote>
  <w:endnote w:type="continuationSeparator" w:id="0">
    <w:p w:rsidR="00B9302A" w:rsidRDefault="00B9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undryFormSans-Book">
    <w:altName w:val="BlissFractions Light"/>
    <w:panose1 w:val="00000000000000000000"/>
    <w:charset w:val="00"/>
    <w:family w:val="auto"/>
    <w:notTrueType/>
    <w:pitch w:val="variable"/>
    <w:sig w:usb0="00000003" w:usb1="00000000" w:usb2="00000000" w:usb3="00000000" w:csb0="00000001" w:csb1="00000000"/>
  </w:font>
  <w:font w:name="RotisSansSerifExtraBold">
    <w:charset w:val="00"/>
    <w:family w:val="auto"/>
    <w:pitch w:val="variable"/>
    <w:sig w:usb0="00000003" w:usb1="00000000" w:usb2="00000000" w:usb3="00000000" w:csb0="00000001" w:csb1="00000000"/>
  </w:font>
  <w:font w:name="Novarese Medium">
    <w:panose1 w:val="00000000000000000000"/>
    <w:charset w:val="00"/>
    <w:family w:val="roman"/>
    <w:notTrueType/>
    <w:pitch w:val="variable"/>
    <w:sig w:usb0="00000003" w:usb1="00000000" w:usb2="00000000" w:usb3="00000000" w:csb0="00000001" w:csb1="00000000"/>
  </w:font>
  <w:font w:name="Bliss 2 Regular">
    <w:altName w:val="Franklin Gothic Medium Cond"/>
    <w:panose1 w:val="00000000000000000000"/>
    <w:charset w:val="00"/>
    <w:family w:val="modern"/>
    <w:notTrueType/>
    <w:pitch w:val="variable"/>
    <w:sig w:usb0="00000087"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2A" w:rsidRDefault="00B9302A" w:rsidP="000352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B9302A" w:rsidRDefault="00B9302A" w:rsidP="000352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2A" w:rsidRPr="00052887" w:rsidRDefault="00B9302A" w:rsidP="000352E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02A" w:rsidRPr="001313AE" w:rsidRDefault="00B9302A" w:rsidP="001313AE">
      <w:pPr>
        <w:pStyle w:val="Footer"/>
      </w:pPr>
    </w:p>
  </w:footnote>
  <w:footnote w:type="continuationSeparator" w:id="0">
    <w:p w:rsidR="00B9302A" w:rsidRDefault="00B9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2A" w:rsidRPr="006E7DEB" w:rsidRDefault="00B9302A" w:rsidP="000352E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2A" w:rsidRDefault="00B9302A">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2A" w:rsidRDefault="00B9302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444EA0"/>
    <w:lvl w:ilvl="0">
      <w:numFmt w:val="decimal"/>
      <w:lvlText w:val="*"/>
      <w:lvlJc w:val="left"/>
    </w:lvl>
  </w:abstractNum>
  <w:abstractNum w:abstractNumId="1">
    <w:nsid w:val="0016779A"/>
    <w:multiLevelType w:val="hybridMultilevel"/>
    <w:tmpl w:val="2F900848"/>
    <w:lvl w:ilvl="0" w:tplc="08090005">
      <w:start w:val="1"/>
      <w:numFmt w:val="bullet"/>
      <w:lvlText w:val=""/>
      <w:lvlJc w:val="left"/>
      <w:pPr>
        <w:tabs>
          <w:tab w:val="num" w:pos="2043"/>
        </w:tabs>
        <w:ind w:left="2043" w:hanging="360"/>
      </w:pPr>
      <w:rPr>
        <w:rFonts w:ascii="Wingdings" w:hAnsi="Wingdings" w:hint="default"/>
        <w:color w:val="auto"/>
      </w:rPr>
    </w:lvl>
    <w:lvl w:ilvl="1" w:tplc="08090003" w:tentative="1">
      <w:start w:val="1"/>
      <w:numFmt w:val="bullet"/>
      <w:lvlText w:val="o"/>
      <w:lvlJc w:val="left"/>
      <w:pPr>
        <w:tabs>
          <w:tab w:val="num" w:pos="3066"/>
        </w:tabs>
        <w:ind w:left="3066" w:hanging="360"/>
      </w:pPr>
      <w:rPr>
        <w:rFonts w:ascii="Courier New" w:hAnsi="Courier New" w:cs="Courier New" w:hint="default"/>
      </w:rPr>
    </w:lvl>
    <w:lvl w:ilvl="2" w:tplc="08090005" w:tentative="1">
      <w:start w:val="1"/>
      <w:numFmt w:val="bullet"/>
      <w:lvlText w:val=""/>
      <w:lvlJc w:val="left"/>
      <w:pPr>
        <w:tabs>
          <w:tab w:val="num" w:pos="3786"/>
        </w:tabs>
        <w:ind w:left="3786" w:hanging="360"/>
      </w:pPr>
      <w:rPr>
        <w:rFonts w:ascii="Wingdings" w:hAnsi="Wingdings" w:hint="default"/>
      </w:rPr>
    </w:lvl>
    <w:lvl w:ilvl="3" w:tplc="08090001" w:tentative="1">
      <w:start w:val="1"/>
      <w:numFmt w:val="bullet"/>
      <w:lvlText w:val=""/>
      <w:lvlJc w:val="left"/>
      <w:pPr>
        <w:tabs>
          <w:tab w:val="num" w:pos="4506"/>
        </w:tabs>
        <w:ind w:left="4506" w:hanging="360"/>
      </w:pPr>
      <w:rPr>
        <w:rFonts w:ascii="Symbol" w:hAnsi="Symbol" w:hint="default"/>
      </w:rPr>
    </w:lvl>
    <w:lvl w:ilvl="4" w:tplc="08090003" w:tentative="1">
      <w:start w:val="1"/>
      <w:numFmt w:val="bullet"/>
      <w:lvlText w:val="o"/>
      <w:lvlJc w:val="left"/>
      <w:pPr>
        <w:tabs>
          <w:tab w:val="num" w:pos="5226"/>
        </w:tabs>
        <w:ind w:left="5226" w:hanging="360"/>
      </w:pPr>
      <w:rPr>
        <w:rFonts w:ascii="Courier New" w:hAnsi="Courier New" w:cs="Courier New" w:hint="default"/>
      </w:rPr>
    </w:lvl>
    <w:lvl w:ilvl="5" w:tplc="08090005" w:tentative="1">
      <w:start w:val="1"/>
      <w:numFmt w:val="bullet"/>
      <w:lvlText w:val=""/>
      <w:lvlJc w:val="left"/>
      <w:pPr>
        <w:tabs>
          <w:tab w:val="num" w:pos="5946"/>
        </w:tabs>
        <w:ind w:left="5946" w:hanging="360"/>
      </w:pPr>
      <w:rPr>
        <w:rFonts w:ascii="Wingdings" w:hAnsi="Wingdings" w:hint="default"/>
      </w:rPr>
    </w:lvl>
    <w:lvl w:ilvl="6" w:tplc="08090001" w:tentative="1">
      <w:start w:val="1"/>
      <w:numFmt w:val="bullet"/>
      <w:lvlText w:val=""/>
      <w:lvlJc w:val="left"/>
      <w:pPr>
        <w:tabs>
          <w:tab w:val="num" w:pos="6666"/>
        </w:tabs>
        <w:ind w:left="6666" w:hanging="360"/>
      </w:pPr>
      <w:rPr>
        <w:rFonts w:ascii="Symbol" w:hAnsi="Symbol" w:hint="default"/>
      </w:rPr>
    </w:lvl>
    <w:lvl w:ilvl="7" w:tplc="08090003" w:tentative="1">
      <w:start w:val="1"/>
      <w:numFmt w:val="bullet"/>
      <w:lvlText w:val="o"/>
      <w:lvlJc w:val="left"/>
      <w:pPr>
        <w:tabs>
          <w:tab w:val="num" w:pos="7386"/>
        </w:tabs>
        <w:ind w:left="7386" w:hanging="360"/>
      </w:pPr>
      <w:rPr>
        <w:rFonts w:ascii="Courier New" w:hAnsi="Courier New" w:cs="Courier New" w:hint="default"/>
      </w:rPr>
    </w:lvl>
    <w:lvl w:ilvl="8" w:tplc="08090005" w:tentative="1">
      <w:start w:val="1"/>
      <w:numFmt w:val="bullet"/>
      <w:lvlText w:val=""/>
      <w:lvlJc w:val="left"/>
      <w:pPr>
        <w:tabs>
          <w:tab w:val="num" w:pos="8106"/>
        </w:tabs>
        <w:ind w:left="8106" w:hanging="360"/>
      </w:pPr>
      <w:rPr>
        <w:rFonts w:ascii="Wingdings" w:hAnsi="Wingdings" w:hint="default"/>
      </w:rPr>
    </w:lvl>
  </w:abstractNum>
  <w:abstractNum w:abstractNumId="2">
    <w:nsid w:val="02842BA0"/>
    <w:multiLevelType w:val="hybridMultilevel"/>
    <w:tmpl w:val="880A90C4"/>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2E35F10"/>
    <w:multiLevelType w:val="hybridMultilevel"/>
    <w:tmpl w:val="CA2E007E"/>
    <w:lvl w:ilvl="0" w:tplc="0809000F">
      <w:start w:val="7"/>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46E25B9"/>
    <w:multiLevelType w:val="multilevel"/>
    <w:tmpl w:val="BF3A892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2208DB"/>
    <w:multiLevelType w:val="hybridMultilevel"/>
    <w:tmpl w:val="C4D23594"/>
    <w:lvl w:ilvl="0" w:tplc="81507B6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16E6E1D"/>
    <w:multiLevelType w:val="multilevel"/>
    <w:tmpl w:val="2E92F5B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324AFE"/>
    <w:multiLevelType w:val="hybridMultilevel"/>
    <w:tmpl w:val="6F883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A87080"/>
    <w:multiLevelType w:val="hybridMultilevel"/>
    <w:tmpl w:val="6DEC9150"/>
    <w:lvl w:ilvl="0" w:tplc="C166DA24">
      <w:start w:val="1"/>
      <w:numFmt w:val="bullet"/>
      <w:lvlText w:val=""/>
      <w:lvlJc w:val="left"/>
      <w:pPr>
        <w:tabs>
          <w:tab w:val="num" w:pos="417"/>
        </w:tabs>
        <w:ind w:left="284"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07135"/>
    <w:multiLevelType w:val="hybridMultilevel"/>
    <w:tmpl w:val="56100A0A"/>
    <w:lvl w:ilvl="0" w:tplc="86B2E154">
      <w:start w:val="1"/>
      <w:numFmt w:val="decimal"/>
      <w:lvlText w:val="%1."/>
      <w:lvlJc w:val="left"/>
      <w:pPr>
        <w:tabs>
          <w:tab w:val="num" w:pos="360"/>
        </w:tabs>
        <w:ind w:left="360" w:hanging="360"/>
      </w:pPr>
      <w:rPr>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0178E4"/>
    <w:multiLevelType w:val="hybridMultilevel"/>
    <w:tmpl w:val="4A76E356"/>
    <w:lvl w:ilvl="0" w:tplc="F9F2471A">
      <w:start w:val="1"/>
      <w:numFmt w:val="bullet"/>
      <w:lvlText w:val=""/>
      <w:lvlJc w:val="left"/>
      <w:pPr>
        <w:tabs>
          <w:tab w:val="num" w:pos="1440"/>
        </w:tabs>
        <w:ind w:left="144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026686"/>
    <w:multiLevelType w:val="hybridMultilevel"/>
    <w:tmpl w:val="DA54460A"/>
    <w:lvl w:ilvl="0" w:tplc="08090005">
      <w:start w:val="1"/>
      <w:numFmt w:val="bullet"/>
      <w:lvlText w:val=""/>
      <w:lvlJc w:val="left"/>
      <w:pPr>
        <w:tabs>
          <w:tab w:val="num" w:pos="2043"/>
        </w:tabs>
        <w:ind w:left="2043" w:hanging="360"/>
      </w:pPr>
      <w:rPr>
        <w:rFonts w:ascii="Wingdings" w:hAnsi="Wingdings" w:hint="default"/>
        <w:color w:val="auto"/>
      </w:rPr>
    </w:lvl>
    <w:lvl w:ilvl="1" w:tplc="08090003" w:tentative="1">
      <w:start w:val="1"/>
      <w:numFmt w:val="bullet"/>
      <w:lvlText w:val="o"/>
      <w:lvlJc w:val="left"/>
      <w:pPr>
        <w:tabs>
          <w:tab w:val="num" w:pos="3066"/>
        </w:tabs>
        <w:ind w:left="3066" w:hanging="360"/>
      </w:pPr>
      <w:rPr>
        <w:rFonts w:ascii="Courier New" w:hAnsi="Courier New" w:cs="Courier New" w:hint="default"/>
      </w:rPr>
    </w:lvl>
    <w:lvl w:ilvl="2" w:tplc="08090005" w:tentative="1">
      <w:start w:val="1"/>
      <w:numFmt w:val="bullet"/>
      <w:lvlText w:val=""/>
      <w:lvlJc w:val="left"/>
      <w:pPr>
        <w:tabs>
          <w:tab w:val="num" w:pos="3786"/>
        </w:tabs>
        <w:ind w:left="3786" w:hanging="360"/>
      </w:pPr>
      <w:rPr>
        <w:rFonts w:ascii="Wingdings" w:hAnsi="Wingdings" w:hint="default"/>
      </w:rPr>
    </w:lvl>
    <w:lvl w:ilvl="3" w:tplc="08090001" w:tentative="1">
      <w:start w:val="1"/>
      <w:numFmt w:val="bullet"/>
      <w:lvlText w:val=""/>
      <w:lvlJc w:val="left"/>
      <w:pPr>
        <w:tabs>
          <w:tab w:val="num" w:pos="4506"/>
        </w:tabs>
        <w:ind w:left="4506" w:hanging="360"/>
      </w:pPr>
      <w:rPr>
        <w:rFonts w:ascii="Symbol" w:hAnsi="Symbol" w:hint="default"/>
      </w:rPr>
    </w:lvl>
    <w:lvl w:ilvl="4" w:tplc="08090003" w:tentative="1">
      <w:start w:val="1"/>
      <w:numFmt w:val="bullet"/>
      <w:lvlText w:val="o"/>
      <w:lvlJc w:val="left"/>
      <w:pPr>
        <w:tabs>
          <w:tab w:val="num" w:pos="5226"/>
        </w:tabs>
        <w:ind w:left="5226" w:hanging="360"/>
      </w:pPr>
      <w:rPr>
        <w:rFonts w:ascii="Courier New" w:hAnsi="Courier New" w:cs="Courier New" w:hint="default"/>
      </w:rPr>
    </w:lvl>
    <w:lvl w:ilvl="5" w:tplc="08090005" w:tentative="1">
      <w:start w:val="1"/>
      <w:numFmt w:val="bullet"/>
      <w:lvlText w:val=""/>
      <w:lvlJc w:val="left"/>
      <w:pPr>
        <w:tabs>
          <w:tab w:val="num" w:pos="5946"/>
        </w:tabs>
        <w:ind w:left="5946" w:hanging="360"/>
      </w:pPr>
      <w:rPr>
        <w:rFonts w:ascii="Wingdings" w:hAnsi="Wingdings" w:hint="default"/>
      </w:rPr>
    </w:lvl>
    <w:lvl w:ilvl="6" w:tplc="08090001" w:tentative="1">
      <w:start w:val="1"/>
      <w:numFmt w:val="bullet"/>
      <w:lvlText w:val=""/>
      <w:lvlJc w:val="left"/>
      <w:pPr>
        <w:tabs>
          <w:tab w:val="num" w:pos="6666"/>
        </w:tabs>
        <w:ind w:left="6666" w:hanging="360"/>
      </w:pPr>
      <w:rPr>
        <w:rFonts w:ascii="Symbol" w:hAnsi="Symbol" w:hint="default"/>
      </w:rPr>
    </w:lvl>
    <w:lvl w:ilvl="7" w:tplc="08090003" w:tentative="1">
      <w:start w:val="1"/>
      <w:numFmt w:val="bullet"/>
      <w:lvlText w:val="o"/>
      <w:lvlJc w:val="left"/>
      <w:pPr>
        <w:tabs>
          <w:tab w:val="num" w:pos="7386"/>
        </w:tabs>
        <w:ind w:left="7386" w:hanging="360"/>
      </w:pPr>
      <w:rPr>
        <w:rFonts w:ascii="Courier New" w:hAnsi="Courier New" w:cs="Courier New" w:hint="default"/>
      </w:rPr>
    </w:lvl>
    <w:lvl w:ilvl="8" w:tplc="08090005" w:tentative="1">
      <w:start w:val="1"/>
      <w:numFmt w:val="bullet"/>
      <w:lvlText w:val=""/>
      <w:lvlJc w:val="left"/>
      <w:pPr>
        <w:tabs>
          <w:tab w:val="num" w:pos="8106"/>
        </w:tabs>
        <w:ind w:left="8106" w:hanging="360"/>
      </w:pPr>
      <w:rPr>
        <w:rFonts w:ascii="Wingdings" w:hAnsi="Wingdings" w:hint="default"/>
      </w:rPr>
    </w:lvl>
  </w:abstractNum>
  <w:abstractNum w:abstractNumId="12">
    <w:nsid w:val="1EB534BE"/>
    <w:multiLevelType w:val="hybridMultilevel"/>
    <w:tmpl w:val="168C599C"/>
    <w:lvl w:ilvl="0" w:tplc="08090001">
      <w:start w:val="1"/>
      <w:numFmt w:val="bullet"/>
      <w:lvlText w:val=""/>
      <w:lvlJc w:val="left"/>
      <w:pPr>
        <w:tabs>
          <w:tab w:val="num" w:pos="720"/>
        </w:tabs>
        <w:ind w:left="720" w:hanging="360"/>
      </w:pPr>
      <w:rPr>
        <w:rFonts w:ascii="Symbol" w:hAnsi="Symbol" w:hint="default"/>
        <w:b w:val="0"/>
      </w:rPr>
    </w:lvl>
    <w:lvl w:ilvl="1" w:tplc="8A06832A">
      <w:start w:val="2"/>
      <w:numFmt w:val="bullet"/>
      <w:lvlText w:val="-"/>
      <w:lvlJc w:val="left"/>
      <w:pPr>
        <w:tabs>
          <w:tab w:val="num" w:pos="1440"/>
        </w:tabs>
        <w:ind w:left="1440" w:hanging="360"/>
      </w:pPr>
      <w:rPr>
        <w:rFonts w:ascii="Times New Roman" w:eastAsia="Times New Roman" w:hAnsi="Times New Roman" w:cs="Times New Roman" w:hint="default"/>
      </w:rPr>
    </w:lvl>
    <w:lvl w:ilvl="2" w:tplc="CFF6986C">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C033CD"/>
    <w:multiLevelType w:val="multilevel"/>
    <w:tmpl w:val="CD66588A"/>
    <w:lvl w:ilvl="0">
      <w:start w:val="1"/>
      <w:numFmt w:val="decimal"/>
      <w:lvlText w:val="%1"/>
      <w:lvlJc w:val="left"/>
      <w:pPr>
        <w:tabs>
          <w:tab w:val="num" w:pos="720"/>
        </w:tabs>
        <w:ind w:left="720" w:hanging="720"/>
      </w:pPr>
      <w:rPr>
        <w:rFonts w:hint="default"/>
        <w:b w:val="0"/>
      </w:rPr>
    </w:lvl>
    <w:lvl w:ilvl="1">
      <w:start w:val="10"/>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
    <w:nsid w:val="207846F2"/>
    <w:multiLevelType w:val="hybridMultilevel"/>
    <w:tmpl w:val="EF66C434"/>
    <w:lvl w:ilvl="0" w:tplc="C166DA24">
      <w:start w:val="1"/>
      <w:numFmt w:val="bullet"/>
      <w:lvlText w:val=""/>
      <w:lvlJc w:val="left"/>
      <w:pPr>
        <w:tabs>
          <w:tab w:val="num" w:pos="2043"/>
        </w:tabs>
        <w:ind w:left="1910" w:hanging="227"/>
      </w:pPr>
      <w:rPr>
        <w:rFonts w:ascii="Symbol" w:hAnsi="Symbol" w:hint="default"/>
        <w:color w:val="auto"/>
      </w:rPr>
    </w:lvl>
    <w:lvl w:ilvl="1" w:tplc="08090003" w:tentative="1">
      <w:start w:val="1"/>
      <w:numFmt w:val="bullet"/>
      <w:lvlText w:val="o"/>
      <w:lvlJc w:val="left"/>
      <w:pPr>
        <w:tabs>
          <w:tab w:val="num" w:pos="3066"/>
        </w:tabs>
        <w:ind w:left="3066" w:hanging="360"/>
      </w:pPr>
      <w:rPr>
        <w:rFonts w:ascii="Courier New" w:hAnsi="Courier New" w:cs="Courier New" w:hint="default"/>
      </w:rPr>
    </w:lvl>
    <w:lvl w:ilvl="2" w:tplc="08090005" w:tentative="1">
      <w:start w:val="1"/>
      <w:numFmt w:val="bullet"/>
      <w:lvlText w:val=""/>
      <w:lvlJc w:val="left"/>
      <w:pPr>
        <w:tabs>
          <w:tab w:val="num" w:pos="3786"/>
        </w:tabs>
        <w:ind w:left="3786" w:hanging="360"/>
      </w:pPr>
      <w:rPr>
        <w:rFonts w:ascii="Wingdings" w:hAnsi="Wingdings" w:hint="default"/>
      </w:rPr>
    </w:lvl>
    <w:lvl w:ilvl="3" w:tplc="08090001" w:tentative="1">
      <w:start w:val="1"/>
      <w:numFmt w:val="bullet"/>
      <w:lvlText w:val=""/>
      <w:lvlJc w:val="left"/>
      <w:pPr>
        <w:tabs>
          <w:tab w:val="num" w:pos="4506"/>
        </w:tabs>
        <w:ind w:left="4506" w:hanging="360"/>
      </w:pPr>
      <w:rPr>
        <w:rFonts w:ascii="Symbol" w:hAnsi="Symbol" w:hint="default"/>
      </w:rPr>
    </w:lvl>
    <w:lvl w:ilvl="4" w:tplc="08090003" w:tentative="1">
      <w:start w:val="1"/>
      <w:numFmt w:val="bullet"/>
      <w:lvlText w:val="o"/>
      <w:lvlJc w:val="left"/>
      <w:pPr>
        <w:tabs>
          <w:tab w:val="num" w:pos="5226"/>
        </w:tabs>
        <w:ind w:left="5226" w:hanging="360"/>
      </w:pPr>
      <w:rPr>
        <w:rFonts w:ascii="Courier New" w:hAnsi="Courier New" w:cs="Courier New" w:hint="default"/>
      </w:rPr>
    </w:lvl>
    <w:lvl w:ilvl="5" w:tplc="08090005" w:tentative="1">
      <w:start w:val="1"/>
      <w:numFmt w:val="bullet"/>
      <w:lvlText w:val=""/>
      <w:lvlJc w:val="left"/>
      <w:pPr>
        <w:tabs>
          <w:tab w:val="num" w:pos="5946"/>
        </w:tabs>
        <w:ind w:left="5946" w:hanging="360"/>
      </w:pPr>
      <w:rPr>
        <w:rFonts w:ascii="Wingdings" w:hAnsi="Wingdings" w:hint="default"/>
      </w:rPr>
    </w:lvl>
    <w:lvl w:ilvl="6" w:tplc="08090001" w:tentative="1">
      <w:start w:val="1"/>
      <w:numFmt w:val="bullet"/>
      <w:lvlText w:val=""/>
      <w:lvlJc w:val="left"/>
      <w:pPr>
        <w:tabs>
          <w:tab w:val="num" w:pos="6666"/>
        </w:tabs>
        <w:ind w:left="6666" w:hanging="360"/>
      </w:pPr>
      <w:rPr>
        <w:rFonts w:ascii="Symbol" w:hAnsi="Symbol" w:hint="default"/>
      </w:rPr>
    </w:lvl>
    <w:lvl w:ilvl="7" w:tplc="08090003" w:tentative="1">
      <w:start w:val="1"/>
      <w:numFmt w:val="bullet"/>
      <w:lvlText w:val="o"/>
      <w:lvlJc w:val="left"/>
      <w:pPr>
        <w:tabs>
          <w:tab w:val="num" w:pos="7386"/>
        </w:tabs>
        <w:ind w:left="7386" w:hanging="360"/>
      </w:pPr>
      <w:rPr>
        <w:rFonts w:ascii="Courier New" w:hAnsi="Courier New" w:cs="Courier New" w:hint="default"/>
      </w:rPr>
    </w:lvl>
    <w:lvl w:ilvl="8" w:tplc="08090005" w:tentative="1">
      <w:start w:val="1"/>
      <w:numFmt w:val="bullet"/>
      <w:lvlText w:val=""/>
      <w:lvlJc w:val="left"/>
      <w:pPr>
        <w:tabs>
          <w:tab w:val="num" w:pos="8106"/>
        </w:tabs>
        <w:ind w:left="8106" w:hanging="360"/>
      </w:pPr>
      <w:rPr>
        <w:rFonts w:ascii="Wingdings" w:hAnsi="Wingdings" w:hint="default"/>
      </w:rPr>
    </w:lvl>
  </w:abstractNum>
  <w:abstractNum w:abstractNumId="15">
    <w:nsid w:val="25C10884"/>
    <w:multiLevelType w:val="hybridMultilevel"/>
    <w:tmpl w:val="CE8A37B0"/>
    <w:lvl w:ilvl="0" w:tplc="C166DA24">
      <w:start w:val="1"/>
      <w:numFmt w:val="bullet"/>
      <w:lvlText w:val=""/>
      <w:lvlJc w:val="left"/>
      <w:pPr>
        <w:tabs>
          <w:tab w:val="num" w:pos="947"/>
        </w:tabs>
        <w:ind w:left="814" w:hanging="227"/>
      </w:pPr>
      <w:rPr>
        <w:rFonts w:ascii="Symbol" w:hAnsi="Symbol" w:hint="default"/>
        <w:color w:val="auto"/>
      </w:rPr>
    </w:lvl>
    <w:lvl w:ilvl="1" w:tplc="8A06832A">
      <w:start w:val="2"/>
      <w:numFmt w:val="bullet"/>
      <w:lvlText w:val="-"/>
      <w:lvlJc w:val="left"/>
      <w:pPr>
        <w:tabs>
          <w:tab w:val="num" w:pos="1667"/>
        </w:tabs>
        <w:ind w:left="1667" w:hanging="360"/>
      </w:pPr>
      <w:rPr>
        <w:rFonts w:ascii="Times New Roman" w:eastAsia="Times New Roman" w:hAnsi="Times New Roman" w:cs="Times New Roman" w:hint="default"/>
      </w:rPr>
    </w:lvl>
    <w:lvl w:ilvl="2" w:tplc="0409001B" w:tentative="1">
      <w:start w:val="1"/>
      <w:numFmt w:val="lowerRoman"/>
      <w:lvlText w:val="%3."/>
      <w:lvlJc w:val="right"/>
      <w:pPr>
        <w:tabs>
          <w:tab w:val="num" w:pos="2387"/>
        </w:tabs>
        <w:ind w:left="2387" w:hanging="180"/>
      </w:pPr>
    </w:lvl>
    <w:lvl w:ilvl="3" w:tplc="0409000F" w:tentative="1">
      <w:start w:val="1"/>
      <w:numFmt w:val="decimal"/>
      <w:lvlText w:val="%4."/>
      <w:lvlJc w:val="left"/>
      <w:pPr>
        <w:tabs>
          <w:tab w:val="num" w:pos="3107"/>
        </w:tabs>
        <w:ind w:left="3107" w:hanging="360"/>
      </w:pPr>
    </w:lvl>
    <w:lvl w:ilvl="4" w:tplc="04090019" w:tentative="1">
      <w:start w:val="1"/>
      <w:numFmt w:val="lowerLetter"/>
      <w:lvlText w:val="%5."/>
      <w:lvlJc w:val="left"/>
      <w:pPr>
        <w:tabs>
          <w:tab w:val="num" w:pos="3827"/>
        </w:tabs>
        <w:ind w:left="3827" w:hanging="360"/>
      </w:pPr>
    </w:lvl>
    <w:lvl w:ilvl="5" w:tplc="0409001B" w:tentative="1">
      <w:start w:val="1"/>
      <w:numFmt w:val="lowerRoman"/>
      <w:lvlText w:val="%6."/>
      <w:lvlJc w:val="right"/>
      <w:pPr>
        <w:tabs>
          <w:tab w:val="num" w:pos="4547"/>
        </w:tabs>
        <w:ind w:left="4547" w:hanging="180"/>
      </w:pPr>
    </w:lvl>
    <w:lvl w:ilvl="6" w:tplc="0409000F" w:tentative="1">
      <w:start w:val="1"/>
      <w:numFmt w:val="decimal"/>
      <w:lvlText w:val="%7."/>
      <w:lvlJc w:val="left"/>
      <w:pPr>
        <w:tabs>
          <w:tab w:val="num" w:pos="5267"/>
        </w:tabs>
        <w:ind w:left="5267" w:hanging="360"/>
      </w:pPr>
    </w:lvl>
    <w:lvl w:ilvl="7" w:tplc="04090019" w:tentative="1">
      <w:start w:val="1"/>
      <w:numFmt w:val="lowerLetter"/>
      <w:lvlText w:val="%8."/>
      <w:lvlJc w:val="left"/>
      <w:pPr>
        <w:tabs>
          <w:tab w:val="num" w:pos="5987"/>
        </w:tabs>
        <w:ind w:left="5987" w:hanging="360"/>
      </w:pPr>
    </w:lvl>
    <w:lvl w:ilvl="8" w:tplc="0409001B" w:tentative="1">
      <w:start w:val="1"/>
      <w:numFmt w:val="lowerRoman"/>
      <w:lvlText w:val="%9."/>
      <w:lvlJc w:val="right"/>
      <w:pPr>
        <w:tabs>
          <w:tab w:val="num" w:pos="6707"/>
        </w:tabs>
        <w:ind w:left="6707" w:hanging="180"/>
      </w:pPr>
    </w:lvl>
  </w:abstractNum>
  <w:abstractNum w:abstractNumId="16">
    <w:nsid w:val="29FC6D78"/>
    <w:multiLevelType w:val="hybridMultilevel"/>
    <w:tmpl w:val="CA081916"/>
    <w:lvl w:ilvl="0" w:tplc="08090005">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B3E23B7"/>
    <w:multiLevelType w:val="multilevel"/>
    <w:tmpl w:val="9C9A3104"/>
    <w:lvl w:ilvl="0">
      <w:start w:val="1"/>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bullet"/>
      <w:lvlText w:val=""/>
      <w:lvlJc w:val="left"/>
      <w:pPr>
        <w:tabs>
          <w:tab w:val="num" w:pos="1980"/>
        </w:tabs>
        <w:ind w:left="1980" w:hanging="360"/>
      </w:pPr>
      <w:rPr>
        <w:rFonts w:ascii="Symbol" w:hAnsi="Symbol"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CCE1ECF"/>
    <w:multiLevelType w:val="hybridMultilevel"/>
    <w:tmpl w:val="31C83EAC"/>
    <w:lvl w:ilvl="0" w:tplc="87D694AE">
      <w:start w:val="1"/>
      <w:numFmt w:val="bullet"/>
      <w:lvlText w:val=""/>
      <w:lvlJc w:val="left"/>
      <w:pPr>
        <w:tabs>
          <w:tab w:val="num" w:pos="1080"/>
        </w:tabs>
        <w:ind w:left="1080" w:hanging="360"/>
      </w:pPr>
      <w:rPr>
        <w:rFonts w:ascii="Symbol" w:hAnsi="Symbol" w:hint="default"/>
        <w:b w:val="0"/>
        <w:i w:val="0"/>
        <w:strike w:val="0"/>
        <w:color w:val="auto"/>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9">
    <w:nsid w:val="2DC0607D"/>
    <w:multiLevelType w:val="hybridMultilevel"/>
    <w:tmpl w:val="E9527F8C"/>
    <w:lvl w:ilvl="0" w:tplc="A5D099DA">
      <w:start w:val="1"/>
      <w:numFmt w:val="bullet"/>
      <w:lvlText w:val=""/>
      <w:lvlJc w:val="left"/>
      <w:pPr>
        <w:tabs>
          <w:tab w:val="num" w:pos="1980"/>
        </w:tabs>
        <w:ind w:left="198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2DEF687F"/>
    <w:multiLevelType w:val="multilevel"/>
    <w:tmpl w:val="4726FDA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0450127"/>
    <w:multiLevelType w:val="hybridMultilevel"/>
    <w:tmpl w:val="A13C0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nsid w:val="31525C7E"/>
    <w:multiLevelType w:val="multilevel"/>
    <w:tmpl w:val="FB0CB2C6"/>
    <w:lvl w:ilvl="0">
      <w:start w:val="1"/>
      <w:numFmt w:val="upperLetter"/>
      <w:lvlText w:val="Appendix %1"/>
      <w:lvlJc w:val="left"/>
      <w:pPr>
        <w:tabs>
          <w:tab w:val="num" w:pos="180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315E0F70"/>
    <w:multiLevelType w:val="hybridMultilevel"/>
    <w:tmpl w:val="F5567E60"/>
    <w:lvl w:ilvl="0" w:tplc="08090001">
      <w:start w:val="1"/>
      <w:numFmt w:val="bullet"/>
      <w:lvlText w:val=""/>
      <w:lvlJc w:val="left"/>
      <w:pPr>
        <w:tabs>
          <w:tab w:val="num" w:pos="717"/>
        </w:tabs>
        <w:ind w:left="717" w:hanging="360"/>
      </w:pPr>
      <w:rPr>
        <w:rFonts w:ascii="Symbol" w:hAnsi="Symbol" w:hint="default"/>
      </w:rPr>
    </w:lvl>
    <w:lvl w:ilvl="1" w:tplc="08090003" w:tentative="1">
      <w:start w:val="1"/>
      <w:numFmt w:val="bullet"/>
      <w:lvlText w:val="o"/>
      <w:lvlJc w:val="left"/>
      <w:pPr>
        <w:tabs>
          <w:tab w:val="num" w:pos="2517"/>
        </w:tabs>
        <w:ind w:left="2517" w:hanging="360"/>
      </w:pPr>
      <w:rPr>
        <w:rFonts w:ascii="Courier New" w:hAnsi="Courier New" w:cs="Courier New"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24">
    <w:nsid w:val="35AC47F2"/>
    <w:multiLevelType w:val="hybridMultilevel"/>
    <w:tmpl w:val="57C6D1C2"/>
    <w:lvl w:ilvl="0" w:tplc="84CC0224">
      <w:start w:val="1"/>
      <w:numFmt w:val="bullet"/>
      <w:lvlText w:val=""/>
      <w:lvlJc w:val="left"/>
      <w:pPr>
        <w:tabs>
          <w:tab w:val="num" w:pos="720"/>
        </w:tabs>
        <w:ind w:left="720" w:hanging="360"/>
      </w:pPr>
      <w:rPr>
        <w:rFonts w:ascii="Symbol" w:hAnsi="Symbol" w:hint="default"/>
        <w:color w:val="auto"/>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E4B0F69"/>
    <w:multiLevelType w:val="singleLevel"/>
    <w:tmpl w:val="3D9A8E48"/>
    <w:lvl w:ilvl="0">
      <w:start w:val="1"/>
      <w:numFmt w:val="bullet"/>
      <w:lvlText w:val=""/>
      <w:lvlJc w:val="left"/>
      <w:pPr>
        <w:tabs>
          <w:tab w:val="num" w:pos="360"/>
        </w:tabs>
        <w:ind w:left="360" w:hanging="360"/>
      </w:pPr>
      <w:rPr>
        <w:rFonts w:ascii="Symbol" w:hAnsi="Symbol" w:hint="default"/>
      </w:rPr>
    </w:lvl>
  </w:abstractNum>
  <w:abstractNum w:abstractNumId="26">
    <w:nsid w:val="3F4509E0"/>
    <w:multiLevelType w:val="hybridMultilevel"/>
    <w:tmpl w:val="301E60A8"/>
    <w:lvl w:ilvl="0" w:tplc="0409000F">
      <w:start w:val="1"/>
      <w:numFmt w:val="decimal"/>
      <w:lvlText w:val="%1."/>
      <w:lvlJc w:val="left"/>
      <w:pPr>
        <w:tabs>
          <w:tab w:val="num" w:pos="720"/>
        </w:tabs>
        <w:ind w:left="720" w:hanging="360"/>
      </w:pPr>
    </w:lvl>
    <w:lvl w:ilvl="1" w:tplc="76506854">
      <w:start w:val="1"/>
      <w:numFmt w:val="lowerLetter"/>
      <w:lvlText w:val="%2."/>
      <w:lvlJc w:val="left"/>
      <w:pPr>
        <w:tabs>
          <w:tab w:val="num" w:pos="502"/>
        </w:tabs>
        <w:ind w:left="502"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C34973"/>
    <w:multiLevelType w:val="hybridMultilevel"/>
    <w:tmpl w:val="27321524"/>
    <w:lvl w:ilvl="0" w:tplc="C166DA24">
      <w:start w:val="1"/>
      <w:numFmt w:val="bullet"/>
      <w:lvlText w:val=""/>
      <w:lvlJc w:val="left"/>
      <w:pPr>
        <w:tabs>
          <w:tab w:val="num" w:pos="1080"/>
        </w:tabs>
        <w:ind w:left="947" w:hanging="227"/>
      </w:pPr>
      <w:rPr>
        <w:rFonts w:ascii="Symbol" w:hAnsi="Symbol" w:hint="default"/>
        <w:color w:val="auto"/>
      </w:rPr>
    </w:lvl>
    <w:lvl w:ilvl="1" w:tplc="8A06832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21C7050"/>
    <w:multiLevelType w:val="hybridMultilevel"/>
    <w:tmpl w:val="57085BD8"/>
    <w:lvl w:ilvl="0" w:tplc="0809000F">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C47089B6">
      <w:start w:val="1"/>
      <w:numFmt w:val="decimal"/>
      <w:lvlText w:val="%3"/>
      <w:lvlJc w:val="left"/>
      <w:pPr>
        <w:tabs>
          <w:tab w:val="num" w:pos="2340"/>
        </w:tabs>
        <w:ind w:left="2340" w:hanging="360"/>
      </w:pPr>
      <w:rPr>
        <w:rFonts w:hint="default"/>
        <w:b/>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4A24F3B"/>
    <w:multiLevelType w:val="hybridMultilevel"/>
    <w:tmpl w:val="CBC28D86"/>
    <w:lvl w:ilvl="0" w:tplc="FFFFFFFF">
      <w:start w:val="1"/>
      <w:numFmt w:val="bullet"/>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45AB6C71"/>
    <w:multiLevelType w:val="multilevel"/>
    <w:tmpl w:val="EF66C434"/>
    <w:lvl w:ilvl="0">
      <w:start w:val="1"/>
      <w:numFmt w:val="bullet"/>
      <w:lvlText w:val=""/>
      <w:lvlJc w:val="left"/>
      <w:pPr>
        <w:tabs>
          <w:tab w:val="num" w:pos="2043"/>
        </w:tabs>
        <w:ind w:left="1910" w:hanging="227"/>
      </w:pPr>
      <w:rPr>
        <w:rFonts w:ascii="Symbol" w:hAnsi="Symbol" w:hint="default"/>
        <w:color w:val="auto"/>
      </w:rPr>
    </w:lvl>
    <w:lvl w:ilvl="1">
      <w:start w:val="1"/>
      <w:numFmt w:val="bullet"/>
      <w:lvlText w:val="o"/>
      <w:lvlJc w:val="left"/>
      <w:pPr>
        <w:tabs>
          <w:tab w:val="num" w:pos="3066"/>
        </w:tabs>
        <w:ind w:left="3066" w:hanging="360"/>
      </w:pPr>
      <w:rPr>
        <w:rFonts w:ascii="Courier New" w:hAnsi="Courier New" w:cs="Courier New" w:hint="default"/>
      </w:rPr>
    </w:lvl>
    <w:lvl w:ilvl="2">
      <w:start w:val="1"/>
      <w:numFmt w:val="bullet"/>
      <w:lvlText w:val=""/>
      <w:lvlJc w:val="left"/>
      <w:pPr>
        <w:tabs>
          <w:tab w:val="num" w:pos="3786"/>
        </w:tabs>
        <w:ind w:left="3786" w:hanging="360"/>
      </w:pPr>
      <w:rPr>
        <w:rFonts w:ascii="Wingdings" w:hAnsi="Wingdings" w:hint="default"/>
      </w:rPr>
    </w:lvl>
    <w:lvl w:ilvl="3">
      <w:start w:val="1"/>
      <w:numFmt w:val="bullet"/>
      <w:lvlText w:val=""/>
      <w:lvlJc w:val="left"/>
      <w:pPr>
        <w:tabs>
          <w:tab w:val="num" w:pos="4506"/>
        </w:tabs>
        <w:ind w:left="4506" w:hanging="360"/>
      </w:pPr>
      <w:rPr>
        <w:rFonts w:ascii="Symbol" w:hAnsi="Symbol" w:hint="default"/>
      </w:rPr>
    </w:lvl>
    <w:lvl w:ilvl="4">
      <w:start w:val="1"/>
      <w:numFmt w:val="bullet"/>
      <w:lvlText w:val="o"/>
      <w:lvlJc w:val="left"/>
      <w:pPr>
        <w:tabs>
          <w:tab w:val="num" w:pos="5226"/>
        </w:tabs>
        <w:ind w:left="5226" w:hanging="360"/>
      </w:pPr>
      <w:rPr>
        <w:rFonts w:ascii="Courier New" w:hAnsi="Courier New" w:cs="Courier New" w:hint="default"/>
      </w:rPr>
    </w:lvl>
    <w:lvl w:ilvl="5">
      <w:start w:val="1"/>
      <w:numFmt w:val="bullet"/>
      <w:lvlText w:val=""/>
      <w:lvlJc w:val="left"/>
      <w:pPr>
        <w:tabs>
          <w:tab w:val="num" w:pos="5946"/>
        </w:tabs>
        <w:ind w:left="5946" w:hanging="360"/>
      </w:pPr>
      <w:rPr>
        <w:rFonts w:ascii="Wingdings" w:hAnsi="Wingdings" w:hint="default"/>
      </w:rPr>
    </w:lvl>
    <w:lvl w:ilvl="6">
      <w:start w:val="1"/>
      <w:numFmt w:val="bullet"/>
      <w:lvlText w:val=""/>
      <w:lvlJc w:val="left"/>
      <w:pPr>
        <w:tabs>
          <w:tab w:val="num" w:pos="6666"/>
        </w:tabs>
        <w:ind w:left="6666" w:hanging="360"/>
      </w:pPr>
      <w:rPr>
        <w:rFonts w:ascii="Symbol" w:hAnsi="Symbol" w:hint="default"/>
      </w:rPr>
    </w:lvl>
    <w:lvl w:ilvl="7">
      <w:start w:val="1"/>
      <w:numFmt w:val="bullet"/>
      <w:lvlText w:val="o"/>
      <w:lvlJc w:val="left"/>
      <w:pPr>
        <w:tabs>
          <w:tab w:val="num" w:pos="7386"/>
        </w:tabs>
        <w:ind w:left="7386" w:hanging="360"/>
      </w:pPr>
      <w:rPr>
        <w:rFonts w:ascii="Courier New" w:hAnsi="Courier New" w:cs="Courier New" w:hint="default"/>
      </w:rPr>
    </w:lvl>
    <w:lvl w:ilvl="8">
      <w:start w:val="1"/>
      <w:numFmt w:val="bullet"/>
      <w:lvlText w:val=""/>
      <w:lvlJc w:val="left"/>
      <w:pPr>
        <w:tabs>
          <w:tab w:val="num" w:pos="8106"/>
        </w:tabs>
        <w:ind w:left="8106" w:hanging="360"/>
      </w:pPr>
      <w:rPr>
        <w:rFonts w:ascii="Wingdings" w:hAnsi="Wingdings" w:hint="default"/>
      </w:rPr>
    </w:lvl>
  </w:abstractNum>
  <w:abstractNum w:abstractNumId="31">
    <w:nsid w:val="4B983CF4"/>
    <w:multiLevelType w:val="hybridMultilevel"/>
    <w:tmpl w:val="3316360C"/>
    <w:lvl w:ilvl="0" w:tplc="08090007">
      <w:start w:val="1"/>
      <w:numFmt w:val="bullet"/>
      <w:lvlText w:val=""/>
      <w:lvlJc w:val="left"/>
      <w:pPr>
        <w:tabs>
          <w:tab w:val="num" w:pos="1996"/>
        </w:tabs>
        <w:ind w:left="1996" w:hanging="360"/>
      </w:pPr>
      <w:rPr>
        <w:rFonts w:ascii="Symbol" w:hAnsi="Symbol" w:hint="default"/>
      </w:rPr>
    </w:lvl>
    <w:lvl w:ilvl="1" w:tplc="08090003" w:tentative="1">
      <w:start w:val="1"/>
      <w:numFmt w:val="bullet"/>
      <w:lvlText w:val="o"/>
      <w:lvlJc w:val="left"/>
      <w:pPr>
        <w:tabs>
          <w:tab w:val="num" w:pos="2716"/>
        </w:tabs>
        <w:ind w:left="2716" w:hanging="360"/>
      </w:pPr>
      <w:rPr>
        <w:rFonts w:ascii="Courier New" w:hAnsi="Courier New" w:cs="Courier New" w:hint="default"/>
      </w:rPr>
    </w:lvl>
    <w:lvl w:ilvl="2" w:tplc="08090005" w:tentative="1">
      <w:start w:val="1"/>
      <w:numFmt w:val="bullet"/>
      <w:lvlText w:val=""/>
      <w:lvlJc w:val="left"/>
      <w:pPr>
        <w:tabs>
          <w:tab w:val="num" w:pos="3436"/>
        </w:tabs>
        <w:ind w:left="3436" w:hanging="360"/>
      </w:pPr>
      <w:rPr>
        <w:rFonts w:ascii="Wingdings" w:hAnsi="Wingdings" w:hint="default"/>
      </w:rPr>
    </w:lvl>
    <w:lvl w:ilvl="3" w:tplc="08090001" w:tentative="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32">
    <w:nsid w:val="50CA2106"/>
    <w:multiLevelType w:val="multilevel"/>
    <w:tmpl w:val="EF66C434"/>
    <w:lvl w:ilvl="0">
      <w:start w:val="1"/>
      <w:numFmt w:val="bullet"/>
      <w:lvlText w:val=""/>
      <w:lvlJc w:val="left"/>
      <w:pPr>
        <w:tabs>
          <w:tab w:val="num" w:pos="2043"/>
        </w:tabs>
        <w:ind w:left="1910" w:hanging="227"/>
      </w:pPr>
      <w:rPr>
        <w:rFonts w:ascii="Symbol" w:hAnsi="Symbol" w:hint="default"/>
        <w:color w:val="auto"/>
      </w:rPr>
    </w:lvl>
    <w:lvl w:ilvl="1">
      <w:start w:val="1"/>
      <w:numFmt w:val="bullet"/>
      <w:lvlText w:val="o"/>
      <w:lvlJc w:val="left"/>
      <w:pPr>
        <w:tabs>
          <w:tab w:val="num" w:pos="3066"/>
        </w:tabs>
        <w:ind w:left="3066" w:hanging="360"/>
      </w:pPr>
      <w:rPr>
        <w:rFonts w:ascii="Courier New" w:hAnsi="Courier New" w:cs="Courier New" w:hint="default"/>
      </w:rPr>
    </w:lvl>
    <w:lvl w:ilvl="2">
      <w:start w:val="1"/>
      <w:numFmt w:val="bullet"/>
      <w:lvlText w:val=""/>
      <w:lvlJc w:val="left"/>
      <w:pPr>
        <w:tabs>
          <w:tab w:val="num" w:pos="3786"/>
        </w:tabs>
        <w:ind w:left="3786" w:hanging="360"/>
      </w:pPr>
      <w:rPr>
        <w:rFonts w:ascii="Wingdings" w:hAnsi="Wingdings" w:hint="default"/>
      </w:rPr>
    </w:lvl>
    <w:lvl w:ilvl="3">
      <w:start w:val="1"/>
      <w:numFmt w:val="bullet"/>
      <w:lvlText w:val=""/>
      <w:lvlJc w:val="left"/>
      <w:pPr>
        <w:tabs>
          <w:tab w:val="num" w:pos="4506"/>
        </w:tabs>
        <w:ind w:left="4506" w:hanging="360"/>
      </w:pPr>
      <w:rPr>
        <w:rFonts w:ascii="Symbol" w:hAnsi="Symbol" w:hint="default"/>
      </w:rPr>
    </w:lvl>
    <w:lvl w:ilvl="4">
      <w:start w:val="1"/>
      <w:numFmt w:val="bullet"/>
      <w:lvlText w:val="o"/>
      <w:lvlJc w:val="left"/>
      <w:pPr>
        <w:tabs>
          <w:tab w:val="num" w:pos="5226"/>
        </w:tabs>
        <w:ind w:left="5226" w:hanging="360"/>
      </w:pPr>
      <w:rPr>
        <w:rFonts w:ascii="Courier New" w:hAnsi="Courier New" w:cs="Courier New" w:hint="default"/>
      </w:rPr>
    </w:lvl>
    <w:lvl w:ilvl="5">
      <w:start w:val="1"/>
      <w:numFmt w:val="bullet"/>
      <w:lvlText w:val=""/>
      <w:lvlJc w:val="left"/>
      <w:pPr>
        <w:tabs>
          <w:tab w:val="num" w:pos="5946"/>
        </w:tabs>
        <w:ind w:left="5946" w:hanging="360"/>
      </w:pPr>
      <w:rPr>
        <w:rFonts w:ascii="Wingdings" w:hAnsi="Wingdings" w:hint="default"/>
      </w:rPr>
    </w:lvl>
    <w:lvl w:ilvl="6">
      <w:start w:val="1"/>
      <w:numFmt w:val="bullet"/>
      <w:lvlText w:val=""/>
      <w:lvlJc w:val="left"/>
      <w:pPr>
        <w:tabs>
          <w:tab w:val="num" w:pos="6666"/>
        </w:tabs>
        <w:ind w:left="6666" w:hanging="360"/>
      </w:pPr>
      <w:rPr>
        <w:rFonts w:ascii="Symbol" w:hAnsi="Symbol" w:hint="default"/>
      </w:rPr>
    </w:lvl>
    <w:lvl w:ilvl="7">
      <w:start w:val="1"/>
      <w:numFmt w:val="bullet"/>
      <w:lvlText w:val="o"/>
      <w:lvlJc w:val="left"/>
      <w:pPr>
        <w:tabs>
          <w:tab w:val="num" w:pos="7386"/>
        </w:tabs>
        <w:ind w:left="7386" w:hanging="360"/>
      </w:pPr>
      <w:rPr>
        <w:rFonts w:ascii="Courier New" w:hAnsi="Courier New" w:cs="Courier New" w:hint="default"/>
      </w:rPr>
    </w:lvl>
    <w:lvl w:ilvl="8">
      <w:start w:val="1"/>
      <w:numFmt w:val="bullet"/>
      <w:lvlText w:val=""/>
      <w:lvlJc w:val="left"/>
      <w:pPr>
        <w:tabs>
          <w:tab w:val="num" w:pos="8106"/>
        </w:tabs>
        <w:ind w:left="8106" w:hanging="360"/>
      </w:pPr>
      <w:rPr>
        <w:rFonts w:ascii="Wingdings" w:hAnsi="Wingdings" w:hint="default"/>
      </w:rPr>
    </w:lvl>
  </w:abstractNum>
  <w:abstractNum w:abstractNumId="33">
    <w:nsid w:val="5629348A"/>
    <w:multiLevelType w:val="hybridMultilevel"/>
    <w:tmpl w:val="B8A6600A"/>
    <w:lvl w:ilvl="0" w:tplc="87D694AE">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4">
    <w:nsid w:val="5A2B73B5"/>
    <w:multiLevelType w:val="multilevel"/>
    <w:tmpl w:val="455C25D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nsid w:val="5E5537BC"/>
    <w:multiLevelType w:val="multilevel"/>
    <w:tmpl w:val="455C25D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6">
    <w:nsid w:val="639A5762"/>
    <w:multiLevelType w:val="multilevel"/>
    <w:tmpl w:val="017A0C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94D754E"/>
    <w:multiLevelType w:val="hybridMultilevel"/>
    <w:tmpl w:val="2AEAB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nsid w:val="696E766D"/>
    <w:multiLevelType w:val="multilevel"/>
    <w:tmpl w:val="8A80CB6E"/>
    <w:lvl w:ilvl="0">
      <w:start w:val="1"/>
      <w:numFmt w:val="upperLetter"/>
      <w:lvlText w:val="%1"/>
      <w:lvlJc w:val="left"/>
      <w:pPr>
        <w:tabs>
          <w:tab w:val="num" w:pos="567"/>
        </w:tabs>
        <w:ind w:left="567" w:hanging="567"/>
      </w:pPr>
      <w:rPr>
        <w:rFonts w:cs="Times New Roman" w:hint="default"/>
        <w:b/>
        <w:i w:val="0"/>
      </w:rPr>
    </w:lvl>
    <w:lvl w:ilvl="1">
      <w:start w:val="1"/>
      <w:numFmt w:val="decimal"/>
      <w:lvlText w:val="%1%2"/>
      <w:lvlJc w:val="left"/>
      <w:pPr>
        <w:tabs>
          <w:tab w:val="num" w:pos="709"/>
        </w:tabs>
        <w:ind w:left="709" w:hanging="567"/>
      </w:pPr>
      <w:rPr>
        <w:rFonts w:cs="Times New Roman" w:hint="default"/>
        <w:b/>
        <w:i w:val="0"/>
      </w:rPr>
    </w:lvl>
    <w:lvl w:ilvl="2">
      <w:start w:val="5"/>
      <w:numFmt w:val="lowerLetter"/>
      <w:lvlText w:val="(%3)"/>
      <w:lvlJc w:val="left"/>
      <w:pPr>
        <w:tabs>
          <w:tab w:val="num" w:pos="567"/>
        </w:tabs>
        <w:ind w:left="567" w:hanging="567"/>
      </w:pPr>
      <w:rPr>
        <w:rFonts w:cs="Times New Roman" w:hint="default"/>
        <w:b/>
        <w:i w:val="0"/>
      </w:rPr>
    </w:lvl>
    <w:lvl w:ilvl="3">
      <w:start w:val="1"/>
      <w:numFmt w:val="lowerRoman"/>
      <w:lvlText w:val="(%4)"/>
      <w:lvlJc w:val="right"/>
      <w:pPr>
        <w:tabs>
          <w:tab w:val="num" w:pos="862"/>
        </w:tabs>
        <w:ind w:left="862" w:hanging="142"/>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39">
    <w:nsid w:val="6BEF079B"/>
    <w:multiLevelType w:val="hybridMultilevel"/>
    <w:tmpl w:val="E57C4526"/>
    <w:lvl w:ilvl="0" w:tplc="08090001">
      <w:start w:val="1"/>
      <w:numFmt w:val="bullet"/>
      <w:lvlText w:val=""/>
      <w:lvlJc w:val="left"/>
      <w:pPr>
        <w:tabs>
          <w:tab w:val="num" w:pos="1425"/>
        </w:tabs>
        <w:ind w:left="1425" w:hanging="360"/>
      </w:pPr>
      <w:rPr>
        <w:rFonts w:ascii="Symbol" w:hAnsi="Symbol" w:hint="default"/>
      </w:rPr>
    </w:lvl>
    <w:lvl w:ilvl="1" w:tplc="81507B68">
      <w:start w:val="1"/>
      <w:numFmt w:val="bullet"/>
      <w:lvlText w:val=""/>
      <w:lvlJc w:val="left"/>
      <w:pPr>
        <w:tabs>
          <w:tab w:val="num" w:pos="2145"/>
        </w:tabs>
        <w:ind w:left="2145" w:hanging="360"/>
      </w:pPr>
      <w:rPr>
        <w:rFonts w:ascii="Symbol" w:hAnsi="Symbol" w:hint="default"/>
      </w:rPr>
    </w:lvl>
    <w:lvl w:ilvl="2" w:tplc="08090005">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0">
    <w:nsid w:val="6CDA4669"/>
    <w:multiLevelType w:val="hybridMultilevel"/>
    <w:tmpl w:val="C2ACD4D8"/>
    <w:lvl w:ilvl="0" w:tplc="08090001">
      <w:start w:val="1"/>
      <w:numFmt w:val="bullet"/>
      <w:lvlText w:val=""/>
      <w:lvlJc w:val="left"/>
      <w:pPr>
        <w:tabs>
          <w:tab w:val="num" w:pos="717"/>
        </w:tabs>
        <w:ind w:left="717" w:hanging="360"/>
      </w:pPr>
      <w:rPr>
        <w:rFonts w:ascii="Symbol" w:hAnsi="Symbol" w:hint="default"/>
        <w:b w:val="0"/>
        <w:strike w:val="0"/>
        <w:color w:val="auto"/>
        <w:sz w:val="22"/>
        <w:szCs w:val="22"/>
      </w:rPr>
    </w:lvl>
    <w:lvl w:ilvl="1" w:tplc="8A06832A">
      <w:start w:val="2"/>
      <w:numFmt w:val="bullet"/>
      <w:lvlText w:val="-"/>
      <w:lvlJc w:val="left"/>
      <w:pPr>
        <w:tabs>
          <w:tab w:val="num" w:pos="1437"/>
        </w:tabs>
        <w:ind w:left="1437" w:hanging="360"/>
      </w:pPr>
      <w:rPr>
        <w:rFonts w:ascii="Times New Roman" w:eastAsia="Times New Roman" w:hAnsi="Times New Roman" w:cs="Times New Roman"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41">
    <w:nsid w:val="6DCA2709"/>
    <w:multiLevelType w:val="hybridMultilevel"/>
    <w:tmpl w:val="734C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E87118B"/>
    <w:multiLevelType w:val="multilevel"/>
    <w:tmpl w:val="8C44B15C"/>
    <w:lvl w:ilvl="0">
      <w:start w:val="3"/>
      <w:numFmt w:val="decimal"/>
      <w:lvlText w:val="%1"/>
      <w:lvlJc w:val="left"/>
      <w:pPr>
        <w:tabs>
          <w:tab w:val="num" w:pos="1260"/>
        </w:tabs>
        <w:ind w:left="1260" w:hanging="1260"/>
      </w:pPr>
      <w:rPr>
        <w:rFonts w:hint="default"/>
      </w:rPr>
    </w:lvl>
    <w:lvl w:ilvl="1">
      <w:start w:val="5"/>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1"/>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2725BF"/>
    <w:multiLevelType w:val="hybridMultilevel"/>
    <w:tmpl w:val="775EC06A"/>
    <w:lvl w:ilvl="0" w:tplc="08090005">
      <w:start w:val="1"/>
      <w:numFmt w:val="bullet"/>
      <w:lvlText w:val=""/>
      <w:lvlJc w:val="left"/>
      <w:pPr>
        <w:tabs>
          <w:tab w:val="num" w:pos="1440"/>
        </w:tabs>
        <w:ind w:left="1440" w:hanging="360"/>
      </w:pPr>
      <w:rPr>
        <w:rFonts w:ascii="Wingdings" w:hAnsi="Wingdings"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71324BF9"/>
    <w:multiLevelType w:val="multilevel"/>
    <w:tmpl w:val="A0A20B86"/>
    <w:lvl w:ilvl="0">
      <w:start w:val="1"/>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9197EEE"/>
    <w:multiLevelType w:val="hybridMultilevel"/>
    <w:tmpl w:val="6DACEC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6">
    <w:nsid w:val="7B007777"/>
    <w:multiLevelType w:val="hybridMultilevel"/>
    <w:tmpl w:val="4B16E9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7">
    <w:nsid w:val="7E6E0966"/>
    <w:multiLevelType w:val="hybridMultilevel"/>
    <w:tmpl w:val="ED603F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8">
    <w:nsid w:val="7F1525C6"/>
    <w:multiLevelType w:val="hybridMultilevel"/>
    <w:tmpl w:val="455C25D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9"/>
  </w:num>
  <w:num w:numId="3">
    <w:abstractNumId w:val="38"/>
  </w:num>
  <w:num w:numId="4">
    <w:abstractNumId w:val="22"/>
  </w:num>
  <w:num w:numId="5">
    <w:abstractNumId w:val="39"/>
  </w:num>
  <w:num w:numId="6">
    <w:abstractNumId w:val="28"/>
  </w:num>
  <w:num w:numId="7">
    <w:abstractNumId w:val="14"/>
  </w:num>
  <w:num w:numId="8">
    <w:abstractNumId w:val="0"/>
    <w:lvlOverride w:ilvl="0">
      <w:lvl w:ilvl="0">
        <w:start w:val="1"/>
        <w:numFmt w:val="bullet"/>
        <w:lvlText w:val=""/>
        <w:legacy w:legacy="1" w:legacySpace="0" w:legacyIndent="284"/>
        <w:lvlJc w:val="left"/>
        <w:pPr>
          <w:ind w:left="1004" w:hanging="284"/>
        </w:pPr>
        <w:rPr>
          <w:rFonts w:ascii="Symbol" w:hAnsi="Symbol" w:hint="default"/>
          <w:sz w:val="22"/>
          <w:szCs w:val="22"/>
        </w:rPr>
      </w:lvl>
    </w:lvlOverride>
  </w:num>
  <w:num w:numId="9">
    <w:abstractNumId w:val="48"/>
  </w:num>
  <w:num w:numId="10">
    <w:abstractNumId w:val="17"/>
  </w:num>
  <w:num w:numId="11">
    <w:abstractNumId w:val="10"/>
  </w:num>
  <w:num w:numId="12">
    <w:abstractNumId w:val="24"/>
  </w:num>
  <w:num w:numId="13">
    <w:abstractNumId w:val="19"/>
  </w:num>
  <w:num w:numId="14">
    <w:abstractNumId w:val="12"/>
  </w:num>
  <w:num w:numId="15">
    <w:abstractNumId w:val="33"/>
  </w:num>
  <w:num w:numId="16">
    <w:abstractNumId w:val="18"/>
  </w:num>
  <w:num w:numId="17">
    <w:abstractNumId w:val="8"/>
  </w:num>
  <w:num w:numId="18">
    <w:abstractNumId w:val="9"/>
  </w:num>
  <w:num w:numId="19">
    <w:abstractNumId w:val="26"/>
  </w:num>
  <w:num w:numId="20">
    <w:abstractNumId w:val="23"/>
  </w:num>
  <w:num w:numId="21">
    <w:abstractNumId w:val="4"/>
  </w:num>
  <w:num w:numId="22">
    <w:abstractNumId w:val="20"/>
  </w:num>
  <w:num w:numId="23">
    <w:abstractNumId w:val="45"/>
  </w:num>
  <w:num w:numId="24">
    <w:abstractNumId w:val="47"/>
  </w:num>
  <w:num w:numId="25">
    <w:abstractNumId w:val="21"/>
  </w:num>
  <w:num w:numId="26">
    <w:abstractNumId w:val="37"/>
  </w:num>
  <w:num w:numId="27">
    <w:abstractNumId w:val="46"/>
  </w:num>
  <w:num w:numId="28">
    <w:abstractNumId w:val="6"/>
  </w:num>
  <w:num w:numId="29">
    <w:abstractNumId w:val="44"/>
  </w:num>
  <w:num w:numId="30">
    <w:abstractNumId w:val="27"/>
  </w:num>
  <w:num w:numId="31">
    <w:abstractNumId w:val="15"/>
  </w:num>
  <w:num w:numId="32">
    <w:abstractNumId w:val="5"/>
  </w:num>
  <w:num w:numId="33">
    <w:abstractNumId w:val="42"/>
  </w:num>
  <w:num w:numId="34">
    <w:abstractNumId w:val="31"/>
  </w:num>
  <w:num w:numId="35">
    <w:abstractNumId w:val="3"/>
  </w:num>
  <w:num w:numId="36">
    <w:abstractNumId w:val="41"/>
  </w:num>
  <w:num w:numId="37">
    <w:abstractNumId w:val="7"/>
  </w:num>
  <w:num w:numId="38">
    <w:abstractNumId w:val="13"/>
  </w:num>
  <w:num w:numId="39">
    <w:abstractNumId w:val="35"/>
  </w:num>
  <w:num w:numId="40">
    <w:abstractNumId w:val="43"/>
  </w:num>
  <w:num w:numId="41">
    <w:abstractNumId w:val="34"/>
  </w:num>
  <w:num w:numId="42">
    <w:abstractNumId w:val="16"/>
  </w:num>
  <w:num w:numId="43">
    <w:abstractNumId w:val="30"/>
  </w:num>
  <w:num w:numId="44">
    <w:abstractNumId w:val="1"/>
  </w:num>
  <w:num w:numId="45">
    <w:abstractNumId w:val="32"/>
  </w:num>
  <w:num w:numId="46">
    <w:abstractNumId w:val="11"/>
  </w:num>
  <w:num w:numId="47">
    <w:abstractNumId w:val="40"/>
  </w:num>
  <w:num w:numId="48">
    <w:abstractNumId w:val="2"/>
  </w:num>
  <w:num w:numId="49">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D3B"/>
    <w:rsid w:val="00000C37"/>
    <w:rsid w:val="00001020"/>
    <w:rsid w:val="00001E53"/>
    <w:rsid w:val="00002B09"/>
    <w:rsid w:val="000030E7"/>
    <w:rsid w:val="000034A9"/>
    <w:rsid w:val="000034EE"/>
    <w:rsid w:val="00003E76"/>
    <w:rsid w:val="00005E64"/>
    <w:rsid w:val="00006C8C"/>
    <w:rsid w:val="0000742E"/>
    <w:rsid w:val="00007C51"/>
    <w:rsid w:val="00007FA9"/>
    <w:rsid w:val="0001026E"/>
    <w:rsid w:val="00010AB8"/>
    <w:rsid w:val="0001118A"/>
    <w:rsid w:val="000112D5"/>
    <w:rsid w:val="000113A0"/>
    <w:rsid w:val="00011690"/>
    <w:rsid w:val="00011712"/>
    <w:rsid w:val="00011F12"/>
    <w:rsid w:val="000126D9"/>
    <w:rsid w:val="0001412B"/>
    <w:rsid w:val="000145D5"/>
    <w:rsid w:val="00014653"/>
    <w:rsid w:val="00017062"/>
    <w:rsid w:val="000176D7"/>
    <w:rsid w:val="000200B6"/>
    <w:rsid w:val="0002197E"/>
    <w:rsid w:val="00021F02"/>
    <w:rsid w:val="000223C5"/>
    <w:rsid w:val="000226DD"/>
    <w:rsid w:val="00023069"/>
    <w:rsid w:val="000242C2"/>
    <w:rsid w:val="000248B4"/>
    <w:rsid w:val="00025704"/>
    <w:rsid w:val="0002592E"/>
    <w:rsid w:val="000259B7"/>
    <w:rsid w:val="00025B66"/>
    <w:rsid w:val="000265E6"/>
    <w:rsid w:val="00027DE3"/>
    <w:rsid w:val="00030003"/>
    <w:rsid w:val="00030574"/>
    <w:rsid w:val="00031692"/>
    <w:rsid w:val="00031F34"/>
    <w:rsid w:val="000326A6"/>
    <w:rsid w:val="00033326"/>
    <w:rsid w:val="0003343D"/>
    <w:rsid w:val="0003359C"/>
    <w:rsid w:val="00033A75"/>
    <w:rsid w:val="00033B8A"/>
    <w:rsid w:val="00033B8B"/>
    <w:rsid w:val="000344EC"/>
    <w:rsid w:val="0003506C"/>
    <w:rsid w:val="0003517D"/>
    <w:rsid w:val="000352E1"/>
    <w:rsid w:val="000352E9"/>
    <w:rsid w:val="0003798F"/>
    <w:rsid w:val="00037D3D"/>
    <w:rsid w:val="000404D5"/>
    <w:rsid w:val="000436AB"/>
    <w:rsid w:val="0004422C"/>
    <w:rsid w:val="000459DB"/>
    <w:rsid w:val="00045F62"/>
    <w:rsid w:val="000462DC"/>
    <w:rsid w:val="00046D07"/>
    <w:rsid w:val="00047926"/>
    <w:rsid w:val="00047D8E"/>
    <w:rsid w:val="00050343"/>
    <w:rsid w:val="000503D4"/>
    <w:rsid w:val="00051C6B"/>
    <w:rsid w:val="00052080"/>
    <w:rsid w:val="00052884"/>
    <w:rsid w:val="00053244"/>
    <w:rsid w:val="000538A6"/>
    <w:rsid w:val="00053957"/>
    <w:rsid w:val="0005404A"/>
    <w:rsid w:val="00054856"/>
    <w:rsid w:val="000560B2"/>
    <w:rsid w:val="00056241"/>
    <w:rsid w:val="0005780A"/>
    <w:rsid w:val="00057982"/>
    <w:rsid w:val="00057F39"/>
    <w:rsid w:val="000617DA"/>
    <w:rsid w:val="00061FDB"/>
    <w:rsid w:val="000620A7"/>
    <w:rsid w:val="0006233E"/>
    <w:rsid w:val="000635D2"/>
    <w:rsid w:val="0006397C"/>
    <w:rsid w:val="00063B3C"/>
    <w:rsid w:val="00065503"/>
    <w:rsid w:val="000655FB"/>
    <w:rsid w:val="00065920"/>
    <w:rsid w:val="000666FE"/>
    <w:rsid w:val="00066A9F"/>
    <w:rsid w:val="0006742A"/>
    <w:rsid w:val="00067778"/>
    <w:rsid w:val="000678FA"/>
    <w:rsid w:val="00067F24"/>
    <w:rsid w:val="00070ABB"/>
    <w:rsid w:val="00070DCC"/>
    <w:rsid w:val="00071E57"/>
    <w:rsid w:val="000720E1"/>
    <w:rsid w:val="0007228D"/>
    <w:rsid w:val="000724E4"/>
    <w:rsid w:val="000725AE"/>
    <w:rsid w:val="0007292D"/>
    <w:rsid w:val="00072AD0"/>
    <w:rsid w:val="00072FDD"/>
    <w:rsid w:val="000739C4"/>
    <w:rsid w:val="00074086"/>
    <w:rsid w:val="00076110"/>
    <w:rsid w:val="00077253"/>
    <w:rsid w:val="00080397"/>
    <w:rsid w:val="000804ED"/>
    <w:rsid w:val="0008077A"/>
    <w:rsid w:val="00080B28"/>
    <w:rsid w:val="0008133A"/>
    <w:rsid w:val="00081425"/>
    <w:rsid w:val="00081751"/>
    <w:rsid w:val="00081EB3"/>
    <w:rsid w:val="00081FBA"/>
    <w:rsid w:val="000821D9"/>
    <w:rsid w:val="00082BE7"/>
    <w:rsid w:val="0008390C"/>
    <w:rsid w:val="000842E1"/>
    <w:rsid w:val="0008439E"/>
    <w:rsid w:val="000851FE"/>
    <w:rsid w:val="00085805"/>
    <w:rsid w:val="00086B35"/>
    <w:rsid w:val="00086E62"/>
    <w:rsid w:val="00087045"/>
    <w:rsid w:val="00087068"/>
    <w:rsid w:val="000905D5"/>
    <w:rsid w:val="00090B7A"/>
    <w:rsid w:val="000912AD"/>
    <w:rsid w:val="00091F72"/>
    <w:rsid w:val="0009392F"/>
    <w:rsid w:val="00093C9F"/>
    <w:rsid w:val="00093F3C"/>
    <w:rsid w:val="0009481D"/>
    <w:rsid w:val="000958F8"/>
    <w:rsid w:val="000A1269"/>
    <w:rsid w:val="000A19C6"/>
    <w:rsid w:val="000A2058"/>
    <w:rsid w:val="000A234B"/>
    <w:rsid w:val="000A2526"/>
    <w:rsid w:val="000A2A65"/>
    <w:rsid w:val="000A37B1"/>
    <w:rsid w:val="000A3C54"/>
    <w:rsid w:val="000A3DE2"/>
    <w:rsid w:val="000A48C7"/>
    <w:rsid w:val="000A503F"/>
    <w:rsid w:val="000A5315"/>
    <w:rsid w:val="000A5543"/>
    <w:rsid w:val="000A6634"/>
    <w:rsid w:val="000A66A2"/>
    <w:rsid w:val="000A6EBC"/>
    <w:rsid w:val="000A6F58"/>
    <w:rsid w:val="000A7DEF"/>
    <w:rsid w:val="000B0523"/>
    <w:rsid w:val="000B21CA"/>
    <w:rsid w:val="000B2350"/>
    <w:rsid w:val="000B2666"/>
    <w:rsid w:val="000B28FB"/>
    <w:rsid w:val="000B331C"/>
    <w:rsid w:val="000B3585"/>
    <w:rsid w:val="000B3BAD"/>
    <w:rsid w:val="000B4E2B"/>
    <w:rsid w:val="000B505F"/>
    <w:rsid w:val="000B523B"/>
    <w:rsid w:val="000B5BF5"/>
    <w:rsid w:val="000B6EBE"/>
    <w:rsid w:val="000B7546"/>
    <w:rsid w:val="000B787E"/>
    <w:rsid w:val="000C0300"/>
    <w:rsid w:val="000C0C69"/>
    <w:rsid w:val="000C1138"/>
    <w:rsid w:val="000C1321"/>
    <w:rsid w:val="000C14E2"/>
    <w:rsid w:val="000C1A5C"/>
    <w:rsid w:val="000C24D5"/>
    <w:rsid w:val="000C2ECA"/>
    <w:rsid w:val="000C3A5B"/>
    <w:rsid w:val="000C3BFB"/>
    <w:rsid w:val="000C425A"/>
    <w:rsid w:val="000C4626"/>
    <w:rsid w:val="000C4C3A"/>
    <w:rsid w:val="000C62D9"/>
    <w:rsid w:val="000C69ED"/>
    <w:rsid w:val="000C7665"/>
    <w:rsid w:val="000D08CA"/>
    <w:rsid w:val="000D1CB7"/>
    <w:rsid w:val="000D1EEA"/>
    <w:rsid w:val="000D4908"/>
    <w:rsid w:val="000D4D6C"/>
    <w:rsid w:val="000D4EF4"/>
    <w:rsid w:val="000D5350"/>
    <w:rsid w:val="000D5532"/>
    <w:rsid w:val="000D6376"/>
    <w:rsid w:val="000D666D"/>
    <w:rsid w:val="000D7571"/>
    <w:rsid w:val="000D77F9"/>
    <w:rsid w:val="000D7B0B"/>
    <w:rsid w:val="000D7D90"/>
    <w:rsid w:val="000E18B8"/>
    <w:rsid w:val="000E24C3"/>
    <w:rsid w:val="000E2FF5"/>
    <w:rsid w:val="000E3808"/>
    <w:rsid w:val="000E417F"/>
    <w:rsid w:val="000E438B"/>
    <w:rsid w:val="000E46E2"/>
    <w:rsid w:val="000E4D16"/>
    <w:rsid w:val="000E5775"/>
    <w:rsid w:val="000E6826"/>
    <w:rsid w:val="000E6A69"/>
    <w:rsid w:val="000E7142"/>
    <w:rsid w:val="000E7557"/>
    <w:rsid w:val="000F027D"/>
    <w:rsid w:val="000F1080"/>
    <w:rsid w:val="000F130E"/>
    <w:rsid w:val="000F1785"/>
    <w:rsid w:val="000F2C05"/>
    <w:rsid w:val="000F3040"/>
    <w:rsid w:val="000F3222"/>
    <w:rsid w:val="000F3576"/>
    <w:rsid w:val="000F42B8"/>
    <w:rsid w:val="000F45A3"/>
    <w:rsid w:val="000F6E03"/>
    <w:rsid w:val="000F7371"/>
    <w:rsid w:val="000F7729"/>
    <w:rsid w:val="000F7E4D"/>
    <w:rsid w:val="001001FE"/>
    <w:rsid w:val="00100A9B"/>
    <w:rsid w:val="00100BC8"/>
    <w:rsid w:val="00100DD2"/>
    <w:rsid w:val="0010156C"/>
    <w:rsid w:val="001020C6"/>
    <w:rsid w:val="00102445"/>
    <w:rsid w:val="0010371B"/>
    <w:rsid w:val="0010390B"/>
    <w:rsid w:val="00105181"/>
    <w:rsid w:val="001058EF"/>
    <w:rsid w:val="00105973"/>
    <w:rsid w:val="00105C50"/>
    <w:rsid w:val="001066DA"/>
    <w:rsid w:val="00106A8D"/>
    <w:rsid w:val="00107AEB"/>
    <w:rsid w:val="00110DA0"/>
    <w:rsid w:val="00111259"/>
    <w:rsid w:val="0011226D"/>
    <w:rsid w:val="0011293C"/>
    <w:rsid w:val="00113E79"/>
    <w:rsid w:val="00115700"/>
    <w:rsid w:val="00115E77"/>
    <w:rsid w:val="00116BEA"/>
    <w:rsid w:val="001176A8"/>
    <w:rsid w:val="001176F5"/>
    <w:rsid w:val="00117E6A"/>
    <w:rsid w:val="001200BA"/>
    <w:rsid w:val="00120940"/>
    <w:rsid w:val="00120ADC"/>
    <w:rsid w:val="00120CDB"/>
    <w:rsid w:val="00120DED"/>
    <w:rsid w:val="00121638"/>
    <w:rsid w:val="00121B4F"/>
    <w:rsid w:val="00121EF2"/>
    <w:rsid w:val="0012351B"/>
    <w:rsid w:val="0012389B"/>
    <w:rsid w:val="00123FBA"/>
    <w:rsid w:val="0012574D"/>
    <w:rsid w:val="001257E1"/>
    <w:rsid w:val="001263B8"/>
    <w:rsid w:val="00126857"/>
    <w:rsid w:val="00126AFB"/>
    <w:rsid w:val="00126DE3"/>
    <w:rsid w:val="001271B7"/>
    <w:rsid w:val="00127B68"/>
    <w:rsid w:val="00127F8B"/>
    <w:rsid w:val="001313AE"/>
    <w:rsid w:val="00131957"/>
    <w:rsid w:val="00131A71"/>
    <w:rsid w:val="00131CEC"/>
    <w:rsid w:val="00132520"/>
    <w:rsid w:val="00132F2A"/>
    <w:rsid w:val="00136891"/>
    <w:rsid w:val="001369EF"/>
    <w:rsid w:val="00136C53"/>
    <w:rsid w:val="00137125"/>
    <w:rsid w:val="00141037"/>
    <w:rsid w:val="00141080"/>
    <w:rsid w:val="0014117C"/>
    <w:rsid w:val="00141E58"/>
    <w:rsid w:val="001425B1"/>
    <w:rsid w:val="00143699"/>
    <w:rsid w:val="001445A3"/>
    <w:rsid w:val="00144769"/>
    <w:rsid w:val="00144A6B"/>
    <w:rsid w:val="00144BE3"/>
    <w:rsid w:val="00144EAE"/>
    <w:rsid w:val="0014554F"/>
    <w:rsid w:val="00145AD9"/>
    <w:rsid w:val="001465E7"/>
    <w:rsid w:val="00146B87"/>
    <w:rsid w:val="00146F25"/>
    <w:rsid w:val="0014724F"/>
    <w:rsid w:val="00150BE5"/>
    <w:rsid w:val="00152EE3"/>
    <w:rsid w:val="00153361"/>
    <w:rsid w:val="001533EE"/>
    <w:rsid w:val="00153A24"/>
    <w:rsid w:val="00153B77"/>
    <w:rsid w:val="0015503E"/>
    <w:rsid w:val="00155319"/>
    <w:rsid w:val="001565E4"/>
    <w:rsid w:val="0015790F"/>
    <w:rsid w:val="00157E1B"/>
    <w:rsid w:val="001600A3"/>
    <w:rsid w:val="00160415"/>
    <w:rsid w:val="00160676"/>
    <w:rsid w:val="001609C3"/>
    <w:rsid w:val="00160FF1"/>
    <w:rsid w:val="001621D8"/>
    <w:rsid w:val="00162CA4"/>
    <w:rsid w:val="00163663"/>
    <w:rsid w:val="00163C59"/>
    <w:rsid w:val="00163DB7"/>
    <w:rsid w:val="00164030"/>
    <w:rsid w:val="001643FF"/>
    <w:rsid w:val="00164D57"/>
    <w:rsid w:val="001653D5"/>
    <w:rsid w:val="00165853"/>
    <w:rsid w:val="001716FD"/>
    <w:rsid w:val="00171A7C"/>
    <w:rsid w:val="00173A0B"/>
    <w:rsid w:val="00174629"/>
    <w:rsid w:val="00175177"/>
    <w:rsid w:val="00175A65"/>
    <w:rsid w:val="00176748"/>
    <w:rsid w:val="00176EED"/>
    <w:rsid w:val="00177590"/>
    <w:rsid w:val="00177AB2"/>
    <w:rsid w:val="00177F59"/>
    <w:rsid w:val="00181F7F"/>
    <w:rsid w:val="00182E6B"/>
    <w:rsid w:val="00183150"/>
    <w:rsid w:val="001831F7"/>
    <w:rsid w:val="00183222"/>
    <w:rsid w:val="00183EE9"/>
    <w:rsid w:val="001845AB"/>
    <w:rsid w:val="001846D0"/>
    <w:rsid w:val="00184D4E"/>
    <w:rsid w:val="00185961"/>
    <w:rsid w:val="0018651D"/>
    <w:rsid w:val="00186D3A"/>
    <w:rsid w:val="00187699"/>
    <w:rsid w:val="00187C8D"/>
    <w:rsid w:val="00190428"/>
    <w:rsid w:val="00190E24"/>
    <w:rsid w:val="00190EA3"/>
    <w:rsid w:val="00190FE0"/>
    <w:rsid w:val="001912A8"/>
    <w:rsid w:val="001913DD"/>
    <w:rsid w:val="00192AF7"/>
    <w:rsid w:val="00193397"/>
    <w:rsid w:val="001937D9"/>
    <w:rsid w:val="00193866"/>
    <w:rsid w:val="00193CB6"/>
    <w:rsid w:val="001947FF"/>
    <w:rsid w:val="00194A04"/>
    <w:rsid w:val="00196894"/>
    <w:rsid w:val="00197218"/>
    <w:rsid w:val="001972C5"/>
    <w:rsid w:val="001976B9"/>
    <w:rsid w:val="001A0590"/>
    <w:rsid w:val="001A065F"/>
    <w:rsid w:val="001A0C71"/>
    <w:rsid w:val="001A0D54"/>
    <w:rsid w:val="001A1D06"/>
    <w:rsid w:val="001A1EC1"/>
    <w:rsid w:val="001A20A3"/>
    <w:rsid w:val="001A34EC"/>
    <w:rsid w:val="001A3767"/>
    <w:rsid w:val="001A3D0D"/>
    <w:rsid w:val="001A4453"/>
    <w:rsid w:val="001A47E3"/>
    <w:rsid w:val="001A4E2D"/>
    <w:rsid w:val="001A5401"/>
    <w:rsid w:val="001B2B13"/>
    <w:rsid w:val="001B33A6"/>
    <w:rsid w:val="001B3D97"/>
    <w:rsid w:val="001B3E12"/>
    <w:rsid w:val="001B4289"/>
    <w:rsid w:val="001B49B0"/>
    <w:rsid w:val="001B4E71"/>
    <w:rsid w:val="001B59CB"/>
    <w:rsid w:val="001B648E"/>
    <w:rsid w:val="001B65E7"/>
    <w:rsid w:val="001B6EFF"/>
    <w:rsid w:val="001B6F25"/>
    <w:rsid w:val="001B7F96"/>
    <w:rsid w:val="001C047B"/>
    <w:rsid w:val="001C0A2A"/>
    <w:rsid w:val="001C1EAD"/>
    <w:rsid w:val="001C26D8"/>
    <w:rsid w:val="001C431E"/>
    <w:rsid w:val="001C4427"/>
    <w:rsid w:val="001C5AB5"/>
    <w:rsid w:val="001D0712"/>
    <w:rsid w:val="001D072E"/>
    <w:rsid w:val="001D0B65"/>
    <w:rsid w:val="001D1768"/>
    <w:rsid w:val="001D1CBC"/>
    <w:rsid w:val="001D26DE"/>
    <w:rsid w:val="001D3836"/>
    <w:rsid w:val="001D39AC"/>
    <w:rsid w:val="001D3DFC"/>
    <w:rsid w:val="001D4879"/>
    <w:rsid w:val="001D541C"/>
    <w:rsid w:val="001D5865"/>
    <w:rsid w:val="001D693D"/>
    <w:rsid w:val="001D6C8E"/>
    <w:rsid w:val="001D6E09"/>
    <w:rsid w:val="001D7288"/>
    <w:rsid w:val="001D74C7"/>
    <w:rsid w:val="001E00E5"/>
    <w:rsid w:val="001E019A"/>
    <w:rsid w:val="001E2241"/>
    <w:rsid w:val="001E2618"/>
    <w:rsid w:val="001E27E1"/>
    <w:rsid w:val="001E2955"/>
    <w:rsid w:val="001E29C7"/>
    <w:rsid w:val="001E2A6A"/>
    <w:rsid w:val="001E2DF6"/>
    <w:rsid w:val="001E5834"/>
    <w:rsid w:val="001E5B00"/>
    <w:rsid w:val="001E60A0"/>
    <w:rsid w:val="001E65A2"/>
    <w:rsid w:val="001E756C"/>
    <w:rsid w:val="001E7ACA"/>
    <w:rsid w:val="001F12B5"/>
    <w:rsid w:val="001F31A3"/>
    <w:rsid w:val="001F3446"/>
    <w:rsid w:val="001F3D5B"/>
    <w:rsid w:val="001F5767"/>
    <w:rsid w:val="001F5DF0"/>
    <w:rsid w:val="001F65E6"/>
    <w:rsid w:val="001F7094"/>
    <w:rsid w:val="001F711D"/>
    <w:rsid w:val="001F7A6A"/>
    <w:rsid w:val="002006C9"/>
    <w:rsid w:val="00200E84"/>
    <w:rsid w:val="002014BB"/>
    <w:rsid w:val="00201A18"/>
    <w:rsid w:val="00202D4D"/>
    <w:rsid w:val="002032B3"/>
    <w:rsid w:val="002033C7"/>
    <w:rsid w:val="002033FE"/>
    <w:rsid w:val="00203FBE"/>
    <w:rsid w:val="0020432B"/>
    <w:rsid w:val="002045A6"/>
    <w:rsid w:val="00204B1D"/>
    <w:rsid w:val="002050A7"/>
    <w:rsid w:val="00205805"/>
    <w:rsid w:val="00205831"/>
    <w:rsid w:val="002061B0"/>
    <w:rsid w:val="00206536"/>
    <w:rsid w:val="00206909"/>
    <w:rsid w:val="00210510"/>
    <w:rsid w:val="00210B46"/>
    <w:rsid w:val="00210C59"/>
    <w:rsid w:val="00211351"/>
    <w:rsid w:val="00212446"/>
    <w:rsid w:val="00212A7E"/>
    <w:rsid w:val="00212BA2"/>
    <w:rsid w:val="002135D4"/>
    <w:rsid w:val="002138A1"/>
    <w:rsid w:val="00213ABB"/>
    <w:rsid w:val="00213CFF"/>
    <w:rsid w:val="00214AD8"/>
    <w:rsid w:val="00214E09"/>
    <w:rsid w:val="0021500D"/>
    <w:rsid w:val="002150D2"/>
    <w:rsid w:val="00215BD1"/>
    <w:rsid w:val="00215C96"/>
    <w:rsid w:val="00216030"/>
    <w:rsid w:val="0021737C"/>
    <w:rsid w:val="0021798B"/>
    <w:rsid w:val="00217FBD"/>
    <w:rsid w:val="002225FB"/>
    <w:rsid w:val="002229E6"/>
    <w:rsid w:val="00222FFD"/>
    <w:rsid w:val="00223EFD"/>
    <w:rsid w:val="00223F62"/>
    <w:rsid w:val="00224CAD"/>
    <w:rsid w:val="00225059"/>
    <w:rsid w:val="0022595A"/>
    <w:rsid w:val="00225D21"/>
    <w:rsid w:val="00225F1D"/>
    <w:rsid w:val="00226A44"/>
    <w:rsid w:val="002270AB"/>
    <w:rsid w:val="0022760A"/>
    <w:rsid w:val="0022797E"/>
    <w:rsid w:val="00227B9B"/>
    <w:rsid w:val="00227CA9"/>
    <w:rsid w:val="002302EC"/>
    <w:rsid w:val="00230440"/>
    <w:rsid w:val="00230796"/>
    <w:rsid w:val="00230D12"/>
    <w:rsid w:val="00230D1B"/>
    <w:rsid w:val="00231F44"/>
    <w:rsid w:val="00232628"/>
    <w:rsid w:val="00232F44"/>
    <w:rsid w:val="00233C14"/>
    <w:rsid w:val="00234B2D"/>
    <w:rsid w:val="00237489"/>
    <w:rsid w:val="002406F5"/>
    <w:rsid w:val="00240EB8"/>
    <w:rsid w:val="00241080"/>
    <w:rsid w:val="0024131F"/>
    <w:rsid w:val="0024139E"/>
    <w:rsid w:val="002417E2"/>
    <w:rsid w:val="00243511"/>
    <w:rsid w:val="002436D9"/>
    <w:rsid w:val="00244494"/>
    <w:rsid w:val="0024522F"/>
    <w:rsid w:val="00245495"/>
    <w:rsid w:val="00245E85"/>
    <w:rsid w:val="0024651B"/>
    <w:rsid w:val="002502B1"/>
    <w:rsid w:val="00250548"/>
    <w:rsid w:val="00250F28"/>
    <w:rsid w:val="002529BA"/>
    <w:rsid w:val="0025300F"/>
    <w:rsid w:val="002538D9"/>
    <w:rsid w:val="002558AF"/>
    <w:rsid w:val="002563B5"/>
    <w:rsid w:val="002568DA"/>
    <w:rsid w:val="002603D5"/>
    <w:rsid w:val="002606D7"/>
    <w:rsid w:val="00260912"/>
    <w:rsid w:val="00262164"/>
    <w:rsid w:val="00262621"/>
    <w:rsid w:val="0026305C"/>
    <w:rsid w:val="002639F7"/>
    <w:rsid w:val="00263A67"/>
    <w:rsid w:val="00265944"/>
    <w:rsid w:val="00265CFE"/>
    <w:rsid w:val="002671C8"/>
    <w:rsid w:val="00267615"/>
    <w:rsid w:val="00267970"/>
    <w:rsid w:val="00270BA3"/>
    <w:rsid w:val="0027393F"/>
    <w:rsid w:val="00274155"/>
    <w:rsid w:val="00276461"/>
    <w:rsid w:val="00276D3B"/>
    <w:rsid w:val="00276E4F"/>
    <w:rsid w:val="00277131"/>
    <w:rsid w:val="00277417"/>
    <w:rsid w:val="002778FA"/>
    <w:rsid w:val="0028076B"/>
    <w:rsid w:val="00281153"/>
    <w:rsid w:val="00281AFF"/>
    <w:rsid w:val="00282340"/>
    <w:rsid w:val="002824EB"/>
    <w:rsid w:val="0028337D"/>
    <w:rsid w:val="0028486A"/>
    <w:rsid w:val="00284E3D"/>
    <w:rsid w:val="00285560"/>
    <w:rsid w:val="00285C6D"/>
    <w:rsid w:val="00286D19"/>
    <w:rsid w:val="00286E63"/>
    <w:rsid w:val="00287E69"/>
    <w:rsid w:val="00287ED1"/>
    <w:rsid w:val="00290757"/>
    <w:rsid w:val="00290C2F"/>
    <w:rsid w:val="00290C7D"/>
    <w:rsid w:val="00291969"/>
    <w:rsid w:val="00292129"/>
    <w:rsid w:val="00292228"/>
    <w:rsid w:val="002931CC"/>
    <w:rsid w:val="00293280"/>
    <w:rsid w:val="002935AF"/>
    <w:rsid w:val="002965AE"/>
    <w:rsid w:val="002A0DCF"/>
    <w:rsid w:val="002A115C"/>
    <w:rsid w:val="002A13FD"/>
    <w:rsid w:val="002A18DA"/>
    <w:rsid w:val="002A270A"/>
    <w:rsid w:val="002A2788"/>
    <w:rsid w:val="002A3C8F"/>
    <w:rsid w:val="002A5A2B"/>
    <w:rsid w:val="002A5FA1"/>
    <w:rsid w:val="002A614C"/>
    <w:rsid w:val="002A6878"/>
    <w:rsid w:val="002A794E"/>
    <w:rsid w:val="002B0838"/>
    <w:rsid w:val="002B107A"/>
    <w:rsid w:val="002B11AA"/>
    <w:rsid w:val="002B126D"/>
    <w:rsid w:val="002B16DE"/>
    <w:rsid w:val="002B22C0"/>
    <w:rsid w:val="002B23C3"/>
    <w:rsid w:val="002B40CA"/>
    <w:rsid w:val="002B74D8"/>
    <w:rsid w:val="002B7508"/>
    <w:rsid w:val="002C1461"/>
    <w:rsid w:val="002C15C1"/>
    <w:rsid w:val="002C1A89"/>
    <w:rsid w:val="002C1BA2"/>
    <w:rsid w:val="002C2196"/>
    <w:rsid w:val="002C2210"/>
    <w:rsid w:val="002C235D"/>
    <w:rsid w:val="002C3056"/>
    <w:rsid w:val="002C331F"/>
    <w:rsid w:val="002C47EB"/>
    <w:rsid w:val="002C4E98"/>
    <w:rsid w:val="002C5882"/>
    <w:rsid w:val="002C6710"/>
    <w:rsid w:val="002C698B"/>
    <w:rsid w:val="002C7E99"/>
    <w:rsid w:val="002D0BA1"/>
    <w:rsid w:val="002D0E5D"/>
    <w:rsid w:val="002D1346"/>
    <w:rsid w:val="002D18A3"/>
    <w:rsid w:val="002D2DE7"/>
    <w:rsid w:val="002D2EC7"/>
    <w:rsid w:val="002D37FD"/>
    <w:rsid w:val="002D3F5A"/>
    <w:rsid w:val="002D4968"/>
    <w:rsid w:val="002D4DCD"/>
    <w:rsid w:val="002D5453"/>
    <w:rsid w:val="002D54C9"/>
    <w:rsid w:val="002D74AD"/>
    <w:rsid w:val="002D7EA1"/>
    <w:rsid w:val="002E23B8"/>
    <w:rsid w:val="002E5CEC"/>
    <w:rsid w:val="002E6C30"/>
    <w:rsid w:val="002F011D"/>
    <w:rsid w:val="002F21DD"/>
    <w:rsid w:val="002F24E8"/>
    <w:rsid w:val="002F2D9C"/>
    <w:rsid w:val="002F318D"/>
    <w:rsid w:val="002F3BDA"/>
    <w:rsid w:val="002F3CB3"/>
    <w:rsid w:val="002F44D2"/>
    <w:rsid w:val="002F54B1"/>
    <w:rsid w:val="002F5848"/>
    <w:rsid w:val="002F5DD4"/>
    <w:rsid w:val="002F5E89"/>
    <w:rsid w:val="002F70B8"/>
    <w:rsid w:val="002F7281"/>
    <w:rsid w:val="002F7751"/>
    <w:rsid w:val="002F7DC6"/>
    <w:rsid w:val="003001D5"/>
    <w:rsid w:val="00301B55"/>
    <w:rsid w:val="0030237C"/>
    <w:rsid w:val="003032C9"/>
    <w:rsid w:val="00303D01"/>
    <w:rsid w:val="00303E2E"/>
    <w:rsid w:val="00305E03"/>
    <w:rsid w:val="003062A1"/>
    <w:rsid w:val="00306430"/>
    <w:rsid w:val="0030684E"/>
    <w:rsid w:val="003068DB"/>
    <w:rsid w:val="00306BE1"/>
    <w:rsid w:val="003073A9"/>
    <w:rsid w:val="003075AD"/>
    <w:rsid w:val="00307718"/>
    <w:rsid w:val="00307B6B"/>
    <w:rsid w:val="00310748"/>
    <w:rsid w:val="00310D84"/>
    <w:rsid w:val="003118B5"/>
    <w:rsid w:val="003118C6"/>
    <w:rsid w:val="003120BB"/>
    <w:rsid w:val="00312711"/>
    <w:rsid w:val="00313F57"/>
    <w:rsid w:val="0031697C"/>
    <w:rsid w:val="003170F3"/>
    <w:rsid w:val="003178CA"/>
    <w:rsid w:val="003211E7"/>
    <w:rsid w:val="003221B9"/>
    <w:rsid w:val="0032239B"/>
    <w:rsid w:val="00322CAA"/>
    <w:rsid w:val="00323B2B"/>
    <w:rsid w:val="00323F2D"/>
    <w:rsid w:val="0032447F"/>
    <w:rsid w:val="0032541C"/>
    <w:rsid w:val="00325DDA"/>
    <w:rsid w:val="00325E59"/>
    <w:rsid w:val="0032617F"/>
    <w:rsid w:val="0032648A"/>
    <w:rsid w:val="0032649D"/>
    <w:rsid w:val="00326C4F"/>
    <w:rsid w:val="0032766A"/>
    <w:rsid w:val="00327CDA"/>
    <w:rsid w:val="003307E5"/>
    <w:rsid w:val="003313D6"/>
    <w:rsid w:val="00331BD6"/>
    <w:rsid w:val="00332AD3"/>
    <w:rsid w:val="00332B92"/>
    <w:rsid w:val="00332FEB"/>
    <w:rsid w:val="0033336C"/>
    <w:rsid w:val="00333671"/>
    <w:rsid w:val="0033477E"/>
    <w:rsid w:val="00334B1D"/>
    <w:rsid w:val="003357EF"/>
    <w:rsid w:val="0033744A"/>
    <w:rsid w:val="003379D5"/>
    <w:rsid w:val="00337B20"/>
    <w:rsid w:val="00337EC4"/>
    <w:rsid w:val="003417FA"/>
    <w:rsid w:val="00342246"/>
    <w:rsid w:val="0034286F"/>
    <w:rsid w:val="0034377C"/>
    <w:rsid w:val="00343AE3"/>
    <w:rsid w:val="00343FFB"/>
    <w:rsid w:val="003445F9"/>
    <w:rsid w:val="00344B30"/>
    <w:rsid w:val="00344FB6"/>
    <w:rsid w:val="00346002"/>
    <w:rsid w:val="00346E61"/>
    <w:rsid w:val="003470E9"/>
    <w:rsid w:val="0034720A"/>
    <w:rsid w:val="00347408"/>
    <w:rsid w:val="00347A95"/>
    <w:rsid w:val="00347ACB"/>
    <w:rsid w:val="00350EA6"/>
    <w:rsid w:val="00350EC6"/>
    <w:rsid w:val="00351A77"/>
    <w:rsid w:val="00351FD8"/>
    <w:rsid w:val="00352DC0"/>
    <w:rsid w:val="00352EBB"/>
    <w:rsid w:val="00353A81"/>
    <w:rsid w:val="0035473B"/>
    <w:rsid w:val="00354859"/>
    <w:rsid w:val="00354FD7"/>
    <w:rsid w:val="00356198"/>
    <w:rsid w:val="0035619C"/>
    <w:rsid w:val="003563C9"/>
    <w:rsid w:val="0035644C"/>
    <w:rsid w:val="00357228"/>
    <w:rsid w:val="00357DA9"/>
    <w:rsid w:val="003627A0"/>
    <w:rsid w:val="003632DA"/>
    <w:rsid w:val="003638D2"/>
    <w:rsid w:val="00363DD0"/>
    <w:rsid w:val="00364351"/>
    <w:rsid w:val="003644C8"/>
    <w:rsid w:val="00364C72"/>
    <w:rsid w:val="003652FF"/>
    <w:rsid w:val="00365E51"/>
    <w:rsid w:val="00365F7D"/>
    <w:rsid w:val="003661A0"/>
    <w:rsid w:val="00370508"/>
    <w:rsid w:val="00370674"/>
    <w:rsid w:val="00371F82"/>
    <w:rsid w:val="00372AF2"/>
    <w:rsid w:val="00372C28"/>
    <w:rsid w:val="00373055"/>
    <w:rsid w:val="003731A1"/>
    <w:rsid w:val="00373B76"/>
    <w:rsid w:val="00373CE6"/>
    <w:rsid w:val="00374B72"/>
    <w:rsid w:val="003751B9"/>
    <w:rsid w:val="00375E0A"/>
    <w:rsid w:val="0037742C"/>
    <w:rsid w:val="003774A2"/>
    <w:rsid w:val="003800F2"/>
    <w:rsid w:val="00380216"/>
    <w:rsid w:val="00380CFA"/>
    <w:rsid w:val="003813D3"/>
    <w:rsid w:val="00381678"/>
    <w:rsid w:val="00382567"/>
    <w:rsid w:val="00383166"/>
    <w:rsid w:val="003838E3"/>
    <w:rsid w:val="00384C2A"/>
    <w:rsid w:val="003856F9"/>
    <w:rsid w:val="0038599D"/>
    <w:rsid w:val="00385A30"/>
    <w:rsid w:val="00386491"/>
    <w:rsid w:val="003871AE"/>
    <w:rsid w:val="00387C7F"/>
    <w:rsid w:val="003927AB"/>
    <w:rsid w:val="003929FA"/>
    <w:rsid w:val="00393F07"/>
    <w:rsid w:val="00394C64"/>
    <w:rsid w:val="0039529D"/>
    <w:rsid w:val="00396412"/>
    <w:rsid w:val="0039680D"/>
    <w:rsid w:val="003A09A7"/>
    <w:rsid w:val="003A0B27"/>
    <w:rsid w:val="003A13FD"/>
    <w:rsid w:val="003A2943"/>
    <w:rsid w:val="003A3837"/>
    <w:rsid w:val="003A5513"/>
    <w:rsid w:val="003A6ED6"/>
    <w:rsid w:val="003A72B4"/>
    <w:rsid w:val="003A791A"/>
    <w:rsid w:val="003B1B3C"/>
    <w:rsid w:val="003B4978"/>
    <w:rsid w:val="003B4AD6"/>
    <w:rsid w:val="003B4B57"/>
    <w:rsid w:val="003B4C65"/>
    <w:rsid w:val="003B513F"/>
    <w:rsid w:val="003B5ECC"/>
    <w:rsid w:val="003B7BEE"/>
    <w:rsid w:val="003B7E6E"/>
    <w:rsid w:val="003B7F7E"/>
    <w:rsid w:val="003C084A"/>
    <w:rsid w:val="003C11A1"/>
    <w:rsid w:val="003C148C"/>
    <w:rsid w:val="003C337D"/>
    <w:rsid w:val="003C3402"/>
    <w:rsid w:val="003C3C34"/>
    <w:rsid w:val="003C4309"/>
    <w:rsid w:val="003C437D"/>
    <w:rsid w:val="003C5EF9"/>
    <w:rsid w:val="003C6527"/>
    <w:rsid w:val="003C6AB0"/>
    <w:rsid w:val="003C7032"/>
    <w:rsid w:val="003C7159"/>
    <w:rsid w:val="003C7858"/>
    <w:rsid w:val="003D0D7A"/>
    <w:rsid w:val="003D1DA3"/>
    <w:rsid w:val="003D3047"/>
    <w:rsid w:val="003D4236"/>
    <w:rsid w:val="003D4D13"/>
    <w:rsid w:val="003D5D6C"/>
    <w:rsid w:val="003D65F5"/>
    <w:rsid w:val="003E010E"/>
    <w:rsid w:val="003E0D20"/>
    <w:rsid w:val="003E185C"/>
    <w:rsid w:val="003E19A0"/>
    <w:rsid w:val="003E1BC9"/>
    <w:rsid w:val="003E1C1C"/>
    <w:rsid w:val="003E2720"/>
    <w:rsid w:val="003E2C64"/>
    <w:rsid w:val="003E398F"/>
    <w:rsid w:val="003E41C2"/>
    <w:rsid w:val="003E4275"/>
    <w:rsid w:val="003E4895"/>
    <w:rsid w:val="003E4AC6"/>
    <w:rsid w:val="003E57DA"/>
    <w:rsid w:val="003E586C"/>
    <w:rsid w:val="003E5D1C"/>
    <w:rsid w:val="003E6CE5"/>
    <w:rsid w:val="003E73AF"/>
    <w:rsid w:val="003F201E"/>
    <w:rsid w:val="003F27A2"/>
    <w:rsid w:val="003F2C87"/>
    <w:rsid w:val="003F2C88"/>
    <w:rsid w:val="003F2F93"/>
    <w:rsid w:val="003F3315"/>
    <w:rsid w:val="003F55A0"/>
    <w:rsid w:val="003F60D8"/>
    <w:rsid w:val="003F6AE7"/>
    <w:rsid w:val="003F6ECA"/>
    <w:rsid w:val="003F70D5"/>
    <w:rsid w:val="003F7A1A"/>
    <w:rsid w:val="003F7CC5"/>
    <w:rsid w:val="003F7CDC"/>
    <w:rsid w:val="0040091B"/>
    <w:rsid w:val="00400A5E"/>
    <w:rsid w:val="00400F19"/>
    <w:rsid w:val="00401277"/>
    <w:rsid w:val="00402AED"/>
    <w:rsid w:val="00404CD9"/>
    <w:rsid w:val="004057B7"/>
    <w:rsid w:val="004060E1"/>
    <w:rsid w:val="00406225"/>
    <w:rsid w:val="00406A5C"/>
    <w:rsid w:val="00407049"/>
    <w:rsid w:val="00407A0D"/>
    <w:rsid w:val="00411041"/>
    <w:rsid w:val="00411143"/>
    <w:rsid w:val="004117D2"/>
    <w:rsid w:val="00412286"/>
    <w:rsid w:val="00412DF6"/>
    <w:rsid w:val="00417CE2"/>
    <w:rsid w:val="00417D99"/>
    <w:rsid w:val="0042011E"/>
    <w:rsid w:val="00420545"/>
    <w:rsid w:val="004206B5"/>
    <w:rsid w:val="00421890"/>
    <w:rsid w:val="004218FD"/>
    <w:rsid w:val="00422E86"/>
    <w:rsid w:val="004239AE"/>
    <w:rsid w:val="004261EB"/>
    <w:rsid w:val="004262AB"/>
    <w:rsid w:val="004263ED"/>
    <w:rsid w:val="0042776E"/>
    <w:rsid w:val="00427B9C"/>
    <w:rsid w:val="0043054D"/>
    <w:rsid w:val="00430655"/>
    <w:rsid w:val="004315A9"/>
    <w:rsid w:val="00431A46"/>
    <w:rsid w:val="00431AFC"/>
    <w:rsid w:val="0043265F"/>
    <w:rsid w:val="00432A40"/>
    <w:rsid w:val="00432BA7"/>
    <w:rsid w:val="00432D40"/>
    <w:rsid w:val="00433277"/>
    <w:rsid w:val="0043391D"/>
    <w:rsid w:val="00433ED4"/>
    <w:rsid w:val="0043438C"/>
    <w:rsid w:val="00434847"/>
    <w:rsid w:val="00434C84"/>
    <w:rsid w:val="00434FF5"/>
    <w:rsid w:val="0043601C"/>
    <w:rsid w:val="004369C3"/>
    <w:rsid w:val="00437EE1"/>
    <w:rsid w:val="0044032A"/>
    <w:rsid w:val="00440DE3"/>
    <w:rsid w:val="00441BE1"/>
    <w:rsid w:val="00442B82"/>
    <w:rsid w:val="00443573"/>
    <w:rsid w:val="00444116"/>
    <w:rsid w:val="00445776"/>
    <w:rsid w:val="004467E3"/>
    <w:rsid w:val="00446C97"/>
    <w:rsid w:val="00446FDD"/>
    <w:rsid w:val="00450888"/>
    <w:rsid w:val="00451CB3"/>
    <w:rsid w:val="00452006"/>
    <w:rsid w:val="00453260"/>
    <w:rsid w:val="00453C69"/>
    <w:rsid w:val="00453C77"/>
    <w:rsid w:val="00454003"/>
    <w:rsid w:val="004558C5"/>
    <w:rsid w:val="00455CB2"/>
    <w:rsid w:val="00456CEF"/>
    <w:rsid w:val="004600A3"/>
    <w:rsid w:val="00460208"/>
    <w:rsid w:val="00460B80"/>
    <w:rsid w:val="0046285E"/>
    <w:rsid w:val="00463D49"/>
    <w:rsid w:val="00463E0D"/>
    <w:rsid w:val="00465D4E"/>
    <w:rsid w:val="004665A2"/>
    <w:rsid w:val="00467044"/>
    <w:rsid w:val="0046769D"/>
    <w:rsid w:val="00467787"/>
    <w:rsid w:val="00470339"/>
    <w:rsid w:val="00470C93"/>
    <w:rsid w:val="00470ED1"/>
    <w:rsid w:val="00471BC0"/>
    <w:rsid w:val="00472259"/>
    <w:rsid w:val="00472777"/>
    <w:rsid w:val="00473444"/>
    <w:rsid w:val="00473544"/>
    <w:rsid w:val="00473566"/>
    <w:rsid w:val="00474CBC"/>
    <w:rsid w:val="00475657"/>
    <w:rsid w:val="0047650D"/>
    <w:rsid w:val="004771E7"/>
    <w:rsid w:val="00477AEF"/>
    <w:rsid w:val="00477D4E"/>
    <w:rsid w:val="004811C9"/>
    <w:rsid w:val="00483278"/>
    <w:rsid w:val="00485661"/>
    <w:rsid w:val="00485F08"/>
    <w:rsid w:val="00486391"/>
    <w:rsid w:val="004868B6"/>
    <w:rsid w:val="004877EE"/>
    <w:rsid w:val="004905E4"/>
    <w:rsid w:val="004914F6"/>
    <w:rsid w:val="00491525"/>
    <w:rsid w:val="0049256D"/>
    <w:rsid w:val="00492DE0"/>
    <w:rsid w:val="00494F97"/>
    <w:rsid w:val="004955EE"/>
    <w:rsid w:val="0049625E"/>
    <w:rsid w:val="004962E4"/>
    <w:rsid w:val="00496821"/>
    <w:rsid w:val="00496E21"/>
    <w:rsid w:val="00497770"/>
    <w:rsid w:val="004A0286"/>
    <w:rsid w:val="004A0A0D"/>
    <w:rsid w:val="004A2288"/>
    <w:rsid w:val="004A2450"/>
    <w:rsid w:val="004A2FF1"/>
    <w:rsid w:val="004A3048"/>
    <w:rsid w:val="004A3A09"/>
    <w:rsid w:val="004A45DD"/>
    <w:rsid w:val="004A47CF"/>
    <w:rsid w:val="004A4C3F"/>
    <w:rsid w:val="004A4C7C"/>
    <w:rsid w:val="004A6107"/>
    <w:rsid w:val="004A65A6"/>
    <w:rsid w:val="004A69A7"/>
    <w:rsid w:val="004A77A0"/>
    <w:rsid w:val="004B01BB"/>
    <w:rsid w:val="004B1324"/>
    <w:rsid w:val="004B1989"/>
    <w:rsid w:val="004B2AB2"/>
    <w:rsid w:val="004B3256"/>
    <w:rsid w:val="004B4BED"/>
    <w:rsid w:val="004B536F"/>
    <w:rsid w:val="004B5670"/>
    <w:rsid w:val="004B5CB9"/>
    <w:rsid w:val="004C2987"/>
    <w:rsid w:val="004C364D"/>
    <w:rsid w:val="004C3A28"/>
    <w:rsid w:val="004C528C"/>
    <w:rsid w:val="004C5A74"/>
    <w:rsid w:val="004C6514"/>
    <w:rsid w:val="004C6593"/>
    <w:rsid w:val="004D0627"/>
    <w:rsid w:val="004D0D8D"/>
    <w:rsid w:val="004D109B"/>
    <w:rsid w:val="004D11A0"/>
    <w:rsid w:val="004D1B9D"/>
    <w:rsid w:val="004D30E8"/>
    <w:rsid w:val="004D362A"/>
    <w:rsid w:val="004D36D2"/>
    <w:rsid w:val="004D3973"/>
    <w:rsid w:val="004D3C72"/>
    <w:rsid w:val="004D4F91"/>
    <w:rsid w:val="004D6544"/>
    <w:rsid w:val="004D739A"/>
    <w:rsid w:val="004E0205"/>
    <w:rsid w:val="004E2719"/>
    <w:rsid w:val="004E298D"/>
    <w:rsid w:val="004E32BF"/>
    <w:rsid w:val="004E41A9"/>
    <w:rsid w:val="004E4C84"/>
    <w:rsid w:val="004E5CBC"/>
    <w:rsid w:val="004E5DE8"/>
    <w:rsid w:val="004E7380"/>
    <w:rsid w:val="004F022E"/>
    <w:rsid w:val="004F2ADF"/>
    <w:rsid w:val="004F352B"/>
    <w:rsid w:val="004F52DE"/>
    <w:rsid w:val="004F607E"/>
    <w:rsid w:val="004F6C39"/>
    <w:rsid w:val="004F6C6A"/>
    <w:rsid w:val="004F7E68"/>
    <w:rsid w:val="005005F5"/>
    <w:rsid w:val="0050128C"/>
    <w:rsid w:val="005023A1"/>
    <w:rsid w:val="00502F76"/>
    <w:rsid w:val="0050309C"/>
    <w:rsid w:val="0050379E"/>
    <w:rsid w:val="005037BD"/>
    <w:rsid w:val="005037EF"/>
    <w:rsid w:val="00503A73"/>
    <w:rsid w:val="0050415F"/>
    <w:rsid w:val="005044B1"/>
    <w:rsid w:val="00505C92"/>
    <w:rsid w:val="00506179"/>
    <w:rsid w:val="00506C69"/>
    <w:rsid w:val="00506CAF"/>
    <w:rsid w:val="00506F89"/>
    <w:rsid w:val="005071C7"/>
    <w:rsid w:val="005074C7"/>
    <w:rsid w:val="00507BE2"/>
    <w:rsid w:val="00510C5A"/>
    <w:rsid w:val="005118A7"/>
    <w:rsid w:val="00511BBB"/>
    <w:rsid w:val="0051224D"/>
    <w:rsid w:val="00512716"/>
    <w:rsid w:val="00512844"/>
    <w:rsid w:val="00512BBA"/>
    <w:rsid w:val="005137E5"/>
    <w:rsid w:val="00514058"/>
    <w:rsid w:val="00514213"/>
    <w:rsid w:val="0051447B"/>
    <w:rsid w:val="00515A63"/>
    <w:rsid w:val="00517EB8"/>
    <w:rsid w:val="00520447"/>
    <w:rsid w:val="00520B84"/>
    <w:rsid w:val="0052135C"/>
    <w:rsid w:val="00521506"/>
    <w:rsid w:val="00521F4E"/>
    <w:rsid w:val="00522C0A"/>
    <w:rsid w:val="0052317E"/>
    <w:rsid w:val="005236DF"/>
    <w:rsid w:val="00523A84"/>
    <w:rsid w:val="005247DA"/>
    <w:rsid w:val="00524A08"/>
    <w:rsid w:val="00524ACD"/>
    <w:rsid w:val="00525B71"/>
    <w:rsid w:val="00525D79"/>
    <w:rsid w:val="00527608"/>
    <w:rsid w:val="005279D1"/>
    <w:rsid w:val="00527CCC"/>
    <w:rsid w:val="00527FC3"/>
    <w:rsid w:val="0053161F"/>
    <w:rsid w:val="00531E95"/>
    <w:rsid w:val="00533497"/>
    <w:rsid w:val="005334B3"/>
    <w:rsid w:val="005346D8"/>
    <w:rsid w:val="00534E17"/>
    <w:rsid w:val="005355C3"/>
    <w:rsid w:val="005404FA"/>
    <w:rsid w:val="00542FC5"/>
    <w:rsid w:val="0054307A"/>
    <w:rsid w:val="00544E16"/>
    <w:rsid w:val="00544F9D"/>
    <w:rsid w:val="00545EED"/>
    <w:rsid w:val="005470EF"/>
    <w:rsid w:val="00547311"/>
    <w:rsid w:val="0055041A"/>
    <w:rsid w:val="0055081F"/>
    <w:rsid w:val="005508E1"/>
    <w:rsid w:val="00551228"/>
    <w:rsid w:val="00552FB5"/>
    <w:rsid w:val="00554741"/>
    <w:rsid w:val="005552A5"/>
    <w:rsid w:val="00556E66"/>
    <w:rsid w:val="00560387"/>
    <w:rsid w:val="00560452"/>
    <w:rsid w:val="005610D6"/>
    <w:rsid w:val="005613C3"/>
    <w:rsid w:val="00562D61"/>
    <w:rsid w:val="00564056"/>
    <w:rsid w:val="005645CB"/>
    <w:rsid w:val="0056528C"/>
    <w:rsid w:val="00565691"/>
    <w:rsid w:val="00565D2B"/>
    <w:rsid w:val="00566184"/>
    <w:rsid w:val="0056686A"/>
    <w:rsid w:val="00566DEC"/>
    <w:rsid w:val="0057046C"/>
    <w:rsid w:val="00570807"/>
    <w:rsid w:val="005708B2"/>
    <w:rsid w:val="005718E1"/>
    <w:rsid w:val="00571E31"/>
    <w:rsid w:val="00572526"/>
    <w:rsid w:val="0057275C"/>
    <w:rsid w:val="00572EAA"/>
    <w:rsid w:val="00572FA5"/>
    <w:rsid w:val="005731B2"/>
    <w:rsid w:val="00573339"/>
    <w:rsid w:val="005739C1"/>
    <w:rsid w:val="00573ECF"/>
    <w:rsid w:val="005740EB"/>
    <w:rsid w:val="00574E13"/>
    <w:rsid w:val="005756B1"/>
    <w:rsid w:val="00577AE4"/>
    <w:rsid w:val="00577C61"/>
    <w:rsid w:val="00581026"/>
    <w:rsid w:val="00581661"/>
    <w:rsid w:val="00581EE5"/>
    <w:rsid w:val="00581F67"/>
    <w:rsid w:val="0058281C"/>
    <w:rsid w:val="00584E13"/>
    <w:rsid w:val="00585476"/>
    <w:rsid w:val="00585731"/>
    <w:rsid w:val="00586276"/>
    <w:rsid w:val="005870F0"/>
    <w:rsid w:val="00590967"/>
    <w:rsid w:val="00590AB4"/>
    <w:rsid w:val="00590CB0"/>
    <w:rsid w:val="005912C3"/>
    <w:rsid w:val="005916DF"/>
    <w:rsid w:val="00591C4F"/>
    <w:rsid w:val="005924EF"/>
    <w:rsid w:val="00592810"/>
    <w:rsid w:val="00593299"/>
    <w:rsid w:val="005936AC"/>
    <w:rsid w:val="005940EC"/>
    <w:rsid w:val="00594696"/>
    <w:rsid w:val="005955FE"/>
    <w:rsid w:val="005965FB"/>
    <w:rsid w:val="005A02AB"/>
    <w:rsid w:val="005A06F8"/>
    <w:rsid w:val="005A085B"/>
    <w:rsid w:val="005A0C4B"/>
    <w:rsid w:val="005A10A9"/>
    <w:rsid w:val="005A1F19"/>
    <w:rsid w:val="005A2286"/>
    <w:rsid w:val="005A2A58"/>
    <w:rsid w:val="005A30BB"/>
    <w:rsid w:val="005A3E6F"/>
    <w:rsid w:val="005A44A3"/>
    <w:rsid w:val="005A5B0F"/>
    <w:rsid w:val="005A6166"/>
    <w:rsid w:val="005A6925"/>
    <w:rsid w:val="005A6CBC"/>
    <w:rsid w:val="005A7B6B"/>
    <w:rsid w:val="005B0E76"/>
    <w:rsid w:val="005B10AA"/>
    <w:rsid w:val="005B1723"/>
    <w:rsid w:val="005B1B88"/>
    <w:rsid w:val="005B37D1"/>
    <w:rsid w:val="005B39D3"/>
    <w:rsid w:val="005B3AA0"/>
    <w:rsid w:val="005B3FE6"/>
    <w:rsid w:val="005B3FF1"/>
    <w:rsid w:val="005B42F1"/>
    <w:rsid w:val="005B4B60"/>
    <w:rsid w:val="005B4E98"/>
    <w:rsid w:val="005B6070"/>
    <w:rsid w:val="005B6358"/>
    <w:rsid w:val="005B7B3D"/>
    <w:rsid w:val="005C0D76"/>
    <w:rsid w:val="005C1A19"/>
    <w:rsid w:val="005C1FB6"/>
    <w:rsid w:val="005C3072"/>
    <w:rsid w:val="005C3B98"/>
    <w:rsid w:val="005C452B"/>
    <w:rsid w:val="005C4AE4"/>
    <w:rsid w:val="005C591A"/>
    <w:rsid w:val="005C6A71"/>
    <w:rsid w:val="005C6AA5"/>
    <w:rsid w:val="005C6C60"/>
    <w:rsid w:val="005C7938"/>
    <w:rsid w:val="005D0B8A"/>
    <w:rsid w:val="005D0D77"/>
    <w:rsid w:val="005D1CBD"/>
    <w:rsid w:val="005D1CFD"/>
    <w:rsid w:val="005D1EB8"/>
    <w:rsid w:val="005D3441"/>
    <w:rsid w:val="005D3A41"/>
    <w:rsid w:val="005D449C"/>
    <w:rsid w:val="005D5966"/>
    <w:rsid w:val="005D5F35"/>
    <w:rsid w:val="005D6604"/>
    <w:rsid w:val="005D72E9"/>
    <w:rsid w:val="005E02D4"/>
    <w:rsid w:val="005E0BE5"/>
    <w:rsid w:val="005E1342"/>
    <w:rsid w:val="005E16FB"/>
    <w:rsid w:val="005E1761"/>
    <w:rsid w:val="005E1C10"/>
    <w:rsid w:val="005E2E3F"/>
    <w:rsid w:val="005E334A"/>
    <w:rsid w:val="005E378B"/>
    <w:rsid w:val="005E4477"/>
    <w:rsid w:val="005E4A20"/>
    <w:rsid w:val="005E62BC"/>
    <w:rsid w:val="005E6525"/>
    <w:rsid w:val="005E72FF"/>
    <w:rsid w:val="005F1296"/>
    <w:rsid w:val="005F12C9"/>
    <w:rsid w:val="005F1536"/>
    <w:rsid w:val="005F158C"/>
    <w:rsid w:val="005F1E74"/>
    <w:rsid w:val="005F20CC"/>
    <w:rsid w:val="005F236C"/>
    <w:rsid w:val="005F2B04"/>
    <w:rsid w:val="005F34A9"/>
    <w:rsid w:val="005F37A9"/>
    <w:rsid w:val="005F3ADE"/>
    <w:rsid w:val="005F4600"/>
    <w:rsid w:val="005F530A"/>
    <w:rsid w:val="005F534E"/>
    <w:rsid w:val="005F5439"/>
    <w:rsid w:val="005F54F9"/>
    <w:rsid w:val="005F653E"/>
    <w:rsid w:val="00602A5C"/>
    <w:rsid w:val="00602BFC"/>
    <w:rsid w:val="0060338C"/>
    <w:rsid w:val="00603BB0"/>
    <w:rsid w:val="006040E2"/>
    <w:rsid w:val="0060498C"/>
    <w:rsid w:val="00604F26"/>
    <w:rsid w:val="00605958"/>
    <w:rsid w:val="00606394"/>
    <w:rsid w:val="0061063F"/>
    <w:rsid w:val="00611001"/>
    <w:rsid w:val="0061167C"/>
    <w:rsid w:val="006123FA"/>
    <w:rsid w:val="0061395D"/>
    <w:rsid w:val="006139EF"/>
    <w:rsid w:val="00613CFD"/>
    <w:rsid w:val="00613F6D"/>
    <w:rsid w:val="00614789"/>
    <w:rsid w:val="00615128"/>
    <w:rsid w:val="0061514F"/>
    <w:rsid w:val="00615850"/>
    <w:rsid w:val="0061664D"/>
    <w:rsid w:val="00617C62"/>
    <w:rsid w:val="00617D60"/>
    <w:rsid w:val="00620BE5"/>
    <w:rsid w:val="006213D4"/>
    <w:rsid w:val="00621CC0"/>
    <w:rsid w:val="00622229"/>
    <w:rsid w:val="006224AD"/>
    <w:rsid w:val="006225C8"/>
    <w:rsid w:val="00622F8B"/>
    <w:rsid w:val="00623517"/>
    <w:rsid w:val="0062386C"/>
    <w:rsid w:val="006240DB"/>
    <w:rsid w:val="00625A58"/>
    <w:rsid w:val="00627D6F"/>
    <w:rsid w:val="00627EF4"/>
    <w:rsid w:val="00630311"/>
    <w:rsid w:val="00630B92"/>
    <w:rsid w:val="00631028"/>
    <w:rsid w:val="00631236"/>
    <w:rsid w:val="006321F2"/>
    <w:rsid w:val="00632483"/>
    <w:rsid w:val="00632BBB"/>
    <w:rsid w:val="006336FF"/>
    <w:rsid w:val="00634237"/>
    <w:rsid w:val="00635376"/>
    <w:rsid w:val="006357F7"/>
    <w:rsid w:val="00635801"/>
    <w:rsid w:val="00635989"/>
    <w:rsid w:val="006401EA"/>
    <w:rsid w:val="0064028E"/>
    <w:rsid w:val="006402CD"/>
    <w:rsid w:val="00640A69"/>
    <w:rsid w:val="00641818"/>
    <w:rsid w:val="00641A90"/>
    <w:rsid w:val="006424BC"/>
    <w:rsid w:val="00642608"/>
    <w:rsid w:val="00642DB4"/>
    <w:rsid w:val="00643964"/>
    <w:rsid w:val="00643EBF"/>
    <w:rsid w:val="00644DBA"/>
    <w:rsid w:val="00645067"/>
    <w:rsid w:val="00645BF0"/>
    <w:rsid w:val="00645E65"/>
    <w:rsid w:val="00646199"/>
    <w:rsid w:val="00646414"/>
    <w:rsid w:val="0064687C"/>
    <w:rsid w:val="00646ED0"/>
    <w:rsid w:val="00650186"/>
    <w:rsid w:val="006508C9"/>
    <w:rsid w:val="00652A0C"/>
    <w:rsid w:val="00653953"/>
    <w:rsid w:val="00653F43"/>
    <w:rsid w:val="006557CB"/>
    <w:rsid w:val="0065591A"/>
    <w:rsid w:val="00655EFE"/>
    <w:rsid w:val="0065702A"/>
    <w:rsid w:val="006570B2"/>
    <w:rsid w:val="00660005"/>
    <w:rsid w:val="00660E12"/>
    <w:rsid w:val="00661033"/>
    <w:rsid w:val="00661057"/>
    <w:rsid w:val="006656BB"/>
    <w:rsid w:val="00665D53"/>
    <w:rsid w:val="00666693"/>
    <w:rsid w:val="00670570"/>
    <w:rsid w:val="00670E93"/>
    <w:rsid w:val="006710AC"/>
    <w:rsid w:val="006711B0"/>
    <w:rsid w:val="006713E6"/>
    <w:rsid w:val="006719E3"/>
    <w:rsid w:val="00672594"/>
    <w:rsid w:val="006748E9"/>
    <w:rsid w:val="006751C1"/>
    <w:rsid w:val="0067556E"/>
    <w:rsid w:val="00675902"/>
    <w:rsid w:val="00675CE2"/>
    <w:rsid w:val="00676540"/>
    <w:rsid w:val="006767F3"/>
    <w:rsid w:val="006771DB"/>
    <w:rsid w:val="006809E3"/>
    <w:rsid w:val="00680D77"/>
    <w:rsid w:val="0068151C"/>
    <w:rsid w:val="00681C50"/>
    <w:rsid w:val="00681FEB"/>
    <w:rsid w:val="006833D0"/>
    <w:rsid w:val="00685CB6"/>
    <w:rsid w:val="00685F1F"/>
    <w:rsid w:val="00686B6C"/>
    <w:rsid w:val="006870A5"/>
    <w:rsid w:val="00687E79"/>
    <w:rsid w:val="00690069"/>
    <w:rsid w:val="006904D2"/>
    <w:rsid w:val="006904FE"/>
    <w:rsid w:val="0069051E"/>
    <w:rsid w:val="0069055D"/>
    <w:rsid w:val="00690782"/>
    <w:rsid w:val="00690FBA"/>
    <w:rsid w:val="006915DA"/>
    <w:rsid w:val="00692D93"/>
    <w:rsid w:val="00693625"/>
    <w:rsid w:val="0069369B"/>
    <w:rsid w:val="00694AF4"/>
    <w:rsid w:val="00694D85"/>
    <w:rsid w:val="00695120"/>
    <w:rsid w:val="0069535D"/>
    <w:rsid w:val="006953A5"/>
    <w:rsid w:val="00695563"/>
    <w:rsid w:val="00696BCC"/>
    <w:rsid w:val="00696F65"/>
    <w:rsid w:val="006A0811"/>
    <w:rsid w:val="006A0AF1"/>
    <w:rsid w:val="006A1082"/>
    <w:rsid w:val="006A1A17"/>
    <w:rsid w:val="006A3E3A"/>
    <w:rsid w:val="006A54B2"/>
    <w:rsid w:val="006A5E56"/>
    <w:rsid w:val="006A687E"/>
    <w:rsid w:val="006A6DCA"/>
    <w:rsid w:val="006A6FE2"/>
    <w:rsid w:val="006B09B4"/>
    <w:rsid w:val="006B128E"/>
    <w:rsid w:val="006B1329"/>
    <w:rsid w:val="006B1A9D"/>
    <w:rsid w:val="006B2385"/>
    <w:rsid w:val="006B41F4"/>
    <w:rsid w:val="006B4AAE"/>
    <w:rsid w:val="006B4E6C"/>
    <w:rsid w:val="006B5B2C"/>
    <w:rsid w:val="006B5B45"/>
    <w:rsid w:val="006B65D3"/>
    <w:rsid w:val="006B696E"/>
    <w:rsid w:val="006B7862"/>
    <w:rsid w:val="006B7EE7"/>
    <w:rsid w:val="006B7F25"/>
    <w:rsid w:val="006C0269"/>
    <w:rsid w:val="006C084B"/>
    <w:rsid w:val="006C0A70"/>
    <w:rsid w:val="006C1261"/>
    <w:rsid w:val="006C18DE"/>
    <w:rsid w:val="006C1B38"/>
    <w:rsid w:val="006C2C1B"/>
    <w:rsid w:val="006C2C5C"/>
    <w:rsid w:val="006C2DA9"/>
    <w:rsid w:val="006C34AD"/>
    <w:rsid w:val="006C538A"/>
    <w:rsid w:val="006C58B4"/>
    <w:rsid w:val="006C616B"/>
    <w:rsid w:val="006C6F61"/>
    <w:rsid w:val="006C76AC"/>
    <w:rsid w:val="006C7A82"/>
    <w:rsid w:val="006D02C5"/>
    <w:rsid w:val="006D09DE"/>
    <w:rsid w:val="006D4810"/>
    <w:rsid w:val="006D4F42"/>
    <w:rsid w:val="006D4F73"/>
    <w:rsid w:val="006D51E4"/>
    <w:rsid w:val="006D53C3"/>
    <w:rsid w:val="006D616B"/>
    <w:rsid w:val="006D7A82"/>
    <w:rsid w:val="006E0957"/>
    <w:rsid w:val="006E0DAE"/>
    <w:rsid w:val="006E2315"/>
    <w:rsid w:val="006E2F75"/>
    <w:rsid w:val="006E3F4D"/>
    <w:rsid w:val="006E3FB5"/>
    <w:rsid w:val="006E5226"/>
    <w:rsid w:val="006E541D"/>
    <w:rsid w:val="006E5718"/>
    <w:rsid w:val="006E6F54"/>
    <w:rsid w:val="006E707A"/>
    <w:rsid w:val="006E77FC"/>
    <w:rsid w:val="006E7CDD"/>
    <w:rsid w:val="006F09CD"/>
    <w:rsid w:val="006F09F3"/>
    <w:rsid w:val="006F0CBF"/>
    <w:rsid w:val="006F17E1"/>
    <w:rsid w:val="006F3198"/>
    <w:rsid w:val="006F3B66"/>
    <w:rsid w:val="006F4052"/>
    <w:rsid w:val="006F40B5"/>
    <w:rsid w:val="006F5E2F"/>
    <w:rsid w:val="006F60B4"/>
    <w:rsid w:val="006F68C4"/>
    <w:rsid w:val="006F6C80"/>
    <w:rsid w:val="006F6DDD"/>
    <w:rsid w:val="007017A9"/>
    <w:rsid w:val="007023A7"/>
    <w:rsid w:val="0070302E"/>
    <w:rsid w:val="00703B19"/>
    <w:rsid w:val="0070515D"/>
    <w:rsid w:val="007051C3"/>
    <w:rsid w:val="00706D70"/>
    <w:rsid w:val="00707C16"/>
    <w:rsid w:val="00707CFF"/>
    <w:rsid w:val="00710290"/>
    <w:rsid w:val="00710307"/>
    <w:rsid w:val="00710981"/>
    <w:rsid w:val="00710BC1"/>
    <w:rsid w:val="00711125"/>
    <w:rsid w:val="0071192F"/>
    <w:rsid w:val="00711A5E"/>
    <w:rsid w:val="00712407"/>
    <w:rsid w:val="007127DB"/>
    <w:rsid w:val="007128E1"/>
    <w:rsid w:val="00712E52"/>
    <w:rsid w:val="00714487"/>
    <w:rsid w:val="007165E0"/>
    <w:rsid w:val="007174D1"/>
    <w:rsid w:val="0072006A"/>
    <w:rsid w:val="007201FF"/>
    <w:rsid w:val="007221FC"/>
    <w:rsid w:val="00722AC6"/>
    <w:rsid w:val="00723BD5"/>
    <w:rsid w:val="00723C4F"/>
    <w:rsid w:val="00723D22"/>
    <w:rsid w:val="007244F6"/>
    <w:rsid w:val="0072488A"/>
    <w:rsid w:val="007276B1"/>
    <w:rsid w:val="007277B6"/>
    <w:rsid w:val="00727A30"/>
    <w:rsid w:val="007330BC"/>
    <w:rsid w:val="00733296"/>
    <w:rsid w:val="00733960"/>
    <w:rsid w:val="00734134"/>
    <w:rsid w:val="00734C59"/>
    <w:rsid w:val="00735104"/>
    <w:rsid w:val="00735ECE"/>
    <w:rsid w:val="00736B7C"/>
    <w:rsid w:val="00736FC9"/>
    <w:rsid w:val="00740610"/>
    <w:rsid w:val="007418F1"/>
    <w:rsid w:val="00741B86"/>
    <w:rsid w:val="00741C24"/>
    <w:rsid w:val="00741ED0"/>
    <w:rsid w:val="00743E13"/>
    <w:rsid w:val="00744593"/>
    <w:rsid w:val="00745405"/>
    <w:rsid w:val="00745499"/>
    <w:rsid w:val="00745E79"/>
    <w:rsid w:val="00746564"/>
    <w:rsid w:val="00746D97"/>
    <w:rsid w:val="00746EDC"/>
    <w:rsid w:val="00750122"/>
    <w:rsid w:val="0075018D"/>
    <w:rsid w:val="00751156"/>
    <w:rsid w:val="00751A53"/>
    <w:rsid w:val="00752E40"/>
    <w:rsid w:val="00753856"/>
    <w:rsid w:val="007542A8"/>
    <w:rsid w:val="007552EF"/>
    <w:rsid w:val="007556A3"/>
    <w:rsid w:val="007565AE"/>
    <w:rsid w:val="00756D25"/>
    <w:rsid w:val="00756DFD"/>
    <w:rsid w:val="00757359"/>
    <w:rsid w:val="0075794E"/>
    <w:rsid w:val="00757A42"/>
    <w:rsid w:val="00757CCA"/>
    <w:rsid w:val="00757D95"/>
    <w:rsid w:val="00760075"/>
    <w:rsid w:val="00761109"/>
    <w:rsid w:val="00761C2F"/>
    <w:rsid w:val="00761E6E"/>
    <w:rsid w:val="00762705"/>
    <w:rsid w:val="00765713"/>
    <w:rsid w:val="00766542"/>
    <w:rsid w:val="007672E2"/>
    <w:rsid w:val="00767694"/>
    <w:rsid w:val="007678A8"/>
    <w:rsid w:val="007714C7"/>
    <w:rsid w:val="007717AA"/>
    <w:rsid w:val="007722BF"/>
    <w:rsid w:val="00772F47"/>
    <w:rsid w:val="00773112"/>
    <w:rsid w:val="007738E2"/>
    <w:rsid w:val="00775208"/>
    <w:rsid w:val="00775B4C"/>
    <w:rsid w:val="007769DD"/>
    <w:rsid w:val="00780CAA"/>
    <w:rsid w:val="007812D9"/>
    <w:rsid w:val="00781711"/>
    <w:rsid w:val="00781B31"/>
    <w:rsid w:val="00781E1A"/>
    <w:rsid w:val="007825C7"/>
    <w:rsid w:val="00782BD8"/>
    <w:rsid w:val="00782D3E"/>
    <w:rsid w:val="00782D55"/>
    <w:rsid w:val="00782D95"/>
    <w:rsid w:val="00783606"/>
    <w:rsid w:val="007837D7"/>
    <w:rsid w:val="0078465D"/>
    <w:rsid w:val="007848DA"/>
    <w:rsid w:val="00786754"/>
    <w:rsid w:val="0078714A"/>
    <w:rsid w:val="00787415"/>
    <w:rsid w:val="00787500"/>
    <w:rsid w:val="0078761E"/>
    <w:rsid w:val="00787D45"/>
    <w:rsid w:val="00790662"/>
    <w:rsid w:val="00791288"/>
    <w:rsid w:val="007918F8"/>
    <w:rsid w:val="00791C1B"/>
    <w:rsid w:val="00791E62"/>
    <w:rsid w:val="0079236A"/>
    <w:rsid w:val="0079383D"/>
    <w:rsid w:val="00793A67"/>
    <w:rsid w:val="00794D13"/>
    <w:rsid w:val="00794EC8"/>
    <w:rsid w:val="0079651E"/>
    <w:rsid w:val="007A082D"/>
    <w:rsid w:val="007A0F29"/>
    <w:rsid w:val="007A0F67"/>
    <w:rsid w:val="007A1173"/>
    <w:rsid w:val="007A1FB4"/>
    <w:rsid w:val="007A216A"/>
    <w:rsid w:val="007A2569"/>
    <w:rsid w:val="007A2852"/>
    <w:rsid w:val="007A2BCE"/>
    <w:rsid w:val="007A2D91"/>
    <w:rsid w:val="007A2FC8"/>
    <w:rsid w:val="007A3A2E"/>
    <w:rsid w:val="007A4F5A"/>
    <w:rsid w:val="007A5BD1"/>
    <w:rsid w:val="007A64B0"/>
    <w:rsid w:val="007A65E6"/>
    <w:rsid w:val="007A71F2"/>
    <w:rsid w:val="007A7CE8"/>
    <w:rsid w:val="007B0F89"/>
    <w:rsid w:val="007B3012"/>
    <w:rsid w:val="007B3629"/>
    <w:rsid w:val="007B396B"/>
    <w:rsid w:val="007B3E33"/>
    <w:rsid w:val="007B45DA"/>
    <w:rsid w:val="007B47A4"/>
    <w:rsid w:val="007B58CE"/>
    <w:rsid w:val="007B5BE8"/>
    <w:rsid w:val="007B67F0"/>
    <w:rsid w:val="007B6860"/>
    <w:rsid w:val="007B6EFE"/>
    <w:rsid w:val="007B6F69"/>
    <w:rsid w:val="007B78F2"/>
    <w:rsid w:val="007C030C"/>
    <w:rsid w:val="007C113D"/>
    <w:rsid w:val="007C12FE"/>
    <w:rsid w:val="007C227D"/>
    <w:rsid w:val="007C22A8"/>
    <w:rsid w:val="007C33FF"/>
    <w:rsid w:val="007C3A4A"/>
    <w:rsid w:val="007C44FE"/>
    <w:rsid w:val="007C451E"/>
    <w:rsid w:val="007C4B7D"/>
    <w:rsid w:val="007C4CE0"/>
    <w:rsid w:val="007C4FB7"/>
    <w:rsid w:val="007C6318"/>
    <w:rsid w:val="007C6A57"/>
    <w:rsid w:val="007D1A71"/>
    <w:rsid w:val="007D25AB"/>
    <w:rsid w:val="007D3427"/>
    <w:rsid w:val="007D35FA"/>
    <w:rsid w:val="007D39E0"/>
    <w:rsid w:val="007D3FFF"/>
    <w:rsid w:val="007D40B5"/>
    <w:rsid w:val="007D4485"/>
    <w:rsid w:val="007D4907"/>
    <w:rsid w:val="007D4A60"/>
    <w:rsid w:val="007D4C16"/>
    <w:rsid w:val="007D523F"/>
    <w:rsid w:val="007D55EA"/>
    <w:rsid w:val="007D5BA7"/>
    <w:rsid w:val="007D6196"/>
    <w:rsid w:val="007D6DF7"/>
    <w:rsid w:val="007D727B"/>
    <w:rsid w:val="007D72C0"/>
    <w:rsid w:val="007D7AE7"/>
    <w:rsid w:val="007D7AF7"/>
    <w:rsid w:val="007E020A"/>
    <w:rsid w:val="007E02C2"/>
    <w:rsid w:val="007E0B6A"/>
    <w:rsid w:val="007E1B22"/>
    <w:rsid w:val="007E1C0A"/>
    <w:rsid w:val="007E2EC9"/>
    <w:rsid w:val="007E3274"/>
    <w:rsid w:val="007E417E"/>
    <w:rsid w:val="007E5B24"/>
    <w:rsid w:val="007E5EB3"/>
    <w:rsid w:val="007E635A"/>
    <w:rsid w:val="007E6F03"/>
    <w:rsid w:val="007E6F8D"/>
    <w:rsid w:val="007E76BF"/>
    <w:rsid w:val="007E77CE"/>
    <w:rsid w:val="007E7DB0"/>
    <w:rsid w:val="007F02A6"/>
    <w:rsid w:val="007F2EA7"/>
    <w:rsid w:val="007F3460"/>
    <w:rsid w:val="007F37D9"/>
    <w:rsid w:val="007F431D"/>
    <w:rsid w:val="007F6248"/>
    <w:rsid w:val="007F6B7D"/>
    <w:rsid w:val="0080045B"/>
    <w:rsid w:val="00800E0A"/>
    <w:rsid w:val="008010BB"/>
    <w:rsid w:val="00801681"/>
    <w:rsid w:val="00801EE3"/>
    <w:rsid w:val="008030FB"/>
    <w:rsid w:val="00803A40"/>
    <w:rsid w:val="00803C27"/>
    <w:rsid w:val="00803CE3"/>
    <w:rsid w:val="00804BA8"/>
    <w:rsid w:val="00804FE3"/>
    <w:rsid w:val="008059D7"/>
    <w:rsid w:val="00806959"/>
    <w:rsid w:val="00806ACE"/>
    <w:rsid w:val="00806CE4"/>
    <w:rsid w:val="00807B68"/>
    <w:rsid w:val="008110B0"/>
    <w:rsid w:val="00811732"/>
    <w:rsid w:val="00811896"/>
    <w:rsid w:val="008119FC"/>
    <w:rsid w:val="00812652"/>
    <w:rsid w:val="00812CF6"/>
    <w:rsid w:val="00812E12"/>
    <w:rsid w:val="00813484"/>
    <w:rsid w:val="00813BA2"/>
    <w:rsid w:val="00813BFB"/>
    <w:rsid w:val="00813EDE"/>
    <w:rsid w:val="0081517E"/>
    <w:rsid w:val="008158AD"/>
    <w:rsid w:val="00816510"/>
    <w:rsid w:val="008178CA"/>
    <w:rsid w:val="00820A58"/>
    <w:rsid w:val="00820DF5"/>
    <w:rsid w:val="00821C3A"/>
    <w:rsid w:val="00821E6F"/>
    <w:rsid w:val="008229BB"/>
    <w:rsid w:val="00822B14"/>
    <w:rsid w:val="00824D09"/>
    <w:rsid w:val="008258DA"/>
    <w:rsid w:val="00825DAB"/>
    <w:rsid w:val="00827642"/>
    <w:rsid w:val="00827693"/>
    <w:rsid w:val="00827C7C"/>
    <w:rsid w:val="00827E29"/>
    <w:rsid w:val="008300BE"/>
    <w:rsid w:val="00830B8A"/>
    <w:rsid w:val="00830FE8"/>
    <w:rsid w:val="00831CA1"/>
    <w:rsid w:val="00832F0F"/>
    <w:rsid w:val="00833F30"/>
    <w:rsid w:val="0083483D"/>
    <w:rsid w:val="00834FDD"/>
    <w:rsid w:val="00835ACA"/>
    <w:rsid w:val="0083620E"/>
    <w:rsid w:val="0083633A"/>
    <w:rsid w:val="00836A8D"/>
    <w:rsid w:val="00841327"/>
    <w:rsid w:val="00841B63"/>
    <w:rsid w:val="00842252"/>
    <w:rsid w:val="00842789"/>
    <w:rsid w:val="008438C7"/>
    <w:rsid w:val="00843904"/>
    <w:rsid w:val="00843E71"/>
    <w:rsid w:val="00844009"/>
    <w:rsid w:val="008469AF"/>
    <w:rsid w:val="00846F3F"/>
    <w:rsid w:val="008471AE"/>
    <w:rsid w:val="0084776B"/>
    <w:rsid w:val="00847F5C"/>
    <w:rsid w:val="008500FC"/>
    <w:rsid w:val="00850418"/>
    <w:rsid w:val="00850797"/>
    <w:rsid w:val="008518BC"/>
    <w:rsid w:val="00851DBF"/>
    <w:rsid w:val="00851DCD"/>
    <w:rsid w:val="00853861"/>
    <w:rsid w:val="00853EF3"/>
    <w:rsid w:val="0085403B"/>
    <w:rsid w:val="008550DE"/>
    <w:rsid w:val="008552DD"/>
    <w:rsid w:val="0085532D"/>
    <w:rsid w:val="0085615B"/>
    <w:rsid w:val="0085672F"/>
    <w:rsid w:val="00856A95"/>
    <w:rsid w:val="00856AE5"/>
    <w:rsid w:val="0085762C"/>
    <w:rsid w:val="00857E7A"/>
    <w:rsid w:val="0086049E"/>
    <w:rsid w:val="00860A56"/>
    <w:rsid w:val="0086257A"/>
    <w:rsid w:val="00863634"/>
    <w:rsid w:val="008640AE"/>
    <w:rsid w:val="008665CF"/>
    <w:rsid w:val="00866838"/>
    <w:rsid w:val="00866E19"/>
    <w:rsid w:val="00870859"/>
    <w:rsid w:val="0087094E"/>
    <w:rsid w:val="00871475"/>
    <w:rsid w:val="00871B80"/>
    <w:rsid w:val="0087422B"/>
    <w:rsid w:val="00874910"/>
    <w:rsid w:val="00874EA9"/>
    <w:rsid w:val="00874FF7"/>
    <w:rsid w:val="0087633A"/>
    <w:rsid w:val="0087634B"/>
    <w:rsid w:val="00876C48"/>
    <w:rsid w:val="00876CB3"/>
    <w:rsid w:val="00876ED1"/>
    <w:rsid w:val="00876FC4"/>
    <w:rsid w:val="00880160"/>
    <w:rsid w:val="0088361F"/>
    <w:rsid w:val="008838C4"/>
    <w:rsid w:val="00883A7F"/>
    <w:rsid w:val="00883D84"/>
    <w:rsid w:val="0088489E"/>
    <w:rsid w:val="00884AB9"/>
    <w:rsid w:val="00884E76"/>
    <w:rsid w:val="0088561D"/>
    <w:rsid w:val="00885B76"/>
    <w:rsid w:val="00886325"/>
    <w:rsid w:val="00886D5D"/>
    <w:rsid w:val="00887A4F"/>
    <w:rsid w:val="00887C1C"/>
    <w:rsid w:val="00887DD6"/>
    <w:rsid w:val="00890D5F"/>
    <w:rsid w:val="00890FAE"/>
    <w:rsid w:val="00892029"/>
    <w:rsid w:val="008925C6"/>
    <w:rsid w:val="00894662"/>
    <w:rsid w:val="00894EA8"/>
    <w:rsid w:val="00895675"/>
    <w:rsid w:val="008969CB"/>
    <w:rsid w:val="00896D36"/>
    <w:rsid w:val="008972AD"/>
    <w:rsid w:val="0089730F"/>
    <w:rsid w:val="008A04D2"/>
    <w:rsid w:val="008A345A"/>
    <w:rsid w:val="008A564A"/>
    <w:rsid w:val="008A56EF"/>
    <w:rsid w:val="008A708F"/>
    <w:rsid w:val="008A735F"/>
    <w:rsid w:val="008B069D"/>
    <w:rsid w:val="008B0D31"/>
    <w:rsid w:val="008B0DD5"/>
    <w:rsid w:val="008B209F"/>
    <w:rsid w:val="008B3E98"/>
    <w:rsid w:val="008B42A1"/>
    <w:rsid w:val="008B5A98"/>
    <w:rsid w:val="008B6BC9"/>
    <w:rsid w:val="008B7F5C"/>
    <w:rsid w:val="008C10F3"/>
    <w:rsid w:val="008C21D9"/>
    <w:rsid w:val="008C2808"/>
    <w:rsid w:val="008C3286"/>
    <w:rsid w:val="008C4157"/>
    <w:rsid w:val="008C5AAC"/>
    <w:rsid w:val="008C5ED7"/>
    <w:rsid w:val="008C62B6"/>
    <w:rsid w:val="008C73FD"/>
    <w:rsid w:val="008C784E"/>
    <w:rsid w:val="008C7C00"/>
    <w:rsid w:val="008C7E32"/>
    <w:rsid w:val="008D1209"/>
    <w:rsid w:val="008D1475"/>
    <w:rsid w:val="008D1A23"/>
    <w:rsid w:val="008D1B37"/>
    <w:rsid w:val="008D1C53"/>
    <w:rsid w:val="008D3526"/>
    <w:rsid w:val="008D3CE7"/>
    <w:rsid w:val="008D42C0"/>
    <w:rsid w:val="008D436C"/>
    <w:rsid w:val="008D44C9"/>
    <w:rsid w:val="008D4959"/>
    <w:rsid w:val="008D5620"/>
    <w:rsid w:val="008D601E"/>
    <w:rsid w:val="008D6220"/>
    <w:rsid w:val="008D7335"/>
    <w:rsid w:val="008E06D7"/>
    <w:rsid w:val="008E1A8C"/>
    <w:rsid w:val="008E209A"/>
    <w:rsid w:val="008E20D2"/>
    <w:rsid w:val="008E2505"/>
    <w:rsid w:val="008E2AC3"/>
    <w:rsid w:val="008E3200"/>
    <w:rsid w:val="008E44E6"/>
    <w:rsid w:val="008E4993"/>
    <w:rsid w:val="008E4B0A"/>
    <w:rsid w:val="008E6E0F"/>
    <w:rsid w:val="008E71E4"/>
    <w:rsid w:val="008E7AED"/>
    <w:rsid w:val="008F0946"/>
    <w:rsid w:val="008F1D7D"/>
    <w:rsid w:val="008F1F6F"/>
    <w:rsid w:val="008F23E9"/>
    <w:rsid w:val="008F2500"/>
    <w:rsid w:val="008F2B3A"/>
    <w:rsid w:val="008F2FE8"/>
    <w:rsid w:val="008F39A7"/>
    <w:rsid w:val="008F3A54"/>
    <w:rsid w:val="008F4735"/>
    <w:rsid w:val="008F4CB1"/>
    <w:rsid w:val="008F4DF4"/>
    <w:rsid w:val="008F4F0F"/>
    <w:rsid w:val="008F5409"/>
    <w:rsid w:val="008F594E"/>
    <w:rsid w:val="008F685C"/>
    <w:rsid w:val="008F6B8D"/>
    <w:rsid w:val="008F7541"/>
    <w:rsid w:val="008F7CD3"/>
    <w:rsid w:val="009002C6"/>
    <w:rsid w:val="00901B2E"/>
    <w:rsid w:val="0090237D"/>
    <w:rsid w:val="00903527"/>
    <w:rsid w:val="00903569"/>
    <w:rsid w:val="00906232"/>
    <w:rsid w:val="0090678F"/>
    <w:rsid w:val="0090721D"/>
    <w:rsid w:val="00907664"/>
    <w:rsid w:val="0091070E"/>
    <w:rsid w:val="009118C8"/>
    <w:rsid w:val="00911CE2"/>
    <w:rsid w:val="0091394E"/>
    <w:rsid w:val="00914360"/>
    <w:rsid w:val="0091556B"/>
    <w:rsid w:val="0091563B"/>
    <w:rsid w:val="00915644"/>
    <w:rsid w:val="00915941"/>
    <w:rsid w:val="00915F7C"/>
    <w:rsid w:val="009160BB"/>
    <w:rsid w:val="00916BAE"/>
    <w:rsid w:val="00916EE9"/>
    <w:rsid w:val="0091739F"/>
    <w:rsid w:val="0091761E"/>
    <w:rsid w:val="009179AD"/>
    <w:rsid w:val="00917A84"/>
    <w:rsid w:val="00917D1D"/>
    <w:rsid w:val="00921B62"/>
    <w:rsid w:val="00922F33"/>
    <w:rsid w:val="00923714"/>
    <w:rsid w:val="00923B8D"/>
    <w:rsid w:val="00923DBA"/>
    <w:rsid w:val="009251D5"/>
    <w:rsid w:val="0093058A"/>
    <w:rsid w:val="00930738"/>
    <w:rsid w:val="00931353"/>
    <w:rsid w:val="00931569"/>
    <w:rsid w:val="009329B6"/>
    <w:rsid w:val="00932AC2"/>
    <w:rsid w:val="00932D95"/>
    <w:rsid w:val="0093349A"/>
    <w:rsid w:val="0093372A"/>
    <w:rsid w:val="00934252"/>
    <w:rsid w:val="00934D83"/>
    <w:rsid w:val="00934FC4"/>
    <w:rsid w:val="00937E45"/>
    <w:rsid w:val="0094024B"/>
    <w:rsid w:val="009409E7"/>
    <w:rsid w:val="0094189B"/>
    <w:rsid w:val="009424B0"/>
    <w:rsid w:val="00943472"/>
    <w:rsid w:val="00943716"/>
    <w:rsid w:val="00943A27"/>
    <w:rsid w:val="00944691"/>
    <w:rsid w:val="00944B7C"/>
    <w:rsid w:val="00945345"/>
    <w:rsid w:val="00945C04"/>
    <w:rsid w:val="00946013"/>
    <w:rsid w:val="00946D8C"/>
    <w:rsid w:val="00947FE9"/>
    <w:rsid w:val="0095001F"/>
    <w:rsid w:val="00950F06"/>
    <w:rsid w:val="009532B3"/>
    <w:rsid w:val="009532FB"/>
    <w:rsid w:val="0095337C"/>
    <w:rsid w:val="00953AA9"/>
    <w:rsid w:val="00954110"/>
    <w:rsid w:val="009541FB"/>
    <w:rsid w:val="00955177"/>
    <w:rsid w:val="00955A4A"/>
    <w:rsid w:val="00957782"/>
    <w:rsid w:val="00957902"/>
    <w:rsid w:val="009602BF"/>
    <w:rsid w:val="009612C0"/>
    <w:rsid w:val="009615F6"/>
    <w:rsid w:val="009625E4"/>
    <w:rsid w:val="0096286C"/>
    <w:rsid w:val="00962B75"/>
    <w:rsid w:val="00963713"/>
    <w:rsid w:val="00963C3F"/>
    <w:rsid w:val="00963CC5"/>
    <w:rsid w:val="0096417F"/>
    <w:rsid w:val="009660F3"/>
    <w:rsid w:val="00966399"/>
    <w:rsid w:val="0096756D"/>
    <w:rsid w:val="00967F13"/>
    <w:rsid w:val="0097182C"/>
    <w:rsid w:val="00971B9E"/>
    <w:rsid w:val="00971D9B"/>
    <w:rsid w:val="0097353C"/>
    <w:rsid w:val="0097368D"/>
    <w:rsid w:val="0097387B"/>
    <w:rsid w:val="009738EB"/>
    <w:rsid w:val="00974F45"/>
    <w:rsid w:val="00975E93"/>
    <w:rsid w:val="009760F6"/>
    <w:rsid w:val="00977A9F"/>
    <w:rsid w:val="00980085"/>
    <w:rsid w:val="009809E3"/>
    <w:rsid w:val="00980AC9"/>
    <w:rsid w:val="009820C4"/>
    <w:rsid w:val="00982FB1"/>
    <w:rsid w:val="00984770"/>
    <w:rsid w:val="00984867"/>
    <w:rsid w:val="009849F9"/>
    <w:rsid w:val="00984B2B"/>
    <w:rsid w:val="009852AA"/>
    <w:rsid w:val="009861D0"/>
    <w:rsid w:val="009864F0"/>
    <w:rsid w:val="00986A0A"/>
    <w:rsid w:val="0098743A"/>
    <w:rsid w:val="0098753B"/>
    <w:rsid w:val="00987B39"/>
    <w:rsid w:val="009914BF"/>
    <w:rsid w:val="00991501"/>
    <w:rsid w:val="00991EFC"/>
    <w:rsid w:val="00992884"/>
    <w:rsid w:val="00993FBD"/>
    <w:rsid w:val="0099497D"/>
    <w:rsid w:val="00994A21"/>
    <w:rsid w:val="00996FB5"/>
    <w:rsid w:val="009A0C78"/>
    <w:rsid w:val="009A1622"/>
    <w:rsid w:val="009A3024"/>
    <w:rsid w:val="009A3F7D"/>
    <w:rsid w:val="009A4806"/>
    <w:rsid w:val="009A484C"/>
    <w:rsid w:val="009A5065"/>
    <w:rsid w:val="009A532A"/>
    <w:rsid w:val="009A686C"/>
    <w:rsid w:val="009A71C0"/>
    <w:rsid w:val="009B0A46"/>
    <w:rsid w:val="009B0F76"/>
    <w:rsid w:val="009B1E66"/>
    <w:rsid w:val="009B2036"/>
    <w:rsid w:val="009B2AD6"/>
    <w:rsid w:val="009B2D6E"/>
    <w:rsid w:val="009B305E"/>
    <w:rsid w:val="009B431F"/>
    <w:rsid w:val="009B432A"/>
    <w:rsid w:val="009B5B0D"/>
    <w:rsid w:val="009B5E1A"/>
    <w:rsid w:val="009B607F"/>
    <w:rsid w:val="009B6657"/>
    <w:rsid w:val="009C0AD4"/>
    <w:rsid w:val="009C11B5"/>
    <w:rsid w:val="009C153E"/>
    <w:rsid w:val="009C1EFE"/>
    <w:rsid w:val="009C2F01"/>
    <w:rsid w:val="009C303B"/>
    <w:rsid w:val="009C36FF"/>
    <w:rsid w:val="009C3B39"/>
    <w:rsid w:val="009C43EC"/>
    <w:rsid w:val="009C48F7"/>
    <w:rsid w:val="009C53E9"/>
    <w:rsid w:val="009C699B"/>
    <w:rsid w:val="009C70F2"/>
    <w:rsid w:val="009C7CC0"/>
    <w:rsid w:val="009D2CD2"/>
    <w:rsid w:val="009D3018"/>
    <w:rsid w:val="009D3259"/>
    <w:rsid w:val="009D3A54"/>
    <w:rsid w:val="009D4E09"/>
    <w:rsid w:val="009D5131"/>
    <w:rsid w:val="009D6C0F"/>
    <w:rsid w:val="009D6D4C"/>
    <w:rsid w:val="009D6E5F"/>
    <w:rsid w:val="009D789B"/>
    <w:rsid w:val="009E083A"/>
    <w:rsid w:val="009E13B5"/>
    <w:rsid w:val="009E1A8F"/>
    <w:rsid w:val="009E1D29"/>
    <w:rsid w:val="009E340D"/>
    <w:rsid w:val="009E46F0"/>
    <w:rsid w:val="009E4DD5"/>
    <w:rsid w:val="009E4E05"/>
    <w:rsid w:val="009E57A3"/>
    <w:rsid w:val="009E695B"/>
    <w:rsid w:val="009E6BA1"/>
    <w:rsid w:val="009E78CD"/>
    <w:rsid w:val="009E7D2D"/>
    <w:rsid w:val="009F0C5C"/>
    <w:rsid w:val="009F0E80"/>
    <w:rsid w:val="009F12CD"/>
    <w:rsid w:val="009F1663"/>
    <w:rsid w:val="009F2AD2"/>
    <w:rsid w:val="009F318A"/>
    <w:rsid w:val="009F38D5"/>
    <w:rsid w:val="009F4174"/>
    <w:rsid w:val="009F4872"/>
    <w:rsid w:val="009F5759"/>
    <w:rsid w:val="009F58D1"/>
    <w:rsid w:val="009F59E5"/>
    <w:rsid w:val="009F59F6"/>
    <w:rsid w:val="009F61EA"/>
    <w:rsid w:val="009F63D9"/>
    <w:rsid w:val="009F65C4"/>
    <w:rsid w:val="009F6BE0"/>
    <w:rsid w:val="00A04178"/>
    <w:rsid w:val="00A04672"/>
    <w:rsid w:val="00A04BCE"/>
    <w:rsid w:val="00A05282"/>
    <w:rsid w:val="00A0569E"/>
    <w:rsid w:val="00A106D1"/>
    <w:rsid w:val="00A10DEE"/>
    <w:rsid w:val="00A10E03"/>
    <w:rsid w:val="00A10EA9"/>
    <w:rsid w:val="00A116D3"/>
    <w:rsid w:val="00A119F9"/>
    <w:rsid w:val="00A11A4C"/>
    <w:rsid w:val="00A12C49"/>
    <w:rsid w:val="00A1362F"/>
    <w:rsid w:val="00A14FD2"/>
    <w:rsid w:val="00A15C70"/>
    <w:rsid w:val="00A15F30"/>
    <w:rsid w:val="00A17410"/>
    <w:rsid w:val="00A17900"/>
    <w:rsid w:val="00A21187"/>
    <w:rsid w:val="00A213F4"/>
    <w:rsid w:val="00A21C9F"/>
    <w:rsid w:val="00A2292D"/>
    <w:rsid w:val="00A23CD1"/>
    <w:rsid w:val="00A243E7"/>
    <w:rsid w:val="00A24CF1"/>
    <w:rsid w:val="00A25C02"/>
    <w:rsid w:val="00A25DE0"/>
    <w:rsid w:val="00A2644D"/>
    <w:rsid w:val="00A27707"/>
    <w:rsid w:val="00A30008"/>
    <w:rsid w:val="00A30E49"/>
    <w:rsid w:val="00A30FD1"/>
    <w:rsid w:val="00A317CD"/>
    <w:rsid w:val="00A32B5E"/>
    <w:rsid w:val="00A34367"/>
    <w:rsid w:val="00A34393"/>
    <w:rsid w:val="00A34D82"/>
    <w:rsid w:val="00A34F69"/>
    <w:rsid w:val="00A35A50"/>
    <w:rsid w:val="00A35B88"/>
    <w:rsid w:val="00A36127"/>
    <w:rsid w:val="00A364EE"/>
    <w:rsid w:val="00A3728B"/>
    <w:rsid w:val="00A37C29"/>
    <w:rsid w:val="00A40FF5"/>
    <w:rsid w:val="00A42B5C"/>
    <w:rsid w:val="00A42DAE"/>
    <w:rsid w:val="00A44C15"/>
    <w:rsid w:val="00A44D86"/>
    <w:rsid w:val="00A458BD"/>
    <w:rsid w:val="00A478F1"/>
    <w:rsid w:val="00A501D4"/>
    <w:rsid w:val="00A50648"/>
    <w:rsid w:val="00A50A15"/>
    <w:rsid w:val="00A50BC2"/>
    <w:rsid w:val="00A52030"/>
    <w:rsid w:val="00A5299C"/>
    <w:rsid w:val="00A54362"/>
    <w:rsid w:val="00A5447A"/>
    <w:rsid w:val="00A55072"/>
    <w:rsid w:val="00A55E2D"/>
    <w:rsid w:val="00A56577"/>
    <w:rsid w:val="00A56D2E"/>
    <w:rsid w:val="00A57223"/>
    <w:rsid w:val="00A57D05"/>
    <w:rsid w:val="00A60B82"/>
    <w:rsid w:val="00A62384"/>
    <w:rsid w:val="00A62D97"/>
    <w:rsid w:val="00A6329A"/>
    <w:rsid w:val="00A63753"/>
    <w:rsid w:val="00A6546E"/>
    <w:rsid w:val="00A65D6B"/>
    <w:rsid w:val="00A66D02"/>
    <w:rsid w:val="00A671E6"/>
    <w:rsid w:val="00A67752"/>
    <w:rsid w:val="00A67D0D"/>
    <w:rsid w:val="00A70D80"/>
    <w:rsid w:val="00A713CB"/>
    <w:rsid w:val="00A71576"/>
    <w:rsid w:val="00A724A0"/>
    <w:rsid w:val="00A72A0E"/>
    <w:rsid w:val="00A72E5D"/>
    <w:rsid w:val="00A73627"/>
    <w:rsid w:val="00A73C28"/>
    <w:rsid w:val="00A73D59"/>
    <w:rsid w:val="00A73EA6"/>
    <w:rsid w:val="00A73EBE"/>
    <w:rsid w:val="00A756FD"/>
    <w:rsid w:val="00A76AA3"/>
    <w:rsid w:val="00A76C89"/>
    <w:rsid w:val="00A77692"/>
    <w:rsid w:val="00A77DF6"/>
    <w:rsid w:val="00A80341"/>
    <w:rsid w:val="00A811B0"/>
    <w:rsid w:val="00A81964"/>
    <w:rsid w:val="00A81A9B"/>
    <w:rsid w:val="00A8553A"/>
    <w:rsid w:val="00A86BFC"/>
    <w:rsid w:val="00A86E3C"/>
    <w:rsid w:val="00A873DB"/>
    <w:rsid w:val="00A87CD7"/>
    <w:rsid w:val="00A93992"/>
    <w:rsid w:val="00A93EA2"/>
    <w:rsid w:val="00A943CB"/>
    <w:rsid w:val="00A94543"/>
    <w:rsid w:val="00A948C8"/>
    <w:rsid w:val="00A94972"/>
    <w:rsid w:val="00A94FD8"/>
    <w:rsid w:val="00A95830"/>
    <w:rsid w:val="00A95EE8"/>
    <w:rsid w:val="00A96713"/>
    <w:rsid w:val="00A96719"/>
    <w:rsid w:val="00A9676B"/>
    <w:rsid w:val="00A968E1"/>
    <w:rsid w:val="00A96B40"/>
    <w:rsid w:val="00AA0D6E"/>
    <w:rsid w:val="00AA104D"/>
    <w:rsid w:val="00AA14F2"/>
    <w:rsid w:val="00AA1FB6"/>
    <w:rsid w:val="00AA40E3"/>
    <w:rsid w:val="00AA5918"/>
    <w:rsid w:val="00AA6DFD"/>
    <w:rsid w:val="00AA6ED0"/>
    <w:rsid w:val="00AA7426"/>
    <w:rsid w:val="00AA7840"/>
    <w:rsid w:val="00AA79E7"/>
    <w:rsid w:val="00AB002E"/>
    <w:rsid w:val="00AB0E4B"/>
    <w:rsid w:val="00AB1368"/>
    <w:rsid w:val="00AB1CD9"/>
    <w:rsid w:val="00AB20DE"/>
    <w:rsid w:val="00AB4A1C"/>
    <w:rsid w:val="00AB60B5"/>
    <w:rsid w:val="00AB640E"/>
    <w:rsid w:val="00AB7495"/>
    <w:rsid w:val="00AB74CD"/>
    <w:rsid w:val="00AC050B"/>
    <w:rsid w:val="00AC11FF"/>
    <w:rsid w:val="00AC1B05"/>
    <w:rsid w:val="00AC26E9"/>
    <w:rsid w:val="00AC3309"/>
    <w:rsid w:val="00AC331B"/>
    <w:rsid w:val="00AC44F2"/>
    <w:rsid w:val="00AC560B"/>
    <w:rsid w:val="00AC6524"/>
    <w:rsid w:val="00AC763F"/>
    <w:rsid w:val="00AC7D9C"/>
    <w:rsid w:val="00AD098F"/>
    <w:rsid w:val="00AD11B5"/>
    <w:rsid w:val="00AD1249"/>
    <w:rsid w:val="00AD1360"/>
    <w:rsid w:val="00AD237C"/>
    <w:rsid w:val="00AD2ADB"/>
    <w:rsid w:val="00AD3E35"/>
    <w:rsid w:val="00AD53CC"/>
    <w:rsid w:val="00AD5FD0"/>
    <w:rsid w:val="00AD6BA5"/>
    <w:rsid w:val="00AD6C4C"/>
    <w:rsid w:val="00AD7E62"/>
    <w:rsid w:val="00AE0732"/>
    <w:rsid w:val="00AE0C9C"/>
    <w:rsid w:val="00AE1615"/>
    <w:rsid w:val="00AE30C8"/>
    <w:rsid w:val="00AE3FF3"/>
    <w:rsid w:val="00AE43F2"/>
    <w:rsid w:val="00AE5399"/>
    <w:rsid w:val="00AE54D8"/>
    <w:rsid w:val="00AE5A63"/>
    <w:rsid w:val="00AE7271"/>
    <w:rsid w:val="00AE7493"/>
    <w:rsid w:val="00AE7962"/>
    <w:rsid w:val="00AE7C52"/>
    <w:rsid w:val="00AE7DE7"/>
    <w:rsid w:val="00AF0EF6"/>
    <w:rsid w:val="00AF302A"/>
    <w:rsid w:val="00AF4193"/>
    <w:rsid w:val="00AF4378"/>
    <w:rsid w:val="00AF79C7"/>
    <w:rsid w:val="00B001C3"/>
    <w:rsid w:val="00B00721"/>
    <w:rsid w:val="00B0198A"/>
    <w:rsid w:val="00B02C18"/>
    <w:rsid w:val="00B03A89"/>
    <w:rsid w:val="00B0412B"/>
    <w:rsid w:val="00B04A85"/>
    <w:rsid w:val="00B06219"/>
    <w:rsid w:val="00B11B92"/>
    <w:rsid w:val="00B11DE1"/>
    <w:rsid w:val="00B128B9"/>
    <w:rsid w:val="00B132A4"/>
    <w:rsid w:val="00B13680"/>
    <w:rsid w:val="00B13B57"/>
    <w:rsid w:val="00B13CC9"/>
    <w:rsid w:val="00B13FB8"/>
    <w:rsid w:val="00B141E1"/>
    <w:rsid w:val="00B145A7"/>
    <w:rsid w:val="00B14859"/>
    <w:rsid w:val="00B15D72"/>
    <w:rsid w:val="00B16173"/>
    <w:rsid w:val="00B166FE"/>
    <w:rsid w:val="00B167B8"/>
    <w:rsid w:val="00B203CA"/>
    <w:rsid w:val="00B21575"/>
    <w:rsid w:val="00B21612"/>
    <w:rsid w:val="00B21DAB"/>
    <w:rsid w:val="00B226EF"/>
    <w:rsid w:val="00B22BAB"/>
    <w:rsid w:val="00B2382E"/>
    <w:rsid w:val="00B253C7"/>
    <w:rsid w:val="00B25600"/>
    <w:rsid w:val="00B257E3"/>
    <w:rsid w:val="00B25905"/>
    <w:rsid w:val="00B26E1C"/>
    <w:rsid w:val="00B30673"/>
    <w:rsid w:val="00B306EA"/>
    <w:rsid w:val="00B315E8"/>
    <w:rsid w:val="00B31734"/>
    <w:rsid w:val="00B3320C"/>
    <w:rsid w:val="00B33AB3"/>
    <w:rsid w:val="00B341E8"/>
    <w:rsid w:val="00B34370"/>
    <w:rsid w:val="00B36385"/>
    <w:rsid w:val="00B36B49"/>
    <w:rsid w:val="00B36DA4"/>
    <w:rsid w:val="00B43413"/>
    <w:rsid w:val="00B44091"/>
    <w:rsid w:val="00B446C3"/>
    <w:rsid w:val="00B44905"/>
    <w:rsid w:val="00B4491B"/>
    <w:rsid w:val="00B44FA5"/>
    <w:rsid w:val="00B4586A"/>
    <w:rsid w:val="00B46785"/>
    <w:rsid w:val="00B468DC"/>
    <w:rsid w:val="00B46FFE"/>
    <w:rsid w:val="00B47566"/>
    <w:rsid w:val="00B50B32"/>
    <w:rsid w:val="00B51255"/>
    <w:rsid w:val="00B52193"/>
    <w:rsid w:val="00B53D27"/>
    <w:rsid w:val="00B559BA"/>
    <w:rsid w:val="00B55BEA"/>
    <w:rsid w:val="00B566DE"/>
    <w:rsid w:val="00B570BD"/>
    <w:rsid w:val="00B57438"/>
    <w:rsid w:val="00B57BB9"/>
    <w:rsid w:val="00B604D0"/>
    <w:rsid w:val="00B612C9"/>
    <w:rsid w:val="00B62A89"/>
    <w:rsid w:val="00B6380D"/>
    <w:rsid w:val="00B6414C"/>
    <w:rsid w:val="00B64159"/>
    <w:rsid w:val="00B641D0"/>
    <w:rsid w:val="00B6498F"/>
    <w:rsid w:val="00B673E5"/>
    <w:rsid w:val="00B677AC"/>
    <w:rsid w:val="00B678BA"/>
    <w:rsid w:val="00B7006E"/>
    <w:rsid w:val="00B70579"/>
    <w:rsid w:val="00B7074B"/>
    <w:rsid w:val="00B70EE2"/>
    <w:rsid w:val="00B7322F"/>
    <w:rsid w:val="00B73793"/>
    <w:rsid w:val="00B746C4"/>
    <w:rsid w:val="00B75C8F"/>
    <w:rsid w:val="00B76D83"/>
    <w:rsid w:val="00B770B1"/>
    <w:rsid w:val="00B77CF8"/>
    <w:rsid w:val="00B809D2"/>
    <w:rsid w:val="00B80D88"/>
    <w:rsid w:val="00B81109"/>
    <w:rsid w:val="00B815F0"/>
    <w:rsid w:val="00B81ACE"/>
    <w:rsid w:val="00B8306D"/>
    <w:rsid w:val="00B85A10"/>
    <w:rsid w:val="00B86073"/>
    <w:rsid w:val="00B8668F"/>
    <w:rsid w:val="00B86C75"/>
    <w:rsid w:val="00B875DD"/>
    <w:rsid w:val="00B87646"/>
    <w:rsid w:val="00B87B31"/>
    <w:rsid w:val="00B90323"/>
    <w:rsid w:val="00B91C6F"/>
    <w:rsid w:val="00B924F4"/>
    <w:rsid w:val="00B928C3"/>
    <w:rsid w:val="00B92E88"/>
    <w:rsid w:val="00B9302A"/>
    <w:rsid w:val="00B93031"/>
    <w:rsid w:val="00B941DE"/>
    <w:rsid w:val="00B9422C"/>
    <w:rsid w:val="00B94E96"/>
    <w:rsid w:val="00B958FD"/>
    <w:rsid w:val="00B96D85"/>
    <w:rsid w:val="00B9716A"/>
    <w:rsid w:val="00B971AB"/>
    <w:rsid w:val="00B975AB"/>
    <w:rsid w:val="00BA0376"/>
    <w:rsid w:val="00BA08D9"/>
    <w:rsid w:val="00BA09E1"/>
    <w:rsid w:val="00BA10EC"/>
    <w:rsid w:val="00BA2665"/>
    <w:rsid w:val="00BA26AF"/>
    <w:rsid w:val="00BA3C09"/>
    <w:rsid w:val="00BA3CD7"/>
    <w:rsid w:val="00BA3DEF"/>
    <w:rsid w:val="00BA4244"/>
    <w:rsid w:val="00BA4500"/>
    <w:rsid w:val="00BA4869"/>
    <w:rsid w:val="00BA523E"/>
    <w:rsid w:val="00BA5F9E"/>
    <w:rsid w:val="00BA6F78"/>
    <w:rsid w:val="00BA76D5"/>
    <w:rsid w:val="00BB083D"/>
    <w:rsid w:val="00BB1BE5"/>
    <w:rsid w:val="00BB21E0"/>
    <w:rsid w:val="00BB298A"/>
    <w:rsid w:val="00BB29C8"/>
    <w:rsid w:val="00BB29F3"/>
    <w:rsid w:val="00BB39C7"/>
    <w:rsid w:val="00BB3B37"/>
    <w:rsid w:val="00BB3C94"/>
    <w:rsid w:val="00BB3D5B"/>
    <w:rsid w:val="00BB43DA"/>
    <w:rsid w:val="00BB4D76"/>
    <w:rsid w:val="00BB4FBB"/>
    <w:rsid w:val="00BB63AE"/>
    <w:rsid w:val="00BB6AD9"/>
    <w:rsid w:val="00BB7487"/>
    <w:rsid w:val="00BB7A9B"/>
    <w:rsid w:val="00BC0467"/>
    <w:rsid w:val="00BC0A55"/>
    <w:rsid w:val="00BC1CFA"/>
    <w:rsid w:val="00BC1F9F"/>
    <w:rsid w:val="00BC31D4"/>
    <w:rsid w:val="00BC411A"/>
    <w:rsid w:val="00BC4B9E"/>
    <w:rsid w:val="00BC5693"/>
    <w:rsid w:val="00BC5AC4"/>
    <w:rsid w:val="00BC6029"/>
    <w:rsid w:val="00BC620D"/>
    <w:rsid w:val="00BC6CA8"/>
    <w:rsid w:val="00BC6DA2"/>
    <w:rsid w:val="00BC78EA"/>
    <w:rsid w:val="00BC7BCE"/>
    <w:rsid w:val="00BC7E50"/>
    <w:rsid w:val="00BD17AD"/>
    <w:rsid w:val="00BD1A70"/>
    <w:rsid w:val="00BD2996"/>
    <w:rsid w:val="00BD2CD1"/>
    <w:rsid w:val="00BD2F8E"/>
    <w:rsid w:val="00BD38BC"/>
    <w:rsid w:val="00BD3AFD"/>
    <w:rsid w:val="00BD4528"/>
    <w:rsid w:val="00BD4C64"/>
    <w:rsid w:val="00BD5C8E"/>
    <w:rsid w:val="00BD6735"/>
    <w:rsid w:val="00BD6AE4"/>
    <w:rsid w:val="00BE025B"/>
    <w:rsid w:val="00BE0DB7"/>
    <w:rsid w:val="00BE129E"/>
    <w:rsid w:val="00BE13EC"/>
    <w:rsid w:val="00BE1497"/>
    <w:rsid w:val="00BE2A06"/>
    <w:rsid w:val="00BE2F5C"/>
    <w:rsid w:val="00BE375B"/>
    <w:rsid w:val="00BE566A"/>
    <w:rsid w:val="00BE5771"/>
    <w:rsid w:val="00BE5DA1"/>
    <w:rsid w:val="00BE5F44"/>
    <w:rsid w:val="00BE6E2A"/>
    <w:rsid w:val="00BE75D0"/>
    <w:rsid w:val="00BE79C5"/>
    <w:rsid w:val="00BE7AD4"/>
    <w:rsid w:val="00BE7D1E"/>
    <w:rsid w:val="00BF21DB"/>
    <w:rsid w:val="00BF2492"/>
    <w:rsid w:val="00BF3A3B"/>
    <w:rsid w:val="00BF3D55"/>
    <w:rsid w:val="00BF4145"/>
    <w:rsid w:val="00BF537D"/>
    <w:rsid w:val="00BF61DE"/>
    <w:rsid w:val="00BF714C"/>
    <w:rsid w:val="00C000B3"/>
    <w:rsid w:val="00C00181"/>
    <w:rsid w:val="00C0272A"/>
    <w:rsid w:val="00C02B05"/>
    <w:rsid w:val="00C03714"/>
    <w:rsid w:val="00C03CDD"/>
    <w:rsid w:val="00C04141"/>
    <w:rsid w:val="00C05E59"/>
    <w:rsid w:val="00C0674A"/>
    <w:rsid w:val="00C07C9F"/>
    <w:rsid w:val="00C10664"/>
    <w:rsid w:val="00C1077D"/>
    <w:rsid w:val="00C110BC"/>
    <w:rsid w:val="00C113E4"/>
    <w:rsid w:val="00C11F38"/>
    <w:rsid w:val="00C13C52"/>
    <w:rsid w:val="00C13D88"/>
    <w:rsid w:val="00C14227"/>
    <w:rsid w:val="00C14656"/>
    <w:rsid w:val="00C14B3D"/>
    <w:rsid w:val="00C14C9E"/>
    <w:rsid w:val="00C14F1B"/>
    <w:rsid w:val="00C15435"/>
    <w:rsid w:val="00C16867"/>
    <w:rsid w:val="00C207E8"/>
    <w:rsid w:val="00C20DAE"/>
    <w:rsid w:val="00C2184C"/>
    <w:rsid w:val="00C2211D"/>
    <w:rsid w:val="00C221AD"/>
    <w:rsid w:val="00C22225"/>
    <w:rsid w:val="00C22852"/>
    <w:rsid w:val="00C2326F"/>
    <w:rsid w:val="00C23601"/>
    <w:rsid w:val="00C23789"/>
    <w:rsid w:val="00C254A7"/>
    <w:rsid w:val="00C26E80"/>
    <w:rsid w:val="00C2712E"/>
    <w:rsid w:val="00C27CCA"/>
    <w:rsid w:val="00C302C8"/>
    <w:rsid w:val="00C3075C"/>
    <w:rsid w:val="00C30E0A"/>
    <w:rsid w:val="00C31C63"/>
    <w:rsid w:val="00C31CEA"/>
    <w:rsid w:val="00C31D9B"/>
    <w:rsid w:val="00C32C65"/>
    <w:rsid w:val="00C3311F"/>
    <w:rsid w:val="00C3352C"/>
    <w:rsid w:val="00C33EBF"/>
    <w:rsid w:val="00C34C9F"/>
    <w:rsid w:val="00C354A3"/>
    <w:rsid w:val="00C35ADF"/>
    <w:rsid w:val="00C36852"/>
    <w:rsid w:val="00C36947"/>
    <w:rsid w:val="00C36A74"/>
    <w:rsid w:val="00C376A6"/>
    <w:rsid w:val="00C408F9"/>
    <w:rsid w:val="00C40A7F"/>
    <w:rsid w:val="00C41EE4"/>
    <w:rsid w:val="00C41F2E"/>
    <w:rsid w:val="00C42384"/>
    <w:rsid w:val="00C44DD9"/>
    <w:rsid w:val="00C4595B"/>
    <w:rsid w:val="00C46589"/>
    <w:rsid w:val="00C47EE0"/>
    <w:rsid w:val="00C50D44"/>
    <w:rsid w:val="00C55299"/>
    <w:rsid w:val="00C55867"/>
    <w:rsid w:val="00C55B2C"/>
    <w:rsid w:val="00C55E12"/>
    <w:rsid w:val="00C55FF3"/>
    <w:rsid w:val="00C560F2"/>
    <w:rsid w:val="00C56EEC"/>
    <w:rsid w:val="00C60CA6"/>
    <w:rsid w:val="00C62B6F"/>
    <w:rsid w:val="00C62DEA"/>
    <w:rsid w:val="00C63304"/>
    <w:rsid w:val="00C65FCF"/>
    <w:rsid w:val="00C671AD"/>
    <w:rsid w:val="00C671FC"/>
    <w:rsid w:val="00C671FF"/>
    <w:rsid w:val="00C676A6"/>
    <w:rsid w:val="00C67757"/>
    <w:rsid w:val="00C703E1"/>
    <w:rsid w:val="00C70A90"/>
    <w:rsid w:val="00C71E49"/>
    <w:rsid w:val="00C720E5"/>
    <w:rsid w:val="00C72CF5"/>
    <w:rsid w:val="00C72D2C"/>
    <w:rsid w:val="00C75040"/>
    <w:rsid w:val="00C75B1F"/>
    <w:rsid w:val="00C75B91"/>
    <w:rsid w:val="00C75FDB"/>
    <w:rsid w:val="00C7786B"/>
    <w:rsid w:val="00C802A7"/>
    <w:rsid w:val="00C812CD"/>
    <w:rsid w:val="00C813AA"/>
    <w:rsid w:val="00C81586"/>
    <w:rsid w:val="00C81D1A"/>
    <w:rsid w:val="00C81E35"/>
    <w:rsid w:val="00C83000"/>
    <w:rsid w:val="00C8415B"/>
    <w:rsid w:val="00C848D7"/>
    <w:rsid w:val="00C84B35"/>
    <w:rsid w:val="00C86595"/>
    <w:rsid w:val="00C90750"/>
    <w:rsid w:val="00C9195A"/>
    <w:rsid w:val="00C920A4"/>
    <w:rsid w:val="00C93C64"/>
    <w:rsid w:val="00C93F08"/>
    <w:rsid w:val="00C9480B"/>
    <w:rsid w:val="00C9505A"/>
    <w:rsid w:val="00C95C36"/>
    <w:rsid w:val="00C95E39"/>
    <w:rsid w:val="00C962C5"/>
    <w:rsid w:val="00C96CCC"/>
    <w:rsid w:val="00C96F08"/>
    <w:rsid w:val="00C97512"/>
    <w:rsid w:val="00CA0769"/>
    <w:rsid w:val="00CA1023"/>
    <w:rsid w:val="00CA123E"/>
    <w:rsid w:val="00CA1B01"/>
    <w:rsid w:val="00CA1BD2"/>
    <w:rsid w:val="00CA2104"/>
    <w:rsid w:val="00CA2904"/>
    <w:rsid w:val="00CA37A2"/>
    <w:rsid w:val="00CA41A4"/>
    <w:rsid w:val="00CA472B"/>
    <w:rsid w:val="00CA4793"/>
    <w:rsid w:val="00CA4E51"/>
    <w:rsid w:val="00CA4F61"/>
    <w:rsid w:val="00CA677B"/>
    <w:rsid w:val="00CA73CD"/>
    <w:rsid w:val="00CA742C"/>
    <w:rsid w:val="00CA7DCE"/>
    <w:rsid w:val="00CB0F0E"/>
    <w:rsid w:val="00CB1234"/>
    <w:rsid w:val="00CB20C2"/>
    <w:rsid w:val="00CB248B"/>
    <w:rsid w:val="00CB28C9"/>
    <w:rsid w:val="00CB3ADA"/>
    <w:rsid w:val="00CB3B38"/>
    <w:rsid w:val="00CB41FB"/>
    <w:rsid w:val="00CB4AD5"/>
    <w:rsid w:val="00CB4DDE"/>
    <w:rsid w:val="00CB4E37"/>
    <w:rsid w:val="00CB5BFE"/>
    <w:rsid w:val="00CB6612"/>
    <w:rsid w:val="00CB7AA4"/>
    <w:rsid w:val="00CC02E8"/>
    <w:rsid w:val="00CC11EC"/>
    <w:rsid w:val="00CC15AC"/>
    <w:rsid w:val="00CC187B"/>
    <w:rsid w:val="00CC28AF"/>
    <w:rsid w:val="00CC28F1"/>
    <w:rsid w:val="00CC3636"/>
    <w:rsid w:val="00CC3AC4"/>
    <w:rsid w:val="00CC48A3"/>
    <w:rsid w:val="00CC4F6C"/>
    <w:rsid w:val="00CC58CB"/>
    <w:rsid w:val="00CC6064"/>
    <w:rsid w:val="00CC6C75"/>
    <w:rsid w:val="00CC70D0"/>
    <w:rsid w:val="00CC7C5C"/>
    <w:rsid w:val="00CC7CD6"/>
    <w:rsid w:val="00CD03B2"/>
    <w:rsid w:val="00CD076E"/>
    <w:rsid w:val="00CD1AE8"/>
    <w:rsid w:val="00CD1B54"/>
    <w:rsid w:val="00CD1F8B"/>
    <w:rsid w:val="00CD2D18"/>
    <w:rsid w:val="00CD32EB"/>
    <w:rsid w:val="00CD380B"/>
    <w:rsid w:val="00CD3FCC"/>
    <w:rsid w:val="00CD589C"/>
    <w:rsid w:val="00CD5FBC"/>
    <w:rsid w:val="00CD6152"/>
    <w:rsid w:val="00CD680D"/>
    <w:rsid w:val="00CD6CF3"/>
    <w:rsid w:val="00CD7091"/>
    <w:rsid w:val="00CD716C"/>
    <w:rsid w:val="00CD7F16"/>
    <w:rsid w:val="00CE05D4"/>
    <w:rsid w:val="00CE0E6F"/>
    <w:rsid w:val="00CE1906"/>
    <w:rsid w:val="00CE1B70"/>
    <w:rsid w:val="00CE3480"/>
    <w:rsid w:val="00CE3D3B"/>
    <w:rsid w:val="00CE48F7"/>
    <w:rsid w:val="00CE6033"/>
    <w:rsid w:val="00CE7C4E"/>
    <w:rsid w:val="00CE7DF3"/>
    <w:rsid w:val="00CF0381"/>
    <w:rsid w:val="00CF060B"/>
    <w:rsid w:val="00CF2B52"/>
    <w:rsid w:val="00CF2BCB"/>
    <w:rsid w:val="00CF2ECD"/>
    <w:rsid w:val="00CF33C6"/>
    <w:rsid w:val="00CF3596"/>
    <w:rsid w:val="00CF4256"/>
    <w:rsid w:val="00CF47A4"/>
    <w:rsid w:val="00CF4AC8"/>
    <w:rsid w:val="00CF636A"/>
    <w:rsid w:val="00CF67F2"/>
    <w:rsid w:val="00CF7951"/>
    <w:rsid w:val="00D00AE6"/>
    <w:rsid w:val="00D0182D"/>
    <w:rsid w:val="00D03C4D"/>
    <w:rsid w:val="00D0465C"/>
    <w:rsid w:val="00D05D60"/>
    <w:rsid w:val="00D07055"/>
    <w:rsid w:val="00D072D4"/>
    <w:rsid w:val="00D10713"/>
    <w:rsid w:val="00D1089D"/>
    <w:rsid w:val="00D108E0"/>
    <w:rsid w:val="00D10E31"/>
    <w:rsid w:val="00D11594"/>
    <w:rsid w:val="00D11856"/>
    <w:rsid w:val="00D11F62"/>
    <w:rsid w:val="00D12F43"/>
    <w:rsid w:val="00D13157"/>
    <w:rsid w:val="00D1428E"/>
    <w:rsid w:val="00D14F0F"/>
    <w:rsid w:val="00D159A5"/>
    <w:rsid w:val="00D16AE0"/>
    <w:rsid w:val="00D16CBC"/>
    <w:rsid w:val="00D16DD2"/>
    <w:rsid w:val="00D16F2A"/>
    <w:rsid w:val="00D17406"/>
    <w:rsid w:val="00D174E3"/>
    <w:rsid w:val="00D17CEA"/>
    <w:rsid w:val="00D17EA4"/>
    <w:rsid w:val="00D2000A"/>
    <w:rsid w:val="00D21FC1"/>
    <w:rsid w:val="00D23424"/>
    <w:rsid w:val="00D24613"/>
    <w:rsid w:val="00D25426"/>
    <w:rsid w:val="00D25B5E"/>
    <w:rsid w:val="00D269B5"/>
    <w:rsid w:val="00D26B4F"/>
    <w:rsid w:val="00D30963"/>
    <w:rsid w:val="00D3115E"/>
    <w:rsid w:val="00D31214"/>
    <w:rsid w:val="00D31367"/>
    <w:rsid w:val="00D31FE9"/>
    <w:rsid w:val="00D323FC"/>
    <w:rsid w:val="00D32939"/>
    <w:rsid w:val="00D3331B"/>
    <w:rsid w:val="00D34170"/>
    <w:rsid w:val="00D34EC6"/>
    <w:rsid w:val="00D350A4"/>
    <w:rsid w:val="00D35D92"/>
    <w:rsid w:val="00D37315"/>
    <w:rsid w:val="00D40CEF"/>
    <w:rsid w:val="00D4156C"/>
    <w:rsid w:val="00D416AA"/>
    <w:rsid w:val="00D43784"/>
    <w:rsid w:val="00D43E67"/>
    <w:rsid w:val="00D447B9"/>
    <w:rsid w:val="00D45596"/>
    <w:rsid w:val="00D45FD4"/>
    <w:rsid w:val="00D4605A"/>
    <w:rsid w:val="00D50F9B"/>
    <w:rsid w:val="00D52462"/>
    <w:rsid w:val="00D5361C"/>
    <w:rsid w:val="00D548C8"/>
    <w:rsid w:val="00D54C95"/>
    <w:rsid w:val="00D55273"/>
    <w:rsid w:val="00D5570C"/>
    <w:rsid w:val="00D55733"/>
    <w:rsid w:val="00D56414"/>
    <w:rsid w:val="00D5709D"/>
    <w:rsid w:val="00D57B41"/>
    <w:rsid w:val="00D57E2E"/>
    <w:rsid w:val="00D6007E"/>
    <w:rsid w:val="00D60585"/>
    <w:rsid w:val="00D60CA4"/>
    <w:rsid w:val="00D615A5"/>
    <w:rsid w:val="00D6173D"/>
    <w:rsid w:val="00D61AE2"/>
    <w:rsid w:val="00D61D14"/>
    <w:rsid w:val="00D62446"/>
    <w:rsid w:val="00D62780"/>
    <w:rsid w:val="00D62BEB"/>
    <w:rsid w:val="00D638D3"/>
    <w:rsid w:val="00D64330"/>
    <w:rsid w:val="00D65FE9"/>
    <w:rsid w:val="00D66111"/>
    <w:rsid w:val="00D66F53"/>
    <w:rsid w:val="00D7142F"/>
    <w:rsid w:val="00D722D8"/>
    <w:rsid w:val="00D726EE"/>
    <w:rsid w:val="00D72C69"/>
    <w:rsid w:val="00D72DAE"/>
    <w:rsid w:val="00D745F3"/>
    <w:rsid w:val="00D75AD1"/>
    <w:rsid w:val="00D75F14"/>
    <w:rsid w:val="00D77797"/>
    <w:rsid w:val="00D822ED"/>
    <w:rsid w:val="00D84253"/>
    <w:rsid w:val="00D848C9"/>
    <w:rsid w:val="00D86272"/>
    <w:rsid w:val="00D86C39"/>
    <w:rsid w:val="00D9012A"/>
    <w:rsid w:val="00D90522"/>
    <w:rsid w:val="00D90F58"/>
    <w:rsid w:val="00D915E6"/>
    <w:rsid w:val="00D9191D"/>
    <w:rsid w:val="00D91CC1"/>
    <w:rsid w:val="00D91F09"/>
    <w:rsid w:val="00D929EC"/>
    <w:rsid w:val="00D92D45"/>
    <w:rsid w:val="00D94650"/>
    <w:rsid w:val="00D959C3"/>
    <w:rsid w:val="00D971F3"/>
    <w:rsid w:val="00D974ED"/>
    <w:rsid w:val="00D97DA5"/>
    <w:rsid w:val="00DA1FA7"/>
    <w:rsid w:val="00DA2FDF"/>
    <w:rsid w:val="00DA3224"/>
    <w:rsid w:val="00DA3F52"/>
    <w:rsid w:val="00DA427B"/>
    <w:rsid w:val="00DA4D0D"/>
    <w:rsid w:val="00DA5B42"/>
    <w:rsid w:val="00DA75FE"/>
    <w:rsid w:val="00DB01B8"/>
    <w:rsid w:val="00DB184E"/>
    <w:rsid w:val="00DB27A8"/>
    <w:rsid w:val="00DB29E7"/>
    <w:rsid w:val="00DB2AB6"/>
    <w:rsid w:val="00DB4775"/>
    <w:rsid w:val="00DB4E11"/>
    <w:rsid w:val="00DB5248"/>
    <w:rsid w:val="00DB707A"/>
    <w:rsid w:val="00DB7442"/>
    <w:rsid w:val="00DB767F"/>
    <w:rsid w:val="00DB7C8F"/>
    <w:rsid w:val="00DB7DD8"/>
    <w:rsid w:val="00DB7F12"/>
    <w:rsid w:val="00DC0525"/>
    <w:rsid w:val="00DC05A4"/>
    <w:rsid w:val="00DC13BE"/>
    <w:rsid w:val="00DC1C5C"/>
    <w:rsid w:val="00DC1CAC"/>
    <w:rsid w:val="00DC2C0D"/>
    <w:rsid w:val="00DC37B9"/>
    <w:rsid w:val="00DC3F29"/>
    <w:rsid w:val="00DC4440"/>
    <w:rsid w:val="00DC4FD5"/>
    <w:rsid w:val="00DC77AC"/>
    <w:rsid w:val="00DC7F9D"/>
    <w:rsid w:val="00DD027D"/>
    <w:rsid w:val="00DD1F50"/>
    <w:rsid w:val="00DD2447"/>
    <w:rsid w:val="00DD29BA"/>
    <w:rsid w:val="00DD36AC"/>
    <w:rsid w:val="00DD49E2"/>
    <w:rsid w:val="00DD51B9"/>
    <w:rsid w:val="00DD6620"/>
    <w:rsid w:val="00DD67CF"/>
    <w:rsid w:val="00DD7174"/>
    <w:rsid w:val="00DD754D"/>
    <w:rsid w:val="00DD7850"/>
    <w:rsid w:val="00DD7B7F"/>
    <w:rsid w:val="00DE03F6"/>
    <w:rsid w:val="00DE046D"/>
    <w:rsid w:val="00DE0912"/>
    <w:rsid w:val="00DE14B3"/>
    <w:rsid w:val="00DE4D46"/>
    <w:rsid w:val="00DE5897"/>
    <w:rsid w:val="00DE5DF0"/>
    <w:rsid w:val="00DE6063"/>
    <w:rsid w:val="00DE68FC"/>
    <w:rsid w:val="00DE69E3"/>
    <w:rsid w:val="00DE7AE1"/>
    <w:rsid w:val="00DF017E"/>
    <w:rsid w:val="00DF043B"/>
    <w:rsid w:val="00DF1B2D"/>
    <w:rsid w:val="00DF2139"/>
    <w:rsid w:val="00DF264D"/>
    <w:rsid w:val="00DF2A8D"/>
    <w:rsid w:val="00DF3942"/>
    <w:rsid w:val="00DF409D"/>
    <w:rsid w:val="00DF4651"/>
    <w:rsid w:val="00DF510B"/>
    <w:rsid w:val="00DF511D"/>
    <w:rsid w:val="00DF5EC6"/>
    <w:rsid w:val="00DF604C"/>
    <w:rsid w:val="00DF6A6E"/>
    <w:rsid w:val="00DF7097"/>
    <w:rsid w:val="00DF7A38"/>
    <w:rsid w:val="00E01966"/>
    <w:rsid w:val="00E0261D"/>
    <w:rsid w:val="00E03450"/>
    <w:rsid w:val="00E03D1A"/>
    <w:rsid w:val="00E03E3D"/>
    <w:rsid w:val="00E03F3F"/>
    <w:rsid w:val="00E0416A"/>
    <w:rsid w:val="00E069D8"/>
    <w:rsid w:val="00E1023E"/>
    <w:rsid w:val="00E10570"/>
    <w:rsid w:val="00E11192"/>
    <w:rsid w:val="00E11A36"/>
    <w:rsid w:val="00E11C21"/>
    <w:rsid w:val="00E1231D"/>
    <w:rsid w:val="00E1235C"/>
    <w:rsid w:val="00E130FB"/>
    <w:rsid w:val="00E14047"/>
    <w:rsid w:val="00E14378"/>
    <w:rsid w:val="00E14491"/>
    <w:rsid w:val="00E14632"/>
    <w:rsid w:val="00E150C1"/>
    <w:rsid w:val="00E1570F"/>
    <w:rsid w:val="00E16230"/>
    <w:rsid w:val="00E2028B"/>
    <w:rsid w:val="00E208A9"/>
    <w:rsid w:val="00E2132F"/>
    <w:rsid w:val="00E213F0"/>
    <w:rsid w:val="00E21703"/>
    <w:rsid w:val="00E2227C"/>
    <w:rsid w:val="00E22783"/>
    <w:rsid w:val="00E22D0E"/>
    <w:rsid w:val="00E23C71"/>
    <w:rsid w:val="00E23F75"/>
    <w:rsid w:val="00E25038"/>
    <w:rsid w:val="00E2563F"/>
    <w:rsid w:val="00E25BC0"/>
    <w:rsid w:val="00E26278"/>
    <w:rsid w:val="00E26955"/>
    <w:rsid w:val="00E27509"/>
    <w:rsid w:val="00E276F6"/>
    <w:rsid w:val="00E32257"/>
    <w:rsid w:val="00E32308"/>
    <w:rsid w:val="00E32F70"/>
    <w:rsid w:val="00E33811"/>
    <w:rsid w:val="00E33A52"/>
    <w:rsid w:val="00E34E59"/>
    <w:rsid w:val="00E36849"/>
    <w:rsid w:val="00E37455"/>
    <w:rsid w:val="00E378F9"/>
    <w:rsid w:val="00E409A2"/>
    <w:rsid w:val="00E41A02"/>
    <w:rsid w:val="00E41F89"/>
    <w:rsid w:val="00E421CD"/>
    <w:rsid w:val="00E43411"/>
    <w:rsid w:val="00E43724"/>
    <w:rsid w:val="00E43C05"/>
    <w:rsid w:val="00E44A33"/>
    <w:rsid w:val="00E45947"/>
    <w:rsid w:val="00E45C12"/>
    <w:rsid w:val="00E45C38"/>
    <w:rsid w:val="00E46C31"/>
    <w:rsid w:val="00E47645"/>
    <w:rsid w:val="00E47FDE"/>
    <w:rsid w:val="00E50022"/>
    <w:rsid w:val="00E501B1"/>
    <w:rsid w:val="00E50202"/>
    <w:rsid w:val="00E50784"/>
    <w:rsid w:val="00E509AD"/>
    <w:rsid w:val="00E50C12"/>
    <w:rsid w:val="00E51171"/>
    <w:rsid w:val="00E52219"/>
    <w:rsid w:val="00E524C3"/>
    <w:rsid w:val="00E527DF"/>
    <w:rsid w:val="00E52CDC"/>
    <w:rsid w:val="00E52E05"/>
    <w:rsid w:val="00E52F74"/>
    <w:rsid w:val="00E53A05"/>
    <w:rsid w:val="00E541DD"/>
    <w:rsid w:val="00E55035"/>
    <w:rsid w:val="00E552A4"/>
    <w:rsid w:val="00E56600"/>
    <w:rsid w:val="00E568EC"/>
    <w:rsid w:val="00E57D61"/>
    <w:rsid w:val="00E6003D"/>
    <w:rsid w:val="00E603B8"/>
    <w:rsid w:val="00E60565"/>
    <w:rsid w:val="00E6066A"/>
    <w:rsid w:val="00E613BB"/>
    <w:rsid w:val="00E622BD"/>
    <w:rsid w:val="00E62355"/>
    <w:rsid w:val="00E62E0B"/>
    <w:rsid w:val="00E62F19"/>
    <w:rsid w:val="00E6307F"/>
    <w:rsid w:val="00E64F01"/>
    <w:rsid w:val="00E6514C"/>
    <w:rsid w:val="00E65240"/>
    <w:rsid w:val="00E6524C"/>
    <w:rsid w:val="00E65511"/>
    <w:rsid w:val="00E65CD6"/>
    <w:rsid w:val="00E65D66"/>
    <w:rsid w:val="00E674CA"/>
    <w:rsid w:val="00E702F9"/>
    <w:rsid w:val="00E70A94"/>
    <w:rsid w:val="00E71A66"/>
    <w:rsid w:val="00E71C47"/>
    <w:rsid w:val="00E730AB"/>
    <w:rsid w:val="00E7382C"/>
    <w:rsid w:val="00E73A34"/>
    <w:rsid w:val="00E73ECD"/>
    <w:rsid w:val="00E741A6"/>
    <w:rsid w:val="00E74DB3"/>
    <w:rsid w:val="00E75218"/>
    <w:rsid w:val="00E80BF8"/>
    <w:rsid w:val="00E80D5B"/>
    <w:rsid w:val="00E813F0"/>
    <w:rsid w:val="00E814A6"/>
    <w:rsid w:val="00E82BA1"/>
    <w:rsid w:val="00E8404D"/>
    <w:rsid w:val="00E84688"/>
    <w:rsid w:val="00E85296"/>
    <w:rsid w:val="00E8556F"/>
    <w:rsid w:val="00E85D80"/>
    <w:rsid w:val="00E878C9"/>
    <w:rsid w:val="00E8791E"/>
    <w:rsid w:val="00E9000F"/>
    <w:rsid w:val="00E9090D"/>
    <w:rsid w:val="00E9170D"/>
    <w:rsid w:val="00E91F88"/>
    <w:rsid w:val="00E92602"/>
    <w:rsid w:val="00E928B4"/>
    <w:rsid w:val="00E9296F"/>
    <w:rsid w:val="00E92E2C"/>
    <w:rsid w:val="00E9591C"/>
    <w:rsid w:val="00E970DC"/>
    <w:rsid w:val="00EA00B3"/>
    <w:rsid w:val="00EA0555"/>
    <w:rsid w:val="00EA0BBA"/>
    <w:rsid w:val="00EA1DBE"/>
    <w:rsid w:val="00EA1E88"/>
    <w:rsid w:val="00EA3827"/>
    <w:rsid w:val="00EA47AA"/>
    <w:rsid w:val="00EA4AE9"/>
    <w:rsid w:val="00EA5152"/>
    <w:rsid w:val="00EA57CA"/>
    <w:rsid w:val="00EA5913"/>
    <w:rsid w:val="00EA5928"/>
    <w:rsid w:val="00EA5A2F"/>
    <w:rsid w:val="00EA6A59"/>
    <w:rsid w:val="00EA7350"/>
    <w:rsid w:val="00EA75A0"/>
    <w:rsid w:val="00EA77AF"/>
    <w:rsid w:val="00EA79D9"/>
    <w:rsid w:val="00EB02EB"/>
    <w:rsid w:val="00EB03AA"/>
    <w:rsid w:val="00EB13C1"/>
    <w:rsid w:val="00EB2837"/>
    <w:rsid w:val="00EB30C0"/>
    <w:rsid w:val="00EB407F"/>
    <w:rsid w:val="00EB424A"/>
    <w:rsid w:val="00EB4509"/>
    <w:rsid w:val="00EB4557"/>
    <w:rsid w:val="00EB5229"/>
    <w:rsid w:val="00EB5D84"/>
    <w:rsid w:val="00EB5DD9"/>
    <w:rsid w:val="00EB6226"/>
    <w:rsid w:val="00EB6278"/>
    <w:rsid w:val="00EB65FE"/>
    <w:rsid w:val="00EB660F"/>
    <w:rsid w:val="00EB662A"/>
    <w:rsid w:val="00EB670D"/>
    <w:rsid w:val="00EB6DEA"/>
    <w:rsid w:val="00EB717A"/>
    <w:rsid w:val="00EB7BFD"/>
    <w:rsid w:val="00EC018B"/>
    <w:rsid w:val="00EC0E79"/>
    <w:rsid w:val="00EC12D6"/>
    <w:rsid w:val="00EC236D"/>
    <w:rsid w:val="00EC2545"/>
    <w:rsid w:val="00EC3828"/>
    <w:rsid w:val="00EC3EAD"/>
    <w:rsid w:val="00EC5651"/>
    <w:rsid w:val="00EC5F1E"/>
    <w:rsid w:val="00EC729E"/>
    <w:rsid w:val="00ED10D5"/>
    <w:rsid w:val="00ED1426"/>
    <w:rsid w:val="00ED15F1"/>
    <w:rsid w:val="00ED33A4"/>
    <w:rsid w:val="00ED34AD"/>
    <w:rsid w:val="00ED38EF"/>
    <w:rsid w:val="00ED38FC"/>
    <w:rsid w:val="00ED3BC3"/>
    <w:rsid w:val="00ED41DE"/>
    <w:rsid w:val="00ED4A6D"/>
    <w:rsid w:val="00ED5A12"/>
    <w:rsid w:val="00ED5BB6"/>
    <w:rsid w:val="00ED6408"/>
    <w:rsid w:val="00ED6823"/>
    <w:rsid w:val="00ED68A2"/>
    <w:rsid w:val="00EE046F"/>
    <w:rsid w:val="00EE0916"/>
    <w:rsid w:val="00EE0BF5"/>
    <w:rsid w:val="00EE1A1E"/>
    <w:rsid w:val="00EE2490"/>
    <w:rsid w:val="00EE254A"/>
    <w:rsid w:val="00EE56FF"/>
    <w:rsid w:val="00EE5A12"/>
    <w:rsid w:val="00EE66CF"/>
    <w:rsid w:val="00EE681F"/>
    <w:rsid w:val="00EE6AA8"/>
    <w:rsid w:val="00EE6D76"/>
    <w:rsid w:val="00EE7583"/>
    <w:rsid w:val="00EF08DE"/>
    <w:rsid w:val="00EF0D5B"/>
    <w:rsid w:val="00EF1775"/>
    <w:rsid w:val="00EF267C"/>
    <w:rsid w:val="00EF2810"/>
    <w:rsid w:val="00EF2C27"/>
    <w:rsid w:val="00EF5C64"/>
    <w:rsid w:val="00EF70D9"/>
    <w:rsid w:val="00EF755F"/>
    <w:rsid w:val="00EF77CC"/>
    <w:rsid w:val="00EF7B00"/>
    <w:rsid w:val="00F00DB5"/>
    <w:rsid w:val="00F00F92"/>
    <w:rsid w:val="00F0139C"/>
    <w:rsid w:val="00F02109"/>
    <w:rsid w:val="00F0308E"/>
    <w:rsid w:val="00F03D32"/>
    <w:rsid w:val="00F03DED"/>
    <w:rsid w:val="00F05063"/>
    <w:rsid w:val="00F055D7"/>
    <w:rsid w:val="00F05CFF"/>
    <w:rsid w:val="00F05F0D"/>
    <w:rsid w:val="00F0675E"/>
    <w:rsid w:val="00F06EC7"/>
    <w:rsid w:val="00F071A2"/>
    <w:rsid w:val="00F07F9E"/>
    <w:rsid w:val="00F1085B"/>
    <w:rsid w:val="00F11022"/>
    <w:rsid w:val="00F1346F"/>
    <w:rsid w:val="00F13D41"/>
    <w:rsid w:val="00F14D8C"/>
    <w:rsid w:val="00F15501"/>
    <w:rsid w:val="00F16A4A"/>
    <w:rsid w:val="00F17E35"/>
    <w:rsid w:val="00F2037B"/>
    <w:rsid w:val="00F21AE3"/>
    <w:rsid w:val="00F22411"/>
    <w:rsid w:val="00F22735"/>
    <w:rsid w:val="00F22A14"/>
    <w:rsid w:val="00F22D44"/>
    <w:rsid w:val="00F233C2"/>
    <w:rsid w:val="00F23E7A"/>
    <w:rsid w:val="00F24177"/>
    <w:rsid w:val="00F2428D"/>
    <w:rsid w:val="00F24CDC"/>
    <w:rsid w:val="00F24EF7"/>
    <w:rsid w:val="00F25623"/>
    <w:rsid w:val="00F25650"/>
    <w:rsid w:val="00F25DAE"/>
    <w:rsid w:val="00F262E5"/>
    <w:rsid w:val="00F26687"/>
    <w:rsid w:val="00F27718"/>
    <w:rsid w:val="00F308B9"/>
    <w:rsid w:val="00F315C6"/>
    <w:rsid w:val="00F31801"/>
    <w:rsid w:val="00F33006"/>
    <w:rsid w:val="00F335D2"/>
    <w:rsid w:val="00F3390E"/>
    <w:rsid w:val="00F3529C"/>
    <w:rsid w:val="00F35B50"/>
    <w:rsid w:val="00F35D14"/>
    <w:rsid w:val="00F37233"/>
    <w:rsid w:val="00F375E8"/>
    <w:rsid w:val="00F378B7"/>
    <w:rsid w:val="00F40074"/>
    <w:rsid w:val="00F40BE0"/>
    <w:rsid w:val="00F43041"/>
    <w:rsid w:val="00F4394E"/>
    <w:rsid w:val="00F43B0A"/>
    <w:rsid w:val="00F457C6"/>
    <w:rsid w:val="00F45BD7"/>
    <w:rsid w:val="00F466F5"/>
    <w:rsid w:val="00F47932"/>
    <w:rsid w:val="00F47AF2"/>
    <w:rsid w:val="00F47B48"/>
    <w:rsid w:val="00F5053B"/>
    <w:rsid w:val="00F50B71"/>
    <w:rsid w:val="00F51223"/>
    <w:rsid w:val="00F51405"/>
    <w:rsid w:val="00F5157F"/>
    <w:rsid w:val="00F519A1"/>
    <w:rsid w:val="00F52470"/>
    <w:rsid w:val="00F529BB"/>
    <w:rsid w:val="00F53454"/>
    <w:rsid w:val="00F5478C"/>
    <w:rsid w:val="00F54B5C"/>
    <w:rsid w:val="00F55289"/>
    <w:rsid w:val="00F55AF5"/>
    <w:rsid w:val="00F575C6"/>
    <w:rsid w:val="00F57ECE"/>
    <w:rsid w:val="00F57F7F"/>
    <w:rsid w:val="00F609D4"/>
    <w:rsid w:val="00F60D41"/>
    <w:rsid w:val="00F6222A"/>
    <w:rsid w:val="00F627B2"/>
    <w:rsid w:val="00F62908"/>
    <w:rsid w:val="00F63996"/>
    <w:rsid w:val="00F6586D"/>
    <w:rsid w:val="00F66809"/>
    <w:rsid w:val="00F668B3"/>
    <w:rsid w:val="00F6779E"/>
    <w:rsid w:val="00F70043"/>
    <w:rsid w:val="00F70935"/>
    <w:rsid w:val="00F70AF0"/>
    <w:rsid w:val="00F712DC"/>
    <w:rsid w:val="00F72613"/>
    <w:rsid w:val="00F757E9"/>
    <w:rsid w:val="00F76427"/>
    <w:rsid w:val="00F77861"/>
    <w:rsid w:val="00F80DAA"/>
    <w:rsid w:val="00F81B4F"/>
    <w:rsid w:val="00F822F3"/>
    <w:rsid w:val="00F82981"/>
    <w:rsid w:val="00F8311D"/>
    <w:rsid w:val="00F83AC0"/>
    <w:rsid w:val="00F85A50"/>
    <w:rsid w:val="00F86A44"/>
    <w:rsid w:val="00F86DE5"/>
    <w:rsid w:val="00F900D2"/>
    <w:rsid w:val="00F90F45"/>
    <w:rsid w:val="00F9257E"/>
    <w:rsid w:val="00F93101"/>
    <w:rsid w:val="00F94103"/>
    <w:rsid w:val="00F94989"/>
    <w:rsid w:val="00F95B7B"/>
    <w:rsid w:val="00F96D72"/>
    <w:rsid w:val="00F97290"/>
    <w:rsid w:val="00FA0C84"/>
    <w:rsid w:val="00FA14B3"/>
    <w:rsid w:val="00FA152F"/>
    <w:rsid w:val="00FA1D36"/>
    <w:rsid w:val="00FA225C"/>
    <w:rsid w:val="00FA2A0D"/>
    <w:rsid w:val="00FA35AC"/>
    <w:rsid w:val="00FA55DF"/>
    <w:rsid w:val="00FA5984"/>
    <w:rsid w:val="00FA6D5C"/>
    <w:rsid w:val="00FA7D57"/>
    <w:rsid w:val="00FB2088"/>
    <w:rsid w:val="00FB3307"/>
    <w:rsid w:val="00FB4B42"/>
    <w:rsid w:val="00FB5133"/>
    <w:rsid w:val="00FB5655"/>
    <w:rsid w:val="00FB583E"/>
    <w:rsid w:val="00FB67C4"/>
    <w:rsid w:val="00FB68CD"/>
    <w:rsid w:val="00FB6D62"/>
    <w:rsid w:val="00FC0CA4"/>
    <w:rsid w:val="00FC101F"/>
    <w:rsid w:val="00FC1C5C"/>
    <w:rsid w:val="00FC1CC2"/>
    <w:rsid w:val="00FC200B"/>
    <w:rsid w:val="00FC31A9"/>
    <w:rsid w:val="00FC3463"/>
    <w:rsid w:val="00FC3FC5"/>
    <w:rsid w:val="00FC40D9"/>
    <w:rsid w:val="00FC48FA"/>
    <w:rsid w:val="00FC595F"/>
    <w:rsid w:val="00FC5B2E"/>
    <w:rsid w:val="00FC603F"/>
    <w:rsid w:val="00FC6745"/>
    <w:rsid w:val="00FD01A4"/>
    <w:rsid w:val="00FD086D"/>
    <w:rsid w:val="00FD0B61"/>
    <w:rsid w:val="00FD0DFE"/>
    <w:rsid w:val="00FD19F0"/>
    <w:rsid w:val="00FD1A26"/>
    <w:rsid w:val="00FD1FFC"/>
    <w:rsid w:val="00FD2531"/>
    <w:rsid w:val="00FD294D"/>
    <w:rsid w:val="00FD35AA"/>
    <w:rsid w:val="00FD3624"/>
    <w:rsid w:val="00FD3DBA"/>
    <w:rsid w:val="00FD41B7"/>
    <w:rsid w:val="00FD4B58"/>
    <w:rsid w:val="00FD5734"/>
    <w:rsid w:val="00FD73C3"/>
    <w:rsid w:val="00FD771F"/>
    <w:rsid w:val="00FD7EDA"/>
    <w:rsid w:val="00FD7FD9"/>
    <w:rsid w:val="00FE0532"/>
    <w:rsid w:val="00FE05EF"/>
    <w:rsid w:val="00FE2282"/>
    <w:rsid w:val="00FE2643"/>
    <w:rsid w:val="00FE26A7"/>
    <w:rsid w:val="00FE27BC"/>
    <w:rsid w:val="00FE3746"/>
    <w:rsid w:val="00FE3C1A"/>
    <w:rsid w:val="00FE40AB"/>
    <w:rsid w:val="00FE491B"/>
    <w:rsid w:val="00FE5FA7"/>
    <w:rsid w:val="00FE7CEB"/>
    <w:rsid w:val="00FF05EB"/>
    <w:rsid w:val="00FF0908"/>
    <w:rsid w:val="00FF192D"/>
    <w:rsid w:val="00FF37FF"/>
    <w:rsid w:val="00FF3855"/>
    <w:rsid w:val="00FF4351"/>
    <w:rsid w:val="00FF4CE5"/>
    <w:rsid w:val="00FF4F44"/>
    <w:rsid w:val="00FF4FCE"/>
    <w:rsid w:val="00FF6573"/>
    <w:rsid w:val="00FF6BB1"/>
    <w:rsid w:val="00FF6F95"/>
    <w:rsid w:val="00FF7081"/>
    <w:rsid w:val="00FF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4C7C"/>
    <w:rPr>
      <w:rFonts w:ascii="Arial" w:hAnsi="Arial"/>
      <w:sz w:val="24"/>
      <w:lang w:eastAsia="en-US"/>
    </w:rPr>
  </w:style>
  <w:style w:type="paragraph" w:styleId="Heading1">
    <w:name w:val="heading 1"/>
    <w:aliases w:val="Section Heading"/>
    <w:basedOn w:val="Normal"/>
    <w:next w:val="Normal"/>
    <w:link w:val="Heading1Char"/>
    <w:qFormat/>
    <w:pPr>
      <w:keepNext/>
      <w:ind w:left="720" w:hanging="720"/>
      <w:jc w:val="center"/>
      <w:outlineLvl w:val="0"/>
    </w:pPr>
    <w:rPr>
      <w:b/>
      <w:sz w:val="22"/>
    </w:rPr>
  </w:style>
  <w:style w:type="paragraph" w:styleId="Heading2">
    <w:name w:val="heading 2"/>
    <w:aliases w:val="2,Level 2 Heading"/>
    <w:basedOn w:val="Normal"/>
    <w:next w:val="Normal"/>
    <w:link w:val="Heading2Char1"/>
    <w:qFormat/>
    <w:pPr>
      <w:keepNext/>
      <w:jc w:val="center"/>
      <w:outlineLvl w:val="1"/>
    </w:pPr>
    <w:rPr>
      <w:b/>
      <w:color w:val="000000"/>
      <w:sz w:val="20"/>
    </w:rPr>
  </w:style>
  <w:style w:type="paragraph" w:styleId="Heading3">
    <w:name w:val="heading 3"/>
    <w:basedOn w:val="Normal"/>
    <w:next w:val="Normal"/>
    <w:link w:val="Heading3Char"/>
    <w:qFormat/>
    <w:pPr>
      <w:keepNext/>
      <w:ind w:left="720" w:hanging="720"/>
      <w:outlineLvl w:val="2"/>
    </w:pPr>
    <w:rPr>
      <w:b/>
      <w:i/>
      <w:sz w:val="22"/>
    </w:rPr>
  </w:style>
  <w:style w:type="paragraph" w:styleId="Heading4">
    <w:name w:val="heading 4"/>
    <w:basedOn w:val="Normal"/>
    <w:next w:val="Normal"/>
    <w:qFormat/>
    <w:pPr>
      <w:keepNext/>
      <w:ind w:left="720"/>
      <w:outlineLvl w:val="3"/>
    </w:pPr>
    <w:rPr>
      <w:b/>
      <w:i/>
      <w:sz w:val="22"/>
    </w:rPr>
  </w:style>
  <w:style w:type="paragraph" w:styleId="Heading5">
    <w:name w:val="heading 5"/>
    <w:basedOn w:val="Normal"/>
    <w:next w:val="Normal"/>
    <w:qFormat/>
    <w:pPr>
      <w:keepNext/>
      <w:ind w:left="720"/>
      <w:outlineLvl w:val="4"/>
    </w:pPr>
    <w:rPr>
      <w:b/>
      <w:i/>
    </w:rPr>
  </w:style>
  <w:style w:type="paragraph" w:styleId="Heading6">
    <w:name w:val="heading 6"/>
    <w:basedOn w:val="Normal"/>
    <w:next w:val="Normal"/>
    <w:qFormat/>
    <w:pPr>
      <w:keepNext/>
      <w:jc w:val="center"/>
      <w:outlineLvl w:val="5"/>
    </w:pPr>
    <w:rPr>
      <w:b/>
      <w:color w:val="000000"/>
      <w:sz w:val="22"/>
    </w:rPr>
  </w:style>
  <w:style w:type="paragraph" w:styleId="Heading7">
    <w:name w:val="heading 7"/>
    <w:basedOn w:val="Normal"/>
    <w:next w:val="Normal"/>
    <w:qFormat/>
    <w:pPr>
      <w:keepNext/>
      <w:jc w:val="right"/>
      <w:outlineLvl w:val="6"/>
    </w:pPr>
    <w:rPr>
      <w:b/>
      <w:sz w:val="22"/>
    </w:rPr>
  </w:style>
  <w:style w:type="paragraph" w:styleId="Heading8">
    <w:name w:val="heading 8"/>
    <w:basedOn w:val="Normal"/>
    <w:next w:val="Normal"/>
    <w:link w:val="Heading8Char"/>
    <w:qFormat/>
    <w:pPr>
      <w:keepNext/>
      <w:outlineLvl w:val="7"/>
    </w:pPr>
    <w:rPr>
      <w:b/>
      <w:sz w:val="22"/>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281AFF"/>
    <w:rPr>
      <w:rFonts w:ascii="Arial" w:hAnsi="Arial"/>
      <w:b/>
      <w:sz w:val="22"/>
      <w:lang w:val="en-GB" w:eastAsia="en-US" w:bidi="ar-SA"/>
    </w:rPr>
  </w:style>
  <w:style w:type="character" w:customStyle="1" w:styleId="Heading2Char1">
    <w:name w:val="Heading 2 Char1"/>
    <w:aliases w:val="2 Char1,Level 2 Heading Char1"/>
    <w:link w:val="Heading2"/>
    <w:rsid w:val="002C3056"/>
    <w:rPr>
      <w:rFonts w:ascii="Arial" w:hAnsi="Arial"/>
      <w:b/>
      <w:color w:val="000000"/>
      <w:lang w:val="en-GB" w:eastAsia="en-US" w:bidi="ar-SA"/>
    </w:rPr>
  </w:style>
  <w:style w:type="character" w:customStyle="1" w:styleId="Heading3Char">
    <w:name w:val="Heading 3 Char"/>
    <w:link w:val="Heading3"/>
    <w:locked/>
    <w:rsid w:val="00281AFF"/>
    <w:rPr>
      <w:rFonts w:ascii="Arial" w:hAnsi="Arial"/>
      <w:b/>
      <w:i/>
      <w:sz w:val="22"/>
      <w:lang w:val="en-GB" w:eastAsia="en-US" w:bidi="ar-SA"/>
    </w:rPr>
  </w:style>
  <w:style w:type="character" w:customStyle="1" w:styleId="Heading8Char">
    <w:name w:val="Heading 8 Char"/>
    <w:link w:val="Heading8"/>
    <w:locked/>
    <w:rsid w:val="00281AFF"/>
    <w:rPr>
      <w:rFonts w:ascii="Arial" w:hAnsi="Arial"/>
      <w:b/>
      <w:sz w:val="22"/>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sid w:val="005B7B3D"/>
    <w:rPr>
      <w:rFonts w:ascii="Arial" w:hAnsi="Arial"/>
      <w:sz w:val="24"/>
      <w:lang w:val="en-GB" w:eastAsia="en-US" w:bidi="ar-S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locked/>
    <w:rsid w:val="005B7B3D"/>
    <w:rPr>
      <w:rFonts w:ascii="Arial" w:hAnsi="Arial"/>
      <w:sz w:val="24"/>
      <w:lang w:val="en-GB" w:eastAsia="en-US" w:bidi="ar-SA"/>
    </w:rPr>
  </w:style>
  <w:style w:type="paragraph" w:styleId="BodyTextIndent">
    <w:name w:val="Body Text Indent"/>
    <w:basedOn w:val="Normal"/>
    <w:pPr>
      <w:ind w:left="720" w:hanging="720"/>
    </w:pPr>
    <w:rPr>
      <w:b/>
      <w:sz w:val="22"/>
    </w:rPr>
  </w:style>
  <w:style w:type="paragraph" w:styleId="BodyTextIndent2">
    <w:name w:val="Body Text Indent 2"/>
    <w:basedOn w:val="Normal"/>
    <w:link w:val="BodyTextIndent2Char"/>
    <w:pPr>
      <w:ind w:left="720" w:hanging="720"/>
    </w:pPr>
    <w:rPr>
      <w:sz w:val="22"/>
    </w:rPr>
  </w:style>
  <w:style w:type="character" w:customStyle="1" w:styleId="BodyTextIndent2Char">
    <w:name w:val="Body Text Indent 2 Char"/>
    <w:link w:val="BodyTextIndent2"/>
    <w:locked/>
    <w:rsid w:val="00281AFF"/>
    <w:rPr>
      <w:rFonts w:ascii="Arial" w:hAnsi="Arial"/>
      <w:sz w:val="22"/>
      <w:lang w:val="en-GB" w:eastAsia="en-US" w:bidi="ar-SA"/>
    </w:rPr>
  </w:style>
  <w:style w:type="paragraph" w:styleId="BodyTextIndent3">
    <w:name w:val="Body Text Indent 3"/>
    <w:basedOn w:val="Normal"/>
    <w:pPr>
      <w:ind w:left="1418" w:hanging="709"/>
    </w:pPr>
    <w:rPr>
      <w:sz w:val="22"/>
    </w:rPr>
  </w:style>
  <w:style w:type="paragraph" w:styleId="Title">
    <w:name w:val="Title"/>
    <w:basedOn w:val="Normal"/>
    <w:qFormat/>
    <w:pPr>
      <w:jc w:val="center"/>
    </w:pPr>
    <w:rPr>
      <w:b/>
      <w:sz w:val="22"/>
    </w:rPr>
  </w:style>
  <w:style w:type="paragraph" w:styleId="Subtitle">
    <w:name w:val="Subtitle"/>
    <w:basedOn w:val="Normal"/>
    <w:link w:val="SubtitleChar"/>
    <w:qFormat/>
    <w:pPr>
      <w:jc w:val="center"/>
    </w:pPr>
    <w:rPr>
      <w:b/>
      <w:sz w:val="22"/>
    </w:rPr>
  </w:style>
  <w:style w:type="character" w:customStyle="1" w:styleId="SubtitleChar">
    <w:name w:val="Subtitle Char"/>
    <w:link w:val="Subtitle"/>
    <w:locked/>
    <w:rsid w:val="00281AFF"/>
    <w:rPr>
      <w:rFonts w:ascii="Arial" w:hAnsi="Arial"/>
      <w:b/>
      <w:sz w:val="22"/>
      <w:lang w:val="en-GB" w:eastAsia="en-US" w:bidi="ar-SA"/>
    </w:rPr>
  </w:style>
  <w:style w:type="paragraph" w:styleId="BodyText">
    <w:name w:val="Body Text"/>
    <w:basedOn w:val="Normal"/>
    <w:link w:val="BodyTextChar"/>
    <w:rPr>
      <w:sz w:val="22"/>
    </w:rPr>
  </w:style>
  <w:style w:type="character" w:customStyle="1" w:styleId="BodyTextChar">
    <w:name w:val="Body Text Char"/>
    <w:link w:val="BodyText"/>
    <w:semiHidden/>
    <w:locked/>
    <w:rsid w:val="00281AFF"/>
    <w:rPr>
      <w:rFonts w:ascii="Arial" w:hAnsi="Arial"/>
      <w:sz w:val="22"/>
      <w:lang w:val="en-GB" w:eastAsia="en-US" w:bidi="ar-SA"/>
    </w:rPr>
  </w:style>
  <w:style w:type="paragraph" w:styleId="BodyText2">
    <w:name w:val="Body Text 2"/>
    <w:basedOn w:val="Normal"/>
    <w:link w:val="BodyText2Char"/>
    <w:rPr>
      <w:sz w:val="18"/>
    </w:rPr>
  </w:style>
  <w:style w:type="character" w:customStyle="1" w:styleId="BodyText2Char">
    <w:name w:val="Body Text 2 Char"/>
    <w:link w:val="BodyText2"/>
    <w:locked/>
    <w:rsid w:val="00281AFF"/>
    <w:rPr>
      <w:rFonts w:ascii="Arial" w:hAnsi="Arial"/>
      <w:sz w:val="18"/>
      <w:lang w:val="en-GB" w:eastAsia="en-US" w:bidi="ar-SA"/>
    </w:rPr>
  </w:style>
  <w:style w:type="paragraph" w:styleId="BodyText3">
    <w:name w:val="Body Text 3"/>
    <w:basedOn w:val="Normal"/>
    <w:rPr>
      <w:b/>
      <w:sz w:val="18"/>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locked/>
    <w:rsid w:val="00281AFF"/>
    <w:rPr>
      <w:rFonts w:ascii="Tahoma" w:hAnsi="Tahoma"/>
      <w:sz w:val="24"/>
      <w:lang w:val="en-GB" w:eastAsia="en-US" w:bidi="ar-SA"/>
    </w:rPr>
  </w:style>
  <w:style w:type="character" w:styleId="PageNumber">
    <w:name w:val="page number"/>
    <w:basedOn w:val="DefaultParagraphFont"/>
  </w:style>
  <w:style w:type="paragraph" w:customStyle="1" w:styleId="Address">
    <w:name w:val="Address"/>
    <w:basedOn w:val="Normal"/>
    <w:pPr>
      <w:keepLines/>
      <w:jc w:val="both"/>
    </w:pPr>
    <w:rPr>
      <w:rFonts w:ascii="Times New Roman" w:hAnsi="Times New Roman"/>
      <w:noProof/>
    </w:rPr>
  </w:style>
  <w:style w:type="character" w:styleId="Hyperlink">
    <w:name w:val="Hyperlink"/>
    <w:rPr>
      <w:color w:val="0000FF"/>
      <w:u w:val="single"/>
    </w:rPr>
  </w:style>
  <w:style w:type="paragraph" w:styleId="BlockText">
    <w:name w:val="Block Text"/>
    <w:basedOn w:val="Normal"/>
    <w:pPr>
      <w:ind w:left="113" w:right="113"/>
    </w:pPr>
    <w:rPr>
      <w:snapToGrid w:val="0"/>
      <w:color w:val="000000"/>
      <w:sz w:val="22"/>
    </w:rPr>
  </w:style>
  <w:style w:type="paragraph" w:customStyle="1" w:styleId="questionnaire">
    <w:name w:val="questionnaire"/>
    <w:pPr>
      <w:widowControl w:val="0"/>
      <w:tabs>
        <w:tab w:val="right" w:pos="680"/>
        <w:tab w:val="left" w:pos="794"/>
        <w:tab w:val="right" w:pos="7513"/>
        <w:tab w:val="left" w:pos="7853"/>
        <w:tab w:val="left" w:pos="8222"/>
        <w:tab w:val="right" w:pos="11057"/>
      </w:tabs>
      <w:suppressAutoHyphens/>
    </w:pPr>
    <w:rPr>
      <w:rFonts w:ascii="Helvetica" w:hAnsi="Helvetica"/>
      <w:lang w:val="en-US" w:eastAsia="en-US"/>
    </w:rPr>
  </w:style>
  <w:style w:type="paragraph" w:customStyle="1" w:styleId="Style2">
    <w:name w:val="Style2"/>
    <w:basedOn w:val="Normal"/>
    <w:autoRedefine/>
    <w:rsid w:val="002C5882"/>
    <w:pPr>
      <w:ind w:left="1026" w:hanging="1026"/>
      <w:outlineLvl w:val="0"/>
    </w:pPr>
    <w:rPr>
      <w:sz w:val="22"/>
    </w:rPr>
  </w:style>
  <w:style w:type="paragraph" w:styleId="Caption">
    <w:name w:val="caption"/>
    <w:basedOn w:val="Normal"/>
    <w:next w:val="Normal"/>
    <w:qFormat/>
    <w:pPr>
      <w:jc w:val="right"/>
    </w:pPr>
    <w:rPr>
      <w:b/>
      <w:sz w:val="22"/>
    </w:rPr>
  </w:style>
  <w:style w:type="paragraph" w:styleId="ListBullet">
    <w:name w:val="List Bullet"/>
    <w:basedOn w:val="Normal"/>
    <w:autoRedefine/>
    <w:rPr>
      <w:sz w:val="20"/>
    </w:rPr>
  </w:style>
  <w:style w:type="paragraph" w:styleId="BalloonText">
    <w:name w:val="Balloon Text"/>
    <w:basedOn w:val="Normal"/>
    <w:link w:val="BalloonTextChar"/>
    <w:semiHidden/>
    <w:rPr>
      <w:rFonts w:ascii="Tahoma" w:hAnsi="Tahoma"/>
      <w:sz w:val="16"/>
    </w:rPr>
  </w:style>
  <w:style w:type="character" w:customStyle="1" w:styleId="BalloonTextChar">
    <w:name w:val="Balloon Text Char"/>
    <w:link w:val="BalloonText"/>
    <w:semiHidden/>
    <w:locked/>
    <w:rsid w:val="00281AFF"/>
    <w:rPr>
      <w:rFonts w:ascii="Tahoma" w:hAnsi="Tahoma"/>
      <w:sz w:val="16"/>
      <w:lang w:val="en-GB" w:eastAsia="en-US" w:bidi="ar-SA"/>
    </w:rPr>
  </w:style>
  <w:style w:type="table" w:styleId="TableGrid">
    <w:name w:val="Table Grid"/>
    <w:basedOn w:val="TableNormal"/>
    <w:rsid w:val="002E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24B0"/>
    <w:pPr>
      <w:tabs>
        <w:tab w:val="left" w:pos="1260"/>
        <w:tab w:val="left" w:pos="1980"/>
        <w:tab w:val="left" w:pos="2700"/>
        <w:tab w:val="left" w:pos="3420"/>
      </w:tabs>
      <w:jc w:val="both"/>
    </w:pPr>
    <w:rPr>
      <w:sz w:val="20"/>
      <w:lang w:eastAsia="en-GB"/>
    </w:rPr>
  </w:style>
  <w:style w:type="character" w:customStyle="1" w:styleId="FootnoteTextChar">
    <w:name w:val="Footnote Text Char"/>
    <w:link w:val="FootnoteText"/>
    <w:semiHidden/>
    <w:locked/>
    <w:rsid w:val="00281AFF"/>
    <w:rPr>
      <w:rFonts w:ascii="Arial" w:hAnsi="Arial"/>
      <w:lang w:val="en-GB" w:eastAsia="en-GB" w:bidi="ar-SA"/>
    </w:rPr>
  </w:style>
  <w:style w:type="character" w:styleId="FootnoteReference">
    <w:name w:val="footnote reference"/>
    <w:semiHidden/>
    <w:rsid w:val="009424B0"/>
    <w:rPr>
      <w:vertAlign w:val="superscript"/>
    </w:rPr>
  </w:style>
  <w:style w:type="paragraph" w:customStyle="1" w:styleId="Default">
    <w:name w:val="Default"/>
    <w:link w:val="DefaultChar"/>
    <w:rsid w:val="00033A75"/>
    <w:pPr>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A10EA9"/>
    <w:rPr>
      <w:rFonts w:ascii="Arial" w:hAnsi="Arial" w:cs="Arial"/>
      <w:color w:val="000000"/>
      <w:sz w:val="24"/>
      <w:szCs w:val="24"/>
      <w:lang w:val="en-GB" w:eastAsia="en-GB" w:bidi="ar-SA"/>
    </w:rPr>
  </w:style>
  <w:style w:type="paragraph" w:customStyle="1" w:styleId="Text">
    <w:name w:val="Text"/>
    <w:basedOn w:val="Normal"/>
    <w:rsid w:val="001058EF"/>
    <w:pPr>
      <w:overflowPunct w:val="0"/>
      <w:autoSpaceDE w:val="0"/>
      <w:autoSpaceDN w:val="0"/>
      <w:adjustRightInd w:val="0"/>
      <w:spacing w:after="220"/>
      <w:jc w:val="both"/>
      <w:textAlignment w:val="baseline"/>
    </w:pPr>
    <w:rPr>
      <w:sz w:val="22"/>
      <w:lang w:eastAsia="en-GB"/>
    </w:rPr>
  </w:style>
  <w:style w:type="paragraph" w:customStyle="1" w:styleId="bullet">
    <w:name w:val="bullet"/>
    <w:basedOn w:val="Normal"/>
    <w:rsid w:val="001058EF"/>
    <w:pPr>
      <w:tabs>
        <w:tab w:val="num" w:pos="360"/>
      </w:tabs>
      <w:ind w:left="360" w:hanging="360"/>
    </w:pPr>
    <w:rPr>
      <w:sz w:val="22"/>
      <w:lang w:eastAsia="en-GB"/>
    </w:rPr>
  </w:style>
  <w:style w:type="paragraph" w:customStyle="1" w:styleId="Cover-Title">
    <w:name w:val="Cover - Title"/>
    <w:basedOn w:val="Normal"/>
    <w:rsid w:val="002C3056"/>
    <w:pPr>
      <w:spacing w:after="240"/>
    </w:pPr>
    <w:rPr>
      <w:rFonts w:cs="Arial"/>
      <w:sz w:val="44"/>
      <w:szCs w:val="44"/>
    </w:rPr>
  </w:style>
  <w:style w:type="paragraph" w:styleId="TOC1">
    <w:name w:val="toc 1"/>
    <w:basedOn w:val="Normal"/>
    <w:next w:val="Normal"/>
    <w:autoRedefine/>
    <w:semiHidden/>
    <w:rsid w:val="002C3056"/>
    <w:pPr>
      <w:tabs>
        <w:tab w:val="right" w:leader="dot" w:pos="8636"/>
      </w:tabs>
      <w:spacing w:after="240"/>
    </w:pPr>
    <w:rPr>
      <w:rFonts w:cs="Arial"/>
      <w:szCs w:val="24"/>
    </w:rPr>
  </w:style>
  <w:style w:type="paragraph" w:styleId="TOC2">
    <w:name w:val="toc 2"/>
    <w:basedOn w:val="Normal"/>
    <w:next w:val="Normal"/>
    <w:autoRedefine/>
    <w:semiHidden/>
    <w:rsid w:val="002C3056"/>
    <w:pPr>
      <w:spacing w:after="240"/>
      <w:ind w:left="240"/>
    </w:pPr>
    <w:rPr>
      <w:rFonts w:cs="Arial"/>
      <w:szCs w:val="24"/>
    </w:rPr>
  </w:style>
  <w:style w:type="paragraph" w:styleId="TableofFigures">
    <w:name w:val="table of figures"/>
    <w:basedOn w:val="Normal"/>
    <w:next w:val="Normal"/>
    <w:semiHidden/>
    <w:rsid w:val="002C3056"/>
    <w:pPr>
      <w:spacing w:after="240"/>
      <w:ind w:left="480" w:hanging="480"/>
    </w:pPr>
    <w:rPr>
      <w:rFonts w:cs="Arial"/>
      <w:szCs w:val="24"/>
    </w:rPr>
  </w:style>
  <w:style w:type="character" w:styleId="FollowedHyperlink">
    <w:name w:val="FollowedHyperlink"/>
    <w:rsid w:val="003A13FD"/>
    <w:rPr>
      <w:color w:val="800080"/>
      <w:u w:val="single"/>
    </w:rPr>
  </w:style>
  <w:style w:type="paragraph" w:customStyle="1" w:styleId="xl22">
    <w:name w:val="xl22"/>
    <w:basedOn w:val="Normal"/>
    <w:rsid w:val="003A13FD"/>
    <w:pPr>
      <w:spacing w:before="100" w:beforeAutospacing="1" w:after="100" w:afterAutospacing="1"/>
    </w:pPr>
    <w:rPr>
      <w:rFonts w:ascii="Times New Roman" w:hAnsi="Times New Roman"/>
      <w:sz w:val="16"/>
      <w:szCs w:val="16"/>
      <w:lang w:eastAsia="en-GB"/>
    </w:rPr>
  </w:style>
  <w:style w:type="paragraph" w:customStyle="1" w:styleId="xl23">
    <w:name w:val="xl23"/>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4">
    <w:name w:val="xl24"/>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eastAsia="en-GB"/>
    </w:rPr>
  </w:style>
  <w:style w:type="paragraph" w:customStyle="1" w:styleId="xl25">
    <w:name w:val="xl25"/>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6">
    <w:name w:val="xl26"/>
    <w:basedOn w:val="Normal"/>
    <w:rsid w:val="003A13F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7">
    <w:name w:val="xl27"/>
    <w:basedOn w:val="Normal"/>
    <w:rsid w:val="003A13FD"/>
    <w:pPr>
      <w:spacing w:before="100" w:beforeAutospacing="1" w:after="100" w:afterAutospacing="1"/>
      <w:jc w:val="right"/>
    </w:pPr>
    <w:rPr>
      <w:rFonts w:ascii="Times New Roman" w:hAnsi="Times New Roman"/>
      <w:sz w:val="16"/>
      <w:szCs w:val="16"/>
      <w:lang w:eastAsia="en-GB"/>
    </w:rPr>
  </w:style>
  <w:style w:type="paragraph" w:customStyle="1" w:styleId="xl28">
    <w:name w:val="xl28"/>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6"/>
      <w:szCs w:val="16"/>
      <w:lang w:eastAsia="en-GB"/>
    </w:rPr>
  </w:style>
  <w:style w:type="paragraph" w:customStyle="1" w:styleId="xl29">
    <w:name w:val="xl29"/>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0">
    <w:name w:val="xl30"/>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n-GB"/>
    </w:rPr>
  </w:style>
  <w:style w:type="paragraph" w:customStyle="1" w:styleId="xl31">
    <w:name w:val="xl31"/>
    <w:basedOn w:val="Normal"/>
    <w:rsid w:val="003A13FD"/>
    <w:pPr>
      <w:spacing w:before="100" w:beforeAutospacing="1" w:after="100" w:afterAutospacing="1"/>
      <w:jc w:val="right"/>
    </w:pPr>
    <w:rPr>
      <w:rFonts w:ascii="Times New Roman" w:hAnsi="Times New Roman"/>
      <w:b/>
      <w:bCs/>
      <w:sz w:val="16"/>
      <w:szCs w:val="16"/>
      <w:lang w:eastAsia="en-GB"/>
    </w:rPr>
  </w:style>
  <w:style w:type="paragraph" w:customStyle="1" w:styleId="xl32">
    <w:name w:val="xl32"/>
    <w:basedOn w:val="Normal"/>
    <w:rsid w:val="003A13FD"/>
    <w:pPr>
      <w:spacing w:before="100" w:beforeAutospacing="1" w:after="100" w:afterAutospacing="1"/>
    </w:pPr>
    <w:rPr>
      <w:rFonts w:ascii="Times New Roman" w:hAnsi="Times New Roman"/>
      <w:b/>
      <w:bCs/>
      <w:sz w:val="16"/>
      <w:szCs w:val="16"/>
      <w:lang w:eastAsia="en-GB"/>
    </w:rPr>
  </w:style>
  <w:style w:type="paragraph" w:customStyle="1" w:styleId="xl33">
    <w:name w:val="xl33"/>
    <w:basedOn w:val="Normal"/>
    <w:rsid w:val="003A13FD"/>
    <w:pPr>
      <w:spacing w:before="100" w:beforeAutospacing="1" w:after="100" w:afterAutospacing="1"/>
      <w:jc w:val="center"/>
    </w:pPr>
    <w:rPr>
      <w:rFonts w:ascii="Times New Roman" w:hAnsi="Times New Roman"/>
      <w:b/>
      <w:bCs/>
      <w:sz w:val="16"/>
      <w:szCs w:val="16"/>
      <w:lang w:eastAsia="en-GB"/>
    </w:rPr>
  </w:style>
  <w:style w:type="paragraph" w:customStyle="1" w:styleId="xl34">
    <w:name w:val="xl34"/>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5">
    <w:name w:val="xl35"/>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36">
    <w:name w:val="xl36"/>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7">
    <w:name w:val="xl37"/>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8">
    <w:name w:val="xl38"/>
    <w:basedOn w:val="Normal"/>
    <w:rsid w:val="003A13FD"/>
    <w:pPr>
      <w:spacing w:before="100" w:beforeAutospacing="1" w:after="100" w:afterAutospacing="1"/>
    </w:pPr>
    <w:rPr>
      <w:rFonts w:cs="Arial"/>
      <w:b/>
      <w:bCs/>
      <w:sz w:val="16"/>
      <w:szCs w:val="16"/>
      <w:lang w:eastAsia="en-GB"/>
    </w:rPr>
  </w:style>
  <w:style w:type="paragraph" w:customStyle="1" w:styleId="xl39">
    <w:name w:val="xl39"/>
    <w:basedOn w:val="Normal"/>
    <w:rsid w:val="003A13FD"/>
    <w:pPr>
      <w:pBdr>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0">
    <w:name w:val="xl40"/>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1">
    <w:name w:val="xl41"/>
    <w:basedOn w:val="Normal"/>
    <w:rsid w:val="003A13FD"/>
    <w:pPr>
      <w:spacing w:before="100" w:beforeAutospacing="1" w:after="100" w:afterAutospacing="1"/>
    </w:pPr>
    <w:rPr>
      <w:rFonts w:ascii="Times New Roman" w:hAnsi="Times New Roman"/>
      <w:b/>
      <w:bCs/>
      <w:szCs w:val="24"/>
      <w:u w:val="single"/>
      <w:lang w:eastAsia="en-GB"/>
    </w:rPr>
  </w:style>
  <w:style w:type="paragraph" w:customStyle="1" w:styleId="xl42">
    <w:name w:val="xl42"/>
    <w:basedOn w:val="Normal"/>
    <w:rsid w:val="003A13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16"/>
      <w:szCs w:val="16"/>
      <w:lang w:eastAsia="en-GB"/>
    </w:rPr>
  </w:style>
  <w:style w:type="character" w:customStyle="1" w:styleId="2Char">
    <w:name w:val="2 Char"/>
    <w:aliases w:val="Level 2 Heading Char"/>
    <w:rsid w:val="00FD1FFC"/>
    <w:rPr>
      <w:rFonts w:ascii="Arial" w:hAnsi="Arial"/>
      <w:b/>
      <w:color w:val="000000"/>
      <w:sz w:val="24"/>
      <w:lang w:val="en-GB" w:eastAsia="en-US" w:bidi="ar-SA"/>
    </w:rPr>
  </w:style>
  <w:style w:type="paragraph" w:customStyle="1" w:styleId="font0">
    <w:name w:val="font0"/>
    <w:basedOn w:val="Normal"/>
    <w:rsid w:val="00801681"/>
    <w:pPr>
      <w:spacing w:before="100" w:beforeAutospacing="1" w:after="100" w:afterAutospacing="1"/>
    </w:pPr>
    <w:rPr>
      <w:rFonts w:cs="Arial"/>
      <w:sz w:val="20"/>
      <w:lang w:eastAsia="en-GB"/>
    </w:rPr>
  </w:style>
  <w:style w:type="paragraph" w:customStyle="1" w:styleId="font5">
    <w:name w:val="font5"/>
    <w:basedOn w:val="Normal"/>
    <w:rsid w:val="00801681"/>
    <w:pPr>
      <w:spacing w:before="100" w:beforeAutospacing="1" w:after="100" w:afterAutospacing="1"/>
    </w:pPr>
    <w:rPr>
      <w:rFonts w:cs="Arial"/>
      <w:sz w:val="20"/>
      <w:lang w:eastAsia="en-GB"/>
    </w:rPr>
  </w:style>
  <w:style w:type="paragraph" w:customStyle="1" w:styleId="xl43">
    <w:name w:val="xl43"/>
    <w:basedOn w:val="Normal"/>
    <w:rsid w:val="00801681"/>
    <w:pPr>
      <w:pBdr>
        <w:left w:val="single" w:sz="4" w:space="0" w:color="auto"/>
        <w:right w:val="single" w:sz="4" w:space="0" w:color="auto"/>
      </w:pBdr>
      <w:spacing w:before="100" w:beforeAutospacing="1" w:after="100" w:afterAutospacing="1"/>
      <w:jc w:val="center"/>
    </w:pPr>
    <w:rPr>
      <w:rFonts w:cs="Arial"/>
      <w:b/>
      <w:bCs/>
      <w:szCs w:val="24"/>
      <w:lang w:eastAsia="en-GB"/>
    </w:rPr>
  </w:style>
  <w:style w:type="paragraph" w:customStyle="1" w:styleId="xl44">
    <w:name w:val="xl44"/>
    <w:basedOn w:val="Normal"/>
    <w:rsid w:val="00801681"/>
    <w:pPr>
      <w:pBdr>
        <w:right w:val="single" w:sz="4" w:space="0" w:color="auto"/>
      </w:pBdr>
      <w:spacing w:before="100" w:beforeAutospacing="1" w:after="100" w:afterAutospacing="1"/>
      <w:jc w:val="center"/>
    </w:pPr>
    <w:rPr>
      <w:rFonts w:cs="Arial"/>
      <w:b/>
      <w:bCs/>
      <w:szCs w:val="24"/>
      <w:lang w:eastAsia="en-GB"/>
    </w:rPr>
  </w:style>
  <w:style w:type="paragraph" w:customStyle="1" w:styleId="xl45">
    <w:name w:val="xl45"/>
    <w:basedOn w:val="Normal"/>
    <w:rsid w:val="00801681"/>
    <w:pPr>
      <w:shd w:val="clear" w:color="auto" w:fill="C0C0C0"/>
      <w:spacing w:before="100" w:beforeAutospacing="1" w:after="100" w:afterAutospacing="1"/>
    </w:pPr>
    <w:rPr>
      <w:rFonts w:ascii="Times New Roman" w:hAnsi="Times New Roman"/>
      <w:szCs w:val="24"/>
      <w:lang w:eastAsia="en-GB"/>
    </w:rPr>
  </w:style>
  <w:style w:type="paragraph" w:customStyle="1" w:styleId="xl47">
    <w:name w:val="xl47"/>
    <w:basedOn w:val="Normal"/>
    <w:rsid w:val="00801681"/>
    <w:pPr>
      <w:spacing w:before="100" w:beforeAutospacing="1" w:after="100" w:afterAutospacing="1"/>
    </w:pPr>
    <w:rPr>
      <w:rFonts w:ascii="Monotype Sorts" w:hAnsi="Monotype Sorts"/>
      <w:szCs w:val="24"/>
      <w:lang w:eastAsia="en-GB"/>
    </w:rPr>
  </w:style>
  <w:style w:type="paragraph" w:customStyle="1" w:styleId="xl48">
    <w:name w:val="xl48"/>
    <w:basedOn w:val="Normal"/>
    <w:rsid w:val="00801681"/>
    <w:pPr>
      <w:spacing w:before="100" w:beforeAutospacing="1" w:after="100" w:afterAutospacing="1"/>
    </w:pPr>
    <w:rPr>
      <w:rFonts w:ascii="Times New Roman" w:hAnsi="Times New Roman"/>
      <w:szCs w:val="24"/>
      <w:lang w:eastAsia="en-GB"/>
    </w:rPr>
  </w:style>
  <w:style w:type="paragraph" w:customStyle="1" w:styleId="xl49">
    <w:name w:val="xl49"/>
    <w:basedOn w:val="Normal"/>
    <w:rsid w:val="00801681"/>
    <w:pPr>
      <w:pBdr>
        <w:top w:val="single" w:sz="8" w:space="0" w:color="auto"/>
        <w:left w:val="single" w:sz="8" w:space="0" w:color="auto"/>
        <w:right w:val="single" w:sz="4" w:space="0" w:color="auto"/>
      </w:pBdr>
      <w:spacing w:before="100" w:beforeAutospacing="1" w:after="100" w:afterAutospacing="1"/>
    </w:pPr>
    <w:rPr>
      <w:rFonts w:cs="Arial"/>
      <w:b/>
      <w:bCs/>
      <w:szCs w:val="24"/>
      <w:lang w:eastAsia="en-GB"/>
    </w:rPr>
  </w:style>
  <w:style w:type="paragraph" w:customStyle="1" w:styleId="xl50">
    <w:name w:val="xl50"/>
    <w:basedOn w:val="Normal"/>
    <w:rsid w:val="00801681"/>
    <w:pPr>
      <w:pBdr>
        <w:left w:val="single" w:sz="8" w:space="0" w:color="auto"/>
        <w:right w:val="single" w:sz="4" w:space="0" w:color="auto"/>
      </w:pBdr>
      <w:spacing w:before="100" w:beforeAutospacing="1" w:after="100" w:afterAutospacing="1"/>
      <w:jc w:val="center"/>
    </w:pPr>
    <w:rPr>
      <w:rFonts w:cs="Arial"/>
      <w:b/>
      <w:bCs/>
      <w:szCs w:val="24"/>
      <w:lang w:eastAsia="en-GB"/>
    </w:rPr>
  </w:style>
  <w:style w:type="paragraph" w:customStyle="1" w:styleId="xl51">
    <w:name w:val="xl51"/>
    <w:basedOn w:val="Normal"/>
    <w:rsid w:val="00801681"/>
    <w:pPr>
      <w:spacing w:before="100" w:beforeAutospacing="1" w:after="100" w:afterAutospacing="1"/>
    </w:pPr>
    <w:rPr>
      <w:rFonts w:cs="Arial"/>
      <w:szCs w:val="24"/>
      <w:lang w:eastAsia="en-GB"/>
    </w:rPr>
  </w:style>
  <w:style w:type="paragraph" w:customStyle="1" w:styleId="xl52">
    <w:name w:val="xl52"/>
    <w:basedOn w:val="Normal"/>
    <w:rsid w:val="00801681"/>
    <w:pPr>
      <w:spacing w:before="100" w:beforeAutospacing="1" w:after="100" w:afterAutospacing="1"/>
    </w:pPr>
    <w:rPr>
      <w:rFonts w:cs="Arial"/>
      <w:szCs w:val="24"/>
      <w:lang w:eastAsia="en-GB"/>
    </w:rPr>
  </w:style>
  <w:style w:type="paragraph" w:customStyle="1" w:styleId="xl53">
    <w:name w:val="xl53"/>
    <w:basedOn w:val="Normal"/>
    <w:rsid w:val="00801681"/>
    <w:pPr>
      <w:spacing w:before="100" w:beforeAutospacing="1" w:after="100" w:afterAutospacing="1"/>
      <w:textAlignment w:val="top"/>
    </w:pPr>
    <w:rPr>
      <w:rFonts w:cs="Arial"/>
      <w:szCs w:val="24"/>
      <w:lang w:eastAsia="en-GB"/>
    </w:rPr>
  </w:style>
  <w:style w:type="paragraph" w:customStyle="1" w:styleId="xl54">
    <w:name w:val="xl54"/>
    <w:basedOn w:val="Normal"/>
    <w:rsid w:val="00801681"/>
    <w:pPr>
      <w:spacing w:before="100" w:beforeAutospacing="1" w:after="100" w:afterAutospacing="1"/>
      <w:jc w:val="center"/>
    </w:pPr>
    <w:rPr>
      <w:rFonts w:ascii="Times New Roman" w:hAnsi="Times New Roman"/>
      <w:szCs w:val="24"/>
      <w:lang w:eastAsia="en-GB"/>
    </w:rPr>
  </w:style>
  <w:style w:type="paragraph" w:customStyle="1" w:styleId="xl55">
    <w:name w:val="xl55"/>
    <w:basedOn w:val="Normal"/>
    <w:rsid w:val="00801681"/>
    <w:pPr>
      <w:spacing w:before="100" w:beforeAutospacing="1" w:after="100" w:afterAutospacing="1"/>
    </w:pPr>
    <w:rPr>
      <w:rFonts w:cs="Arial"/>
      <w:szCs w:val="24"/>
      <w:lang w:eastAsia="en-GB"/>
    </w:rPr>
  </w:style>
  <w:style w:type="paragraph" w:customStyle="1" w:styleId="xl56">
    <w:name w:val="xl56"/>
    <w:basedOn w:val="Normal"/>
    <w:rsid w:val="00801681"/>
    <w:pPr>
      <w:spacing w:before="100" w:beforeAutospacing="1" w:after="100" w:afterAutospacing="1"/>
    </w:pPr>
    <w:rPr>
      <w:rFonts w:cs="Arial"/>
      <w:szCs w:val="24"/>
      <w:lang w:eastAsia="en-GB"/>
    </w:rPr>
  </w:style>
  <w:style w:type="paragraph" w:customStyle="1" w:styleId="xl57">
    <w:name w:val="xl57"/>
    <w:basedOn w:val="Normal"/>
    <w:rsid w:val="00801681"/>
    <w:pPr>
      <w:spacing w:before="100" w:beforeAutospacing="1" w:after="100" w:afterAutospacing="1"/>
      <w:textAlignment w:val="center"/>
    </w:pPr>
    <w:rPr>
      <w:rFonts w:cs="Arial"/>
      <w:szCs w:val="24"/>
      <w:lang w:eastAsia="en-GB"/>
    </w:rPr>
  </w:style>
  <w:style w:type="paragraph" w:customStyle="1" w:styleId="xl58">
    <w:name w:val="xl58"/>
    <w:basedOn w:val="Normal"/>
    <w:rsid w:val="00801681"/>
    <w:pPr>
      <w:spacing w:before="100" w:beforeAutospacing="1" w:after="100" w:afterAutospacing="1"/>
      <w:textAlignment w:val="center"/>
    </w:pPr>
    <w:rPr>
      <w:rFonts w:cs="Arial"/>
      <w:szCs w:val="24"/>
      <w:lang w:eastAsia="en-GB"/>
    </w:rPr>
  </w:style>
  <w:style w:type="paragraph" w:customStyle="1" w:styleId="xl59">
    <w:name w:val="xl59"/>
    <w:basedOn w:val="Normal"/>
    <w:rsid w:val="00801681"/>
    <w:pPr>
      <w:spacing w:before="100" w:beforeAutospacing="1" w:after="100" w:afterAutospacing="1"/>
      <w:textAlignment w:val="center"/>
    </w:pPr>
    <w:rPr>
      <w:rFonts w:cs="Arial"/>
      <w:szCs w:val="24"/>
      <w:lang w:eastAsia="en-GB"/>
    </w:rPr>
  </w:style>
  <w:style w:type="paragraph" w:customStyle="1" w:styleId="xl60">
    <w:name w:val="xl60"/>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1">
    <w:name w:val="xl61"/>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2">
    <w:name w:val="xl62"/>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3">
    <w:name w:val="xl63"/>
    <w:basedOn w:val="Normal"/>
    <w:rsid w:val="00801681"/>
    <w:pPr>
      <w:spacing w:before="100" w:beforeAutospacing="1" w:after="100" w:afterAutospacing="1"/>
      <w:jc w:val="center"/>
      <w:textAlignment w:val="center"/>
    </w:pPr>
    <w:rPr>
      <w:rFonts w:ascii="Times New Roman" w:hAnsi="Times New Roman"/>
      <w:szCs w:val="24"/>
      <w:lang w:eastAsia="en-GB"/>
    </w:rPr>
  </w:style>
  <w:style w:type="paragraph" w:customStyle="1" w:styleId="xl64">
    <w:name w:val="xl64"/>
    <w:basedOn w:val="Normal"/>
    <w:rsid w:val="00801681"/>
    <w:pPr>
      <w:spacing w:before="100" w:beforeAutospacing="1" w:after="100" w:afterAutospacing="1"/>
      <w:textAlignment w:val="center"/>
    </w:pPr>
    <w:rPr>
      <w:rFonts w:ascii="Monotype Sorts" w:hAnsi="Monotype Sorts"/>
      <w:szCs w:val="24"/>
      <w:lang w:eastAsia="en-GB"/>
    </w:rPr>
  </w:style>
  <w:style w:type="paragraph" w:customStyle="1" w:styleId="xl65">
    <w:name w:val="xl65"/>
    <w:basedOn w:val="Normal"/>
    <w:rsid w:val="00801681"/>
    <w:pPr>
      <w:spacing w:before="100" w:beforeAutospacing="1" w:after="100" w:afterAutospacing="1"/>
    </w:pPr>
    <w:rPr>
      <w:rFonts w:ascii="Times New Roman" w:hAnsi="Times New Roman"/>
      <w:szCs w:val="24"/>
      <w:lang w:eastAsia="en-GB"/>
    </w:rPr>
  </w:style>
  <w:style w:type="paragraph" w:customStyle="1" w:styleId="xl66">
    <w:name w:val="xl66"/>
    <w:basedOn w:val="Normal"/>
    <w:rsid w:val="00801681"/>
    <w:pPr>
      <w:spacing w:before="100" w:beforeAutospacing="1" w:after="100" w:afterAutospacing="1"/>
    </w:pPr>
    <w:rPr>
      <w:rFonts w:ascii="Times New Roman" w:hAnsi="Times New Roman"/>
      <w:color w:val="C0C0C0"/>
      <w:szCs w:val="24"/>
      <w:lang w:eastAsia="en-GB"/>
    </w:rPr>
  </w:style>
  <w:style w:type="paragraph" w:customStyle="1" w:styleId="xl67">
    <w:name w:val="xl67"/>
    <w:basedOn w:val="Normal"/>
    <w:rsid w:val="00801681"/>
    <w:pPr>
      <w:spacing w:before="100" w:beforeAutospacing="1" w:after="100" w:afterAutospacing="1"/>
    </w:pPr>
    <w:rPr>
      <w:rFonts w:ascii="Wingdings 2" w:hAnsi="Wingdings 2"/>
      <w:szCs w:val="24"/>
      <w:lang w:eastAsia="en-GB"/>
    </w:rPr>
  </w:style>
  <w:style w:type="paragraph" w:customStyle="1" w:styleId="xl68">
    <w:name w:val="xl68"/>
    <w:basedOn w:val="Normal"/>
    <w:rsid w:val="00801681"/>
    <w:pPr>
      <w:spacing w:before="100" w:beforeAutospacing="1" w:after="100" w:afterAutospacing="1"/>
      <w:textAlignment w:val="top"/>
    </w:pPr>
    <w:rPr>
      <w:rFonts w:ascii="Times New Roman" w:hAnsi="Times New Roman"/>
      <w:szCs w:val="24"/>
      <w:lang w:eastAsia="en-GB"/>
    </w:rPr>
  </w:style>
  <w:style w:type="paragraph" w:customStyle="1" w:styleId="xl69">
    <w:name w:val="xl69"/>
    <w:basedOn w:val="Normal"/>
    <w:rsid w:val="00801681"/>
    <w:pPr>
      <w:spacing w:before="100" w:beforeAutospacing="1" w:after="100" w:afterAutospacing="1"/>
      <w:textAlignment w:val="center"/>
    </w:pPr>
    <w:rPr>
      <w:rFonts w:ascii="Wingdings 2" w:hAnsi="Wingdings 2"/>
      <w:szCs w:val="24"/>
      <w:lang w:eastAsia="en-GB"/>
    </w:rPr>
  </w:style>
  <w:style w:type="paragraph" w:customStyle="1" w:styleId="xl70">
    <w:name w:val="xl70"/>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71">
    <w:name w:val="xl71"/>
    <w:basedOn w:val="Normal"/>
    <w:rsid w:val="00801681"/>
    <w:pPr>
      <w:spacing w:before="100" w:beforeAutospacing="1" w:after="100" w:afterAutospacing="1"/>
      <w:jc w:val="center"/>
      <w:textAlignment w:val="center"/>
    </w:pPr>
    <w:rPr>
      <w:rFonts w:ascii="Times New Roman" w:hAnsi="Times New Roman"/>
      <w:szCs w:val="24"/>
      <w:lang w:eastAsia="en-GB"/>
    </w:rPr>
  </w:style>
  <w:style w:type="paragraph" w:customStyle="1" w:styleId="xl72">
    <w:name w:val="xl72"/>
    <w:basedOn w:val="Normal"/>
    <w:rsid w:val="00801681"/>
    <w:pPr>
      <w:spacing w:before="100" w:beforeAutospacing="1" w:after="100" w:afterAutospacing="1"/>
      <w:jc w:val="right"/>
    </w:pPr>
    <w:rPr>
      <w:rFonts w:ascii="Times New Roman" w:hAnsi="Times New Roman"/>
      <w:szCs w:val="24"/>
      <w:lang w:eastAsia="en-GB"/>
    </w:rPr>
  </w:style>
  <w:style w:type="paragraph" w:customStyle="1" w:styleId="xl73">
    <w:name w:val="xl73"/>
    <w:basedOn w:val="Normal"/>
    <w:rsid w:val="00801681"/>
    <w:pPr>
      <w:spacing w:before="100" w:beforeAutospacing="1" w:after="100" w:afterAutospacing="1"/>
    </w:pPr>
    <w:rPr>
      <w:rFonts w:ascii="Times New Roman" w:hAnsi="Times New Roman"/>
      <w:color w:val="0000FF"/>
      <w:szCs w:val="24"/>
      <w:lang w:eastAsia="en-GB"/>
    </w:rPr>
  </w:style>
  <w:style w:type="paragraph" w:customStyle="1" w:styleId="xl74">
    <w:name w:val="xl74"/>
    <w:basedOn w:val="Normal"/>
    <w:rsid w:val="00801681"/>
    <w:pPr>
      <w:spacing w:before="100" w:beforeAutospacing="1" w:after="100" w:afterAutospacing="1"/>
    </w:pPr>
    <w:rPr>
      <w:rFonts w:ascii="Times New Roman" w:hAnsi="Times New Roman"/>
      <w:szCs w:val="24"/>
      <w:lang w:eastAsia="en-GB"/>
    </w:rPr>
  </w:style>
  <w:style w:type="paragraph" w:customStyle="1" w:styleId="xl75">
    <w:name w:val="xl75"/>
    <w:basedOn w:val="Normal"/>
    <w:rsid w:val="00801681"/>
    <w:pPr>
      <w:spacing w:before="100" w:beforeAutospacing="1" w:after="100" w:afterAutospacing="1"/>
    </w:pPr>
    <w:rPr>
      <w:rFonts w:ascii="Wingdings" w:hAnsi="Wingdings"/>
      <w:szCs w:val="24"/>
      <w:lang w:eastAsia="en-GB"/>
    </w:rPr>
  </w:style>
  <w:style w:type="paragraph" w:customStyle="1" w:styleId="xl76">
    <w:name w:val="xl76"/>
    <w:basedOn w:val="Normal"/>
    <w:rsid w:val="00801681"/>
    <w:pPr>
      <w:spacing w:before="100" w:beforeAutospacing="1" w:after="100" w:afterAutospacing="1"/>
    </w:pPr>
    <w:rPr>
      <w:rFonts w:cs="Arial"/>
      <w:szCs w:val="24"/>
      <w:lang w:eastAsia="en-GB"/>
    </w:rPr>
  </w:style>
  <w:style w:type="paragraph" w:customStyle="1" w:styleId="xl77">
    <w:name w:val="xl77"/>
    <w:basedOn w:val="Normal"/>
    <w:rsid w:val="00801681"/>
    <w:pPr>
      <w:shd w:val="clear" w:color="auto" w:fill="C0C0C0"/>
      <w:spacing w:before="100" w:beforeAutospacing="1" w:after="100" w:afterAutospacing="1"/>
    </w:pPr>
    <w:rPr>
      <w:rFonts w:ascii="Wingdings" w:hAnsi="Wingdings"/>
      <w:szCs w:val="24"/>
      <w:lang w:eastAsia="en-GB"/>
    </w:rPr>
  </w:style>
  <w:style w:type="paragraph" w:customStyle="1" w:styleId="xl78">
    <w:name w:val="xl78"/>
    <w:basedOn w:val="Normal"/>
    <w:rsid w:val="00801681"/>
    <w:pPr>
      <w:shd w:val="clear" w:color="auto" w:fill="C0C0C0"/>
      <w:spacing w:before="100" w:beforeAutospacing="1" w:after="100" w:afterAutospacing="1"/>
    </w:pPr>
    <w:rPr>
      <w:rFonts w:ascii="Times New Roman" w:hAnsi="Times New Roman"/>
      <w:szCs w:val="24"/>
      <w:lang w:eastAsia="en-GB"/>
    </w:rPr>
  </w:style>
  <w:style w:type="paragraph" w:customStyle="1" w:styleId="xl79">
    <w:name w:val="xl79"/>
    <w:basedOn w:val="Normal"/>
    <w:rsid w:val="00801681"/>
    <w:pPr>
      <w:shd w:val="clear" w:color="auto" w:fill="C0C0C0"/>
      <w:spacing w:before="100" w:beforeAutospacing="1" w:after="100" w:afterAutospacing="1"/>
    </w:pPr>
    <w:rPr>
      <w:rFonts w:cs="Arial"/>
      <w:szCs w:val="24"/>
      <w:lang w:eastAsia="en-GB"/>
    </w:rPr>
  </w:style>
  <w:style w:type="paragraph" w:customStyle="1" w:styleId="xl80">
    <w:name w:val="xl80"/>
    <w:basedOn w:val="Normal"/>
    <w:rsid w:val="00801681"/>
    <w:pPr>
      <w:spacing w:before="100" w:beforeAutospacing="1" w:after="100" w:afterAutospacing="1"/>
      <w:textAlignment w:val="center"/>
    </w:pPr>
    <w:rPr>
      <w:rFonts w:cs="Arial"/>
      <w:sz w:val="22"/>
      <w:szCs w:val="22"/>
      <w:lang w:eastAsia="en-GB"/>
    </w:rPr>
  </w:style>
  <w:style w:type="paragraph" w:customStyle="1" w:styleId="xl81">
    <w:name w:val="xl81"/>
    <w:basedOn w:val="Normal"/>
    <w:rsid w:val="00801681"/>
    <w:pPr>
      <w:spacing w:before="100" w:beforeAutospacing="1" w:after="100" w:afterAutospacing="1"/>
    </w:pPr>
    <w:rPr>
      <w:rFonts w:cs="Arial"/>
      <w:sz w:val="22"/>
      <w:szCs w:val="22"/>
      <w:lang w:eastAsia="en-GB"/>
    </w:rPr>
  </w:style>
  <w:style w:type="paragraph" w:customStyle="1" w:styleId="xl82">
    <w:name w:val="xl82"/>
    <w:basedOn w:val="Normal"/>
    <w:rsid w:val="00801681"/>
    <w:pPr>
      <w:spacing w:before="100" w:beforeAutospacing="1" w:after="100" w:afterAutospacing="1"/>
    </w:pPr>
    <w:rPr>
      <w:rFonts w:ascii="Times New Roman" w:hAnsi="Times New Roman"/>
      <w:szCs w:val="24"/>
      <w:lang w:eastAsia="en-GB"/>
    </w:rPr>
  </w:style>
  <w:style w:type="paragraph" w:customStyle="1" w:styleId="xl83">
    <w:name w:val="xl83"/>
    <w:basedOn w:val="Normal"/>
    <w:rsid w:val="00801681"/>
    <w:pPr>
      <w:spacing w:before="100" w:beforeAutospacing="1" w:after="100" w:afterAutospacing="1"/>
      <w:jc w:val="center"/>
    </w:pPr>
    <w:rPr>
      <w:rFonts w:ascii="Times New Roman" w:hAnsi="Times New Roman"/>
      <w:szCs w:val="24"/>
      <w:lang w:eastAsia="en-GB"/>
    </w:rPr>
  </w:style>
  <w:style w:type="paragraph" w:styleId="NormalWeb">
    <w:name w:val="Normal (Web)"/>
    <w:basedOn w:val="Normal"/>
    <w:rsid w:val="00F8311D"/>
    <w:pPr>
      <w:spacing w:before="100" w:beforeAutospacing="1" w:after="100" w:afterAutospacing="1"/>
    </w:pPr>
    <w:rPr>
      <w:rFonts w:ascii="Times New Roman" w:hAnsi="Times New Roman"/>
      <w:szCs w:val="24"/>
      <w:lang w:eastAsia="en-GB"/>
    </w:rPr>
  </w:style>
  <w:style w:type="character" w:styleId="Emphasis">
    <w:name w:val="Emphasis"/>
    <w:qFormat/>
    <w:rsid w:val="00F8311D"/>
    <w:rPr>
      <w:i/>
      <w:iCs/>
    </w:rPr>
  </w:style>
  <w:style w:type="paragraph" w:customStyle="1" w:styleId="Body">
    <w:name w:val="Body"/>
    <w:basedOn w:val="Normal"/>
    <w:rsid w:val="00F33006"/>
    <w:pPr>
      <w:spacing w:after="160"/>
      <w:ind w:left="720" w:right="720"/>
      <w:jc w:val="both"/>
    </w:pPr>
    <w:rPr>
      <w:rFonts w:ascii="Century Schoolbook" w:hAnsi="Century Schoolbook"/>
      <w:lang w:eastAsia="en-GB"/>
    </w:rPr>
  </w:style>
  <w:style w:type="paragraph" w:customStyle="1" w:styleId="Body3">
    <w:name w:val="Body 3"/>
    <w:basedOn w:val="Body"/>
    <w:rsid w:val="00F33006"/>
    <w:pPr>
      <w:spacing w:after="240"/>
      <w:ind w:left="1701" w:right="0"/>
    </w:pPr>
    <w:rPr>
      <w:rFonts w:ascii="Arial" w:hAnsi="Arial" w:cs="Arial"/>
      <w:sz w:val="20"/>
    </w:rPr>
  </w:style>
  <w:style w:type="paragraph" w:customStyle="1" w:styleId="Body0">
    <w:name w:val="Body*"/>
    <w:rsid w:val="00DF604C"/>
    <w:pPr>
      <w:keepLines/>
      <w:spacing w:line="320" w:lineRule="exact"/>
      <w:ind w:right="850"/>
      <w:jc w:val="both"/>
    </w:pPr>
    <w:rPr>
      <w:rFonts w:ascii="Perpetua" w:hAnsi="Perpetua"/>
      <w:noProof/>
      <w:sz w:val="26"/>
    </w:rPr>
  </w:style>
  <w:style w:type="paragraph" w:customStyle="1" w:styleId="Bullet1">
    <w:name w:val="Bullet 1"/>
    <w:basedOn w:val="Normal"/>
    <w:link w:val="Bullet1Char"/>
    <w:rsid w:val="006E5226"/>
    <w:pPr>
      <w:keepLines/>
      <w:tabs>
        <w:tab w:val="num" w:pos="794"/>
      </w:tabs>
      <w:spacing w:before="100"/>
      <w:ind w:left="794" w:hanging="397"/>
    </w:pPr>
    <w:rPr>
      <w:szCs w:val="24"/>
      <w:lang w:eastAsia="en-GB"/>
    </w:rPr>
  </w:style>
  <w:style w:type="character" w:customStyle="1" w:styleId="Bullet1Char">
    <w:name w:val="Bullet 1 Char"/>
    <w:link w:val="Bullet1"/>
    <w:rsid w:val="006E5226"/>
    <w:rPr>
      <w:rFonts w:ascii="Arial" w:hAnsi="Arial"/>
      <w:sz w:val="24"/>
      <w:szCs w:val="24"/>
    </w:rPr>
  </w:style>
  <w:style w:type="paragraph" w:styleId="TOC3">
    <w:name w:val="toc 3"/>
    <w:basedOn w:val="Normal"/>
    <w:next w:val="Normal"/>
    <w:autoRedefine/>
    <w:semiHidden/>
    <w:rsid w:val="005B7B3D"/>
    <w:pPr>
      <w:ind w:left="480"/>
    </w:pPr>
  </w:style>
  <w:style w:type="paragraph" w:styleId="ListParagraph">
    <w:name w:val="List Paragraph"/>
    <w:basedOn w:val="Normal"/>
    <w:qFormat/>
    <w:rsid w:val="005B7B3D"/>
    <w:pPr>
      <w:ind w:left="720"/>
      <w:contextualSpacing/>
    </w:pPr>
    <w:rPr>
      <w:rFonts w:ascii="Times New Roman" w:eastAsia="Calibri" w:hAnsi="Times New Roman"/>
      <w:szCs w:val="24"/>
      <w:lang w:eastAsia="en-GB"/>
    </w:rPr>
  </w:style>
  <w:style w:type="paragraph" w:styleId="NoSpacing">
    <w:name w:val="No Spacing"/>
    <w:link w:val="NoSpacingChar"/>
    <w:qFormat/>
    <w:rsid w:val="005B7B3D"/>
    <w:rPr>
      <w:rFonts w:ascii="Calibri" w:eastAsia="Calibri" w:hAnsi="Calibri"/>
      <w:sz w:val="22"/>
      <w:szCs w:val="22"/>
      <w:lang w:val="en-US" w:eastAsia="en-US"/>
    </w:rPr>
  </w:style>
  <w:style w:type="character" w:customStyle="1" w:styleId="NoSpacingChar">
    <w:name w:val="No Spacing Char"/>
    <w:link w:val="NoSpacing"/>
    <w:locked/>
    <w:rsid w:val="005B7B3D"/>
    <w:rPr>
      <w:rFonts w:ascii="Calibri" w:eastAsia="Calibri" w:hAnsi="Calibri"/>
      <w:sz w:val="22"/>
      <w:szCs w:val="22"/>
      <w:lang w:val="en-US" w:eastAsia="en-US" w:bidi="ar-SA"/>
    </w:rPr>
  </w:style>
  <w:style w:type="paragraph" w:styleId="TOCHeading">
    <w:name w:val="TOC Heading"/>
    <w:basedOn w:val="Heading1"/>
    <w:next w:val="Normal"/>
    <w:qFormat/>
    <w:rsid w:val="005B7B3D"/>
    <w:pPr>
      <w:keepLines/>
      <w:spacing w:before="480" w:line="276" w:lineRule="auto"/>
      <w:ind w:left="0" w:firstLine="0"/>
      <w:jc w:val="left"/>
      <w:outlineLvl w:val="9"/>
    </w:pPr>
    <w:rPr>
      <w:rFonts w:ascii="Cambria" w:eastAsia="Calibri" w:hAnsi="Cambria"/>
      <w:bCs/>
      <w:color w:val="365F91"/>
      <w:sz w:val="28"/>
      <w:szCs w:val="28"/>
      <w:lang w:val="en-US"/>
    </w:rPr>
  </w:style>
  <w:style w:type="paragraph" w:customStyle="1" w:styleId="Bullets">
    <w:name w:val="Bullets"/>
    <w:basedOn w:val="BodyText"/>
    <w:rsid w:val="005B7B3D"/>
    <w:pPr>
      <w:tabs>
        <w:tab w:val="left" w:pos="648"/>
        <w:tab w:val="left" w:pos="936"/>
      </w:tabs>
      <w:spacing w:after="360"/>
      <w:jc w:val="both"/>
    </w:pPr>
    <w:rPr>
      <w:rFonts w:ascii="Garamond" w:eastAsia="Calibri" w:hAnsi="Garamond"/>
      <w:sz w:val="24"/>
      <w:lang w:eastAsia="en-GB"/>
    </w:rPr>
  </w:style>
  <w:style w:type="paragraph" w:styleId="CommentText">
    <w:name w:val="annotation text"/>
    <w:basedOn w:val="Normal"/>
    <w:semiHidden/>
    <w:rsid w:val="005334B3"/>
    <w:rPr>
      <w:sz w:val="20"/>
    </w:rPr>
  </w:style>
  <w:style w:type="character" w:customStyle="1" w:styleId="Heading2Char">
    <w:name w:val="Heading 2 Char"/>
    <w:locked/>
    <w:rsid w:val="00281AFF"/>
    <w:rPr>
      <w:rFonts w:ascii="Arial" w:hAnsi="Arial" w:cs="Arial"/>
      <w:b/>
      <w:bCs/>
      <w:i/>
      <w:iCs/>
      <w:sz w:val="28"/>
      <w:szCs w:val="28"/>
      <w:lang w:val="x-none" w:eastAsia="en-GB"/>
    </w:rPr>
  </w:style>
  <w:style w:type="table" w:customStyle="1" w:styleId="ColorfulShading-Accent41">
    <w:name w:val="Colorful Shading - Accent 41"/>
    <w:rsid w:val="00281AFF"/>
    <w:rPr>
      <w:rFonts w:ascii="Calibri" w:hAnsi="Calibri"/>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Grid-Accent41">
    <w:name w:val="Colorful Grid - Accent 41"/>
    <w:rsid w:val="00281AF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List-Accent11">
    <w:name w:val="Colorful List - Accent 11"/>
    <w:rsid w:val="00281AFF"/>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MediumShading2-Accent21">
    <w:name w:val="Medium Shading 2 - Accent 21"/>
    <w:rsid w:val="00281AF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ColorfulGrid-Accent11">
    <w:name w:val="Colorful Grid - Accent 11"/>
    <w:rsid w:val="00281AF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maf">
    <w:name w:val="maf"/>
    <w:basedOn w:val="Default"/>
    <w:next w:val="Default"/>
    <w:rsid w:val="00281AFF"/>
    <w:rPr>
      <w:rFonts w:ascii="Times New Roman" w:eastAsia="Calibri" w:hAnsi="Times New Roman" w:cs="Times New Roman"/>
      <w:color w:val="auto"/>
      <w:lang w:val="en-US" w:eastAsia="en-US"/>
    </w:rPr>
  </w:style>
  <w:style w:type="character" w:customStyle="1" w:styleId="Hyperlink8">
    <w:name w:val="Hyperlink8"/>
    <w:rsid w:val="00281AFF"/>
    <w:rPr>
      <w:rFonts w:cs="Times New Roman"/>
      <w:b/>
      <w:bCs/>
      <w:color w:val="336699"/>
      <w:u w:val="none"/>
      <w:effect w:val="none"/>
    </w:rPr>
  </w:style>
  <w:style w:type="paragraph" w:customStyle="1" w:styleId="Question">
    <w:name w:val="Question"/>
    <w:basedOn w:val="Normal"/>
    <w:rsid w:val="00281AFF"/>
    <w:pPr>
      <w:tabs>
        <w:tab w:val="num" w:pos="709"/>
      </w:tabs>
      <w:spacing w:before="160" w:after="100"/>
      <w:ind w:left="709" w:hanging="567"/>
    </w:pPr>
    <w:rPr>
      <w:rFonts w:eastAsia="Calibri"/>
      <w:b/>
      <w:sz w:val="21"/>
    </w:rPr>
  </w:style>
  <w:style w:type="paragraph" w:customStyle="1" w:styleId="Section">
    <w:name w:val="Section"/>
    <w:basedOn w:val="Question"/>
    <w:rsid w:val="00281AFF"/>
    <w:pPr>
      <w:spacing w:before="360" w:after="0"/>
    </w:pPr>
    <w:rPr>
      <w:caps/>
      <w:sz w:val="25"/>
    </w:rPr>
  </w:style>
  <w:style w:type="paragraph" w:customStyle="1" w:styleId="QuestionFollowup">
    <w:name w:val="Question Followup"/>
    <w:basedOn w:val="Question"/>
    <w:rsid w:val="00281AFF"/>
    <w:pPr>
      <w:numPr>
        <w:ilvl w:val="2"/>
      </w:numPr>
      <w:tabs>
        <w:tab w:val="num" w:pos="709"/>
      </w:tabs>
      <w:ind w:left="709" w:hanging="567"/>
    </w:pPr>
  </w:style>
  <w:style w:type="paragraph" w:customStyle="1" w:styleId="Appendixhead">
    <w:name w:val="Appendix head"/>
    <w:basedOn w:val="Heading1"/>
    <w:next w:val="Normal"/>
    <w:rsid w:val="00281AFF"/>
    <w:pPr>
      <w:keepNext w:val="0"/>
      <w:pageBreakBefore/>
      <w:tabs>
        <w:tab w:val="left" w:pos="1021"/>
        <w:tab w:val="num" w:pos="1800"/>
      </w:tabs>
      <w:spacing w:after="1080"/>
      <w:ind w:left="431" w:hanging="431"/>
      <w:jc w:val="both"/>
      <w:outlineLvl w:val="9"/>
    </w:pPr>
    <w:rPr>
      <w:rFonts w:ascii="Verdana" w:eastAsia="Calibri" w:hAnsi="Verdana"/>
      <w:kern w:val="28"/>
      <w:sz w:val="32"/>
      <w:szCs w:val="24"/>
    </w:rPr>
  </w:style>
  <w:style w:type="paragraph" w:customStyle="1" w:styleId="Appendixtext">
    <w:name w:val="Appendix text"/>
    <w:basedOn w:val="Heading2"/>
    <w:rsid w:val="00281AFF"/>
    <w:pPr>
      <w:keepNext w:val="0"/>
      <w:keepLines/>
      <w:tabs>
        <w:tab w:val="num" w:pos="576"/>
        <w:tab w:val="left" w:pos="1021"/>
        <w:tab w:val="num" w:pos="1152"/>
      </w:tabs>
      <w:spacing w:before="240" w:after="60"/>
      <w:ind w:left="578" w:hanging="578"/>
      <w:jc w:val="both"/>
    </w:pPr>
    <w:rPr>
      <w:rFonts w:ascii="Verdana" w:eastAsia="Calibri" w:hAnsi="Verdana" w:cs="Arial"/>
      <w:b w:val="0"/>
      <w:bCs/>
      <w:iCs/>
      <w:color w:val="auto"/>
      <w:sz w:val="22"/>
      <w:szCs w:val="28"/>
      <w:lang w:val="en-US"/>
    </w:rPr>
  </w:style>
  <w:style w:type="paragraph" w:customStyle="1" w:styleId="bulletscs1">
    <w:name w:val="bullet scs1"/>
    <w:basedOn w:val="Normal"/>
    <w:rsid w:val="00281AFF"/>
    <w:pPr>
      <w:tabs>
        <w:tab w:val="left" w:pos="907"/>
      </w:tabs>
      <w:spacing w:after="120"/>
      <w:ind w:right="658"/>
    </w:pPr>
    <w:rPr>
      <w:rFonts w:eastAsia="Calibri"/>
      <w:sz w:val="22"/>
      <w:szCs w:val="24"/>
    </w:rPr>
  </w:style>
  <w:style w:type="paragraph" w:customStyle="1" w:styleId="wfxRecipient">
    <w:name w:val="wfxRecipient"/>
    <w:basedOn w:val="Normal"/>
    <w:rsid w:val="00281AFF"/>
    <w:rPr>
      <w:rFonts w:ascii="Times New Roman" w:eastAsia="Calibri" w:hAnsi="Times New Roman"/>
      <w:szCs w:val="24"/>
    </w:rPr>
  </w:style>
  <w:style w:type="paragraph" w:customStyle="1" w:styleId="Tabledata">
    <w:name w:val="Table data"/>
    <w:basedOn w:val="Normal"/>
    <w:rsid w:val="00281AFF"/>
    <w:pPr>
      <w:ind w:right="113"/>
      <w:jc w:val="right"/>
    </w:pPr>
    <w:rPr>
      <w:rFonts w:eastAsia="Calibri"/>
      <w:color w:val="000000"/>
      <w:sz w:val="22"/>
      <w:szCs w:val="24"/>
    </w:rPr>
  </w:style>
  <w:style w:type="paragraph" w:customStyle="1" w:styleId="Appendixhead2">
    <w:name w:val="Appendixhead2"/>
    <w:basedOn w:val="Heading2"/>
    <w:rsid w:val="00281AFF"/>
    <w:pPr>
      <w:keepNext w:val="0"/>
      <w:keepLines/>
      <w:tabs>
        <w:tab w:val="left" w:pos="1021"/>
      </w:tabs>
      <w:spacing w:before="120" w:after="120"/>
      <w:ind w:left="142" w:hanging="708"/>
      <w:jc w:val="both"/>
      <w:outlineLvl w:val="9"/>
    </w:pPr>
    <w:rPr>
      <w:rFonts w:ascii="Verdana" w:eastAsia="Calibri" w:hAnsi="Verdana"/>
      <w:b w:val="0"/>
      <w:i/>
      <w:noProof/>
      <w:color w:val="auto"/>
      <w:sz w:val="24"/>
      <w:szCs w:val="24"/>
      <w:u w:val="single"/>
      <w:lang w:val="en-US"/>
    </w:rPr>
  </w:style>
  <w:style w:type="paragraph" w:customStyle="1" w:styleId="TABLEHEADING">
    <w:name w:val="TABLE HEADING"/>
    <w:basedOn w:val="Normal"/>
    <w:rsid w:val="00281AFF"/>
    <w:rPr>
      <w:rFonts w:ascii="Times New Roman" w:eastAsia="Calibri" w:hAnsi="Times New Roman"/>
      <w:b/>
      <w:szCs w:val="24"/>
    </w:rPr>
  </w:style>
  <w:style w:type="paragraph" w:customStyle="1" w:styleId="cncont">
    <w:name w:val="cn_cont"/>
    <w:basedOn w:val="Normal"/>
    <w:rsid w:val="00281AFF"/>
    <w:pPr>
      <w:spacing w:before="100" w:beforeAutospacing="1" w:after="100" w:afterAutospacing="1"/>
    </w:pPr>
    <w:rPr>
      <w:rFonts w:ascii="Verdana" w:eastAsia="Calibri" w:hAnsi="Verdana"/>
      <w:color w:val="000066"/>
      <w:sz w:val="18"/>
      <w:szCs w:val="18"/>
      <w:lang w:val="en-US"/>
    </w:rPr>
  </w:style>
  <w:style w:type="paragraph" w:styleId="TOC4">
    <w:name w:val="toc 4"/>
    <w:basedOn w:val="Normal"/>
    <w:next w:val="Normal"/>
    <w:autoRedefine/>
    <w:rsid w:val="00281AFF"/>
    <w:pPr>
      <w:spacing w:after="100" w:line="276" w:lineRule="auto"/>
      <w:ind w:left="660"/>
    </w:pPr>
    <w:rPr>
      <w:rFonts w:ascii="Calibri" w:eastAsia="Calibri" w:hAnsi="Calibri"/>
      <w:sz w:val="22"/>
      <w:szCs w:val="22"/>
      <w:lang w:eastAsia="en-GB"/>
    </w:rPr>
  </w:style>
  <w:style w:type="paragraph" w:styleId="TOC5">
    <w:name w:val="toc 5"/>
    <w:basedOn w:val="Normal"/>
    <w:next w:val="Normal"/>
    <w:autoRedefine/>
    <w:rsid w:val="00281AFF"/>
    <w:pPr>
      <w:spacing w:after="100" w:line="276" w:lineRule="auto"/>
      <w:ind w:left="880"/>
    </w:pPr>
    <w:rPr>
      <w:rFonts w:ascii="Calibri" w:eastAsia="Calibri" w:hAnsi="Calibri"/>
      <w:sz w:val="22"/>
      <w:szCs w:val="22"/>
      <w:lang w:eastAsia="en-GB"/>
    </w:rPr>
  </w:style>
  <w:style w:type="paragraph" w:styleId="TOC6">
    <w:name w:val="toc 6"/>
    <w:basedOn w:val="Normal"/>
    <w:next w:val="Normal"/>
    <w:autoRedefine/>
    <w:rsid w:val="00281AFF"/>
    <w:pPr>
      <w:spacing w:after="100" w:line="276" w:lineRule="auto"/>
      <w:ind w:left="1100"/>
    </w:pPr>
    <w:rPr>
      <w:rFonts w:ascii="Calibri" w:eastAsia="Calibri" w:hAnsi="Calibri"/>
      <w:sz w:val="22"/>
      <w:szCs w:val="22"/>
      <w:lang w:eastAsia="en-GB"/>
    </w:rPr>
  </w:style>
  <w:style w:type="paragraph" w:styleId="TOC7">
    <w:name w:val="toc 7"/>
    <w:basedOn w:val="Normal"/>
    <w:next w:val="Normal"/>
    <w:autoRedefine/>
    <w:rsid w:val="00281AFF"/>
    <w:pPr>
      <w:spacing w:after="100" w:line="276" w:lineRule="auto"/>
      <w:ind w:left="1320"/>
    </w:pPr>
    <w:rPr>
      <w:rFonts w:ascii="Calibri" w:eastAsia="Calibri" w:hAnsi="Calibri"/>
      <w:sz w:val="22"/>
      <w:szCs w:val="22"/>
      <w:lang w:eastAsia="en-GB"/>
    </w:rPr>
  </w:style>
  <w:style w:type="paragraph" w:styleId="TOC8">
    <w:name w:val="toc 8"/>
    <w:basedOn w:val="Normal"/>
    <w:next w:val="Normal"/>
    <w:autoRedefine/>
    <w:rsid w:val="00281AFF"/>
    <w:pPr>
      <w:spacing w:after="100" w:line="276" w:lineRule="auto"/>
      <w:ind w:left="1540"/>
    </w:pPr>
    <w:rPr>
      <w:rFonts w:ascii="Calibri" w:eastAsia="Calibri" w:hAnsi="Calibri"/>
      <w:sz w:val="22"/>
      <w:szCs w:val="22"/>
      <w:lang w:eastAsia="en-GB"/>
    </w:rPr>
  </w:style>
  <w:style w:type="paragraph" w:styleId="TOC9">
    <w:name w:val="toc 9"/>
    <w:basedOn w:val="Normal"/>
    <w:next w:val="Normal"/>
    <w:autoRedefine/>
    <w:rsid w:val="00281AFF"/>
    <w:pPr>
      <w:spacing w:after="100" w:line="276" w:lineRule="auto"/>
      <w:ind w:left="1760"/>
    </w:pPr>
    <w:rPr>
      <w:rFonts w:ascii="Calibri" w:eastAsia="Calibri" w:hAnsi="Calibri"/>
      <w:sz w:val="22"/>
      <w:szCs w:val="22"/>
      <w:lang w:eastAsia="en-GB"/>
    </w:rPr>
  </w:style>
  <w:style w:type="character" w:customStyle="1" w:styleId="subhead21">
    <w:name w:val="subhead21"/>
    <w:rsid w:val="00281AFF"/>
    <w:rPr>
      <w:rFonts w:ascii="Arial" w:hAnsi="Arial" w:cs="Arial"/>
      <w:b/>
      <w:bCs/>
      <w:color w:val="559EDA"/>
      <w:sz w:val="22"/>
      <w:szCs w:val="22"/>
    </w:rPr>
  </w:style>
  <w:style w:type="paragraph" w:customStyle="1" w:styleId="Style1">
    <w:name w:val="Style1"/>
    <w:basedOn w:val="Heading1"/>
    <w:rsid w:val="00281AFF"/>
    <w:pPr>
      <w:spacing w:before="240" w:after="60"/>
      <w:ind w:left="0" w:firstLine="0"/>
      <w:jc w:val="left"/>
    </w:pPr>
    <w:rPr>
      <w:rFonts w:ascii="FoundryFormSans-Book" w:eastAsia="Calibri" w:hAnsi="FoundryFormSans-Book" w:cs="FoundryFormSans-Book"/>
      <w:bCs/>
      <w:color w:val="008000"/>
      <w:kern w:val="32"/>
      <w:sz w:val="40"/>
      <w:szCs w:val="40"/>
      <w:lang w:val="en-US"/>
    </w:rPr>
  </w:style>
  <w:style w:type="table" w:customStyle="1" w:styleId="MediumList2-Accent11">
    <w:name w:val="Medium List 2 - Accent 11"/>
    <w:rsid w:val="00281AFF"/>
    <w:rPr>
      <w:rFonts w:ascii="Cambria" w:eastAsia="Calibri" w:hAnsi="Cambria"/>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tabs">
    <w:name w:val="tabs"/>
    <w:basedOn w:val="Normal"/>
    <w:next w:val="Normal"/>
    <w:rsid w:val="00281AFF"/>
    <w:rPr>
      <w:rFonts w:ascii="Garamond" w:eastAsia="Calibri" w:hAnsi="Garamond"/>
      <w:sz w:val="22"/>
      <w:lang w:eastAsia="en-GB"/>
    </w:rPr>
  </w:style>
  <w:style w:type="paragraph" w:customStyle="1" w:styleId="Heading2NonTOC">
    <w:name w:val="Heading 2 Non TOC"/>
    <w:basedOn w:val="BodyText"/>
    <w:next w:val="BodyText"/>
    <w:rsid w:val="00281AFF"/>
    <w:pPr>
      <w:keepNext/>
      <w:spacing w:after="120"/>
    </w:pPr>
    <w:rPr>
      <w:rFonts w:ascii="RotisSansSerifExtraBold" w:eastAsia="Calibri" w:hAnsi="RotisSansSerifExtraBold"/>
      <w:sz w:val="32"/>
      <w:lang w:eastAsia="en-GB"/>
    </w:rPr>
  </w:style>
  <w:style w:type="table" w:customStyle="1" w:styleId="LightList1">
    <w:name w:val="Light List1"/>
    <w:rsid w:val="00281AFF"/>
    <w:rPr>
      <w:rFonts w:ascii="Calibri" w:eastAsia="Calibri" w:hAnsi="Calibri"/>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CharChar11">
    <w:name w:val="Char Char11"/>
    <w:rsid w:val="009F6BE0"/>
    <w:rPr>
      <w:rFonts w:ascii="Arial" w:eastAsia="Times New Roman" w:hAnsi="Arial" w:cs="Arial"/>
      <w:b/>
      <w:bCs/>
      <w:i/>
      <w:iCs/>
      <w:sz w:val="28"/>
      <w:szCs w:val="28"/>
      <w:lang w:eastAsia="en-GB"/>
    </w:rPr>
  </w:style>
  <w:style w:type="character" w:customStyle="1" w:styleId="CharChar7">
    <w:name w:val="Char Char7"/>
    <w:rsid w:val="009F6BE0"/>
    <w:rPr>
      <w:rFonts w:ascii="Novarese Medium" w:eastAsia="Times New Roman" w:hAnsi="Novarese Medium" w:cs="Tahoma"/>
      <w:b/>
      <w:bCs/>
      <w:spacing w:val="-3"/>
      <w:sz w:val="24"/>
      <w:szCs w:val="24"/>
    </w:rPr>
  </w:style>
  <w:style w:type="character" w:customStyle="1" w:styleId="CharChar6">
    <w:name w:val="Char Char6"/>
    <w:rsid w:val="009F6BE0"/>
    <w:rPr>
      <w:rFonts w:ascii="Times New Roman" w:eastAsia="Times New Roman" w:hAnsi="Times New Roman" w:cs="Times New Roman"/>
      <w:sz w:val="24"/>
      <w:szCs w:val="24"/>
      <w:lang w:eastAsia="en-GB"/>
    </w:rPr>
  </w:style>
  <w:style w:type="character" w:customStyle="1" w:styleId="CharChar4">
    <w:name w:val="Char Char4"/>
    <w:rsid w:val="009F6BE0"/>
    <w:rPr>
      <w:rFonts w:ascii="Times New Roman" w:eastAsia="Times New Roman" w:hAnsi="Times New Roman" w:cs="Times New Roman"/>
      <w:sz w:val="24"/>
      <w:szCs w:val="24"/>
      <w:lang w:eastAsia="en-GB"/>
    </w:rPr>
  </w:style>
  <w:style w:type="character" w:customStyle="1" w:styleId="CharChar12">
    <w:name w:val="Char Char12"/>
    <w:rsid w:val="009F6BE0"/>
    <w:rPr>
      <w:rFonts w:ascii="Cambria" w:eastAsia="Times New Roman" w:hAnsi="Cambria" w:cs="Times New Roman"/>
      <w:b/>
      <w:bCs/>
      <w:color w:val="365F91"/>
      <w:sz w:val="28"/>
      <w:szCs w:val="28"/>
      <w:lang w:eastAsia="en-GB"/>
    </w:rPr>
  </w:style>
  <w:style w:type="character" w:customStyle="1" w:styleId="CharChar10">
    <w:name w:val="Char Char10"/>
    <w:rsid w:val="009F6BE0"/>
    <w:rPr>
      <w:rFonts w:ascii="Arial" w:eastAsia="Times New Roman" w:hAnsi="Arial" w:cs="Arial"/>
      <w:b/>
      <w:bCs/>
      <w:sz w:val="26"/>
      <w:szCs w:val="26"/>
      <w:lang w:eastAsia="en-GB"/>
    </w:rPr>
  </w:style>
  <w:style w:type="character" w:customStyle="1" w:styleId="CharChar9">
    <w:name w:val="Char Char9"/>
    <w:rsid w:val="009F6BE0"/>
    <w:rPr>
      <w:rFonts w:ascii="Times New Roman" w:eastAsia="Times New Roman" w:hAnsi="Times New Roman" w:cs="Times New Roman"/>
      <w:i/>
      <w:iCs/>
      <w:sz w:val="24"/>
      <w:szCs w:val="24"/>
      <w:lang w:eastAsia="en-GB"/>
    </w:rPr>
  </w:style>
  <w:style w:type="character" w:customStyle="1" w:styleId="CharChar2">
    <w:name w:val="Char Char2"/>
    <w:rsid w:val="009F6BE0"/>
    <w:rPr>
      <w:rFonts w:ascii="Arial" w:eastAsia="Times New Roman" w:hAnsi="Arial" w:cs="Times New Roman"/>
      <w:sz w:val="24"/>
      <w:szCs w:val="20"/>
    </w:rPr>
  </w:style>
  <w:style w:type="character" w:customStyle="1" w:styleId="CharChar">
    <w:name w:val="Char Char"/>
    <w:rsid w:val="009F6BE0"/>
    <w:rPr>
      <w:rFonts w:ascii="Times New Roman" w:eastAsia="Times New Roman" w:hAnsi="Times New Roman" w:cs="Times New Roman"/>
      <w:b/>
      <w:bCs/>
      <w:sz w:val="24"/>
      <w:szCs w:val="24"/>
    </w:rPr>
  </w:style>
  <w:style w:type="character" w:styleId="CommentReference">
    <w:name w:val="annotation reference"/>
    <w:semiHidden/>
    <w:rsid w:val="004206B5"/>
    <w:rPr>
      <w:sz w:val="16"/>
      <w:szCs w:val="16"/>
    </w:rPr>
  </w:style>
  <w:style w:type="paragraph" w:customStyle="1" w:styleId="intro">
    <w:name w:val="intro"/>
    <w:basedOn w:val="Normal"/>
    <w:rsid w:val="00344FB6"/>
    <w:pPr>
      <w:spacing w:before="100" w:beforeAutospacing="1" w:after="100" w:afterAutospacing="1"/>
    </w:pPr>
    <w:rPr>
      <w:rFonts w:ascii="Times New Roman" w:hAnsi="Times New Roman"/>
      <w:color w:val="003366"/>
      <w:sz w:val="29"/>
      <w:szCs w:val="29"/>
      <w:lang w:eastAsia="en-GB"/>
    </w:rPr>
  </w:style>
  <w:style w:type="paragraph" w:styleId="Index1">
    <w:name w:val="index 1"/>
    <w:basedOn w:val="Normal"/>
    <w:next w:val="Normal"/>
    <w:autoRedefine/>
    <w:semiHidden/>
    <w:rsid w:val="00BA3CD7"/>
    <w:pPr>
      <w:ind w:left="240" w:hanging="240"/>
    </w:pPr>
    <w:rPr>
      <w:rFonts w:ascii="Times New Roman" w:hAnsi="Times New Roman"/>
      <w:szCs w:val="24"/>
      <w:lang w:eastAsia="en-GB"/>
    </w:rPr>
  </w:style>
  <w:style w:type="paragraph" w:customStyle="1" w:styleId="FooterAssetFinanceflyers">
    <w:name w:val="Footer (Asset Finance flyers)"/>
    <w:basedOn w:val="Normal"/>
    <w:rsid w:val="00BA3CD7"/>
    <w:pPr>
      <w:suppressAutoHyphens/>
      <w:autoSpaceDE w:val="0"/>
      <w:autoSpaceDN w:val="0"/>
      <w:adjustRightInd w:val="0"/>
      <w:spacing w:line="200" w:lineRule="atLeast"/>
      <w:jc w:val="both"/>
      <w:textAlignment w:val="center"/>
    </w:pPr>
    <w:rPr>
      <w:rFonts w:ascii="Bliss 2 Regular" w:hAnsi="Bliss 2 Regular" w:cs="Bliss 2 Regular"/>
      <w:color w:val="006792"/>
      <w:spacing w:val="-5"/>
      <w:sz w:val="16"/>
      <w:szCs w:val="16"/>
    </w:rPr>
  </w:style>
  <w:style w:type="character" w:customStyle="1" w:styleId="normaltext1">
    <w:name w:val="normaltext1"/>
    <w:rsid w:val="00BA3CD7"/>
    <w:rPr>
      <w:rFonts w:ascii="Arial" w:hAnsi="Arial" w:cs="Arial" w:hint="default"/>
      <w:i w:val="0"/>
      <w:iCs w:val="0"/>
      <w:color w:val="666666"/>
      <w:sz w:val="13"/>
      <w:szCs w:val="13"/>
    </w:rPr>
  </w:style>
  <w:style w:type="character" w:customStyle="1" w:styleId="enquiry1">
    <w:name w:val="enquiry1"/>
    <w:rsid w:val="00BA3CD7"/>
    <w:rPr>
      <w:rFonts w:ascii="Verdana" w:hAnsi="Verdana" w:hint="default"/>
      <w:b w:val="0"/>
      <w:bCs w:val="0"/>
      <w:i w:val="0"/>
      <w:iCs w:val="0"/>
      <w:strike w:val="0"/>
      <w:dstrike w:val="0"/>
      <w:color w:val="333366"/>
      <w:sz w:val="15"/>
      <w:szCs w:val="15"/>
      <w:u w:val="none"/>
      <w:effect w:val="none"/>
    </w:rPr>
  </w:style>
  <w:style w:type="character" w:customStyle="1" w:styleId="StyleComplexArialComplex11pt">
    <w:name w:val="Style (Complex) Arial (Complex) 11 pt"/>
    <w:rsid w:val="001313AE"/>
    <w:rPr>
      <w:rFonts w:cs="Arial"/>
      <w:sz w:val="22"/>
      <w:szCs w:val="22"/>
    </w:rPr>
  </w:style>
  <w:style w:type="paragraph" w:customStyle="1" w:styleId="ecxmsonormal">
    <w:name w:val="ecxmsonormal"/>
    <w:basedOn w:val="Normal"/>
    <w:rsid w:val="007B6F69"/>
    <w:pPr>
      <w:spacing w:after="324"/>
    </w:pPr>
    <w:rPr>
      <w:rFonts w:ascii="Times New Roman" w:hAnsi="Times New Roman"/>
      <w:szCs w:val="24"/>
      <w:lang w:val="en-US"/>
    </w:rPr>
  </w:style>
  <w:style w:type="character" w:customStyle="1" w:styleId="SectionHeadingCharChar">
    <w:name w:val="Section Heading Char Char"/>
    <w:locked/>
    <w:rsid w:val="00CA4E51"/>
    <w:rPr>
      <w:rFonts w:ascii="Arial" w:hAnsi="Arial"/>
      <w:b/>
      <w:sz w:val="22"/>
      <w:lang w:val="en-GB" w:eastAsia="en-US" w:bidi="ar-SA"/>
    </w:rPr>
  </w:style>
  <w:style w:type="character" w:customStyle="1" w:styleId="CharChar19">
    <w:name w:val="Char Char19"/>
    <w:locked/>
    <w:rsid w:val="00CA4E51"/>
    <w:rPr>
      <w:rFonts w:ascii="Arial" w:hAnsi="Arial"/>
      <w:b/>
      <w:i/>
      <w:sz w:val="22"/>
      <w:lang w:val="en-GB" w:eastAsia="en-US" w:bidi="ar-SA"/>
    </w:rPr>
  </w:style>
  <w:style w:type="character" w:customStyle="1" w:styleId="CharChar18">
    <w:name w:val="Char Char18"/>
    <w:locked/>
    <w:rsid w:val="00CA4E51"/>
    <w:rPr>
      <w:rFonts w:ascii="Arial" w:hAnsi="Arial"/>
      <w:b/>
      <w:sz w:val="22"/>
      <w:lang w:val="en-GB" w:eastAsia="en-US" w:bidi="ar-SA"/>
    </w:rPr>
  </w:style>
  <w:style w:type="character" w:customStyle="1" w:styleId="CharChar17">
    <w:name w:val="Char Char17"/>
    <w:locked/>
    <w:rsid w:val="00CA4E51"/>
    <w:rPr>
      <w:rFonts w:ascii="Arial" w:hAnsi="Arial"/>
      <w:sz w:val="24"/>
      <w:lang w:val="en-GB" w:eastAsia="en-US" w:bidi="ar-SA"/>
    </w:rPr>
  </w:style>
  <w:style w:type="character" w:customStyle="1" w:styleId="CharChar16">
    <w:name w:val="Char Char16"/>
    <w:locked/>
    <w:rsid w:val="00CA4E51"/>
    <w:rPr>
      <w:rFonts w:ascii="Arial" w:hAnsi="Arial"/>
      <w:sz w:val="24"/>
      <w:lang w:val="en-GB" w:eastAsia="en-US" w:bidi="ar-SA"/>
    </w:rPr>
  </w:style>
  <w:style w:type="character" w:customStyle="1" w:styleId="CharChar15">
    <w:name w:val="Char Char15"/>
    <w:locked/>
    <w:rsid w:val="00CA4E51"/>
    <w:rPr>
      <w:rFonts w:ascii="Arial" w:hAnsi="Arial"/>
      <w:sz w:val="22"/>
      <w:lang w:val="en-GB" w:eastAsia="en-US" w:bidi="ar-SA"/>
    </w:rPr>
  </w:style>
  <w:style w:type="character" w:customStyle="1" w:styleId="CharChar14">
    <w:name w:val="Char Char14"/>
    <w:locked/>
    <w:rsid w:val="00CA4E51"/>
    <w:rPr>
      <w:rFonts w:ascii="Arial" w:hAnsi="Arial"/>
      <w:b/>
      <w:sz w:val="22"/>
      <w:lang w:val="en-GB" w:eastAsia="en-US" w:bidi="ar-SA"/>
    </w:rPr>
  </w:style>
  <w:style w:type="character" w:customStyle="1" w:styleId="CharChar8">
    <w:name w:val="Char Char8"/>
    <w:locked/>
    <w:rsid w:val="00CA4E51"/>
    <w:rPr>
      <w:rFonts w:ascii="Arial" w:hAnsi="Arial"/>
      <w:sz w:val="18"/>
      <w:lang w:val="en-GB" w:eastAsia="en-US" w:bidi="ar-SA"/>
    </w:rPr>
  </w:style>
  <w:style w:type="paragraph" w:customStyle="1" w:styleId="Tablecopy">
    <w:name w:val="Table copy"/>
    <w:rsid w:val="00593299"/>
    <w:rPr>
      <w:rFonts w:ascii="Calibri" w:eastAsia="Bliss 2 Regular" w:hAnsi="Calibri" w:cs="Calibri"/>
      <w:color w:val="3A3B3C"/>
      <w:szCs w:val="22"/>
      <w:lang w:eastAsia="en-US"/>
    </w:rPr>
  </w:style>
  <w:style w:type="paragraph" w:styleId="CommentSubject">
    <w:name w:val="annotation subject"/>
    <w:basedOn w:val="CommentText"/>
    <w:next w:val="CommentText"/>
    <w:semiHidden/>
    <w:rsid w:val="00347A95"/>
    <w:rPr>
      <w:b/>
      <w:bCs/>
    </w:rPr>
  </w:style>
  <w:style w:type="character" w:customStyle="1" w:styleId="CharChar20">
    <w:name w:val="Char Char20"/>
    <w:semiHidden/>
    <w:locked/>
    <w:rsid w:val="00445776"/>
    <w:rPr>
      <w:rFonts w:ascii="Arial" w:hAnsi="Arial"/>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A4C7C"/>
    <w:rPr>
      <w:rFonts w:ascii="Arial" w:hAnsi="Arial"/>
      <w:sz w:val="24"/>
      <w:lang w:eastAsia="en-US"/>
    </w:rPr>
  </w:style>
  <w:style w:type="paragraph" w:styleId="Heading1">
    <w:name w:val="heading 1"/>
    <w:aliases w:val="Section Heading"/>
    <w:basedOn w:val="Normal"/>
    <w:next w:val="Normal"/>
    <w:link w:val="Heading1Char"/>
    <w:qFormat/>
    <w:pPr>
      <w:keepNext/>
      <w:ind w:left="720" w:hanging="720"/>
      <w:jc w:val="center"/>
      <w:outlineLvl w:val="0"/>
    </w:pPr>
    <w:rPr>
      <w:b/>
      <w:sz w:val="22"/>
    </w:rPr>
  </w:style>
  <w:style w:type="paragraph" w:styleId="Heading2">
    <w:name w:val="heading 2"/>
    <w:aliases w:val="2,Level 2 Heading"/>
    <w:basedOn w:val="Normal"/>
    <w:next w:val="Normal"/>
    <w:link w:val="Heading2Char1"/>
    <w:qFormat/>
    <w:pPr>
      <w:keepNext/>
      <w:jc w:val="center"/>
      <w:outlineLvl w:val="1"/>
    </w:pPr>
    <w:rPr>
      <w:b/>
      <w:color w:val="000000"/>
      <w:sz w:val="20"/>
    </w:rPr>
  </w:style>
  <w:style w:type="paragraph" w:styleId="Heading3">
    <w:name w:val="heading 3"/>
    <w:basedOn w:val="Normal"/>
    <w:next w:val="Normal"/>
    <w:link w:val="Heading3Char"/>
    <w:qFormat/>
    <w:pPr>
      <w:keepNext/>
      <w:ind w:left="720" w:hanging="720"/>
      <w:outlineLvl w:val="2"/>
    </w:pPr>
    <w:rPr>
      <w:b/>
      <w:i/>
      <w:sz w:val="22"/>
    </w:rPr>
  </w:style>
  <w:style w:type="paragraph" w:styleId="Heading4">
    <w:name w:val="heading 4"/>
    <w:basedOn w:val="Normal"/>
    <w:next w:val="Normal"/>
    <w:qFormat/>
    <w:pPr>
      <w:keepNext/>
      <w:ind w:left="720"/>
      <w:outlineLvl w:val="3"/>
    </w:pPr>
    <w:rPr>
      <w:b/>
      <w:i/>
      <w:sz w:val="22"/>
    </w:rPr>
  </w:style>
  <w:style w:type="paragraph" w:styleId="Heading5">
    <w:name w:val="heading 5"/>
    <w:basedOn w:val="Normal"/>
    <w:next w:val="Normal"/>
    <w:qFormat/>
    <w:pPr>
      <w:keepNext/>
      <w:ind w:left="720"/>
      <w:outlineLvl w:val="4"/>
    </w:pPr>
    <w:rPr>
      <w:b/>
      <w:i/>
    </w:rPr>
  </w:style>
  <w:style w:type="paragraph" w:styleId="Heading6">
    <w:name w:val="heading 6"/>
    <w:basedOn w:val="Normal"/>
    <w:next w:val="Normal"/>
    <w:qFormat/>
    <w:pPr>
      <w:keepNext/>
      <w:jc w:val="center"/>
      <w:outlineLvl w:val="5"/>
    </w:pPr>
    <w:rPr>
      <w:b/>
      <w:color w:val="000000"/>
      <w:sz w:val="22"/>
    </w:rPr>
  </w:style>
  <w:style w:type="paragraph" w:styleId="Heading7">
    <w:name w:val="heading 7"/>
    <w:basedOn w:val="Normal"/>
    <w:next w:val="Normal"/>
    <w:qFormat/>
    <w:pPr>
      <w:keepNext/>
      <w:jc w:val="right"/>
      <w:outlineLvl w:val="6"/>
    </w:pPr>
    <w:rPr>
      <w:b/>
      <w:sz w:val="22"/>
    </w:rPr>
  </w:style>
  <w:style w:type="paragraph" w:styleId="Heading8">
    <w:name w:val="heading 8"/>
    <w:basedOn w:val="Normal"/>
    <w:next w:val="Normal"/>
    <w:link w:val="Heading8Char"/>
    <w:qFormat/>
    <w:pPr>
      <w:keepNext/>
      <w:outlineLvl w:val="7"/>
    </w:pPr>
    <w:rPr>
      <w:b/>
      <w:sz w:val="22"/>
    </w:rPr>
  </w:style>
  <w:style w:type="paragraph" w:styleId="Heading9">
    <w:name w:val="heading 9"/>
    <w:basedOn w:val="Normal"/>
    <w:next w:val="Normal"/>
    <w:qFormat/>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link w:val="Heading1"/>
    <w:locked/>
    <w:rsid w:val="00281AFF"/>
    <w:rPr>
      <w:rFonts w:ascii="Arial" w:hAnsi="Arial"/>
      <w:b/>
      <w:sz w:val="22"/>
      <w:lang w:val="en-GB" w:eastAsia="en-US" w:bidi="ar-SA"/>
    </w:rPr>
  </w:style>
  <w:style w:type="character" w:customStyle="1" w:styleId="Heading2Char1">
    <w:name w:val="Heading 2 Char1"/>
    <w:aliases w:val="2 Char1,Level 2 Heading Char1"/>
    <w:link w:val="Heading2"/>
    <w:rsid w:val="002C3056"/>
    <w:rPr>
      <w:rFonts w:ascii="Arial" w:hAnsi="Arial"/>
      <w:b/>
      <w:color w:val="000000"/>
      <w:lang w:val="en-GB" w:eastAsia="en-US" w:bidi="ar-SA"/>
    </w:rPr>
  </w:style>
  <w:style w:type="character" w:customStyle="1" w:styleId="Heading3Char">
    <w:name w:val="Heading 3 Char"/>
    <w:link w:val="Heading3"/>
    <w:locked/>
    <w:rsid w:val="00281AFF"/>
    <w:rPr>
      <w:rFonts w:ascii="Arial" w:hAnsi="Arial"/>
      <w:b/>
      <w:i/>
      <w:sz w:val="22"/>
      <w:lang w:val="en-GB" w:eastAsia="en-US" w:bidi="ar-SA"/>
    </w:rPr>
  </w:style>
  <w:style w:type="character" w:customStyle="1" w:styleId="Heading8Char">
    <w:name w:val="Heading 8 Char"/>
    <w:link w:val="Heading8"/>
    <w:locked/>
    <w:rsid w:val="00281AFF"/>
    <w:rPr>
      <w:rFonts w:ascii="Arial" w:hAnsi="Arial"/>
      <w:b/>
      <w:sz w:val="22"/>
      <w:lang w:val="en-GB" w:eastAsia="en-US" w:bidi="ar-SA"/>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sid w:val="005B7B3D"/>
    <w:rPr>
      <w:rFonts w:ascii="Arial" w:hAnsi="Arial"/>
      <w:sz w:val="24"/>
      <w:lang w:val="en-GB" w:eastAsia="en-US" w:bidi="ar-SA"/>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locked/>
    <w:rsid w:val="005B7B3D"/>
    <w:rPr>
      <w:rFonts w:ascii="Arial" w:hAnsi="Arial"/>
      <w:sz w:val="24"/>
      <w:lang w:val="en-GB" w:eastAsia="en-US" w:bidi="ar-SA"/>
    </w:rPr>
  </w:style>
  <w:style w:type="paragraph" w:styleId="BodyTextIndent">
    <w:name w:val="Body Text Indent"/>
    <w:basedOn w:val="Normal"/>
    <w:pPr>
      <w:ind w:left="720" w:hanging="720"/>
    </w:pPr>
    <w:rPr>
      <w:b/>
      <w:sz w:val="22"/>
    </w:rPr>
  </w:style>
  <w:style w:type="paragraph" w:styleId="BodyTextIndent2">
    <w:name w:val="Body Text Indent 2"/>
    <w:basedOn w:val="Normal"/>
    <w:link w:val="BodyTextIndent2Char"/>
    <w:pPr>
      <w:ind w:left="720" w:hanging="720"/>
    </w:pPr>
    <w:rPr>
      <w:sz w:val="22"/>
    </w:rPr>
  </w:style>
  <w:style w:type="character" w:customStyle="1" w:styleId="BodyTextIndent2Char">
    <w:name w:val="Body Text Indent 2 Char"/>
    <w:link w:val="BodyTextIndent2"/>
    <w:locked/>
    <w:rsid w:val="00281AFF"/>
    <w:rPr>
      <w:rFonts w:ascii="Arial" w:hAnsi="Arial"/>
      <w:sz w:val="22"/>
      <w:lang w:val="en-GB" w:eastAsia="en-US" w:bidi="ar-SA"/>
    </w:rPr>
  </w:style>
  <w:style w:type="paragraph" w:styleId="BodyTextIndent3">
    <w:name w:val="Body Text Indent 3"/>
    <w:basedOn w:val="Normal"/>
    <w:pPr>
      <w:ind w:left="1418" w:hanging="709"/>
    </w:pPr>
    <w:rPr>
      <w:sz w:val="22"/>
    </w:rPr>
  </w:style>
  <w:style w:type="paragraph" w:styleId="Title">
    <w:name w:val="Title"/>
    <w:basedOn w:val="Normal"/>
    <w:qFormat/>
    <w:pPr>
      <w:jc w:val="center"/>
    </w:pPr>
    <w:rPr>
      <w:b/>
      <w:sz w:val="22"/>
    </w:rPr>
  </w:style>
  <w:style w:type="paragraph" w:styleId="Subtitle">
    <w:name w:val="Subtitle"/>
    <w:basedOn w:val="Normal"/>
    <w:link w:val="SubtitleChar"/>
    <w:qFormat/>
    <w:pPr>
      <w:jc w:val="center"/>
    </w:pPr>
    <w:rPr>
      <w:b/>
      <w:sz w:val="22"/>
    </w:rPr>
  </w:style>
  <w:style w:type="character" w:customStyle="1" w:styleId="SubtitleChar">
    <w:name w:val="Subtitle Char"/>
    <w:link w:val="Subtitle"/>
    <w:locked/>
    <w:rsid w:val="00281AFF"/>
    <w:rPr>
      <w:rFonts w:ascii="Arial" w:hAnsi="Arial"/>
      <w:b/>
      <w:sz w:val="22"/>
      <w:lang w:val="en-GB" w:eastAsia="en-US" w:bidi="ar-SA"/>
    </w:rPr>
  </w:style>
  <w:style w:type="paragraph" w:styleId="BodyText">
    <w:name w:val="Body Text"/>
    <w:basedOn w:val="Normal"/>
    <w:link w:val="BodyTextChar"/>
    <w:rPr>
      <w:sz w:val="22"/>
    </w:rPr>
  </w:style>
  <w:style w:type="character" w:customStyle="1" w:styleId="BodyTextChar">
    <w:name w:val="Body Text Char"/>
    <w:link w:val="BodyText"/>
    <w:semiHidden/>
    <w:locked/>
    <w:rsid w:val="00281AFF"/>
    <w:rPr>
      <w:rFonts w:ascii="Arial" w:hAnsi="Arial"/>
      <w:sz w:val="22"/>
      <w:lang w:val="en-GB" w:eastAsia="en-US" w:bidi="ar-SA"/>
    </w:rPr>
  </w:style>
  <w:style w:type="paragraph" w:styleId="BodyText2">
    <w:name w:val="Body Text 2"/>
    <w:basedOn w:val="Normal"/>
    <w:link w:val="BodyText2Char"/>
    <w:rPr>
      <w:sz w:val="18"/>
    </w:rPr>
  </w:style>
  <w:style w:type="character" w:customStyle="1" w:styleId="BodyText2Char">
    <w:name w:val="Body Text 2 Char"/>
    <w:link w:val="BodyText2"/>
    <w:locked/>
    <w:rsid w:val="00281AFF"/>
    <w:rPr>
      <w:rFonts w:ascii="Arial" w:hAnsi="Arial"/>
      <w:sz w:val="18"/>
      <w:lang w:val="en-GB" w:eastAsia="en-US" w:bidi="ar-SA"/>
    </w:rPr>
  </w:style>
  <w:style w:type="paragraph" w:styleId="BodyText3">
    <w:name w:val="Body Text 3"/>
    <w:basedOn w:val="Normal"/>
    <w:rPr>
      <w:b/>
      <w:sz w:val="18"/>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locked/>
    <w:rsid w:val="00281AFF"/>
    <w:rPr>
      <w:rFonts w:ascii="Tahoma" w:hAnsi="Tahoma"/>
      <w:sz w:val="24"/>
      <w:lang w:val="en-GB" w:eastAsia="en-US" w:bidi="ar-SA"/>
    </w:rPr>
  </w:style>
  <w:style w:type="character" w:styleId="PageNumber">
    <w:name w:val="page number"/>
    <w:basedOn w:val="DefaultParagraphFont"/>
  </w:style>
  <w:style w:type="paragraph" w:customStyle="1" w:styleId="Address">
    <w:name w:val="Address"/>
    <w:basedOn w:val="Normal"/>
    <w:pPr>
      <w:keepLines/>
      <w:jc w:val="both"/>
    </w:pPr>
    <w:rPr>
      <w:rFonts w:ascii="Times New Roman" w:hAnsi="Times New Roman"/>
      <w:noProof/>
    </w:rPr>
  </w:style>
  <w:style w:type="character" w:styleId="Hyperlink">
    <w:name w:val="Hyperlink"/>
    <w:rPr>
      <w:color w:val="0000FF"/>
      <w:u w:val="single"/>
    </w:rPr>
  </w:style>
  <w:style w:type="paragraph" w:styleId="BlockText">
    <w:name w:val="Block Text"/>
    <w:basedOn w:val="Normal"/>
    <w:pPr>
      <w:ind w:left="113" w:right="113"/>
    </w:pPr>
    <w:rPr>
      <w:snapToGrid w:val="0"/>
      <w:color w:val="000000"/>
      <w:sz w:val="22"/>
    </w:rPr>
  </w:style>
  <w:style w:type="paragraph" w:customStyle="1" w:styleId="questionnaire">
    <w:name w:val="questionnaire"/>
    <w:pPr>
      <w:widowControl w:val="0"/>
      <w:tabs>
        <w:tab w:val="right" w:pos="680"/>
        <w:tab w:val="left" w:pos="794"/>
        <w:tab w:val="right" w:pos="7513"/>
        <w:tab w:val="left" w:pos="7853"/>
        <w:tab w:val="left" w:pos="8222"/>
        <w:tab w:val="right" w:pos="11057"/>
      </w:tabs>
      <w:suppressAutoHyphens/>
    </w:pPr>
    <w:rPr>
      <w:rFonts w:ascii="Helvetica" w:hAnsi="Helvetica"/>
      <w:lang w:val="en-US" w:eastAsia="en-US"/>
    </w:rPr>
  </w:style>
  <w:style w:type="paragraph" w:customStyle="1" w:styleId="Style2">
    <w:name w:val="Style2"/>
    <w:basedOn w:val="Normal"/>
    <w:autoRedefine/>
    <w:rsid w:val="002C5882"/>
    <w:pPr>
      <w:ind w:left="1026" w:hanging="1026"/>
      <w:outlineLvl w:val="0"/>
    </w:pPr>
    <w:rPr>
      <w:sz w:val="22"/>
    </w:rPr>
  </w:style>
  <w:style w:type="paragraph" w:styleId="Caption">
    <w:name w:val="caption"/>
    <w:basedOn w:val="Normal"/>
    <w:next w:val="Normal"/>
    <w:qFormat/>
    <w:pPr>
      <w:jc w:val="right"/>
    </w:pPr>
    <w:rPr>
      <w:b/>
      <w:sz w:val="22"/>
    </w:rPr>
  </w:style>
  <w:style w:type="paragraph" w:styleId="ListBullet">
    <w:name w:val="List Bullet"/>
    <w:basedOn w:val="Normal"/>
    <w:autoRedefine/>
    <w:rPr>
      <w:sz w:val="20"/>
    </w:rPr>
  </w:style>
  <w:style w:type="paragraph" w:styleId="BalloonText">
    <w:name w:val="Balloon Text"/>
    <w:basedOn w:val="Normal"/>
    <w:link w:val="BalloonTextChar"/>
    <w:semiHidden/>
    <w:rPr>
      <w:rFonts w:ascii="Tahoma" w:hAnsi="Tahoma"/>
      <w:sz w:val="16"/>
    </w:rPr>
  </w:style>
  <w:style w:type="character" w:customStyle="1" w:styleId="BalloonTextChar">
    <w:name w:val="Balloon Text Char"/>
    <w:link w:val="BalloonText"/>
    <w:semiHidden/>
    <w:locked/>
    <w:rsid w:val="00281AFF"/>
    <w:rPr>
      <w:rFonts w:ascii="Tahoma" w:hAnsi="Tahoma"/>
      <w:sz w:val="16"/>
      <w:lang w:val="en-GB" w:eastAsia="en-US" w:bidi="ar-SA"/>
    </w:rPr>
  </w:style>
  <w:style w:type="table" w:styleId="TableGrid">
    <w:name w:val="Table Grid"/>
    <w:basedOn w:val="TableNormal"/>
    <w:rsid w:val="002E6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24B0"/>
    <w:pPr>
      <w:tabs>
        <w:tab w:val="left" w:pos="1260"/>
        <w:tab w:val="left" w:pos="1980"/>
        <w:tab w:val="left" w:pos="2700"/>
        <w:tab w:val="left" w:pos="3420"/>
      </w:tabs>
      <w:jc w:val="both"/>
    </w:pPr>
    <w:rPr>
      <w:sz w:val="20"/>
      <w:lang w:eastAsia="en-GB"/>
    </w:rPr>
  </w:style>
  <w:style w:type="character" w:customStyle="1" w:styleId="FootnoteTextChar">
    <w:name w:val="Footnote Text Char"/>
    <w:link w:val="FootnoteText"/>
    <w:semiHidden/>
    <w:locked/>
    <w:rsid w:val="00281AFF"/>
    <w:rPr>
      <w:rFonts w:ascii="Arial" w:hAnsi="Arial"/>
      <w:lang w:val="en-GB" w:eastAsia="en-GB" w:bidi="ar-SA"/>
    </w:rPr>
  </w:style>
  <w:style w:type="character" w:styleId="FootnoteReference">
    <w:name w:val="footnote reference"/>
    <w:semiHidden/>
    <w:rsid w:val="009424B0"/>
    <w:rPr>
      <w:vertAlign w:val="superscript"/>
    </w:rPr>
  </w:style>
  <w:style w:type="paragraph" w:customStyle="1" w:styleId="Default">
    <w:name w:val="Default"/>
    <w:link w:val="DefaultChar"/>
    <w:rsid w:val="00033A75"/>
    <w:pPr>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A10EA9"/>
    <w:rPr>
      <w:rFonts w:ascii="Arial" w:hAnsi="Arial" w:cs="Arial"/>
      <w:color w:val="000000"/>
      <w:sz w:val="24"/>
      <w:szCs w:val="24"/>
      <w:lang w:val="en-GB" w:eastAsia="en-GB" w:bidi="ar-SA"/>
    </w:rPr>
  </w:style>
  <w:style w:type="paragraph" w:customStyle="1" w:styleId="Text">
    <w:name w:val="Text"/>
    <w:basedOn w:val="Normal"/>
    <w:rsid w:val="001058EF"/>
    <w:pPr>
      <w:overflowPunct w:val="0"/>
      <w:autoSpaceDE w:val="0"/>
      <w:autoSpaceDN w:val="0"/>
      <w:adjustRightInd w:val="0"/>
      <w:spacing w:after="220"/>
      <w:jc w:val="both"/>
      <w:textAlignment w:val="baseline"/>
    </w:pPr>
    <w:rPr>
      <w:sz w:val="22"/>
      <w:lang w:eastAsia="en-GB"/>
    </w:rPr>
  </w:style>
  <w:style w:type="paragraph" w:customStyle="1" w:styleId="bullet">
    <w:name w:val="bullet"/>
    <w:basedOn w:val="Normal"/>
    <w:rsid w:val="001058EF"/>
    <w:pPr>
      <w:tabs>
        <w:tab w:val="num" w:pos="360"/>
      </w:tabs>
      <w:ind w:left="360" w:hanging="360"/>
    </w:pPr>
    <w:rPr>
      <w:sz w:val="22"/>
      <w:lang w:eastAsia="en-GB"/>
    </w:rPr>
  </w:style>
  <w:style w:type="paragraph" w:customStyle="1" w:styleId="Cover-Title">
    <w:name w:val="Cover - Title"/>
    <w:basedOn w:val="Normal"/>
    <w:rsid w:val="002C3056"/>
    <w:pPr>
      <w:spacing w:after="240"/>
    </w:pPr>
    <w:rPr>
      <w:rFonts w:cs="Arial"/>
      <w:sz w:val="44"/>
      <w:szCs w:val="44"/>
    </w:rPr>
  </w:style>
  <w:style w:type="paragraph" w:styleId="TOC1">
    <w:name w:val="toc 1"/>
    <w:basedOn w:val="Normal"/>
    <w:next w:val="Normal"/>
    <w:autoRedefine/>
    <w:semiHidden/>
    <w:rsid w:val="002C3056"/>
    <w:pPr>
      <w:tabs>
        <w:tab w:val="right" w:leader="dot" w:pos="8636"/>
      </w:tabs>
      <w:spacing w:after="240"/>
    </w:pPr>
    <w:rPr>
      <w:rFonts w:cs="Arial"/>
      <w:szCs w:val="24"/>
    </w:rPr>
  </w:style>
  <w:style w:type="paragraph" w:styleId="TOC2">
    <w:name w:val="toc 2"/>
    <w:basedOn w:val="Normal"/>
    <w:next w:val="Normal"/>
    <w:autoRedefine/>
    <w:semiHidden/>
    <w:rsid w:val="002C3056"/>
    <w:pPr>
      <w:spacing w:after="240"/>
      <w:ind w:left="240"/>
    </w:pPr>
    <w:rPr>
      <w:rFonts w:cs="Arial"/>
      <w:szCs w:val="24"/>
    </w:rPr>
  </w:style>
  <w:style w:type="paragraph" w:styleId="TableofFigures">
    <w:name w:val="table of figures"/>
    <w:basedOn w:val="Normal"/>
    <w:next w:val="Normal"/>
    <w:semiHidden/>
    <w:rsid w:val="002C3056"/>
    <w:pPr>
      <w:spacing w:after="240"/>
      <w:ind w:left="480" w:hanging="480"/>
    </w:pPr>
    <w:rPr>
      <w:rFonts w:cs="Arial"/>
      <w:szCs w:val="24"/>
    </w:rPr>
  </w:style>
  <w:style w:type="character" w:styleId="FollowedHyperlink">
    <w:name w:val="FollowedHyperlink"/>
    <w:rsid w:val="003A13FD"/>
    <w:rPr>
      <w:color w:val="800080"/>
      <w:u w:val="single"/>
    </w:rPr>
  </w:style>
  <w:style w:type="paragraph" w:customStyle="1" w:styleId="xl22">
    <w:name w:val="xl22"/>
    <w:basedOn w:val="Normal"/>
    <w:rsid w:val="003A13FD"/>
    <w:pPr>
      <w:spacing w:before="100" w:beforeAutospacing="1" w:after="100" w:afterAutospacing="1"/>
    </w:pPr>
    <w:rPr>
      <w:rFonts w:ascii="Times New Roman" w:hAnsi="Times New Roman"/>
      <w:sz w:val="16"/>
      <w:szCs w:val="16"/>
      <w:lang w:eastAsia="en-GB"/>
    </w:rPr>
  </w:style>
  <w:style w:type="paragraph" w:customStyle="1" w:styleId="xl23">
    <w:name w:val="xl23"/>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4">
    <w:name w:val="xl24"/>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eastAsia="en-GB"/>
    </w:rPr>
  </w:style>
  <w:style w:type="paragraph" w:customStyle="1" w:styleId="xl25">
    <w:name w:val="xl25"/>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6">
    <w:name w:val="xl26"/>
    <w:basedOn w:val="Normal"/>
    <w:rsid w:val="003A13FD"/>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7">
    <w:name w:val="xl27"/>
    <w:basedOn w:val="Normal"/>
    <w:rsid w:val="003A13FD"/>
    <w:pPr>
      <w:spacing w:before="100" w:beforeAutospacing="1" w:after="100" w:afterAutospacing="1"/>
      <w:jc w:val="right"/>
    </w:pPr>
    <w:rPr>
      <w:rFonts w:ascii="Times New Roman" w:hAnsi="Times New Roman"/>
      <w:sz w:val="16"/>
      <w:szCs w:val="16"/>
      <w:lang w:eastAsia="en-GB"/>
    </w:rPr>
  </w:style>
  <w:style w:type="paragraph" w:customStyle="1" w:styleId="xl28">
    <w:name w:val="xl28"/>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6"/>
      <w:szCs w:val="16"/>
      <w:lang w:eastAsia="en-GB"/>
    </w:rPr>
  </w:style>
  <w:style w:type="paragraph" w:customStyle="1" w:styleId="xl29">
    <w:name w:val="xl29"/>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0">
    <w:name w:val="xl30"/>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n-GB"/>
    </w:rPr>
  </w:style>
  <w:style w:type="paragraph" w:customStyle="1" w:styleId="xl31">
    <w:name w:val="xl31"/>
    <w:basedOn w:val="Normal"/>
    <w:rsid w:val="003A13FD"/>
    <w:pPr>
      <w:spacing w:before="100" w:beforeAutospacing="1" w:after="100" w:afterAutospacing="1"/>
      <w:jc w:val="right"/>
    </w:pPr>
    <w:rPr>
      <w:rFonts w:ascii="Times New Roman" w:hAnsi="Times New Roman"/>
      <w:b/>
      <w:bCs/>
      <w:sz w:val="16"/>
      <w:szCs w:val="16"/>
      <w:lang w:eastAsia="en-GB"/>
    </w:rPr>
  </w:style>
  <w:style w:type="paragraph" w:customStyle="1" w:styleId="xl32">
    <w:name w:val="xl32"/>
    <w:basedOn w:val="Normal"/>
    <w:rsid w:val="003A13FD"/>
    <w:pPr>
      <w:spacing w:before="100" w:beforeAutospacing="1" w:after="100" w:afterAutospacing="1"/>
    </w:pPr>
    <w:rPr>
      <w:rFonts w:ascii="Times New Roman" w:hAnsi="Times New Roman"/>
      <w:b/>
      <w:bCs/>
      <w:sz w:val="16"/>
      <w:szCs w:val="16"/>
      <w:lang w:eastAsia="en-GB"/>
    </w:rPr>
  </w:style>
  <w:style w:type="paragraph" w:customStyle="1" w:styleId="xl33">
    <w:name w:val="xl33"/>
    <w:basedOn w:val="Normal"/>
    <w:rsid w:val="003A13FD"/>
    <w:pPr>
      <w:spacing w:before="100" w:beforeAutospacing="1" w:after="100" w:afterAutospacing="1"/>
      <w:jc w:val="center"/>
    </w:pPr>
    <w:rPr>
      <w:rFonts w:ascii="Times New Roman" w:hAnsi="Times New Roman"/>
      <w:b/>
      <w:bCs/>
      <w:sz w:val="16"/>
      <w:szCs w:val="16"/>
      <w:lang w:eastAsia="en-GB"/>
    </w:rPr>
  </w:style>
  <w:style w:type="paragraph" w:customStyle="1" w:styleId="xl34">
    <w:name w:val="xl34"/>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5">
    <w:name w:val="xl35"/>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36">
    <w:name w:val="xl36"/>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7">
    <w:name w:val="xl37"/>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8">
    <w:name w:val="xl38"/>
    <w:basedOn w:val="Normal"/>
    <w:rsid w:val="003A13FD"/>
    <w:pPr>
      <w:spacing w:before="100" w:beforeAutospacing="1" w:after="100" w:afterAutospacing="1"/>
    </w:pPr>
    <w:rPr>
      <w:rFonts w:cs="Arial"/>
      <w:b/>
      <w:bCs/>
      <w:sz w:val="16"/>
      <w:szCs w:val="16"/>
      <w:lang w:eastAsia="en-GB"/>
    </w:rPr>
  </w:style>
  <w:style w:type="paragraph" w:customStyle="1" w:styleId="xl39">
    <w:name w:val="xl39"/>
    <w:basedOn w:val="Normal"/>
    <w:rsid w:val="003A13FD"/>
    <w:pPr>
      <w:pBdr>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0">
    <w:name w:val="xl40"/>
    <w:basedOn w:val="Normal"/>
    <w:rsid w:val="003A13F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1">
    <w:name w:val="xl41"/>
    <w:basedOn w:val="Normal"/>
    <w:rsid w:val="003A13FD"/>
    <w:pPr>
      <w:spacing w:before="100" w:beforeAutospacing="1" w:after="100" w:afterAutospacing="1"/>
    </w:pPr>
    <w:rPr>
      <w:rFonts w:ascii="Times New Roman" w:hAnsi="Times New Roman"/>
      <w:b/>
      <w:bCs/>
      <w:szCs w:val="24"/>
      <w:u w:val="single"/>
      <w:lang w:eastAsia="en-GB"/>
    </w:rPr>
  </w:style>
  <w:style w:type="paragraph" w:customStyle="1" w:styleId="xl42">
    <w:name w:val="xl42"/>
    <w:basedOn w:val="Normal"/>
    <w:rsid w:val="003A13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16"/>
      <w:szCs w:val="16"/>
      <w:lang w:eastAsia="en-GB"/>
    </w:rPr>
  </w:style>
  <w:style w:type="character" w:customStyle="1" w:styleId="2Char">
    <w:name w:val="2 Char"/>
    <w:aliases w:val="Level 2 Heading Char"/>
    <w:rsid w:val="00FD1FFC"/>
    <w:rPr>
      <w:rFonts w:ascii="Arial" w:hAnsi="Arial"/>
      <w:b/>
      <w:color w:val="000000"/>
      <w:sz w:val="24"/>
      <w:lang w:val="en-GB" w:eastAsia="en-US" w:bidi="ar-SA"/>
    </w:rPr>
  </w:style>
  <w:style w:type="paragraph" w:customStyle="1" w:styleId="font0">
    <w:name w:val="font0"/>
    <w:basedOn w:val="Normal"/>
    <w:rsid w:val="00801681"/>
    <w:pPr>
      <w:spacing w:before="100" w:beforeAutospacing="1" w:after="100" w:afterAutospacing="1"/>
    </w:pPr>
    <w:rPr>
      <w:rFonts w:cs="Arial"/>
      <w:sz w:val="20"/>
      <w:lang w:eastAsia="en-GB"/>
    </w:rPr>
  </w:style>
  <w:style w:type="paragraph" w:customStyle="1" w:styleId="font5">
    <w:name w:val="font5"/>
    <w:basedOn w:val="Normal"/>
    <w:rsid w:val="00801681"/>
    <w:pPr>
      <w:spacing w:before="100" w:beforeAutospacing="1" w:after="100" w:afterAutospacing="1"/>
    </w:pPr>
    <w:rPr>
      <w:rFonts w:cs="Arial"/>
      <w:sz w:val="20"/>
      <w:lang w:eastAsia="en-GB"/>
    </w:rPr>
  </w:style>
  <w:style w:type="paragraph" w:customStyle="1" w:styleId="xl43">
    <w:name w:val="xl43"/>
    <w:basedOn w:val="Normal"/>
    <w:rsid w:val="00801681"/>
    <w:pPr>
      <w:pBdr>
        <w:left w:val="single" w:sz="4" w:space="0" w:color="auto"/>
        <w:right w:val="single" w:sz="4" w:space="0" w:color="auto"/>
      </w:pBdr>
      <w:spacing w:before="100" w:beforeAutospacing="1" w:after="100" w:afterAutospacing="1"/>
      <w:jc w:val="center"/>
    </w:pPr>
    <w:rPr>
      <w:rFonts w:cs="Arial"/>
      <w:b/>
      <w:bCs/>
      <w:szCs w:val="24"/>
      <w:lang w:eastAsia="en-GB"/>
    </w:rPr>
  </w:style>
  <w:style w:type="paragraph" w:customStyle="1" w:styleId="xl44">
    <w:name w:val="xl44"/>
    <w:basedOn w:val="Normal"/>
    <w:rsid w:val="00801681"/>
    <w:pPr>
      <w:pBdr>
        <w:right w:val="single" w:sz="4" w:space="0" w:color="auto"/>
      </w:pBdr>
      <w:spacing w:before="100" w:beforeAutospacing="1" w:after="100" w:afterAutospacing="1"/>
      <w:jc w:val="center"/>
    </w:pPr>
    <w:rPr>
      <w:rFonts w:cs="Arial"/>
      <w:b/>
      <w:bCs/>
      <w:szCs w:val="24"/>
      <w:lang w:eastAsia="en-GB"/>
    </w:rPr>
  </w:style>
  <w:style w:type="paragraph" w:customStyle="1" w:styleId="xl45">
    <w:name w:val="xl45"/>
    <w:basedOn w:val="Normal"/>
    <w:rsid w:val="00801681"/>
    <w:pPr>
      <w:shd w:val="clear" w:color="auto" w:fill="C0C0C0"/>
      <w:spacing w:before="100" w:beforeAutospacing="1" w:after="100" w:afterAutospacing="1"/>
    </w:pPr>
    <w:rPr>
      <w:rFonts w:ascii="Times New Roman" w:hAnsi="Times New Roman"/>
      <w:szCs w:val="24"/>
      <w:lang w:eastAsia="en-GB"/>
    </w:rPr>
  </w:style>
  <w:style w:type="paragraph" w:customStyle="1" w:styleId="xl47">
    <w:name w:val="xl47"/>
    <w:basedOn w:val="Normal"/>
    <w:rsid w:val="00801681"/>
    <w:pPr>
      <w:spacing w:before="100" w:beforeAutospacing="1" w:after="100" w:afterAutospacing="1"/>
    </w:pPr>
    <w:rPr>
      <w:rFonts w:ascii="Monotype Sorts" w:hAnsi="Monotype Sorts"/>
      <w:szCs w:val="24"/>
      <w:lang w:eastAsia="en-GB"/>
    </w:rPr>
  </w:style>
  <w:style w:type="paragraph" w:customStyle="1" w:styleId="xl48">
    <w:name w:val="xl48"/>
    <w:basedOn w:val="Normal"/>
    <w:rsid w:val="00801681"/>
    <w:pPr>
      <w:spacing w:before="100" w:beforeAutospacing="1" w:after="100" w:afterAutospacing="1"/>
    </w:pPr>
    <w:rPr>
      <w:rFonts w:ascii="Times New Roman" w:hAnsi="Times New Roman"/>
      <w:szCs w:val="24"/>
      <w:lang w:eastAsia="en-GB"/>
    </w:rPr>
  </w:style>
  <w:style w:type="paragraph" w:customStyle="1" w:styleId="xl49">
    <w:name w:val="xl49"/>
    <w:basedOn w:val="Normal"/>
    <w:rsid w:val="00801681"/>
    <w:pPr>
      <w:pBdr>
        <w:top w:val="single" w:sz="8" w:space="0" w:color="auto"/>
        <w:left w:val="single" w:sz="8" w:space="0" w:color="auto"/>
        <w:right w:val="single" w:sz="4" w:space="0" w:color="auto"/>
      </w:pBdr>
      <w:spacing w:before="100" w:beforeAutospacing="1" w:after="100" w:afterAutospacing="1"/>
    </w:pPr>
    <w:rPr>
      <w:rFonts w:cs="Arial"/>
      <w:b/>
      <w:bCs/>
      <w:szCs w:val="24"/>
      <w:lang w:eastAsia="en-GB"/>
    </w:rPr>
  </w:style>
  <w:style w:type="paragraph" w:customStyle="1" w:styleId="xl50">
    <w:name w:val="xl50"/>
    <w:basedOn w:val="Normal"/>
    <w:rsid w:val="00801681"/>
    <w:pPr>
      <w:pBdr>
        <w:left w:val="single" w:sz="8" w:space="0" w:color="auto"/>
        <w:right w:val="single" w:sz="4" w:space="0" w:color="auto"/>
      </w:pBdr>
      <w:spacing w:before="100" w:beforeAutospacing="1" w:after="100" w:afterAutospacing="1"/>
      <w:jc w:val="center"/>
    </w:pPr>
    <w:rPr>
      <w:rFonts w:cs="Arial"/>
      <w:b/>
      <w:bCs/>
      <w:szCs w:val="24"/>
      <w:lang w:eastAsia="en-GB"/>
    </w:rPr>
  </w:style>
  <w:style w:type="paragraph" w:customStyle="1" w:styleId="xl51">
    <w:name w:val="xl51"/>
    <w:basedOn w:val="Normal"/>
    <w:rsid w:val="00801681"/>
    <w:pPr>
      <w:spacing w:before="100" w:beforeAutospacing="1" w:after="100" w:afterAutospacing="1"/>
    </w:pPr>
    <w:rPr>
      <w:rFonts w:cs="Arial"/>
      <w:szCs w:val="24"/>
      <w:lang w:eastAsia="en-GB"/>
    </w:rPr>
  </w:style>
  <w:style w:type="paragraph" w:customStyle="1" w:styleId="xl52">
    <w:name w:val="xl52"/>
    <w:basedOn w:val="Normal"/>
    <w:rsid w:val="00801681"/>
    <w:pPr>
      <w:spacing w:before="100" w:beforeAutospacing="1" w:after="100" w:afterAutospacing="1"/>
    </w:pPr>
    <w:rPr>
      <w:rFonts w:cs="Arial"/>
      <w:szCs w:val="24"/>
      <w:lang w:eastAsia="en-GB"/>
    </w:rPr>
  </w:style>
  <w:style w:type="paragraph" w:customStyle="1" w:styleId="xl53">
    <w:name w:val="xl53"/>
    <w:basedOn w:val="Normal"/>
    <w:rsid w:val="00801681"/>
    <w:pPr>
      <w:spacing w:before="100" w:beforeAutospacing="1" w:after="100" w:afterAutospacing="1"/>
      <w:textAlignment w:val="top"/>
    </w:pPr>
    <w:rPr>
      <w:rFonts w:cs="Arial"/>
      <w:szCs w:val="24"/>
      <w:lang w:eastAsia="en-GB"/>
    </w:rPr>
  </w:style>
  <w:style w:type="paragraph" w:customStyle="1" w:styleId="xl54">
    <w:name w:val="xl54"/>
    <w:basedOn w:val="Normal"/>
    <w:rsid w:val="00801681"/>
    <w:pPr>
      <w:spacing w:before="100" w:beforeAutospacing="1" w:after="100" w:afterAutospacing="1"/>
      <w:jc w:val="center"/>
    </w:pPr>
    <w:rPr>
      <w:rFonts w:ascii="Times New Roman" w:hAnsi="Times New Roman"/>
      <w:szCs w:val="24"/>
      <w:lang w:eastAsia="en-GB"/>
    </w:rPr>
  </w:style>
  <w:style w:type="paragraph" w:customStyle="1" w:styleId="xl55">
    <w:name w:val="xl55"/>
    <w:basedOn w:val="Normal"/>
    <w:rsid w:val="00801681"/>
    <w:pPr>
      <w:spacing w:before="100" w:beforeAutospacing="1" w:after="100" w:afterAutospacing="1"/>
    </w:pPr>
    <w:rPr>
      <w:rFonts w:cs="Arial"/>
      <w:szCs w:val="24"/>
      <w:lang w:eastAsia="en-GB"/>
    </w:rPr>
  </w:style>
  <w:style w:type="paragraph" w:customStyle="1" w:styleId="xl56">
    <w:name w:val="xl56"/>
    <w:basedOn w:val="Normal"/>
    <w:rsid w:val="00801681"/>
    <w:pPr>
      <w:spacing w:before="100" w:beforeAutospacing="1" w:after="100" w:afterAutospacing="1"/>
    </w:pPr>
    <w:rPr>
      <w:rFonts w:cs="Arial"/>
      <w:szCs w:val="24"/>
      <w:lang w:eastAsia="en-GB"/>
    </w:rPr>
  </w:style>
  <w:style w:type="paragraph" w:customStyle="1" w:styleId="xl57">
    <w:name w:val="xl57"/>
    <w:basedOn w:val="Normal"/>
    <w:rsid w:val="00801681"/>
    <w:pPr>
      <w:spacing w:before="100" w:beforeAutospacing="1" w:after="100" w:afterAutospacing="1"/>
      <w:textAlignment w:val="center"/>
    </w:pPr>
    <w:rPr>
      <w:rFonts w:cs="Arial"/>
      <w:szCs w:val="24"/>
      <w:lang w:eastAsia="en-GB"/>
    </w:rPr>
  </w:style>
  <w:style w:type="paragraph" w:customStyle="1" w:styleId="xl58">
    <w:name w:val="xl58"/>
    <w:basedOn w:val="Normal"/>
    <w:rsid w:val="00801681"/>
    <w:pPr>
      <w:spacing w:before="100" w:beforeAutospacing="1" w:after="100" w:afterAutospacing="1"/>
      <w:textAlignment w:val="center"/>
    </w:pPr>
    <w:rPr>
      <w:rFonts w:cs="Arial"/>
      <w:szCs w:val="24"/>
      <w:lang w:eastAsia="en-GB"/>
    </w:rPr>
  </w:style>
  <w:style w:type="paragraph" w:customStyle="1" w:styleId="xl59">
    <w:name w:val="xl59"/>
    <w:basedOn w:val="Normal"/>
    <w:rsid w:val="00801681"/>
    <w:pPr>
      <w:spacing w:before="100" w:beforeAutospacing="1" w:after="100" w:afterAutospacing="1"/>
      <w:textAlignment w:val="center"/>
    </w:pPr>
    <w:rPr>
      <w:rFonts w:cs="Arial"/>
      <w:szCs w:val="24"/>
      <w:lang w:eastAsia="en-GB"/>
    </w:rPr>
  </w:style>
  <w:style w:type="paragraph" w:customStyle="1" w:styleId="xl60">
    <w:name w:val="xl60"/>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1">
    <w:name w:val="xl61"/>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2">
    <w:name w:val="xl62"/>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63">
    <w:name w:val="xl63"/>
    <w:basedOn w:val="Normal"/>
    <w:rsid w:val="00801681"/>
    <w:pPr>
      <w:spacing w:before="100" w:beforeAutospacing="1" w:after="100" w:afterAutospacing="1"/>
      <w:jc w:val="center"/>
      <w:textAlignment w:val="center"/>
    </w:pPr>
    <w:rPr>
      <w:rFonts w:ascii="Times New Roman" w:hAnsi="Times New Roman"/>
      <w:szCs w:val="24"/>
      <w:lang w:eastAsia="en-GB"/>
    </w:rPr>
  </w:style>
  <w:style w:type="paragraph" w:customStyle="1" w:styleId="xl64">
    <w:name w:val="xl64"/>
    <w:basedOn w:val="Normal"/>
    <w:rsid w:val="00801681"/>
    <w:pPr>
      <w:spacing w:before="100" w:beforeAutospacing="1" w:after="100" w:afterAutospacing="1"/>
      <w:textAlignment w:val="center"/>
    </w:pPr>
    <w:rPr>
      <w:rFonts w:ascii="Monotype Sorts" w:hAnsi="Monotype Sorts"/>
      <w:szCs w:val="24"/>
      <w:lang w:eastAsia="en-GB"/>
    </w:rPr>
  </w:style>
  <w:style w:type="paragraph" w:customStyle="1" w:styleId="xl65">
    <w:name w:val="xl65"/>
    <w:basedOn w:val="Normal"/>
    <w:rsid w:val="00801681"/>
    <w:pPr>
      <w:spacing w:before="100" w:beforeAutospacing="1" w:after="100" w:afterAutospacing="1"/>
    </w:pPr>
    <w:rPr>
      <w:rFonts w:ascii="Times New Roman" w:hAnsi="Times New Roman"/>
      <w:szCs w:val="24"/>
      <w:lang w:eastAsia="en-GB"/>
    </w:rPr>
  </w:style>
  <w:style w:type="paragraph" w:customStyle="1" w:styleId="xl66">
    <w:name w:val="xl66"/>
    <w:basedOn w:val="Normal"/>
    <w:rsid w:val="00801681"/>
    <w:pPr>
      <w:spacing w:before="100" w:beforeAutospacing="1" w:after="100" w:afterAutospacing="1"/>
    </w:pPr>
    <w:rPr>
      <w:rFonts w:ascii="Times New Roman" w:hAnsi="Times New Roman"/>
      <w:color w:val="C0C0C0"/>
      <w:szCs w:val="24"/>
      <w:lang w:eastAsia="en-GB"/>
    </w:rPr>
  </w:style>
  <w:style w:type="paragraph" w:customStyle="1" w:styleId="xl67">
    <w:name w:val="xl67"/>
    <w:basedOn w:val="Normal"/>
    <w:rsid w:val="00801681"/>
    <w:pPr>
      <w:spacing w:before="100" w:beforeAutospacing="1" w:after="100" w:afterAutospacing="1"/>
    </w:pPr>
    <w:rPr>
      <w:rFonts w:ascii="Wingdings 2" w:hAnsi="Wingdings 2"/>
      <w:szCs w:val="24"/>
      <w:lang w:eastAsia="en-GB"/>
    </w:rPr>
  </w:style>
  <w:style w:type="paragraph" w:customStyle="1" w:styleId="xl68">
    <w:name w:val="xl68"/>
    <w:basedOn w:val="Normal"/>
    <w:rsid w:val="00801681"/>
    <w:pPr>
      <w:spacing w:before="100" w:beforeAutospacing="1" w:after="100" w:afterAutospacing="1"/>
      <w:textAlignment w:val="top"/>
    </w:pPr>
    <w:rPr>
      <w:rFonts w:ascii="Times New Roman" w:hAnsi="Times New Roman"/>
      <w:szCs w:val="24"/>
      <w:lang w:eastAsia="en-GB"/>
    </w:rPr>
  </w:style>
  <w:style w:type="paragraph" w:customStyle="1" w:styleId="xl69">
    <w:name w:val="xl69"/>
    <w:basedOn w:val="Normal"/>
    <w:rsid w:val="00801681"/>
    <w:pPr>
      <w:spacing w:before="100" w:beforeAutospacing="1" w:after="100" w:afterAutospacing="1"/>
      <w:textAlignment w:val="center"/>
    </w:pPr>
    <w:rPr>
      <w:rFonts w:ascii="Wingdings 2" w:hAnsi="Wingdings 2"/>
      <w:szCs w:val="24"/>
      <w:lang w:eastAsia="en-GB"/>
    </w:rPr>
  </w:style>
  <w:style w:type="paragraph" w:customStyle="1" w:styleId="xl70">
    <w:name w:val="xl70"/>
    <w:basedOn w:val="Normal"/>
    <w:rsid w:val="00801681"/>
    <w:pPr>
      <w:spacing w:before="100" w:beforeAutospacing="1" w:after="100" w:afterAutospacing="1"/>
      <w:textAlignment w:val="center"/>
    </w:pPr>
    <w:rPr>
      <w:rFonts w:ascii="Times New Roman" w:hAnsi="Times New Roman"/>
      <w:szCs w:val="24"/>
      <w:lang w:eastAsia="en-GB"/>
    </w:rPr>
  </w:style>
  <w:style w:type="paragraph" w:customStyle="1" w:styleId="xl71">
    <w:name w:val="xl71"/>
    <w:basedOn w:val="Normal"/>
    <w:rsid w:val="00801681"/>
    <w:pPr>
      <w:spacing w:before="100" w:beforeAutospacing="1" w:after="100" w:afterAutospacing="1"/>
      <w:jc w:val="center"/>
      <w:textAlignment w:val="center"/>
    </w:pPr>
    <w:rPr>
      <w:rFonts w:ascii="Times New Roman" w:hAnsi="Times New Roman"/>
      <w:szCs w:val="24"/>
      <w:lang w:eastAsia="en-GB"/>
    </w:rPr>
  </w:style>
  <w:style w:type="paragraph" w:customStyle="1" w:styleId="xl72">
    <w:name w:val="xl72"/>
    <w:basedOn w:val="Normal"/>
    <w:rsid w:val="00801681"/>
    <w:pPr>
      <w:spacing w:before="100" w:beforeAutospacing="1" w:after="100" w:afterAutospacing="1"/>
      <w:jc w:val="right"/>
    </w:pPr>
    <w:rPr>
      <w:rFonts w:ascii="Times New Roman" w:hAnsi="Times New Roman"/>
      <w:szCs w:val="24"/>
      <w:lang w:eastAsia="en-GB"/>
    </w:rPr>
  </w:style>
  <w:style w:type="paragraph" w:customStyle="1" w:styleId="xl73">
    <w:name w:val="xl73"/>
    <w:basedOn w:val="Normal"/>
    <w:rsid w:val="00801681"/>
    <w:pPr>
      <w:spacing w:before="100" w:beforeAutospacing="1" w:after="100" w:afterAutospacing="1"/>
    </w:pPr>
    <w:rPr>
      <w:rFonts w:ascii="Times New Roman" w:hAnsi="Times New Roman"/>
      <w:color w:val="0000FF"/>
      <w:szCs w:val="24"/>
      <w:lang w:eastAsia="en-GB"/>
    </w:rPr>
  </w:style>
  <w:style w:type="paragraph" w:customStyle="1" w:styleId="xl74">
    <w:name w:val="xl74"/>
    <w:basedOn w:val="Normal"/>
    <w:rsid w:val="00801681"/>
    <w:pPr>
      <w:spacing w:before="100" w:beforeAutospacing="1" w:after="100" w:afterAutospacing="1"/>
    </w:pPr>
    <w:rPr>
      <w:rFonts w:ascii="Times New Roman" w:hAnsi="Times New Roman"/>
      <w:szCs w:val="24"/>
      <w:lang w:eastAsia="en-GB"/>
    </w:rPr>
  </w:style>
  <w:style w:type="paragraph" w:customStyle="1" w:styleId="xl75">
    <w:name w:val="xl75"/>
    <w:basedOn w:val="Normal"/>
    <w:rsid w:val="00801681"/>
    <w:pPr>
      <w:spacing w:before="100" w:beforeAutospacing="1" w:after="100" w:afterAutospacing="1"/>
    </w:pPr>
    <w:rPr>
      <w:rFonts w:ascii="Wingdings" w:hAnsi="Wingdings"/>
      <w:szCs w:val="24"/>
      <w:lang w:eastAsia="en-GB"/>
    </w:rPr>
  </w:style>
  <w:style w:type="paragraph" w:customStyle="1" w:styleId="xl76">
    <w:name w:val="xl76"/>
    <w:basedOn w:val="Normal"/>
    <w:rsid w:val="00801681"/>
    <w:pPr>
      <w:spacing w:before="100" w:beforeAutospacing="1" w:after="100" w:afterAutospacing="1"/>
    </w:pPr>
    <w:rPr>
      <w:rFonts w:cs="Arial"/>
      <w:szCs w:val="24"/>
      <w:lang w:eastAsia="en-GB"/>
    </w:rPr>
  </w:style>
  <w:style w:type="paragraph" w:customStyle="1" w:styleId="xl77">
    <w:name w:val="xl77"/>
    <w:basedOn w:val="Normal"/>
    <w:rsid w:val="00801681"/>
    <w:pPr>
      <w:shd w:val="clear" w:color="auto" w:fill="C0C0C0"/>
      <w:spacing w:before="100" w:beforeAutospacing="1" w:after="100" w:afterAutospacing="1"/>
    </w:pPr>
    <w:rPr>
      <w:rFonts w:ascii="Wingdings" w:hAnsi="Wingdings"/>
      <w:szCs w:val="24"/>
      <w:lang w:eastAsia="en-GB"/>
    </w:rPr>
  </w:style>
  <w:style w:type="paragraph" w:customStyle="1" w:styleId="xl78">
    <w:name w:val="xl78"/>
    <w:basedOn w:val="Normal"/>
    <w:rsid w:val="00801681"/>
    <w:pPr>
      <w:shd w:val="clear" w:color="auto" w:fill="C0C0C0"/>
      <w:spacing w:before="100" w:beforeAutospacing="1" w:after="100" w:afterAutospacing="1"/>
    </w:pPr>
    <w:rPr>
      <w:rFonts w:ascii="Times New Roman" w:hAnsi="Times New Roman"/>
      <w:szCs w:val="24"/>
      <w:lang w:eastAsia="en-GB"/>
    </w:rPr>
  </w:style>
  <w:style w:type="paragraph" w:customStyle="1" w:styleId="xl79">
    <w:name w:val="xl79"/>
    <w:basedOn w:val="Normal"/>
    <w:rsid w:val="00801681"/>
    <w:pPr>
      <w:shd w:val="clear" w:color="auto" w:fill="C0C0C0"/>
      <w:spacing w:before="100" w:beforeAutospacing="1" w:after="100" w:afterAutospacing="1"/>
    </w:pPr>
    <w:rPr>
      <w:rFonts w:cs="Arial"/>
      <w:szCs w:val="24"/>
      <w:lang w:eastAsia="en-GB"/>
    </w:rPr>
  </w:style>
  <w:style w:type="paragraph" w:customStyle="1" w:styleId="xl80">
    <w:name w:val="xl80"/>
    <w:basedOn w:val="Normal"/>
    <w:rsid w:val="00801681"/>
    <w:pPr>
      <w:spacing w:before="100" w:beforeAutospacing="1" w:after="100" w:afterAutospacing="1"/>
      <w:textAlignment w:val="center"/>
    </w:pPr>
    <w:rPr>
      <w:rFonts w:cs="Arial"/>
      <w:sz w:val="22"/>
      <w:szCs w:val="22"/>
      <w:lang w:eastAsia="en-GB"/>
    </w:rPr>
  </w:style>
  <w:style w:type="paragraph" w:customStyle="1" w:styleId="xl81">
    <w:name w:val="xl81"/>
    <w:basedOn w:val="Normal"/>
    <w:rsid w:val="00801681"/>
    <w:pPr>
      <w:spacing w:before="100" w:beforeAutospacing="1" w:after="100" w:afterAutospacing="1"/>
    </w:pPr>
    <w:rPr>
      <w:rFonts w:cs="Arial"/>
      <w:sz w:val="22"/>
      <w:szCs w:val="22"/>
      <w:lang w:eastAsia="en-GB"/>
    </w:rPr>
  </w:style>
  <w:style w:type="paragraph" w:customStyle="1" w:styleId="xl82">
    <w:name w:val="xl82"/>
    <w:basedOn w:val="Normal"/>
    <w:rsid w:val="00801681"/>
    <w:pPr>
      <w:spacing w:before="100" w:beforeAutospacing="1" w:after="100" w:afterAutospacing="1"/>
    </w:pPr>
    <w:rPr>
      <w:rFonts w:ascii="Times New Roman" w:hAnsi="Times New Roman"/>
      <w:szCs w:val="24"/>
      <w:lang w:eastAsia="en-GB"/>
    </w:rPr>
  </w:style>
  <w:style w:type="paragraph" w:customStyle="1" w:styleId="xl83">
    <w:name w:val="xl83"/>
    <w:basedOn w:val="Normal"/>
    <w:rsid w:val="00801681"/>
    <w:pPr>
      <w:spacing w:before="100" w:beforeAutospacing="1" w:after="100" w:afterAutospacing="1"/>
      <w:jc w:val="center"/>
    </w:pPr>
    <w:rPr>
      <w:rFonts w:ascii="Times New Roman" w:hAnsi="Times New Roman"/>
      <w:szCs w:val="24"/>
      <w:lang w:eastAsia="en-GB"/>
    </w:rPr>
  </w:style>
  <w:style w:type="paragraph" w:styleId="NormalWeb">
    <w:name w:val="Normal (Web)"/>
    <w:basedOn w:val="Normal"/>
    <w:rsid w:val="00F8311D"/>
    <w:pPr>
      <w:spacing w:before="100" w:beforeAutospacing="1" w:after="100" w:afterAutospacing="1"/>
    </w:pPr>
    <w:rPr>
      <w:rFonts w:ascii="Times New Roman" w:hAnsi="Times New Roman"/>
      <w:szCs w:val="24"/>
      <w:lang w:eastAsia="en-GB"/>
    </w:rPr>
  </w:style>
  <w:style w:type="character" w:styleId="Emphasis">
    <w:name w:val="Emphasis"/>
    <w:qFormat/>
    <w:rsid w:val="00F8311D"/>
    <w:rPr>
      <w:i/>
      <w:iCs/>
    </w:rPr>
  </w:style>
  <w:style w:type="paragraph" w:customStyle="1" w:styleId="Body">
    <w:name w:val="Body"/>
    <w:basedOn w:val="Normal"/>
    <w:rsid w:val="00F33006"/>
    <w:pPr>
      <w:spacing w:after="160"/>
      <w:ind w:left="720" w:right="720"/>
      <w:jc w:val="both"/>
    </w:pPr>
    <w:rPr>
      <w:rFonts w:ascii="Century Schoolbook" w:hAnsi="Century Schoolbook"/>
      <w:lang w:eastAsia="en-GB"/>
    </w:rPr>
  </w:style>
  <w:style w:type="paragraph" w:customStyle="1" w:styleId="Body3">
    <w:name w:val="Body 3"/>
    <w:basedOn w:val="Body"/>
    <w:rsid w:val="00F33006"/>
    <w:pPr>
      <w:spacing w:after="240"/>
      <w:ind w:left="1701" w:right="0"/>
    </w:pPr>
    <w:rPr>
      <w:rFonts w:ascii="Arial" w:hAnsi="Arial" w:cs="Arial"/>
      <w:sz w:val="20"/>
    </w:rPr>
  </w:style>
  <w:style w:type="paragraph" w:customStyle="1" w:styleId="Body0">
    <w:name w:val="Body*"/>
    <w:rsid w:val="00DF604C"/>
    <w:pPr>
      <w:keepLines/>
      <w:spacing w:line="320" w:lineRule="exact"/>
      <w:ind w:right="850"/>
      <w:jc w:val="both"/>
    </w:pPr>
    <w:rPr>
      <w:rFonts w:ascii="Perpetua" w:hAnsi="Perpetua"/>
      <w:noProof/>
      <w:sz w:val="26"/>
    </w:rPr>
  </w:style>
  <w:style w:type="paragraph" w:customStyle="1" w:styleId="Bullet1">
    <w:name w:val="Bullet 1"/>
    <w:basedOn w:val="Normal"/>
    <w:link w:val="Bullet1Char"/>
    <w:rsid w:val="006E5226"/>
    <w:pPr>
      <w:keepLines/>
      <w:tabs>
        <w:tab w:val="num" w:pos="794"/>
      </w:tabs>
      <w:spacing w:before="100"/>
      <w:ind w:left="794" w:hanging="397"/>
    </w:pPr>
    <w:rPr>
      <w:szCs w:val="24"/>
      <w:lang w:eastAsia="en-GB"/>
    </w:rPr>
  </w:style>
  <w:style w:type="character" w:customStyle="1" w:styleId="Bullet1Char">
    <w:name w:val="Bullet 1 Char"/>
    <w:link w:val="Bullet1"/>
    <w:rsid w:val="006E5226"/>
    <w:rPr>
      <w:rFonts w:ascii="Arial" w:hAnsi="Arial"/>
      <w:sz w:val="24"/>
      <w:szCs w:val="24"/>
    </w:rPr>
  </w:style>
  <w:style w:type="paragraph" w:styleId="TOC3">
    <w:name w:val="toc 3"/>
    <w:basedOn w:val="Normal"/>
    <w:next w:val="Normal"/>
    <w:autoRedefine/>
    <w:semiHidden/>
    <w:rsid w:val="005B7B3D"/>
    <w:pPr>
      <w:ind w:left="480"/>
    </w:pPr>
  </w:style>
  <w:style w:type="paragraph" w:styleId="ListParagraph">
    <w:name w:val="List Paragraph"/>
    <w:basedOn w:val="Normal"/>
    <w:qFormat/>
    <w:rsid w:val="005B7B3D"/>
    <w:pPr>
      <w:ind w:left="720"/>
      <w:contextualSpacing/>
    </w:pPr>
    <w:rPr>
      <w:rFonts w:ascii="Times New Roman" w:eastAsia="Calibri" w:hAnsi="Times New Roman"/>
      <w:szCs w:val="24"/>
      <w:lang w:eastAsia="en-GB"/>
    </w:rPr>
  </w:style>
  <w:style w:type="paragraph" w:styleId="NoSpacing">
    <w:name w:val="No Spacing"/>
    <w:link w:val="NoSpacingChar"/>
    <w:qFormat/>
    <w:rsid w:val="005B7B3D"/>
    <w:rPr>
      <w:rFonts w:ascii="Calibri" w:eastAsia="Calibri" w:hAnsi="Calibri"/>
      <w:sz w:val="22"/>
      <w:szCs w:val="22"/>
      <w:lang w:val="en-US" w:eastAsia="en-US"/>
    </w:rPr>
  </w:style>
  <w:style w:type="character" w:customStyle="1" w:styleId="NoSpacingChar">
    <w:name w:val="No Spacing Char"/>
    <w:link w:val="NoSpacing"/>
    <w:locked/>
    <w:rsid w:val="005B7B3D"/>
    <w:rPr>
      <w:rFonts w:ascii="Calibri" w:eastAsia="Calibri" w:hAnsi="Calibri"/>
      <w:sz w:val="22"/>
      <w:szCs w:val="22"/>
      <w:lang w:val="en-US" w:eastAsia="en-US" w:bidi="ar-SA"/>
    </w:rPr>
  </w:style>
  <w:style w:type="paragraph" w:styleId="TOCHeading">
    <w:name w:val="TOC Heading"/>
    <w:basedOn w:val="Heading1"/>
    <w:next w:val="Normal"/>
    <w:qFormat/>
    <w:rsid w:val="005B7B3D"/>
    <w:pPr>
      <w:keepLines/>
      <w:spacing w:before="480" w:line="276" w:lineRule="auto"/>
      <w:ind w:left="0" w:firstLine="0"/>
      <w:jc w:val="left"/>
      <w:outlineLvl w:val="9"/>
    </w:pPr>
    <w:rPr>
      <w:rFonts w:ascii="Cambria" w:eastAsia="Calibri" w:hAnsi="Cambria"/>
      <w:bCs/>
      <w:color w:val="365F91"/>
      <w:sz w:val="28"/>
      <w:szCs w:val="28"/>
      <w:lang w:val="en-US"/>
    </w:rPr>
  </w:style>
  <w:style w:type="paragraph" w:customStyle="1" w:styleId="Bullets">
    <w:name w:val="Bullets"/>
    <w:basedOn w:val="BodyText"/>
    <w:rsid w:val="005B7B3D"/>
    <w:pPr>
      <w:tabs>
        <w:tab w:val="left" w:pos="648"/>
        <w:tab w:val="left" w:pos="936"/>
      </w:tabs>
      <w:spacing w:after="360"/>
      <w:jc w:val="both"/>
    </w:pPr>
    <w:rPr>
      <w:rFonts w:ascii="Garamond" w:eastAsia="Calibri" w:hAnsi="Garamond"/>
      <w:sz w:val="24"/>
      <w:lang w:eastAsia="en-GB"/>
    </w:rPr>
  </w:style>
  <w:style w:type="paragraph" w:styleId="CommentText">
    <w:name w:val="annotation text"/>
    <w:basedOn w:val="Normal"/>
    <w:semiHidden/>
    <w:rsid w:val="005334B3"/>
    <w:rPr>
      <w:sz w:val="20"/>
    </w:rPr>
  </w:style>
  <w:style w:type="character" w:customStyle="1" w:styleId="Heading2Char">
    <w:name w:val="Heading 2 Char"/>
    <w:locked/>
    <w:rsid w:val="00281AFF"/>
    <w:rPr>
      <w:rFonts w:ascii="Arial" w:hAnsi="Arial" w:cs="Arial"/>
      <w:b/>
      <w:bCs/>
      <w:i/>
      <w:iCs/>
      <w:sz w:val="28"/>
      <w:szCs w:val="28"/>
      <w:lang w:val="x-none" w:eastAsia="en-GB"/>
    </w:rPr>
  </w:style>
  <w:style w:type="table" w:customStyle="1" w:styleId="ColorfulShading-Accent41">
    <w:name w:val="Colorful Shading - Accent 41"/>
    <w:rsid w:val="00281AFF"/>
    <w:rPr>
      <w:rFonts w:ascii="Calibri" w:hAnsi="Calibri"/>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style>
  <w:style w:type="table" w:customStyle="1" w:styleId="ColorfulGrid-Accent41">
    <w:name w:val="Colorful Grid - Accent 41"/>
    <w:rsid w:val="00281AF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style>
  <w:style w:type="table" w:customStyle="1" w:styleId="ColorfulList-Accent11">
    <w:name w:val="Colorful List - Accent 11"/>
    <w:rsid w:val="00281AFF"/>
    <w:rPr>
      <w:rFonts w:ascii="Calibri" w:hAnsi="Calibri"/>
      <w:color w:val="000000"/>
    </w:rPr>
    <w:tblPr>
      <w:tblStyleRowBandSize w:val="1"/>
      <w:tblStyleColBandSize w:val="1"/>
      <w:tblInd w:w="0" w:type="dxa"/>
      <w:tblCellMar>
        <w:top w:w="0" w:type="dxa"/>
        <w:left w:w="108" w:type="dxa"/>
        <w:bottom w:w="0" w:type="dxa"/>
        <w:right w:w="108" w:type="dxa"/>
      </w:tblCellMar>
    </w:tblPr>
    <w:tcPr>
      <w:shd w:val="clear" w:color="auto" w:fill="EDF2F8"/>
    </w:tcPr>
  </w:style>
  <w:style w:type="table" w:customStyle="1" w:styleId="MediumShading2-Accent21">
    <w:name w:val="Medium Shading 2 - Accent 21"/>
    <w:rsid w:val="00281AFF"/>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ColorfulGrid-Accent11">
    <w:name w:val="Colorful Grid - Accent 11"/>
    <w:rsid w:val="00281AFF"/>
    <w:rPr>
      <w:rFonts w:ascii="Calibri" w:hAnsi="Calibri"/>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style>
  <w:style w:type="paragraph" w:customStyle="1" w:styleId="maf">
    <w:name w:val="maf"/>
    <w:basedOn w:val="Default"/>
    <w:next w:val="Default"/>
    <w:rsid w:val="00281AFF"/>
    <w:rPr>
      <w:rFonts w:ascii="Times New Roman" w:eastAsia="Calibri" w:hAnsi="Times New Roman" w:cs="Times New Roman"/>
      <w:color w:val="auto"/>
      <w:lang w:val="en-US" w:eastAsia="en-US"/>
    </w:rPr>
  </w:style>
  <w:style w:type="character" w:customStyle="1" w:styleId="Hyperlink8">
    <w:name w:val="Hyperlink8"/>
    <w:rsid w:val="00281AFF"/>
    <w:rPr>
      <w:rFonts w:cs="Times New Roman"/>
      <w:b/>
      <w:bCs/>
      <w:color w:val="336699"/>
      <w:u w:val="none"/>
      <w:effect w:val="none"/>
    </w:rPr>
  </w:style>
  <w:style w:type="paragraph" w:customStyle="1" w:styleId="Question">
    <w:name w:val="Question"/>
    <w:basedOn w:val="Normal"/>
    <w:rsid w:val="00281AFF"/>
    <w:pPr>
      <w:tabs>
        <w:tab w:val="num" w:pos="709"/>
      </w:tabs>
      <w:spacing w:before="160" w:after="100"/>
      <w:ind w:left="709" w:hanging="567"/>
    </w:pPr>
    <w:rPr>
      <w:rFonts w:eastAsia="Calibri"/>
      <w:b/>
      <w:sz w:val="21"/>
    </w:rPr>
  </w:style>
  <w:style w:type="paragraph" w:customStyle="1" w:styleId="Section">
    <w:name w:val="Section"/>
    <w:basedOn w:val="Question"/>
    <w:rsid w:val="00281AFF"/>
    <w:pPr>
      <w:spacing w:before="360" w:after="0"/>
    </w:pPr>
    <w:rPr>
      <w:caps/>
      <w:sz w:val="25"/>
    </w:rPr>
  </w:style>
  <w:style w:type="paragraph" w:customStyle="1" w:styleId="QuestionFollowup">
    <w:name w:val="Question Followup"/>
    <w:basedOn w:val="Question"/>
    <w:rsid w:val="00281AFF"/>
    <w:pPr>
      <w:numPr>
        <w:ilvl w:val="2"/>
      </w:numPr>
      <w:tabs>
        <w:tab w:val="num" w:pos="709"/>
      </w:tabs>
      <w:ind w:left="709" w:hanging="567"/>
    </w:pPr>
  </w:style>
  <w:style w:type="paragraph" w:customStyle="1" w:styleId="Appendixhead">
    <w:name w:val="Appendix head"/>
    <w:basedOn w:val="Heading1"/>
    <w:next w:val="Normal"/>
    <w:rsid w:val="00281AFF"/>
    <w:pPr>
      <w:keepNext w:val="0"/>
      <w:pageBreakBefore/>
      <w:tabs>
        <w:tab w:val="left" w:pos="1021"/>
        <w:tab w:val="num" w:pos="1800"/>
      </w:tabs>
      <w:spacing w:after="1080"/>
      <w:ind w:left="431" w:hanging="431"/>
      <w:jc w:val="both"/>
      <w:outlineLvl w:val="9"/>
    </w:pPr>
    <w:rPr>
      <w:rFonts w:ascii="Verdana" w:eastAsia="Calibri" w:hAnsi="Verdana"/>
      <w:kern w:val="28"/>
      <w:sz w:val="32"/>
      <w:szCs w:val="24"/>
    </w:rPr>
  </w:style>
  <w:style w:type="paragraph" w:customStyle="1" w:styleId="Appendixtext">
    <w:name w:val="Appendix text"/>
    <w:basedOn w:val="Heading2"/>
    <w:rsid w:val="00281AFF"/>
    <w:pPr>
      <w:keepNext w:val="0"/>
      <w:keepLines/>
      <w:tabs>
        <w:tab w:val="num" w:pos="576"/>
        <w:tab w:val="left" w:pos="1021"/>
        <w:tab w:val="num" w:pos="1152"/>
      </w:tabs>
      <w:spacing w:before="240" w:after="60"/>
      <w:ind w:left="578" w:hanging="578"/>
      <w:jc w:val="both"/>
    </w:pPr>
    <w:rPr>
      <w:rFonts w:ascii="Verdana" w:eastAsia="Calibri" w:hAnsi="Verdana" w:cs="Arial"/>
      <w:b w:val="0"/>
      <w:bCs/>
      <w:iCs/>
      <w:color w:val="auto"/>
      <w:sz w:val="22"/>
      <w:szCs w:val="28"/>
      <w:lang w:val="en-US"/>
    </w:rPr>
  </w:style>
  <w:style w:type="paragraph" w:customStyle="1" w:styleId="bulletscs1">
    <w:name w:val="bullet scs1"/>
    <w:basedOn w:val="Normal"/>
    <w:rsid w:val="00281AFF"/>
    <w:pPr>
      <w:tabs>
        <w:tab w:val="left" w:pos="907"/>
      </w:tabs>
      <w:spacing w:after="120"/>
      <w:ind w:right="658"/>
    </w:pPr>
    <w:rPr>
      <w:rFonts w:eastAsia="Calibri"/>
      <w:sz w:val="22"/>
      <w:szCs w:val="24"/>
    </w:rPr>
  </w:style>
  <w:style w:type="paragraph" w:customStyle="1" w:styleId="wfxRecipient">
    <w:name w:val="wfxRecipient"/>
    <w:basedOn w:val="Normal"/>
    <w:rsid w:val="00281AFF"/>
    <w:rPr>
      <w:rFonts w:ascii="Times New Roman" w:eastAsia="Calibri" w:hAnsi="Times New Roman"/>
      <w:szCs w:val="24"/>
    </w:rPr>
  </w:style>
  <w:style w:type="paragraph" w:customStyle="1" w:styleId="Tabledata">
    <w:name w:val="Table data"/>
    <w:basedOn w:val="Normal"/>
    <w:rsid w:val="00281AFF"/>
    <w:pPr>
      <w:ind w:right="113"/>
      <w:jc w:val="right"/>
    </w:pPr>
    <w:rPr>
      <w:rFonts w:eastAsia="Calibri"/>
      <w:color w:val="000000"/>
      <w:sz w:val="22"/>
      <w:szCs w:val="24"/>
    </w:rPr>
  </w:style>
  <w:style w:type="paragraph" w:customStyle="1" w:styleId="Appendixhead2">
    <w:name w:val="Appendixhead2"/>
    <w:basedOn w:val="Heading2"/>
    <w:rsid w:val="00281AFF"/>
    <w:pPr>
      <w:keepNext w:val="0"/>
      <w:keepLines/>
      <w:tabs>
        <w:tab w:val="left" w:pos="1021"/>
      </w:tabs>
      <w:spacing w:before="120" w:after="120"/>
      <w:ind w:left="142" w:hanging="708"/>
      <w:jc w:val="both"/>
      <w:outlineLvl w:val="9"/>
    </w:pPr>
    <w:rPr>
      <w:rFonts w:ascii="Verdana" w:eastAsia="Calibri" w:hAnsi="Verdana"/>
      <w:b w:val="0"/>
      <w:i/>
      <w:noProof/>
      <w:color w:val="auto"/>
      <w:sz w:val="24"/>
      <w:szCs w:val="24"/>
      <w:u w:val="single"/>
      <w:lang w:val="en-US"/>
    </w:rPr>
  </w:style>
  <w:style w:type="paragraph" w:customStyle="1" w:styleId="TABLEHEADING">
    <w:name w:val="TABLE HEADING"/>
    <w:basedOn w:val="Normal"/>
    <w:rsid w:val="00281AFF"/>
    <w:rPr>
      <w:rFonts w:ascii="Times New Roman" w:eastAsia="Calibri" w:hAnsi="Times New Roman"/>
      <w:b/>
      <w:szCs w:val="24"/>
    </w:rPr>
  </w:style>
  <w:style w:type="paragraph" w:customStyle="1" w:styleId="cncont">
    <w:name w:val="cn_cont"/>
    <w:basedOn w:val="Normal"/>
    <w:rsid w:val="00281AFF"/>
    <w:pPr>
      <w:spacing w:before="100" w:beforeAutospacing="1" w:after="100" w:afterAutospacing="1"/>
    </w:pPr>
    <w:rPr>
      <w:rFonts w:ascii="Verdana" w:eastAsia="Calibri" w:hAnsi="Verdana"/>
      <w:color w:val="000066"/>
      <w:sz w:val="18"/>
      <w:szCs w:val="18"/>
      <w:lang w:val="en-US"/>
    </w:rPr>
  </w:style>
  <w:style w:type="paragraph" w:styleId="TOC4">
    <w:name w:val="toc 4"/>
    <w:basedOn w:val="Normal"/>
    <w:next w:val="Normal"/>
    <w:autoRedefine/>
    <w:rsid w:val="00281AFF"/>
    <w:pPr>
      <w:spacing w:after="100" w:line="276" w:lineRule="auto"/>
      <w:ind w:left="660"/>
    </w:pPr>
    <w:rPr>
      <w:rFonts w:ascii="Calibri" w:eastAsia="Calibri" w:hAnsi="Calibri"/>
      <w:sz w:val="22"/>
      <w:szCs w:val="22"/>
      <w:lang w:eastAsia="en-GB"/>
    </w:rPr>
  </w:style>
  <w:style w:type="paragraph" w:styleId="TOC5">
    <w:name w:val="toc 5"/>
    <w:basedOn w:val="Normal"/>
    <w:next w:val="Normal"/>
    <w:autoRedefine/>
    <w:rsid w:val="00281AFF"/>
    <w:pPr>
      <w:spacing w:after="100" w:line="276" w:lineRule="auto"/>
      <w:ind w:left="880"/>
    </w:pPr>
    <w:rPr>
      <w:rFonts w:ascii="Calibri" w:eastAsia="Calibri" w:hAnsi="Calibri"/>
      <w:sz w:val="22"/>
      <w:szCs w:val="22"/>
      <w:lang w:eastAsia="en-GB"/>
    </w:rPr>
  </w:style>
  <w:style w:type="paragraph" w:styleId="TOC6">
    <w:name w:val="toc 6"/>
    <w:basedOn w:val="Normal"/>
    <w:next w:val="Normal"/>
    <w:autoRedefine/>
    <w:rsid w:val="00281AFF"/>
    <w:pPr>
      <w:spacing w:after="100" w:line="276" w:lineRule="auto"/>
      <w:ind w:left="1100"/>
    </w:pPr>
    <w:rPr>
      <w:rFonts w:ascii="Calibri" w:eastAsia="Calibri" w:hAnsi="Calibri"/>
      <w:sz w:val="22"/>
      <w:szCs w:val="22"/>
      <w:lang w:eastAsia="en-GB"/>
    </w:rPr>
  </w:style>
  <w:style w:type="paragraph" w:styleId="TOC7">
    <w:name w:val="toc 7"/>
    <w:basedOn w:val="Normal"/>
    <w:next w:val="Normal"/>
    <w:autoRedefine/>
    <w:rsid w:val="00281AFF"/>
    <w:pPr>
      <w:spacing w:after="100" w:line="276" w:lineRule="auto"/>
      <w:ind w:left="1320"/>
    </w:pPr>
    <w:rPr>
      <w:rFonts w:ascii="Calibri" w:eastAsia="Calibri" w:hAnsi="Calibri"/>
      <w:sz w:val="22"/>
      <w:szCs w:val="22"/>
      <w:lang w:eastAsia="en-GB"/>
    </w:rPr>
  </w:style>
  <w:style w:type="paragraph" w:styleId="TOC8">
    <w:name w:val="toc 8"/>
    <w:basedOn w:val="Normal"/>
    <w:next w:val="Normal"/>
    <w:autoRedefine/>
    <w:rsid w:val="00281AFF"/>
    <w:pPr>
      <w:spacing w:after="100" w:line="276" w:lineRule="auto"/>
      <w:ind w:left="1540"/>
    </w:pPr>
    <w:rPr>
      <w:rFonts w:ascii="Calibri" w:eastAsia="Calibri" w:hAnsi="Calibri"/>
      <w:sz w:val="22"/>
      <w:szCs w:val="22"/>
      <w:lang w:eastAsia="en-GB"/>
    </w:rPr>
  </w:style>
  <w:style w:type="paragraph" w:styleId="TOC9">
    <w:name w:val="toc 9"/>
    <w:basedOn w:val="Normal"/>
    <w:next w:val="Normal"/>
    <w:autoRedefine/>
    <w:rsid w:val="00281AFF"/>
    <w:pPr>
      <w:spacing w:after="100" w:line="276" w:lineRule="auto"/>
      <w:ind w:left="1760"/>
    </w:pPr>
    <w:rPr>
      <w:rFonts w:ascii="Calibri" w:eastAsia="Calibri" w:hAnsi="Calibri"/>
      <w:sz w:val="22"/>
      <w:szCs w:val="22"/>
      <w:lang w:eastAsia="en-GB"/>
    </w:rPr>
  </w:style>
  <w:style w:type="character" w:customStyle="1" w:styleId="subhead21">
    <w:name w:val="subhead21"/>
    <w:rsid w:val="00281AFF"/>
    <w:rPr>
      <w:rFonts w:ascii="Arial" w:hAnsi="Arial" w:cs="Arial"/>
      <w:b/>
      <w:bCs/>
      <w:color w:val="559EDA"/>
      <w:sz w:val="22"/>
      <w:szCs w:val="22"/>
    </w:rPr>
  </w:style>
  <w:style w:type="paragraph" w:customStyle="1" w:styleId="Style1">
    <w:name w:val="Style1"/>
    <w:basedOn w:val="Heading1"/>
    <w:rsid w:val="00281AFF"/>
    <w:pPr>
      <w:spacing w:before="240" w:after="60"/>
      <w:ind w:left="0" w:firstLine="0"/>
      <w:jc w:val="left"/>
    </w:pPr>
    <w:rPr>
      <w:rFonts w:ascii="FoundryFormSans-Book" w:eastAsia="Calibri" w:hAnsi="FoundryFormSans-Book" w:cs="FoundryFormSans-Book"/>
      <w:bCs/>
      <w:color w:val="008000"/>
      <w:kern w:val="32"/>
      <w:sz w:val="40"/>
      <w:szCs w:val="40"/>
      <w:lang w:val="en-US"/>
    </w:rPr>
  </w:style>
  <w:style w:type="table" w:customStyle="1" w:styleId="MediumList2-Accent11">
    <w:name w:val="Medium List 2 - Accent 11"/>
    <w:rsid w:val="00281AFF"/>
    <w:rPr>
      <w:rFonts w:ascii="Cambria" w:eastAsia="Calibri" w:hAnsi="Cambria"/>
      <w:color w:val="000000"/>
      <w:lang w:val="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tabs">
    <w:name w:val="tabs"/>
    <w:basedOn w:val="Normal"/>
    <w:next w:val="Normal"/>
    <w:rsid w:val="00281AFF"/>
    <w:rPr>
      <w:rFonts w:ascii="Garamond" w:eastAsia="Calibri" w:hAnsi="Garamond"/>
      <w:sz w:val="22"/>
      <w:lang w:eastAsia="en-GB"/>
    </w:rPr>
  </w:style>
  <w:style w:type="paragraph" w:customStyle="1" w:styleId="Heading2NonTOC">
    <w:name w:val="Heading 2 Non TOC"/>
    <w:basedOn w:val="BodyText"/>
    <w:next w:val="BodyText"/>
    <w:rsid w:val="00281AFF"/>
    <w:pPr>
      <w:keepNext/>
      <w:spacing w:after="120"/>
    </w:pPr>
    <w:rPr>
      <w:rFonts w:ascii="RotisSansSerifExtraBold" w:eastAsia="Calibri" w:hAnsi="RotisSansSerifExtraBold"/>
      <w:sz w:val="32"/>
      <w:lang w:eastAsia="en-GB"/>
    </w:rPr>
  </w:style>
  <w:style w:type="table" w:customStyle="1" w:styleId="LightList1">
    <w:name w:val="Light List1"/>
    <w:rsid w:val="00281AFF"/>
    <w:rPr>
      <w:rFonts w:ascii="Calibri" w:eastAsia="Calibri" w:hAnsi="Calibri"/>
      <w:lang w:val="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CharChar11">
    <w:name w:val="Char Char11"/>
    <w:rsid w:val="009F6BE0"/>
    <w:rPr>
      <w:rFonts w:ascii="Arial" w:eastAsia="Times New Roman" w:hAnsi="Arial" w:cs="Arial"/>
      <w:b/>
      <w:bCs/>
      <w:i/>
      <w:iCs/>
      <w:sz w:val="28"/>
      <w:szCs w:val="28"/>
      <w:lang w:eastAsia="en-GB"/>
    </w:rPr>
  </w:style>
  <w:style w:type="character" w:customStyle="1" w:styleId="CharChar7">
    <w:name w:val="Char Char7"/>
    <w:rsid w:val="009F6BE0"/>
    <w:rPr>
      <w:rFonts w:ascii="Novarese Medium" w:eastAsia="Times New Roman" w:hAnsi="Novarese Medium" w:cs="Tahoma"/>
      <w:b/>
      <w:bCs/>
      <w:spacing w:val="-3"/>
      <w:sz w:val="24"/>
      <w:szCs w:val="24"/>
    </w:rPr>
  </w:style>
  <w:style w:type="character" w:customStyle="1" w:styleId="CharChar6">
    <w:name w:val="Char Char6"/>
    <w:rsid w:val="009F6BE0"/>
    <w:rPr>
      <w:rFonts w:ascii="Times New Roman" w:eastAsia="Times New Roman" w:hAnsi="Times New Roman" w:cs="Times New Roman"/>
      <w:sz w:val="24"/>
      <w:szCs w:val="24"/>
      <w:lang w:eastAsia="en-GB"/>
    </w:rPr>
  </w:style>
  <w:style w:type="character" w:customStyle="1" w:styleId="CharChar4">
    <w:name w:val="Char Char4"/>
    <w:rsid w:val="009F6BE0"/>
    <w:rPr>
      <w:rFonts w:ascii="Times New Roman" w:eastAsia="Times New Roman" w:hAnsi="Times New Roman" w:cs="Times New Roman"/>
      <w:sz w:val="24"/>
      <w:szCs w:val="24"/>
      <w:lang w:eastAsia="en-GB"/>
    </w:rPr>
  </w:style>
  <w:style w:type="character" w:customStyle="1" w:styleId="CharChar12">
    <w:name w:val="Char Char12"/>
    <w:rsid w:val="009F6BE0"/>
    <w:rPr>
      <w:rFonts w:ascii="Cambria" w:eastAsia="Times New Roman" w:hAnsi="Cambria" w:cs="Times New Roman"/>
      <w:b/>
      <w:bCs/>
      <w:color w:val="365F91"/>
      <w:sz w:val="28"/>
      <w:szCs w:val="28"/>
      <w:lang w:eastAsia="en-GB"/>
    </w:rPr>
  </w:style>
  <w:style w:type="character" w:customStyle="1" w:styleId="CharChar10">
    <w:name w:val="Char Char10"/>
    <w:rsid w:val="009F6BE0"/>
    <w:rPr>
      <w:rFonts w:ascii="Arial" w:eastAsia="Times New Roman" w:hAnsi="Arial" w:cs="Arial"/>
      <w:b/>
      <w:bCs/>
      <w:sz w:val="26"/>
      <w:szCs w:val="26"/>
      <w:lang w:eastAsia="en-GB"/>
    </w:rPr>
  </w:style>
  <w:style w:type="character" w:customStyle="1" w:styleId="CharChar9">
    <w:name w:val="Char Char9"/>
    <w:rsid w:val="009F6BE0"/>
    <w:rPr>
      <w:rFonts w:ascii="Times New Roman" w:eastAsia="Times New Roman" w:hAnsi="Times New Roman" w:cs="Times New Roman"/>
      <w:i/>
      <w:iCs/>
      <w:sz w:val="24"/>
      <w:szCs w:val="24"/>
      <w:lang w:eastAsia="en-GB"/>
    </w:rPr>
  </w:style>
  <w:style w:type="character" w:customStyle="1" w:styleId="CharChar2">
    <w:name w:val="Char Char2"/>
    <w:rsid w:val="009F6BE0"/>
    <w:rPr>
      <w:rFonts w:ascii="Arial" w:eastAsia="Times New Roman" w:hAnsi="Arial" w:cs="Times New Roman"/>
      <w:sz w:val="24"/>
      <w:szCs w:val="20"/>
    </w:rPr>
  </w:style>
  <w:style w:type="character" w:customStyle="1" w:styleId="CharChar">
    <w:name w:val="Char Char"/>
    <w:rsid w:val="009F6BE0"/>
    <w:rPr>
      <w:rFonts w:ascii="Times New Roman" w:eastAsia="Times New Roman" w:hAnsi="Times New Roman" w:cs="Times New Roman"/>
      <w:b/>
      <w:bCs/>
      <w:sz w:val="24"/>
      <w:szCs w:val="24"/>
    </w:rPr>
  </w:style>
  <w:style w:type="character" w:styleId="CommentReference">
    <w:name w:val="annotation reference"/>
    <w:semiHidden/>
    <w:rsid w:val="004206B5"/>
    <w:rPr>
      <w:sz w:val="16"/>
      <w:szCs w:val="16"/>
    </w:rPr>
  </w:style>
  <w:style w:type="paragraph" w:customStyle="1" w:styleId="intro">
    <w:name w:val="intro"/>
    <w:basedOn w:val="Normal"/>
    <w:rsid w:val="00344FB6"/>
    <w:pPr>
      <w:spacing w:before="100" w:beforeAutospacing="1" w:after="100" w:afterAutospacing="1"/>
    </w:pPr>
    <w:rPr>
      <w:rFonts w:ascii="Times New Roman" w:hAnsi="Times New Roman"/>
      <w:color w:val="003366"/>
      <w:sz w:val="29"/>
      <w:szCs w:val="29"/>
      <w:lang w:eastAsia="en-GB"/>
    </w:rPr>
  </w:style>
  <w:style w:type="paragraph" w:styleId="Index1">
    <w:name w:val="index 1"/>
    <w:basedOn w:val="Normal"/>
    <w:next w:val="Normal"/>
    <w:autoRedefine/>
    <w:semiHidden/>
    <w:rsid w:val="00BA3CD7"/>
    <w:pPr>
      <w:ind w:left="240" w:hanging="240"/>
    </w:pPr>
    <w:rPr>
      <w:rFonts w:ascii="Times New Roman" w:hAnsi="Times New Roman"/>
      <w:szCs w:val="24"/>
      <w:lang w:eastAsia="en-GB"/>
    </w:rPr>
  </w:style>
  <w:style w:type="paragraph" w:customStyle="1" w:styleId="FooterAssetFinanceflyers">
    <w:name w:val="Footer (Asset Finance flyers)"/>
    <w:basedOn w:val="Normal"/>
    <w:rsid w:val="00BA3CD7"/>
    <w:pPr>
      <w:suppressAutoHyphens/>
      <w:autoSpaceDE w:val="0"/>
      <w:autoSpaceDN w:val="0"/>
      <w:adjustRightInd w:val="0"/>
      <w:spacing w:line="200" w:lineRule="atLeast"/>
      <w:jc w:val="both"/>
      <w:textAlignment w:val="center"/>
    </w:pPr>
    <w:rPr>
      <w:rFonts w:ascii="Bliss 2 Regular" w:hAnsi="Bliss 2 Regular" w:cs="Bliss 2 Regular"/>
      <w:color w:val="006792"/>
      <w:spacing w:val="-5"/>
      <w:sz w:val="16"/>
      <w:szCs w:val="16"/>
    </w:rPr>
  </w:style>
  <w:style w:type="character" w:customStyle="1" w:styleId="normaltext1">
    <w:name w:val="normaltext1"/>
    <w:rsid w:val="00BA3CD7"/>
    <w:rPr>
      <w:rFonts w:ascii="Arial" w:hAnsi="Arial" w:cs="Arial" w:hint="default"/>
      <w:i w:val="0"/>
      <w:iCs w:val="0"/>
      <w:color w:val="666666"/>
      <w:sz w:val="13"/>
      <w:szCs w:val="13"/>
    </w:rPr>
  </w:style>
  <w:style w:type="character" w:customStyle="1" w:styleId="enquiry1">
    <w:name w:val="enquiry1"/>
    <w:rsid w:val="00BA3CD7"/>
    <w:rPr>
      <w:rFonts w:ascii="Verdana" w:hAnsi="Verdana" w:hint="default"/>
      <w:b w:val="0"/>
      <w:bCs w:val="0"/>
      <w:i w:val="0"/>
      <w:iCs w:val="0"/>
      <w:strike w:val="0"/>
      <w:dstrike w:val="0"/>
      <w:color w:val="333366"/>
      <w:sz w:val="15"/>
      <w:szCs w:val="15"/>
      <w:u w:val="none"/>
      <w:effect w:val="none"/>
    </w:rPr>
  </w:style>
  <w:style w:type="character" w:customStyle="1" w:styleId="StyleComplexArialComplex11pt">
    <w:name w:val="Style (Complex) Arial (Complex) 11 pt"/>
    <w:rsid w:val="001313AE"/>
    <w:rPr>
      <w:rFonts w:cs="Arial"/>
      <w:sz w:val="22"/>
      <w:szCs w:val="22"/>
    </w:rPr>
  </w:style>
  <w:style w:type="paragraph" w:customStyle="1" w:styleId="ecxmsonormal">
    <w:name w:val="ecxmsonormal"/>
    <w:basedOn w:val="Normal"/>
    <w:rsid w:val="007B6F69"/>
    <w:pPr>
      <w:spacing w:after="324"/>
    </w:pPr>
    <w:rPr>
      <w:rFonts w:ascii="Times New Roman" w:hAnsi="Times New Roman"/>
      <w:szCs w:val="24"/>
      <w:lang w:val="en-US"/>
    </w:rPr>
  </w:style>
  <w:style w:type="character" w:customStyle="1" w:styleId="SectionHeadingCharChar">
    <w:name w:val="Section Heading Char Char"/>
    <w:locked/>
    <w:rsid w:val="00CA4E51"/>
    <w:rPr>
      <w:rFonts w:ascii="Arial" w:hAnsi="Arial"/>
      <w:b/>
      <w:sz w:val="22"/>
      <w:lang w:val="en-GB" w:eastAsia="en-US" w:bidi="ar-SA"/>
    </w:rPr>
  </w:style>
  <w:style w:type="character" w:customStyle="1" w:styleId="CharChar19">
    <w:name w:val="Char Char19"/>
    <w:locked/>
    <w:rsid w:val="00CA4E51"/>
    <w:rPr>
      <w:rFonts w:ascii="Arial" w:hAnsi="Arial"/>
      <w:b/>
      <w:i/>
      <w:sz w:val="22"/>
      <w:lang w:val="en-GB" w:eastAsia="en-US" w:bidi="ar-SA"/>
    </w:rPr>
  </w:style>
  <w:style w:type="character" w:customStyle="1" w:styleId="CharChar18">
    <w:name w:val="Char Char18"/>
    <w:locked/>
    <w:rsid w:val="00CA4E51"/>
    <w:rPr>
      <w:rFonts w:ascii="Arial" w:hAnsi="Arial"/>
      <w:b/>
      <w:sz w:val="22"/>
      <w:lang w:val="en-GB" w:eastAsia="en-US" w:bidi="ar-SA"/>
    </w:rPr>
  </w:style>
  <w:style w:type="character" w:customStyle="1" w:styleId="CharChar17">
    <w:name w:val="Char Char17"/>
    <w:locked/>
    <w:rsid w:val="00CA4E51"/>
    <w:rPr>
      <w:rFonts w:ascii="Arial" w:hAnsi="Arial"/>
      <w:sz w:val="24"/>
      <w:lang w:val="en-GB" w:eastAsia="en-US" w:bidi="ar-SA"/>
    </w:rPr>
  </w:style>
  <w:style w:type="character" w:customStyle="1" w:styleId="CharChar16">
    <w:name w:val="Char Char16"/>
    <w:locked/>
    <w:rsid w:val="00CA4E51"/>
    <w:rPr>
      <w:rFonts w:ascii="Arial" w:hAnsi="Arial"/>
      <w:sz w:val="24"/>
      <w:lang w:val="en-GB" w:eastAsia="en-US" w:bidi="ar-SA"/>
    </w:rPr>
  </w:style>
  <w:style w:type="character" w:customStyle="1" w:styleId="CharChar15">
    <w:name w:val="Char Char15"/>
    <w:locked/>
    <w:rsid w:val="00CA4E51"/>
    <w:rPr>
      <w:rFonts w:ascii="Arial" w:hAnsi="Arial"/>
      <w:sz w:val="22"/>
      <w:lang w:val="en-GB" w:eastAsia="en-US" w:bidi="ar-SA"/>
    </w:rPr>
  </w:style>
  <w:style w:type="character" w:customStyle="1" w:styleId="CharChar14">
    <w:name w:val="Char Char14"/>
    <w:locked/>
    <w:rsid w:val="00CA4E51"/>
    <w:rPr>
      <w:rFonts w:ascii="Arial" w:hAnsi="Arial"/>
      <w:b/>
      <w:sz w:val="22"/>
      <w:lang w:val="en-GB" w:eastAsia="en-US" w:bidi="ar-SA"/>
    </w:rPr>
  </w:style>
  <w:style w:type="character" w:customStyle="1" w:styleId="CharChar8">
    <w:name w:val="Char Char8"/>
    <w:locked/>
    <w:rsid w:val="00CA4E51"/>
    <w:rPr>
      <w:rFonts w:ascii="Arial" w:hAnsi="Arial"/>
      <w:sz w:val="18"/>
      <w:lang w:val="en-GB" w:eastAsia="en-US" w:bidi="ar-SA"/>
    </w:rPr>
  </w:style>
  <w:style w:type="paragraph" w:customStyle="1" w:styleId="Tablecopy">
    <w:name w:val="Table copy"/>
    <w:rsid w:val="00593299"/>
    <w:rPr>
      <w:rFonts w:ascii="Calibri" w:eastAsia="Bliss 2 Regular" w:hAnsi="Calibri" w:cs="Calibri"/>
      <w:color w:val="3A3B3C"/>
      <w:szCs w:val="22"/>
      <w:lang w:eastAsia="en-US"/>
    </w:rPr>
  </w:style>
  <w:style w:type="paragraph" w:styleId="CommentSubject">
    <w:name w:val="annotation subject"/>
    <w:basedOn w:val="CommentText"/>
    <w:next w:val="CommentText"/>
    <w:semiHidden/>
    <w:rsid w:val="00347A95"/>
    <w:rPr>
      <w:b/>
      <w:bCs/>
    </w:rPr>
  </w:style>
  <w:style w:type="character" w:customStyle="1" w:styleId="CharChar20">
    <w:name w:val="Char Char20"/>
    <w:semiHidden/>
    <w:locked/>
    <w:rsid w:val="00445776"/>
    <w:rPr>
      <w:rFonts w:ascii="Arial" w:hAnsi="Arial"/>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847">
      <w:bodyDiv w:val="1"/>
      <w:marLeft w:val="0"/>
      <w:marRight w:val="0"/>
      <w:marTop w:val="0"/>
      <w:marBottom w:val="0"/>
      <w:divBdr>
        <w:top w:val="none" w:sz="0" w:space="0" w:color="auto"/>
        <w:left w:val="none" w:sz="0" w:space="0" w:color="auto"/>
        <w:bottom w:val="none" w:sz="0" w:space="0" w:color="auto"/>
        <w:right w:val="none" w:sz="0" w:space="0" w:color="auto"/>
      </w:divBdr>
    </w:div>
    <w:div w:id="55667892">
      <w:bodyDiv w:val="1"/>
      <w:marLeft w:val="0"/>
      <w:marRight w:val="0"/>
      <w:marTop w:val="0"/>
      <w:marBottom w:val="0"/>
      <w:divBdr>
        <w:top w:val="none" w:sz="0" w:space="0" w:color="auto"/>
        <w:left w:val="none" w:sz="0" w:space="0" w:color="auto"/>
        <w:bottom w:val="none" w:sz="0" w:space="0" w:color="auto"/>
        <w:right w:val="none" w:sz="0" w:space="0" w:color="auto"/>
      </w:divBdr>
    </w:div>
    <w:div w:id="150996060">
      <w:bodyDiv w:val="1"/>
      <w:marLeft w:val="0"/>
      <w:marRight w:val="0"/>
      <w:marTop w:val="0"/>
      <w:marBottom w:val="0"/>
      <w:divBdr>
        <w:top w:val="none" w:sz="0" w:space="0" w:color="auto"/>
        <w:left w:val="none" w:sz="0" w:space="0" w:color="auto"/>
        <w:bottom w:val="none" w:sz="0" w:space="0" w:color="auto"/>
        <w:right w:val="none" w:sz="0" w:space="0" w:color="auto"/>
      </w:divBdr>
    </w:div>
    <w:div w:id="195050406">
      <w:bodyDiv w:val="1"/>
      <w:marLeft w:val="0"/>
      <w:marRight w:val="0"/>
      <w:marTop w:val="0"/>
      <w:marBottom w:val="0"/>
      <w:divBdr>
        <w:top w:val="none" w:sz="0" w:space="0" w:color="auto"/>
        <w:left w:val="none" w:sz="0" w:space="0" w:color="auto"/>
        <w:bottom w:val="none" w:sz="0" w:space="0" w:color="auto"/>
        <w:right w:val="none" w:sz="0" w:space="0" w:color="auto"/>
      </w:divBdr>
      <w:divsChild>
        <w:div w:id="1091196364">
          <w:marLeft w:val="0"/>
          <w:marRight w:val="0"/>
          <w:marTop w:val="0"/>
          <w:marBottom w:val="0"/>
          <w:divBdr>
            <w:top w:val="none" w:sz="0" w:space="0" w:color="auto"/>
            <w:left w:val="none" w:sz="0" w:space="0" w:color="auto"/>
            <w:bottom w:val="none" w:sz="0" w:space="0" w:color="auto"/>
            <w:right w:val="none" w:sz="0" w:space="0" w:color="auto"/>
          </w:divBdr>
          <w:divsChild>
            <w:div w:id="516310646">
              <w:marLeft w:val="0"/>
              <w:marRight w:val="0"/>
              <w:marTop w:val="0"/>
              <w:marBottom w:val="0"/>
              <w:divBdr>
                <w:top w:val="none" w:sz="0" w:space="0" w:color="auto"/>
                <w:left w:val="none" w:sz="0" w:space="0" w:color="auto"/>
                <w:bottom w:val="none" w:sz="0" w:space="0" w:color="auto"/>
                <w:right w:val="none" w:sz="0" w:space="0" w:color="auto"/>
              </w:divBdr>
              <w:divsChild>
                <w:div w:id="189610833">
                  <w:marLeft w:val="0"/>
                  <w:marRight w:val="0"/>
                  <w:marTop w:val="0"/>
                  <w:marBottom w:val="0"/>
                  <w:divBdr>
                    <w:top w:val="none" w:sz="0" w:space="0" w:color="auto"/>
                    <w:left w:val="none" w:sz="0" w:space="0" w:color="auto"/>
                    <w:bottom w:val="none" w:sz="0" w:space="0" w:color="auto"/>
                    <w:right w:val="none" w:sz="0" w:space="0" w:color="auto"/>
                  </w:divBdr>
                  <w:divsChild>
                    <w:div w:id="1015956889">
                      <w:marLeft w:val="0"/>
                      <w:marRight w:val="-4300"/>
                      <w:marTop w:val="0"/>
                      <w:marBottom w:val="0"/>
                      <w:divBdr>
                        <w:top w:val="none" w:sz="0" w:space="0" w:color="auto"/>
                        <w:left w:val="none" w:sz="0" w:space="0" w:color="auto"/>
                        <w:bottom w:val="none" w:sz="0" w:space="0" w:color="auto"/>
                        <w:right w:val="none" w:sz="0" w:space="0" w:color="auto"/>
                      </w:divBdr>
                      <w:divsChild>
                        <w:div w:id="1316646721">
                          <w:marLeft w:val="3620"/>
                          <w:marRight w:val="4300"/>
                          <w:marTop w:val="0"/>
                          <w:marBottom w:val="0"/>
                          <w:divBdr>
                            <w:top w:val="none" w:sz="0" w:space="0" w:color="auto"/>
                            <w:left w:val="none" w:sz="0" w:space="0" w:color="auto"/>
                            <w:bottom w:val="none" w:sz="0" w:space="0" w:color="auto"/>
                            <w:right w:val="none" w:sz="0" w:space="0" w:color="auto"/>
                          </w:divBdr>
                          <w:divsChild>
                            <w:div w:id="1565527306">
                              <w:marLeft w:val="400"/>
                              <w:marRight w:val="400"/>
                              <w:marTop w:val="400"/>
                              <w:marBottom w:val="400"/>
                              <w:divBdr>
                                <w:top w:val="none" w:sz="0" w:space="0" w:color="auto"/>
                                <w:left w:val="none" w:sz="0" w:space="0" w:color="auto"/>
                                <w:bottom w:val="dotted" w:sz="8" w:space="20" w:color="003366"/>
                                <w:right w:val="none" w:sz="0" w:space="0" w:color="auto"/>
                              </w:divBdr>
                            </w:div>
                          </w:divsChild>
                        </w:div>
                      </w:divsChild>
                    </w:div>
                  </w:divsChild>
                </w:div>
              </w:divsChild>
            </w:div>
          </w:divsChild>
        </w:div>
      </w:divsChild>
    </w:div>
    <w:div w:id="239800359">
      <w:bodyDiv w:val="1"/>
      <w:marLeft w:val="0"/>
      <w:marRight w:val="0"/>
      <w:marTop w:val="0"/>
      <w:marBottom w:val="0"/>
      <w:divBdr>
        <w:top w:val="none" w:sz="0" w:space="0" w:color="auto"/>
        <w:left w:val="none" w:sz="0" w:space="0" w:color="auto"/>
        <w:bottom w:val="none" w:sz="0" w:space="0" w:color="auto"/>
        <w:right w:val="none" w:sz="0" w:space="0" w:color="auto"/>
      </w:divBdr>
      <w:divsChild>
        <w:div w:id="1167672649">
          <w:marLeft w:val="0"/>
          <w:marRight w:val="0"/>
          <w:marTop w:val="0"/>
          <w:marBottom w:val="0"/>
          <w:divBdr>
            <w:top w:val="none" w:sz="0" w:space="0" w:color="auto"/>
            <w:left w:val="none" w:sz="0" w:space="0" w:color="auto"/>
            <w:bottom w:val="none" w:sz="0" w:space="0" w:color="auto"/>
            <w:right w:val="none" w:sz="0" w:space="0" w:color="auto"/>
          </w:divBdr>
          <w:divsChild>
            <w:div w:id="267205458">
              <w:marLeft w:val="0"/>
              <w:marRight w:val="0"/>
              <w:marTop w:val="0"/>
              <w:marBottom w:val="0"/>
              <w:divBdr>
                <w:top w:val="none" w:sz="0" w:space="0" w:color="auto"/>
                <w:left w:val="none" w:sz="0" w:space="0" w:color="auto"/>
                <w:bottom w:val="none" w:sz="0" w:space="0" w:color="auto"/>
                <w:right w:val="none" w:sz="0" w:space="0" w:color="auto"/>
              </w:divBdr>
              <w:divsChild>
                <w:div w:id="1301572262">
                  <w:marLeft w:val="0"/>
                  <w:marRight w:val="0"/>
                  <w:marTop w:val="0"/>
                  <w:marBottom w:val="0"/>
                  <w:divBdr>
                    <w:top w:val="none" w:sz="0" w:space="0" w:color="auto"/>
                    <w:left w:val="none" w:sz="0" w:space="0" w:color="auto"/>
                    <w:bottom w:val="none" w:sz="0" w:space="0" w:color="auto"/>
                    <w:right w:val="none" w:sz="0" w:space="0" w:color="auto"/>
                  </w:divBdr>
                  <w:divsChild>
                    <w:div w:id="2067096815">
                      <w:marLeft w:val="0"/>
                      <w:marRight w:val="-3225"/>
                      <w:marTop w:val="0"/>
                      <w:marBottom w:val="0"/>
                      <w:divBdr>
                        <w:top w:val="none" w:sz="0" w:space="0" w:color="auto"/>
                        <w:left w:val="none" w:sz="0" w:space="0" w:color="auto"/>
                        <w:bottom w:val="none" w:sz="0" w:space="0" w:color="auto"/>
                        <w:right w:val="none" w:sz="0" w:space="0" w:color="auto"/>
                      </w:divBdr>
                      <w:divsChild>
                        <w:div w:id="219950620">
                          <w:marLeft w:val="2715"/>
                          <w:marRight w:val="3225"/>
                          <w:marTop w:val="0"/>
                          <w:marBottom w:val="0"/>
                          <w:divBdr>
                            <w:top w:val="none" w:sz="0" w:space="0" w:color="auto"/>
                            <w:left w:val="none" w:sz="0" w:space="0" w:color="auto"/>
                            <w:bottom w:val="none" w:sz="0" w:space="0" w:color="auto"/>
                            <w:right w:val="none" w:sz="0" w:space="0" w:color="auto"/>
                          </w:divBdr>
                          <w:divsChild>
                            <w:div w:id="1517309838">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330700">
      <w:bodyDiv w:val="1"/>
      <w:marLeft w:val="0"/>
      <w:marRight w:val="0"/>
      <w:marTop w:val="0"/>
      <w:marBottom w:val="0"/>
      <w:divBdr>
        <w:top w:val="none" w:sz="0" w:space="0" w:color="auto"/>
        <w:left w:val="none" w:sz="0" w:space="0" w:color="auto"/>
        <w:bottom w:val="none" w:sz="0" w:space="0" w:color="auto"/>
        <w:right w:val="none" w:sz="0" w:space="0" w:color="auto"/>
      </w:divBdr>
    </w:div>
    <w:div w:id="289240591">
      <w:bodyDiv w:val="1"/>
      <w:marLeft w:val="0"/>
      <w:marRight w:val="0"/>
      <w:marTop w:val="0"/>
      <w:marBottom w:val="0"/>
      <w:divBdr>
        <w:top w:val="none" w:sz="0" w:space="0" w:color="auto"/>
        <w:left w:val="none" w:sz="0" w:space="0" w:color="auto"/>
        <w:bottom w:val="none" w:sz="0" w:space="0" w:color="auto"/>
        <w:right w:val="none" w:sz="0" w:space="0" w:color="auto"/>
      </w:divBdr>
    </w:div>
    <w:div w:id="378091909">
      <w:bodyDiv w:val="1"/>
      <w:marLeft w:val="0"/>
      <w:marRight w:val="0"/>
      <w:marTop w:val="0"/>
      <w:marBottom w:val="0"/>
      <w:divBdr>
        <w:top w:val="none" w:sz="0" w:space="0" w:color="auto"/>
        <w:left w:val="none" w:sz="0" w:space="0" w:color="auto"/>
        <w:bottom w:val="none" w:sz="0" w:space="0" w:color="auto"/>
        <w:right w:val="none" w:sz="0" w:space="0" w:color="auto"/>
      </w:divBdr>
    </w:div>
    <w:div w:id="378826327">
      <w:bodyDiv w:val="1"/>
      <w:marLeft w:val="0"/>
      <w:marRight w:val="0"/>
      <w:marTop w:val="0"/>
      <w:marBottom w:val="0"/>
      <w:divBdr>
        <w:top w:val="none" w:sz="0" w:space="0" w:color="auto"/>
        <w:left w:val="none" w:sz="0" w:space="0" w:color="auto"/>
        <w:bottom w:val="none" w:sz="0" w:space="0" w:color="auto"/>
        <w:right w:val="none" w:sz="0" w:space="0" w:color="auto"/>
      </w:divBdr>
    </w:div>
    <w:div w:id="384717536">
      <w:bodyDiv w:val="1"/>
      <w:marLeft w:val="0"/>
      <w:marRight w:val="0"/>
      <w:marTop w:val="0"/>
      <w:marBottom w:val="0"/>
      <w:divBdr>
        <w:top w:val="none" w:sz="0" w:space="0" w:color="auto"/>
        <w:left w:val="none" w:sz="0" w:space="0" w:color="auto"/>
        <w:bottom w:val="none" w:sz="0" w:space="0" w:color="auto"/>
        <w:right w:val="none" w:sz="0" w:space="0" w:color="auto"/>
      </w:divBdr>
    </w:div>
    <w:div w:id="395469127">
      <w:bodyDiv w:val="1"/>
      <w:marLeft w:val="0"/>
      <w:marRight w:val="0"/>
      <w:marTop w:val="0"/>
      <w:marBottom w:val="0"/>
      <w:divBdr>
        <w:top w:val="none" w:sz="0" w:space="0" w:color="auto"/>
        <w:left w:val="none" w:sz="0" w:space="0" w:color="auto"/>
        <w:bottom w:val="none" w:sz="0" w:space="0" w:color="auto"/>
        <w:right w:val="none" w:sz="0" w:space="0" w:color="auto"/>
      </w:divBdr>
    </w:div>
    <w:div w:id="422189431">
      <w:bodyDiv w:val="1"/>
      <w:marLeft w:val="0"/>
      <w:marRight w:val="0"/>
      <w:marTop w:val="0"/>
      <w:marBottom w:val="0"/>
      <w:divBdr>
        <w:top w:val="none" w:sz="0" w:space="0" w:color="auto"/>
        <w:left w:val="none" w:sz="0" w:space="0" w:color="auto"/>
        <w:bottom w:val="none" w:sz="0" w:space="0" w:color="auto"/>
        <w:right w:val="none" w:sz="0" w:space="0" w:color="auto"/>
      </w:divBdr>
    </w:div>
    <w:div w:id="457114335">
      <w:bodyDiv w:val="1"/>
      <w:marLeft w:val="0"/>
      <w:marRight w:val="0"/>
      <w:marTop w:val="0"/>
      <w:marBottom w:val="0"/>
      <w:divBdr>
        <w:top w:val="none" w:sz="0" w:space="0" w:color="auto"/>
        <w:left w:val="none" w:sz="0" w:space="0" w:color="auto"/>
        <w:bottom w:val="none" w:sz="0" w:space="0" w:color="auto"/>
        <w:right w:val="none" w:sz="0" w:space="0" w:color="auto"/>
      </w:divBdr>
    </w:div>
    <w:div w:id="493762213">
      <w:bodyDiv w:val="1"/>
      <w:marLeft w:val="0"/>
      <w:marRight w:val="0"/>
      <w:marTop w:val="0"/>
      <w:marBottom w:val="0"/>
      <w:divBdr>
        <w:top w:val="none" w:sz="0" w:space="0" w:color="auto"/>
        <w:left w:val="none" w:sz="0" w:space="0" w:color="auto"/>
        <w:bottom w:val="none" w:sz="0" w:space="0" w:color="auto"/>
        <w:right w:val="none" w:sz="0" w:space="0" w:color="auto"/>
      </w:divBdr>
      <w:divsChild>
        <w:div w:id="87898020">
          <w:marLeft w:val="0"/>
          <w:marRight w:val="0"/>
          <w:marTop w:val="0"/>
          <w:marBottom w:val="0"/>
          <w:divBdr>
            <w:top w:val="single" w:sz="12" w:space="0" w:color="BEBBB4"/>
            <w:left w:val="none" w:sz="0" w:space="0" w:color="auto"/>
            <w:bottom w:val="none" w:sz="0" w:space="0" w:color="auto"/>
            <w:right w:val="none" w:sz="0" w:space="0" w:color="auto"/>
          </w:divBdr>
          <w:divsChild>
            <w:div w:id="412051884">
              <w:marLeft w:val="0"/>
              <w:marRight w:val="0"/>
              <w:marTop w:val="0"/>
              <w:marBottom w:val="0"/>
              <w:divBdr>
                <w:top w:val="single" w:sz="12" w:space="0" w:color="BEBBB4"/>
                <w:left w:val="none" w:sz="0" w:space="0" w:color="auto"/>
                <w:bottom w:val="none" w:sz="0" w:space="0" w:color="auto"/>
                <w:right w:val="none" w:sz="0" w:space="0" w:color="auto"/>
              </w:divBdr>
              <w:divsChild>
                <w:div w:id="147062911">
                  <w:marLeft w:val="0"/>
                  <w:marRight w:val="0"/>
                  <w:marTop w:val="15"/>
                  <w:marBottom w:val="0"/>
                  <w:divBdr>
                    <w:top w:val="single" w:sz="12" w:space="0" w:color="BEBBB4"/>
                    <w:left w:val="none" w:sz="0" w:space="0" w:color="auto"/>
                    <w:bottom w:val="none" w:sz="0" w:space="0" w:color="auto"/>
                    <w:right w:val="none" w:sz="0" w:space="0" w:color="auto"/>
                  </w:divBdr>
                  <w:divsChild>
                    <w:div w:id="1813864485">
                      <w:marLeft w:val="0"/>
                      <w:marRight w:val="0"/>
                      <w:marTop w:val="15"/>
                      <w:marBottom w:val="0"/>
                      <w:divBdr>
                        <w:top w:val="single" w:sz="12" w:space="0" w:color="BEBBB4"/>
                        <w:left w:val="none" w:sz="0" w:space="0" w:color="auto"/>
                        <w:bottom w:val="none" w:sz="0" w:space="0" w:color="auto"/>
                        <w:right w:val="none" w:sz="0" w:space="0" w:color="auto"/>
                      </w:divBdr>
                      <w:divsChild>
                        <w:div w:id="858660812">
                          <w:marLeft w:val="0"/>
                          <w:marRight w:val="0"/>
                          <w:marTop w:val="15"/>
                          <w:marBottom w:val="0"/>
                          <w:divBdr>
                            <w:top w:val="single" w:sz="12" w:space="0" w:color="BEBBB4"/>
                            <w:left w:val="none" w:sz="0" w:space="0" w:color="auto"/>
                            <w:bottom w:val="none" w:sz="0" w:space="0" w:color="auto"/>
                            <w:right w:val="none" w:sz="0" w:space="0" w:color="auto"/>
                          </w:divBdr>
                          <w:divsChild>
                            <w:div w:id="1203129391">
                              <w:marLeft w:val="0"/>
                              <w:marRight w:val="0"/>
                              <w:marTop w:val="15"/>
                              <w:marBottom w:val="0"/>
                              <w:divBdr>
                                <w:top w:val="single" w:sz="12" w:space="0" w:color="BEBBB4"/>
                                <w:left w:val="none" w:sz="0" w:space="0" w:color="auto"/>
                                <w:bottom w:val="none" w:sz="0" w:space="0" w:color="auto"/>
                                <w:right w:val="none" w:sz="0" w:space="0" w:color="auto"/>
                              </w:divBdr>
                            </w:div>
                          </w:divsChild>
                        </w:div>
                      </w:divsChild>
                    </w:div>
                  </w:divsChild>
                </w:div>
              </w:divsChild>
            </w:div>
          </w:divsChild>
        </w:div>
      </w:divsChild>
    </w:div>
    <w:div w:id="503008949">
      <w:bodyDiv w:val="1"/>
      <w:marLeft w:val="0"/>
      <w:marRight w:val="0"/>
      <w:marTop w:val="0"/>
      <w:marBottom w:val="0"/>
      <w:divBdr>
        <w:top w:val="none" w:sz="0" w:space="0" w:color="auto"/>
        <w:left w:val="none" w:sz="0" w:space="0" w:color="auto"/>
        <w:bottom w:val="none" w:sz="0" w:space="0" w:color="auto"/>
        <w:right w:val="none" w:sz="0" w:space="0" w:color="auto"/>
      </w:divBdr>
    </w:div>
    <w:div w:id="589891538">
      <w:bodyDiv w:val="1"/>
      <w:marLeft w:val="0"/>
      <w:marRight w:val="0"/>
      <w:marTop w:val="0"/>
      <w:marBottom w:val="0"/>
      <w:divBdr>
        <w:top w:val="none" w:sz="0" w:space="0" w:color="auto"/>
        <w:left w:val="none" w:sz="0" w:space="0" w:color="auto"/>
        <w:bottom w:val="none" w:sz="0" w:space="0" w:color="auto"/>
        <w:right w:val="none" w:sz="0" w:space="0" w:color="auto"/>
      </w:divBdr>
    </w:div>
    <w:div w:id="658120071">
      <w:bodyDiv w:val="1"/>
      <w:marLeft w:val="0"/>
      <w:marRight w:val="0"/>
      <w:marTop w:val="0"/>
      <w:marBottom w:val="0"/>
      <w:divBdr>
        <w:top w:val="none" w:sz="0" w:space="0" w:color="auto"/>
        <w:left w:val="none" w:sz="0" w:space="0" w:color="auto"/>
        <w:bottom w:val="none" w:sz="0" w:space="0" w:color="auto"/>
        <w:right w:val="none" w:sz="0" w:space="0" w:color="auto"/>
      </w:divBdr>
    </w:div>
    <w:div w:id="658849655">
      <w:bodyDiv w:val="1"/>
      <w:marLeft w:val="0"/>
      <w:marRight w:val="0"/>
      <w:marTop w:val="0"/>
      <w:marBottom w:val="0"/>
      <w:divBdr>
        <w:top w:val="none" w:sz="0" w:space="0" w:color="auto"/>
        <w:left w:val="none" w:sz="0" w:space="0" w:color="auto"/>
        <w:bottom w:val="none" w:sz="0" w:space="0" w:color="auto"/>
        <w:right w:val="none" w:sz="0" w:space="0" w:color="auto"/>
      </w:divBdr>
    </w:div>
    <w:div w:id="754667104">
      <w:bodyDiv w:val="1"/>
      <w:marLeft w:val="0"/>
      <w:marRight w:val="0"/>
      <w:marTop w:val="0"/>
      <w:marBottom w:val="0"/>
      <w:divBdr>
        <w:top w:val="none" w:sz="0" w:space="0" w:color="auto"/>
        <w:left w:val="none" w:sz="0" w:space="0" w:color="auto"/>
        <w:bottom w:val="none" w:sz="0" w:space="0" w:color="auto"/>
        <w:right w:val="none" w:sz="0" w:space="0" w:color="auto"/>
      </w:divBdr>
    </w:div>
    <w:div w:id="901674568">
      <w:bodyDiv w:val="1"/>
      <w:marLeft w:val="0"/>
      <w:marRight w:val="0"/>
      <w:marTop w:val="0"/>
      <w:marBottom w:val="0"/>
      <w:divBdr>
        <w:top w:val="none" w:sz="0" w:space="0" w:color="auto"/>
        <w:left w:val="none" w:sz="0" w:space="0" w:color="auto"/>
        <w:bottom w:val="none" w:sz="0" w:space="0" w:color="auto"/>
        <w:right w:val="none" w:sz="0" w:space="0" w:color="auto"/>
      </w:divBdr>
    </w:div>
    <w:div w:id="958880431">
      <w:bodyDiv w:val="1"/>
      <w:marLeft w:val="0"/>
      <w:marRight w:val="0"/>
      <w:marTop w:val="0"/>
      <w:marBottom w:val="0"/>
      <w:divBdr>
        <w:top w:val="none" w:sz="0" w:space="0" w:color="auto"/>
        <w:left w:val="none" w:sz="0" w:space="0" w:color="auto"/>
        <w:bottom w:val="none" w:sz="0" w:space="0" w:color="auto"/>
        <w:right w:val="none" w:sz="0" w:space="0" w:color="auto"/>
      </w:divBdr>
    </w:div>
    <w:div w:id="973366244">
      <w:bodyDiv w:val="1"/>
      <w:marLeft w:val="0"/>
      <w:marRight w:val="0"/>
      <w:marTop w:val="0"/>
      <w:marBottom w:val="0"/>
      <w:divBdr>
        <w:top w:val="none" w:sz="0" w:space="0" w:color="auto"/>
        <w:left w:val="none" w:sz="0" w:space="0" w:color="auto"/>
        <w:bottom w:val="none" w:sz="0" w:space="0" w:color="auto"/>
        <w:right w:val="none" w:sz="0" w:space="0" w:color="auto"/>
      </w:divBdr>
    </w:div>
    <w:div w:id="999429627">
      <w:bodyDiv w:val="1"/>
      <w:marLeft w:val="0"/>
      <w:marRight w:val="0"/>
      <w:marTop w:val="0"/>
      <w:marBottom w:val="0"/>
      <w:divBdr>
        <w:top w:val="none" w:sz="0" w:space="0" w:color="auto"/>
        <w:left w:val="none" w:sz="0" w:space="0" w:color="auto"/>
        <w:bottom w:val="none" w:sz="0" w:space="0" w:color="auto"/>
        <w:right w:val="none" w:sz="0" w:space="0" w:color="auto"/>
      </w:divBdr>
    </w:div>
    <w:div w:id="1111432876">
      <w:bodyDiv w:val="1"/>
      <w:marLeft w:val="0"/>
      <w:marRight w:val="0"/>
      <w:marTop w:val="0"/>
      <w:marBottom w:val="0"/>
      <w:divBdr>
        <w:top w:val="none" w:sz="0" w:space="0" w:color="auto"/>
        <w:left w:val="none" w:sz="0" w:space="0" w:color="auto"/>
        <w:bottom w:val="none" w:sz="0" w:space="0" w:color="auto"/>
        <w:right w:val="none" w:sz="0" w:space="0" w:color="auto"/>
      </w:divBdr>
    </w:div>
    <w:div w:id="1133983276">
      <w:bodyDiv w:val="1"/>
      <w:marLeft w:val="0"/>
      <w:marRight w:val="0"/>
      <w:marTop w:val="0"/>
      <w:marBottom w:val="0"/>
      <w:divBdr>
        <w:top w:val="none" w:sz="0" w:space="0" w:color="auto"/>
        <w:left w:val="none" w:sz="0" w:space="0" w:color="auto"/>
        <w:bottom w:val="none" w:sz="0" w:space="0" w:color="auto"/>
        <w:right w:val="none" w:sz="0" w:space="0" w:color="auto"/>
      </w:divBdr>
    </w:div>
    <w:div w:id="1134759470">
      <w:bodyDiv w:val="1"/>
      <w:marLeft w:val="0"/>
      <w:marRight w:val="0"/>
      <w:marTop w:val="0"/>
      <w:marBottom w:val="0"/>
      <w:divBdr>
        <w:top w:val="none" w:sz="0" w:space="0" w:color="auto"/>
        <w:left w:val="none" w:sz="0" w:space="0" w:color="auto"/>
        <w:bottom w:val="none" w:sz="0" w:space="0" w:color="auto"/>
        <w:right w:val="none" w:sz="0" w:space="0" w:color="auto"/>
      </w:divBdr>
    </w:div>
    <w:div w:id="1198466511">
      <w:bodyDiv w:val="1"/>
      <w:marLeft w:val="0"/>
      <w:marRight w:val="0"/>
      <w:marTop w:val="0"/>
      <w:marBottom w:val="0"/>
      <w:divBdr>
        <w:top w:val="none" w:sz="0" w:space="0" w:color="auto"/>
        <w:left w:val="none" w:sz="0" w:space="0" w:color="auto"/>
        <w:bottom w:val="none" w:sz="0" w:space="0" w:color="auto"/>
        <w:right w:val="none" w:sz="0" w:space="0" w:color="auto"/>
      </w:divBdr>
    </w:div>
    <w:div w:id="1229344982">
      <w:bodyDiv w:val="1"/>
      <w:marLeft w:val="0"/>
      <w:marRight w:val="0"/>
      <w:marTop w:val="0"/>
      <w:marBottom w:val="0"/>
      <w:divBdr>
        <w:top w:val="none" w:sz="0" w:space="0" w:color="auto"/>
        <w:left w:val="none" w:sz="0" w:space="0" w:color="auto"/>
        <w:bottom w:val="none" w:sz="0" w:space="0" w:color="auto"/>
        <w:right w:val="none" w:sz="0" w:space="0" w:color="auto"/>
      </w:divBdr>
    </w:div>
    <w:div w:id="1269004751">
      <w:bodyDiv w:val="1"/>
      <w:marLeft w:val="0"/>
      <w:marRight w:val="0"/>
      <w:marTop w:val="0"/>
      <w:marBottom w:val="0"/>
      <w:divBdr>
        <w:top w:val="none" w:sz="0" w:space="0" w:color="auto"/>
        <w:left w:val="none" w:sz="0" w:space="0" w:color="auto"/>
        <w:bottom w:val="none" w:sz="0" w:space="0" w:color="auto"/>
        <w:right w:val="none" w:sz="0" w:space="0" w:color="auto"/>
      </w:divBdr>
    </w:div>
    <w:div w:id="1281649440">
      <w:bodyDiv w:val="1"/>
      <w:marLeft w:val="0"/>
      <w:marRight w:val="0"/>
      <w:marTop w:val="0"/>
      <w:marBottom w:val="0"/>
      <w:divBdr>
        <w:top w:val="none" w:sz="0" w:space="0" w:color="auto"/>
        <w:left w:val="none" w:sz="0" w:space="0" w:color="auto"/>
        <w:bottom w:val="none" w:sz="0" w:space="0" w:color="auto"/>
        <w:right w:val="none" w:sz="0" w:space="0" w:color="auto"/>
      </w:divBdr>
    </w:div>
    <w:div w:id="1308322085">
      <w:bodyDiv w:val="1"/>
      <w:marLeft w:val="0"/>
      <w:marRight w:val="0"/>
      <w:marTop w:val="0"/>
      <w:marBottom w:val="0"/>
      <w:divBdr>
        <w:top w:val="none" w:sz="0" w:space="0" w:color="auto"/>
        <w:left w:val="none" w:sz="0" w:space="0" w:color="auto"/>
        <w:bottom w:val="none" w:sz="0" w:space="0" w:color="auto"/>
        <w:right w:val="none" w:sz="0" w:space="0" w:color="auto"/>
      </w:divBdr>
    </w:div>
    <w:div w:id="1391926766">
      <w:bodyDiv w:val="1"/>
      <w:marLeft w:val="0"/>
      <w:marRight w:val="0"/>
      <w:marTop w:val="0"/>
      <w:marBottom w:val="0"/>
      <w:divBdr>
        <w:top w:val="none" w:sz="0" w:space="0" w:color="auto"/>
        <w:left w:val="none" w:sz="0" w:space="0" w:color="auto"/>
        <w:bottom w:val="none" w:sz="0" w:space="0" w:color="auto"/>
        <w:right w:val="none" w:sz="0" w:space="0" w:color="auto"/>
      </w:divBdr>
    </w:div>
    <w:div w:id="1428303720">
      <w:bodyDiv w:val="1"/>
      <w:marLeft w:val="0"/>
      <w:marRight w:val="0"/>
      <w:marTop w:val="0"/>
      <w:marBottom w:val="0"/>
      <w:divBdr>
        <w:top w:val="none" w:sz="0" w:space="0" w:color="auto"/>
        <w:left w:val="none" w:sz="0" w:space="0" w:color="auto"/>
        <w:bottom w:val="none" w:sz="0" w:space="0" w:color="auto"/>
        <w:right w:val="none" w:sz="0" w:space="0" w:color="auto"/>
      </w:divBdr>
    </w:div>
    <w:div w:id="1480001167">
      <w:bodyDiv w:val="1"/>
      <w:marLeft w:val="0"/>
      <w:marRight w:val="0"/>
      <w:marTop w:val="0"/>
      <w:marBottom w:val="0"/>
      <w:divBdr>
        <w:top w:val="none" w:sz="0" w:space="0" w:color="auto"/>
        <w:left w:val="none" w:sz="0" w:space="0" w:color="auto"/>
        <w:bottom w:val="none" w:sz="0" w:space="0" w:color="auto"/>
        <w:right w:val="none" w:sz="0" w:space="0" w:color="auto"/>
      </w:divBdr>
    </w:div>
    <w:div w:id="1480804870">
      <w:bodyDiv w:val="1"/>
      <w:marLeft w:val="0"/>
      <w:marRight w:val="0"/>
      <w:marTop w:val="0"/>
      <w:marBottom w:val="0"/>
      <w:divBdr>
        <w:top w:val="none" w:sz="0" w:space="0" w:color="auto"/>
        <w:left w:val="none" w:sz="0" w:space="0" w:color="auto"/>
        <w:bottom w:val="none" w:sz="0" w:space="0" w:color="auto"/>
        <w:right w:val="none" w:sz="0" w:space="0" w:color="auto"/>
      </w:divBdr>
    </w:div>
    <w:div w:id="1486313016">
      <w:bodyDiv w:val="1"/>
      <w:marLeft w:val="0"/>
      <w:marRight w:val="0"/>
      <w:marTop w:val="0"/>
      <w:marBottom w:val="0"/>
      <w:divBdr>
        <w:top w:val="none" w:sz="0" w:space="0" w:color="auto"/>
        <w:left w:val="none" w:sz="0" w:space="0" w:color="auto"/>
        <w:bottom w:val="none" w:sz="0" w:space="0" w:color="auto"/>
        <w:right w:val="none" w:sz="0" w:space="0" w:color="auto"/>
      </w:divBdr>
    </w:div>
    <w:div w:id="1538663428">
      <w:bodyDiv w:val="1"/>
      <w:marLeft w:val="0"/>
      <w:marRight w:val="0"/>
      <w:marTop w:val="0"/>
      <w:marBottom w:val="0"/>
      <w:divBdr>
        <w:top w:val="none" w:sz="0" w:space="0" w:color="auto"/>
        <w:left w:val="none" w:sz="0" w:space="0" w:color="auto"/>
        <w:bottom w:val="none" w:sz="0" w:space="0" w:color="auto"/>
        <w:right w:val="none" w:sz="0" w:space="0" w:color="auto"/>
      </w:divBdr>
    </w:div>
    <w:div w:id="1567915676">
      <w:bodyDiv w:val="1"/>
      <w:marLeft w:val="0"/>
      <w:marRight w:val="0"/>
      <w:marTop w:val="0"/>
      <w:marBottom w:val="0"/>
      <w:divBdr>
        <w:top w:val="none" w:sz="0" w:space="0" w:color="auto"/>
        <w:left w:val="none" w:sz="0" w:space="0" w:color="auto"/>
        <w:bottom w:val="none" w:sz="0" w:space="0" w:color="auto"/>
        <w:right w:val="none" w:sz="0" w:space="0" w:color="auto"/>
      </w:divBdr>
    </w:div>
    <w:div w:id="1575355791">
      <w:bodyDiv w:val="1"/>
      <w:marLeft w:val="0"/>
      <w:marRight w:val="0"/>
      <w:marTop w:val="0"/>
      <w:marBottom w:val="0"/>
      <w:divBdr>
        <w:top w:val="none" w:sz="0" w:space="0" w:color="auto"/>
        <w:left w:val="none" w:sz="0" w:space="0" w:color="auto"/>
        <w:bottom w:val="none" w:sz="0" w:space="0" w:color="auto"/>
        <w:right w:val="none" w:sz="0" w:space="0" w:color="auto"/>
      </w:divBdr>
    </w:div>
    <w:div w:id="1681227395">
      <w:bodyDiv w:val="1"/>
      <w:marLeft w:val="0"/>
      <w:marRight w:val="0"/>
      <w:marTop w:val="0"/>
      <w:marBottom w:val="0"/>
      <w:divBdr>
        <w:top w:val="none" w:sz="0" w:space="0" w:color="auto"/>
        <w:left w:val="none" w:sz="0" w:space="0" w:color="auto"/>
        <w:bottom w:val="none" w:sz="0" w:space="0" w:color="auto"/>
        <w:right w:val="none" w:sz="0" w:space="0" w:color="auto"/>
      </w:divBdr>
    </w:div>
    <w:div w:id="1790271678">
      <w:bodyDiv w:val="1"/>
      <w:marLeft w:val="0"/>
      <w:marRight w:val="0"/>
      <w:marTop w:val="0"/>
      <w:marBottom w:val="0"/>
      <w:divBdr>
        <w:top w:val="none" w:sz="0" w:space="0" w:color="auto"/>
        <w:left w:val="none" w:sz="0" w:space="0" w:color="auto"/>
        <w:bottom w:val="none" w:sz="0" w:space="0" w:color="auto"/>
        <w:right w:val="none" w:sz="0" w:space="0" w:color="auto"/>
      </w:divBdr>
    </w:div>
    <w:div w:id="1804157021">
      <w:bodyDiv w:val="1"/>
      <w:marLeft w:val="0"/>
      <w:marRight w:val="0"/>
      <w:marTop w:val="0"/>
      <w:marBottom w:val="0"/>
      <w:divBdr>
        <w:top w:val="none" w:sz="0" w:space="0" w:color="auto"/>
        <w:left w:val="none" w:sz="0" w:space="0" w:color="auto"/>
        <w:bottom w:val="none" w:sz="0" w:space="0" w:color="auto"/>
        <w:right w:val="none" w:sz="0" w:space="0" w:color="auto"/>
      </w:divBdr>
    </w:div>
    <w:div w:id="1834757289">
      <w:bodyDiv w:val="1"/>
      <w:marLeft w:val="0"/>
      <w:marRight w:val="0"/>
      <w:marTop w:val="0"/>
      <w:marBottom w:val="0"/>
      <w:divBdr>
        <w:top w:val="none" w:sz="0" w:space="0" w:color="auto"/>
        <w:left w:val="none" w:sz="0" w:space="0" w:color="auto"/>
        <w:bottom w:val="none" w:sz="0" w:space="0" w:color="auto"/>
        <w:right w:val="none" w:sz="0" w:space="0" w:color="auto"/>
      </w:divBdr>
    </w:div>
    <w:div w:id="1959530014">
      <w:bodyDiv w:val="1"/>
      <w:marLeft w:val="0"/>
      <w:marRight w:val="0"/>
      <w:marTop w:val="0"/>
      <w:marBottom w:val="0"/>
      <w:divBdr>
        <w:top w:val="none" w:sz="0" w:space="0" w:color="auto"/>
        <w:left w:val="none" w:sz="0" w:space="0" w:color="auto"/>
        <w:bottom w:val="none" w:sz="0" w:space="0" w:color="auto"/>
        <w:right w:val="none" w:sz="0" w:space="0" w:color="auto"/>
      </w:divBdr>
    </w:div>
    <w:div w:id="2006396864">
      <w:bodyDiv w:val="1"/>
      <w:marLeft w:val="0"/>
      <w:marRight w:val="0"/>
      <w:marTop w:val="0"/>
      <w:marBottom w:val="0"/>
      <w:divBdr>
        <w:top w:val="none" w:sz="0" w:space="0" w:color="auto"/>
        <w:left w:val="none" w:sz="0" w:space="0" w:color="auto"/>
        <w:bottom w:val="none" w:sz="0" w:space="0" w:color="auto"/>
        <w:right w:val="none" w:sz="0" w:space="0" w:color="auto"/>
      </w:divBdr>
    </w:div>
    <w:div w:id="2023699254">
      <w:bodyDiv w:val="1"/>
      <w:marLeft w:val="0"/>
      <w:marRight w:val="0"/>
      <w:marTop w:val="0"/>
      <w:marBottom w:val="0"/>
      <w:divBdr>
        <w:top w:val="none" w:sz="0" w:space="0" w:color="auto"/>
        <w:left w:val="none" w:sz="0" w:space="0" w:color="auto"/>
        <w:bottom w:val="none" w:sz="0" w:space="0" w:color="auto"/>
        <w:right w:val="none" w:sz="0" w:space="0" w:color="auto"/>
      </w:divBdr>
      <w:divsChild>
        <w:div w:id="12257898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031486813">
      <w:bodyDiv w:val="1"/>
      <w:marLeft w:val="0"/>
      <w:marRight w:val="0"/>
      <w:marTop w:val="0"/>
      <w:marBottom w:val="0"/>
      <w:divBdr>
        <w:top w:val="none" w:sz="0" w:space="0" w:color="auto"/>
        <w:left w:val="none" w:sz="0" w:space="0" w:color="auto"/>
        <w:bottom w:val="none" w:sz="0" w:space="0" w:color="auto"/>
        <w:right w:val="none" w:sz="0" w:space="0" w:color="auto"/>
      </w:divBdr>
      <w:divsChild>
        <w:div w:id="1760324095">
          <w:marLeft w:val="0"/>
          <w:marRight w:val="0"/>
          <w:marTop w:val="0"/>
          <w:marBottom w:val="0"/>
          <w:divBdr>
            <w:top w:val="none" w:sz="0" w:space="0" w:color="auto"/>
            <w:left w:val="none" w:sz="0" w:space="0" w:color="auto"/>
            <w:bottom w:val="none" w:sz="0" w:space="0" w:color="auto"/>
            <w:right w:val="none" w:sz="0" w:space="0" w:color="auto"/>
          </w:divBdr>
          <w:divsChild>
            <w:div w:id="1973635583">
              <w:marLeft w:val="0"/>
              <w:marRight w:val="0"/>
              <w:marTop w:val="0"/>
              <w:marBottom w:val="0"/>
              <w:divBdr>
                <w:top w:val="none" w:sz="0" w:space="0" w:color="auto"/>
                <w:left w:val="none" w:sz="0" w:space="0" w:color="auto"/>
                <w:bottom w:val="none" w:sz="0" w:space="0" w:color="auto"/>
                <w:right w:val="none" w:sz="0" w:space="0" w:color="auto"/>
              </w:divBdr>
              <w:divsChild>
                <w:div w:id="1053234210">
                  <w:marLeft w:val="0"/>
                  <w:marRight w:val="0"/>
                  <w:marTop w:val="0"/>
                  <w:marBottom w:val="0"/>
                  <w:divBdr>
                    <w:top w:val="none" w:sz="0" w:space="0" w:color="auto"/>
                    <w:left w:val="none" w:sz="0" w:space="0" w:color="auto"/>
                    <w:bottom w:val="none" w:sz="0" w:space="0" w:color="auto"/>
                    <w:right w:val="none" w:sz="0" w:space="0" w:color="auto"/>
                  </w:divBdr>
                  <w:divsChild>
                    <w:div w:id="816609934">
                      <w:marLeft w:val="0"/>
                      <w:marRight w:val="0"/>
                      <w:marTop w:val="0"/>
                      <w:marBottom w:val="0"/>
                      <w:divBdr>
                        <w:top w:val="none" w:sz="0" w:space="0" w:color="auto"/>
                        <w:left w:val="none" w:sz="0" w:space="0" w:color="auto"/>
                        <w:bottom w:val="none" w:sz="0" w:space="0" w:color="auto"/>
                        <w:right w:val="none" w:sz="0" w:space="0" w:color="auto"/>
                      </w:divBdr>
                      <w:divsChild>
                        <w:div w:id="1600140780">
                          <w:marLeft w:val="0"/>
                          <w:marRight w:val="0"/>
                          <w:marTop w:val="0"/>
                          <w:marBottom w:val="0"/>
                          <w:divBdr>
                            <w:top w:val="none" w:sz="0" w:space="0" w:color="auto"/>
                            <w:left w:val="none" w:sz="0" w:space="0" w:color="auto"/>
                            <w:bottom w:val="none" w:sz="0" w:space="0" w:color="auto"/>
                            <w:right w:val="none" w:sz="0" w:space="0" w:color="auto"/>
                          </w:divBdr>
                          <w:divsChild>
                            <w:div w:id="4799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85335">
      <w:bodyDiv w:val="1"/>
      <w:marLeft w:val="0"/>
      <w:marRight w:val="0"/>
      <w:marTop w:val="0"/>
      <w:marBottom w:val="0"/>
      <w:divBdr>
        <w:top w:val="none" w:sz="0" w:space="0" w:color="auto"/>
        <w:left w:val="none" w:sz="0" w:space="0" w:color="auto"/>
        <w:bottom w:val="none" w:sz="0" w:space="0" w:color="auto"/>
        <w:right w:val="none" w:sz="0" w:space="0" w:color="auto"/>
      </w:divBdr>
      <w:divsChild>
        <w:div w:id="760569912">
          <w:marLeft w:val="0"/>
          <w:marRight w:val="0"/>
          <w:marTop w:val="0"/>
          <w:marBottom w:val="0"/>
          <w:divBdr>
            <w:top w:val="single" w:sz="12" w:space="0" w:color="BEBBB4"/>
            <w:left w:val="none" w:sz="0" w:space="0" w:color="auto"/>
            <w:bottom w:val="none" w:sz="0" w:space="0" w:color="auto"/>
            <w:right w:val="none" w:sz="0" w:space="0" w:color="auto"/>
          </w:divBdr>
          <w:divsChild>
            <w:div w:id="663775551">
              <w:marLeft w:val="0"/>
              <w:marRight w:val="0"/>
              <w:marTop w:val="0"/>
              <w:marBottom w:val="0"/>
              <w:divBdr>
                <w:top w:val="single" w:sz="12" w:space="0" w:color="BEBBB4"/>
                <w:left w:val="none" w:sz="0" w:space="0" w:color="auto"/>
                <w:bottom w:val="none" w:sz="0" w:space="0" w:color="auto"/>
                <w:right w:val="none" w:sz="0" w:space="0" w:color="auto"/>
              </w:divBdr>
              <w:divsChild>
                <w:div w:id="242375624">
                  <w:marLeft w:val="0"/>
                  <w:marRight w:val="0"/>
                  <w:marTop w:val="15"/>
                  <w:marBottom w:val="0"/>
                  <w:divBdr>
                    <w:top w:val="single" w:sz="12" w:space="0" w:color="BEBBB4"/>
                    <w:left w:val="none" w:sz="0" w:space="0" w:color="auto"/>
                    <w:bottom w:val="none" w:sz="0" w:space="0" w:color="auto"/>
                    <w:right w:val="none" w:sz="0" w:space="0" w:color="auto"/>
                  </w:divBdr>
                  <w:divsChild>
                    <w:div w:id="661274265">
                      <w:marLeft w:val="0"/>
                      <w:marRight w:val="0"/>
                      <w:marTop w:val="15"/>
                      <w:marBottom w:val="0"/>
                      <w:divBdr>
                        <w:top w:val="single" w:sz="12" w:space="0" w:color="BEBBB4"/>
                        <w:left w:val="none" w:sz="0" w:space="0" w:color="auto"/>
                        <w:bottom w:val="none" w:sz="0" w:space="0" w:color="auto"/>
                        <w:right w:val="none" w:sz="0" w:space="0" w:color="auto"/>
                      </w:divBdr>
                      <w:divsChild>
                        <w:div w:id="471139896">
                          <w:marLeft w:val="0"/>
                          <w:marRight w:val="0"/>
                          <w:marTop w:val="15"/>
                          <w:marBottom w:val="0"/>
                          <w:divBdr>
                            <w:top w:val="single" w:sz="12" w:space="0" w:color="BEBBB4"/>
                            <w:left w:val="none" w:sz="0" w:space="0" w:color="auto"/>
                            <w:bottom w:val="none" w:sz="0" w:space="0" w:color="auto"/>
                            <w:right w:val="none" w:sz="0" w:space="0" w:color="auto"/>
                          </w:divBdr>
                          <w:divsChild>
                            <w:div w:id="1747720915">
                              <w:marLeft w:val="0"/>
                              <w:marRight w:val="0"/>
                              <w:marTop w:val="15"/>
                              <w:marBottom w:val="0"/>
                              <w:divBdr>
                                <w:top w:val="single" w:sz="12" w:space="0" w:color="BEBBB4"/>
                                <w:left w:val="none" w:sz="0" w:space="0" w:color="auto"/>
                                <w:bottom w:val="none" w:sz="0" w:space="0" w:color="auto"/>
                                <w:right w:val="none" w:sz="0" w:space="0" w:color="auto"/>
                              </w:divBdr>
                            </w:div>
                          </w:divsChild>
                        </w:div>
                      </w:divsChild>
                    </w:div>
                  </w:divsChild>
                </w:div>
              </w:divsChild>
            </w:div>
          </w:divsChild>
        </w:div>
      </w:divsChild>
    </w:div>
    <w:div w:id="2068918951">
      <w:bodyDiv w:val="1"/>
      <w:marLeft w:val="0"/>
      <w:marRight w:val="0"/>
      <w:marTop w:val="0"/>
      <w:marBottom w:val="0"/>
      <w:divBdr>
        <w:top w:val="none" w:sz="0" w:space="0" w:color="auto"/>
        <w:left w:val="none" w:sz="0" w:space="0" w:color="auto"/>
        <w:bottom w:val="none" w:sz="0" w:space="0" w:color="auto"/>
        <w:right w:val="none" w:sz="0" w:space="0" w:color="auto"/>
      </w:divBdr>
    </w:div>
    <w:div w:id="2112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6278</Words>
  <Characters>35786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POLICY AND RESOURCES COMMITTEE - 28 JANUARY 1997</vt:lpstr>
    </vt:vector>
  </TitlesOfParts>
  <Company>Pre-installed Company</Company>
  <LinksUpToDate>false</LinksUpToDate>
  <CharactersWithSpaces>41981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RESOURCES COMMITTEE - 28 JANUARY 1997</dc:title>
  <dc:creator>Denis Adams</dc:creator>
  <cp:lastModifiedBy>Sarah Haythorpe</cp:lastModifiedBy>
  <cp:revision>4</cp:revision>
  <cp:lastPrinted>2016-11-14T08:02:00Z</cp:lastPrinted>
  <dcterms:created xsi:type="dcterms:W3CDTF">2016-11-14T14:39:00Z</dcterms:created>
  <dcterms:modified xsi:type="dcterms:W3CDTF">2016-11-14T16:19:00Z</dcterms:modified>
</cp:coreProperties>
</file>