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4C" w:rsidRDefault="00E11170" w:rsidP="00173DBB">
      <w:pPr>
        <w:jc w:val="center"/>
        <w:rPr>
          <w:b/>
        </w:rPr>
      </w:pPr>
      <w:r>
        <w:rPr>
          <w:b/>
        </w:rPr>
        <w:t>LEISURE, WELLBEING &amp; HEALTH</w:t>
      </w:r>
      <w:r w:rsidR="00DE754C">
        <w:rPr>
          <w:b/>
        </w:rPr>
        <w:t xml:space="preserve"> COMMITTEE</w:t>
      </w:r>
    </w:p>
    <w:p w:rsidR="00DE754C" w:rsidRPr="00000C94" w:rsidRDefault="00DE754C">
      <w:pPr>
        <w:jc w:val="left"/>
        <w:rPr>
          <w:b/>
          <w:sz w:val="20"/>
        </w:rPr>
      </w:pPr>
    </w:p>
    <w:p w:rsidR="00BF34FA" w:rsidRDefault="00446FF4">
      <w:pPr>
        <w:jc w:val="center"/>
        <w:rPr>
          <w:b/>
          <w:i/>
        </w:rPr>
      </w:pPr>
      <w:r>
        <w:rPr>
          <w:b/>
        </w:rPr>
        <w:t>29</w:t>
      </w:r>
      <w:r w:rsidR="00243800">
        <w:rPr>
          <w:b/>
        </w:rPr>
        <w:t xml:space="preserve"> </w:t>
      </w:r>
      <w:r w:rsidR="00E11170">
        <w:rPr>
          <w:b/>
        </w:rPr>
        <w:t>NOVEMBER</w:t>
      </w:r>
      <w:r w:rsidR="00243800">
        <w:rPr>
          <w:b/>
        </w:rPr>
        <w:t xml:space="preserve"> 201</w:t>
      </w:r>
      <w:r>
        <w:rPr>
          <w:b/>
        </w:rPr>
        <w:t>7</w:t>
      </w:r>
      <w:r w:rsidR="00BF34FA">
        <w:rPr>
          <w:b/>
        </w:rPr>
        <w:fldChar w:fldCharType="begin"/>
      </w:r>
      <w:r w:rsidR="00BF34FA">
        <w:rPr>
          <w:b/>
        </w:rPr>
        <w:instrText xml:space="preserve">  </w:instrText>
      </w:r>
      <w:r w:rsidR="00BF34FA">
        <w:rPr>
          <w:b/>
        </w:rPr>
        <w:fldChar w:fldCharType="end"/>
      </w:r>
      <w:r w:rsidR="00BF34FA">
        <w:rPr>
          <w:b/>
        </w:rPr>
        <w:fldChar w:fldCharType="begin"/>
      </w:r>
      <w:r w:rsidR="00BF34FA">
        <w:rPr>
          <w:b/>
        </w:rPr>
        <w:instrText xml:space="preserve">  </w:instrText>
      </w:r>
      <w:r w:rsidR="00BF34FA">
        <w:rPr>
          <w:b/>
        </w:rPr>
        <w:fldChar w:fldCharType="end"/>
      </w:r>
      <w:r w:rsidR="00BF34FA">
        <w:rPr>
          <w:b/>
        </w:rPr>
        <w:fldChar w:fldCharType="begin"/>
      </w:r>
      <w:r w:rsidR="00BF34FA">
        <w:rPr>
          <w:b/>
        </w:rPr>
        <w:instrText xml:space="preserve">  </w:instrText>
      </w:r>
      <w:r w:rsidR="00BF34FA">
        <w:rPr>
          <w:b/>
        </w:rPr>
        <w:fldChar w:fldCharType="end"/>
      </w:r>
    </w:p>
    <w:p w:rsidR="00BF34FA" w:rsidRPr="00000C94" w:rsidRDefault="00BF34FA">
      <w:pPr>
        <w:jc w:val="center"/>
        <w:rPr>
          <w:sz w:val="20"/>
        </w:rPr>
      </w:pPr>
    </w:p>
    <w:p w:rsidR="00BF34FA" w:rsidRDefault="00BF34FA">
      <w:pPr>
        <w:jc w:val="center"/>
        <w:rPr>
          <w:b/>
        </w:rPr>
      </w:pPr>
      <w:r>
        <w:rPr>
          <w:b/>
        </w:rPr>
        <w:t xml:space="preserve">PART </w:t>
      </w:r>
      <w:r>
        <w:rPr>
          <w:b/>
        </w:rPr>
        <w:fldChar w:fldCharType="begin"/>
      </w:r>
      <w:r>
        <w:rPr>
          <w:b/>
        </w:rPr>
        <w:instrText xml:space="preserve">  </w:instrText>
      </w:r>
      <w:r>
        <w:rPr>
          <w:b/>
        </w:rPr>
        <w:fldChar w:fldCharType="end"/>
      </w:r>
      <w:r>
        <w:rPr>
          <w:b/>
        </w:rPr>
        <w:t xml:space="preserve">I - </w:t>
      </w:r>
      <w:r>
        <w:rPr>
          <w:b/>
        </w:rPr>
        <w:fldChar w:fldCharType="begin"/>
      </w:r>
      <w:r>
        <w:rPr>
          <w:b/>
        </w:rPr>
        <w:instrText xml:space="preserve">  </w:instrText>
      </w:r>
      <w:r>
        <w:rPr>
          <w:b/>
        </w:rPr>
        <w:fldChar w:fldCharType="end"/>
      </w:r>
      <w:r>
        <w:rPr>
          <w:b/>
        </w:rPr>
        <w:t xml:space="preserve">DELEGATED </w:t>
      </w:r>
      <w:r>
        <w:rPr>
          <w:b/>
        </w:rPr>
        <w:fldChar w:fldCharType="begin"/>
      </w:r>
      <w:r>
        <w:rPr>
          <w:b/>
        </w:rPr>
        <w:instrText xml:space="preserve">  </w:instrText>
      </w:r>
      <w:r>
        <w:rPr>
          <w:b/>
        </w:rPr>
        <w:fldChar w:fldCharType="end"/>
      </w:r>
    </w:p>
    <w:p w:rsidR="00BF34FA" w:rsidRPr="00000C94" w:rsidRDefault="00BF34FA">
      <w:pPr>
        <w:jc w:val="center"/>
        <w:rPr>
          <w:sz w:val="20"/>
        </w:rPr>
      </w:pPr>
    </w:p>
    <w:p w:rsidR="00BF34FA" w:rsidRDefault="00BF34FA">
      <w:pPr>
        <w:keepNext/>
        <w:ind w:left="1267" w:hanging="1267"/>
        <w:rPr>
          <w:b/>
          <w:i/>
          <w:color w:val="008000"/>
        </w:rPr>
      </w:pPr>
      <w:r>
        <w:rPr>
          <w:b/>
        </w:rPr>
        <w:fldChar w:fldCharType="begin"/>
      </w:r>
      <w:r>
        <w:rPr>
          <w:b/>
        </w:rPr>
        <w:instrText xml:space="preserve">  </w:instrText>
      </w:r>
      <w:r>
        <w:rPr>
          <w:b/>
        </w:rPr>
        <w:fldChar w:fldCharType="end"/>
      </w:r>
      <w:r w:rsidR="00D068BC">
        <w:rPr>
          <w:b/>
        </w:rPr>
        <w:t>6</w:t>
      </w:r>
      <w:r w:rsidR="00911629">
        <w:rPr>
          <w:b/>
        </w:rPr>
        <w:t>.</w:t>
      </w:r>
      <w:r w:rsidR="004553CC">
        <w:rPr>
          <w:b/>
        </w:rPr>
        <w:tab/>
      </w:r>
      <w:r w:rsidR="00A826B6">
        <w:rPr>
          <w:b/>
        </w:rPr>
        <w:t>CITIZENS’ ADVICE SERVICE IN THREE RIVERS ANNUAL REPORT 201</w:t>
      </w:r>
      <w:r w:rsidR="00446FF4">
        <w:rPr>
          <w:b/>
        </w:rPr>
        <w:t>6</w:t>
      </w:r>
      <w:r w:rsidR="00A826B6">
        <w:rPr>
          <w:b/>
        </w:rPr>
        <w:t>/1</w:t>
      </w:r>
      <w:r w:rsidR="00446FF4">
        <w:rPr>
          <w:b/>
        </w:rPr>
        <w:t>7</w:t>
      </w:r>
      <w:r>
        <w:rPr>
          <w:b/>
        </w:rPr>
        <w:fldChar w:fldCharType="begin"/>
      </w:r>
      <w:r>
        <w:rPr>
          <w:b/>
        </w:rPr>
        <w:instrText xml:space="preserve">  </w:instrText>
      </w:r>
      <w:r>
        <w:rPr>
          <w:b/>
        </w:rPr>
        <w:fldChar w:fldCharType="end"/>
      </w:r>
    </w:p>
    <w:p w:rsidR="00BF34FA" w:rsidRDefault="00BF34FA">
      <w:pPr>
        <w:keepNext/>
        <w:ind w:left="1267" w:hanging="1267"/>
        <w:rPr>
          <w:b/>
          <w:i/>
          <w:color w:val="008000"/>
        </w:rPr>
      </w:pPr>
      <w:r>
        <w:rPr>
          <w:b/>
        </w:rPr>
        <w:tab/>
      </w:r>
      <w:r>
        <w:t>(CED)</w:t>
      </w:r>
      <w:r>
        <w:fldChar w:fldCharType="begin"/>
      </w:r>
      <w:r>
        <w:instrText xml:space="preserve">  </w:instrText>
      </w:r>
      <w:r>
        <w:fldChar w:fldCharType="end"/>
      </w:r>
    </w:p>
    <w:p w:rsidR="00BF34FA" w:rsidRPr="00000C94" w:rsidRDefault="00431B01" w:rsidP="00431B01">
      <w:pPr>
        <w:tabs>
          <w:tab w:val="clear" w:pos="1260"/>
          <w:tab w:val="clear" w:pos="1980"/>
          <w:tab w:val="clear" w:pos="2700"/>
          <w:tab w:val="clear" w:pos="3420"/>
          <w:tab w:val="left" w:pos="496"/>
        </w:tabs>
        <w:rPr>
          <w:sz w:val="20"/>
        </w:rPr>
      </w:pPr>
      <w:r>
        <w:rPr>
          <w:sz w:val="20"/>
        </w:rPr>
        <w:tab/>
      </w:r>
    </w:p>
    <w:p w:rsidR="00446FF4" w:rsidRDefault="00BF34FA" w:rsidP="00446FF4">
      <w:pPr>
        <w:keepNext/>
        <w:ind w:left="1267" w:hanging="1267"/>
        <w:rPr>
          <w:b/>
        </w:rPr>
      </w:pPr>
      <w:r>
        <w:t>1.</w:t>
      </w:r>
      <w:r>
        <w:tab/>
      </w:r>
      <w:r>
        <w:rPr>
          <w:b/>
        </w:rPr>
        <w:t>Summary</w:t>
      </w:r>
      <w:r w:rsidR="00C801D9">
        <w:rPr>
          <w:b/>
        </w:rPr>
        <w:br/>
      </w:r>
    </w:p>
    <w:p w:rsidR="00C801D9" w:rsidRDefault="00C801D9" w:rsidP="00446FF4">
      <w:pPr>
        <w:keepNext/>
        <w:ind w:left="1267" w:hanging="1267"/>
        <w:rPr>
          <w:b/>
        </w:rPr>
      </w:pPr>
    </w:p>
    <w:p w:rsidR="00BF34FA" w:rsidRPr="00431B01" w:rsidRDefault="00BF34FA" w:rsidP="00550999">
      <w:pPr>
        <w:keepNext/>
        <w:ind w:left="1267" w:hanging="1267"/>
        <w:rPr>
          <w:sz w:val="20"/>
        </w:rPr>
      </w:pPr>
      <w:r>
        <w:t>1.1</w:t>
      </w:r>
      <w:r>
        <w:tab/>
      </w:r>
      <w:r w:rsidR="000D433D">
        <w:t>Th</w:t>
      </w:r>
      <w:r w:rsidR="00E11170">
        <w:t>e Committee will receive a presentation from the Director of the Citizens</w:t>
      </w:r>
      <w:r w:rsidR="00796591">
        <w:t>’</w:t>
      </w:r>
      <w:r w:rsidR="00E11170">
        <w:t xml:space="preserve"> Advice Service</w:t>
      </w:r>
      <w:r w:rsidR="00D8286A">
        <w:t xml:space="preserve"> </w:t>
      </w:r>
      <w:r w:rsidR="00E11170">
        <w:t>in Three Rivers</w:t>
      </w:r>
      <w:r w:rsidR="00D8286A">
        <w:t xml:space="preserve"> </w:t>
      </w:r>
      <w:r w:rsidR="00784706">
        <w:t>(</w:t>
      </w:r>
      <w:r w:rsidR="00D8286A">
        <w:t>CASTR</w:t>
      </w:r>
      <w:r w:rsidR="00784706">
        <w:t>)</w:t>
      </w:r>
      <w:r w:rsidR="00E11170">
        <w:t xml:space="preserve"> highlighting the</w:t>
      </w:r>
      <w:r w:rsidR="00000C94">
        <w:t>ir</w:t>
      </w:r>
      <w:r w:rsidR="00E11170">
        <w:t xml:space="preserve"> </w:t>
      </w:r>
      <w:r w:rsidR="00000C94">
        <w:t xml:space="preserve">performance </w:t>
      </w:r>
      <w:r w:rsidR="00AF2B8C">
        <w:t>and achievements for the financial year</w:t>
      </w:r>
      <w:r w:rsidR="00446FF4">
        <w:t xml:space="preserve"> 2016</w:t>
      </w:r>
      <w:r w:rsidR="00E11170">
        <w:t>/1</w:t>
      </w:r>
      <w:r w:rsidR="00446FF4">
        <w:t>7</w:t>
      </w:r>
      <w:r w:rsidR="00E11170">
        <w:t>.</w:t>
      </w:r>
    </w:p>
    <w:p w:rsidR="00446FF4" w:rsidRPr="00431B01" w:rsidRDefault="00446FF4">
      <w:pPr>
        <w:ind w:left="1267" w:hanging="1267"/>
        <w:rPr>
          <w:sz w:val="20"/>
        </w:rPr>
      </w:pPr>
    </w:p>
    <w:p w:rsidR="00446FF4" w:rsidRPr="00B47686" w:rsidRDefault="00BF34FA" w:rsidP="00446FF4">
      <w:pPr>
        <w:keepNext/>
        <w:ind w:left="1267" w:hanging="1267"/>
        <w:rPr>
          <w:b/>
          <w:color w:val="000000" w:themeColor="text1"/>
        </w:rPr>
      </w:pPr>
      <w:r w:rsidRPr="00B47686">
        <w:rPr>
          <w:color w:val="000000" w:themeColor="text1"/>
        </w:rPr>
        <w:t>2.</w:t>
      </w:r>
      <w:r w:rsidRPr="00B47686">
        <w:rPr>
          <w:color w:val="000000" w:themeColor="text1"/>
        </w:rPr>
        <w:tab/>
      </w:r>
      <w:r w:rsidRPr="00B47686">
        <w:rPr>
          <w:b/>
          <w:color w:val="000000" w:themeColor="text1"/>
        </w:rPr>
        <w:t>Details</w:t>
      </w:r>
      <w:r w:rsidR="00C801D9">
        <w:rPr>
          <w:b/>
          <w:color w:val="000000" w:themeColor="text1"/>
        </w:rPr>
        <w:br/>
      </w:r>
    </w:p>
    <w:p w:rsidR="00CE475C" w:rsidRDefault="00BF34FA" w:rsidP="00446FF4">
      <w:pPr>
        <w:keepNext/>
        <w:ind w:left="1267" w:hanging="1267"/>
        <w:rPr>
          <w:color w:val="000000" w:themeColor="text1"/>
        </w:rPr>
      </w:pPr>
      <w:r w:rsidRPr="00B47686">
        <w:rPr>
          <w:color w:val="000000" w:themeColor="text1"/>
        </w:rPr>
        <w:t>2.1</w:t>
      </w:r>
      <w:r w:rsidRPr="00B47686">
        <w:rPr>
          <w:color w:val="000000" w:themeColor="text1"/>
        </w:rPr>
        <w:tab/>
      </w:r>
      <w:r w:rsidR="00AF2B8C" w:rsidRPr="00B47686">
        <w:rPr>
          <w:color w:val="000000" w:themeColor="text1"/>
          <w:szCs w:val="22"/>
        </w:rPr>
        <w:t>Three Rivers District Council has a Service Level Ag</w:t>
      </w:r>
      <w:r w:rsidR="00D8286A" w:rsidRPr="00B47686">
        <w:rPr>
          <w:color w:val="000000" w:themeColor="text1"/>
          <w:szCs w:val="22"/>
        </w:rPr>
        <w:t xml:space="preserve">reement (SLA) in place with </w:t>
      </w:r>
      <w:r w:rsidR="00D8286A" w:rsidRPr="00CE475C">
        <w:rPr>
          <w:rFonts w:cs="Arial"/>
          <w:color w:val="000000" w:themeColor="text1"/>
        </w:rPr>
        <w:t>CASTR</w:t>
      </w:r>
      <w:r w:rsidR="00CE475C" w:rsidRPr="00CE475C">
        <w:rPr>
          <w:rFonts w:cs="Arial"/>
          <w:color w:val="000000" w:themeColor="text1"/>
          <w:szCs w:val="22"/>
        </w:rPr>
        <w:t xml:space="preserve"> </w:t>
      </w:r>
      <w:r w:rsidR="00D068BC">
        <w:rPr>
          <w:rFonts w:cs="Arial"/>
          <w:color w:val="000000" w:themeColor="text1"/>
          <w:szCs w:val="22"/>
        </w:rPr>
        <w:t>and pays ov</w:t>
      </w:r>
      <w:r w:rsidR="00CE475C" w:rsidRPr="00CE475C">
        <w:rPr>
          <w:color w:val="000000" w:themeColor="text1"/>
        </w:rPr>
        <w:t>er an annual grant of £257,340 which is VAT exclusive.</w:t>
      </w:r>
    </w:p>
    <w:p w:rsidR="00D068BC" w:rsidRPr="00431B01" w:rsidRDefault="00D068BC" w:rsidP="00446FF4">
      <w:pPr>
        <w:keepNext/>
        <w:ind w:left="1267" w:hanging="1267"/>
        <w:rPr>
          <w:color w:val="000000" w:themeColor="text1"/>
          <w:sz w:val="16"/>
          <w:szCs w:val="16"/>
        </w:rPr>
      </w:pPr>
    </w:p>
    <w:p w:rsidR="00D068BC" w:rsidRPr="00CE475C" w:rsidRDefault="00D068BC" w:rsidP="00446FF4">
      <w:pPr>
        <w:keepNext/>
        <w:ind w:left="1267" w:hanging="1267"/>
        <w:rPr>
          <w:rFonts w:cs="Arial"/>
          <w:color w:val="000000" w:themeColor="text1"/>
          <w:szCs w:val="22"/>
        </w:rPr>
      </w:pPr>
      <w:r>
        <w:rPr>
          <w:color w:val="000000" w:themeColor="text1"/>
        </w:rPr>
        <w:t>2.2</w:t>
      </w:r>
      <w:r>
        <w:rPr>
          <w:color w:val="000000" w:themeColor="text1"/>
        </w:rPr>
        <w:tab/>
        <w:t>The next formal review of the SLA is in March 2019.</w:t>
      </w:r>
    </w:p>
    <w:p w:rsidR="00AF2B8C" w:rsidRPr="00431B01" w:rsidRDefault="00AF2B8C" w:rsidP="00AF2B8C">
      <w:pPr>
        <w:ind w:left="1260" w:hanging="1260"/>
        <w:rPr>
          <w:rFonts w:cs="Arial"/>
          <w:color w:val="000000" w:themeColor="text1"/>
          <w:sz w:val="16"/>
          <w:szCs w:val="16"/>
        </w:rPr>
      </w:pPr>
    </w:p>
    <w:p w:rsidR="00CE475C" w:rsidRPr="00CE475C" w:rsidRDefault="002915F6" w:rsidP="00CE475C">
      <w:pPr>
        <w:ind w:left="1260" w:hanging="1260"/>
        <w:rPr>
          <w:color w:val="000000" w:themeColor="text1"/>
        </w:rPr>
      </w:pPr>
      <w:r w:rsidRPr="00CE475C">
        <w:rPr>
          <w:rFonts w:cs="Arial"/>
          <w:color w:val="000000" w:themeColor="text1"/>
          <w:szCs w:val="22"/>
        </w:rPr>
        <w:t>2.3</w:t>
      </w:r>
      <w:r w:rsidR="00AF2B8C" w:rsidRPr="00CE475C">
        <w:rPr>
          <w:rFonts w:cs="Arial"/>
          <w:color w:val="000000" w:themeColor="text1"/>
          <w:szCs w:val="22"/>
        </w:rPr>
        <w:tab/>
      </w:r>
      <w:r w:rsidR="00796591" w:rsidRPr="00CE475C">
        <w:rPr>
          <w:rFonts w:cs="Arial"/>
          <w:color w:val="000000" w:themeColor="text1"/>
          <w:szCs w:val="22"/>
        </w:rPr>
        <w:t xml:space="preserve">In addition the Council meets the </w:t>
      </w:r>
      <w:r w:rsidR="004F1198" w:rsidRPr="00CE475C">
        <w:rPr>
          <w:rFonts w:cs="Arial"/>
          <w:color w:val="000000" w:themeColor="text1"/>
          <w:szCs w:val="22"/>
        </w:rPr>
        <w:t xml:space="preserve">lease costs of </w:t>
      </w:r>
      <w:r w:rsidR="00784706" w:rsidRPr="00CE475C">
        <w:rPr>
          <w:rFonts w:cs="Arial"/>
          <w:color w:val="000000" w:themeColor="text1"/>
          <w:szCs w:val="22"/>
        </w:rPr>
        <w:t xml:space="preserve">Council </w:t>
      </w:r>
      <w:r w:rsidR="00AF2B8C" w:rsidRPr="00CE475C">
        <w:rPr>
          <w:rFonts w:cs="Arial"/>
          <w:color w:val="000000" w:themeColor="text1"/>
          <w:szCs w:val="22"/>
        </w:rPr>
        <w:t xml:space="preserve">premises </w:t>
      </w:r>
      <w:r w:rsidR="00784706" w:rsidRPr="00CE475C">
        <w:rPr>
          <w:rFonts w:cs="Arial"/>
          <w:color w:val="000000" w:themeColor="text1"/>
          <w:szCs w:val="22"/>
        </w:rPr>
        <w:t>used</w:t>
      </w:r>
      <w:r w:rsidR="00784706" w:rsidRPr="00CE475C">
        <w:rPr>
          <w:color w:val="000000" w:themeColor="text1"/>
          <w:szCs w:val="22"/>
        </w:rPr>
        <w:t xml:space="preserve"> by CASTR </w:t>
      </w:r>
      <w:r w:rsidR="00AF2B8C" w:rsidRPr="00CE475C">
        <w:rPr>
          <w:color w:val="000000" w:themeColor="text1"/>
          <w:szCs w:val="22"/>
        </w:rPr>
        <w:t>in Rickmansworth and South Oxhey</w:t>
      </w:r>
      <w:r w:rsidR="00CE475C" w:rsidRPr="00CE475C">
        <w:rPr>
          <w:color w:val="000000" w:themeColor="text1"/>
          <w:szCs w:val="22"/>
        </w:rPr>
        <w:t>.</w:t>
      </w:r>
    </w:p>
    <w:p w:rsidR="00AF2B8C" w:rsidRPr="00431B01" w:rsidRDefault="00AF2B8C" w:rsidP="00AF2B8C">
      <w:pPr>
        <w:tabs>
          <w:tab w:val="clear" w:pos="1260"/>
          <w:tab w:val="num" w:pos="1276"/>
        </w:tabs>
        <w:rPr>
          <w:color w:val="000000" w:themeColor="text1"/>
          <w:sz w:val="16"/>
          <w:szCs w:val="16"/>
        </w:rPr>
      </w:pPr>
    </w:p>
    <w:p w:rsidR="00AF2B8C" w:rsidRPr="00CE475C" w:rsidRDefault="00B84E4B" w:rsidP="00AF2B8C">
      <w:pPr>
        <w:tabs>
          <w:tab w:val="clear" w:pos="1980"/>
        </w:tabs>
        <w:ind w:left="1260" w:hanging="1260"/>
        <w:rPr>
          <w:color w:val="000000" w:themeColor="text1"/>
          <w:szCs w:val="22"/>
        </w:rPr>
      </w:pPr>
      <w:r w:rsidRPr="00CE475C">
        <w:rPr>
          <w:color w:val="000000" w:themeColor="text1"/>
          <w:szCs w:val="22"/>
        </w:rPr>
        <w:t>2.</w:t>
      </w:r>
      <w:r w:rsidR="002915F6" w:rsidRPr="00CE475C">
        <w:rPr>
          <w:color w:val="000000" w:themeColor="text1"/>
          <w:szCs w:val="22"/>
        </w:rPr>
        <w:t>4</w:t>
      </w:r>
      <w:r w:rsidR="00AF2B8C" w:rsidRPr="00CE475C">
        <w:rPr>
          <w:color w:val="000000" w:themeColor="text1"/>
          <w:szCs w:val="22"/>
        </w:rPr>
        <w:tab/>
        <w:t>Council funding and support enables CASTR to deliver the following services for the residents of Three Rivers:</w:t>
      </w:r>
    </w:p>
    <w:p w:rsidR="00AF2B8C" w:rsidRPr="00CE475C" w:rsidRDefault="00AF2B8C" w:rsidP="00AF2B8C">
      <w:pPr>
        <w:tabs>
          <w:tab w:val="clear" w:pos="1260"/>
          <w:tab w:val="num" w:pos="1276"/>
        </w:tabs>
        <w:rPr>
          <w:color w:val="000000" w:themeColor="text1"/>
          <w:sz w:val="20"/>
        </w:rPr>
      </w:pPr>
    </w:p>
    <w:p w:rsidR="00AF2B8C" w:rsidRPr="003D3B0E" w:rsidRDefault="00AF2B8C" w:rsidP="003D3B0E">
      <w:pPr>
        <w:numPr>
          <w:ilvl w:val="0"/>
          <w:numId w:val="4"/>
        </w:numPr>
        <w:tabs>
          <w:tab w:val="clear" w:pos="600"/>
          <w:tab w:val="clear" w:pos="1260"/>
          <w:tab w:val="clear" w:pos="1980"/>
          <w:tab w:val="num" w:pos="2340"/>
        </w:tabs>
        <w:ind w:left="1620"/>
        <w:rPr>
          <w:color w:val="000000" w:themeColor="text1"/>
          <w:szCs w:val="22"/>
        </w:rPr>
      </w:pPr>
      <w:r w:rsidRPr="00CE475C">
        <w:rPr>
          <w:color w:val="000000" w:themeColor="text1"/>
          <w:szCs w:val="22"/>
        </w:rPr>
        <w:t>Provision of advice to residents principally covering</w:t>
      </w:r>
      <w:r w:rsidR="003D3B0E" w:rsidRPr="00CE475C">
        <w:rPr>
          <w:color w:val="000000" w:themeColor="text1"/>
          <w:szCs w:val="22"/>
        </w:rPr>
        <w:t>:</w:t>
      </w:r>
      <w:r w:rsidRPr="00CE475C">
        <w:rPr>
          <w:color w:val="000000" w:themeColor="text1"/>
          <w:szCs w:val="22"/>
        </w:rPr>
        <w:t xml:space="preserve"> benefits, consumer, debt, education, employment, finance</w:t>
      </w:r>
      <w:r w:rsidRPr="003D3B0E">
        <w:rPr>
          <w:color w:val="000000" w:themeColor="text1"/>
          <w:szCs w:val="22"/>
        </w:rPr>
        <w:t>, health, housing, immigration, law, relationships, signposting, tax, travel and utilities.</w:t>
      </w:r>
    </w:p>
    <w:p w:rsidR="00AF2B8C" w:rsidRPr="009A7847" w:rsidRDefault="00AF2B8C" w:rsidP="003D3B0E">
      <w:pPr>
        <w:tabs>
          <w:tab w:val="clear" w:pos="1260"/>
        </w:tabs>
        <w:ind w:left="1080"/>
        <w:rPr>
          <w:b/>
          <w:color w:val="000000" w:themeColor="text1"/>
          <w:sz w:val="16"/>
          <w:szCs w:val="16"/>
        </w:rPr>
      </w:pPr>
    </w:p>
    <w:p w:rsidR="00AF2B8C" w:rsidRPr="003D3B0E" w:rsidRDefault="00AF2B8C" w:rsidP="003D3B0E">
      <w:pPr>
        <w:numPr>
          <w:ilvl w:val="0"/>
          <w:numId w:val="4"/>
        </w:numPr>
        <w:tabs>
          <w:tab w:val="clear" w:pos="600"/>
          <w:tab w:val="clear" w:pos="1260"/>
          <w:tab w:val="num" w:pos="1560"/>
        </w:tabs>
        <w:ind w:left="1620"/>
        <w:rPr>
          <w:color w:val="000000" w:themeColor="text1"/>
          <w:szCs w:val="22"/>
          <w:u w:val="single"/>
        </w:rPr>
      </w:pPr>
      <w:r w:rsidRPr="003D3B0E">
        <w:rPr>
          <w:color w:val="000000" w:themeColor="text1"/>
          <w:szCs w:val="22"/>
        </w:rPr>
        <w:t>Access to 3 bureaux in Rickmansworth, South Oxhey and Abbots Langley from Monday to Friday, as well as outr</w:t>
      </w:r>
      <w:r w:rsidR="008D15B9">
        <w:rPr>
          <w:color w:val="000000" w:themeColor="text1"/>
          <w:szCs w:val="22"/>
        </w:rPr>
        <w:t>each services in other areas</w:t>
      </w:r>
      <w:r w:rsidRPr="003D3B0E">
        <w:rPr>
          <w:color w:val="000000" w:themeColor="text1"/>
          <w:szCs w:val="22"/>
        </w:rPr>
        <w:t>.</w:t>
      </w:r>
    </w:p>
    <w:p w:rsidR="00AF2B8C" w:rsidRPr="004F1198" w:rsidRDefault="00AF2B8C" w:rsidP="003D3B0E">
      <w:pPr>
        <w:tabs>
          <w:tab w:val="clear" w:pos="1260"/>
        </w:tabs>
        <w:ind w:left="1020"/>
        <w:rPr>
          <w:color w:val="000000" w:themeColor="text1"/>
          <w:sz w:val="16"/>
          <w:szCs w:val="16"/>
        </w:rPr>
      </w:pPr>
    </w:p>
    <w:p w:rsidR="00AF2B8C" w:rsidRPr="003D3B0E" w:rsidRDefault="00AF2B8C" w:rsidP="003D3B0E">
      <w:pPr>
        <w:numPr>
          <w:ilvl w:val="0"/>
          <w:numId w:val="4"/>
        </w:numPr>
        <w:tabs>
          <w:tab w:val="clear" w:pos="600"/>
          <w:tab w:val="clear" w:pos="1260"/>
          <w:tab w:val="num" w:pos="1320"/>
        </w:tabs>
        <w:ind w:left="1620"/>
        <w:rPr>
          <w:color w:val="000000" w:themeColor="text1"/>
          <w:szCs w:val="22"/>
          <w:u w:val="single"/>
        </w:rPr>
      </w:pPr>
      <w:r w:rsidRPr="003D3B0E">
        <w:rPr>
          <w:rFonts w:cs="Arial"/>
          <w:color w:val="000000" w:themeColor="text1"/>
          <w:szCs w:val="22"/>
        </w:rPr>
        <w:t>Home visits for people who are housebound.</w:t>
      </w:r>
    </w:p>
    <w:p w:rsidR="00AF2B8C" w:rsidRPr="004F1198" w:rsidRDefault="00AF2B8C" w:rsidP="003D3B0E">
      <w:pPr>
        <w:tabs>
          <w:tab w:val="clear" w:pos="1260"/>
        </w:tabs>
        <w:ind w:left="1020"/>
        <w:rPr>
          <w:color w:val="000000" w:themeColor="text1"/>
          <w:sz w:val="16"/>
          <w:szCs w:val="16"/>
        </w:rPr>
      </w:pPr>
    </w:p>
    <w:p w:rsidR="00AF2B8C" w:rsidRPr="003D3B0E" w:rsidRDefault="00AF2B8C" w:rsidP="003D3B0E">
      <w:pPr>
        <w:numPr>
          <w:ilvl w:val="0"/>
          <w:numId w:val="4"/>
        </w:numPr>
        <w:tabs>
          <w:tab w:val="clear" w:pos="600"/>
          <w:tab w:val="clear" w:pos="1260"/>
          <w:tab w:val="num" w:pos="1320"/>
        </w:tabs>
        <w:ind w:left="1620"/>
        <w:rPr>
          <w:color w:val="000000" w:themeColor="text1"/>
          <w:szCs w:val="22"/>
          <w:u w:val="single"/>
        </w:rPr>
      </w:pPr>
      <w:r w:rsidRPr="003D3B0E">
        <w:rPr>
          <w:color w:val="000000" w:themeColor="text1"/>
          <w:szCs w:val="22"/>
        </w:rPr>
        <w:t>Access to specialist debt advice and budgeting courses.</w:t>
      </w:r>
    </w:p>
    <w:p w:rsidR="00AF2B8C" w:rsidRPr="004F1198" w:rsidRDefault="00AF2B8C" w:rsidP="003D3B0E">
      <w:pPr>
        <w:tabs>
          <w:tab w:val="clear" w:pos="1260"/>
        </w:tabs>
        <w:ind w:left="1020"/>
        <w:rPr>
          <w:color w:val="000000" w:themeColor="text1"/>
          <w:sz w:val="16"/>
          <w:szCs w:val="16"/>
        </w:rPr>
      </w:pPr>
    </w:p>
    <w:p w:rsidR="00AF2B8C" w:rsidRPr="00397811" w:rsidRDefault="00AF2B8C" w:rsidP="003D3B0E">
      <w:pPr>
        <w:numPr>
          <w:ilvl w:val="0"/>
          <w:numId w:val="4"/>
        </w:numPr>
        <w:tabs>
          <w:tab w:val="clear" w:pos="600"/>
          <w:tab w:val="clear" w:pos="1260"/>
          <w:tab w:val="num" w:pos="1140"/>
        </w:tabs>
        <w:ind w:left="1620"/>
        <w:rPr>
          <w:color w:val="000000" w:themeColor="text1"/>
          <w:szCs w:val="22"/>
          <w:u w:val="single"/>
        </w:rPr>
      </w:pPr>
      <w:r w:rsidRPr="003D3B0E">
        <w:rPr>
          <w:color w:val="000000" w:themeColor="text1"/>
          <w:szCs w:val="22"/>
        </w:rPr>
        <w:t xml:space="preserve">Representation by CASTR for clients in repossession hearings in court </w:t>
      </w:r>
      <w:r w:rsidRPr="00397811">
        <w:rPr>
          <w:color w:val="000000" w:themeColor="text1"/>
          <w:szCs w:val="22"/>
        </w:rPr>
        <w:t>and c</w:t>
      </w:r>
      <w:r w:rsidRPr="00397811">
        <w:rPr>
          <w:rFonts w:cs="Arial"/>
          <w:color w:val="000000" w:themeColor="text1"/>
          <w:szCs w:val="22"/>
        </w:rPr>
        <w:t>lients at benefit tribunal hearings.</w:t>
      </w:r>
    </w:p>
    <w:p w:rsidR="00AF2B8C" w:rsidRPr="009A7847" w:rsidRDefault="00AF2B8C" w:rsidP="003D3B0E">
      <w:pPr>
        <w:tabs>
          <w:tab w:val="clear" w:pos="1260"/>
        </w:tabs>
        <w:ind w:left="1020"/>
        <w:rPr>
          <w:color w:val="000000" w:themeColor="text1"/>
          <w:sz w:val="16"/>
          <w:szCs w:val="16"/>
        </w:rPr>
      </w:pPr>
    </w:p>
    <w:p w:rsidR="00AF2B8C" w:rsidRPr="00397811" w:rsidRDefault="00AF2B8C" w:rsidP="003D3B0E">
      <w:pPr>
        <w:numPr>
          <w:ilvl w:val="0"/>
          <w:numId w:val="4"/>
        </w:numPr>
        <w:tabs>
          <w:tab w:val="clear" w:pos="600"/>
          <w:tab w:val="clear" w:pos="1260"/>
          <w:tab w:val="num" w:pos="1080"/>
        </w:tabs>
        <w:ind w:left="1620"/>
        <w:rPr>
          <w:color w:val="000000" w:themeColor="text1"/>
          <w:szCs w:val="22"/>
          <w:u w:val="single"/>
        </w:rPr>
      </w:pPr>
      <w:r w:rsidRPr="00397811">
        <w:rPr>
          <w:color w:val="000000" w:themeColor="text1"/>
          <w:szCs w:val="22"/>
        </w:rPr>
        <w:t>Provision of information to partner organisations and membership of the Three Rivers Local Strategic Partnership.</w:t>
      </w:r>
    </w:p>
    <w:p w:rsidR="00AF2B8C" w:rsidRPr="00431B01" w:rsidRDefault="00AF2B8C" w:rsidP="00AF2B8C">
      <w:pPr>
        <w:tabs>
          <w:tab w:val="clear" w:pos="1260"/>
          <w:tab w:val="num" w:pos="1276"/>
        </w:tabs>
        <w:rPr>
          <w:color w:val="000000" w:themeColor="text1"/>
          <w:sz w:val="16"/>
          <w:szCs w:val="16"/>
          <w:u w:val="single"/>
        </w:rPr>
      </w:pPr>
    </w:p>
    <w:p w:rsidR="00AF2B8C" w:rsidRPr="00397811" w:rsidRDefault="00B84E4B" w:rsidP="00AF2B8C">
      <w:pPr>
        <w:tabs>
          <w:tab w:val="clear" w:pos="1980"/>
        </w:tabs>
        <w:ind w:left="1276" w:hanging="1276"/>
        <w:rPr>
          <w:color w:val="000000" w:themeColor="text1"/>
          <w:szCs w:val="22"/>
        </w:rPr>
      </w:pPr>
      <w:r>
        <w:rPr>
          <w:color w:val="000000" w:themeColor="text1"/>
          <w:szCs w:val="22"/>
        </w:rPr>
        <w:t>2.</w:t>
      </w:r>
      <w:r w:rsidR="002915F6">
        <w:rPr>
          <w:color w:val="000000" w:themeColor="text1"/>
          <w:szCs w:val="22"/>
        </w:rPr>
        <w:t>5</w:t>
      </w:r>
      <w:r w:rsidR="00AF2B8C" w:rsidRPr="00397811">
        <w:rPr>
          <w:color w:val="000000" w:themeColor="text1"/>
          <w:szCs w:val="22"/>
        </w:rPr>
        <w:tab/>
        <w:t xml:space="preserve">The CASTR annual </w:t>
      </w:r>
      <w:r w:rsidR="00AD1132" w:rsidRPr="00397811">
        <w:rPr>
          <w:color w:val="000000" w:themeColor="text1"/>
          <w:szCs w:val="22"/>
        </w:rPr>
        <w:t>report</w:t>
      </w:r>
      <w:r w:rsidR="009A7847">
        <w:rPr>
          <w:color w:val="000000" w:themeColor="text1"/>
          <w:szCs w:val="22"/>
        </w:rPr>
        <w:t xml:space="preserve"> </w:t>
      </w:r>
      <w:r w:rsidR="003D3B0E" w:rsidRPr="00397811">
        <w:rPr>
          <w:color w:val="000000" w:themeColor="text1"/>
          <w:szCs w:val="22"/>
        </w:rPr>
        <w:t xml:space="preserve">is </w:t>
      </w:r>
      <w:r w:rsidR="00D8286A">
        <w:rPr>
          <w:color w:val="000000" w:themeColor="text1"/>
          <w:szCs w:val="22"/>
        </w:rPr>
        <w:t>within</w:t>
      </w:r>
      <w:r w:rsidR="00AF2B8C" w:rsidRPr="00397811">
        <w:rPr>
          <w:color w:val="000000" w:themeColor="text1"/>
          <w:szCs w:val="22"/>
        </w:rPr>
        <w:t xml:space="preserve"> Appendix A.</w:t>
      </w:r>
    </w:p>
    <w:p w:rsidR="00AF2B8C" w:rsidRPr="00431B01" w:rsidRDefault="00AF2B8C" w:rsidP="00AF2B8C">
      <w:pPr>
        <w:tabs>
          <w:tab w:val="clear" w:pos="1980"/>
        </w:tabs>
        <w:ind w:left="1276" w:hanging="1276"/>
        <w:rPr>
          <w:color w:val="000000" w:themeColor="text1"/>
          <w:sz w:val="16"/>
          <w:szCs w:val="16"/>
        </w:rPr>
      </w:pPr>
    </w:p>
    <w:p w:rsidR="009A7847" w:rsidRDefault="00B84E4B" w:rsidP="00AF2B8C">
      <w:pPr>
        <w:tabs>
          <w:tab w:val="clear" w:pos="1980"/>
        </w:tabs>
        <w:ind w:left="1276" w:hanging="1276"/>
        <w:rPr>
          <w:color w:val="000000" w:themeColor="text1"/>
          <w:szCs w:val="22"/>
        </w:rPr>
      </w:pPr>
      <w:r>
        <w:rPr>
          <w:color w:val="000000" w:themeColor="text1"/>
          <w:szCs w:val="22"/>
        </w:rPr>
        <w:t>2.</w:t>
      </w:r>
      <w:r w:rsidR="002915F6">
        <w:rPr>
          <w:color w:val="000000" w:themeColor="text1"/>
          <w:szCs w:val="22"/>
        </w:rPr>
        <w:t>6</w:t>
      </w:r>
      <w:r w:rsidR="00446FF4" w:rsidRPr="00397811">
        <w:rPr>
          <w:color w:val="000000" w:themeColor="text1"/>
          <w:szCs w:val="22"/>
        </w:rPr>
        <w:tab/>
      </w:r>
      <w:r w:rsidR="00D068BC">
        <w:rPr>
          <w:color w:val="000000" w:themeColor="text1"/>
          <w:szCs w:val="22"/>
        </w:rPr>
        <w:t xml:space="preserve">Appendix B contains the CASTR </w:t>
      </w:r>
      <w:r w:rsidR="00446FF4" w:rsidRPr="00397811">
        <w:rPr>
          <w:color w:val="000000" w:themeColor="text1"/>
          <w:szCs w:val="22"/>
        </w:rPr>
        <w:t>Strategic</w:t>
      </w:r>
      <w:r w:rsidR="00D068BC">
        <w:rPr>
          <w:color w:val="000000" w:themeColor="text1"/>
          <w:szCs w:val="22"/>
        </w:rPr>
        <w:t xml:space="preserve"> and </w:t>
      </w:r>
      <w:r w:rsidR="00446FF4" w:rsidRPr="00397811">
        <w:rPr>
          <w:color w:val="000000" w:themeColor="text1"/>
          <w:szCs w:val="22"/>
        </w:rPr>
        <w:t>Management Performance</w:t>
      </w:r>
      <w:r w:rsidR="00397811">
        <w:rPr>
          <w:color w:val="000000" w:themeColor="text1"/>
          <w:szCs w:val="22"/>
        </w:rPr>
        <w:t xml:space="preserve"> </w:t>
      </w:r>
      <w:r w:rsidR="00446FF4" w:rsidRPr="00397811">
        <w:rPr>
          <w:color w:val="000000" w:themeColor="text1"/>
          <w:szCs w:val="22"/>
        </w:rPr>
        <w:t>Ind</w:t>
      </w:r>
      <w:r w:rsidR="00397811">
        <w:rPr>
          <w:color w:val="000000" w:themeColor="text1"/>
          <w:szCs w:val="22"/>
        </w:rPr>
        <w:t>icators</w:t>
      </w:r>
      <w:r w:rsidR="00D068BC">
        <w:rPr>
          <w:color w:val="000000" w:themeColor="text1"/>
          <w:szCs w:val="22"/>
        </w:rPr>
        <w:t xml:space="preserve"> reported on thus far in </w:t>
      </w:r>
      <w:r w:rsidR="00D8286A">
        <w:rPr>
          <w:color w:val="000000" w:themeColor="text1"/>
          <w:szCs w:val="22"/>
        </w:rPr>
        <w:t>2017/18</w:t>
      </w:r>
      <w:r w:rsidR="005A6C9C">
        <w:rPr>
          <w:color w:val="000000" w:themeColor="text1"/>
          <w:szCs w:val="22"/>
        </w:rPr>
        <w:t xml:space="preserve"> along with feedback from CASTR</w:t>
      </w:r>
      <w:r w:rsidR="00054DF0">
        <w:rPr>
          <w:color w:val="000000" w:themeColor="text1"/>
          <w:szCs w:val="22"/>
        </w:rPr>
        <w:t>.</w:t>
      </w:r>
    </w:p>
    <w:p w:rsidR="00D068BC" w:rsidRPr="00431B01" w:rsidRDefault="00D068BC" w:rsidP="00AF2B8C">
      <w:pPr>
        <w:tabs>
          <w:tab w:val="clear" w:pos="1980"/>
        </w:tabs>
        <w:ind w:left="1276" w:hanging="1276"/>
        <w:rPr>
          <w:color w:val="000000" w:themeColor="text1"/>
          <w:sz w:val="16"/>
          <w:szCs w:val="16"/>
        </w:rPr>
      </w:pPr>
    </w:p>
    <w:p w:rsidR="00D068BC" w:rsidRDefault="00D068BC" w:rsidP="00AF2B8C">
      <w:pPr>
        <w:tabs>
          <w:tab w:val="clear" w:pos="1980"/>
        </w:tabs>
        <w:ind w:left="1276" w:hanging="1276"/>
        <w:rPr>
          <w:color w:val="000000" w:themeColor="text1"/>
          <w:szCs w:val="22"/>
        </w:rPr>
      </w:pPr>
      <w:r>
        <w:rPr>
          <w:color w:val="000000" w:themeColor="text1"/>
          <w:szCs w:val="22"/>
        </w:rPr>
        <w:t>2.7</w:t>
      </w:r>
      <w:r>
        <w:rPr>
          <w:color w:val="000000" w:themeColor="text1"/>
          <w:szCs w:val="22"/>
        </w:rPr>
        <w:tab/>
        <w:t>Officers have no performance issues to report.</w:t>
      </w:r>
    </w:p>
    <w:p w:rsidR="00446FF4" w:rsidRPr="00431B01" w:rsidRDefault="00446FF4" w:rsidP="00AF2B8C">
      <w:pPr>
        <w:tabs>
          <w:tab w:val="clear" w:pos="1980"/>
        </w:tabs>
        <w:ind w:left="1276" w:hanging="1276"/>
        <w:rPr>
          <w:color w:val="000000" w:themeColor="text1"/>
          <w:sz w:val="16"/>
          <w:szCs w:val="16"/>
        </w:rPr>
      </w:pPr>
    </w:p>
    <w:p w:rsidR="00446FF4" w:rsidRPr="00431B01" w:rsidRDefault="00446FF4" w:rsidP="008F488A">
      <w:pPr>
        <w:rPr>
          <w:sz w:val="16"/>
          <w:szCs w:val="16"/>
        </w:rPr>
      </w:pPr>
    </w:p>
    <w:p w:rsidR="00000C94" w:rsidRDefault="00BF34FA" w:rsidP="00C801D9">
      <w:pPr>
        <w:keepNext/>
        <w:ind w:left="1267" w:hanging="1267"/>
        <w:jc w:val="left"/>
        <w:rPr>
          <w:b/>
        </w:rPr>
      </w:pPr>
      <w:r>
        <w:t>3.</w:t>
      </w:r>
      <w:r>
        <w:tab/>
      </w:r>
      <w:r>
        <w:rPr>
          <w:b/>
        </w:rPr>
        <w:t>Options/Reasons for Recommendation</w:t>
      </w:r>
      <w:r w:rsidR="00C801D9">
        <w:rPr>
          <w:b/>
        </w:rPr>
        <w:br/>
      </w:r>
    </w:p>
    <w:p w:rsidR="00AF2B8C" w:rsidRDefault="00BF34FA">
      <w:pPr>
        <w:ind w:left="1267" w:hanging="1267"/>
      </w:pPr>
      <w:r>
        <w:t>3.1</w:t>
      </w:r>
      <w:r>
        <w:tab/>
      </w:r>
      <w:r w:rsidR="001969EF">
        <w:t xml:space="preserve">To </w:t>
      </w:r>
      <w:r w:rsidR="00AF2B8C">
        <w:t xml:space="preserve">note the performance and achievements of </w:t>
      </w:r>
      <w:r w:rsidR="00054DF0">
        <w:t xml:space="preserve">the Citizens’ Advice Service in Three Rivers </w:t>
      </w:r>
      <w:r w:rsidR="009D65B4">
        <w:t>for 201</w:t>
      </w:r>
      <w:r w:rsidR="00446FF4">
        <w:t>6</w:t>
      </w:r>
      <w:r w:rsidR="009D65B4">
        <w:t>/1</w:t>
      </w:r>
      <w:r w:rsidR="00446FF4">
        <w:t>7</w:t>
      </w:r>
      <w:r w:rsidR="00AF2B8C">
        <w:t>.</w:t>
      </w:r>
    </w:p>
    <w:p w:rsidR="00AF2B8C" w:rsidRPr="00431B01" w:rsidRDefault="00AF2B8C">
      <w:pPr>
        <w:ind w:left="1267" w:hanging="1267"/>
        <w:rPr>
          <w:sz w:val="16"/>
          <w:szCs w:val="16"/>
        </w:rPr>
      </w:pPr>
    </w:p>
    <w:p w:rsidR="00BF34FA" w:rsidRDefault="00AF2B8C">
      <w:pPr>
        <w:ind w:left="1267" w:hanging="1267"/>
      </w:pPr>
      <w:r>
        <w:t>3.2</w:t>
      </w:r>
      <w:r>
        <w:tab/>
        <w:t xml:space="preserve">To raise any questions following the presentation by the Director of the </w:t>
      </w:r>
      <w:r w:rsidR="00054DF0">
        <w:t>Citizens’ Advice Service in Three Rivers</w:t>
      </w:r>
      <w:r>
        <w:t>.</w:t>
      </w:r>
      <w:r w:rsidR="00BF34FA">
        <w:fldChar w:fldCharType="begin"/>
      </w:r>
      <w:r w:rsidR="00BF34FA">
        <w:instrText xml:space="preserve">  </w:instrText>
      </w:r>
      <w:r w:rsidR="00BF34FA">
        <w:fldChar w:fldCharType="end"/>
      </w:r>
    </w:p>
    <w:p w:rsidR="00AF2B8C" w:rsidRPr="003360ED" w:rsidRDefault="00AF2B8C" w:rsidP="009360FC">
      <w:pPr>
        <w:rPr>
          <w:sz w:val="16"/>
          <w:szCs w:val="16"/>
        </w:rPr>
      </w:pPr>
    </w:p>
    <w:p w:rsidR="00446FF4" w:rsidRPr="003360ED" w:rsidRDefault="00446FF4" w:rsidP="009360FC">
      <w:pPr>
        <w:rPr>
          <w:sz w:val="16"/>
          <w:szCs w:val="16"/>
        </w:rPr>
      </w:pPr>
    </w:p>
    <w:p w:rsidR="00BF34FA" w:rsidRPr="00000C94" w:rsidRDefault="00BF34FA" w:rsidP="00000C94">
      <w:pPr>
        <w:keepNext/>
        <w:ind w:left="1267" w:hanging="1267"/>
        <w:jc w:val="left"/>
        <w:rPr>
          <w:sz w:val="20"/>
        </w:rPr>
      </w:pPr>
      <w:r>
        <w:lastRenderedPageBreak/>
        <w:t>4.</w:t>
      </w:r>
      <w:r>
        <w:tab/>
      </w:r>
      <w:r>
        <w:rPr>
          <w:b/>
        </w:rPr>
        <w:t>Policy/Budget Reference and Implications</w:t>
      </w:r>
      <w:r w:rsidR="00C801D9">
        <w:rPr>
          <w:b/>
        </w:rPr>
        <w:br/>
      </w:r>
    </w:p>
    <w:p w:rsidR="00AF2B8C" w:rsidRPr="00DE60B1" w:rsidRDefault="00AF2B8C" w:rsidP="00AF2B8C">
      <w:pPr>
        <w:numPr>
          <w:ilvl w:val="1"/>
          <w:numId w:val="5"/>
        </w:numPr>
        <w:tabs>
          <w:tab w:val="clear" w:pos="360"/>
        </w:tabs>
        <w:ind w:left="1276" w:hanging="1276"/>
        <w:rPr>
          <w:color w:val="000000"/>
        </w:rPr>
      </w:pPr>
      <w:r w:rsidRPr="00DE60B1">
        <w:rPr>
          <w:color w:val="000000"/>
        </w:rPr>
        <w:t xml:space="preserve">The recommendations in this report are within the Council’s agreed policy </w:t>
      </w:r>
      <w:r w:rsidR="009849A2">
        <w:rPr>
          <w:color w:val="000000"/>
        </w:rPr>
        <w:t>and budgets. The relevant policies</w:t>
      </w:r>
      <w:r w:rsidRPr="00DE60B1">
        <w:rPr>
          <w:color w:val="000000"/>
        </w:rPr>
        <w:t xml:space="preserve"> </w:t>
      </w:r>
      <w:r w:rsidR="009849A2">
        <w:rPr>
          <w:color w:val="000000"/>
        </w:rPr>
        <w:t>are</w:t>
      </w:r>
      <w:r w:rsidRPr="00DE60B1">
        <w:rPr>
          <w:color w:val="000000"/>
        </w:rPr>
        <w:t xml:space="preserve"> entitled the </w:t>
      </w:r>
      <w:r w:rsidRPr="00DE60B1">
        <w:rPr>
          <w:color w:val="000000"/>
        </w:rPr>
        <w:fldChar w:fldCharType="begin"/>
      </w:r>
      <w:r w:rsidRPr="00DE60B1">
        <w:rPr>
          <w:color w:val="000000"/>
        </w:rPr>
        <w:instrText xml:space="preserve"> ASK   \* MERGEFORMAT </w:instrText>
      </w:r>
      <w:r w:rsidRPr="00DE60B1">
        <w:rPr>
          <w:color w:val="000000"/>
        </w:rPr>
        <w:fldChar w:fldCharType="end"/>
      </w:r>
      <w:r w:rsidR="009849A2">
        <w:rPr>
          <w:color w:val="000000"/>
        </w:rPr>
        <w:t>Strategic Plan 201</w:t>
      </w:r>
      <w:r w:rsidR="009A7847">
        <w:rPr>
          <w:color w:val="000000"/>
        </w:rPr>
        <w:t>7</w:t>
      </w:r>
      <w:r w:rsidR="009849A2">
        <w:rPr>
          <w:color w:val="000000"/>
        </w:rPr>
        <w:t>-</w:t>
      </w:r>
      <w:r w:rsidR="009A7847">
        <w:rPr>
          <w:color w:val="000000"/>
        </w:rPr>
        <w:t>20</w:t>
      </w:r>
      <w:r w:rsidR="004159B7">
        <w:rPr>
          <w:color w:val="000000"/>
        </w:rPr>
        <w:t xml:space="preserve">. </w:t>
      </w:r>
    </w:p>
    <w:p w:rsidR="00490883" w:rsidRPr="00431B01" w:rsidRDefault="00490883" w:rsidP="00AF2B8C">
      <w:pPr>
        <w:ind w:left="1267" w:hanging="1267"/>
        <w:rPr>
          <w:sz w:val="16"/>
          <w:szCs w:val="16"/>
        </w:rPr>
      </w:pPr>
    </w:p>
    <w:p w:rsidR="00D16466" w:rsidRPr="00431B01" w:rsidRDefault="00D16466">
      <w:pPr>
        <w:keepNext/>
        <w:ind w:left="1267" w:hanging="1267"/>
        <w:rPr>
          <w:sz w:val="16"/>
          <w:szCs w:val="16"/>
        </w:rPr>
      </w:pPr>
    </w:p>
    <w:p w:rsidR="00BF34FA" w:rsidRDefault="006E1A19" w:rsidP="00C801D9">
      <w:pPr>
        <w:keepNext/>
        <w:ind w:left="1267" w:hanging="1267"/>
        <w:jc w:val="left"/>
        <w:rPr>
          <w:b/>
          <w:color w:val="000000"/>
        </w:rPr>
      </w:pPr>
      <w:r>
        <w:rPr>
          <w:color w:val="000000"/>
        </w:rPr>
        <w:t>5</w:t>
      </w:r>
      <w:r w:rsidR="00BF34FA" w:rsidRPr="00552D80">
        <w:rPr>
          <w:color w:val="000000"/>
        </w:rPr>
        <w:t>.</w:t>
      </w:r>
      <w:r w:rsidR="00BF34FA" w:rsidRPr="00552D80">
        <w:rPr>
          <w:color w:val="000000"/>
        </w:rPr>
        <w:tab/>
      </w:r>
      <w:r w:rsidR="00BF34FA" w:rsidRPr="00552D80">
        <w:rPr>
          <w:b/>
          <w:color w:val="000000"/>
        </w:rPr>
        <w:t>Financial Implications</w:t>
      </w:r>
      <w:r w:rsidR="00C801D9">
        <w:rPr>
          <w:b/>
          <w:color w:val="000000"/>
        </w:rPr>
        <w:br/>
      </w:r>
    </w:p>
    <w:p w:rsidR="00D068BC" w:rsidRPr="00D068BC" w:rsidRDefault="00AF2B8C" w:rsidP="00D068BC">
      <w:pPr>
        <w:pStyle w:val="ListParagraph"/>
        <w:keepNext/>
        <w:numPr>
          <w:ilvl w:val="1"/>
          <w:numId w:val="8"/>
        </w:numPr>
        <w:tabs>
          <w:tab w:val="clear" w:pos="1260"/>
        </w:tabs>
        <w:ind w:left="1276" w:hanging="1276"/>
        <w:rPr>
          <w:sz w:val="20"/>
        </w:rPr>
      </w:pPr>
      <w:r w:rsidRPr="00D068BC">
        <w:rPr>
          <w:color w:val="000000"/>
        </w:rPr>
        <w:t>The budgeted funding for the SLA for 201</w:t>
      </w:r>
      <w:r w:rsidR="00D068BC">
        <w:rPr>
          <w:color w:val="000000"/>
        </w:rPr>
        <w:t>7</w:t>
      </w:r>
      <w:r w:rsidRPr="00D068BC">
        <w:rPr>
          <w:color w:val="000000"/>
        </w:rPr>
        <w:t>/1</w:t>
      </w:r>
      <w:r w:rsidR="00D068BC">
        <w:rPr>
          <w:color w:val="000000"/>
        </w:rPr>
        <w:t>8</w:t>
      </w:r>
      <w:r w:rsidRPr="00D068BC">
        <w:rPr>
          <w:color w:val="000000"/>
        </w:rPr>
        <w:t xml:space="preserve"> is £</w:t>
      </w:r>
      <w:r w:rsidR="00796591" w:rsidRPr="00D068BC">
        <w:rPr>
          <w:color w:val="000000"/>
        </w:rPr>
        <w:t>257,340</w:t>
      </w:r>
      <w:r w:rsidR="00D068BC" w:rsidRPr="00D068BC">
        <w:rPr>
          <w:color w:val="000000"/>
        </w:rPr>
        <w:t>.</w:t>
      </w:r>
    </w:p>
    <w:p w:rsidR="00D068BC" w:rsidRPr="00431B01" w:rsidRDefault="00D068BC" w:rsidP="00D068BC">
      <w:pPr>
        <w:pStyle w:val="ListParagraph"/>
        <w:keepNext/>
        <w:tabs>
          <w:tab w:val="clear" w:pos="1260"/>
        </w:tabs>
        <w:ind w:left="1276"/>
        <w:rPr>
          <w:sz w:val="16"/>
          <w:szCs w:val="16"/>
        </w:rPr>
      </w:pPr>
    </w:p>
    <w:p w:rsidR="00054DF0" w:rsidRPr="00D068BC" w:rsidRDefault="00D068BC" w:rsidP="00D068BC">
      <w:pPr>
        <w:pStyle w:val="ListParagraph"/>
        <w:keepNext/>
        <w:numPr>
          <w:ilvl w:val="1"/>
          <w:numId w:val="8"/>
        </w:numPr>
        <w:tabs>
          <w:tab w:val="clear" w:pos="1260"/>
        </w:tabs>
        <w:ind w:left="1276" w:hanging="1276"/>
        <w:rPr>
          <w:sz w:val="20"/>
        </w:rPr>
      </w:pPr>
      <w:r>
        <w:rPr>
          <w:rFonts w:cs="Arial"/>
          <w:color w:val="000000" w:themeColor="text1"/>
          <w:szCs w:val="22"/>
        </w:rPr>
        <w:t>T</w:t>
      </w:r>
      <w:r w:rsidRPr="00D068BC">
        <w:rPr>
          <w:rFonts w:cs="Arial"/>
          <w:color w:val="000000" w:themeColor="text1"/>
          <w:szCs w:val="22"/>
        </w:rPr>
        <w:t xml:space="preserve">he Council </w:t>
      </w:r>
      <w:r>
        <w:rPr>
          <w:rFonts w:cs="Arial"/>
          <w:color w:val="000000" w:themeColor="text1"/>
          <w:szCs w:val="22"/>
        </w:rPr>
        <w:t xml:space="preserve">also </w:t>
      </w:r>
      <w:r w:rsidRPr="00D068BC">
        <w:rPr>
          <w:rFonts w:cs="Arial"/>
          <w:color w:val="000000" w:themeColor="text1"/>
          <w:szCs w:val="22"/>
        </w:rPr>
        <w:t>meets the lease costs of Council premises used</w:t>
      </w:r>
      <w:r w:rsidRPr="00D068BC">
        <w:rPr>
          <w:color w:val="000000" w:themeColor="text1"/>
          <w:szCs w:val="22"/>
        </w:rPr>
        <w:t xml:space="preserve"> by CASTR in Rickmansworth and South Oxhey.</w:t>
      </w:r>
      <w:r>
        <w:rPr>
          <w:color w:val="000000" w:themeColor="text1"/>
          <w:szCs w:val="22"/>
        </w:rPr>
        <w:t xml:space="preserve">  </w:t>
      </w:r>
      <w:r w:rsidRPr="00D068BC">
        <w:rPr>
          <w:color w:val="000000" w:themeColor="text1"/>
          <w:szCs w:val="22"/>
        </w:rPr>
        <w:t>A</w:t>
      </w:r>
      <w:r w:rsidRPr="00D068BC">
        <w:rPr>
          <w:color w:val="000000" w:themeColor="text1"/>
        </w:rPr>
        <w:t xml:space="preserve"> market rent figure of £46,000 is entered into the Council’s accounts for transparency, which shows an income figure in the Property cost centre and a matching expenditure figure in the CAB cost centre. This is purely a notional accounting entry and has a nil effect on the Council’s revenue account.</w:t>
      </w:r>
    </w:p>
    <w:p w:rsidR="009A7847" w:rsidRPr="003360ED" w:rsidRDefault="009A7847">
      <w:pPr>
        <w:pStyle w:val="Header"/>
        <w:tabs>
          <w:tab w:val="clear" w:pos="4153"/>
          <w:tab w:val="clear" w:pos="8306"/>
          <w:tab w:val="left" w:pos="1260"/>
          <w:tab w:val="left" w:pos="1980"/>
          <w:tab w:val="left" w:pos="2700"/>
          <w:tab w:val="left" w:pos="3420"/>
        </w:tabs>
        <w:rPr>
          <w:sz w:val="16"/>
          <w:szCs w:val="16"/>
        </w:rPr>
      </w:pPr>
    </w:p>
    <w:p w:rsidR="00431B01" w:rsidRPr="003360ED" w:rsidRDefault="00431B01">
      <w:pPr>
        <w:pStyle w:val="Header"/>
        <w:tabs>
          <w:tab w:val="clear" w:pos="4153"/>
          <w:tab w:val="clear" w:pos="8306"/>
          <w:tab w:val="left" w:pos="1260"/>
          <w:tab w:val="left" w:pos="1980"/>
          <w:tab w:val="left" w:pos="2700"/>
          <w:tab w:val="left" w:pos="3420"/>
        </w:tabs>
        <w:rPr>
          <w:sz w:val="16"/>
          <w:szCs w:val="16"/>
        </w:rPr>
      </w:pPr>
    </w:p>
    <w:p w:rsidR="00BF34FA" w:rsidRDefault="006E1A19" w:rsidP="00C801D9">
      <w:pPr>
        <w:keepNext/>
        <w:ind w:left="1267" w:hanging="1267"/>
        <w:jc w:val="left"/>
        <w:rPr>
          <w:b/>
        </w:rPr>
      </w:pPr>
      <w:r>
        <w:t>6</w:t>
      </w:r>
      <w:r w:rsidR="00BF34FA">
        <w:t>.</w:t>
      </w:r>
      <w:r w:rsidR="00BF34FA">
        <w:tab/>
      </w:r>
      <w:r w:rsidR="00BF34FA">
        <w:rPr>
          <w:b/>
        </w:rPr>
        <w:t>Ris</w:t>
      </w:r>
      <w:bookmarkStart w:id="0" w:name="_GoBack"/>
      <w:bookmarkEnd w:id="0"/>
      <w:r w:rsidR="00BF34FA">
        <w:rPr>
          <w:b/>
        </w:rPr>
        <w:t>k Management and Health &amp; Safety Implications</w:t>
      </w:r>
      <w:r w:rsidR="00C801D9">
        <w:rPr>
          <w:b/>
        </w:rPr>
        <w:br/>
      </w:r>
    </w:p>
    <w:p w:rsidR="00BF34FA" w:rsidRDefault="006E1A19">
      <w:pPr>
        <w:ind w:left="1276" w:hanging="1276"/>
      </w:pPr>
      <w:r>
        <w:t>6</w:t>
      </w:r>
      <w:r w:rsidR="00BF34FA">
        <w:t>.1</w:t>
      </w:r>
      <w:r w:rsidR="00BF34FA">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BF34FA" w:rsidRPr="00431B01" w:rsidRDefault="00BF34FA">
      <w:pPr>
        <w:rPr>
          <w:sz w:val="16"/>
          <w:szCs w:val="16"/>
        </w:rPr>
      </w:pPr>
    </w:p>
    <w:p w:rsidR="00BF34FA" w:rsidRDefault="006E1A19">
      <w:pPr>
        <w:ind w:left="1260" w:hanging="1260"/>
      </w:pPr>
      <w:r>
        <w:t>6</w:t>
      </w:r>
      <w:r w:rsidR="00BF34FA">
        <w:t>.2</w:t>
      </w:r>
      <w:r w:rsidR="00BF34FA">
        <w:tab/>
        <w:t xml:space="preserve">The subject of this report is covered by the </w:t>
      </w:r>
      <w:r w:rsidR="008E41A1">
        <w:t>Community Partnerships</w:t>
      </w:r>
      <w:r w:rsidR="00BF34FA">
        <w:fldChar w:fldCharType="begin"/>
      </w:r>
      <w:r w:rsidR="00BF34FA">
        <w:instrText xml:space="preserve"> ASK   \* MERGEFORMAT </w:instrText>
      </w:r>
      <w:r w:rsidR="00BF34FA">
        <w:fldChar w:fldCharType="end"/>
      </w:r>
      <w:r w:rsidR="00BF34FA">
        <w:t xml:space="preserve"> service plan</w:t>
      </w:r>
      <w:r w:rsidR="004533A1">
        <w:t>.</w:t>
      </w:r>
      <w:r w:rsidR="00BF34FA">
        <w:t xml:space="preserve">  Any risks resulting from this report will be included in the risk register and, if necessary, managed within</w:t>
      </w:r>
      <w:r w:rsidR="008E41A1">
        <w:t xml:space="preserve"> this plan. </w:t>
      </w:r>
    </w:p>
    <w:p w:rsidR="00BF34FA" w:rsidRPr="00431B01" w:rsidRDefault="00BF34FA">
      <w:pPr>
        <w:rPr>
          <w:sz w:val="16"/>
          <w:szCs w:val="16"/>
        </w:rPr>
      </w:pPr>
    </w:p>
    <w:p w:rsidR="00BF34FA" w:rsidRDefault="006E1A19">
      <w:pPr>
        <w:ind w:left="1276" w:hanging="1276"/>
      </w:pPr>
      <w:r>
        <w:t>6</w:t>
      </w:r>
      <w:r w:rsidR="00BF34FA">
        <w:t>.3</w:t>
      </w:r>
      <w:r w:rsidR="00BF34FA">
        <w:tab/>
        <w:t>There are no risks to the Council in agreeing the recommendatio</w:t>
      </w:r>
      <w:r w:rsidR="00BF34FA" w:rsidRPr="009D65B4">
        <w:rPr>
          <w:color w:val="000000" w:themeColor="text1"/>
        </w:rPr>
        <w:t>n.</w:t>
      </w:r>
    </w:p>
    <w:p w:rsidR="00BF34FA" w:rsidRPr="00431B01" w:rsidRDefault="00BF34FA">
      <w:pPr>
        <w:rPr>
          <w:sz w:val="16"/>
          <w:szCs w:val="16"/>
        </w:rPr>
      </w:pPr>
    </w:p>
    <w:p w:rsidR="00BF34FA" w:rsidRPr="008F7A93" w:rsidRDefault="006E1A19" w:rsidP="008F7A93">
      <w:pPr>
        <w:ind w:left="1276" w:hanging="1276"/>
      </w:pPr>
      <w:r>
        <w:t>6</w:t>
      </w:r>
      <w:r w:rsidR="00FA0C1C">
        <w:t>.4</w:t>
      </w:r>
      <w:r w:rsidR="00FA0C1C">
        <w:tab/>
      </w:r>
      <w:r w:rsidR="00BF34FA">
        <w:tab/>
      </w:r>
      <w:r w:rsidR="00F8054A">
        <w:t>There are no risks to the Council in rejecting the recommendation</w:t>
      </w:r>
      <w:r w:rsidR="00F8054A" w:rsidRPr="009D65B4">
        <w:rPr>
          <w:color w:val="008000"/>
        </w:rPr>
        <w:t>.</w:t>
      </w:r>
    </w:p>
    <w:p w:rsidR="00431B01" w:rsidRPr="003360ED" w:rsidRDefault="00431B01">
      <w:pPr>
        <w:pStyle w:val="Header"/>
        <w:tabs>
          <w:tab w:val="clear" w:pos="4153"/>
          <w:tab w:val="clear" w:pos="8306"/>
          <w:tab w:val="left" w:pos="1260"/>
          <w:tab w:val="left" w:pos="1980"/>
          <w:tab w:val="left" w:pos="2700"/>
          <w:tab w:val="left" w:pos="3420"/>
        </w:tabs>
        <w:rPr>
          <w:sz w:val="16"/>
          <w:szCs w:val="16"/>
        </w:rPr>
      </w:pPr>
    </w:p>
    <w:p w:rsidR="00431B01" w:rsidRPr="003360ED" w:rsidRDefault="00431B01">
      <w:pPr>
        <w:pStyle w:val="Header"/>
        <w:tabs>
          <w:tab w:val="clear" w:pos="4153"/>
          <w:tab w:val="clear" w:pos="8306"/>
          <w:tab w:val="left" w:pos="1260"/>
          <w:tab w:val="left" w:pos="1980"/>
          <w:tab w:val="left" w:pos="2700"/>
          <w:tab w:val="left" w:pos="3420"/>
        </w:tabs>
        <w:rPr>
          <w:sz w:val="16"/>
          <w:szCs w:val="16"/>
        </w:rPr>
      </w:pPr>
    </w:p>
    <w:p w:rsidR="006E1A19" w:rsidRPr="004F1198" w:rsidRDefault="006E1A19" w:rsidP="006E1A19">
      <w:pPr>
        <w:keepNext/>
        <w:ind w:left="1267" w:hanging="1267"/>
        <w:rPr>
          <w:color w:val="000000" w:themeColor="text1"/>
          <w:sz w:val="20"/>
        </w:rPr>
      </w:pPr>
      <w:r w:rsidRPr="006E1A19">
        <w:rPr>
          <w:color w:val="000000" w:themeColor="text1"/>
        </w:rPr>
        <w:t>7.</w:t>
      </w:r>
      <w:r w:rsidRPr="006E1A19">
        <w:rPr>
          <w:color w:val="000000" w:themeColor="text1"/>
        </w:rPr>
        <w:fldChar w:fldCharType="begin"/>
      </w:r>
      <w:r w:rsidRPr="006E1A19">
        <w:rPr>
          <w:color w:val="000000" w:themeColor="text1"/>
        </w:rPr>
        <w:instrText xml:space="preserve">  </w:instrText>
      </w:r>
      <w:r w:rsidRPr="006E1A19">
        <w:rPr>
          <w:color w:val="000000" w:themeColor="text1"/>
        </w:rPr>
        <w:fldChar w:fldCharType="end"/>
      </w:r>
      <w:r w:rsidRPr="006E1A19">
        <w:rPr>
          <w:color w:val="000000" w:themeColor="text1"/>
        </w:rPr>
        <w:tab/>
      </w:r>
      <w:r w:rsidRPr="006E1A19">
        <w:rPr>
          <w:b/>
          <w:color w:val="000000" w:themeColor="text1"/>
        </w:rPr>
        <w:t>Legal, Equal Opportunitie</w:t>
      </w:r>
      <w:r>
        <w:rPr>
          <w:b/>
          <w:color w:val="000000" w:themeColor="text1"/>
        </w:rPr>
        <w:t xml:space="preserve">s, </w:t>
      </w:r>
      <w:r w:rsidRPr="006E1A19">
        <w:rPr>
          <w:b/>
          <w:color w:val="000000" w:themeColor="text1"/>
        </w:rPr>
        <w:t>Staffing,</w:t>
      </w:r>
      <w:r>
        <w:rPr>
          <w:b/>
          <w:color w:val="000000" w:themeColor="text1"/>
        </w:rPr>
        <w:t xml:space="preserve"> </w:t>
      </w:r>
      <w:r w:rsidRPr="006E1A19">
        <w:rPr>
          <w:b/>
          <w:color w:val="000000" w:themeColor="text1"/>
        </w:rPr>
        <w:t>Environmental,</w:t>
      </w:r>
      <w:r>
        <w:rPr>
          <w:b/>
          <w:color w:val="000000" w:themeColor="text1"/>
        </w:rPr>
        <w:t xml:space="preserve"> </w:t>
      </w:r>
      <w:r w:rsidRPr="006E1A19">
        <w:rPr>
          <w:b/>
          <w:color w:val="000000" w:themeColor="text1"/>
        </w:rPr>
        <w:t>Community Safety</w:t>
      </w:r>
      <w:r>
        <w:rPr>
          <w:b/>
          <w:color w:val="000000" w:themeColor="text1"/>
        </w:rPr>
        <w:t xml:space="preserve">, </w:t>
      </w:r>
      <w:r w:rsidRPr="006E1A19">
        <w:rPr>
          <w:b/>
          <w:color w:val="000000" w:themeColor="text1"/>
        </w:rPr>
        <w:t>Public Health</w:t>
      </w:r>
      <w:r>
        <w:rPr>
          <w:b/>
          <w:color w:val="000000" w:themeColor="text1"/>
        </w:rPr>
        <w:t xml:space="preserve">, Customer Services Centre and </w:t>
      </w:r>
      <w:r w:rsidRPr="006E1A19">
        <w:rPr>
          <w:b/>
          <w:color w:val="000000" w:themeColor="text1"/>
        </w:rPr>
        <w:t>Communications &amp; Website</w:t>
      </w:r>
      <w:r>
        <w:rPr>
          <w:b/>
          <w:color w:val="000000" w:themeColor="text1"/>
        </w:rPr>
        <w:t xml:space="preserve"> </w:t>
      </w:r>
      <w:r w:rsidRPr="006E1A19">
        <w:rPr>
          <w:b/>
          <w:color w:val="000000" w:themeColor="text1"/>
        </w:rPr>
        <w:t>Implications</w:t>
      </w:r>
      <w:r w:rsidR="00C801D9">
        <w:rPr>
          <w:b/>
          <w:color w:val="000000" w:themeColor="text1"/>
        </w:rPr>
        <w:br/>
      </w:r>
    </w:p>
    <w:p w:rsidR="006E1A19" w:rsidRPr="006E1A19" w:rsidRDefault="006E1A19" w:rsidP="006E1A19">
      <w:pPr>
        <w:ind w:left="1267" w:hanging="1267"/>
        <w:rPr>
          <w:color w:val="000000" w:themeColor="text1"/>
        </w:rPr>
      </w:pPr>
      <w:r w:rsidRPr="006E1A19">
        <w:rPr>
          <w:color w:val="000000" w:themeColor="text1"/>
        </w:rPr>
        <w:t>7.1</w:t>
      </w:r>
      <w:r w:rsidRPr="006E1A19">
        <w:rPr>
          <w:color w:val="000000" w:themeColor="text1"/>
        </w:rPr>
        <w:fldChar w:fldCharType="begin"/>
      </w:r>
      <w:r w:rsidRPr="006E1A19">
        <w:rPr>
          <w:color w:val="000000" w:themeColor="text1"/>
        </w:rPr>
        <w:instrText xml:space="preserve">  </w:instrText>
      </w:r>
      <w:r w:rsidRPr="006E1A19">
        <w:rPr>
          <w:color w:val="000000" w:themeColor="text1"/>
        </w:rPr>
        <w:fldChar w:fldCharType="end"/>
      </w:r>
      <w:r w:rsidRPr="006E1A19">
        <w:rPr>
          <w:color w:val="000000" w:themeColor="text1"/>
        </w:rPr>
        <w:tab/>
        <w:t>None specific.</w:t>
      </w:r>
    </w:p>
    <w:p w:rsidR="00BF34FA" w:rsidRPr="003360ED" w:rsidRDefault="00BF34FA" w:rsidP="008F7A93">
      <w:pPr>
        <w:pStyle w:val="BodyTextIndent"/>
        <w:ind w:left="0" w:firstLine="0"/>
        <w:rPr>
          <w:color w:val="000000" w:themeColor="text1"/>
          <w:sz w:val="16"/>
          <w:szCs w:val="16"/>
        </w:rPr>
      </w:pPr>
    </w:p>
    <w:p w:rsidR="00446FF4" w:rsidRPr="003360ED" w:rsidRDefault="00446FF4" w:rsidP="008F7A93">
      <w:pPr>
        <w:pStyle w:val="BodyTextIndent"/>
        <w:ind w:left="0" w:firstLine="0"/>
        <w:rPr>
          <w:color w:val="000000" w:themeColor="text1"/>
          <w:sz w:val="16"/>
          <w:szCs w:val="16"/>
        </w:rPr>
      </w:pPr>
    </w:p>
    <w:p w:rsidR="00BF34FA" w:rsidRDefault="00F8054A">
      <w:pPr>
        <w:keepNext/>
        <w:ind w:left="1267" w:hanging="1267"/>
        <w:rPr>
          <w:b/>
        </w:rPr>
      </w:pPr>
      <w:r>
        <w:t>8</w:t>
      </w:r>
      <w:r w:rsidR="00BF34FA">
        <w:t>.</w:t>
      </w:r>
      <w:r w:rsidR="00BF34FA">
        <w:fldChar w:fldCharType="begin"/>
      </w:r>
      <w:r w:rsidR="00BF34FA">
        <w:instrText xml:space="preserve">  </w:instrText>
      </w:r>
      <w:r w:rsidR="00BF34FA">
        <w:fldChar w:fldCharType="end"/>
      </w:r>
      <w:r w:rsidR="00BF34FA">
        <w:tab/>
      </w:r>
      <w:r w:rsidR="00BF34FA">
        <w:rPr>
          <w:b/>
        </w:rPr>
        <w:t>Recommendation</w:t>
      </w:r>
      <w:r w:rsidR="00C801D9">
        <w:rPr>
          <w:b/>
        </w:rPr>
        <w:br/>
      </w:r>
    </w:p>
    <w:p w:rsidR="00F8054A" w:rsidRDefault="00F8054A" w:rsidP="00F8054A">
      <w:pPr>
        <w:ind w:left="1267" w:hanging="1267"/>
      </w:pPr>
      <w:r>
        <w:t>8</w:t>
      </w:r>
      <w:r w:rsidR="00BF34FA">
        <w:t>.1</w:t>
      </w:r>
      <w:r w:rsidR="00BF34FA">
        <w:tab/>
      </w:r>
      <w:r>
        <w:t xml:space="preserve">To note the performance and achievements of the </w:t>
      </w:r>
      <w:r w:rsidR="00E06694">
        <w:t>Citizens’ Advice Service in Three Rivers</w:t>
      </w:r>
      <w:r>
        <w:t xml:space="preserve"> for 201</w:t>
      </w:r>
      <w:r w:rsidR="00446FF4">
        <w:t>6</w:t>
      </w:r>
      <w:r>
        <w:t>/1</w:t>
      </w:r>
      <w:r w:rsidR="00446FF4">
        <w:t>7</w:t>
      </w:r>
      <w:r>
        <w:t>.</w:t>
      </w:r>
    </w:p>
    <w:p w:rsidR="00796591" w:rsidRPr="003360ED" w:rsidRDefault="00796591" w:rsidP="00F8054A">
      <w:pPr>
        <w:ind w:left="1267" w:hanging="1267"/>
        <w:rPr>
          <w:sz w:val="16"/>
          <w:szCs w:val="16"/>
        </w:rPr>
      </w:pPr>
    </w:p>
    <w:p w:rsidR="00BF34FA" w:rsidRPr="003360ED" w:rsidRDefault="00BF34FA">
      <w:pPr>
        <w:rPr>
          <w:sz w:val="16"/>
          <w:szCs w:val="16"/>
        </w:rPr>
      </w:pPr>
    </w:p>
    <w:p w:rsidR="00F8054A" w:rsidRDefault="00BF34FA" w:rsidP="00F8054A">
      <w:pPr>
        <w:ind w:left="1253" w:hanging="1253"/>
      </w:pPr>
      <w:r>
        <w:tab/>
        <w:t>Report prepared by:</w:t>
      </w:r>
      <w:r>
        <w:tab/>
      </w:r>
      <w:r w:rsidR="00F8054A">
        <w:t>Karl Stonebank</w:t>
      </w:r>
      <w:r w:rsidR="008E41A1">
        <w:t xml:space="preserve">, </w:t>
      </w:r>
      <w:r w:rsidR="00F8054A">
        <w:t>Partnerships Officer</w:t>
      </w:r>
      <w:r w:rsidR="00F8054A">
        <w:fldChar w:fldCharType="begin"/>
      </w:r>
      <w:r w:rsidR="00F8054A">
        <w:instrText xml:space="preserve"> ASK   \* MERGEFORMAT </w:instrText>
      </w:r>
      <w:r w:rsidR="00F8054A">
        <w:fldChar w:fldCharType="end"/>
      </w:r>
    </w:p>
    <w:p w:rsidR="002915F6" w:rsidRPr="00B02855" w:rsidRDefault="002915F6" w:rsidP="008E41A1">
      <w:pPr>
        <w:rPr>
          <w:sz w:val="16"/>
          <w:szCs w:val="16"/>
        </w:rPr>
      </w:pPr>
    </w:p>
    <w:p w:rsidR="009D65B4" w:rsidRPr="00B02855" w:rsidRDefault="009D65B4" w:rsidP="008E41A1">
      <w:pPr>
        <w:rPr>
          <w:sz w:val="16"/>
          <w:szCs w:val="16"/>
        </w:rPr>
      </w:pPr>
    </w:p>
    <w:p w:rsidR="009D65B4" w:rsidRDefault="009D65B4" w:rsidP="009D65B4">
      <w:pPr>
        <w:keepNext/>
        <w:keepLines/>
        <w:ind w:left="1267" w:hanging="1267"/>
        <w:outlineLvl w:val="0"/>
        <w:rPr>
          <w:b/>
        </w:rPr>
      </w:pPr>
      <w:r>
        <w:rPr>
          <w:b/>
        </w:rPr>
        <w:tab/>
        <w:t>Data Quality</w:t>
      </w:r>
    </w:p>
    <w:p w:rsidR="009D65B4" w:rsidRDefault="009D65B4" w:rsidP="009026FF">
      <w:pPr>
        <w:keepNext/>
        <w:ind w:left="1260"/>
      </w:pPr>
      <w:r>
        <w:t xml:space="preserve">Data sources: </w:t>
      </w:r>
      <w:r w:rsidR="004F1198">
        <w:t>CASTR</w:t>
      </w:r>
      <w:r w:rsidR="009026FF">
        <w:t xml:space="preserve"> </w:t>
      </w:r>
      <w:r>
        <w:t xml:space="preserve">SLA </w:t>
      </w:r>
      <w:r w:rsidR="00446FF4">
        <w:t>Performance Report – 2016</w:t>
      </w:r>
      <w:r>
        <w:t>/1</w:t>
      </w:r>
      <w:r w:rsidR="00446FF4">
        <w:t>7</w:t>
      </w:r>
    </w:p>
    <w:p w:rsidR="00431B01" w:rsidRDefault="00431B01" w:rsidP="009026FF">
      <w:pPr>
        <w:keepNext/>
        <w:ind w:left="1260"/>
      </w:pPr>
      <w:r>
        <w:tab/>
      </w:r>
      <w:r>
        <w:tab/>
        <w:t xml:space="preserve">CASTR </w:t>
      </w:r>
      <w:r w:rsidRPr="00397811">
        <w:rPr>
          <w:color w:val="000000" w:themeColor="text1"/>
          <w:szCs w:val="22"/>
        </w:rPr>
        <w:t>Strategic</w:t>
      </w:r>
      <w:r>
        <w:rPr>
          <w:color w:val="000000" w:themeColor="text1"/>
          <w:szCs w:val="22"/>
        </w:rPr>
        <w:t>/</w:t>
      </w:r>
      <w:r w:rsidRPr="00397811">
        <w:rPr>
          <w:color w:val="000000" w:themeColor="text1"/>
          <w:szCs w:val="22"/>
        </w:rPr>
        <w:t>Management Performance</w:t>
      </w:r>
      <w:r>
        <w:rPr>
          <w:color w:val="000000" w:themeColor="text1"/>
          <w:szCs w:val="22"/>
        </w:rPr>
        <w:t xml:space="preserve"> </w:t>
      </w:r>
      <w:r w:rsidRPr="00397811">
        <w:rPr>
          <w:color w:val="000000" w:themeColor="text1"/>
          <w:szCs w:val="22"/>
        </w:rPr>
        <w:t>Ind</w:t>
      </w:r>
      <w:r>
        <w:rPr>
          <w:color w:val="000000" w:themeColor="text1"/>
          <w:szCs w:val="22"/>
        </w:rPr>
        <w:t>icators Returns</w:t>
      </w:r>
    </w:p>
    <w:p w:rsidR="009D65B4" w:rsidRDefault="009D65B4" w:rsidP="009D65B4">
      <w:pPr>
        <w:keepNext/>
        <w:keepLines/>
        <w:ind w:left="1267" w:hanging="1267"/>
        <w:rPr>
          <w:sz w:val="16"/>
          <w:szCs w:val="16"/>
        </w:rPr>
      </w:pPr>
    </w:p>
    <w:p w:rsidR="003360ED" w:rsidRPr="00431B01" w:rsidRDefault="003360ED" w:rsidP="009D65B4">
      <w:pPr>
        <w:keepNext/>
        <w:keepLines/>
        <w:ind w:left="1267" w:hanging="1267"/>
        <w:rPr>
          <w:sz w:val="16"/>
          <w:szCs w:val="16"/>
        </w:rPr>
      </w:pPr>
    </w:p>
    <w:p w:rsidR="003360ED" w:rsidRDefault="009D65B4" w:rsidP="009D65B4">
      <w:pPr>
        <w:keepNext/>
        <w:keepLines/>
        <w:ind w:left="1267" w:hanging="1267"/>
      </w:pPr>
      <w:r>
        <w:fldChar w:fldCharType="begin"/>
      </w:r>
      <w:r>
        <w:instrText xml:space="preserve"> ASK   \* MERGEFORMAT </w:instrText>
      </w:r>
      <w:r>
        <w:fldChar w:fldCharType="end"/>
      </w:r>
      <w:r>
        <w:rPr>
          <w:i/>
        </w:rPr>
        <w:tab/>
      </w:r>
      <w:r>
        <w:rPr>
          <w:i/>
        </w:rPr>
        <w:tab/>
      </w:r>
      <w:r>
        <w:t>Data checked by:</w:t>
      </w:r>
    </w:p>
    <w:p w:rsidR="003360ED" w:rsidRPr="003360ED" w:rsidRDefault="009D65B4" w:rsidP="003360ED">
      <w:pPr>
        <w:pStyle w:val="ListParagraph"/>
        <w:keepNext/>
        <w:keepLines/>
        <w:numPr>
          <w:ilvl w:val="0"/>
          <w:numId w:val="13"/>
        </w:numPr>
        <w:tabs>
          <w:tab w:val="left" w:pos="1418"/>
        </w:tabs>
        <w:ind w:left="2977" w:hanging="1701"/>
        <w:rPr>
          <w:color w:val="000000" w:themeColor="text1"/>
          <w:szCs w:val="22"/>
        </w:rPr>
      </w:pPr>
      <w:r w:rsidRPr="003360ED">
        <w:rPr>
          <w:color w:val="000000" w:themeColor="text1"/>
          <w:szCs w:val="22"/>
        </w:rPr>
        <w:t>Andy Stovold, Head of Community Partnerships</w:t>
      </w:r>
    </w:p>
    <w:p w:rsidR="003360ED" w:rsidRPr="003360ED" w:rsidRDefault="003360ED" w:rsidP="003360ED">
      <w:pPr>
        <w:pStyle w:val="ListParagraph"/>
        <w:keepNext/>
        <w:keepLines/>
        <w:numPr>
          <w:ilvl w:val="0"/>
          <w:numId w:val="13"/>
        </w:numPr>
        <w:tabs>
          <w:tab w:val="left" w:pos="1418"/>
        </w:tabs>
        <w:ind w:left="2977" w:hanging="1701"/>
        <w:rPr>
          <w:color w:val="000000" w:themeColor="text1"/>
          <w:szCs w:val="22"/>
        </w:rPr>
      </w:pPr>
      <w:r w:rsidRPr="003360ED">
        <w:rPr>
          <w:color w:val="000000" w:themeColor="text1"/>
          <w:szCs w:val="22"/>
        </w:rPr>
        <w:t xml:space="preserve">Nigel Pollard, Section Head </w:t>
      </w:r>
      <w:r>
        <w:rPr>
          <w:color w:val="000000" w:themeColor="text1"/>
          <w:szCs w:val="22"/>
        </w:rPr>
        <w:t>F</w:t>
      </w:r>
      <w:r w:rsidRPr="003360ED">
        <w:rPr>
          <w:color w:val="000000" w:themeColor="text1"/>
          <w:szCs w:val="22"/>
        </w:rPr>
        <w:t>inancial</w:t>
      </w:r>
      <w:r>
        <w:rPr>
          <w:color w:val="000000" w:themeColor="text1"/>
          <w:szCs w:val="22"/>
        </w:rPr>
        <w:t xml:space="preserve"> </w:t>
      </w:r>
      <w:r w:rsidRPr="003360ED">
        <w:rPr>
          <w:color w:val="000000" w:themeColor="text1"/>
          <w:szCs w:val="22"/>
        </w:rPr>
        <w:t>Planning &amp; Analysis</w:t>
      </w:r>
    </w:p>
    <w:p w:rsidR="003360ED" w:rsidRPr="003360ED" w:rsidRDefault="003360ED" w:rsidP="009D65B4">
      <w:pPr>
        <w:keepNext/>
        <w:keepLines/>
        <w:ind w:left="1267" w:hanging="1267"/>
        <w:rPr>
          <w:sz w:val="16"/>
          <w:szCs w:val="16"/>
        </w:rPr>
      </w:pPr>
    </w:p>
    <w:p w:rsidR="009D65B4" w:rsidRDefault="009D65B4" w:rsidP="009D65B4">
      <w:pPr>
        <w:ind w:left="1260" w:hanging="1260"/>
        <w:rPr>
          <w:b/>
          <w:i/>
          <w:color w:val="008000"/>
        </w:rPr>
      </w:pPr>
      <w:r w:rsidRPr="003360ED">
        <w:rPr>
          <w:sz w:val="16"/>
          <w:szCs w:val="16"/>
        </w:rPr>
        <w:tab/>
      </w:r>
      <w:r w:rsidRPr="003360ED">
        <w:rPr>
          <w:sz w:val="16"/>
          <w:szCs w:val="16"/>
        </w:rPr>
        <w:br/>
      </w:r>
      <w:r>
        <w:t xml:space="preserve">Data rating: </w:t>
      </w:r>
    </w:p>
    <w:p w:rsidR="009D65B4" w:rsidRPr="00431B01" w:rsidRDefault="009D65B4" w:rsidP="009D65B4">
      <w:pPr>
        <w:ind w:left="1253" w:hanging="1253"/>
        <w:rPr>
          <w:sz w:val="16"/>
          <w:szCs w:val="16"/>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9D65B4" w:rsidTr="00936BCB">
        <w:trPr>
          <w:trHeight w:hRule="exact" w:val="346"/>
        </w:trPr>
        <w:tc>
          <w:tcPr>
            <w:tcW w:w="392" w:type="dxa"/>
            <w:vAlign w:val="center"/>
          </w:tcPr>
          <w:p w:rsidR="009D65B4" w:rsidRDefault="009D65B4" w:rsidP="00936BCB">
            <w:pPr>
              <w:keepNext/>
              <w:keepLines/>
            </w:pPr>
            <w:r>
              <w:lastRenderedPageBreak/>
              <w:t>1</w:t>
            </w:r>
          </w:p>
        </w:tc>
        <w:tc>
          <w:tcPr>
            <w:tcW w:w="1276" w:type="dxa"/>
            <w:vAlign w:val="center"/>
          </w:tcPr>
          <w:p w:rsidR="009D65B4" w:rsidRDefault="009D65B4" w:rsidP="00936BCB">
            <w:pPr>
              <w:keepNext/>
              <w:keepLines/>
            </w:pPr>
            <w:r>
              <w:t>Poor</w:t>
            </w:r>
          </w:p>
        </w:tc>
        <w:tc>
          <w:tcPr>
            <w:tcW w:w="492" w:type="dxa"/>
            <w:vAlign w:val="center"/>
          </w:tcPr>
          <w:p w:rsidR="009D65B4" w:rsidRDefault="009D65B4" w:rsidP="00936BCB">
            <w:pPr>
              <w:keepNext/>
              <w:keepLines/>
              <w:jc w:val="center"/>
            </w:pPr>
          </w:p>
        </w:tc>
      </w:tr>
      <w:tr w:rsidR="009D65B4" w:rsidTr="00936BCB">
        <w:trPr>
          <w:trHeight w:hRule="exact" w:val="346"/>
        </w:trPr>
        <w:tc>
          <w:tcPr>
            <w:tcW w:w="392" w:type="dxa"/>
            <w:vAlign w:val="center"/>
          </w:tcPr>
          <w:p w:rsidR="009D65B4" w:rsidRDefault="009D65B4" w:rsidP="00936BCB">
            <w:pPr>
              <w:keepNext/>
              <w:keepLines/>
            </w:pPr>
            <w:r>
              <w:t>2</w:t>
            </w:r>
          </w:p>
        </w:tc>
        <w:tc>
          <w:tcPr>
            <w:tcW w:w="1276" w:type="dxa"/>
            <w:vAlign w:val="center"/>
          </w:tcPr>
          <w:p w:rsidR="009D65B4" w:rsidRDefault="009D65B4" w:rsidP="00936BCB">
            <w:pPr>
              <w:keepNext/>
              <w:keepLines/>
            </w:pPr>
            <w:r>
              <w:t>Sufficient</w:t>
            </w:r>
          </w:p>
        </w:tc>
        <w:tc>
          <w:tcPr>
            <w:tcW w:w="492" w:type="dxa"/>
            <w:vAlign w:val="center"/>
          </w:tcPr>
          <w:p w:rsidR="009D65B4" w:rsidRDefault="009D65B4" w:rsidP="00936BCB">
            <w:pPr>
              <w:keepNext/>
              <w:keepLines/>
              <w:jc w:val="center"/>
            </w:pPr>
            <w:r>
              <w:rPr>
                <w:b/>
                <w:szCs w:val="22"/>
              </w:rPr>
              <w:sym w:font="Wingdings" w:char="F0FC"/>
            </w:r>
          </w:p>
        </w:tc>
      </w:tr>
      <w:tr w:rsidR="009D65B4" w:rsidTr="00936BCB">
        <w:trPr>
          <w:trHeight w:hRule="exact" w:val="346"/>
        </w:trPr>
        <w:tc>
          <w:tcPr>
            <w:tcW w:w="392" w:type="dxa"/>
            <w:vAlign w:val="center"/>
          </w:tcPr>
          <w:p w:rsidR="009D65B4" w:rsidRDefault="009D65B4" w:rsidP="00936BCB">
            <w:pPr>
              <w:keepNext/>
              <w:keepLines/>
            </w:pPr>
            <w:r>
              <w:t>3</w:t>
            </w:r>
          </w:p>
        </w:tc>
        <w:tc>
          <w:tcPr>
            <w:tcW w:w="1276" w:type="dxa"/>
            <w:vAlign w:val="center"/>
          </w:tcPr>
          <w:p w:rsidR="009D65B4" w:rsidRDefault="009D65B4" w:rsidP="00936BCB">
            <w:pPr>
              <w:keepNext/>
              <w:keepLines/>
            </w:pPr>
            <w:r>
              <w:t>High</w:t>
            </w:r>
          </w:p>
        </w:tc>
        <w:tc>
          <w:tcPr>
            <w:tcW w:w="492" w:type="dxa"/>
            <w:vAlign w:val="center"/>
          </w:tcPr>
          <w:p w:rsidR="009D65B4" w:rsidRDefault="009D65B4" w:rsidP="00936BCB">
            <w:pPr>
              <w:keepNext/>
              <w:keepLines/>
              <w:jc w:val="center"/>
            </w:pPr>
          </w:p>
        </w:tc>
      </w:tr>
    </w:tbl>
    <w:p w:rsidR="002915F6" w:rsidRPr="00B02855" w:rsidRDefault="009D65B4" w:rsidP="00394C66">
      <w:pPr>
        <w:ind w:left="1253" w:hanging="1253"/>
        <w:jc w:val="left"/>
        <w:rPr>
          <w:rFonts w:cs="Arial"/>
          <w:b/>
          <w:color w:val="000000" w:themeColor="text1"/>
          <w:sz w:val="16"/>
          <w:szCs w:val="16"/>
        </w:rPr>
      </w:pPr>
      <w:r w:rsidRPr="00B02855">
        <w:rPr>
          <w:rFonts w:cs="Arial"/>
          <w:b/>
          <w:color w:val="000000" w:themeColor="text1"/>
          <w:sz w:val="16"/>
          <w:szCs w:val="16"/>
        </w:rPr>
        <w:tab/>
      </w:r>
    </w:p>
    <w:p w:rsidR="00D068BC" w:rsidRDefault="00394C66" w:rsidP="00D068BC">
      <w:pPr>
        <w:ind w:left="1253" w:hanging="1253"/>
        <w:jc w:val="left"/>
        <w:rPr>
          <w:rFonts w:cs="Arial"/>
          <w:color w:val="000000" w:themeColor="text1"/>
          <w:szCs w:val="22"/>
        </w:rPr>
      </w:pPr>
      <w:r w:rsidRPr="00B02855">
        <w:rPr>
          <w:rFonts w:cs="Arial"/>
          <w:b/>
          <w:color w:val="000000" w:themeColor="text1"/>
          <w:sz w:val="16"/>
          <w:szCs w:val="16"/>
        </w:rPr>
        <w:br/>
      </w:r>
      <w:r w:rsidR="009D65B4" w:rsidRPr="00876468">
        <w:rPr>
          <w:rFonts w:cs="Arial"/>
          <w:b/>
          <w:color w:val="000000" w:themeColor="text1"/>
          <w:szCs w:val="22"/>
        </w:rPr>
        <w:t>APPENDICES</w:t>
      </w:r>
    </w:p>
    <w:p w:rsidR="00D068BC" w:rsidRDefault="006C014E" w:rsidP="00D068BC">
      <w:pPr>
        <w:ind w:left="1253" w:hanging="1253"/>
        <w:jc w:val="left"/>
        <w:rPr>
          <w:szCs w:val="22"/>
        </w:rPr>
      </w:pPr>
      <w:r>
        <w:rPr>
          <w:szCs w:val="22"/>
        </w:rPr>
        <w:tab/>
      </w:r>
      <w:r w:rsidR="009D65B4" w:rsidRPr="007D2BBE">
        <w:rPr>
          <w:szCs w:val="22"/>
        </w:rPr>
        <w:t>Appendix A</w:t>
      </w:r>
      <w:r w:rsidR="009D65B4">
        <w:rPr>
          <w:szCs w:val="22"/>
        </w:rPr>
        <w:t xml:space="preserve"> </w:t>
      </w:r>
      <w:r w:rsidR="009A7847">
        <w:rPr>
          <w:szCs w:val="22"/>
        </w:rPr>
        <w:t>-</w:t>
      </w:r>
      <w:r w:rsidR="009D65B4">
        <w:rPr>
          <w:szCs w:val="22"/>
        </w:rPr>
        <w:t xml:space="preserve"> </w:t>
      </w:r>
      <w:r w:rsidR="004F1198">
        <w:t>CASTR</w:t>
      </w:r>
      <w:r w:rsidR="004F1198">
        <w:rPr>
          <w:szCs w:val="22"/>
        </w:rPr>
        <w:t xml:space="preserve"> </w:t>
      </w:r>
      <w:r w:rsidR="00AD1132">
        <w:rPr>
          <w:szCs w:val="22"/>
        </w:rPr>
        <w:t>Annual Report</w:t>
      </w:r>
      <w:r w:rsidR="00394C66">
        <w:rPr>
          <w:szCs w:val="22"/>
        </w:rPr>
        <w:t xml:space="preserve"> </w:t>
      </w:r>
      <w:r w:rsidR="007216E0">
        <w:rPr>
          <w:szCs w:val="22"/>
        </w:rPr>
        <w:t>2016/17</w:t>
      </w:r>
    </w:p>
    <w:p w:rsidR="00431B01" w:rsidRDefault="006C014E" w:rsidP="00431B01">
      <w:pPr>
        <w:tabs>
          <w:tab w:val="clear" w:pos="1260"/>
          <w:tab w:val="left" w:pos="1276"/>
        </w:tabs>
        <w:ind w:left="1253" w:hanging="1253"/>
        <w:jc w:val="left"/>
        <w:rPr>
          <w:color w:val="000000" w:themeColor="text1"/>
          <w:szCs w:val="22"/>
        </w:rPr>
      </w:pPr>
      <w:r>
        <w:rPr>
          <w:szCs w:val="22"/>
        </w:rPr>
        <w:tab/>
      </w:r>
      <w:r w:rsidR="00D068BC">
        <w:rPr>
          <w:szCs w:val="22"/>
        </w:rPr>
        <w:t>A</w:t>
      </w:r>
      <w:r w:rsidR="009A7847">
        <w:rPr>
          <w:szCs w:val="22"/>
        </w:rPr>
        <w:t xml:space="preserve">ppendix B - </w:t>
      </w:r>
      <w:r w:rsidR="00A3770C">
        <w:rPr>
          <w:color w:val="000000" w:themeColor="text1"/>
          <w:szCs w:val="22"/>
        </w:rPr>
        <w:t xml:space="preserve">CASTR </w:t>
      </w:r>
      <w:r w:rsidR="00A3770C" w:rsidRPr="00397811">
        <w:rPr>
          <w:color w:val="000000" w:themeColor="text1"/>
          <w:szCs w:val="22"/>
        </w:rPr>
        <w:t>Strategic</w:t>
      </w:r>
      <w:r w:rsidR="00A3770C">
        <w:rPr>
          <w:color w:val="000000" w:themeColor="text1"/>
          <w:szCs w:val="22"/>
        </w:rPr>
        <w:t>/</w:t>
      </w:r>
      <w:r w:rsidR="00A3770C" w:rsidRPr="00397811">
        <w:rPr>
          <w:color w:val="000000" w:themeColor="text1"/>
          <w:szCs w:val="22"/>
        </w:rPr>
        <w:t>Management Performance</w:t>
      </w:r>
      <w:r w:rsidR="00A3770C">
        <w:rPr>
          <w:color w:val="000000" w:themeColor="text1"/>
          <w:szCs w:val="22"/>
        </w:rPr>
        <w:t xml:space="preserve"> </w:t>
      </w:r>
      <w:r w:rsidR="00A3770C" w:rsidRPr="00397811">
        <w:rPr>
          <w:color w:val="000000" w:themeColor="text1"/>
          <w:szCs w:val="22"/>
        </w:rPr>
        <w:t>Ind</w:t>
      </w:r>
      <w:r w:rsidR="00A3770C">
        <w:rPr>
          <w:color w:val="000000" w:themeColor="text1"/>
          <w:szCs w:val="22"/>
        </w:rPr>
        <w:t>icators 2017/18</w:t>
      </w:r>
    </w:p>
    <w:p w:rsidR="00D95348" w:rsidRPr="00000C94" w:rsidRDefault="009849A2" w:rsidP="00431B01">
      <w:pPr>
        <w:tabs>
          <w:tab w:val="clear" w:pos="1260"/>
          <w:tab w:val="left" w:pos="1276"/>
        </w:tabs>
        <w:ind w:left="1253" w:hanging="1253"/>
        <w:jc w:val="left"/>
        <w:rPr>
          <w:szCs w:val="22"/>
        </w:rPr>
      </w:pPr>
      <w:r>
        <w:rPr>
          <w:szCs w:val="22"/>
        </w:rPr>
        <w:br w:type="page"/>
      </w:r>
      <w:r w:rsidR="00E4727F" w:rsidRPr="007D2BBE">
        <w:rPr>
          <w:szCs w:val="22"/>
        </w:rPr>
        <w:lastRenderedPageBreak/>
        <w:t>Appendix A</w:t>
      </w:r>
    </w:p>
    <w:p w:rsidR="00FE795A" w:rsidRPr="00873ADE" w:rsidRDefault="00FE795A" w:rsidP="00FE795A">
      <w:pPr>
        <w:keepNext/>
        <w:keepLines/>
        <w:ind w:left="1267" w:hanging="1267"/>
        <w:outlineLvl w:val="0"/>
        <w:rPr>
          <w:b/>
        </w:rPr>
      </w:pPr>
      <w:r>
        <w:rPr>
          <w:noProof/>
        </w:rPr>
        <w:drawing>
          <wp:anchor distT="0" distB="0" distL="114300" distR="114300" simplePos="0" relativeHeight="251658240" behindDoc="1" locked="0" layoutInCell="1" allowOverlap="1" wp14:anchorId="7DD15490" wp14:editId="62A626AD">
            <wp:simplePos x="0" y="0"/>
            <wp:positionH relativeFrom="column">
              <wp:posOffset>541655</wp:posOffset>
            </wp:positionH>
            <wp:positionV relativeFrom="paragraph">
              <wp:posOffset>173990</wp:posOffset>
            </wp:positionV>
            <wp:extent cx="589280" cy="589280"/>
            <wp:effectExtent l="0" t="0" r="1270" b="1270"/>
            <wp:wrapTight wrapText="bothSides">
              <wp:wrapPolygon edited="0">
                <wp:start x="0" y="0"/>
                <wp:lineTo x="0" y="20948"/>
                <wp:lineTo x="20948" y="20948"/>
                <wp:lineTo x="20948" y="0"/>
                <wp:lineTo x="0" y="0"/>
              </wp:wrapPolygon>
            </wp:wrapTight>
            <wp:docPr id="1" name="Picture 1" descr="R0_G75_B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0_G75_B1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28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95A" w:rsidRPr="00A3770C" w:rsidRDefault="00FE795A" w:rsidP="00FE795A">
      <w:pPr>
        <w:jc w:val="center"/>
        <w:rPr>
          <w:b/>
          <w:sz w:val="24"/>
          <w:szCs w:val="24"/>
        </w:rPr>
      </w:pPr>
      <w:r w:rsidRPr="00A3770C">
        <w:rPr>
          <w:b/>
          <w:sz w:val="24"/>
          <w:szCs w:val="24"/>
        </w:rPr>
        <w:t xml:space="preserve">CITIZENS ADVICE SERVICE IN THREE RIVERS </w:t>
      </w:r>
      <w:r w:rsidR="004F1198" w:rsidRPr="00A3770C">
        <w:rPr>
          <w:b/>
          <w:sz w:val="24"/>
          <w:szCs w:val="24"/>
        </w:rPr>
        <w:t xml:space="preserve">ANNUAL REPORT </w:t>
      </w:r>
      <w:r w:rsidRPr="00A3770C">
        <w:rPr>
          <w:b/>
          <w:sz w:val="24"/>
          <w:szCs w:val="24"/>
        </w:rPr>
        <w:t>201</w:t>
      </w:r>
      <w:r w:rsidR="00446FF4" w:rsidRPr="00A3770C">
        <w:rPr>
          <w:b/>
          <w:sz w:val="24"/>
          <w:szCs w:val="24"/>
        </w:rPr>
        <w:t>6/</w:t>
      </w:r>
      <w:r w:rsidRPr="00A3770C">
        <w:rPr>
          <w:b/>
          <w:sz w:val="24"/>
          <w:szCs w:val="24"/>
        </w:rPr>
        <w:t>1</w:t>
      </w:r>
      <w:r w:rsidR="00446FF4" w:rsidRPr="00A3770C">
        <w:rPr>
          <w:b/>
          <w:sz w:val="24"/>
          <w:szCs w:val="24"/>
        </w:rPr>
        <w:t>7</w:t>
      </w:r>
    </w:p>
    <w:p w:rsidR="00FE795A" w:rsidRPr="00421C8B" w:rsidRDefault="00FE795A" w:rsidP="00FE795A">
      <w:pPr>
        <w:jc w:val="center"/>
        <w:rPr>
          <w:b/>
          <w:sz w:val="4"/>
          <w:szCs w:val="4"/>
        </w:rPr>
      </w:pPr>
    </w:p>
    <w:p w:rsidR="00446FF4" w:rsidRPr="00A3770C" w:rsidRDefault="00FE795A" w:rsidP="00FE795A">
      <w:pPr>
        <w:jc w:val="center"/>
        <w:rPr>
          <w:sz w:val="24"/>
          <w:szCs w:val="24"/>
        </w:rPr>
      </w:pPr>
      <w:r w:rsidRPr="00A3770C">
        <w:rPr>
          <w:sz w:val="24"/>
          <w:szCs w:val="24"/>
        </w:rPr>
        <w:t>(Abbots Langley, Oxhey &amp; Rickmansworth Bureaux)</w:t>
      </w:r>
    </w:p>
    <w:p w:rsidR="00446FF4" w:rsidRDefault="00446FF4" w:rsidP="00FE795A">
      <w:pPr>
        <w:jc w:val="center"/>
        <w:rPr>
          <w:b/>
          <w:sz w:val="24"/>
          <w:szCs w:val="24"/>
        </w:rPr>
      </w:pPr>
    </w:p>
    <w:p w:rsidR="00446FF4" w:rsidRDefault="00446FF4" w:rsidP="00FE795A">
      <w:pPr>
        <w:jc w:val="center"/>
        <w:rPr>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258"/>
        <w:gridCol w:w="1209"/>
        <w:gridCol w:w="635"/>
        <w:gridCol w:w="3090"/>
        <w:gridCol w:w="1701"/>
      </w:tblGrid>
      <w:tr w:rsidR="00446FF4" w:rsidRPr="00446FF4" w:rsidTr="00446FF4">
        <w:tc>
          <w:tcPr>
            <w:tcW w:w="1746" w:type="dxa"/>
            <w:shd w:val="pct25" w:color="auto" w:fill="auto"/>
            <w:vAlign w:val="center"/>
          </w:tcPr>
          <w:p w:rsidR="00446FF4" w:rsidRPr="00446FF4" w:rsidRDefault="00446FF4" w:rsidP="00446FF4">
            <w:pPr>
              <w:jc w:val="center"/>
              <w:rPr>
                <w:rFonts w:cs="Arial"/>
                <w:b/>
                <w:szCs w:val="22"/>
              </w:rPr>
            </w:pPr>
            <w:r w:rsidRPr="00446FF4">
              <w:rPr>
                <w:rFonts w:cs="Arial"/>
                <w:b/>
                <w:szCs w:val="22"/>
              </w:rPr>
              <w:t>Issue Distribution</w:t>
            </w:r>
          </w:p>
        </w:tc>
        <w:tc>
          <w:tcPr>
            <w:tcW w:w="1258" w:type="dxa"/>
            <w:shd w:val="pct25" w:color="auto" w:fill="auto"/>
            <w:vAlign w:val="center"/>
          </w:tcPr>
          <w:p w:rsidR="00446FF4" w:rsidRPr="00446FF4" w:rsidRDefault="00446FF4" w:rsidP="00446FF4">
            <w:pPr>
              <w:jc w:val="center"/>
              <w:rPr>
                <w:rFonts w:cs="Arial"/>
                <w:b/>
                <w:szCs w:val="22"/>
              </w:rPr>
            </w:pPr>
            <w:r w:rsidRPr="00446FF4">
              <w:rPr>
                <w:rFonts w:cs="Arial"/>
                <w:b/>
                <w:szCs w:val="22"/>
              </w:rPr>
              <w:t>Number of issues</w:t>
            </w:r>
          </w:p>
        </w:tc>
        <w:tc>
          <w:tcPr>
            <w:tcW w:w="1209" w:type="dxa"/>
            <w:shd w:val="pct25" w:color="auto" w:fill="auto"/>
            <w:vAlign w:val="center"/>
          </w:tcPr>
          <w:p w:rsidR="00446FF4" w:rsidRPr="00446FF4" w:rsidRDefault="00446FF4" w:rsidP="00446FF4">
            <w:pPr>
              <w:jc w:val="center"/>
              <w:rPr>
                <w:rFonts w:cs="Arial"/>
                <w:b/>
                <w:szCs w:val="22"/>
              </w:rPr>
            </w:pPr>
            <w:r w:rsidRPr="00446FF4">
              <w:rPr>
                <w:rFonts w:cs="Arial"/>
                <w:b/>
                <w:szCs w:val="22"/>
              </w:rPr>
              <w:t>%</w:t>
            </w:r>
          </w:p>
          <w:p w:rsidR="00446FF4" w:rsidRPr="00446FF4" w:rsidRDefault="00446FF4" w:rsidP="00446FF4">
            <w:pPr>
              <w:jc w:val="center"/>
              <w:rPr>
                <w:rFonts w:cs="Arial"/>
                <w:b/>
                <w:szCs w:val="22"/>
              </w:rPr>
            </w:pPr>
            <w:r w:rsidRPr="00446FF4">
              <w:rPr>
                <w:rFonts w:cs="Arial"/>
                <w:b/>
                <w:szCs w:val="22"/>
              </w:rPr>
              <w:t>of work</w:t>
            </w:r>
          </w:p>
        </w:tc>
        <w:tc>
          <w:tcPr>
            <w:tcW w:w="635" w:type="dxa"/>
            <w:tcBorders>
              <w:top w:val="nil"/>
              <w:bottom w:val="nil"/>
            </w:tcBorders>
            <w:shd w:val="clear" w:color="auto" w:fill="auto"/>
            <w:vAlign w:val="center"/>
          </w:tcPr>
          <w:p w:rsidR="00446FF4" w:rsidRPr="00446FF4" w:rsidRDefault="00446FF4" w:rsidP="00446FF4">
            <w:pPr>
              <w:jc w:val="center"/>
              <w:rPr>
                <w:rFonts w:cs="Arial"/>
                <w:szCs w:val="22"/>
              </w:rPr>
            </w:pPr>
          </w:p>
        </w:tc>
        <w:tc>
          <w:tcPr>
            <w:tcW w:w="3090" w:type="dxa"/>
            <w:shd w:val="pct25" w:color="auto" w:fill="auto"/>
            <w:vAlign w:val="center"/>
          </w:tcPr>
          <w:p w:rsidR="00446FF4" w:rsidRPr="00446FF4" w:rsidRDefault="00446FF4" w:rsidP="00446FF4">
            <w:pPr>
              <w:jc w:val="center"/>
              <w:rPr>
                <w:rFonts w:cs="Arial"/>
                <w:b/>
                <w:szCs w:val="22"/>
              </w:rPr>
            </w:pPr>
            <w:r w:rsidRPr="00446FF4">
              <w:rPr>
                <w:rFonts w:cs="Arial"/>
                <w:b/>
                <w:szCs w:val="22"/>
              </w:rPr>
              <w:t>Staffing</w:t>
            </w:r>
          </w:p>
        </w:tc>
        <w:tc>
          <w:tcPr>
            <w:tcW w:w="1701" w:type="dxa"/>
            <w:shd w:val="pct25" w:color="auto" w:fill="auto"/>
            <w:vAlign w:val="center"/>
          </w:tcPr>
          <w:p w:rsidR="00446FF4" w:rsidRPr="00446FF4" w:rsidRDefault="00446FF4" w:rsidP="00446FF4">
            <w:pPr>
              <w:jc w:val="center"/>
              <w:rPr>
                <w:rFonts w:cs="Arial"/>
                <w:b/>
                <w:szCs w:val="22"/>
              </w:rPr>
            </w:pPr>
            <w:r w:rsidRPr="00446FF4">
              <w:rPr>
                <w:rFonts w:cs="Arial"/>
                <w:b/>
                <w:szCs w:val="22"/>
              </w:rPr>
              <w:t>Number of hours per week</w:t>
            </w:r>
          </w:p>
        </w:tc>
      </w:tr>
      <w:tr w:rsidR="00446FF4" w:rsidRPr="00446FF4" w:rsidTr="00A74BDE">
        <w:tc>
          <w:tcPr>
            <w:tcW w:w="1746" w:type="dxa"/>
            <w:shd w:val="clear" w:color="auto" w:fill="auto"/>
          </w:tcPr>
          <w:p w:rsidR="00446FF4" w:rsidRPr="00446FF4" w:rsidRDefault="00446FF4" w:rsidP="00A74BDE">
            <w:pPr>
              <w:rPr>
                <w:rFonts w:cs="Arial"/>
                <w:b/>
                <w:szCs w:val="22"/>
              </w:rPr>
            </w:pPr>
            <w:r w:rsidRPr="00446FF4">
              <w:rPr>
                <w:rFonts w:cs="Arial"/>
                <w:b/>
                <w:szCs w:val="22"/>
              </w:rPr>
              <w:t>Benefits</w:t>
            </w:r>
          </w:p>
        </w:tc>
        <w:tc>
          <w:tcPr>
            <w:tcW w:w="1258" w:type="dxa"/>
            <w:shd w:val="clear" w:color="auto" w:fill="auto"/>
          </w:tcPr>
          <w:p w:rsidR="00446FF4" w:rsidRPr="00446FF4" w:rsidRDefault="00446FF4" w:rsidP="00A74BDE">
            <w:pPr>
              <w:jc w:val="right"/>
              <w:rPr>
                <w:rFonts w:cs="Arial"/>
                <w:szCs w:val="22"/>
              </w:rPr>
            </w:pPr>
            <w:r w:rsidRPr="00446FF4">
              <w:rPr>
                <w:rFonts w:cs="Arial"/>
                <w:szCs w:val="22"/>
              </w:rPr>
              <w:t>5,698</w:t>
            </w:r>
          </w:p>
        </w:tc>
        <w:tc>
          <w:tcPr>
            <w:tcW w:w="1209" w:type="dxa"/>
            <w:shd w:val="clear" w:color="auto" w:fill="auto"/>
          </w:tcPr>
          <w:p w:rsidR="00446FF4" w:rsidRPr="00446FF4" w:rsidRDefault="00446FF4" w:rsidP="00A74BDE">
            <w:pPr>
              <w:jc w:val="right"/>
              <w:rPr>
                <w:rFonts w:cs="Arial"/>
                <w:szCs w:val="22"/>
              </w:rPr>
            </w:pPr>
            <w:r w:rsidRPr="00446FF4">
              <w:rPr>
                <w:rFonts w:cs="Arial"/>
                <w:szCs w:val="22"/>
              </w:rPr>
              <w:t>33</w:t>
            </w:r>
          </w:p>
        </w:tc>
        <w:tc>
          <w:tcPr>
            <w:tcW w:w="635" w:type="dxa"/>
            <w:tcBorders>
              <w:top w:val="nil"/>
              <w:bottom w:val="nil"/>
            </w:tcBorders>
            <w:shd w:val="clear" w:color="auto" w:fill="auto"/>
          </w:tcPr>
          <w:p w:rsidR="00446FF4" w:rsidRPr="00446FF4" w:rsidRDefault="00446FF4" w:rsidP="00A74BDE">
            <w:pPr>
              <w:jc w:val="right"/>
              <w:rPr>
                <w:rFonts w:cs="Arial"/>
                <w:szCs w:val="22"/>
              </w:rPr>
            </w:pPr>
          </w:p>
        </w:tc>
        <w:tc>
          <w:tcPr>
            <w:tcW w:w="3090" w:type="dxa"/>
            <w:tcBorders>
              <w:bottom w:val="nil"/>
            </w:tcBorders>
            <w:shd w:val="clear" w:color="auto" w:fill="auto"/>
          </w:tcPr>
          <w:p w:rsidR="00446FF4" w:rsidRPr="00446FF4" w:rsidRDefault="00446FF4" w:rsidP="00A74BDE">
            <w:pPr>
              <w:rPr>
                <w:rFonts w:cs="Arial"/>
                <w:b/>
                <w:szCs w:val="22"/>
              </w:rPr>
            </w:pPr>
            <w:r w:rsidRPr="00446FF4">
              <w:rPr>
                <w:rFonts w:cs="Arial"/>
                <w:b/>
                <w:szCs w:val="22"/>
              </w:rPr>
              <w:t xml:space="preserve">PAID HOURS </w:t>
            </w:r>
          </w:p>
        </w:tc>
        <w:tc>
          <w:tcPr>
            <w:tcW w:w="1701" w:type="dxa"/>
            <w:tcBorders>
              <w:bottom w:val="nil"/>
            </w:tcBorders>
          </w:tcPr>
          <w:p w:rsidR="00446FF4" w:rsidRPr="00446FF4" w:rsidRDefault="00446FF4" w:rsidP="00A74BDE">
            <w:pPr>
              <w:jc w:val="center"/>
              <w:rPr>
                <w:rFonts w:cs="Arial"/>
                <w:szCs w:val="22"/>
              </w:rPr>
            </w:pPr>
            <w:r w:rsidRPr="00446FF4">
              <w:rPr>
                <w:rFonts w:cs="Arial"/>
                <w:szCs w:val="22"/>
              </w:rPr>
              <w:t>272</w:t>
            </w:r>
          </w:p>
        </w:tc>
      </w:tr>
      <w:tr w:rsidR="00446FF4" w:rsidRPr="00446FF4" w:rsidTr="00A74BDE">
        <w:tc>
          <w:tcPr>
            <w:tcW w:w="1746" w:type="dxa"/>
            <w:shd w:val="clear" w:color="auto" w:fill="auto"/>
          </w:tcPr>
          <w:p w:rsidR="00446FF4" w:rsidRPr="00446FF4" w:rsidRDefault="00446FF4" w:rsidP="00A74BDE">
            <w:pPr>
              <w:rPr>
                <w:rFonts w:cs="Arial"/>
                <w:b/>
                <w:szCs w:val="22"/>
              </w:rPr>
            </w:pPr>
            <w:r w:rsidRPr="00446FF4">
              <w:rPr>
                <w:rFonts w:cs="Arial"/>
                <w:b/>
                <w:szCs w:val="22"/>
              </w:rPr>
              <w:t>Consumer</w:t>
            </w:r>
          </w:p>
        </w:tc>
        <w:tc>
          <w:tcPr>
            <w:tcW w:w="1258" w:type="dxa"/>
            <w:shd w:val="clear" w:color="auto" w:fill="auto"/>
          </w:tcPr>
          <w:p w:rsidR="00446FF4" w:rsidRPr="00446FF4" w:rsidRDefault="00446FF4" w:rsidP="00A74BDE">
            <w:pPr>
              <w:jc w:val="right"/>
              <w:rPr>
                <w:rFonts w:cs="Arial"/>
                <w:szCs w:val="22"/>
              </w:rPr>
            </w:pPr>
            <w:r w:rsidRPr="00446FF4">
              <w:rPr>
                <w:rFonts w:cs="Arial"/>
                <w:szCs w:val="22"/>
              </w:rPr>
              <w:t>455</w:t>
            </w:r>
          </w:p>
        </w:tc>
        <w:tc>
          <w:tcPr>
            <w:tcW w:w="1209" w:type="dxa"/>
            <w:shd w:val="clear" w:color="auto" w:fill="auto"/>
          </w:tcPr>
          <w:p w:rsidR="00446FF4" w:rsidRPr="00446FF4" w:rsidRDefault="00446FF4" w:rsidP="00A74BDE">
            <w:pPr>
              <w:jc w:val="right"/>
              <w:rPr>
                <w:rFonts w:cs="Arial"/>
                <w:szCs w:val="22"/>
              </w:rPr>
            </w:pPr>
            <w:r w:rsidRPr="00446FF4">
              <w:rPr>
                <w:rFonts w:cs="Arial"/>
                <w:szCs w:val="22"/>
              </w:rPr>
              <w:t>3</w:t>
            </w:r>
          </w:p>
        </w:tc>
        <w:tc>
          <w:tcPr>
            <w:tcW w:w="635" w:type="dxa"/>
            <w:tcBorders>
              <w:top w:val="nil"/>
              <w:bottom w:val="nil"/>
            </w:tcBorders>
            <w:shd w:val="clear" w:color="auto" w:fill="auto"/>
          </w:tcPr>
          <w:p w:rsidR="00446FF4" w:rsidRPr="00446FF4" w:rsidRDefault="00446FF4" w:rsidP="00A74BDE">
            <w:pPr>
              <w:jc w:val="right"/>
              <w:rPr>
                <w:rFonts w:cs="Arial"/>
                <w:szCs w:val="22"/>
              </w:rPr>
            </w:pPr>
          </w:p>
        </w:tc>
        <w:tc>
          <w:tcPr>
            <w:tcW w:w="3090" w:type="dxa"/>
            <w:tcBorders>
              <w:top w:val="nil"/>
              <w:bottom w:val="nil"/>
            </w:tcBorders>
            <w:shd w:val="clear" w:color="auto" w:fill="auto"/>
          </w:tcPr>
          <w:p w:rsidR="00446FF4" w:rsidRPr="00446FF4" w:rsidRDefault="00446FF4" w:rsidP="00446FF4">
            <w:pPr>
              <w:jc w:val="left"/>
              <w:rPr>
                <w:rFonts w:cs="Arial"/>
                <w:b/>
                <w:szCs w:val="22"/>
              </w:rPr>
            </w:pPr>
            <w:r w:rsidRPr="00446FF4">
              <w:rPr>
                <w:rFonts w:cs="Arial"/>
                <w:b/>
                <w:szCs w:val="22"/>
              </w:rPr>
              <w:t xml:space="preserve">per week across all 3 CAB, </w:t>
            </w:r>
          </w:p>
        </w:tc>
        <w:tc>
          <w:tcPr>
            <w:tcW w:w="1701" w:type="dxa"/>
            <w:tcBorders>
              <w:top w:val="nil"/>
              <w:bottom w:val="nil"/>
            </w:tcBorders>
          </w:tcPr>
          <w:p w:rsidR="00446FF4" w:rsidRPr="00446FF4" w:rsidRDefault="00446FF4" w:rsidP="00A74BDE">
            <w:pPr>
              <w:jc w:val="center"/>
              <w:rPr>
                <w:rFonts w:cs="Arial"/>
                <w:b/>
                <w:szCs w:val="22"/>
              </w:rPr>
            </w:pPr>
          </w:p>
        </w:tc>
      </w:tr>
      <w:tr w:rsidR="00446FF4" w:rsidRPr="00446FF4" w:rsidTr="00A74BDE">
        <w:tc>
          <w:tcPr>
            <w:tcW w:w="1746" w:type="dxa"/>
            <w:shd w:val="clear" w:color="auto" w:fill="auto"/>
          </w:tcPr>
          <w:p w:rsidR="00446FF4" w:rsidRPr="00446FF4" w:rsidRDefault="00446FF4" w:rsidP="00A74BDE">
            <w:pPr>
              <w:rPr>
                <w:rFonts w:cs="Arial"/>
                <w:b/>
                <w:szCs w:val="22"/>
              </w:rPr>
            </w:pPr>
            <w:r w:rsidRPr="00446FF4">
              <w:rPr>
                <w:rFonts w:cs="Arial"/>
                <w:b/>
                <w:szCs w:val="22"/>
              </w:rPr>
              <w:t>Debt</w:t>
            </w:r>
          </w:p>
        </w:tc>
        <w:tc>
          <w:tcPr>
            <w:tcW w:w="1258" w:type="dxa"/>
            <w:shd w:val="clear" w:color="auto" w:fill="auto"/>
          </w:tcPr>
          <w:p w:rsidR="00446FF4" w:rsidRPr="00446FF4" w:rsidRDefault="00446FF4" w:rsidP="00A74BDE">
            <w:pPr>
              <w:jc w:val="right"/>
              <w:rPr>
                <w:rFonts w:cs="Arial"/>
                <w:szCs w:val="22"/>
              </w:rPr>
            </w:pPr>
            <w:r w:rsidRPr="00446FF4">
              <w:rPr>
                <w:rFonts w:cs="Arial"/>
                <w:szCs w:val="22"/>
              </w:rPr>
              <w:t>3,283</w:t>
            </w:r>
          </w:p>
        </w:tc>
        <w:tc>
          <w:tcPr>
            <w:tcW w:w="1209" w:type="dxa"/>
            <w:shd w:val="clear" w:color="auto" w:fill="auto"/>
          </w:tcPr>
          <w:p w:rsidR="00446FF4" w:rsidRPr="00446FF4" w:rsidRDefault="00446FF4" w:rsidP="00A74BDE">
            <w:pPr>
              <w:jc w:val="right"/>
              <w:rPr>
                <w:rFonts w:cs="Arial"/>
                <w:szCs w:val="22"/>
              </w:rPr>
            </w:pPr>
            <w:r w:rsidRPr="00446FF4">
              <w:rPr>
                <w:rFonts w:cs="Arial"/>
                <w:szCs w:val="22"/>
              </w:rPr>
              <w:t>19</w:t>
            </w:r>
          </w:p>
        </w:tc>
        <w:tc>
          <w:tcPr>
            <w:tcW w:w="635" w:type="dxa"/>
            <w:tcBorders>
              <w:top w:val="nil"/>
              <w:bottom w:val="nil"/>
            </w:tcBorders>
            <w:shd w:val="clear" w:color="auto" w:fill="auto"/>
          </w:tcPr>
          <w:p w:rsidR="00446FF4" w:rsidRPr="00446FF4" w:rsidRDefault="00446FF4" w:rsidP="00A74BDE">
            <w:pPr>
              <w:jc w:val="right"/>
              <w:rPr>
                <w:rFonts w:cs="Arial"/>
                <w:szCs w:val="22"/>
              </w:rPr>
            </w:pPr>
          </w:p>
        </w:tc>
        <w:tc>
          <w:tcPr>
            <w:tcW w:w="3090" w:type="dxa"/>
            <w:tcBorders>
              <w:top w:val="nil"/>
              <w:bottom w:val="single" w:sz="4" w:space="0" w:color="auto"/>
            </w:tcBorders>
            <w:shd w:val="clear" w:color="auto" w:fill="auto"/>
          </w:tcPr>
          <w:p w:rsidR="00446FF4" w:rsidRPr="00446FF4" w:rsidRDefault="00446FF4" w:rsidP="00A74BDE">
            <w:pPr>
              <w:rPr>
                <w:rFonts w:cs="Arial"/>
                <w:b/>
                <w:szCs w:val="22"/>
              </w:rPr>
            </w:pPr>
            <w:r w:rsidRPr="00446FF4">
              <w:rPr>
                <w:rFonts w:cs="Arial"/>
                <w:b/>
                <w:szCs w:val="22"/>
              </w:rPr>
              <w:t>of which</w:t>
            </w:r>
          </w:p>
        </w:tc>
        <w:tc>
          <w:tcPr>
            <w:tcW w:w="1701" w:type="dxa"/>
            <w:tcBorders>
              <w:top w:val="nil"/>
              <w:bottom w:val="single" w:sz="4" w:space="0" w:color="auto"/>
            </w:tcBorders>
          </w:tcPr>
          <w:p w:rsidR="00446FF4" w:rsidRPr="00446FF4" w:rsidRDefault="00446FF4" w:rsidP="00A74BDE">
            <w:pPr>
              <w:jc w:val="center"/>
              <w:rPr>
                <w:rFonts w:cs="Arial"/>
                <w:b/>
                <w:szCs w:val="22"/>
              </w:rPr>
            </w:pPr>
          </w:p>
        </w:tc>
      </w:tr>
      <w:tr w:rsidR="00446FF4" w:rsidRPr="00446FF4" w:rsidTr="00A74BDE">
        <w:tc>
          <w:tcPr>
            <w:tcW w:w="1746" w:type="dxa"/>
            <w:shd w:val="clear" w:color="auto" w:fill="auto"/>
          </w:tcPr>
          <w:p w:rsidR="00446FF4" w:rsidRPr="00446FF4" w:rsidRDefault="00446FF4" w:rsidP="00A74BDE">
            <w:pPr>
              <w:rPr>
                <w:rFonts w:cs="Arial"/>
                <w:b/>
                <w:szCs w:val="22"/>
              </w:rPr>
            </w:pPr>
            <w:r w:rsidRPr="00446FF4">
              <w:rPr>
                <w:rFonts w:cs="Arial"/>
                <w:b/>
                <w:szCs w:val="22"/>
              </w:rPr>
              <w:t>Discrimination</w:t>
            </w:r>
          </w:p>
        </w:tc>
        <w:tc>
          <w:tcPr>
            <w:tcW w:w="1258" w:type="dxa"/>
            <w:shd w:val="clear" w:color="auto" w:fill="auto"/>
          </w:tcPr>
          <w:p w:rsidR="00446FF4" w:rsidRPr="00446FF4" w:rsidRDefault="00446FF4" w:rsidP="00A74BDE">
            <w:pPr>
              <w:jc w:val="right"/>
              <w:rPr>
                <w:rFonts w:cs="Arial"/>
                <w:szCs w:val="22"/>
              </w:rPr>
            </w:pPr>
            <w:r w:rsidRPr="00446FF4">
              <w:rPr>
                <w:rFonts w:cs="Arial"/>
                <w:szCs w:val="22"/>
              </w:rPr>
              <w:t>131</w:t>
            </w:r>
          </w:p>
        </w:tc>
        <w:tc>
          <w:tcPr>
            <w:tcW w:w="1209" w:type="dxa"/>
            <w:shd w:val="clear" w:color="auto" w:fill="auto"/>
          </w:tcPr>
          <w:p w:rsidR="00446FF4" w:rsidRPr="00446FF4" w:rsidRDefault="00446FF4" w:rsidP="00A74BDE">
            <w:pPr>
              <w:jc w:val="right"/>
              <w:rPr>
                <w:rFonts w:cs="Arial"/>
                <w:szCs w:val="22"/>
              </w:rPr>
            </w:pPr>
            <w:r w:rsidRPr="00446FF4">
              <w:rPr>
                <w:rFonts w:cs="Arial"/>
                <w:szCs w:val="22"/>
              </w:rPr>
              <w:t>1</w:t>
            </w:r>
          </w:p>
        </w:tc>
        <w:tc>
          <w:tcPr>
            <w:tcW w:w="635" w:type="dxa"/>
            <w:tcBorders>
              <w:top w:val="nil"/>
              <w:bottom w:val="nil"/>
            </w:tcBorders>
            <w:shd w:val="clear" w:color="auto" w:fill="auto"/>
          </w:tcPr>
          <w:p w:rsidR="00446FF4" w:rsidRPr="00446FF4" w:rsidRDefault="00446FF4" w:rsidP="00A74BDE">
            <w:pPr>
              <w:jc w:val="right"/>
              <w:rPr>
                <w:rFonts w:cs="Arial"/>
                <w:szCs w:val="22"/>
              </w:rPr>
            </w:pPr>
          </w:p>
        </w:tc>
        <w:tc>
          <w:tcPr>
            <w:tcW w:w="3090" w:type="dxa"/>
            <w:tcBorders>
              <w:bottom w:val="single" w:sz="4" w:space="0" w:color="auto"/>
            </w:tcBorders>
            <w:shd w:val="clear" w:color="auto" w:fill="auto"/>
          </w:tcPr>
          <w:p w:rsidR="00446FF4" w:rsidRPr="00446FF4" w:rsidRDefault="00446FF4" w:rsidP="00A74BDE">
            <w:pPr>
              <w:rPr>
                <w:rFonts w:cs="Arial"/>
                <w:b/>
                <w:szCs w:val="22"/>
              </w:rPr>
            </w:pPr>
            <w:r w:rsidRPr="00446FF4">
              <w:rPr>
                <w:rFonts w:cs="Arial"/>
                <w:b/>
                <w:szCs w:val="22"/>
              </w:rPr>
              <w:t>Core funding:</w:t>
            </w:r>
          </w:p>
        </w:tc>
        <w:tc>
          <w:tcPr>
            <w:tcW w:w="1701" w:type="dxa"/>
            <w:tcBorders>
              <w:bottom w:val="single" w:sz="4" w:space="0" w:color="auto"/>
            </w:tcBorders>
          </w:tcPr>
          <w:p w:rsidR="00446FF4" w:rsidRPr="00446FF4" w:rsidRDefault="00446FF4" w:rsidP="00A74BDE">
            <w:pPr>
              <w:jc w:val="center"/>
              <w:rPr>
                <w:rFonts w:cs="Arial"/>
                <w:szCs w:val="22"/>
              </w:rPr>
            </w:pPr>
            <w:r w:rsidRPr="00446FF4">
              <w:rPr>
                <w:rFonts w:cs="Arial"/>
                <w:szCs w:val="22"/>
              </w:rPr>
              <w:t>249</w:t>
            </w:r>
          </w:p>
        </w:tc>
      </w:tr>
      <w:tr w:rsidR="00446FF4" w:rsidRPr="00446FF4" w:rsidTr="00A74BDE">
        <w:tc>
          <w:tcPr>
            <w:tcW w:w="1746" w:type="dxa"/>
            <w:shd w:val="clear" w:color="auto" w:fill="auto"/>
          </w:tcPr>
          <w:p w:rsidR="00446FF4" w:rsidRPr="00446FF4" w:rsidRDefault="00446FF4" w:rsidP="00A74BDE">
            <w:pPr>
              <w:rPr>
                <w:rFonts w:cs="Arial"/>
                <w:b/>
                <w:szCs w:val="22"/>
              </w:rPr>
            </w:pPr>
            <w:r w:rsidRPr="00446FF4">
              <w:rPr>
                <w:rFonts w:cs="Arial"/>
                <w:b/>
                <w:szCs w:val="22"/>
              </w:rPr>
              <w:t>Education</w:t>
            </w:r>
          </w:p>
        </w:tc>
        <w:tc>
          <w:tcPr>
            <w:tcW w:w="1258" w:type="dxa"/>
            <w:shd w:val="clear" w:color="auto" w:fill="auto"/>
          </w:tcPr>
          <w:p w:rsidR="00446FF4" w:rsidRPr="00446FF4" w:rsidRDefault="00446FF4" w:rsidP="00A74BDE">
            <w:pPr>
              <w:jc w:val="right"/>
              <w:rPr>
                <w:rFonts w:cs="Arial"/>
                <w:szCs w:val="22"/>
              </w:rPr>
            </w:pPr>
            <w:r w:rsidRPr="00446FF4">
              <w:rPr>
                <w:rFonts w:cs="Arial"/>
                <w:szCs w:val="22"/>
              </w:rPr>
              <w:t>115</w:t>
            </w:r>
          </w:p>
        </w:tc>
        <w:tc>
          <w:tcPr>
            <w:tcW w:w="1209" w:type="dxa"/>
            <w:shd w:val="clear" w:color="auto" w:fill="auto"/>
          </w:tcPr>
          <w:p w:rsidR="00446FF4" w:rsidRPr="00446FF4" w:rsidRDefault="00446FF4" w:rsidP="00A74BDE">
            <w:pPr>
              <w:jc w:val="right"/>
              <w:rPr>
                <w:rFonts w:cs="Arial"/>
                <w:szCs w:val="22"/>
              </w:rPr>
            </w:pPr>
            <w:r w:rsidRPr="00446FF4">
              <w:rPr>
                <w:rFonts w:cs="Arial"/>
                <w:szCs w:val="22"/>
              </w:rPr>
              <w:t>1</w:t>
            </w:r>
          </w:p>
        </w:tc>
        <w:tc>
          <w:tcPr>
            <w:tcW w:w="635" w:type="dxa"/>
            <w:tcBorders>
              <w:top w:val="nil"/>
              <w:bottom w:val="nil"/>
            </w:tcBorders>
            <w:shd w:val="clear" w:color="auto" w:fill="auto"/>
          </w:tcPr>
          <w:p w:rsidR="00446FF4" w:rsidRPr="00446FF4" w:rsidRDefault="00446FF4" w:rsidP="00A74BDE">
            <w:pPr>
              <w:jc w:val="right"/>
              <w:rPr>
                <w:rFonts w:cs="Arial"/>
                <w:szCs w:val="22"/>
              </w:rPr>
            </w:pPr>
          </w:p>
        </w:tc>
        <w:tc>
          <w:tcPr>
            <w:tcW w:w="3090" w:type="dxa"/>
            <w:tcBorders>
              <w:bottom w:val="single" w:sz="4" w:space="0" w:color="auto"/>
            </w:tcBorders>
            <w:shd w:val="clear" w:color="auto" w:fill="auto"/>
          </w:tcPr>
          <w:p w:rsidR="00446FF4" w:rsidRPr="00446FF4" w:rsidRDefault="00446FF4" w:rsidP="00A74BDE">
            <w:pPr>
              <w:rPr>
                <w:rFonts w:cs="Arial"/>
                <w:b/>
                <w:szCs w:val="22"/>
              </w:rPr>
            </w:pPr>
            <w:r w:rsidRPr="00446FF4">
              <w:rPr>
                <w:rFonts w:cs="Arial"/>
                <w:b/>
                <w:szCs w:val="22"/>
              </w:rPr>
              <w:t>External funding:</w:t>
            </w:r>
          </w:p>
        </w:tc>
        <w:tc>
          <w:tcPr>
            <w:tcW w:w="1701" w:type="dxa"/>
            <w:tcBorders>
              <w:bottom w:val="single" w:sz="4" w:space="0" w:color="auto"/>
            </w:tcBorders>
          </w:tcPr>
          <w:p w:rsidR="00446FF4" w:rsidRPr="00446FF4" w:rsidRDefault="00446FF4" w:rsidP="00A74BDE">
            <w:pPr>
              <w:jc w:val="center"/>
              <w:rPr>
                <w:rFonts w:cs="Arial"/>
                <w:szCs w:val="22"/>
              </w:rPr>
            </w:pPr>
            <w:r w:rsidRPr="00446FF4">
              <w:rPr>
                <w:rFonts w:cs="Arial"/>
                <w:szCs w:val="22"/>
              </w:rPr>
              <w:t>23</w:t>
            </w:r>
          </w:p>
        </w:tc>
      </w:tr>
      <w:tr w:rsidR="00446FF4" w:rsidRPr="00446FF4" w:rsidTr="00A74BDE">
        <w:tc>
          <w:tcPr>
            <w:tcW w:w="1746" w:type="dxa"/>
            <w:shd w:val="clear" w:color="auto" w:fill="auto"/>
          </w:tcPr>
          <w:p w:rsidR="00446FF4" w:rsidRPr="00446FF4" w:rsidRDefault="00446FF4" w:rsidP="00A74BDE">
            <w:pPr>
              <w:rPr>
                <w:rFonts w:cs="Arial"/>
                <w:b/>
                <w:szCs w:val="22"/>
              </w:rPr>
            </w:pPr>
            <w:r w:rsidRPr="00446FF4">
              <w:rPr>
                <w:rFonts w:cs="Arial"/>
                <w:b/>
                <w:szCs w:val="22"/>
              </w:rPr>
              <w:t>Employment</w:t>
            </w:r>
          </w:p>
        </w:tc>
        <w:tc>
          <w:tcPr>
            <w:tcW w:w="1258" w:type="dxa"/>
            <w:shd w:val="clear" w:color="auto" w:fill="auto"/>
          </w:tcPr>
          <w:p w:rsidR="00446FF4" w:rsidRPr="00446FF4" w:rsidRDefault="00446FF4" w:rsidP="00A74BDE">
            <w:pPr>
              <w:jc w:val="right"/>
              <w:rPr>
                <w:rFonts w:cs="Arial"/>
                <w:szCs w:val="22"/>
              </w:rPr>
            </w:pPr>
            <w:r w:rsidRPr="00446FF4">
              <w:rPr>
                <w:rFonts w:cs="Arial"/>
                <w:szCs w:val="22"/>
              </w:rPr>
              <w:t>1,471</w:t>
            </w:r>
          </w:p>
        </w:tc>
        <w:tc>
          <w:tcPr>
            <w:tcW w:w="1209" w:type="dxa"/>
            <w:shd w:val="clear" w:color="auto" w:fill="auto"/>
          </w:tcPr>
          <w:p w:rsidR="00446FF4" w:rsidRPr="00446FF4" w:rsidRDefault="00446FF4" w:rsidP="00A74BDE">
            <w:pPr>
              <w:jc w:val="right"/>
              <w:rPr>
                <w:rFonts w:cs="Arial"/>
                <w:szCs w:val="22"/>
              </w:rPr>
            </w:pPr>
            <w:r w:rsidRPr="00446FF4">
              <w:rPr>
                <w:rFonts w:cs="Arial"/>
                <w:szCs w:val="22"/>
              </w:rPr>
              <w:t>9</w:t>
            </w:r>
          </w:p>
        </w:tc>
        <w:tc>
          <w:tcPr>
            <w:tcW w:w="635" w:type="dxa"/>
            <w:tcBorders>
              <w:top w:val="nil"/>
              <w:bottom w:val="nil"/>
            </w:tcBorders>
            <w:shd w:val="clear" w:color="auto" w:fill="auto"/>
          </w:tcPr>
          <w:p w:rsidR="00446FF4" w:rsidRPr="00446FF4" w:rsidRDefault="00446FF4" w:rsidP="00A74BDE">
            <w:pPr>
              <w:jc w:val="right"/>
              <w:rPr>
                <w:rFonts w:cs="Arial"/>
                <w:szCs w:val="22"/>
              </w:rPr>
            </w:pPr>
          </w:p>
        </w:tc>
        <w:tc>
          <w:tcPr>
            <w:tcW w:w="3090" w:type="dxa"/>
            <w:tcBorders>
              <w:bottom w:val="nil"/>
              <w:right w:val="nil"/>
            </w:tcBorders>
            <w:shd w:val="clear" w:color="auto" w:fill="BFBFBF"/>
          </w:tcPr>
          <w:p w:rsidR="00446FF4" w:rsidRPr="00446FF4" w:rsidRDefault="00446FF4" w:rsidP="00A74BDE">
            <w:pPr>
              <w:rPr>
                <w:rFonts w:cs="Arial"/>
                <w:b/>
                <w:szCs w:val="22"/>
              </w:rPr>
            </w:pPr>
            <w:r w:rsidRPr="00446FF4">
              <w:rPr>
                <w:rFonts w:cs="Arial"/>
                <w:b/>
                <w:szCs w:val="22"/>
              </w:rPr>
              <w:t xml:space="preserve">Full time equivalent for </w:t>
            </w:r>
          </w:p>
        </w:tc>
        <w:tc>
          <w:tcPr>
            <w:tcW w:w="1701" w:type="dxa"/>
            <w:tcBorders>
              <w:bottom w:val="nil"/>
            </w:tcBorders>
          </w:tcPr>
          <w:p w:rsidR="00446FF4" w:rsidRPr="00446FF4" w:rsidRDefault="00446FF4" w:rsidP="00A74BDE">
            <w:pPr>
              <w:jc w:val="center"/>
              <w:rPr>
                <w:rFonts w:cs="Arial"/>
                <w:szCs w:val="22"/>
              </w:rPr>
            </w:pPr>
            <w:r w:rsidRPr="00446FF4">
              <w:rPr>
                <w:rFonts w:cs="Arial"/>
                <w:szCs w:val="22"/>
              </w:rPr>
              <w:t>6.7</w:t>
            </w:r>
          </w:p>
        </w:tc>
      </w:tr>
      <w:tr w:rsidR="00446FF4" w:rsidRPr="00446FF4" w:rsidTr="00A74BDE">
        <w:tc>
          <w:tcPr>
            <w:tcW w:w="1746" w:type="dxa"/>
            <w:shd w:val="clear" w:color="auto" w:fill="auto"/>
          </w:tcPr>
          <w:p w:rsidR="00446FF4" w:rsidRPr="00446FF4" w:rsidRDefault="00446FF4" w:rsidP="00A74BDE">
            <w:pPr>
              <w:rPr>
                <w:rFonts w:cs="Arial"/>
                <w:b/>
                <w:szCs w:val="22"/>
              </w:rPr>
            </w:pPr>
            <w:r w:rsidRPr="00446FF4">
              <w:rPr>
                <w:rFonts w:cs="Arial"/>
                <w:b/>
                <w:szCs w:val="22"/>
              </w:rPr>
              <w:t>Financial</w:t>
            </w:r>
          </w:p>
        </w:tc>
        <w:tc>
          <w:tcPr>
            <w:tcW w:w="1258" w:type="dxa"/>
            <w:shd w:val="clear" w:color="auto" w:fill="auto"/>
          </w:tcPr>
          <w:p w:rsidR="00446FF4" w:rsidRPr="00446FF4" w:rsidRDefault="00446FF4" w:rsidP="00A74BDE">
            <w:pPr>
              <w:jc w:val="right"/>
              <w:rPr>
                <w:rFonts w:cs="Arial"/>
                <w:szCs w:val="22"/>
              </w:rPr>
            </w:pPr>
            <w:r w:rsidRPr="00446FF4">
              <w:rPr>
                <w:rFonts w:cs="Arial"/>
                <w:szCs w:val="22"/>
              </w:rPr>
              <w:t>420</w:t>
            </w:r>
          </w:p>
        </w:tc>
        <w:tc>
          <w:tcPr>
            <w:tcW w:w="1209" w:type="dxa"/>
            <w:shd w:val="clear" w:color="auto" w:fill="auto"/>
          </w:tcPr>
          <w:p w:rsidR="00446FF4" w:rsidRPr="00446FF4" w:rsidRDefault="00446FF4" w:rsidP="00A74BDE">
            <w:pPr>
              <w:jc w:val="right"/>
              <w:rPr>
                <w:rFonts w:cs="Arial"/>
                <w:szCs w:val="22"/>
              </w:rPr>
            </w:pPr>
            <w:r w:rsidRPr="00446FF4">
              <w:rPr>
                <w:rFonts w:cs="Arial"/>
                <w:szCs w:val="22"/>
              </w:rPr>
              <w:t>2</w:t>
            </w:r>
          </w:p>
        </w:tc>
        <w:tc>
          <w:tcPr>
            <w:tcW w:w="635" w:type="dxa"/>
            <w:tcBorders>
              <w:top w:val="nil"/>
              <w:bottom w:val="nil"/>
            </w:tcBorders>
            <w:shd w:val="clear" w:color="auto" w:fill="auto"/>
          </w:tcPr>
          <w:p w:rsidR="00446FF4" w:rsidRPr="00446FF4" w:rsidRDefault="00446FF4" w:rsidP="00A74BDE">
            <w:pPr>
              <w:jc w:val="right"/>
              <w:rPr>
                <w:rFonts w:cs="Arial"/>
                <w:szCs w:val="22"/>
              </w:rPr>
            </w:pPr>
          </w:p>
        </w:tc>
        <w:tc>
          <w:tcPr>
            <w:tcW w:w="3090" w:type="dxa"/>
            <w:tcBorders>
              <w:top w:val="nil"/>
              <w:bottom w:val="single" w:sz="4" w:space="0" w:color="auto"/>
              <w:right w:val="single" w:sz="4" w:space="0" w:color="auto"/>
            </w:tcBorders>
            <w:shd w:val="pct25" w:color="auto" w:fill="auto"/>
          </w:tcPr>
          <w:p w:rsidR="00446FF4" w:rsidRPr="00446FF4" w:rsidRDefault="00446FF4" w:rsidP="00A74BDE">
            <w:pPr>
              <w:rPr>
                <w:rFonts w:cs="Arial"/>
                <w:b/>
                <w:szCs w:val="22"/>
              </w:rPr>
            </w:pPr>
            <w:r w:rsidRPr="00446FF4">
              <w:rPr>
                <w:rFonts w:cs="Arial"/>
                <w:b/>
                <w:szCs w:val="22"/>
              </w:rPr>
              <w:t>core hours</w:t>
            </w:r>
          </w:p>
        </w:tc>
        <w:tc>
          <w:tcPr>
            <w:tcW w:w="1701" w:type="dxa"/>
            <w:tcBorders>
              <w:top w:val="nil"/>
              <w:bottom w:val="single" w:sz="4" w:space="0" w:color="auto"/>
            </w:tcBorders>
          </w:tcPr>
          <w:p w:rsidR="00446FF4" w:rsidRPr="00446FF4" w:rsidRDefault="00446FF4" w:rsidP="00A74BDE">
            <w:pPr>
              <w:jc w:val="center"/>
              <w:rPr>
                <w:rFonts w:cs="Arial"/>
                <w:szCs w:val="22"/>
              </w:rPr>
            </w:pPr>
          </w:p>
        </w:tc>
      </w:tr>
      <w:tr w:rsidR="00446FF4" w:rsidRPr="00446FF4" w:rsidTr="00A74BDE">
        <w:tc>
          <w:tcPr>
            <w:tcW w:w="1746" w:type="dxa"/>
            <w:shd w:val="clear" w:color="auto" w:fill="auto"/>
          </w:tcPr>
          <w:p w:rsidR="00446FF4" w:rsidRPr="00446FF4" w:rsidRDefault="00446FF4" w:rsidP="00A74BDE">
            <w:pPr>
              <w:rPr>
                <w:rFonts w:cs="Arial"/>
                <w:b/>
                <w:szCs w:val="22"/>
              </w:rPr>
            </w:pPr>
            <w:r w:rsidRPr="00446FF4">
              <w:rPr>
                <w:rFonts w:cs="Arial"/>
                <w:b/>
                <w:szCs w:val="22"/>
              </w:rPr>
              <w:t>Health</w:t>
            </w:r>
          </w:p>
        </w:tc>
        <w:tc>
          <w:tcPr>
            <w:tcW w:w="1258" w:type="dxa"/>
            <w:shd w:val="clear" w:color="auto" w:fill="auto"/>
          </w:tcPr>
          <w:p w:rsidR="00446FF4" w:rsidRPr="00446FF4" w:rsidRDefault="00446FF4" w:rsidP="00A74BDE">
            <w:pPr>
              <w:jc w:val="right"/>
              <w:rPr>
                <w:rFonts w:cs="Arial"/>
                <w:szCs w:val="22"/>
              </w:rPr>
            </w:pPr>
            <w:r w:rsidRPr="00446FF4">
              <w:rPr>
                <w:rFonts w:cs="Arial"/>
                <w:szCs w:val="22"/>
              </w:rPr>
              <w:t>387</w:t>
            </w:r>
          </w:p>
        </w:tc>
        <w:tc>
          <w:tcPr>
            <w:tcW w:w="1209" w:type="dxa"/>
            <w:shd w:val="clear" w:color="auto" w:fill="auto"/>
          </w:tcPr>
          <w:p w:rsidR="00446FF4" w:rsidRPr="00446FF4" w:rsidRDefault="00446FF4" w:rsidP="00A74BDE">
            <w:pPr>
              <w:jc w:val="right"/>
              <w:rPr>
                <w:rFonts w:cs="Arial"/>
                <w:szCs w:val="22"/>
              </w:rPr>
            </w:pPr>
            <w:r w:rsidRPr="00446FF4">
              <w:rPr>
                <w:rFonts w:cs="Arial"/>
                <w:szCs w:val="22"/>
              </w:rPr>
              <w:t>2</w:t>
            </w:r>
          </w:p>
        </w:tc>
        <w:tc>
          <w:tcPr>
            <w:tcW w:w="635" w:type="dxa"/>
            <w:tcBorders>
              <w:top w:val="nil"/>
              <w:bottom w:val="nil"/>
            </w:tcBorders>
            <w:shd w:val="clear" w:color="auto" w:fill="auto"/>
          </w:tcPr>
          <w:p w:rsidR="00446FF4" w:rsidRPr="00446FF4" w:rsidRDefault="00446FF4" w:rsidP="00A74BDE">
            <w:pPr>
              <w:jc w:val="right"/>
              <w:rPr>
                <w:rFonts w:cs="Arial"/>
                <w:szCs w:val="22"/>
              </w:rPr>
            </w:pPr>
          </w:p>
        </w:tc>
        <w:tc>
          <w:tcPr>
            <w:tcW w:w="3090" w:type="dxa"/>
            <w:tcBorders>
              <w:top w:val="single" w:sz="4" w:space="0" w:color="auto"/>
              <w:bottom w:val="single" w:sz="4" w:space="0" w:color="auto"/>
              <w:right w:val="single" w:sz="4" w:space="0" w:color="auto"/>
            </w:tcBorders>
            <w:shd w:val="clear" w:color="auto" w:fill="FFFFFF"/>
          </w:tcPr>
          <w:p w:rsidR="00446FF4" w:rsidRPr="00446FF4" w:rsidRDefault="00446FF4" w:rsidP="00A74BDE">
            <w:pPr>
              <w:rPr>
                <w:rFonts w:cs="Arial"/>
                <w:b/>
                <w:szCs w:val="22"/>
              </w:rPr>
            </w:pPr>
          </w:p>
        </w:tc>
        <w:tc>
          <w:tcPr>
            <w:tcW w:w="1701" w:type="dxa"/>
            <w:tcBorders>
              <w:top w:val="single" w:sz="4" w:space="0" w:color="auto"/>
              <w:bottom w:val="single" w:sz="4" w:space="0" w:color="auto"/>
            </w:tcBorders>
          </w:tcPr>
          <w:p w:rsidR="00446FF4" w:rsidRPr="00446FF4" w:rsidRDefault="00446FF4" w:rsidP="00A74BDE">
            <w:pPr>
              <w:jc w:val="center"/>
              <w:rPr>
                <w:rFonts w:cs="Arial"/>
                <w:szCs w:val="22"/>
              </w:rPr>
            </w:pPr>
          </w:p>
        </w:tc>
      </w:tr>
      <w:tr w:rsidR="00446FF4" w:rsidRPr="00446FF4" w:rsidTr="00A74BDE">
        <w:tc>
          <w:tcPr>
            <w:tcW w:w="1746" w:type="dxa"/>
            <w:shd w:val="clear" w:color="auto" w:fill="auto"/>
          </w:tcPr>
          <w:p w:rsidR="00446FF4" w:rsidRPr="00446FF4" w:rsidRDefault="00446FF4" w:rsidP="00A74BDE">
            <w:pPr>
              <w:rPr>
                <w:rFonts w:cs="Arial"/>
                <w:b/>
                <w:szCs w:val="22"/>
              </w:rPr>
            </w:pPr>
            <w:r w:rsidRPr="00446FF4">
              <w:rPr>
                <w:rFonts w:cs="Arial"/>
                <w:b/>
                <w:szCs w:val="22"/>
              </w:rPr>
              <w:t>Housing</w:t>
            </w:r>
          </w:p>
        </w:tc>
        <w:tc>
          <w:tcPr>
            <w:tcW w:w="1258" w:type="dxa"/>
            <w:shd w:val="clear" w:color="auto" w:fill="auto"/>
          </w:tcPr>
          <w:p w:rsidR="00446FF4" w:rsidRPr="00446FF4" w:rsidRDefault="00446FF4" w:rsidP="00A74BDE">
            <w:pPr>
              <w:jc w:val="right"/>
              <w:rPr>
                <w:rFonts w:cs="Arial"/>
                <w:szCs w:val="22"/>
              </w:rPr>
            </w:pPr>
            <w:r w:rsidRPr="00446FF4">
              <w:rPr>
                <w:rFonts w:cs="Arial"/>
                <w:szCs w:val="22"/>
              </w:rPr>
              <w:t>1,986</w:t>
            </w:r>
          </w:p>
        </w:tc>
        <w:tc>
          <w:tcPr>
            <w:tcW w:w="1209" w:type="dxa"/>
            <w:shd w:val="clear" w:color="auto" w:fill="auto"/>
          </w:tcPr>
          <w:p w:rsidR="00446FF4" w:rsidRPr="00446FF4" w:rsidRDefault="00446FF4" w:rsidP="00A74BDE">
            <w:pPr>
              <w:jc w:val="right"/>
              <w:rPr>
                <w:rFonts w:cs="Arial"/>
                <w:szCs w:val="22"/>
              </w:rPr>
            </w:pPr>
            <w:r w:rsidRPr="00446FF4">
              <w:rPr>
                <w:rFonts w:cs="Arial"/>
                <w:szCs w:val="22"/>
              </w:rPr>
              <w:t>11</w:t>
            </w:r>
          </w:p>
        </w:tc>
        <w:tc>
          <w:tcPr>
            <w:tcW w:w="635" w:type="dxa"/>
            <w:tcBorders>
              <w:top w:val="nil"/>
              <w:bottom w:val="nil"/>
            </w:tcBorders>
            <w:shd w:val="clear" w:color="auto" w:fill="auto"/>
          </w:tcPr>
          <w:p w:rsidR="00446FF4" w:rsidRPr="00446FF4" w:rsidRDefault="00446FF4" w:rsidP="00A74BDE">
            <w:pPr>
              <w:jc w:val="right"/>
              <w:rPr>
                <w:rFonts w:cs="Arial"/>
                <w:szCs w:val="22"/>
              </w:rPr>
            </w:pPr>
          </w:p>
        </w:tc>
        <w:tc>
          <w:tcPr>
            <w:tcW w:w="3090" w:type="dxa"/>
            <w:tcBorders>
              <w:top w:val="single" w:sz="4" w:space="0" w:color="auto"/>
              <w:bottom w:val="nil"/>
              <w:right w:val="nil"/>
            </w:tcBorders>
            <w:shd w:val="clear" w:color="auto" w:fill="auto"/>
          </w:tcPr>
          <w:p w:rsidR="00446FF4" w:rsidRPr="00446FF4" w:rsidRDefault="00446FF4" w:rsidP="00A74BDE">
            <w:pPr>
              <w:rPr>
                <w:rFonts w:cs="Arial"/>
                <w:b/>
                <w:szCs w:val="22"/>
              </w:rPr>
            </w:pPr>
            <w:r w:rsidRPr="00446FF4">
              <w:rPr>
                <w:rFonts w:cs="Arial"/>
                <w:b/>
                <w:szCs w:val="22"/>
              </w:rPr>
              <w:t>VOLUNTARY HOURS</w:t>
            </w:r>
          </w:p>
        </w:tc>
        <w:tc>
          <w:tcPr>
            <w:tcW w:w="1701" w:type="dxa"/>
            <w:tcBorders>
              <w:top w:val="single" w:sz="4" w:space="0" w:color="auto"/>
              <w:bottom w:val="nil"/>
            </w:tcBorders>
          </w:tcPr>
          <w:p w:rsidR="00446FF4" w:rsidRPr="00446FF4" w:rsidRDefault="00446FF4" w:rsidP="00A74BDE">
            <w:pPr>
              <w:jc w:val="center"/>
              <w:rPr>
                <w:rFonts w:cs="Arial"/>
                <w:szCs w:val="22"/>
              </w:rPr>
            </w:pPr>
            <w:r w:rsidRPr="00446FF4">
              <w:rPr>
                <w:rFonts w:cs="Arial"/>
                <w:b/>
                <w:szCs w:val="22"/>
              </w:rPr>
              <w:t>Nos         Hrs</w:t>
            </w:r>
          </w:p>
        </w:tc>
      </w:tr>
      <w:tr w:rsidR="00446FF4" w:rsidRPr="00446FF4" w:rsidTr="00A74BDE">
        <w:tc>
          <w:tcPr>
            <w:tcW w:w="1746" w:type="dxa"/>
            <w:tcBorders>
              <w:bottom w:val="single" w:sz="4" w:space="0" w:color="auto"/>
            </w:tcBorders>
            <w:shd w:val="clear" w:color="auto" w:fill="auto"/>
          </w:tcPr>
          <w:p w:rsidR="00446FF4" w:rsidRPr="00446FF4" w:rsidRDefault="00446FF4" w:rsidP="00A74BDE">
            <w:pPr>
              <w:rPr>
                <w:rFonts w:cs="Arial"/>
                <w:b/>
                <w:szCs w:val="22"/>
              </w:rPr>
            </w:pPr>
            <w:r w:rsidRPr="00446FF4">
              <w:rPr>
                <w:rFonts w:cs="Arial"/>
                <w:b/>
                <w:szCs w:val="22"/>
              </w:rPr>
              <w:t>Immigration</w:t>
            </w:r>
          </w:p>
        </w:tc>
        <w:tc>
          <w:tcPr>
            <w:tcW w:w="1258" w:type="dxa"/>
            <w:tcBorders>
              <w:bottom w:val="single" w:sz="4" w:space="0" w:color="auto"/>
            </w:tcBorders>
            <w:shd w:val="clear" w:color="auto" w:fill="auto"/>
          </w:tcPr>
          <w:p w:rsidR="00446FF4" w:rsidRPr="00446FF4" w:rsidRDefault="00446FF4" w:rsidP="00A74BDE">
            <w:pPr>
              <w:jc w:val="right"/>
              <w:rPr>
                <w:rFonts w:cs="Arial"/>
                <w:szCs w:val="22"/>
              </w:rPr>
            </w:pPr>
            <w:r w:rsidRPr="00446FF4">
              <w:rPr>
                <w:rFonts w:cs="Arial"/>
                <w:szCs w:val="22"/>
              </w:rPr>
              <w:t>250</w:t>
            </w:r>
          </w:p>
        </w:tc>
        <w:tc>
          <w:tcPr>
            <w:tcW w:w="1209" w:type="dxa"/>
            <w:tcBorders>
              <w:bottom w:val="single" w:sz="4" w:space="0" w:color="auto"/>
            </w:tcBorders>
            <w:shd w:val="clear" w:color="auto" w:fill="auto"/>
          </w:tcPr>
          <w:p w:rsidR="00446FF4" w:rsidRPr="00446FF4" w:rsidRDefault="00446FF4" w:rsidP="00A74BDE">
            <w:pPr>
              <w:jc w:val="right"/>
              <w:rPr>
                <w:rFonts w:cs="Arial"/>
                <w:szCs w:val="22"/>
              </w:rPr>
            </w:pPr>
            <w:r w:rsidRPr="00446FF4">
              <w:rPr>
                <w:rFonts w:cs="Arial"/>
                <w:szCs w:val="22"/>
              </w:rPr>
              <w:t>1</w:t>
            </w:r>
          </w:p>
        </w:tc>
        <w:tc>
          <w:tcPr>
            <w:tcW w:w="635" w:type="dxa"/>
            <w:tcBorders>
              <w:top w:val="nil"/>
              <w:bottom w:val="nil"/>
            </w:tcBorders>
            <w:shd w:val="clear" w:color="auto" w:fill="auto"/>
          </w:tcPr>
          <w:p w:rsidR="00446FF4" w:rsidRPr="00446FF4" w:rsidRDefault="00446FF4" w:rsidP="00A74BDE">
            <w:pPr>
              <w:jc w:val="right"/>
              <w:rPr>
                <w:rFonts w:cs="Arial"/>
                <w:szCs w:val="22"/>
              </w:rPr>
            </w:pPr>
          </w:p>
        </w:tc>
        <w:tc>
          <w:tcPr>
            <w:tcW w:w="3090" w:type="dxa"/>
            <w:tcBorders>
              <w:top w:val="nil"/>
              <w:bottom w:val="single" w:sz="4" w:space="0" w:color="auto"/>
              <w:right w:val="single" w:sz="4" w:space="0" w:color="auto"/>
            </w:tcBorders>
            <w:shd w:val="clear" w:color="auto" w:fill="auto"/>
          </w:tcPr>
          <w:p w:rsidR="00446FF4" w:rsidRPr="00446FF4" w:rsidRDefault="00446FF4" w:rsidP="00A74BDE">
            <w:pPr>
              <w:rPr>
                <w:rFonts w:cs="Arial"/>
                <w:b/>
                <w:szCs w:val="22"/>
              </w:rPr>
            </w:pPr>
            <w:r w:rsidRPr="00446FF4">
              <w:rPr>
                <w:rFonts w:cs="Arial"/>
                <w:b/>
                <w:szCs w:val="22"/>
              </w:rPr>
              <w:t>per week</w:t>
            </w:r>
          </w:p>
        </w:tc>
        <w:tc>
          <w:tcPr>
            <w:tcW w:w="1701" w:type="dxa"/>
            <w:tcBorders>
              <w:top w:val="nil"/>
              <w:bottom w:val="single" w:sz="4" w:space="0" w:color="auto"/>
            </w:tcBorders>
          </w:tcPr>
          <w:p w:rsidR="00446FF4" w:rsidRPr="00446FF4" w:rsidRDefault="00446FF4" w:rsidP="00A74BDE">
            <w:pPr>
              <w:rPr>
                <w:rFonts w:cs="Arial"/>
                <w:b/>
                <w:szCs w:val="22"/>
              </w:rPr>
            </w:pPr>
          </w:p>
        </w:tc>
      </w:tr>
      <w:tr w:rsidR="00446FF4" w:rsidRPr="00446FF4" w:rsidTr="00A74BDE">
        <w:trPr>
          <w:trHeight w:val="245"/>
        </w:trPr>
        <w:tc>
          <w:tcPr>
            <w:tcW w:w="1746" w:type="dxa"/>
            <w:shd w:val="clear" w:color="auto" w:fill="auto"/>
          </w:tcPr>
          <w:p w:rsidR="00446FF4" w:rsidRPr="00446FF4" w:rsidRDefault="00446FF4" w:rsidP="00A74BDE">
            <w:pPr>
              <w:rPr>
                <w:rFonts w:cs="Arial"/>
                <w:b/>
                <w:szCs w:val="22"/>
              </w:rPr>
            </w:pPr>
            <w:r w:rsidRPr="00446FF4">
              <w:rPr>
                <w:rFonts w:cs="Arial"/>
                <w:b/>
                <w:szCs w:val="22"/>
              </w:rPr>
              <w:t>Legal</w:t>
            </w:r>
          </w:p>
        </w:tc>
        <w:tc>
          <w:tcPr>
            <w:tcW w:w="1258" w:type="dxa"/>
            <w:shd w:val="clear" w:color="auto" w:fill="auto"/>
          </w:tcPr>
          <w:p w:rsidR="00446FF4" w:rsidRPr="00446FF4" w:rsidRDefault="00446FF4" w:rsidP="00A74BDE">
            <w:pPr>
              <w:jc w:val="right"/>
              <w:rPr>
                <w:rFonts w:cs="Arial"/>
                <w:szCs w:val="22"/>
              </w:rPr>
            </w:pPr>
            <w:r w:rsidRPr="00446FF4">
              <w:rPr>
                <w:rFonts w:cs="Arial"/>
                <w:szCs w:val="22"/>
              </w:rPr>
              <w:t>921</w:t>
            </w:r>
          </w:p>
        </w:tc>
        <w:tc>
          <w:tcPr>
            <w:tcW w:w="1209" w:type="dxa"/>
            <w:shd w:val="clear" w:color="auto" w:fill="auto"/>
          </w:tcPr>
          <w:p w:rsidR="00446FF4" w:rsidRPr="00446FF4" w:rsidRDefault="00446FF4" w:rsidP="00A74BDE">
            <w:pPr>
              <w:jc w:val="right"/>
              <w:rPr>
                <w:rFonts w:cs="Arial"/>
                <w:szCs w:val="22"/>
              </w:rPr>
            </w:pPr>
            <w:r w:rsidRPr="00446FF4">
              <w:rPr>
                <w:rFonts w:cs="Arial"/>
                <w:szCs w:val="22"/>
              </w:rPr>
              <w:t>5</w:t>
            </w:r>
          </w:p>
        </w:tc>
        <w:tc>
          <w:tcPr>
            <w:tcW w:w="635" w:type="dxa"/>
            <w:tcBorders>
              <w:top w:val="nil"/>
              <w:bottom w:val="nil"/>
            </w:tcBorders>
            <w:shd w:val="clear" w:color="auto" w:fill="auto"/>
          </w:tcPr>
          <w:p w:rsidR="00446FF4" w:rsidRPr="00446FF4" w:rsidRDefault="00446FF4" w:rsidP="00A74BDE">
            <w:pPr>
              <w:jc w:val="right"/>
              <w:rPr>
                <w:rFonts w:cs="Arial"/>
                <w:szCs w:val="22"/>
              </w:rPr>
            </w:pPr>
          </w:p>
        </w:tc>
        <w:tc>
          <w:tcPr>
            <w:tcW w:w="3090" w:type="dxa"/>
            <w:tcBorders>
              <w:top w:val="single" w:sz="4" w:space="0" w:color="auto"/>
              <w:right w:val="single" w:sz="4" w:space="0" w:color="auto"/>
            </w:tcBorders>
            <w:shd w:val="clear" w:color="auto" w:fill="auto"/>
          </w:tcPr>
          <w:p w:rsidR="00446FF4" w:rsidRPr="00446FF4" w:rsidRDefault="00446FF4" w:rsidP="00A74BDE">
            <w:pPr>
              <w:rPr>
                <w:rFonts w:cs="Arial"/>
                <w:b/>
                <w:szCs w:val="22"/>
              </w:rPr>
            </w:pPr>
            <w:r w:rsidRPr="00446FF4">
              <w:rPr>
                <w:rFonts w:cs="Arial"/>
                <w:b/>
                <w:szCs w:val="22"/>
              </w:rPr>
              <w:t>Advisers</w:t>
            </w:r>
          </w:p>
        </w:tc>
        <w:tc>
          <w:tcPr>
            <w:tcW w:w="1701" w:type="dxa"/>
            <w:tcBorders>
              <w:top w:val="single" w:sz="4" w:space="0" w:color="auto"/>
            </w:tcBorders>
          </w:tcPr>
          <w:p w:rsidR="00446FF4" w:rsidRPr="00446FF4" w:rsidRDefault="00446FF4" w:rsidP="00A74BDE">
            <w:pPr>
              <w:rPr>
                <w:rFonts w:cs="Arial"/>
                <w:b/>
                <w:szCs w:val="22"/>
              </w:rPr>
            </w:pPr>
            <w:r w:rsidRPr="00446FF4">
              <w:rPr>
                <w:rFonts w:cs="Arial"/>
                <w:szCs w:val="22"/>
              </w:rPr>
              <w:t>70              576</w:t>
            </w:r>
          </w:p>
        </w:tc>
      </w:tr>
      <w:tr w:rsidR="00446FF4" w:rsidRPr="00446FF4" w:rsidTr="00A74BDE">
        <w:tc>
          <w:tcPr>
            <w:tcW w:w="1746" w:type="dxa"/>
            <w:shd w:val="clear" w:color="auto" w:fill="auto"/>
          </w:tcPr>
          <w:p w:rsidR="00446FF4" w:rsidRPr="00446FF4" w:rsidRDefault="00446FF4" w:rsidP="00A74BDE">
            <w:pPr>
              <w:rPr>
                <w:rFonts w:cs="Arial"/>
                <w:b/>
                <w:szCs w:val="22"/>
              </w:rPr>
            </w:pPr>
            <w:r w:rsidRPr="00446FF4">
              <w:rPr>
                <w:rFonts w:cs="Arial"/>
                <w:b/>
                <w:szCs w:val="22"/>
              </w:rPr>
              <w:t>Relationships</w:t>
            </w:r>
          </w:p>
        </w:tc>
        <w:tc>
          <w:tcPr>
            <w:tcW w:w="1258" w:type="dxa"/>
            <w:shd w:val="clear" w:color="auto" w:fill="auto"/>
          </w:tcPr>
          <w:p w:rsidR="00446FF4" w:rsidRPr="00446FF4" w:rsidRDefault="00446FF4" w:rsidP="00A74BDE">
            <w:pPr>
              <w:jc w:val="right"/>
              <w:rPr>
                <w:rFonts w:cs="Arial"/>
                <w:szCs w:val="22"/>
              </w:rPr>
            </w:pPr>
            <w:r w:rsidRPr="00446FF4">
              <w:rPr>
                <w:rFonts w:cs="Arial"/>
                <w:szCs w:val="22"/>
              </w:rPr>
              <w:t>1,360</w:t>
            </w:r>
          </w:p>
        </w:tc>
        <w:tc>
          <w:tcPr>
            <w:tcW w:w="1209" w:type="dxa"/>
            <w:shd w:val="clear" w:color="auto" w:fill="auto"/>
          </w:tcPr>
          <w:p w:rsidR="00446FF4" w:rsidRPr="00446FF4" w:rsidRDefault="00446FF4" w:rsidP="00A74BDE">
            <w:pPr>
              <w:jc w:val="right"/>
              <w:rPr>
                <w:rFonts w:cs="Arial"/>
                <w:szCs w:val="22"/>
              </w:rPr>
            </w:pPr>
            <w:r w:rsidRPr="00446FF4">
              <w:rPr>
                <w:rFonts w:cs="Arial"/>
                <w:szCs w:val="22"/>
              </w:rPr>
              <w:t>8</w:t>
            </w:r>
          </w:p>
        </w:tc>
        <w:tc>
          <w:tcPr>
            <w:tcW w:w="635" w:type="dxa"/>
            <w:tcBorders>
              <w:top w:val="nil"/>
              <w:bottom w:val="nil"/>
            </w:tcBorders>
            <w:shd w:val="clear" w:color="auto" w:fill="auto"/>
          </w:tcPr>
          <w:p w:rsidR="00446FF4" w:rsidRPr="00446FF4" w:rsidRDefault="00446FF4" w:rsidP="00A74BDE">
            <w:pPr>
              <w:jc w:val="right"/>
              <w:rPr>
                <w:rFonts w:cs="Arial"/>
                <w:szCs w:val="22"/>
              </w:rPr>
            </w:pPr>
          </w:p>
        </w:tc>
        <w:tc>
          <w:tcPr>
            <w:tcW w:w="3090" w:type="dxa"/>
            <w:tcBorders>
              <w:top w:val="single" w:sz="4" w:space="0" w:color="auto"/>
              <w:right w:val="single" w:sz="4" w:space="0" w:color="auto"/>
            </w:tcBorders>
            <w:shd w:val="clear" w:color="auto" w:fill="auto"/>
          </w:tcPr>
          <w:p w:rsidR="00446FF4" w:rsidRPr="00446FF4" w:rsidRDefault="00446FF4" w:rsidP="00A74BDE">
            <w:pPr>
              <w:rPr>
                <w:rFonts w:cs="Arial"/>
                <w:b/>
                <w:szCs w:val="22"/>
              </w:rPr>
            </w:pPr>
            <w:r w:rsidRPr="00446FF4">
              <w:rPr>
                <w:rFonts w:cs="Arial"/>
                <w:b/>
                <w:szCs w:val="22"/>
              </w:rPr>
              <w:t>Administration</w:t>
            </w:r>
          </w:p>
        </w:tc>
        <w:tc>
          <w:tcPr>
            <w:tcW w:w="1701" w:type="dxa"/>
            <w:tcBorders>
              <w:top w:val="single" w:sz="4" w:space="0" w:color="auto"/>
            </w:tcBorders>
          </w:tcPr>
          <w:p w:rsidR="00446FF4" w:rsidRPr="00446FF4" w:rsidRDefault="00446FF4" w:rsidP="00A74BDE">
            <w:pPr>
              <w:rPr>
                <w:rFonts w:cs="Arial"/>
                <w:b/>
                <w:szCs w:val="22"/>
              </w:rPr>
            </w:pPr>
            <w:r w:rsidRPr="00446FF4">
              <w:rPr>
                <w:rFonts w:cs="Arial"/>
                <w:szCs w:val="22"/>
              </w:rPr>
              <w:t>2                 10</w:t>
            </w:r>
          </w:p>
        </w:tc>
      </w:tr>
      <w:tr w:rsidR="00446FF4" w:rsidRPr="00446FF4" w:rsidTr="00A74BDE">
        <w:tc>
          <w:tcPr>
            <w:tcW w:w="1746" w:type="dxa"/>
            <w:shd w:val="clear" w:color="auto" w:fill="auto"/>
          </w:tcPr>
          <w:p w:rsidR="00446FF4" w:rsidRPr="00446FF4" w:rsidRDefault="00446FF4" w:rsidP="00A74BDE">
            <w:pPr>
              <w:rPr>
                <w:rFonts w:cs="Arial"/>
                <w:b/>
                <w:szCs w:val="22"/>
              </w:rPr>
            </w:pPr>
            <w:r w:rsidRPr="00446FF4">
              <w:rPr>
                <w:rFonts w:cs="Arial"/>
                <w:b/>
                <w:szCs w:val="22"/>
              </w:rPr>
              <w:t>Tax</w:t>
            </w:r>
          </w:p>
        </w:tc>
        <w:tc>
          <w:tcPr>
            <w:tcW w:w="1258" w:type="dxa"/>
            <w:shd w:val="clear" w:color="auto" w:fill="auto"/>
          </w:tcPr>
          <w:p w:rsidR="00446FF4" w:rsidRPr="00446FF4" w:rsidRDefault="00446FF4" w:rsidP="00A74BDE">
            <w:pPr>
              <w:jc w:val="right"/>
              <w:rPr>
                <w:rFonts w:cs="Arial"/>
                <w:szCs w:val="22"/>
              </w:rPr>
            </w:pPr>
            <w:r w:rsidRPr="00446FF4">
              <w:rPr>
                <w:rFonts w:cs="Arial"/>
                <w:szCs w:val="22"/>
              </w:rPr>
              <w:t>275</w:t>
            </w:r>
          </w:p>
        </w:tc>
        <w:tc>
          <w:tcPr>
            <w:tcW w:w="1209" w:type="dxa"/>
            <w:shd w:val="clear" w:color="auto" w:fill="auto"/>
          </w:tcPr>
          <w:p w:rsidR="00446FF4" w:rsidRPr="00446FF4" w:rsidRDefault="00446FF4" w:rsidP="00A74BDE">
            <w:pPr>
              <w:jc w:val="right"/>
              <w:rPr>
                <w:rFonts w:cs="Arial"/>
                <w:szCs w:val="22"/>
              </w:rPr>
            </w:pPr>
            <w:r w:rsidRPr="00446FF4">
              <w:rPr>
                <w:rFonts w:cs="Arial"/>
                <w:szCs w:val="22"/>
              </w:rPr>
              <w:t>2</w:t>
            </w:r>
          </w:p>
        </w:tc>
        <w:tc>
          <w:tcPr>
            <w:tcW w:w="635" w:type="dxa"/>
            <w:tcBorders>
              <w:top w:val="nil"/>
              <w:bottom w:val="nil"/>
            </w:tcBorders>
            <w:shd w:val="clear" w:color="auto" w:fill="auto"/>
          </w:tcPr>
          <w:p w:rsidR="00446FF4" w:rsidRPr="00446FF4" w:rsidRDefault="00446FF4" w:rsidP="00A74BDE">
            <w:pPr>
              <w:jc w:val="right"/>
              <w:rPr>
                <w:rFonts w:cs="Arial"/>
                <w:szCs w:val="22"/>
              </w:rPr>
            </w:pPr>
          </w:p>
        </w:tc>
        <w:tc>
          <w:tcPr>
            <w:tcW w:w="3090" w:type="dxa"/>
            <w:shd w:val="clear" w:color="auto" w:fill="auto"/>
          </w:tcPr>
          <w:p w:rsidR="00446FF4" w:rsidRPr="00446FF4" w:rsidRDefault="00446FF4" w:rsidP="00A74BDE">
            <w:pPr>
              <w:rPr>
                <w:rFonts w:cs="Arial"/>
                <w:b/>
                <w:szCs w:val="22"/>
              </w:rPr>
            </w:pPr>
            <w:r w:rsidRPr="00446FF4">
              <w:rPr>
                <w:rFonts w:cs="Arial"/>
                <w:b/>
                <w:szCs w:val="22"/>
              </w:rPr>
              <w:t>Trainees</w:t>
            </w:r>
          </w:p>
        </w:tc>
        <w:tc>
          <w:tcPr>
            <w:tcW w:w="1701" w:type="dxa"/>
          </w:tcPr>
          <w:p w:rsidR="00446FF4" w:rsidRPr="00446FF4" w:rsidRDefault="00446FF4" w:rsidP="00A74BDE">
            <w:pPr>
              <w:rPr>
                <w:rFonts w:cs="Arial"/>
                <w:szCs w:val="22"/>
              </w:rPr>
            </w:pPr>
            <w:r w:rsidRPr="00446FF4">
              <w:rPr>
                <w:rFonts w:cs="Arial"/>
                <w:szCs w:val="22"/>
              </w:rPr>
              <w:t>5                 27</w:t>
            </w:r>
          </w:p>
        </w:tc>
      </w:tr>
      <w:tr w:rsidR="00446FF4" w:rsidRPr="00446FF4" w:rsidTr="00A74BDE">
        <w:tc>
          <w:tcPr>
            <w:tcW w:w="1746" w:type="dxa"/>
            <w:shd w:val="clear" w:color="auto" w:fill="auto"/>
          </w:tcPr>
          <w:p w:rsidR="00446FF4" w:rsidRPr="00446FF4" w:rsidRDefault="00446FF4" w:rsidP="00A74BDE">
            <w:pPr>
              <w:rPr>
                <w:rFonts w:cs="Arial"/>
                <w:b/>
                <w:szCs w:val="22"/>
              </w:rPr>
            </w:pPr>
            <w:r w:rsidRPr="00446FF4">
              <w:rPr>
                <w:rFonts w:cs="Arial"/>
                <w:b/>
                <w:szCs w:val="22"/>
              </w:rPr>
              <w:t>Travel</w:t>
            </w:r>
          </w:p>
        </w:tc>
        <w:tc>
          <w:tcPr>
            <w:tcW w:w="1258" w:type="dxa"/>
            <w:shd w:val="clear" w:color="auto" w:fill="auto"/>
          </w:tcPr>
          <w:p w:rsidR="00446FF4" w:rsidRPr="00446FF4" w:rsidRDefault="00446FF4" w:rsidP="00A74BDE">
            <w:pPr>
              <w:jc w:val="right"/>
              <w:rPr>
                <w:rFonts w:cs="Arial"/>
                <w:szCs w:val="22"/>
              </w:rPr>
            </w:pPr>
            <w:r w:rsidRPr="00446FF4">
              <w:rPr>
                <w:rFonts w:cs="Arial"/>
                <w:szCs w:val="22"/>
              </w:rPr>
              <w:t>335</w:t>
            </w:r>
          </w:p>
        </w:tc>
        <w:tc>
          <w:tcPr>
            <w:tcW w:w="1209" w:type="dxa"/>
            <w:shd w:val="clear" w:color="auto" w:fill="auto"/>
          </w:tcPr>
          <w:p w:rsidR="00446FF4" w:rsidRPr="00446FF4" w:rsidRDefault="00446FF4" w:rsidP="00A74BDE">
            <w:pPr>
              <w:jc w:val="right"/>
              <w:rPr>
                <w:rFonts w:cs="Arial"/>
                <w:szCs w:val="22"/>
              </w:rPr>
            </w:pPr>
            <w:r w:rsidRPr="00446FF4">
              <w:rPr>
                <w:rFonts w:cs="Arial"/>
                <w:szCs w:val="22"/>
              </w:rPr>
              <w:t>2</w:t>
            </w:r>
          </w:p>
        </w:tc>
        <w:tc>
          <w:tcPr>
            <w:tcW w:w="635" w:type="dxa"/>
            <w:tcBorders>
              <w:top w:val="nil"/>
              <w:bottom w:val="nil"/>
            </w:tcBorders>
            <w:shd w:val="clear" w:color="auto" w:fill="auto"/>
          </w:tcPr>
          <w:p w:rsidR="00446FF4" w:rsidRPr="00446FF4" w:rsidRDefault="00446FF4" w:rsidP="00A74BDE">
            <w:pPr>
              <w:jc w:val="right"/>
              <w:rPr>
                <w:rFonts w:cs="Arial"/>
                <w:szCs w:val="22"/>
              </w:rPr>
            </w:pPr>
          </w:p>
        </w:tc>
        <w:tc>
          <w:tcPr>
            <w:tcW w:w="3090" w:type="dxa"/>
            <w:shd w:val="clear" w:color="auto" w:fill="auto"/>
          </w:tcPr>
          <w:p w:rsidR="00446FF4" w:rsidRPr="00446FF4" w:rsidRDefault="00446FF4" w:rsidP="00A74BDE">
            <w:pPr>
              <w:rPr>
                <w:rFonts w:cs="Arial"/>
                <w:b/>
                <w:szCs w:val="22"/>
              </w:rPr>
            </w:pPr>
            <w:r w:rsidRPr="00446FF4">
              <w:rPr>
                <w:rFonts w:cs="Arial"/>
                <w:b/>
                <w:szCs w:val="22"/>
              </w:rPr>
              <w:t>Trustees</w:t>
            </w:r>
          </w:p>
        </w:tc>
        <w:tc>
          <w:tcPr>
            <w:tcW w:w="1701" w:type="dxa"/>
          </w:tcPr>
          <w:p w:rsidR="00446FF4" w:rsidRPr="00446FF4" w:rsidRDefault="00446FF4" w:rsidP="00A74BDE">
            <w:pPr>
              <w:rPr>
                <w:rFonts w:cs="Arial"/>
                <w:szCs w:val="22"/>
              </w:rPr>
            </w:pPr>
            <w:r w:rsidRPr="00446FF4">
              <w:rPr>
                <w:rFonts w:cs="Arial"/>
                <w:szCs w:val="22"/>
              </w:rPr>
              <w:t>8                   4</w:t>
            </w:r>
          </w:p>
        </w:tc>
      </w:tr>
      <w:tr w:rsidR="00446FF4" w:rsidRPr="00446FF4" w:rsidTr="00A74BDE">
        <w:tc>
          <w:tcPr>
            <w:tcW w:w="1746" w:type="dxa"/>
            <w:tcBorders>
              <w:bottom w:val="single" w:sz="4" w:space="0" w:color="auto"/>
            </w:tcBorders>
            <w:shd w:val="clear" w:color="auto" w:fill="auto"/>
          </w:tcPr>
          <w:p w:rsidR="00446FF4" w:rsidRPr="00446FF4" w:rsidRDefault="00446FF4" w:rsidP="00A74BDE">
            <w:pPr>
              <w:rPr>
                <w:rFonts w:cs="Arial"/>
                <w:b/>
                <w:szCs w:val="22"/>
              </w:rPr>
            </w:pPr>
            <w:r w:rsidRPr="00446FF4">
              <w:rPr>
                <w:rFonts w:cs="Arial"/>
                <w:b/>
                <w:szCs w:val="22"/>
              </w:rPr>
              <w:t>Utilities</w:t>
            </w:r>
          </w:p>
        </w:tc>
        <w:tc>
          <w:tcPr>
            <w:tcW w:w="1258" w:type="dxa"/>
            <w:tcBorders>
              <w:bottom w:val="single" w:sz="4" w:space="0" w:color="auto"/>
            </w:tcBorders>
            <w:shd w:val="clear" w:color="auto" w:fill="auto"/>
          </w:tcPr>
          <w:p w:rsidR="00446FF4" w:rsidRPr="00446FF4" w:rsidRDefault="00446FF4" w:rsidP="00A74BDE">
            <w:pPr>
              <w:jc w:val="right"/>
              <w:rPr>
                <w:rFonts w:cs="Arial"/>
                <w:szCs w:val="22"/>
              </w:rPr>
            </w:pPr>
            <w:r w:rsidRPr="00446FF4">
              <w:rPr>
                <w:rFonts w:cs="Arial"/>
                <w:szCs w:val="22"/>
              </w:rPr>
              <w:t>262</w:t>
            </w:r>
          </w:p>
        </w:tc>
        <w:tc>
          <w:tcPr>
            <w:tcW w:w="1209" w:type="dxa"/>
            <w:tcBorders>
              <w:bottom w:val="single" w:sz="4" w:space="0" w:color="auto"/>
            </w:tcBorders>
            <w:shd w:val="clear" w:color="auto" w:fill="auto"/>
          </w:tcPr>
          <w:p w:rsidR="00446FF4" w:rsidRPr="00446FF4" w:rsidRDefault="00446FF4" w:rsidP="00A74BDE">
            <w:pPr>
              <w:jc w:val="right"/>
              <w:rPr>
                <w:rFonts w:cs="Arial"/>
                <w:szCs w:val="22"/>
              </w:rPr>
            </w:pPr>
            <w:r w:rsidRPr="00446FF4">
              <w:rPr>
                <w:rFonts w:cs="Arial"/>
                <w:szCs w:val="22"/>
              </w:rPr>
              <w:t>1</w:t>
            </w:r>
          </w:p>
        </w:tc>
        <w:tc>
          <w:tcPr>
            <w:tcW w:w="635" w:type="dxa"/>
            <w:tcBorders>
              <w:top w:val="nil"/>
              <w:bottom w:val="nil"/>
            </w:tcBorders>
            <w:shd w:val="clear" w:color="auto" w:fill="auto"/>
          </w:tcPr>
          <w:p w:rsidR="00446FF4" w:rsidRPr="00446FF4" w:rsidRDefault="00446FF4" w:rsidP="00A74BDE">
            <w:pPr>
              <w:jc w:val="right"/>
              <w:rPr>
                <w:rFonts w:cs="Arial"/>
                <w:szCs w:val="22"/>
              </w:rPr>
            </w:pPr>
          </w:p>
        </w:tc>
        <w:tc>
          <w:tcPr>
            <w:tcW w:w="3090" w:type="dxa"/>
            <w:tcBorders>
              <w:bottom w:val="single" w:sz="4" w:space="0" w:color="auto"/>
            </w:tcBorders>
            <w:shd w:val="clear" w:color="auto" w:fill="auto"/>
          </w:tcPr>
          <w:p w:rsidR="00446FF4" w:rsidRPr="00446FF4" w:rsidRDefault="00446FF4" w:rsidP="00A74BDE">
            <w:pPr>
              <w:rPr>
                <w:rFonts w:cs="Arial"/>
                <w:b/>
                <w:szCs w:val="22"/>
              </w:rPr>
            </w:pPr>
            <w:r w:rsidRPr="00446FF4">
              <w:rPr>
                <w:rFonts w:cs="Arial"/>
                <w:b/>
                <w:szCs w:val="22"/>
              </w:rPr>
              <w:t>I.T.</w:t>
            </w:r>
          </w:p>
        </w:tc>
        <w:tc>
          <w:tcPr>
            <w:tcW w:w="1701" w:type="dxa"/>
            <w:tcBorders>
              <w:bottom w:val="single" w:sz="4" w:space="0" w:color="auto"/>
            </w:tcBorders>
          </w:tcPr>
          <w:p w:rsidR="00446FF4" w:rsidRPr="00446FF4" w:rsidRDefault="00446FF4" w:rsidP="00A74BDE">
            <w:pPr>
              <w:rPr>
                <w:rFonts w:cs="Arial"/>
                <w:szCs w:val="22"/>
              </w:rPr>
            </w:pPr>
            <w:r w:rsidRPr="00446FF4">
              <w:rPr>
                <w:rFonts w:cs="Arial"/>
                <w:szCs w:val="22"/>
              </w:rPr>
              <w:t>1                   8</w:t>
            </w:r>
          </w:p>
        </w:tc>
      </w:tr>
      <w:tr w:rsidR="00446FF4" w:rsidRPr="00446FF4" w:rsidTr="00A74BDE">
        <w:tc>
          <w:tcPr>
            <w:tcW w:w="1746" w:type="dxa"/>
            <w:tcBorders>
              <w:bottom w:val="single" w:sz="4" w:space="0" w:color="auto"/>
            </w:tcBorders>
            <w:shd w:val="clear" w:color="auto" w:fill="C0C0C0"/>
          </w:tcPr>
          <w:p w:rsidR="00446FF4" w:rsidRPr="00446FF4" w:rsidRDefault="00446FF4" w:rsidP="00A74BDE">
            <w:pPr>
              <w:rPr>
                <w:rFonts w:cs="Arial"/>
                <w:b/>
                <w:szCs w:val="22"/>
              </w:rPr>
            </w:pPr>
            <w:r w:rsidRPr="00446FF4">
              <w:rPr>
                <w:rFonts w:cs="Arial"/>
                <w:b/>
                <w:szCs w:val="22"/>
              </w:rPr>
              <w:t>Total</w:t>
            </w:r>
          </w:p>
        </w:tc>
        <w:tc>
          <w:tcPr>
            <w:tcW w:w="1258" w:type="dxa"/>
            <w:tcBorders>
              <w:bottom w:val="single" w:sz="4" w:space="0" w:color="auto"/>
            </w:tcBorders>
            <w:shd w:val="clear" w:color="auto" w:fill="C0C0C0"/>
          </w:tcPr>
          <w:p w:rsidR="00446FF4" w:rsidRPr="00446FF4" w:rsidRDefault="00446FF4" w:rsidP="00A74BDE">
            <w:pPr>
              <w:jc w:val="right"/>
              <w:rPr>
                <w:rFonts w:cs="Arial"/>
                <w:szCs w:val="22"/>
              </w:rPr>
            </w:pPr>
            <w:r w:rsidRPr="00446FF4">
              <w:rPr>
                <w:rFonts w:cs="Arial"/>
                <w:b/>
                <w:szCs w:val="22"/>
              </w:rPr>
              <w:t>17,349</w:t>
            </w:r>
          </w:p>
        </w:tc>
        <w:tc>
          <w:tcPr>
            <w:tcW w:w="1209" w:type="dxa"/>
            <w:tcBorders>
              <w:bottom w:val="single" w:sz="4" w:space="0" w:color="auto"/>
              <w:right w:val="single" w:sz="4" w:space="0" w:color="auto"/>
            </w:tcBorders>
            <w:shd w:val="clear" w:color="auto" w:fill="C0C0C0"/>
          </w:tcPr>
          <w:p w:rsidR="00446FF4" w:rsidRPr="00446FF4" w:rsidRDefault="00446FF4" w:rsidP="00A74BDE">
            <w:pPr>
              <w:jc w:val="right"/>
              <w:rPr>
                <w:rFonts w:cs="Arial"/>
                <w:szCs w:val="22"/>
              </w:rPr>
            </w:pPr>
            <w:r w:rsidRPr="00446FF4">
              <w:rPr>
                <w:rFonts w:cs="Arial"/>
                <w:b/>
                <w:szCs w:val="22"/>
              </w:rPr>
              <w:t>100%</w:t>
            </w:r>
          </w:p>
        </w:tc>
        <w:tc>
          <w:tcPr>
            <w:tcW w:w="635" w:type="dxa"/>
            <w:tcBorders>
              <w:top w:val="nil"/>
              <w:left w:val="single" w:sz="4" w:space="0" w:color="auto"/>
              <w:bottom w:val="nil"/>
              <w:right w:val="single" w:sz="4" w:space="0" w:color="auto"/>
            </w:tcBorders>
            <w:shd w:val="clear" w:color="auto" w:fill="auto"/>
          </w:tcPr>
          <w:p w:rsidR="00446FF4" w:rsidRPr="00446FF4" w:rsidRDefault="00446FF4" w:rsidP="00A74BDE">
            <w:pPr>
              <w:jc w:val="right"/>
              <w:rPr>
                <w:rFonts w:cs="Arial"/>
                <w:szCs w:val="22"/>
              </w:rPr>
            </w:pPr>
          </w:p>
        </w:tc>
        <w:tc>
          <w:tcPr>
            <w:tcW w:w="3090" w:type="dxa"/>
            <w:tcBorders>
              <w:left w:val="single" w:sz="4" w:space="0" w:color="auto"/>
              <w:bottom w:val="single" w:sz="4" w:space="0" w:color="auto"/>
            </w:tcBorders>
            <w:shd w:val="pct25" w:color="auto" w:fill="auto"/>
          </w:tcPr>
          <w:p w:rsidR="00446FF4" w:rsidRPr="00446FF4" w:rsidRDefault="00446FF4" w:rsidP="00A74BDE">
            <w:pPr>
              <w:rPr>
                <w:rFonts w:cs="Arial"/>
                <w:b/>
                <w:szCs w:val="22"/>
              </w:rPr>
            </w:pPr>
            <w:r w:rsidRPr="00446FF4">
              <w:rPr>
                <w:rFonts w:cs="Arial"/>
                <w:b/>
                <w:szCs w:val="22"/>
              </w:rPr>
              <w:t>Total</w:t>
            </w:r>
          </w:p>
        </w:tc>
        <w:tc>
          <w:tcPr>
            <w:tcW w:w="1701" w:type="dxa"/>
            <w:tcBorders>
              <w:bottom w:val="single" w:sz="4" w:space="0" w:color="auto"/>
            </w:tcBorders>
            <w:shd w:val="pct25" w:color="auto" w:fill="auto"/>
          </w:tcPr>
          <w:p w:rsidR="00446FF4" w:rsidRPr="00446FF4" w:rsidRDefault="00446FF4" w:rsidP="00A74BDE">
            <w:pPr>
              <w:rPr>
                <w:rFonts w:cs="Arial"/>
                <w:szCs w:val="22"/>
              </w:rPr>
            </w:pPr>
            <w:r w:rsidRPr="00446FF4">
              <w:rPr>
                <w:rFonts w:cs="Arial"/>
                <w:b/>
                <w:szCs w:val="22"/>
              </w:rPr>
              <w:t>86         625</w:t>
            </w:r>
          </w:p>
        </w:tc>
      </w:tr>
    </w:tbl>
    <w:p w:rsidR="00446FF4" w:rsidRPr="00446FF4" w:rsidRDefault="00446FF4" w:rsidP="00446FF4">
      <w:pPr>
        <w:ind w:left="3600" w:hanging="3600"/>
        <w:rPr>
          <w:rFonts w:cs="Arial"/>
          <w:b/>
          <w:szCs w:val="22"/>
        </w:rPr>
      </w:pPr>
    </w:p>
    <w:p w:rsidR="00446FF4" w:rsidRPr="00446FF4" w:rsidRDefault="00446FF4" w:rsidP="00446FF4">
      <w:pPr>
        <w:rPr>
          <w:rFonts w:cs="Arial"/>
          <w:b/>
          <w:szCs w:val="22"/>
        </w:rPr>
      </w:pPr>
    </w:p>
    <w:p w:rsidR="00446FF4" w:rsidRPr="00446FF4" w:rsidRDefault="00446FF4" w:rsidP="00446FF4">
      <w:pPr>
        <w:rPr>
          <w:rFonts w:cs="Arial"/>
          <w:b/>
          <w:szCs w:val="22"/>
        </w:rPr>
      </w:pPr>
    </w:p>
    <w:p w:rsidR="00446FF4" w:rsidRPr="00446FF4" w:rsidRDefault="00446FF4" w:rsidP="00446FF4">
      <w:pPr>
        <w:rPr>
          <w:rFonts w:cs="Arial"/>
          <w:b/>
          <w:szCs w:val="22"/>
        </w:rPr>
      </w:pPr>
      <w:r w:rsidRPr="00446FF4">
        <w:rPr>
          <w:rFonts w:cs="Arial"/>
          <w:b/>
          <w:szCs w:val="22"/>
        </w:rPr>
        <w:t>Noteworthy Trends</w:t>
      </w:r>
    </w:p>
    <w:p w:rsidR="00446FF4" w:rsidRPr="00446FF4" w:rsidRDefault="00446FF4" w:rsidP="00446FF4">
      <w:pPr>
        <w:numPr>
          <w:ilvl w:val="0"/>
          <w:numId w:val="11"/>
        </w:numPr>
        <w:tabs>
          <w:tab w:val="clear" w:pos="1260"/>
          <w:tab w:val="clear" w:pos="1980"/>
          <w:tab w:val="clear" w:pos="2700"/>
          <w:tab w:val="clear" w:pos="3420"/>
        </w:tabs>
        <w:rPr>
          <w:rFonts w:cs="Arial"/>
          <w:szCs w:val="22"/>
        </w:rPr>
      </w:pPr>
      <w:r w:rsidRPr="00446FF4">
        <w:rPr>
          <w:rFonts w:cs="Arial"/>
          <w:szCs w:val="22"/>
        </w:rPr>
        <w:t>Total number of advice issues in 2016/17: 17,349 (+7% on 2015/16).</w:t>
      </w:r>
    </w:p>
    <w:p w:rsidR="00446FF4" w:rsidRPr="00446FF4" w:rsidRDefault="00446FF4" w:rsidP="00446FF4">
      <w:pPr>
        <w:numPr>
          <w:ilvl w:val="0"/>
          <w:numId w:val="11"/>
        </w:numPr>
        <w:tabs>
          <w:tab w:val="clear" w:pos="1260"/>
          <w:tab w:val="clear" w:pos="1980"/>
          <w:tab w:val="clear" w:pos="2700"/>
          <w:tab w:val="clear" w:pos="3420"/>
        </w:tabs>
        <w:rPr>
          <w:rFonts w:cs="Arial"/>
          <w:szCs w:val="22"/>
        </w:rPr>
      </w:pPr>
      <w:r w:rsidRPr="00446FF4">
        <w:rPr>
          <w:rFonts w:cs="Arial"/>
          <w:szCs w:val="22"/>
        </w:rPr>
        <w:t>Total number of new clients in 2016/17: 7,321 (+3% on 2015/16).</w:t>
      </w:r>
    </w:p>
    <w:p w:rsidR="00446FF4" w:rsidRPr="00446FF4" w:rsidRDefault="00446FF4" w:rsidP="00446FF4">
      <w:pPr>
        <w:numPr>
          <w:ilvl w:val="0"/>
          <w:numId w:val="11"/>
        </w:numPr>
        <w:tabs>
          <w:tab w:val="clear" w:pos="1260"/>
          <w:tab w:val="clear" w:pos="1980"/>
          <w:tab w:val="clear" w:pos="2700"/>
          <w:tab w:val="clear" w:pos="3420"/>
        </w:tabs>
        <w:rPr>
          <w:rFonts w:cs="Arial"/>
          <w:szCs w:val="22"/>
        </w:rPr>
      </w:pPr>
      <w:r w:rsidRPr="00446FF4">
        <w:rPr>
          <w:rFonts w:cs="Arial"/>
          <w:szCs w:val="22"/>
        </w:rPr>
        <w:t xml:space="preserve"> 41 % of our clients are disabled or have a long term health condition.</w:t>
      </w:r>
    </w:p>
    <w:p w:rsidR="00446FF4" w:rsidRPr="00446FF4" w:rsidRDefault="00446FF4" w:rsidP="00446FF4">
      <w:pPr>
        <w:numPr>
          <w:ilvl w:val="0"/>
          <w:numId w:val="11"/>
        </w:numPr>
        <w:tabs>
          <w:tab w:val="clear" w:pos="1260"/>
          <w:tab w:val="clear" w:pos="1980"/>
          <w:tab w:val="clear" w:pos="2700"/>
          <w:tab w:val="clear" w:pos="3420"/>
        </w:tabs>
        <w:rPr>
          <w:rFonts w:cs="Arial"/>
          <w:szCs w:val="22"/>
        </w:rPr>
      </w:pPr>
      <w:r w:rsidRPr="00446FF4">
        <w:rPr>
          <w:rFonts w:cs="Arial"/>
          <w:szCs w:val="22"/>
        </w:rPr>
        <w:t>We offer email advice to Three Rivers residents via our website: threeriverscab.org.uk.</w:t>
      </w:r>
    </w:p>
    <w:p w:rsidR="00446FF4" w:rsidRPr="00446FF4" w:rsidRDefault="00446FF4" w:rsidP="00446FF4">
      <w:pPr>
        <w:numPr>
          <w:ilvl w:val="0"/>
          <w:numId w:val="11"/>
        </w:numPr>
        <w:tabs>
          <w:tab w:val="clear" w:pos="1260"/>
          <w:tab w:val="clear" w:pos="1980"/>
          <w:tab w:val="clear" w:pos="2700"/>
          <w:tab w:val="clear" w:pos="3420"/>
        </w:tabs>
        <w:rPr>
          <w:rFonts w:cs="Arial"/>
          <w:szCs w:val="22"/>
        </w:rPr>
      </w:pPr>
      <w:r w:rsidRPr="00446FF4">
        <w:rPr>
          <w:rFonts w:cs="Arial"/>
          <w:szCs w:val="22"/>
        </w:rPr>
        <w:t>We also provide advice via webchat to increase our channels of access.</w:t>
      </w:r>
    </w:p>
    <w:p w:rsidR="00446FF4" w:rsidRPr="00446FF4" w:rsidRDefault="00A3770C" w:rsidP="00446FF4">
      <w:pPr>
        <w:numPr>
          <w:ilvl w:val="0"/>
          <w:numId w:val="11"/>
        </w:numPr>
        <w:tabs>
          <w:tab w:val="clear" w:pos="1260"/>
          <w:tab w:val="clear" w:pos="1980"/>
          <w:tab w:val="clear" w:pos="2700"/>
          <w:tab w:val="clear" w:pos="3420"/>
        </w:tabs>
        <w:rPr>
          <w:rFonts w:cs="Arial"/>
          <w:szCs w:val="22"/>
        </w:rPr>
      </w:pPr>
      <w:r w:rsidRPr="00446FF4">
        <w:rPr>
          <w:rFonts w:cs="Arial"/>
          <w:szCs w:val="22"/>
        </w:rPr>
        <w:t xml:space="preserve">We joined Adviceline, the Citizens Advice county phone service, four years ago and are the only Herts CAB to have </w:t>
      </w:r>
      <w:r>
        <w:rPr>
          <w:rFonts w:cs="Arial"/>
          <w:szCs w:val="22"/>
        </w:rPr>
        <w:t>a</w:t>
      </w:r>
      <w:r w:rsidRPr="00446FF4">
        <w:rPr>
          <w:rFonts w:cs="Arial"/>
          <w:szCs w:val="22"/>
        </w:rPr>
        <w:t xml:space="preserve"> local phone service linked to Adviceline.</w:t>
      </w:r>
    </w:p>
    <w:p w:rsidR="00446FF4" w:rsidRPr="00446FF4" w:rsidRDefault="00446FF4" w:rsidP="00446FF4">
      <w:pPr>
        <w:numPr>
          <w:ilvl w:val="0"/>
          <w:numId w:val="11"/>
        </w:numPr>
        <w:tabs>
          <w:tab w:val="clear" w:pos="1260"/>
          <w:tab w:val="clear" w:pos="1980"/>
          <w:tab w:val="clear" w:pos="2700"/>
          <w:tab w:val="clear" w:pos="3420"/>
        </w:tabs>
        <w:rPr>
          <w:rFonts w:cs="Arial"/>
          <w:szCs w:val="22"/>
        </w:rPr>
      </w:pPr>
      <w:r w:rsidRPr="00446FF4">
        <w:rPr>
          <w:rFonts w:cs="Arial"/>
          <w:szCs w:val="22"/>
        </w:rPr>
        <w:t>We provide an outreach at Watford County Court, to represent and defend clients facing possession hearings: success rate 100%!</w:t>
      </w:r>
    </w:p>
    <w:p w:rsidR="00446FF4" w:rsidRPr="00446FF4" w:rsidRDefault="00446FF4" w:rsidP="00446FF4">
      <w:pPr>
        <w:numPr>
          <w:ilvl w:val="0"/>
          <w:numId w:val="11"/>
        </w:numPr>
        <w:tabs>
          <w:tab w:val="clear" w:pos="1260"/>
          <w:tab w:val="clear" w:pos="1980"/>
          <w:tab w:val="clear" w:pos="2700"/>
          <w:tab w:val="clear" w:pos="3420"/>
        </w:tabs>
        <w:rPr>
          <w:rFonts w:cs="Arial"/>
          <w:szCs w:val="22"/>
        </w:rPr>
      </w:pPr>
      <w:r w:rsidRPr="00446FF4">
        <w:rPr>
          <w:rFonts w:cs="Arial"/>
          <w:szCs w:val="22"/>
        </w:rPr>
        <w:t>We provide advice outreaches at Mill End and South Oxhey foodbanks, plus new outreaches at Croxley and Chorleywood Libraries, and Mill End Club.</w:t>
      </w:r>
    </w:p>
    <w:p w:rsidR="00446FF4" w:rsidRPr="00446FF4" w:rsidRDefault="00446FF4" w:rsidP="00446FF4">
      <w:pPr>
        <w:numPr>
          <w:ilvl w:val="0"/>
          <w:numId w:val="11"/>
        </w:numPr>
        <w:tabs>
          <w:tab w:val="clear" w:pos="1260"/>
          <w:tab w:val="clear" w:pos="1980"/>
          <w:tab w:val="clear" w:pos="2700"/>
          <w:tab w:val="clear" w:pos="3420"/>
        </w:tabs>
        <w:rPr>
          <w:rFonts w:cs="Arial"/>
          <w:szCs w:val="22"/>
        </w:rPr>
      </w:pPr>
      <w:r w:rsidRPr="00446FF4">
        <w:rPr>
          <w:rFonts w:cs="Arial"/>
          <w:szCs w:val="22"/>
        </w:rPr>
        <w:t>Our caseworkers represent clients at benefit tribunals: success rate 93%.</w:t>
      </w:r>
    </w:p>
    <w:p w:rsidR="00446FF4" w:rsidRPr="00446FF4" w:rsidRDefault="00446FF4" w:rsidP="00446FF4">
      <w:pPr>
        <w:numPr>
          <w:ilvl w:val="0"/>
          <w:numId w:val="11"/>
        </w:numPr>
        <w:tabs>
          <w:tab w:val="clear" w:pos="1260"/>
          <w:tab w:val="clear" w:pos="1980"/>
          <w:tab w:val="clear" w:pos="2700"/>
          <w:tab w:val="clear" w:pos="3420"/>
        </w:tabs>
        <w:rPr>
          <w:rFonts w:cs="Arial"/>
          <w:szCs w:val="22"/>
        </w:rPr>
      </w:pPr>
      <w:r w:rsidRPr="00446FF4">
        <w:rPr>
          <w:rFonts w:cs="Arial"/>
          <w:szCs w:val="22"/>
        </w:rPr>
        <w:t xml:space="preserve">We offer a full </w:t>
      </w:r>
      <w:r w:rsidR="00A3770C" w:rsidRPr="00446FF4">
        <w:rPr>
          <w:rFonts w:cs="Arial"/>
          <w:szCs w:val="22"/>
        </w:rPr>
        <w:t>home visiting</w:t>
      </w:r>
      <w:r w:rsidRPr="00446FF4">
        <w:rPr>
          <w:rFonts w:cs="Arial"/>
          <w:szCs w:val="22"/>
        </w:rPr>
        <w:t xml:space="preserve"> service for the housebound in Three Rivers.</w:t>
      </w:r>
    </w:p>
    <w:p w:rsidR="00446FF4" w:rsidRPr="00446FF4" w:rsidRDefault="00446FF4" w:rsidP="00446FF4">
      <w:pPr>
        <w:numPr>
          <w:ilvl w:val="0"/>
          <w:numId w:val="11"/>
        </w:numPr>
        <w:tabs>
          <w:tab w:val="clear" w:pos="1260"/>
          <w:tab w:val="clear" w:pos="1980"/>
          <w:tab w:val="clear" w:pos="2700"/>
          <w:tab w:val="clear" w:pos="3420"/>
        </w:tabs>
        <w:rPr>
          <w:rFonts w:cs="Arial"/>
          <w:szCs w:val="22"/>
        </w:rPr>
      </w:pPr>
      <w:r w:rsidRPr="00446FF4">
        <w:rPr>
          <w:rFonts w:cs="Arial"/>
          <w:szCs w:val="22"/>
        </w:rPr>
        <w:t>Money gained for local community in past year: £1,399,466 (+40% on 2015/16)</w:t>
      </w:r>
    </w:p>
    <w:p w:rsidR="00446FF4" w:rsidRPr="00446FF4" w:rsidRDefault="00446FF4" w:rsidP="00446FF4">
      <w:pPr>
        <w:numPr>
          <w:ilvl w:val="0"/>
          <w:numId w:val="11"/>
        </w:numPr>
        <w:tabs>
          <w:tab w:val="clear" w:pos="1260"/>
          <w:tab w:val="clear" w:pos="1980"/>
          <w:tab w:val="clear" w:pos="2700"/>
          <w:tab w:val="clear" w:pos="3420"/>
        </w:tabs>
        <w:rPr>
          <w:rFonts w:cs="Arial"/>
          <w:szCs w:val="22"/>
        </w:rPr>
      </w:pPr>
      <w:r w:rsidRPr="00446FF4">
        <w:rPr>
          <w:rFonts w:cs="Arial"/>
          <w:szCs w:val="22"/>
        </w:rPr>
        <w:t>32,500 hours donated by 86 volunteers last year, equating to £552,500 if paid man hours.</w:t>
      </w:r>
    </w:p>
    <w:p w:rsidR="00446FF4" w:rsidRPr="00446FF4" w:rsidRDefault="00446FF4" w:rsidP="00446FF4">
      <w:pPr>
        <w:numPr>
          <w:ilvl w:val="0"/>
          <w:numId w:val="11"/>
        </w:numPr>
        <w:tabs>
          <w:tab w:val="clear" w:pos="1260"/>
          <w:tab w:val="clear" w:pos="1980"/>
          <w:tab w:val="clear" w:pos="2700"/>
          <w:tab w:val="clear" w:pos="3420"/>
        </w:tabs>
        <w:rPr>
          <w:rFonts w:cs="Arial"/>
          <w:szCs w:val="22"/>
        </w:rPr>
      </w:pPr>
      <w:r w:rsidRPr="00446FF4">
        <w:rPr>
          <w:rFonts w:cs="Arial"/>
          <w:szCs w:val="22"/>
        </w:rPr>
        <w:t>Courses on financial awareness given to local community groups, pensioners and schools (226 attendees) plus individual budgeting sessions.</w:t>
      </w:r>
    </w:p>
    <w:p w:rsidR="00446FF4" w:rsidRPr="00446FF4" w:rsidRDefault="00446FF4" w:rsidP="00446FF4">
      <w:pPr>
        <w:numPr>
          <w:ilvl w:val="0"/>
          <w:numId w:val="11"/>
        </w:numPr>
        <w:tabs>
          <w:tab w:val="clear" w:pos="1260"/>
          <w:tab w:val="clear" w:pos="1980"/>
          <w:tab w:val="clear" w:pos="2700"/>
          <w:tab w:val="clear" w:pos="3420"/>
        </w:tabs>
        <w:rPr>
          <w:rFonts w:cs="Arial"/>
          <w:szCs w:val="22"/>
        </w:rPr>
      </w:pPr>
      <w:r w:rsidRPr="00446FF4">
        <w:rPr>
          <w:rFonts w:cs="Arial"/>
          <w:szCs w:val="22"/>
        </w:rPr>
        <w:t>Research and Campaigns work – working with local MPs and council officers.</w:t>
      </w:r>
    </w:p>
    <w:p w:rsidR="00446FF4" w:rsidRPr="00446FF4" w:rsidRDefault="00446FF4" w:rsidP="00446FF4">
      <w:pPr>
        <w:numPr>
          <w:ilvl w:val="0"/>
          <w:numId w:val="11"/>
        </w:numPr>
        <w:tabs>
          <w:tab w:val="clear" w:pos="1260"/>
          <w:tab w:val="clear" w:pos="1980"/>
          <w:tab w:val="clear" w:pos="2700"/>
          <w:tab w:val="clear" w:pos="3420"/>
        </w:tabs>
        <w:rPr>
          <w:rFonts w:cs="Arial"/>
          <w:szCs w:val="22"/>
        </w:rPr>
      </w:pPr>
      <w:r w:rsidRPr="00446FF4">
        <w:rPr>
          <w:rFonts w:cs="Arial"/>
          <w:szCs w:val="22"/>
        </w:rPr>
        <w:t>District manager LSP board member, vice chair of LSP subgroup and until 3/16 was chair of Herts CAB managers’ group.</w:t>
      </w:r>
    </w:p>
    <w:p w:rsidR="00446FF4" w:rsidRPr="00446FF4" w:rsidRDefault="00446FF4" w:rsidP="00446FF4">
      <w:pPr>
        <w:ind w:left="530"/>
        <w:rPr>
          <w:rFonts w:cs="Arial"/>
          <w:b/>
          <w:szCs w:val="22"/>
        </w:rPr>
      </w:pPr>
    </w:p>
    <w:p w:rsidR="00446FF4" w:rsidRPr="00446FF4" w:rsidRDefault="00446FF4" w:rsidP="00446FF4">
      <w:pPr>
        <w:rPr>
          <w:rFonts w:cs="Arial"/>
          <w:b/>
          <w:szCs w:val="22"/>
        </w:rPr>
      </w:pPr>
    </w:p>
    <w:p w:rsidR="00446FF4" w:rsidRPr="00446FF4" w:rsidRDefault="00446FF4" w:rsidP="00446FF4">
      <w:pPr>
        <w:rPr>
          <w:rFonts w:cs="Arial"/>
          <w:b/>
          <w:szCs w:val="22"/>
        </w:rPr>
      </w:pPr>
    </w:p>
    <w:p w:rsidR="00446FF4" w:rsidRPr="00446FF4" w:rsidRDefault="00446FF4" w:rsidP="00446FF4">
      <w:pPr>
        <w:rPr>
          <w:rFonts w:cs="Arial"/>
          <w:b/>
          <w:szCs w:val="22"/>
        </w:rPr>
      </w:pPr>
    </w:p>
    <w:p w:rsidR="00446FF4" w:rsidRPr="00446FF4" w:rsidRDefault="00446FF4" w:rsidP="00446FF4">
      <w:pPr>
        <w:rPr>
          <w:rFonts w:cs="Arial"/>
          <w:b/>
          <w:szCs w:val="22"/>
        </w:rPr>
      </w:pPr>
    </w:p>
    <w:p w:rsidR="00446FF4" w:rsidRPr="00446FF4" w:rsidRDefault="00446FF4" w:rsidP="00446FF4">
      <w:pPr>
        <w:rPr>
          <w:rFonts w:cs="Arial"/>
          <w:b/>
          <w:szCs w:val="22"/>
        </w:rPr>
      </w:pPr>
      <w:r w:rsidRPr="00446FF4">
        <w:rPr>
          <w:rFonts w:cs="Arial"/>
          <w:b/>
          <w:szCs w:val="22"/>
        </w:rPr>
        <w:lastRenderedPageBreak/>
        <w:t>External Funding initiatives 2016/17 – Total raised £88,733</w:t>
      </w:r>
    </w:p>
    <w:p w:rsidR="00446FF4" w:rsidRPr="00446FF4" w:rsidRDefault="00446FF4" w:rsidP="00446FF4">
      <w:pPr>
        <w:numPr>
          <w:ilvl w:val="0"/>
          <w:numId w:val="9"/>
        </w:numPr>
        <w:tabs>
          <w:tab w:val="clear" w:pos="1260"/>
          <w:tab w:val="clear" w:pos="1980"/>
          <w:tab w:val="clear" w:pos="2700"/>
          <w:tab w:val="clear" w:pos="3420"/>
        </w:tabs>
        <w:jc w:val="left"/>
        <w:rPr>
          <w:rFonts w:cs="Arial"/>
          <w:szCs w:val="22"/>
        </w:rPr>
      </w:pPr>
      <w:r w:rsidRPr="00446FF4">
        <w:rPr>
          <w:rFonts w:cs="Arial"/>
          <w:szCs w:val="22"/>
        </w:rPr>
        <w:t>Herts County Council – welfare, foodbank and DRO applications funding (£26,109 pa to end March 2018).</w:t>
      </w:r>
    </w:p>
    <w:p w:rsidR="00446FF4" w:rsidRPr="00446FF4" w:rsidRDefault="00446FF4" w:rsidP="00446FF4">
      <w:pPr>
        <w:numPr>
          <w:ilvl w:val="0"/>
          <w:numId w:val="9"/>
        </w:numPr>
        <w:tabs>
          <w:tab w:val="clear" w:pos="1260"/>
          <w:tab w:val="clear" w:pos="1980"/>
          <w:tab w:val="clear" w:pos="2700"/>
          <w:tab w:val="clear" w:pos="3420"/>
        </w:tabs>
        <w:jc w:val="left"/>
        <w:rPr>
          <w:rFonts w:cs="Arial"/>
          <w:szCs w:val="22"/>
        </w:rPr>
      </w:pPr>
      <w:r w:rsidRPr="00446FF4">
        <w:rPr>
          <w:rFonts w:cs="Arial"/>
          <w:szCs w:val="22"/>
        </w:rPr>
        <w:t>Herts Healthy Homes Fund from Herts County Council (£15,000 for Herts CABx).</w:t>
      </w:r>
    </w:p>
    <w:p w:rsidR="00446FF4" w:rsidRPr="00446FF4" w:rsidRDefault="00446FF4" w:rsidP="00446FF4">
      <w:pPr>
        <w:numPr>
          <w:ilvl w:val="0"/>
          <w:numId w:val="9"/>
        </w:numPr>
        <w:tabs>
          <w:tab w:val="clear" w:pos="1260"/>
          <w:tab w:val="clear" w:pos="1980"/>
          <w:tab w:val="clear" w:pos="2700"/>
          <w:tab w:val="clear" w:pos="3420"/>
        </w:tabs>
        <w:jc w:val="left"/>
        <w:rPr>
          <w:rFonts w:cs="Arial"/>
          <w:szCs w:val="22"/>
        </w:rPr>
      </w:pPr>
      <w:r w:rsidRPr="00446FF4">
        <w:rPr>
          <w:rFonts w:cs="Arial"/>
          <w:szCs w:val="22"/>
        </w:rPr>
        <w:t>Thrive Homes - extra CAB debt advice hours (£12,000 p.a.).</w:t>
      </w:r>
    </w:p>
    <w:p w:rsidR="00446FF4" w:rsidRPr="00446FF4" w:rsidRDefault="00446FF4" w:rsidP="00446FF4">
      <w:pPr>
        <w:numPr>
          <w:ilvl w:val="0"/>
          <w:numId w:val="9"/>
        </w:numPr>
        <w:tabs>
          <w:tab w:val="clear" w:pos="1260"/>
          <w:tab w:val="clear" w:pos="1980"/>
          <w:tab w:val="clear" w:pos="2700"/>
          <w:tab w:val="clear" w:pos="3420"/>
        </w:tabs>
        <w:jc w:val="left"/>
        <w:rPr>
          <w:rFonts w:cs="Arial"/>
          <w:szCs w:val="22"/>
        </w:rPr>
      </w:pPr>
      <w:r w:rsidRPr="00446FF4">
        <w:rPr>
          <w:rFonts w:cs="Arial"/>
          <w:szCs w:val="22"/>
        </w:rPr>
        <w:t>South Bucks Management fee for general advice service (£8,000 p.a.).</w:t>
      </w:r>
    </w:p>
    <w:p w:rsidR="00446FF4" w:rsidRPr="00446FF4" w:rsidRDefault="00446FF4" w:rsidP="00446FF4">
      <w:pPr>
        <w:numPr>
          <w:ilvl w:val="0"/>
          <w:numId w:val="9"/>
        </w:numPr>
        <w:tabs>
          <w:tab w:val="clear" w:pos="1260"/>
          <w:tab w:val="clear" w:pos="1980"/>
          <w:tab w:val="clear" w:pos="2700"/>
          <w:tab w:val="clear" w:pos="3420"/>
        </w:tabs>
        <w:jc w:val="left"/>
        <w:rPr>
          <w:rFonts w:cs="Arial"/>
          <w:szCs w:val="22"/>
        </w:rPr>
      </w:pPr>
      <w:r w:rsidRPr="00446FF4">
        <w:rPr>
          <w:rFonts w:cs="Arial"/>
          <w:szCs w:val="22"/>
        </w:rPr>
        <w:t>OFGEM – courses for local community on utility bill savings (£6,300).</w:t>
      </w:r>
    </w:p>
    <w:p w:rsidR="00446FF4" w:rsidRPr="00446FF4" w:rsidRDefault="00446FF4" w:rsidP="00446FF4">
      <w:pPr>
        <w:numPr>
          <w:ilvl w:val="0"/>
          <w:numId w:val="9"/>
        </w:numPr>
        <w:tabs>
          <w:tab w:val="clear" w:pos="1260"/>
          <w:tab w:val="clear" w:pos="1980"/>
          <w:tab w:val="clear" w:pos="2700"/>
          <w:tab w:val="clear" w:pos="3420"/>
        </w:tabs>
        <w:jc w:val="left"/>
        <w:rPr>
          <w:rFonts w:cs="Arial"/>
          <w:szCs w:val="22"/>
        </w:rPr>
      </w:pPr>
      <w:r w:rsidRPr="00446FF4">
        <w:rPr>
          <w:rFonts w:cs="Arial"/>
          <w:szCs w:val="22"/>
        </w:rPr>
        <w:t>Abbots Langley Parochial Church Council – rent subsidy (£6,004 p.a.).</w:t>
      </w:r>
    </w:p>
    <w:p w:rsidR="00446FF4" w:rsidRPr="00446FF4" w:rsidRDefault="00446FF4" w:rsidP="00446FF4">
      <w:pPr>
        <w:numPr>
          <w:ilvl w:val="0"/>
          <w:numId w:val="9"/>
        </w:numPr>
        <w:tabs>
          <w:tab w:val="clear" w:pos="1260"/>
          <w:tab w:val="clear" w:pos="1980"/>
          <w:tab w:val="clear" w:pos="2700"/>
          <w:tab w:val="clear" w:pos="3420"/>
        </w:tabs>
        <w:jc w:val="left"/>
        <w:rPr>
          <w:rFonts w:cs="Arial"/>
          <w:szCs w:val="22"/>
        </w:rPr>
      </w:pPr>
      <w:r w:rsidRPr="00446FF4">
        <w:rPr>
          <w:rFonts w:cs="Arial"/>
          <w:szCs w:val="22"/>
        </w:rPr>
        <w:t>Santander – one year funding for a budgeting adviser (£5,000).</w:t>
      </w:r>
    </w:p>
    <w:p w:rsidR="00446FF4" w:rsidRPr="00446FF4" w:rsidRDefault="00446FF4" w:rsidP="00446FF4">
      <w:pPr>
        <w:numPr>
          <w:ilvl w:val="0"/>
          <w:numId w:val="10"/>
        </w:numPr>
        <w:tabs>
          <w:tab w:val="clear" w:pos="1260"/>
          <w:tab w:val="clear" w:pos="1980"/>
          <w:tab w:val="clear" w:pos="2700"/>
          <w:tab w:val="clear" w:pos="3420"/>
        </w:tabs>
        <w:jc w:val="left"/>
        <w:rPr>
          <w:rFonts w:cs="Arial"/>
          <w:szCs w:val="22"/>
        </w:rPr>
      </w:pPr>
      <w:r w:rsidRPr="00446FF4">
        <w:rPr>
          <w:rFonts w:cs="Arial"/>
          <w:szCs w:val="22"/>
        </w:rPr>
        <w:t>Watford Rural Parish Council – Oxhey caseworker (£4,000 p.a.).</w:t>
      </w:r>
    </w:p>
    <w:p w:rsidR="00446FF4" w:rsidRPr="00446FF4" w:rsidRDefault="00446FF4" w:rsidP="00446FF4">
      <w:pPr>
        <w:numPr>
          <w:ilvl w:val="0"/>
          <w:numId w:val="10"/>
        </w:numPr>
        <w:tabs>
          <w:tab w:val="clear" w:pos="1260"/>
          <w:tab w:val="clear" w:pos="1980"/>
          <w:tab w:val="clear" w:pos="2700"/>
          <w:tab w:val="clear" w:pos="3420"/>
        </w:tabs>
        <w:jc w:val="left"/>
        <w:rPr>
          <w:rFonts w:cs="Arial"/>
          <w:szCs w:val="22"/>
        </w:rPr>
      </w:pPr>
      <w:r w:rsidRPr="00446FF4">
        <w:rPr>
          <w:rFonts w:cs="Arial"/>
          <w:szCs w:val="22"/>
        </w:rPr>
        <w:t>Abbots Langley Parish Council – Abbots caseworker (£2,000 p.a.).</w:t>
      </w:r>
    </w:p>
    <w:p w:rsidR="00446FF4" w:rsidRPr="00446FF4" w:rsidRDefault="00446FF4" w:rsidP="00446FF4">
      <w:pPr>
        <w:numPr>
          <w:ilvl w:val="0"/>
          <w:numId w:val="10"/>
        </w:numPr>
        <w:tabs>
          <w:tab w:val="clear" w:pos="1260"/>
          <w:tab w:val="clear" w:pos="1980"/>
          <w:tab w:val="clear" w:pos="2700"/>
          <w:tab w:val="clear" w:pos="3420"/>
        </w:tabs>
        <w:jc w:val="left"/>
        <w:rPr>
          <w:rFonts w:cs="Arial"/>
          <w:szCs w:val="22"/>
        </w:rPr>
      </w:pPr>
      <w:r w:rsidRPr="00446FF4">
        <w:rPr>
          <w:rFonts w:cs="Arial"/>
          <w:szCs w:val="22"/>
        </w:rPr>
        <w:t>DWP Back to Work Programme managed by our CAB across 6 counties (approx. £1,000 pa).</w:t>
      </w:r>
    </w:p>
    <w:p w:rsidR="00446FF4" w:rsidRPr="00446FF4" w:rsidRDefault="00446FF4" w:rsidP="00446FF4">
      <w:pPr>
        <w:numPr>
          <w:ilvl w:val="0"/>
          <w:numId w:val="10"/>
        </w:numPr>
        <w:tabs>
          <w:tab w:val="clear" w:pos="1260"/>
          <w:tab w:val="clear" w:pos="1980"/>
          <w:tab w:val="clear" w:pos="2700"/>
          <w:tab w:val="clear" w:pos="3420"/>
        </w:tabs>
        <w:jc w:val="left"/>
        <w:rPr>
          <w:rFonts w:cs="Arial"/>
          <w:szCs w:val="22"/>
        </w:rPr>
      </w:pPr>
      <w:r w:rsidRPr="00446FF4">
        <w:rPr>
          <w:rFonts w:cs="Arial"/>
          <w:szCs w:val="22"/>
        </w:rPr>
        <w:t>Martin Lewis Fund – Outreach work (£1,000)</w:t>
      </w:r>
    </w:p>
    <w:p w:rsidR="00446FF4" w:rsidRPr="00446FF4" w:rsidRDefault="00446FF4" w:rsidP="00446FF4">
      <w:pPr>
        <w:numPr>
          <w:ilvl w:val="0"/>
          <w:numId w:val="10"/>
        </w:numPr>
        <w:tabs>
          <w:tab w:val="clear" w:pos="1260"/>
          <w:tab w:val="clear" w:pos="1980"/>
          <w:tab w:val="clear" w:pos="2700"/>
          <w:tab w:val="clear" w:pos="3420"/>
        </w:tabs>
        <w:jc w:val="left"/>
        <w:rPr>
          <w:rFonts w:cs="Arial"/>
          <w:szCs w:val="22"/>
        </w:rPr>
      </w:pPr>
      <w:r w:rsidRPr="00446FF4">
        <w:rPr>
          <w:rFonts w:cs="Arial"/>
          <w:szCs w:val="22"/>
        </w:rPr>
        <w:t>Croxley Parish Council – Library outreach (£785)</w:t>
      </w:r>
    </w:p>
    <w:p w:rsidR="00446FF4" w:rsidRPr="00446FF4" w:rsidRDefault="00446FF4" w:rsidP="00446FF4">
      <w:pPr>
        <w:numPr>
          <w:ilvl w:val="0"/>
          <w:numId w:val="10"/>
        </w:numPr>
        <w:tabs>
          <w:tab w:val="clear" w:pos="1260"/>
          <w:tab w:val="clear" w:pos="1980"/>
          <w:tab w:val="clear" w:pos="2700"/>
          <w:tab w:val="clear" w:pos="3420"/>
        </w:tabs>
        <w:jc w:val="left"/>
        <w:rPr>
          <w:rFonts w:cs="Arial"/>
          <w:szCs w:val="22"/>
        </w:rPr>
      </w:pPr>
      <w:r w:rsidRPr="00446FF4">
        <w:rPr>
          <w:rFonts w:cs="Arial"/>
          <w:szCs w:val="22"/>
        </w:rPr>
        <w:t>Chorleywood Parish Council – Library Outreach (£785)</w:t>
      </w:r>
    </w:p>
    <w:p w:rsidR="00446FF4" w:rsidRPr="00446FF4" w:rsidRDefault="00446FF4" w:rsidP="00446FF4">
      <w:pPr>
        <w:numPr>
          <w:ilvl w:val="0"/>
          <w:numId w:val="10"/>
        </w:numPr>
        <w:tabs>
          <w:tab w:val="clear" w:pos="1260"/>
          <w:tab w:val="clear" w:pos="1980"/>
          <w:tab w:val="clear" w:pos="2700"/>
          <w:tab w:val="clear" w:pos="3420"/>
        </w:tabs>
        <w:jc w:val="left"/>
        <w:rPr>
          <w:rFonts w:cs="Arial"/>
          <w:szCs w:val="22"/>
        </w:rPr>
      </w:pPr>
      <w:r w:rsidRPr="00446FF4">
        <w:rPr>
          <w:rFonts w:cs="Arial"/>
          <w:szCs w:val="22"/>
        </w:rPr>
        <w:t>Waitrose – Local Community Fund £750</w:t>
      </w:r>
    </w:p>
    <w:p w:rsidR="00446FF4" w:rsidRPr="00446FF4" w:rsidRDefault="00446FF4" w:rsidP="00446FF4">
      <w:pPr>
        <w:rPr>
          <w:rFonts w:cs="Arial"/>
          <w:szCs w:val="22"/>
        </w:rPr>
      </w:pPr>
    </w:p>
    <w:p w:rsidR="00446FF4" w:rsidRPr="00446FF4" w:rsidRDefault="00446FF4" w:rsidP="00446FF4">
      <w:pPr>
        <w:ind w:left="360"/>
        <w:rPr>
          <w:rFonts w:cs="Arial"/>
          <w:szCs w:val="22"/>
        </w:rPr>
      </w:pPr>
    </w:p>
    <w:p w:rsidR="00446FF4" w:rsidRPr="00446FF4" w:rsidRDefault="00446FF4" w:rsidP="00446FF4">
      <w:pPr>
        <w:rPr>
          <w:rFonts w:cs="Arial"/>
          <w:szCs w:val="22"/>
        </w:rPr>
      </w:pPr>
      <w:r w:rsidRPr="00446FF4">
        <w:rPr>
          <w:rFonts w:cs="Arial"/>
          <w:b/>
          <w:szCs w:val="22"/>
        </w:rPr>
        <w:t>Home Visits &amp; Casework</w:t>
      </w:r>
      <w:r w:rsidRPr="00446FF4">
        <w:rPr>
          <w:rFonts w:cs="Arial"/>
          <w:szCs w:val="22"/>
        </w:rPr>
        <w:t>:</w:t>
      </w:r>
      <w:r w:rsidRPr="00446FF4">
        <w:rPr>
          <w:rFonts w:cs="Arial"/>
          <w:szCs w:val="22"/>
        </w:rPr>
        <w:tab/>
        <w:t>Service available at all 3 sites.</w:t>
      </w:r>
    </w:p>
    <w:p w:rsidR="00446FF4" w:rsidRPr="00446FF4" w:rsidRDefault="00446FF4" w:rsidP="00446FF4">
      <w:pPr>
        <w:rPr>
          <w:rFonts w:cs="Arial"/>
          <w:szCs w:val="22"/>
        </w:rPr>
      </w:pPr>
      <w:r w:rsidRPr="00446FF4">
        <w:rPr>
          <w:rFonts w:cs="Arial"/>
          <w:b/>
          <w:szCs w:val="22"/>
        </w:rPr>
        <w:t>Legal Advice Sessions</w:t>
      </w:r>
      <w:r w:rsidRPr="00446FF4">
        <w:rPr>
          <w:rFonts w:cs="Arial"/>
          <w:szCs w:val="22"/>
        </w:rPr>
        <w:t>:</w:t>
      </w:r>
      <w:r w:rsidRPr="00446FF4">
        <w:rPr>
          <w:rFonts w:cs="Arial"/>
          <w:szCs w:val="22"/>
        </w:rPr>
        <w:tab/>
        <w:t>Available at Oxhey.</w:t>
      </w:r>
    </w:p>
    <w:p w:rsidR="009A7847" w:rsidRDefault="00446FF4" w:rsidP="009A7847">
      <w:pPr>
        <w:tabs>
          <w:tab w:val="clear" w:pos="2700"/>
          <w:tab w:val="left" w:pos="2694"/>
        </w:tabs>
        <w:ind w:left="2880" w:hanging="2880"/>
        <w:rPr>
          <w:rFonts w:cs="Arial"/>
          <w:szCs w:val="22"/>
        </w:rPr>
      </w:pPr>
      <w:r w:rsidRPr="00446FF4">
        <w:rPr>
          <w:rFonts w:cs="Arial"/>
          <w:b/>
          <w:szCs w:val="22"/>
        </w:rPr>
        <w:t xml:space="preserve">CAB Premises:              </w:t>
      </w:r>
      <w:r w:rsidRPr="00446FF4">
        <w:rPr>
          <w:rFonts w:cs="Arial"/>
          <w:b/>
          <w:szCs w:val="22"/>
        </w:rPr>
        <w:tab/>
      </w:r>
      <w:r w:rsidRPr="00446FF4">
        <w:rPr>
          <w:rFonts w:cs="Arial"/>
          <w:szCs w:val="22"/>
        </w:rPr>
        <w:t xml:space="preserve">Also used by hearing assistance </w:t>
      </w:r>
      <w:r w:rsidR="009A7847">
        <w:rPr>
          <w:rFonts w:cs="Arial"/>
          <w:szCs w:val="22"/>
        </w:rPr>
        <w:t>charity, Signpost youth charity</w:t>
      </w:r>
    </w:p>
    <w:p w:rsidR="00446FF4" w:rsidRPr="00446FF4" w:rsidRDefault="009A7847" w:rsidP="009A7847">
      <w:pPr>
        <w:tabs>
          <w:tab w:val="clear" w:pos="2700"/>
          <w:tab w:val="left" w:pos="2694"/>
        </w:tabs>
        <w:ind w:left="2880" w:hanging="2880"/>
        <w:rPr>
          <w:rFonts w:cs="Arial"/>
          <w:szCs w:val="22"/>
        </w:rPr>
      </w:pPr>
      <w:r>
        <w:rPr>
          <w:rFonts w:cs="Arial"/>
          <w:b/>
          <w:szCs w:val="22"/>
        </w:rPr>
        <w:tab/>
      </w:r>
      <w:r>
        <w:rPr>
          <w:rFonts w:cs="Arial"/>
          <w:b/>
          <w:szCs w:val="22"/>
        </w:rPr>
        <w:tab/>
      </w:r>
      <w:r>
        <w:rPr>
          <w:rFonts w:cs="Arial"/>
          <w:b/>
          <w:szCs w:val="22"/>
        </w:rPr>
        <w:tab/>
      </w:r>
      <w:r w:rsidR="00446FF4" w:rsidRPr="00446FF4">
        <w:rPr>
          <w:rFonts w:cs="Arial"/>
          <w:szCs w:val="22"/>
        </w:rPr>
        <w:t xml:space="preserve">and Mill End Foodbank.              </w:t>
      </w:r>
    </w:p>
    <w:p w:rsidR="00446FF4" w:rsidRPr="00446FF4" w:rsidRDefault="00446FF4" w:rsidP="00446FF4">
      <w:pPr>
        <w:rPr>
          <w:rFonts w:cs="Arial"/>
          <w:b/>
          <w:szCs w:val="22"/>
        </w:rPr>
      </w:pPr>
      <w:r w:rsidRPr="00446FF4">
        <w:rPr>
          <w:rFonts w:cs="Arial"/>
          <w:b/>
          <w:szCs w:val="22"/>
        </w:rPr>
        <w:t>Opening Hours:</w:t>
      </w:r>
      <w:r w:rsidRPr="00446FF4">
        <w:rPr>
          <w:rFonts w:cs="Arial"/>
          <w:szCs w:val="22"/>
        </w:rPr>
        <w:t xml:space="preserve"> </w:t>
      </w:r>
      <w:r w:rsidRPr="00446FF4">
        <w:rPr>
          <w:rFonts w:cs="Arial"/>
          <w:szCs w:val="22"/>
        </w:rPr>
        <w:tab/>
      </w:r>
      <w:r w:rsidRPr="00446FF4">
        <w:rPr>
          <w:rFonts w:cs="Arial"/>
          <w:szCs w:val="22"/>
        </w:rPr>
        <w:tab/>
        <w:t>Total of 77 hours per week, including Tuesday late night.</w:t>
      </w:r>
      <w:r w:rsidRPr="00446FF4">
        <w:rPr>
          <w:rFonts w:cs="Arial"/>
          <w:b/>
          <w:szCs w:val="22"/>
        </w:rPr>
        <w:t xml:space="preserve"> </w:t>
      </w:r>
    </w:p>
    <w:p w:rsidR="00397811" w:rsidRDefault="00446FF4" w:rsidP="009A7847">
      <w:pPr>
        <w:tabs>
          <w:tab w:val="clear" w:pos="2700"/>
          <w:tab w:val="left" w:pos="2694"/>
        </w:tabs>
        <w:ind w:left="2694" w:hanging="2694"/>
        <w:rPr>
          <w:rFonts w:cs="Arial"/>
          <w:szCs w:val="22"/>
        </w:rPr>
      </w:pPr>
      <w:r w:rsidRPr="00446FF4">
        <w:rPr>
          <w:rFonts w:cs="Arial"/>
          <w:b/>
          <w:szCs w:val="22"/>
        </w:rPr>
        <w:t>The Future:</w:t>
      </w:r>
      <w:r w:rsidRPr="00446FF4">
        <w:rPr>
          <w:rFonts w:cs="Arial"/>
          <w:szCs w:val="22"/>
        </w:rPr>
        <w:t xml:space="preserve">                        Concern that in 2018/19 current frontline services may need to be reviewed; South Oxhey CAB relocation; consequences to clients of Universal Credit and possibly Brexit.</w:t>
      </w:r>
    </w:p>
    <w:p w:rsidR="00397811" w:rsidRDefault="00397811" w:rsidP="00397811">
      <w:pPr>
        <w:tabs>
          <w:tab w:val="clear" w:pos="1260"/>
          <w:tab w:val="clear" w:pos="1980"/>
          <w:tab w:val="clear" w:pos="2700"/>
          <w:tab w:val="clear" w:pos="3420"/>
        </w:tabs>
        <w:jc w:val="left"/>
        <w:rPr>
          <w:rFonts w:cs="Arial"/>
          <w:szCs w:val="22"/>
        </w:rPr>
      </w:pPr>
    </w:p>
    <w:p w:rsidR="00397811" w:rsidRDefault="00397811">
      <w:pPr>
        <w:tabs>
          <w:tab w:val="clear" w:pos="1260"/>
          <w:tab w:val="clear" w:pos="1980"/>
          <w:tab w:val="clear" w:pos="2700"/>
          <w:tab w:val="clear" w:pos="3420"/>
        </w:tabs>
        <w:jc w:val="left"/>
        <w:rPr>
          <w:szCs w:val="22"/>
        </w:rPr>
      </w:pPr>
      <w:r>
        <w:rPr>
          <w:szCs w:val="22"/>
        </w:rPr>
        <w:br w:type="page"/>
      </w:r>
    </w:p>
    <w:p w:rsidR="00A3770C" w:rsidRDefault="00397811" w:rsidP="00397811">
      <w:pPr>
        <w:tabs>
          <w:tab w:val="clear" w:pos="1260"/>
          <w:tab w:val="clear" w:pos="1980"/>
          <w:tab w:val="clear" w:pos="2700"/>
          <w:tab w:val="clear" w:pos="3420"/>
        </w:tabs>
        <w:jc w:val="left"/>
        <w:rPr>
          <w:szCs w:val="22"/>
        </w:rPr>
      </w:pPr>
      <w:r w:rsidRPr="007D2BBE">
        <w:rPr>
          <w:szCs w:val="22"/>
        </w:rPr>
        <w:lastRenderedPageBreak/>
        <w:t xml:space="preserve">Appendix </w:t>
      </w:r>
      <w:r>
        <w:rPr>
          <w:szCs w:val="22"/>
        </w:rPr>
        <w:t>B</w:t>
      </w:r>
    </w:p>
    <w:p w:rsidR="00A3770C" w:rsidRDefault="00A3770C" w:rsidP="00397811">
      <w:pPr>
        <w:tabs>
          <w:tab w:val="clear" w:pos="1260"/>
          <w:tab w:val="clear" w:pos="1980"/>
          <w:tab w:val="clear" w:pos="2700"/>
          <w:tab w:val="clear" w:pos="3420"/>
        </w:tabs>
        <w:jc w:val="left"/>
        <w:rPr>
          <w:szCs w:val="22"/>
        </w:rPr>
      </w:pPr>
    </w:p>
    <w:p w:rsidR="00397811" w:rsidRPr="00A3770C" w:rsidRDefault="00A3770C" w:rsidP="008D15B9">
      <w:pPr>
        <w:tabs>
          <w:tab w:val="clear" w:pos="1260"/>
          <w:tab w:val="clear" w:pos="1980"/>
          <w:tab w:val="clear" w:pos="2700"/>
          <w:tab w:val="clear" w:pos="3420"/>
        </w:tabs>
        <w:jc w:val="center"/>
        <w:rPr>
          <w:rFonts w:cs="Arial"/>
          <w:b/>
          <w:sz w:val="24"/>
          <w:szCs w:val="24"/>
        </w:rPr>
      </w:pPr>
      <w:r w:rsidRPr="00A3770C">
        <w:rPr>
          <w:b/>
          <w:color w:val="000000" w:themeColor="text1"/>
          <w:sz w:val="24"/>
          <w:szCs w:val="24"/>
        </w:rPr>
        <w:t>CASTR Quarterly Strategic/Management Performance Indicators 2017/18</w:t>
      </w:r>
    </w:p>
    <w:p w:rsidR="00446FF4" w:rsidRDefault="00446FF4" w:rsidP="00446FF4">
      <w:pPr>
        <w:ind w:left="2880" w:hanging="2880"/>
        <w:rPr>
          <w:rFonts w:cs="Arial"/>
          <w:b/>
          <w:szCs w:val="22"/>
        </w:rPr>
      </w:pPr>
    </w:p>
    <w:p w:rsidR="009B57C7" w:rsidRDefault="009B57C7" w:rsidP="00446FF4">
      <w:pPr>
        <w:ind w:left="2880" w:hanging="2880"/>
        <w:rPr>
          <w:rFonts w:cs="Arial"/>
          <w:b/>
          <w:szCs w:val="22"/>
        </w:rPr>
      </w:pPr>
    </w:p>
    <w:tbl>
      <w:tblPr>
        <w:tblW w:w="912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4A0" w:firstRow="1" w:lastRow="0" w:firstColumn="1" w:lastColumn="0" w:noHBand="0" w:noVBand="1"/>
      </w:tblPr>
      <w:tblGrid>
        <w:gridCol w:w="2749"/>
        <w:gridCol w:w="787"/>
        <w:gridCol w:w="741"/>
        <w:gridCol w:w="851"/>
        <w:gridCol w:w="851"/>
        <w:gridCol w:w="3148"/>
      </w:tblGrid>
      <w:tr w:rsidR="006B2E94" w:rsidRPr="009B57C7" w:rsidTr="008C2A05">
        <w:trPr>
          <w:jc w:val="center"/>
        </w:trPr>
        <w:tc>
          <w:tcPr>
            <w:tcW w:w="2749" w:type="dxa"/>
            <w:shd w:val="clear" w:color="auto" w:fill="A6A6A6" w:themeFill="background1" w:themeFillShade="A6"/>
            <w:tcMar>
              <w:top w:w="0" w:type="dxa"/>
              <w:left w:w="108" w:type="dxa"/>
              <w:bottom w:w="0" w:type="dxa"/>
              <w:right w:w="108" w:type="dxa"/>
            </w:tcMar>
            <w:vAlign w:val="center"/>
            <w:hideMark/>
          </w:tcPr>
          <w:p w:rsidR="006B2E94" w:rsidRPr="009B57C7" w:rsidRDefault="006B2E94" w:rsidP="009B57C7">
            <w:pPr>
              <w:spacing w:before="100" w:beforeAutospacing="1" w:after="100" w:afterAutospacing="1"/>
              <w:jc w:val="center"/>
              <w:rPr>
                <w:rFonts w:cs="Arial"/>
                <w:sz w:val="24"/>
                <w:szCs w:val="24"/>
                <w:lang w:eastAsia="en-US"/>
              </w:rPr>
            </w:pPr>
            <w:r w:rsidRPr="009B57C7">
              <w:rPr>
                <w:rFonts w:cs="Arial"/>
                <w:b/>
                <w:bCs/>
                <w:color w:val="000000"/>
                <w:sz w:val="24"/>
                <w:szCs w:val="24"/>
                <w:lang w:eastAsia="en-US"/>
              </w:rPr>
              <w:t>Strategic Indicator</w:t>
            </w:r>
          </w:p>
        </w:tc>
        <w:tc>
          <w:tcPr>
            <w:tcW w:w="787" w:type="dxa"/>
            <w:tcBorders>
              <w:bottom w:val="single" w:sz="18" w:space="0" w:color="auto"/>
            </w:tcBorders>
            <w:shd w:val="clear" w:color="auto" w:fill="A6A6A6" w:themeFill="background1" w:themeFillShade="A6"/>
          </w:tcPr>
          <w:p w:rsidR="006B2E94" w:rsidRPr="00A3770C" w:rsidRDefault="006B2E94" w:rsidP="008D15B9">
            <w:pPr>
              <w:spacing w:before="100" w:beforeAutospacing="1" w:after="100" w:afterAutospacing="1"/>
              <w:jc w:val="center"/>
              <w:rPr>
                <w:rFonts w:cs="Arial"/>
                <w:b/>
                <w:i/>
                <w:sz w:val="20"/>
                <w:lang w:eastAsia="en-US"/>
              </w:rPr>
            </w:pPr>
            <w:r w:rsidRPr="00A3770C">
              <w:rPr>
                <w:rFonts w:cs="Arial"/>
                <w:b/>
                <w:i/>
                <w:color w:val="000000"/>
                <w:sz w:val="20"/>
                <w:lang w:eastAsia="en-US"/>
              </w:rPr>
              <w:t>Target</w:t>
            </w:r>
            <w:r>
              <w:rPr>
                <w:rFonts w:cs="Arial"/>
                <w:b/>
                <w:i/>
                <w:color w:val="000000"/>
                <w:sz w:val="20"/>
                <w:lang w:eastAsia="en-US"/>
              </w:rPr>
              <w:t xml:space="preserve"> </w:t>
            </w:r>
            <w:r w:rsidRPr="00A3770C">
              <w:rPr>
                <w:rFonts w:cs="Arial"/>
                <w:b/>
                <w:color w:val="000000"/>
                <w:sz w:val="20"/>
                <w:lang w:eastAsia="en-US"/>
              </w:rPr>
              <w:t>Q</w:t>
            </w:r>
            <w:r>
              <w:rPr>
                <w:rFonts w:cs="Arial"/>
                <w:b/>
                <w:color w:val="000000"/>
                <w:sz w:val="20"/>
                <w:lang w:eastAsia="en-US"/>
              </w:rPr>
              <w:t>1</w:t>
            </w:r>
          </w:p>
        </w:tc>
        <w:tc>
          <w:tcPr>
            <w:tcW w:w="741" w:type="dxa"/>
            <w:tcBorders>
              <w:bottom w:val="single" w:sz="18" w:space="0" w:color="auto"/>
            </w:tcBorders>
            <w:shd w:val="clear" w:color="auto" w:fill="A6A6A6" w:themeFill="background1" w:themeFillShade="A6"/>
            <w:hideMark/>
          </w:tcPr>
          <w:p w:rsidR="006B2E94" w:rsidRPr="00A3770C" w:rsidRDefault="006B2E94" w:rsidP="006B2E94">
            <w:pPr>
              <w:spacing w:before="100" w:beforeAutospacing="1" w:after="100" w:afterAutospacing="1"/>
              <w:jc w:val="center"/>
              <w:rPr>
                <w:rFonts w:cs="Arial"/>
                <w:b/>
                <w:sz w:val="20"/>
                <w:lang w:eastAsia="en-US"/>
              </w:rPr>
            </w:pPr>
            <w:r>
              <w:rPr>
                <w:rFonts w:cs="Arial"/>
                <w:b/>
                <w:iCs/>
                <w:color w:val="000000"/>
                <w:sz w:val="20"/>
                <w:lang w:eastAsia="en-US"/>
              </w:rPr>
              <w:t xml:space="preserve">Result </w:t>
            </w:r>
            <w:r w:rsidRPr="00A3770C">
              <w:rPr>
                <w:rFonts w:cs="Arial"/>
                <w:b/>
                <w:iCs/>
                <w:color w:val="000000"/>
                <w:sz w:val="20"/>
                <w:lang w:eastAsia="en-US"/>
              </w:rPr>
              <w:t>Q1</w:t>
            </w:r>
          </w:p>
        </w:tc>
        <w:tc>
          <w:tcPr>
            <w:tcW w:w="851" w:type="dxa"/>
            <w:tcBorders>
              <w:bottom w:val="single" w:sz="18" w:space="0" w:color="auto"/>
            </w:tcBorders>
            <w:shd w:val="clear" w:color="auto" w:fill="A6A6A6" w:themeFill="background1" w:themeFillShade="A6"/>
          </w:tcPr>
          <w:p w:rsidR="006B2E94" w:rsidRPr="00A3770C" w:rsidRDefault="006B2E94" w:rsidP="006B2E94">
            <w:pPr>
              <w:spacing w:before="100" w:beforeAutospacing="1" w:after="100" w:afterAutospacing="1"/>
              <w:jc w:val="center"/>
              <w:rPr>
                <w:rFonts w:cs="Arial"/>
                <w:b/>
                <w:color w:val="000000"/>
                <w:sz w:val="20"/>
                <w:lang w:eastAsia="en-US"/>
              </w:rPr>
            </w:pPr>
            <w:r w:rsidRPr="00A3770C">
              <w:rPr>
                <w:rFonts w:cs="Arial"/>
                <w:b/>
                <w:i/>
                <w:color w:val="000000"/>
                <w:sz w:val="20"/>
                <w:lang w:eastAsia="en-US"/>
              </w:rPr>
              <w:t>Target</w:t>
            </w:r>
            <w:r>
              <w:rPr>
                <w:rFonts w:cs="Arial"/>
                <w:b/>
                <w:i/>
                <w:color w:val="000000"/>
                <w:sz w:val="20"/>
                <w:lang w:eastAsia="en-US"/>
              </w:rPr>
              <w:t xml:space="preserve"> </w:t>
            </w:r>
            <w:r w:rsidRPr="00A3770C">
              <w:rPr>
                <w:rFonts w:cs="Arial"/>
                <w:b/>
                <w:color w:val="000000"/>
                <w:sz w:val="20"/>
                <w:lang w:eastAsia="en-US"/>
              </w:rPr>
              <w:t>Q2</w:t>
            </w:r>
          </w:p>
        </w:tc>
        <w:tc>
          <w:tcPr>
            <w:tcW w:w="851" w:type="dxa"/>
            <w:tcBorders>
              <w:bottom w:val="single" w:sz="18" w:space="0" w:color="auto"/>
            </w:tcBorders>
            <w:shd w:val="clear" w:color="auto" w:fill="A6A6A6" w:themeFill="background1" w:themeFillShade="A6"/>
            <w:tcMar>
              <w:top w:w="0" w:type="dxa"/>
              <w:left w:w="108" w:type="dxa"/>
              <w:bottom w:w="0" w:type="dxa"/>
              <w:right w:w="108" w:type="dxa"/>
            </w:tcMar>
            <w:hideMark/>
          </w:tcPr>
          <w:p w:rsidR="006B2E94" w:rsidRPr="00A3770C" w:rsidRDefault="006B2E94" w:rsidP="006B2E94">
            <w:pPr>
              <w:spacing w:before="100" w:beforeAutospacing="1" w:after="100" w:afterAutospacing="1"/>
              <w:jc w:val="center"/>
              <w:rPr>
                <w:rFonts w:cs="Arial"/>
                <w:b/>
                <w:sz w:val="20"/>
                <w:lang w:eastAsia="en-US"/>
              </w:rPr>
            </w:pPr>
            <w:r w:rsidRPr="00A3770C">
              <w:rPr>
                <w:rFonts w:cs="Arial"/>
                <w:b/>
                <w:color w:val="000000"/>
                <w:sz w:val="20"/>
                <w:lang w:eastAsia="en-US"/>
              </w:rPr>
              <w:t>Resul</w:t>
            </w:r>
            <w:r>
              <w:rPr>
                <w:rFonts w:cs="Arial"/>
                <w:b/>
                <w:color w:val="000000"/>
                <w:sz w:val="20"/>
                <w:lang w:eastAsia="en-US"/>
              </w:rPr>
              <w:t xml:space="preserve">t </w:t>
            </w:r>
            <w:r w:rsidRPr="00A3770C">
              <w:rPr>
                <w:rFonts w:cs="Arial"/>
                <w:b/>
                <w:color w:val="000000"/>
                <w:sz w:val="20"/>
                <w:lang w:eastAsia="en-US"/>
              </w:rPr>
              <w:t>Q2</w:t>
            </w:r>
          </w:p>
        </w:tc>
        <w:tc>
          <w:tcPr>
            <w:tcW w:w="3148" w:type="dxa"/>
            <w:shd w:val="clear" w:color="auto" w:fill="A6A6A6" w:themeFill="background1" w:themeFillShade="A6"/>
            <w:tcMar>
              <w:top w:w="0" w:type="dxa"/>
              <w:left w:w="108" w:type="dxa"/>
              <w:bottom w:w="0" w:type="dxa"/>
              <w:right w:w="108" w:type="dxa"/>
            </w:tcMar>
            <w:hideMark/>
          </w:tcPr>
          <w:p w:rsidR="006B2E94" w:rsidRPr="00A3770C" w:rsidRDefault="006B2E94" w:rsidP="009B57C7">
            <w:pPr>
              <w:tabs>
                <w:tab w:val="left" w:pos="3123"/>
              </w:tabs>
              <w:spacing w:before="100" w:beforeAutospacing="1" w:after="100" w:afterAutospacing="1"/>
              <w:jc w:val="center"/>
              <w:rPr>
                <w:rFonts w:cs="Arial"/>
                <w:b/>
                <w:sz w:val="20"/>
                <w:lang w:eastAsia="en-US"/>
              </w:rPr>
            </w:pPr>
            <w:r w:rsidRPr="00A3770C">
              <w:rPr>
                <w:rFonts w:cs="Arial"/>
                <w:b/>
                <w:color w:val="000000"/>
                <w:sz w:val="20"/>
                <w:lang w:eastAsia="en-US"/>
              </w:rPr>
              <w:t>Exception Report / Other Feedback</w:t>
            </w:r>
            <w:r>
              <w:rPr>
                <w:rFonts w:cs="Arial"/>
                <w:b/>
                <w:color w:val="000000"/>
                <w:sz w:val="20"/>
                <w:lang w:eastAsia="en-US"/>
              </w:rPr>
              <w:t xml:space="preserve"> from CASTR</w:t>
            </w:r>
          </w:p>
        </w:tc>
      </w:tr>
      <w:tr w:rsidR="006B2E94" w:rsidRPr="009B57C7" w:rsidTr="008C2A05">
        <w:trPr>
          <w:trHeight w:val="2711"/>
          <w:jc w:val="center"/>
        </w:trPr>
        <w:tc>
          <w:tcPr>
            <w:tcW w:w="2749" w:type="dxa"/>
            <w:tcMar>
              <w:top w:w="0" w:type="dxa"/>
              <w:left w:w="108" w:type="dxa"/>
              <w:bottom w:w="0" w:type="dxa"/>
              <w:right w:w="108" w:type="dxa"/>
            </w:tcMar>
            <w:vAlign w:val="center"/>
            <w:hideMark/>
          </w:tcPr>
          <w:p w:rsidR="006B2E94" w:rsidRPr="009B57C7" w:rsidRDefault="006B2E94" w:rsidP="009B57C7">
            <w:pPr>
              <w:spacing w:before="100" w:beforeAutospacing="1" w:after="100" w:afterAutospacing="1"/>
              <w:jc w:val="left"/>
              <w:rPr>
                <w:rFonts w:cs="Arial"/>
                <w:sz w:val="20"/>
                <w:lang w:eastAsia="en-US"/>
              </w:rPr>
            </w:pPr>
            <w:r w:rsidRPr="009B57C7">
              <w:rPr>
                <w:rFonts w:cs="Arial"/>
                <w:color w:val="000000"/>
                <w:sz w:val="20"/>
                <w:lang w:eastAsia="en-US"/>
              </w:rPr>
              <w:t>Nos. of clients that now</w:t>
            </w:r>
            <w:r>
              <w:rPr>
                <w:rFonts w:cs="Arial"/>
                <w:color w:val="000000"/>
                <w:sz w:val="20"/>
                <w:lang w:eastAsia="en-US"/>
              </w:rPr>
              <w:t xml:space="preserve"> </w:t>
            </w:r>
            <w:r w:rsidRPr="009B57C7">
              <w:rPr>
                <w:rFonts w:cs="Arial"/>
                <w:color w:val="000000"/>
                <w:sz w:val="20"/>
                <w:lang w:eastAsia="en-US"/>
              </w:rPr>
              <w:t>receive benefits they are entitled to following CAS in Three Rivers Intervention</w:t>
            </w:r>
          </w:p>
        </w:tc>
        <w:tc>
          <w:tcPr>
            <w:tcW w:w="787" w:type="dxa"/>
            <w:shd w:val="clear" w:color="auto" w:fill="FFFFFF" w:themeFill="background1"/>
            <w:vAlign w:val="center"/>
          </w:tcPr>
          <w:p w:rsidR="006B2E94" w:rsidRPr="009B57C7" w:rsidRDefault="005A6C9C" w:rsidP="005A6C9C">
            <w:pPr>
              <w:spacing w:before="100" w:beforeAutospacing="1" w:after="100" w:afterAutospacing="1"/>
              <w:jc w:val="center"/>
              <w:rPr>
                <w:rFonts w:cs="Arial"/>
                <w:i/>
                <w:sz w:val="20"/>
                <w:lang w:eastAsia="en-US"/>
              </w:rPr>
            </w:pPr>
            <w:r>
              <w:rPr>
                <w:rFonts w:cs="Arial"/>
                <w:i/>
                <w:sz w:val="20"/>
                <w:lang w:eastAsia="en-US"/>
              </w:rPr>
              <w:t>733</w:t>
            </w:r>
          </w:p>
        </w:tc>
        <w:tc>
          <w:tcPr>
            <w:tcW w:w="741" w:type="dxa"/>
            <w:shd w:val="clear" w:color="auto" w:fill="FFFFFF" w:themeFill="background1"/>
            <w:vAlign w:val="center"/>
            <w:hideMark/>
          </w:tcPr>
          <w:p w:rsidR="006B2E94" w:rsidRPr="009B57C7" w:rsidRDefault="006B2E94" w:rsidP="005A6C9C">
            <w:pPr>
              <w:spacing w:before="100" w:beforeAutospacing="1" w:after="100" w:afterAutospacing="1"/>
              <w:jc w:val="center"/>
              <w:rPr>
                <w:rFonts w:cs="Arial"/>
                <w:sz w:val="20"/>
                <w:lang w:eastAsia="en-US"/>
              </w:rPr>
            </w:pPr>
            <w:r w:rsidRPr="009B57C7">
              <w:rPr>
                <w:rFonts w:cs="Arial"/>
                <w:iCs/>
                <w:color w:val="000000"/>
                <w:sz w:val="20"/>
                <w:lang w:eastAsia="en-US"/>
              </w:rPr>
              <w:t>1338</w:t>
            </w:r>
          </w:p>
        </w:tc>
        <w:tc>
          <w:tcPr>
            <w:tcW w:w="851" w:type="dxa"/>
            <w:shd w:val="clear" w:color="auto" w:fill="FFFFFF" w:themeFill="background1"/>
            <w:vAlign w:val="center"/>
          </w:tcPr>
          <w:p w:rsidR="006B2E94" w:rsidRPr="009B57C7" w:rsidRDefault="005A6C9C" w:rsidP="005A6C9C">
            <w:pPr>
              <w:spacing w:before="100" w:beforeAutospacing="1" w:after="100" w:afterAutospacing="1"/>
              <w:jc w:val="center"/>
              <w:rPr>
                <w:rFonts w:cs="Arial"/>
                <w:i/>
                <w:color w:val="000000"/>
                <w:sz w:val="20"/>
                <w:lang w:eastAsia="en-US"/>
              </w:rPr>
            </w:pPr>
            <w:r>
              <w:rPr>
                <w:rFonts w:cs="Arial"/>
                <w:i/>
                <w:color w:val="000000"/>
                <w:sz w:val="20"/>
                <w:lang w:eastAsia="en-US"/>
              </w:rPr>
              <w:t>367</w:t>
            </w:r>
          </w:p>
        </w:tc>
        <w:tc>
          <w:tcPr>
            <w:tcW w:w="851" w:type="dxa"/>
            <w:shd w:val="clear" w:color="auto" w:fill="FFFFFF" w:themeFill="background1"/>
            <w:tcMar>
              <w:top w:w="0" w:type="dxa"/>
              <w:left w:w="108" w:type="dxa"/>
              <w:bottom w:w="0" w:type="dxa"/>
              <w:right w:w="108" w:type="dxa"/>
            </w:tcMar>
            <w:vAlign w:val="center"/>
            <w:hideMark/>
          </w:tcPr>
          <w:p w:rsidR="006B2E94" w:rsidRPr="009B57C7" w:rsidRDefault="006B2E94" w:rsidP="005A6C9C">
            <w:pPr>
              <w:spacing w:before="100" w:beforeAutospacing="1" w:after="100" w:afterAutospacing="1"/>
              <w:jc w:val="center"/>
              <w:rPr>
                <w:rFonts w:cs="Arial"/>
                <w:i/>
                <w:sz w:val="20"/>
                <w:lang w:eastAsia="en-US"/>
              </w:rPr>
            </w:pPr>
            <w:r w:rsidRPr="009B57C7">
              <w:rPr>
                <w:rFonts w:cs="Arial"/>
                <w:i/>
                <w:color w:val="000000"/>
                <w:sz w:val="20"/>
                <w:lang w:eastAsia="en-US"/>
              </w:rPr>
              <w:t>1023</w:t>
            </w:r>
          </w:p>
        </w:tc>
        <w:tc>
          <w:tcPr>
            <w:tcW w:w="3148" w:type="dxa"/>
            <w:tcMar>
              <w:top w:w="0" w:type="dxa"/>
              <w:left w:w="108" w:type="dxa"/>
              <w:bottom w:w="0" w:type="dxa"/>
              <w:right w:w="108" w:type="dxa"/>
            </w:tcMar>
            <w:vAlign w:val="center"/>
            <w:hideMark/>
          </w:tcPr>
          <w:p w:rsidR="006B2E94" w:rsidRPr="009B57C7" w:rsidRDefault="006B2E94" w:rsidP="008D15B9">
            <w:pPr>
              <w:jc w:val="center"/>
              <w:rPr>
                <w:rFonts w:cs="Arial"/>
                <w:sz w:val="20"/>
                <w:lang w:eastAsia="en-US"/>
              </w:rPr>
            </w:pPr>
            <w:r w:rsidRPr="007E232C">
              <w:rPr>
                <w:rFonts w:cs="Arial"/>
                <w:sz w:val="20"/>
                <w:lang w:eastAsia="en-US"/>
              </w:rPr>
              <w:t>Surge in demand due to concerns re Universal Credit, shrinking disposable incomes from benefit cap and inflation</w:t>
            </w:r>
            <w:r>
              <w:rPr>
                <w:rFonts w:cs="Arial"/>
                <w:sz w:val="20"/>
                <w:lang w:eastAsia="en-US"/>
              </w:rPr>
              <w:t xml:space="preserve"> / </w:t>
            </w:r>
            <w:r w:rsidRPr="007E232C">
              <w:rPr>
                <w:rFonts w:cs="Arial"/>
                <w:sz w:val="20"/>
                <w:lang w:eastAsia="en-US"/>
              </w:rPr>
              <w:t>Surge in benefit queries as</w:t>
            </w:r>
            <w:r>
              <w:rPr>
                <w:rFonts w:cs="Arial"/>
                <w:sz w:val="20"/>
                <w:lang w:eastAsia="en-US"/>
              </w:rPr>
              <w:t xml:space="preserve"> </w:t>
            </w:r>
            <w:r w:rsidRPr="007E232C">
              <w:rPr>
                <w:rFonts w:cs="Arial"/>
                <w:sz w:val="20"/>
                <w:lang w:eastAsia="en-US"/>
              </w:rPr>
              <w:t>clients’ incomes have been cut due to the benefit cap, welfare reforms in general.  We have an increase in rent arrears as clients struggle to meet rent and everyday costs.</w:t>
            </w:r>
          </w:p>
        </w:tc>
      </w:tr>
      <w:tr w:rsidR="006B2E94" w:rsidRPr="009B57C7" w:rsidTr="008C2A05">
        <w:trPr>
          <w:trHeight w:val="2101"/>
          <w:jc w:val="center"/>
        </w:trPr>
        <w:tc>
          <w:tcPr>
            <w:tcW w:w="2749" w:type="dxa"/>
            <w:tcMar>
              <w:top w:w="0" w:type="dxa"/>
              <w:left w:w="108" w:type="dxa"/>
              <w:bottom w:w="0" w:type="dxa"/>
              <w:right w:w="108" w:type="dxa"/>
            </w:tcMar>
            <w:vAlign w:val="center"/>
            <w:hideMark/>
          </w:tcPr>
          <w:p w:rsidR="006B2E94" w:rsidRPr="009B57C7" w:rsidRDefault="006B2E94" w:rsidP="009B57C7">
            <w:pPr>
              <w:spacing w:before="100" w:beforeAutospacing="1" w:after="100" w:afterAutospacing="1"/>
              <w:jc w:val="left"/>
              <w:rPr>
                <w:rFonts w:cs="Arial"/>
                <w:sz w:val="20"/>
                <w:lang w:eastAsia="en-US"/>
              </w:rPr>
            </w:pPr>
            <w:r w:rsidRPr="009B57C7">
              <w:rPr>
                <w:rFonts w:cs="Arial"/>
                <w:color w:val="000000"/>
                <w:sz w:val="20"/>
                <w:lang w:eastAsia="en-US"/>
              </w:rPr>
              <w:t>Number of clients onto a Debt Relief Order</w:t>
            </w:r>
          </w:p>
        </w:tc>
        <w:tc>
          <w:tcPr>
            <w:tcW w:w="787" w:type="dxa"/>
            <w:shd w:val="clear" w:color="auto" w:fill="FFFFFF" w:themeFill="background1"/>
            <w:vAlign w:val="center"/>
          </w:tcPr>
          <w:p w:rsidR="006B2E94" w:rsidRPr="009B57C7" w:rsidRDefault="005A6C9C" w:rsidP="005A6C9C">
            <w:pPr>
              <w:spacing w:before="100" w:beforeAutospacing="1" w:after="100" w:afterAutospacing="1"/>
              <w:jc w:val="center"/>
              <w:rPr>
                <w:rFonts w:cs="Arial"/>
                <w:i/>
                <w:sz w:val="20"/>
                <w:lang w:eastAsia="en-US"/>
              </w:rPr>
            </w:pPr>
            <w:r>
              <w:rPr>
                <w:rFonts w:cs="Arial"/>
                <w:i/>
                <w:sz w:val="20"/>
                <w:lang w:eastAsia="en-US"/>
              </w:rPr>
              <w:t>11</w:t>
            </w:r>
          </w:p>
        </w:tc>
        <w:tc>
          <w:tcPr>
            <w:tcW w:w="741" w:type="dxa"/>
            <w:shd w:val="clear" w:color="auto" w:fill="FFFFFF" w:themeFill="background1"/>
            <w:vAlign w:val="center"/>
            <w:hideMark/>
          </w:tcPr>
          <w:p w:rsidR="006B2E94" w:rsidRPr="009B57C7" w:rsidRDefault="006B2E94" w:rsidP="005A6C9C">
            <w:pPr>
              <w:spacing w:before="100" w:beforeAutospacing="1" w:after="100" w:afterAutospacing="1"/>
              <w:jc w:val="center"/>
              <w:rPr>
                <w:rFonts w:cs="Arial"/>
                <w:sz w:val="20"/>
                <w:lang w:eastAsia="en-US"/>
              </w:rPr>
            </w:pPr>
            <w:r w:rsidRPr="009B57C7">
              <w:rPr>
                <w:rFonts w:cs="Arial"/>
                <w:iCs/>
                <w:color w:val="000000"/>
                <w:sz w:val="20"/>
                <w:lang w:eastAsia="en-US"/>
              </w:rPr>
              <w:t>8</w:t>
            </w:r>
          </w:p>
        </w:tc>
        <w:tc>
          <w:tcPr>
            <w:tcW w:w="851" w:type="dxa"/>
            <w:shd w:val="clear" w:color="auto" w:fill="FFFFFF" w:themeFill="background1"/>
            <w:vAlign w:val="center"/>
          </w:tcPr>
          <w:p w:rsidR="006B2E94" w:rsidRPr="009B57C7" w:rsidRDefault="005A6C9C" w:rsidP="005A6C9C">
            <w:pPr>
              <w:spacing w:before="100" w:beforeAutospacing="1" w:after="100" w:afterAutospacing="1"/>
              <w:jc w:val="center"/>
              <w:rPr>
                <w:rFonts w:cs="Arial"/>
                <w:i/>
                <w:color w:val="000000"/>
                <w:sz w:val="20"/>
                <w:lang w:eastAsia="en-US"/>
              </w:rPr>
            </w:pPr>
            <w:r>
              <w:rPr>
                <w:rFonts w:cs="Arial"/>
                <w:i/>
                <w:color w:val="000000"/>
                <w:sz w:val="20"/>
                <w:lang w:eastAsia="en-US"/>
              </w:rPr>
              <w:t>6</w:t>
            </w:r>
          </w:p>
        </w:tc>
        <w:tc>
          <w:tcPr>
            <w:tcW w:w="851" w:type="dxa"/>
            <w:shd w:val="clear" w:color="auto" w:fill="FFFFFF" w:themeFill="background1"/>
            <w:tcMar>
              <w:top w:w="0" w:type="dxa"/>
              <w:left w:w="108" w:type="dxa"/>
              <w:bottom w:w="0" w:type="dxa"/>
              <w:right w:w="108" w:type="dxa"/>
            </w:tcMar>
            <w:vAlign w:val="center"/>
            <w:hideMark/>
          </w:tcPr>
          <w:p w:rsidR="006B2E94" w:rsidRPr="009B57C7" w:rsidRDefault="006B2E94" w:rsidP="005A6C9C">
            <w:pPr>
              <w:spacing w:before="100" w:beforeAutospacing="1" w:after="100" w:afterAutospacing="1"/>
              <w:jc w:val="center"/>
              <w:rPr>
                <w:rFonts w:cs="Arial"/>
                <w:i/>
                <w:sz w:val="20"/>
                <w:lang w:eastAsia="en-US"/>
              </w:rPr>
            </w:pPr>
            <w:r w:rsidRPr="009B57C7">
              <w:rPr>
                <w:rFonts w:cs="Arial"/>
                <w:i/>
                <w:color w:val="000000"/>
                <w:sz w:val="20"/>
                <w:lang w:eastAsia="en-US"/>
              </w:rPr>
              <w:t>11</w:t>
            </w:r>
          </w:p>
        </w:tc>
        <w:tc>
          <w:tcPr>
            <w:tcW w:w="3148" w:type="dxa"/>
            <w:tcMar>
              <w:top w:w="0" w:type="dxa"/>
              <w:left w:w="108" w:type="dxa"/>
              <w:bottom w:w="0" w:type="dxa"/>
              <w:right w:w="108" w:type="dxa"/>
            </w:tcMar>
            <w:vAlign w:val="center"/>
            <w:hideMark/>
          </w:tcPr>
          <w:p w:rsidR="006B2E94" w:rsidRPr="009B57C7" w:rsidRDefault="006B2E94" w:rsidP="003360ED">
            <w:pPr>
              <w:spacing w:before="100" w:beforeAutospacing="1" w:after="100" w:afterAutospacing="1"/>
              <w:jc w:val="center"/>
              <w:rPr>
                <w:rFonts w:cs="Arial"/>
                <w:sz w:val="20"/>
                <w:lang w:eastAsia="en-US"/>
              </w:rPr>
            </w:pPr>
            <w:r w:rsidRPr="007E232C">
              <w:rPr>
                <w:rFonts w:cs="Arial"/>
                <w:sz w:val="20"/>
                <w:lang w:eastAsia="en-US"/>
              </w:rPr>
              <w:t>We can only process DROs when clients happen to present to us and meet the very strict criteria.  If they don't meet the criteria, we organise some other solution</w:t>
            </w:r>
            <w:r w:rsidR="003360ED">
              <w:rPr>
                <w:rFonts w:cs="Arial"/>
                <w:sz w:val="20"/>
                <w:lang w:eastAsia="en-US"/>
              </w:rPr>
              <w:t>,</w:t>
            </w:r>
            <w:r w:rsidRPr="007E232C">
              <w:rPr>
                <w:rFonts w:cs="Arial"/>
                <w:sz w:val="20"/>
                <w:lang w:eastAsia="en-US"/>
              </w:rPr>
              <w:t xml:space="preserve"> e</w:t>
            </w:r>
            <w:r w:rsidR="003360ED">
              <w:rPr>
                <w:rFonts w:cs="Arial"/>
                <w:sz w:val="20"/>
                <w:lang w:eastAsia="en-US"/>
              </w:rPr>
              <w:t>.</w:t>
            </w:r>
            <w:r w:rsidRPr="007E232C">
              <w:rPr>
                <w:rFonts w:cs="Arial"/>
                <w:sz w:val="20"/>
                <w:lang w:eastAsia="en-US"/>
              </w:rPr>
              <w:t>g</w:t>
            </w:r>
            <w:r w:rsidR="003360ED">
              <w:rPr>
                <w:rFonts w:cs="Arial"/>
                <w:sz w:val="20"/>
                <w:lang w:eastAsia="en-US"/>
              </w:rPr>
              <w:t>.</w:t>
            </w:r>
            <w:r w:rsidRPr="007E232C">
              <w:rPr>
                <w:rFonts w:cs="Arial"/>
                <w:sz w:val="20"/>
                <w:lang w:eastAsia="en-US"/>
              </w:rPr>
              <w:t xml:space="preserve"> debt repayment plan, grant from a trust to cover arrears etc.</w:t>
            </w:r>
          </w:p>
        </w:tc>
      </w:tr>
      <w:tr w:rsidR="006B2E94" w:rsidRPr="009B57C7" w:rsidTr="008C2A05">
        <w:trPr>
          <w:trHeight w:val="835"/>
          <w:jc w:val="center"/>
        </w:trPr>
        <w:tc>
          <w:tcPr>
            <w:tcW w:w="2749" w:type="dxa"/>
            <w:tcMar>
              <w:top w:w="0" w:type="dxa"/>
              <w:left w:w="108" w:type="dxa"/>
              <w:bottom w:w="0" w:type="dxa"/>
              <w:right w:w="108" w:type="dxa"/>
            </w:tcMar>
            <w:vAlign w:val="center"/>
            <w:hideMark/>
          </w:tcPr>
          <w:p w:rsidR="006B2E94" w:rsidRPr="009B57C7" w:rsidRDefault="006B2E94" w:rsidP="009B57C7">
            <w:pPr>
              <w:spacing w:before="100" w:beforeAutospacing="1" w:after="100" w:afterAutospacing="1"/>
              <w:jc w:val="left"/>
              <w:rPr>
                <w:rFonts w:cs="Arial"/>
                <w:sz w:val="20"/>
                <w:lang w:eastAsia="en-US"/>
              </w:rPr>
            </w:pPr>
            <w:r w:rsidRPr="009B57C7">
              <w:rPr>
                <w:rFonts w:cs="Arial"/>
                <w:color w:val="000000"/>
                <w:sz w:val="20"/>
                <w:lang w:eastAsia="en-US"/>
              </w:rPr>
              <w:t>Number of clients no longer at threat of eviction that were at threat of eviction</w:t>
            </w:r>
          </w:p>
        </w:tc>
        <w:tc>
          <w:tcPr>
            <w:tcW w:w="787" w:type="dxa"/>
            <w:tcBorders>
              <w:bottom w:val="single" w:sz="18" w:space="0" w:color="auto"/>
            </w:tcBorders>
            <w:shd w:val="clear" w:color="auto" w:fill="FFFFFF" w:themeFill="background1"/>
            <w:vAlign w:val="center"/>
          </w:tcPr>
          <w:p w:rsidR="006B2E94" w:rsidRPr="009B57C7" w:rsidRDefault="005A6C9C" w:rsidP="005A6C9C">
            <w:pPr>
              <w:spacing w:before="100" w:beforeAutospacing="1" w:after="100" w:afterAutospacing="1"/>
              <w:jc w:val="center"/>
              <w:rPr>
                <w:rFonts w:cs="Arial"/>
                <w:i/>
                <w:sz w:val="20"/>
                <w:lang w:eastAsia="en-US"/>
              </w:rPr>
            </w:pPr>
            <w:r>
              <w:rPr>
                <w:rFonts w:cs="Arial"/>
                <w:i/>
                <w:sz w:val="20"/>
                <w:lang w:eastAsia="en-US"/>
              </w:rPr>
              <w:t>100</w:t>
            </w:r>
          </w:p>
        </w:tc>
        <w:tc>
          <w:tcPr>
            <w:tcW w:w="741" w:type="dxa"/>
            <w:shd w:val="clear" w:color="auto" w:fill="FFFFFF" w:themeFill="background1"/>
            <w:vAlign w:val="center"/>
            <w:hideMark/>
          </w:tcPr>
          <w:p w:rsidR="006B2E94" w:rsidRPr="009B57C7" w:rsidRDefault="006B2E94" w:rsidP="005A6C9C">
            <w:pPr>
              <w:spacing w:before="100" w:beforeAutospacing="1" w:after="100" w:afterAutospacing="1"/>
              <w:jc w:val="center"/>
              <w:rPr>
                <w:rFonts w:cs="Arial"/>
                <w:sz w:val="20"/>
                <w:lang w:eastAsia="en-US"/>
              </w:rPr>
            </w:pPr>
            <w:r w:rsidRPr="009B57C7">
              <w:rPr>
                <w:rFonts w:cs="Arial"/>
                <w:iCs/>
                <w:color w:val="000000"/>
                <w:sz w:val="20"/>
                <w:lang w:eastAsia="en-US"/>
              </w:rPr>
              <w:t>131</w:t>
            </w:r>
          </w:p>
        </w:tc>
        <w:tc>
          <w:tcPr>
            <w:tcW w:w="851" w:type="dxa"/>
            <w:tcBorders>
              <w:bottom w:val="single" w:sz="18" w:space="0" w:color="auto"/>
            </w:tcBorders>
            <w:shd w:val="clear" w:color="auto" w:fill="FFFFFF" w:themeFill="background1"/>
            <w:vAlign w:val="center"/>
          </w:tcPr>
          <w:p w:rsidR="005A6C9C" w:rsidRPr="009B57C7" w:rsidRDefault="005A6C9C" w:rsidP="005A6C9C">
            <w:pPr>
              <w:spacing w:before="100" w:beforeAutospacing="1" w:after="100" w:afterAutospacing="1"/>
              <w:jc w:val="center"/>
              <w:rPr>
                <w:rFonts w:cs="Arial"/>
                <w:i/>
                <w:color w:val="000000"/>
                <w:sz w:val="20"/>
                <w:lang w:eastAsia="en-US"/>
              </w:rPr>
            </w:pPr>
            <w:r>
              <w:rPr>
                <w:rFonts w:cs="Arial"/>
                <w:i/>
                <w:color w:val="000000"/>
                <w:sz w:val="20"/>
                <w:lang w:eastAsia="en-US"/>
              </w:rPr>
              <w:t>55</w:t>
            </w:r>
          </w:p>
        </w:tc>
        <w:tc>
          <w:tcPr>
            <w:tcW w:w="851" w:type="dxa"/>
            <w:shd w:val="clear" w:color="auto" w:fill="FFFFFF" w:themeFill="background1"/>
            <w:tcMar>
              <w:top w:w="0" w:type="dxa"/>
              <w:left w:w="108" w:type="dxa"/>
              <w:bottom w:w="0" w:type="dxa"/>
              <w:right w:w="108" w:type="dxa"/>
            </w:tcMar>
            <w:vAlign w:val="center"/>
            <w:hideMark/>
          </w:tcPr>
          <w:p w:rsidR="006B2E94" w:rsidRPr="009B57C7" w:rsidRDefault="006B2E94" w:rsidP="005A6C9C">
            <w:pPr>
              <w:spacing w:before="100" w:beforeAutospacing="1" w:after="100" w:afterAutospacing="1"/>
              <w:jc w:val="center"/>
              <w:rPr>
                <w:rFonts w:cs="Arial"/>
                <w:i/>
                <w:sz w:val="20"/>
                <w:lang w:eastAsia="en-US"/>
              </w:rPr>
            </w:pPr>
            <w:r w:rsidRPr="009B57C7">
              <w:rPr>
                <w:rFonts w:cs="Arial"/>
                <w:i/>
                <w:color w:val="000000"/>
                <w:sz w:val="20"/>
                <w:lang w:eastAsia="en-US"/>
              </w:rPr>
              <w:t>127</w:t>
            </w:r>
          </w:p>
        </w:tc>
        <w:tc>
          <w:tcPr>
            <w:tcW w:w="3148" w:type="dxa"/>
            <w:tcMar>
              <w:top w:w="0" w:type="dxa"/>
              <w:left w:w="108" w:type="dxa"/>
              <w:bottom w:w="0" w:type="dxa"/>
              <w:right w:w="108" w:type="dxa"/>
            </w:tcMar>
            <w:vAlign w:val="center"/>
            <w:hideMark/>
          </w:tcPr>
          <w:p w:rsidR="006B2E94" w:rsidRPr="009B57C7" w:rsidRDefault="006B2E94" w:rsidP="009B57C7">
            <w:pPr>
              <w:spacing w:before="100" w:beforeAutospacing="1" w:after="100" w:afterAutospacing="1"/>
              <w:jc w:val="center"/>
              <w:rPr>
                <w:rFonts w:cs="Arial"/>
                <w:sz w:val="20"/>
                <w:lang w:eastAsia="en-US"/>
              </w:rPr>
            </w:pPr>
          </w:p>
        </w:tc>
      </w:tr>
      <w:tr w:rsidR="006B2E94" w:rsidRPr="009B57C7" w:rsidTr="008C2A05">
        <w:trPr>
          <w:trHeight w:val="819"/>
          <w:jc w:val="center"/>
        </w:trPr>
        <w:tc>
          <w:tcPr>
            <w:tcW w:w="2749" w:type="dxa"/>
            <w:tcMar>
              <w:top w:w="0" w:type="dxa"/>
              <w:left w:w="108" w:type="dxa"/>
              <w:bottom w:w="0" w:type="dxa"/>
              <w:right w:w="108" w:type="dxa"/>
            </w:tcMar>
            <w:vAlign w:val="center"/>
            <w:hideMark/>
          </w:tcPr>
          <w:p w:rsidR="006B2E94" w:rsidRPr="009B57C7" w:rsidRDefault="006B2E94" w:rsidP="009B57C7">
            <w:pPr>
              <w:spacing w:before="100" w:beforeAutospacing="1" w:after="100" w:afterAutospacing="1"/>
              <w:jc w:val="left"/>
              <w:rPr>
                <w:rFonts w:cs="Arial"/>
                <w:sz w:val="20"/>
                <w:lang w:eastAsia="en-US"/>
              </w:rPr>
            </w:pPr>
            <w:r w:rsidRPr="009B57C7">
              <w:rPr>
                <w:rFonts w:cs="Arial"/>
                <w:color w:val="000000"/>
                <w:sz w:val="20"/>
                <w:lang w:eastAsia="en-US"/>
              </w:rPr>
              <w:t>Number of clients still at threat of eviction that were at threat of eviction</w:t>
            </w:r>
          </w:p>
        </w:tc>
        <w:tc>
          <w:tcPr>
            <w:tcW w:w="787" w:type="dxa"/>
            <w:shd w:val="clear" w:color="auto" w:fill="FFFFFF" w:themeFill="background1"/>
            <w:vAlign w:val="center"/>
          </w:tcPr>
          <w:p w:rsidR="006B2E94" w:rsidRPr="009B57C7" w:rsidRDefault="005A6C9C" w:rsidP="005A6C9C">
            <w:pPr>
              <w:spacing w:before="100" w:beforeAutospacing="1" w:after="100" w:afterAutospacing="1"/>
              <w:jc w:val="center"/>
              <w:rPr>
                <w:rFonts w:cs="Arial"/>
                <w:i/>
                <w:sz w:val="20"/>
                <w:lang w:eastAsia="en-US"/>
              </w:rPr>
            </w:pPr>
            <w:r>
              <w:rPr>
                <w:rFonts w:cs="Arial"/>
                <w:i/>
                <w:sz w:val="20"/>
                <w:lang w:eastAsia="en-US"/>
              </w:rPr>
              <w:t>11</w:t>
            </w:r>
          </w:p>
        </w:tc>
        <w:tc>
          <w:tcPr>
            <w:tcW w:w="741" w:type="dxa"/>
            <w:shd w:val="clear" w:color="auto" w:fill="FFFFFF" w:themeFill="background1"/>
            <w:vAlign w:val="center"/>
            <w:hideMark/>
          </w:tcPr>
          <w:p w:rsidR="006B2E94" w:rsidRPr="009B57C7" w:rsidRDefault="006B2E94" w:rsidP="005A6C9C">
            <w:pPr>
              <w:spacing w:before="100" w:beforeAutospacing="1" w:after="100" w:afterAutospacing="1"/>
              <w:jc w:val="center"/>
              <w:rPr>
                <w:rFonts w:cs="Arial"/>
                <w:sz w:val="20"/>
                <w:lang w:eastAsia="en-US"/>
              </w:rPr>
            </w:pPr>
            <w:r w:rsidRPr="009B57C7">
              <w:rPr>
                <w:rFonts w:cs="Arial"/>
                <w:iCs/>
                <w:color w:val="000000"/>
                <w:sz w:val="20"/>
                <w:lang w:eastAsia="en-US"/>
              </w:rPr>
              <w:t>10</w:t>
            </w:r>
          </w:p>
        </w:tc>
        <w:tc>
          <w:tcPr>
            <w:tcW w:w="851" w:type="dxa"/>
            <w:shd w:val="clear" w:color="auto" w:fill="FFFFFF" w:themeFill="background1"/>
            <w:vAlign w:val="center"/>
          </w:tcPr>
          <w:p w:rsidR="005A6C9C" w:rsidRPr="009B57C7" w:rsidRDefault="005A6C9C" w:rsidP="005A6C9C">
            <w:pPr>
              <w:spacing w:before="100" w:beforeAutospacing="1" w:after="100" w:afterAutospacing="1"/>
              <w:jc w:val="center"/>
              <w:rPr>
                <w:rFonts w:cs="Arial"/>
                <w:i/>
                <w:color w:val="000000"/>
                <w:sz w:val="20"/>
                <w:lang w:eastAsia="en-US"/>
              </w:rPr>
            </w:pPr>
            <w:r>
              <w:rPr>
                <w:rFonts w:cs="Arial"/>
                <w:i/>
                <w:color w:val="000000"/>
                <w:sz w:val="20"/>
                <w:lang w:eastAsia="en-US"/>
              </w:rPr>
              <w:t>6</w:t>
            </w:r>
          </w:p>
        </w:tc>
        <w:tc>
          <w:tcPr>
            <w:tcW w:w="851" w:type="dxa"/>
            <w:shd w:val="clear" w:color="auto" w:fill="FFFFFF" w:themeFill="background1"/>
            <w:tcMar>
              <w:top w:w="0" w:type="dxa"/>
              <w:left w:w="108" w:type="dxa"/>
              <w:bottom w:w="0" w:type="dxa"/>
              <w:right w:w="108" w:type="dxa"/>
            </w:tcMar>
            <w:vAlign w:val="center"/>
            <w:hideMark/>
          </w:tcPr>
          <w:p w:rsidR="006B2E94" w:rsidRPr="009B57C7" w:rsidRDefault="006B2E94" w:rsidP="005A6C9C">
            <w:pPr>
              <w:spacing w:before="100" w:beforeAutospacing="1" w:after="100" w:afterAutospacing="1"/>
              <w:jc w:val="center"/>
              <w:rPr>
                <w:rFonts w:cs="Arial"/>
                <w:i/>
                <w:sz w:val="20"/>
                <w:lang w:eastAsia="en-US"/>
              </w:rPr>
            </w:pPr>
            <w:r w:rsidRPr="009B57C7">
              <w:rPr>
                <w:rFonts w:cs="Arial"/>
                <w:i/>
                <w:color w:val="000000"/>
                <w:sz w:val="20"/>
                <w:lang w:eastAsia="en-US"/>
              </w:rPr>
              <w:t>9</w:t>
            </w:r>
          </w:p>
        </w:tc>
        <w:tc>
          <w:tcPr>
            <w:tcW w:w="3148" w:type="dxa"/>
            <w:tcMar>
              <w:top w:w="0" w:type="dxa"/>
              <w:left w:w="108" w:type="dxa"/>
              <w:bottom w:w="0" w:type="dxa"/>
              <w:right w:w="108" w:type="dxa"/>
            </w:tcMar>
            <w:vAlign w:val="center"/>
            <w:hideMark/>
          </w:tcPr>
          <w:p w:rsidR="006B2E94" w:rsidRPr="009B57C7" w:rsidRDefault="006B2E94" w:rsidP="009B57C7">
            <w:pPr>
              <w:spacing w:before="100" w:beforeAutospacing="1" w:after="100" w:afterAutospacing="1"/>
              <w:jc w:val="center"/>
              <w:rPr>
                <w:rFonts w:cs="Arial"/>
                <w:sz w:val="20"/>
                <w:lang w:eastAsia="en-US"/>
              </w:rPr>
            </w:pPr>
            <w:r>
              <w:rPr>
                <w:rFonts w:cs="Arial"/>
                <w:sz w:val="20"/>
                <w:lang w:eastAsia="en-US"/>
              </w:rPr>
              <w:t>Low is good for this measure</w:t>
            </w:r>
          </w:p>
        </w:tc>
      </w:tr>
    </w:tbl>
    <w:p w:rsidR="00397811" w:rsidRPr="009B57C7" w:rsidRDefault="00397811" w:rsidP="00446FF4">
      <w:pPr>
        <w:ind w:left="2880" w:hanging="2880"/>
        <w:rPr>
          <w:rFonts w:cs="Arial"/>
          <w:b/>
          <w:szCs w:val="22"/>
        </w:rPr>
      </w:pPr>
    </w:p>
    <w:p w:rsidR="009B57C7" w:rsidRDefault="009B57C7" w:rsidP="00446FF4">
      <w:pPr>
        <w:ind w:left="2880" w:hanging="2880"/>
        <w:rPr>
          <w:rFonts w:cs="Arial"/>
          <w:b/>
          <w:szCs w:val="22"/>
        </w:rPr>
      </w:pPr>
    </w:p>
    <w:p w:rsidR="009B57C7" w:rsidRPr="009B57C7" w:rsidRDefault="009B57C7" w:rsidP="00446FF4">
      <w:pPr>
        <w:ind w:left="2880" w:hanging="2880"/>
        <w:rPr>
          <w:rFonts w:cs="Arial"/>
          <w:b/>
          <w:szCs w:val="22"/>
        </w:rPr>
      </w:pPr>
    </w:p>
    <w:tbl>
      <w:tblPr>
        <w:tblW w:w="7789" w:type="dxa"/>
        <w:jc w:val="center"/>
        <w:tblCellMar>
          <w:left w:w="0" w:type="dxa"/>
          <w:right w:w="0" w:type="dxa"/>
        </w:tblCellMar>
        <w:tblLook w:val="04A0" w:firstRow="1" w:lastRow="0" w:firstColumn="1" w:lastColumn="0" w:noHBand="0" w:noVBand="1"/>
      </w:tblPr>
      <w:tblGrid>
        <w:gridCol w:w="5588"/>
        <w:gridCol w:w="1208"/>
        <w:gridCol w:w="993"/>
      </w:tblGrid>
      <w:tr w:rsidR="009B57C7" w:rsidRPr="009B57C7" w:rsidTr="00B84E4B">
        <w:trPr>
          <w:trHeight w:val="597"/>
          <w:jc w:val="center"/>
        </w:trPr>
        <w:tc>
          <w:tcPr>
            <w:tcW w:w="558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Mar>
              <w:top w:w="0" w:type="dxa"/>
              <w:left w:w="108" w:type="dxa"/>
              <w:bottom w:w="0" w:type="dxa"/>
              <w:right w:w="108" w:type="dxa"/>
            </w:tcMar>
            <w:hideMark/>
          </w:tcPr>
          <w:p w:rsidR="009B57C7" w:rsidRPr="009B57C7" w:rsidRDefault="009B57C7" w:rsidP="008D15B9">
            <w:pPr>
              <w:spacing w:before="100" w:beforeAutospacing="1" w:after="100" w:afterAutospacing="1"/>
              <w:jc w:val="center"/>
              <w:rPr>
                <w:rFonts w:cs="Arial"/>
                <w:szCs w:val="22"/>
                <w:lang w:eastAsia="en-US"/>
              </w:rPr>
            </w:pPr>
            <w:r w:rsidRPr="009B57C7">
              <w:rPr>
                <w:rFonts w:cs="Arial"/>
                <w:b/>
                <w:bCs/>
                <w:color w:val="000000"/>
                <w:sz w:val="24"/>
                <w:szCs w:val="24"/>
                <w:lang w:eastAsia="en-US"/>
              </w:rPr>
              <w:t>Management Indicator</w:t>
            </w:r>
            <w:r>
              <w:rPr>
                <w:rFonts w:cs="Arial"/>
                <w:b/>
                <w:bCs/>
                <w:color w:val="000000"/>
                <w:szCs w:val="22"/>
                <w:lang w:eastAsia="en-US"/>
              </w:rPr>
              <w:br/>
            </w:r>
            <w:r w:rsidRPr="009B57C7">
              <w:rPr>
                <w:rFonts w:cs="Arial"/>
                <w:bCs/>
                <w:color w:val="000000"/>
                <w:sz w:val="20"/>
                <w:lang w:eastAsia="en-US"/>
              </w:rPr>
              <w:t xml:space="preserve">(no target </w:t>
            </w:r>
            <w:r w:rsidR="008D15B9">
              <w:rPr>
                <w:rFonts w:cs="Arial"/>
                <w:bCs/>
                <w:color w:val="000000"/>
                <w:sz w:val="20"/>
                <w:lang w:eastAsia="en-US"/>
              </w:rPr>
              <w:t>set</w:t>
            </w:r>
            <w:r w:rsidRPr="009B57C7">
              <w:rPr>
                <w:rFonts w:cs="Arial"/>
                <w:bCs/>
                <w:color w:val="000000"/>
                <w:sz w:val="20"/>
                <w:lang w:eastAsia="en-US"/>
              </w:rPr>
              <w:t>)</w:t>
            </w:r>
          </w:p>
        </w:tc>
        <w:tc>
          <w:tcPr>
            <w:tcW w:w="12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Mar>
              <w:top w:w="0" w:type="dxa"/>
              <w:left w:w="108" w:type="dxa"/>
              <w:bottom w:w="0" w:type="dxa"/>
              <w:right w:w="108" w:type="dxa"/>
            </w:tcMar>
            <w:vAlign w:val="center"/>
            <w:hideMark/>
          </w:tcPr>
          <w:p w:rsidR="009B57C7" w:rsidRPr="008D15B9" w:rsidRDefault="006B2E94" w:rsidP="009B57C7">
            <w:pPr>
              <w:spacing w:before="100" w:beforeAutospacing="1" w:after="100" w:afterAutospacing="1"/>
              <w:jc w:val="center"/>
              <w:rPr>
                <w:rFonts w:cs="Arial"/>
                <w:b/>
                <w:szCs w:val="22"/>
                <w:lang w:eastAsia="en-US"/>
              </w:rPr>
            </w:pPr>
            <w:r>
              <w:rPr>
                <w:rFonts w:cs="Arial"/>
                <w:b/>
                <w:iCs/>
                <w:color w:val="000000"/>
                <w:szCs w:val="22"/>
                <w:lang w:eastAsia="en-US"/>
              </w:rPr>
              <w:t xml:space="preserve">Result </w:t>
            </w:r>
            <w:r w:rsidR="009B57C7" w:rsidRPr="008D15B9">
              <w:rPr>
                <w:rFonts w:cs="Arial"/>
                <w:b/>
                <w:iCs/>
                <w:color w:val="000000"/>
                <w:szCs w:val="22"/>
                <w:lang w:eastAsia="en-US"/>
              </w:rPr>
              <w:t>Q1</w:t>
            </w:r>
          </w:p>
        </w:tc>
        <w:tc>
          <w:tcPr>
            <w:tcW w:w="993"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B57C7" w:rsidRPr="008D15B9" w:rsidRDefault="006B2E94" w:rsidP="009B57C7">
            <w:pPr>
              <w:spacing w:before="100" w:beforeAutospacing="1" w:after="100" w:afterAutospacing="1"/>
              <w:jc w:val="center"/>
              <w:rPr>
                <w:rFonts w:cs="Arial"/>
                <w:b/>
                <w:szCs w:val="22"/>
                <w:lang w:eastAsia="en-US"/>
              </w:rPr>
            </w:pPr>
            <w:r>
              <w:rPr>
                <w:rFonts w:cs="Arial"/>
                <w:b/>
                <w:color w:val="000000"/>
                <w:szCs w:val="22"/>
                <w:lang w:eastAsia="en-US"/>
              </w:rPr>
              <w:t xml:space="preserve">Result </w:t>
            </w:r>
            <w:r w:rsidR="009B57C7" w:rsidRPr="008D15B9">
              <w:rPr>
                <w:rFonts w:cs="Arial"/>
                <w:b/>
                <w:color w:val="000000"/>
                <w:szCs w:val="22"/>
                <w:lang w:eastAsia="en-US"/>
              </w:rPr>
              <w:t>Q2</w:t>
            </w:r>
          </w:p>
        </w:tc>
      </w:tr>
      <w:tr w:rsidR="009B57C7" w:rsidRPr="009B57C7" w:rsidTr="006B2E94">
        <w:trPr>
          <w:trHeight w:val="350"/>
          <w:jc w:val="center"/>
        </w:trPr>
        <w:tc>
          <w:tcPr>
            <w:tcW w:w="5588"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57C7" w:rsidRPr="009B57C7" w:rsidRDefault="009B57C7" w:rsidP="009B57C7">
            <w:pPr>
              <w:spacing w:before="100" w:beforeAutospacing="1" w:after="100" w:afterAutospacing="1"/>
              <w:jc w:val="left"/>
              <w:rPr>
                <w:rFonts w:cs="Arial"/>
                <w:szCs w:val="22"/>
                <w:lang w:eastAsia="en-US"/>
              </w:rPr>
            </w:pPr>
            <w:r w:rsidRPr="009B57C7">
              <w:rPr>
                <w:rFonts w:cs="Arial"/>
                <w:color w:val="000000"/>
                <w:szCs w:val="22"/>
                <w:lang w:eastAsia="en-US"/>
              </w:rPr>
              <w:t>Total of income gain for clients, £</w:t>
            </w:r>
          </w:p>
        </w:tc>
        <w:tc>
          <w:tcPr>
            <w:tcW w:w="120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hideMark/>
          </w:tcPr>
          <w:p w:rsidR="009B57C7" w:rsidRPr="007E232C" w:rsidRDefault="009B57C7" w:rsidP="009B57C7">
            <w:pPr>
              <w:spacing w:before="100" w:beforeAutospacing="1" w:after="100" w:afterAutospacing="1"/>
              <w:jc w:val="center"/>
              <w:rPr>
                <w:rFonts w:cs="Arial"/>
                <w:szCs w:val="22"/>
                <w:lang w:eastAsia="en-US"/>
              </w:rPr>
            </w:pPr>
            <w:r w:rsidRPr="007E232C">
              <w:rPr>
                <w:rFonts w:cs="Arial"/>
                <w:iCs/>
                <w:color w:val="000000"/>
                <w:szCs w:val="22"/>
                <w:lang w:eastAsia="en-US"/>
              </w:rPr>
              <w:t>207,822</w:t>
            </w:r>
          </w:p>
        </w:tc>
        <w:tc>
          <w:tcPr>
            <w:tcW w:w="993" w:type="dxa"/>
            <w:tcBorders>
              <w:top w:val="single" w:sz="18" w:space="0" w:color="auto"/>
              <w:left w:val="nil"/>
              <w:bottom w:val="single" w:sz="8" w:space="0" w:color="auto"/>
              <w:right w:val="single" w:sz="8" w:space="0" w:color="auto"/>
            </w:tcBorders>
            <w:shd w:val="clear" w:color="auto" w:fill="FFFFFF" w:themeFill="background1"/>
            <w:vAlign w:val="center"/>
            <w:hideMark/>
          </w:tcPr>
          <w:p w:rsidR="009B57C7" w:rsidRPr="007E232C" w:rsidRDefault="009B57C7" w:rsidP="009B57C7">
            <w:pPr>
              <w:spacing w:before="100" w:beforeAutospacing="1" w:after="100" w:afterAutospacing="1"/>
              <w:jc w:val="center"/>
              <w:rPr>
                <w:rFonts w:cs="Arial"/>
                <w:szCs w:val="22"/>
                <w:lang w:eastAsia="en-US"/>
              </w:rPr>
            </w:pPr>
            <w:r w:rsidRPr="007E232C">
              <w:rPr>
                <w:rFonts w:cs="Arial"/>
                <w:color w:val="000000"/>
                <w:szCs w:val="22"/>
                <w:lang w:eastAsia="en-US"/>
              </w:rPr>
              <w:t>266,174</w:t>
            </w:r>
          </w:p>
        </w:tc>
      </w:tr>
      <w:tr w:rsidR="009B57C7" w:rsidRPr="009B57C7" w:rsidTr="006B2E94">
        <w:trPr>
          <w:trHeight w:val="412"/>
          <w:jc w:val="center"/>
        </w:trPr>
        <w:tc>
          <w:tcPr>
            <w:tcW w:w="5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57C7" w:rsidRPr="009B57C7" w:rsidRDefault="009B57C7" w:rsidP="009B57C7">
            <w:pPr>
              <w:spacing w:before="100" w:beforeAutospacing="1" w:after="100" w:afterAutospacing="1"/>
              <w:jc w:val="left"/>
              <w:rPr>
                <w:rFonts w:cs="Arial"/>
                <w:szCs w:val="22"/>
                <w:lang w:eastAsia="en-US"/>
              </w:rPr>
            </w:pPr>
            <w:r w:rsidRPr="009B57C7">
              <w:rPr>
                <w:rFonts w:cs="Arial"/>
                <w:color w:val="000000"/>
                <w:szCs w:val="22"/>
                <w:lang w:eastAsia="en-US"/>
              </w:rPr>
              <w:t>Total of client debts written off,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57C7" w:rsidRPr="007E232C" w:rsidRDefault="009B57C7" w:rsidP="009B57C7">
            <w:pPr>
              <w:spacing w:before="100" w:beforeAutospacing="1" w:after="100" w:afterAutospacing="1"/>
              <w:jc w:val="center"/>
              <w:rPr>
                <w:rFonts w:cs="Arial"/>
                <w:szCs w:val="22"/>
                <w:lang w:eastAsia="en-US"/>
              </w:rPr>
            </w:pPr>
            <w:r w:rsidRPr="007E232C">
              <w:rPr>
                <w:rFonts w:cs="Arial"/>
                <w:iCs/>
                <w:color w:val="000000"/>
                <w:szCs w:val="22"/>
                <w:lang w:eastAsia="en-US"/>
              </w:rPr>
              <w:t>63,802</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9B57C7" w:rsidRPr="007E232C" w:rsidRDefault="009B57C7" w:rsidP="009B57C7">
            <w:pPr>
              <w:spacing w:before="100" w:beforeAutospacing="1" w:after="100" w:afterAutospacing="1"/>
              <w:jc w:val="center"/>
              <w:rPr>
                <w:rFonts w:cs="Arial"/>
                <w:szCs w:val="22"/>
                <w:lang w:eastAsia="en-US"/>
              </w:rPr>
            </w:pPr>
            <w:r w:rsidRPr="007E232C">
              <w:rPr>
                <w:rFonts w:cs="Arial"/>
                <w:color w:val="000000"/>
                <w:szCs w:val="22"/>
                <w:lang w:eastAsia="en-US"/>
              </w:rPr>
              <w:t>34,226</w:t>
            </w:r>
          </w:p>
        </w:tc>
      </w:tr>
      <w:tr w:rsidR="009B57C7" w:rsidRPr="009B57C7" w:rsidTr="006B2E94">
        <w:trPr>
          <w:trHeight w:val="404"/>
          <w:jc w:val="center"/>
        </w:trPr>
        <w:tc>
          <w:tcPr>
            <w:tcW w:w="5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57C7" w:rsidRPr="009B57C7" w:rsidRDefault="009B57C7" w:rsidP="009B57C7">
            <w:pPr>
              <w:spacing w:before="100" w:beforeAutospacing="1" w:after="100" w:afterAutospacing="1"/>
              <w:jc w:val="left"/>
              <w:rPr>
                <w:rFonts w:cs="Arial"/>
                <w:szCs w:val="22"/>
                <w:lang w:eastAsia="en-US"/>
              </w:rPr>
            </w:pPr>
            <w:r w:rsidRPr="009B57C7">
              <w:rPr>
                <w:rFonts w:cs="Arial"/>
                <w:color w:val="000000"/>
                <w:szCs w:val="22"/>
                <w:lang w:eastAsia="en-US"/>
              </w:rPr>
              <w:t>Number of clients who are paying their debts off</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57C7" w:rsidRPr="007E232C" w:rsidRDefault="009B57C7" w:rsidP="009B57C7">
            <w:pPr>
              <w:spacing w:before="100" w:beforeAutospacing="1" w:after="100" w:afterAutospacing="1"/>
              <w:jc w:val="center"/>
              <w:rPr>
                <w:rFonts w:cs="Arial"/>
                <w:szCs w:val="22"/>
                <w:lang w:eastAsia="en-US"/>
              </w:rPr>
            </w:pPr>
            <w:r w:rsidRPr="007E232C">
              <w:rPr>
                <w:rFonts w:cs="Arial"/>
                <w:iCs/>
                <w:color w:val="000000"/>
                <w:szCs w:val="22"/>
                <w:lang w:eastAsia="en-US"/>
              </w:rPr>
              <w:t>198</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9B57C7" w:rsidRPr="007E232C" w:rsidRDefault="009B57C7" w:rsidP="009B57C7">
            <w:pPr>
              <w:spacing w:before="100" w:beforeAutospacing="1" w:after="100" w:afterAutospacing="1"/>
              <w:jc w:val="center"/>
              <w:rPr>
                <w:rFonts w:cs="Arial"/>
                <w:szCs w:val="22"/>
                <w:lang w:eastAsia="en-US"/>
              </w:rPr>
            </w:pPr>
            <w:r w:rsidRPr="007E232C">
              <w:rPr>
                <w:rFonts w:cs="Arial"/>
                <w:color w:val="000000"/>
                <w:szCs w:val="22"/>
                <w:lang w:eastAsia="en-US"/>
              </w:rPr>
              <w:t>171</w:t>
            </w:r>
          </w:p>
        </w:tc>
      </w:tr>
      <w:tr w:rsidR="009B57C7" w:rsidRPr="009B57C7" w:rsidTr="006B2E94">
        <w:trPr>
          <w:trHeight w:val="693"/>
          <w:jc w:val="center"/>
        </w:trPr>
        <w:tc>
          <w:tcPr>
            <w:tcW w:w="5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57C7" w:rsidRPr="009B57C7" w:rsidRDefault="009B57C7" w:rsidP="009B57C7">
            <w:pPr>
              <w:pStyle w:val="m4952268485352511667m-6859169342093900110m4230031609067152326msolistparagraph"/>
              <w:rPr>
                <w:rFonts w:ascii="Arial" w:hAnsi="Arial" w:cs="Arial"/>
                <w:sz w:val="22"/>
                <w:szCs w:val="22"/>
                <w:lang w:eastAsia="en-US"/>
              </w:rPr>
            </w:pPr>
            <w:r w:rsidRPr="009B57C7">
              <w:rPr>
                <w:rFonts w:ascii="Arial" w:hAnsi="Arial" w:cs="Arial"/>
                <w:color w:val="000000"/>
                <w:sz w:val="22"/>
                <w:szCs w:val="22"/>
                <w:lang w:eastAsia="en-US"/>
              </w:rPr>
              <w:t>Success rate (%) in representing clients at benefit appeals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57C7" w:rsidRPr="007E232C" w:rsidRDefault="009B57C7" w:rsidP="009B57C7">
            <w:pPr>
              <w:spacing w:before="100" w:beforeAutospacing="1" w:after="100" w:afterAutospacing="1"/>
              <w:jc w:val="center"/>
              <w:rPr>
                <w:rFonts w:cs="Arial"/>
                <w:szCs w:val="22"/>
                <w:lang w:eastAsia="en-US"/>
              </w:rPr>
            </w:pPr>
            <w:r w:rsidRPr="007E232C">
              <w:rPr>
                <w:rFonts w:cs="Arial"/>
                <w:iCs/>
                <w:color w:val="000000"/>
                <w:szCs w:val="22"/>
                <w:lang w:eastAsia="en-US"/>
              </w:rPr>
              <w:t>96%</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9B57C7" w:rsidRPr="007E232C" w:rsidRDefault="009B57C7" w:rsidP="009B57C7">
            <w:pPr>
              <w:spacing w:before="100" w:beforeAutospacing="1" w:after="100" w:afterAutospacing="1"/>
              <w:jc w:val="center"/>
              <w:rPr>
                <w:rFonts w:cs="Arial"/>
                <w:szCs w:val="22"/>
                <w:lang w:eastAsia="en-US"/>
              </w:rPr>
            </w:pPr>
            <w:r w:rsidRPr="007E232C">
              <w:rPr>
                <w:rFonts w:cs="Arial"/>
                <w:color w:val="000000"/>
                <w:szCs w:val="22"/>
                <w:lang w:eastAsia="en-US"/>
              </w:rPr>
              <w:t>97%</w:t>
            </w:r>
          </w:p>
        </w:tc>
      </w:tr>
      <w:tr w:rsidR="009B57C7" w:rsidRPr="009B57C7" w:rsidTr="006B2E94">
        <w:trPr>
          <w:trHeight w:val="675"/>
          <w:jc w:val="center"/>
        </w:trPr>
        <w:tc>
          <w:tcPr>
            <w:tcW w:w="5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57C7" w:rsidRPr="009B57C7" w:rsidRDefault="009B57C7" w:rsidP="009B57C7">
            <w:pPr>
              <w:spacing w:before="100" w:beforeAutospacing="1" w:after="100" w:afterAutospacing="1"/>
              <w:jc w:val="left"/>
              <w:rPr>
                <w:rFonts w:cs="Arial"/>
                <w:szCs w:val="22"/>
                <w:lang w:eastAsia="en-US"/>
              </w:rPr>
            </w:pPr>
            <w:r w:rsidRPr="009B57C7">
              <w:rPr>
                <w:rFonts w:cs="Arial"/>
                <w:color w:val="000000"/>
                <w:szCs w:val="22"/>
                <w:lang w:eastAsia="en-US"/>
              </w:rPr>
              <w:t>Success rate (%) in representing clients at re</w:t>
            </w:r>
            <w:r w:rsidRPr="009B57C7">
              <w:rPr>
                <w:rFonts w:cs="Arial"/>
                <w:color w:val="000000"/>
                <w:szCs w:val="22"/>
                <w:lang w:val="en-US" w:eastAsia="en-US"/>
              </w:rPr>
              <w:t>possession hearings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57C7" w:rsidRPr="007E232C" w:rsidRDefault="009B57C7" w:rsidP="009B57C7">
            <w:pPr>
              <w:spacing w:before="100" w:beforeAutospacing="1" w:after="100" w:afterAutospacing="1"/>
              <w:jc w:val="center"/>
              <w:rPr>
                <w:rFonts w:cs="Arial"/>
                <w:szCs w:val="22"/>
                <w:lang w:eastAsia="en-US"/>
              </w:rPr>
            </w:pPr>
            <w:r w:rsidRPr="007E232C">
              <w:rPr>
                <w:rFonts w:cs="Arial"/>
                <w:iCs/>
                <w:color w:val="000000"/>
                <w:szCs w:val="22"/>
                <w:lang w:eastAsia="en-US"/>
              </w:rPr>
              <w:t>100%</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9B57C7" w:rsidRPr="007E232C" w:rsidRDefault="009B57C7" w:rsidP="009B57C7">
            <w:pPr>
              <w:spacing w:before="100" w:beforeAutospacing="1" w:after="100" w:afterAutospacing="1"/>
              <w:jc w:val="center"/>
              <w:rPr>
                <w:rFonts w:cs="Arial"/>
                <w:szCs w:val="22"/>
                <w:lang w:eastAsia="en-US"/>
              </w:rPr>
            </w:pPr>
            <w:r w:rsidRPr="007E232C">
              <w:rPr>
                <w:rFonts w:cs="Arial"/>
                <w:color w:val="000000"/>
                <w:szCs w:val="22"/>
                <w:lang w:eastAsia="en-US"/>
              </w:rPr>
              <w:t>100%</w:t>
            </w:r>
          </w:p>
        </w:tc>
      </w:tr>
    </w:tbl>
    <w:p w:rsidR="009B57C7" w:rsidRPr="00446FF4" w:rsidRDefault="009B57C7" w:rsidP="00446FF4">
      <w:pPr>
        <w:ind w:left="2880" w:hanging="2880"/>
        <w:rPr>
          <w:rFonts w:cs="Arial"/>
          <w:b/>
          <w:szCs w:val="22"/>
        </w:rPr>
      </w:pPr>
    </w:p>
    <w:sectPr w:rsidR="009B57C7" w:rsidRPr="00446FF4" w:rsidSect="00A3770C">
      <w:footerReference w:type="default" r:id="rId10"/>
      <w:pgSz w:w="11909" w:h="16834" w:code="9"/>
      <w:pgMar w:top="720" w:right="1411" w:bottom="403" w:left="1411" w:header="706" w:footer="706" w:gutter="0"/>
      <w:pgBorders w:offsetFrom="page">
        <w:top w:val="none" w:sz="0" w:space="26" w:color="000000" w:shadow="1"/>
        <w:left w:val="none" w:sz="0" w:space="13" w:color="000000" w:shadow="1"/>
        <w:bottom w:val="none" w:sz="0" w:space="1" w:color="000000" w:shadow="1"/>
        <w:right w:val="none" w:sz="0" w:space="0" w:color="000000"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63" w:rsidRDefault="00461D63">
      <w:r>
        <w:separator/>
      </w:r>
    </w:p>
  </w:endnote>
  <w:endnote w:type="continuationSeparator" w:id="0">
    <w:p w:rsidR="00461D63" w:rsidRDefault="0046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A1" w:rsidRDefault="008E41A1">
    <w:pPr>
      <w:pStyle w:val="Footer"/>
      <w:tabs>
        <w:tab w:val="clear" w:pos="4153"/>
        <w:tab w:val="clear" w:pos="8306"/>
        <w:tab w:val="center" w:pos="4680"/>
        <w:tab w:val="right" w:pos="9090"/>
      </w:tabs>
      <w:rPr>
        <w:sz w:val="16"/>
      </w:rPr>
    </w:pPr>
  </w:p>
  <w:p w:rsidR="008E41A1" w:rsidRPr="00B84728" w:rsidRDefault="008E41A1" w:rsidP="00B84728">
    <w:pPr>
      <w:pStyle w:val="Footer"/>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63" w:rsidRDefault="00461D63">
      <w:r>
        <w:separator/>
      </w:r>
    </w:p>
  </w:footnote>
  <w:footnote w:type="continuationSeparator" w:id="0">
    <w:p w:rsidR="00461D63" w:rsidRDefault="00461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589"/>
    <w:multiLevelType w:val="hybridMultilevel"/>
    <w:tmpl w:val="540230A0"/>
    <w:lvl w:ilvl="0" w:tplc="74DEF4C8">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
    <w:nsid w:val="05BB7886"/>
    <w:multiLevelType w:val="hybridMultilevel"/>
    <w:tmpl w:val="F7D2E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C07684"/>
    <w:multiLevelType w:val="multilevel"/>
    <w:tmpl w:val="05C0E9C2"/>
    <w:lvl w:ilvl="0">
      <w:start w:val="1"/>
      <w:numFmt w:val="upperRoman"/>
      <w:lvlText w:val="%1."/>
      <w:lvlJc w:val="right"/>
      <w:pPr>
        <w:tabs>
          <w:tab w:val="num" w:pos="600"/>
        </w:tabs>
        <w:ind w:left="600" w:hanging="18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
    <w:nsid w:val="26BF24D7"/>
    <w:multiLevelType w:val="hybridMultilevel"/>
    <w:tmpl w:val="1532765A"/>
    <w:lvl w:ilvl="0" w:tplc="08090001">
      <w:start w:val="1"/>
      <w:numFmt w:val="bullet"/>
      <w:lvlText w:val=""/>
      <w:lvlJc w:val="left"/>
      <w:pPr>
        <w:ind w:left="1982" w:hanging="360"/>
      </w:pPr>
      <w:rPr>
        <w:rFonts w:ascii="Symbol" w:hAnsi="Symbol" w:hint="default"/>
      </w:rPr>
    </w:lvl>
    <w:lvl w:ilvl="1" w:tplc="08090003" w:tentative="1">
      <w:start w:val="1"/>
      <w:numFmt w:val="bullet"/>
      <w:lvlText w:val="o"/>
      <w:lvlJc w:val="left"/>
      <w:pPr>
        <w:ind w:left="2702" w:hanging="360"/>
      </w:pPr>
      <w:rPr>
        <w:rFonts w:ascii="Courier New" w:hAnsi="Courier New" w:cs="Courier New" w:hint="default"/>
      </w:rPr>
    </w:lvl>
    <w:lvl w:ilvl="2" w:tplc="08090005" w:tentative="1">
      <w:start w:val="1"/>
      <w:numFmt w:val="bullet"/>
      <w:lvlText w:val=""/>
      <w:lvlJc w:val="left"/>
      <w:pPr>
        <w:ind w:left="3422" w:hanging="360"/>
      </w:pPr>
      <w:rPr>
        <w:rFonts w:ascii="Wingdings" w:hAnsi="Wingdings" w:hint="default"/>
      </w:rPr>
    </w:lvl>
    <w:lvl w:ilvl="3" w:tplc="08090001" w:tentative="1">
      <w:start w:val="1"/>
      <w:numFmt w:val="bullet"/>
      <w:lvlText w:val=""/>
      <w:lvlJc w:val="left"/>
      <w:pPr>
        <w:ind w:left="4142" w:hanging="360"/>
      </w:pPr>
      <w:rPr>
        <w:rFonts w:ascii="Symbol" w:hAnsi="Symbol" w:hint="default"/>
      </w:rPr>
    </w:lvl>
    <w:lvl w:ilvl="4" w:tplc="08090003" w:tentative="1">
      <w:start w:val="1"/>
      <w:numFmt w:val="bullet"/>
      <w:lvlText w:val="o"/>
      <w:lvlJc w:val="left"/>
      <w:pPr>
        <w:ind w:left="4862" w:hanging="360"/>
      </w:pPr>
      <w:rPr>
        <w:rFonts w:ascii="Courier New" w:hAnsi="Courier New" w:cs="Courier New" w:hint="default"/>
      </w:rPr>
    </w:lvl>
    <w:lvl w:ilvl="5" w:tplc="08090005" w:tentative="1">
      <w:start w:val="1"/>
      <w:numFmt w:val="bullet"/>
      <w:lvlText w:val=""/>
      <w:lvlJc w:val="left"/>
      <w:pPr>
        <w:ind w:left="5582" w:hanging="360"/>
      </w:pPr>
      <w:rPr>
        <w:rFonts w:ascii="Wingdings" w:hAnsi="Wingdings" w:hint="default"/>
      </w:rPr>
    </w:lvl>
    <w:lvl w:ilvl="6" w:tplc="08090001" w:tentative="1">
      <w:start w:val="1"/>
      <w:numFmt w:val="bullet"/>
      <w:lvlText w:val=""/>
      <w:lvlJc w:val="left"/>
      <w:pPr>
        <w:ind w:left="6302" w:hanging="360"/>
      </w:pPr>
      <w:rPr>
        <w:rFonts w:ascii="Symbol" w:hAnsi="Symbol" w:hint="default"/>
      </w:rPr>
    </w:lvl>
    <w:lvl w:ilvl="7" w:tplc="08090003" w:tentative="1">
      <w:start w:val="1"/>
      <w:numFmt w:val="bullet"/>
      <w:lvlText w:val="o"/>
      <w:lvlJc w:val="left"/>
      <w:pPr>
        <w:ind w:left="7022" w:hanging="360"/>
      </w:pPr>
      <w:rPr>
        <w:rFonts w:ascii="Courier New" w:hAnsi="Courier New" w:cs="Courier New" w:hint="default"/>
      </w:rPr>
    </w:lvl>
    <w:lvl w:ilvl="8" w:tplc="08090005" w:tentative="1">
      <w:start w:val="1"/>
      <w:numFmt w:val="bullet"/>
      <w:lvlText w:val=""/>
      <w:lvlJc w:val="left"/>
      <w:pPr>
        <w:ind w:left="7742" w:hanging="360"/>
      </w:pPr>
      <w:rPr>
        <w:rFonts w:ascii="Wingdings" w:hAnsi="Wingdings" w:hint="default"/>
      </w:rPr>
    </w:lvl>
  </w:abstractNum>
  <w:abstractNum w:abstractNumId="4">
    <w:nsid w:val="2A540257"/>
    <w:multiLevelType w:val="multilevel"/>
    <w:tmpl w:val="F220489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
    <w:nsid w:val="306B386D"/>
    <w:multiLevelType w:val="multilevel"/>
    <w:tmpl w:val="D608814C"/>
    <w:lvl w:ilvl="0">
      <w:start w:val="5"/>
      <w:numFmt w:val="decimal"/>
      <w:lvlText w:val="%1."/>
      <w:lvlJc w:val="left"/>
      <w:pPr>
        <w:tabs>
          <w:tab w:val="num" w:pos="1620"/>
        </w:tabs>
        <w:ind w:left="1620" w:hanging="12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FE15874"/>
    <w:multiLevelType w:val="hybridMultilevel"/>
    <w:tmpl w:val="53C63020"/>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7">
    <w:nsid w:val="58700763"/>
    <w:multiLevelType w:val="hybridMultilevel"/>
    <w:tmpl w:val="297CE80C"/>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8">
    <w:nsid w:val="58DC44A9"/>
    <w:multiLevelType w:val="multilevel"/>
    <w:tmpl w:val="AB14A6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B4C317D"/>
    <w:multiLevelType w:val="hybridMultilevel"/>
    <w:tmpl w:val="7EF4BE7A"/>
    <w:lvl w:ilvl="0" w:tplc="08090001">
      <w:start w:val="1"/>
      <w:numFmt w:val="bullet"/>
      <w:lvlText w:val=""/>
      <w:lvlJc w:val="left"/>
      <w:pPr>
        <w:ind w:left="1980" w:hanging="360"/>
      </w:pPr>
      <w:rPr>
        <w:rFonts w:ascii="Symbol" w:hAnsi="Symbol" w:hint="default"/>
      </w:rPr>
    </w:lvl>
    <w:lvl w:ilvl="1" w:tplc="08090003">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0">
    <w:nsid w:val="616B0832"/>
    <w:multiLevelType w:val="hybridMultilevel"/>
    <w:tmpl w:val="3046740C"/>
    <w:lvl w:ilvl="0" w:tplc="2C8EB588">
      <w:start w:val="1"/>
      <w:numFmt w:val="bullet"/>
      <w:lvlText w:val=""/>
      <w:lvlJc w:val="left"/>
      <w:pPr>
        <w:tabs>
          <w:tab w:val="num" w:pos="530"/>
        </w:tabs>
        <w:ind w:left="530" w:hanging="53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2C165D"/>
    <w:multiLevelType w:val="hybridMultilevel"/>
    <w:tmpl w:val="62D4CB80"/>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
    <w:nsid w:val="7AF56576"/>
    <w:multiLevelType w:val="hybridMultilevel"/>
    <w:tmpl w:val="4B44E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6"/>
  </w:num>
  <w:num w:numId="4">
    <w:abstractNumId w:val="2"/>
  </w:num>
  <w:num w:numId="5">
    <w:abstractNumId w:val="8"/>
  </w:num>
  <w:num w:numId="6">
    <w:abstractNumId w:val="5"/>
  </w:num>
  <w:num w:numId="7">
    <w:abstractNumId w:val="9"/>
  </w:num>
  <w:num w:numId="8">
    <w:abstractNumId w:val="4"/>
  </w:num>
  <w:num w:numId="9">
    <w:abstractNumId w:val="1"/>
  </w:num>
  <w:num w:numId="10">
    <w:abstractNumId w:val="12"/>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9B"/>
    <w:rsid w:val="00000C94"/>
    <w:rsid w:val="000222D8"/>
    <w:rsid w:val="000431C7"/>
    <w:rsid w:val="00054DF0"/>
    <w:rsid w:val="000B589C"/>
    <w:rsid w:val="000D1B8E"/>
    <w:rsid w:val="000D3ED5"/>
    <w:rsid w:val="000D433D"/>
    <w:rsid w:val="001072EC"/>
    <w:rsid w:val="00173DBB"/>
    <w:rsid w:val="001969EF"/>
    <w:rsid w:val="001A713C"/>
    <w:rsid w:val="001D4190"/>
    <w:rsid w:val="001D5FB1"/>
    <w:rsid w:val="001E10FE"/>
    <w:rsid w:val="001E6C5E"/>
    <w:rsid w:val="001F4D1C"/>
    <w:rsid w:val="001F59B8"/>
    <w:rsid w:val="002059D1"/>
    <w:rsid w:val="00227303"/>
    <w:rsid w:val="00243800"/>
    <w:rsid w:val="002460EB"/>
    <w:rsid w:val="00251D39"/>
    <w:rsid w:val="00256A73"/>
    <w:rsid w:val="00270045"/>
    <w:rsid w:val="002765A4"/>
    <w:rsid w:val="00282F59"/>
    <w:rsid w:val="002915F6"/>
    <w:rsid w:val="002E489C"/>
    <w:rsid w:val="003360ED"/>
    <w:rsid w:val="00394C66"/>
    <w:rsid w:val="00395880"/>
    <w:rsid w:val="00397811"/>
    <w:rsid w:val="003C6509"/>
    <w:rsid w:val="003D3B0E"/>
    <w:rsid w:val="003D5820"/>
    <w:rsid w:val="003F6869"/>
    <w:rsid w:val="00410CEF"/>
    <w:rsid w:val="00413A73"/>
    <w:rsid w:val="004159B7"/>
    <w:rsid w:val="004239E6"/>
    <w:rsid w:val="00431B01"/>
    <w:rsid w:val="00446FF4"/>
    <w:rsid w:val="0044748B"/>
    <w:rsid w:val="004533A1"/>
    <w:rsid w:val="004553CC"/>
    <w:rsid w:val="004565AD"/>
    <w:rsid w:val="00461D63"/>
    <w:rsid w:val="004665D5"/>
    <w:rsid w:val="00480EC6"/>
    <w:rsid w:val="00490883"/>
    <w:rsid w:val="0049419B"/>
    <w:rsid w:val="0049533E"/>
    <w:rsid w:val="004A73CB"/>
    <w:rsid w:val="004B773E"/>
    <w:rsid w:val="004D13EF"/>
    <w:rsid w:val="004F1198"/>
    <w:rsid w:val="005445FF"/>
    <w:rsid w:val="00550999"/>
    <w:rsid w:val="00552D80"/>
    <w:rsid w:val="00571B48"/>
    <w:rsid w:val="005A1B63"/>
    <w:rsid w:val="005A6C9C"/>
    <w:rsid w:val="005B4547"/>
    <w:rsid w:val="005D0BE8"/>
    <w:rsid w:val="005E5CA5"/>
    <w:rsid w:val="005F78E0"/>
    <w:rsid w:val="00646F99"/>
    <w:rsid w:val="00661DB5"/>
    <w:rsid w:val="006651C8"/>
    <w:rsid w:val="00675F64"/>
    <w:rsid w:val="006943EE"/>
    <w:rsid w:val="006B2E94"/>
    <w:rsid w:val="006C014E"/>
    <w:rsid w:val="006E1A19"/>
    <w:rsid w:val="007216E0"/>
    <w:rsid w:val="007442BC"/>
    <w:rsid w:val="00745051"/>
    <w:rsid w:val="00746C99"/>
    <w:rsid w:val="00783062"/>
    <w:rsid w:val="00784706"/>
    <w:rsid w:val="007942BA"/>
    <w:rsid w:val="00796591"/>
    <w:rsid w:val="007B7DC1"/>
    <w:rsid w:val="007C5FCE"/>
    <w:rsid w:val="007E142B"/>
    <w:rsid w:val="007E232C"/>
    <w:rsid w:val="0081610F"/>
    <w:rsid w:val="0083173F"/>
    <w:rsid w:val="008372C3"/>
    <w:rsid w:val="00874DCD"/>
    <w:rsid w:val="008C2A05"/>
    <w:rsid w:val="008D15B9"/>
    <w:rsid w:val="008E41A1"/>
    <w:rsid w:val="008F488A"/>
    <w:rsid w:val="008F7A93"/>
    <w:rsid w:val="009026FF"/>
    <w:rsid w:val="00902CE6"/>
    <w:rsid w:val="00902EBC"/>
    <w:rsid w:val="00907756"/>
    <w:rsid w:val="00911629"/>
    <w:rsid w:val="009360FC"/>
    <w:rsid w:val="00956B1B"/>
    <w:rsid w:val="009608DE"/>
    <w:rsid w:val="009849A2"/>
    <w:rsid w:val="00986707"/>
    <w:rsid w:val="00987973"/>
    <w:rsid w:val="009A6284"/>
    <w:rsid w:val="009A7847"/>
    <w:rsid w:val="009B57C7"/>
    <w:rsid w:val="009C3701"/>
    <w:rsid w:val="009D15E9"/>
    <w:rsid w:val="009D65B4"/>
    <w:rsid w:val="009F18E0"/>
    <w:rsid w:val="00A14A81"/>
    <w:rsid w:val="00A248F6"/>
    <w:rsid w:val="00A3770C"/>
    <w:rsid w:val="00A826B6"/>
    <w:rsid w:val="00AB3927"/>
    <w:rsid w:val="00AB63B5"/>
    <w:rsid w:val="00AD1132"/>
    <w:rsid w:val="00AD70D3"/>
    <w:rsid w:val="00AE6709"/>
    <w:rsid w:val="00AF111E"/>
    <w:rsid w:val="00AF2B8C"/>
    <w:rsid w:val="00AF702F"/>
    <w:rsid w:val="00B02855"/>
    <w:rsid w:val="00B2603D"/>
    <w:rsid w:val="00B47686"/>
    <w:rsid w:val="00B5043F"/>
    <w:rsid w:val="00B57820"/>
    <w:rsid w:val="00B84728"/>
    <w:rsid w:val="00B84E4B"/>
    <w:rsid w:val="00BB39B1"/>
    <w:rsid w:val="00BD1EA2"/>
    <w:rsid w:val="00BD4A5D"/>
    <w:rsid w:val="00BE4804"/>
    <w:rsid w:val="00BF34FA"/>
    <w:rsid w:val="00BF76C9"/>
    <w:rsid w:val="00C23FDB"/>
    <w:rsid w:val="00C359F2"/>
    <w:rsid w:val="00C518EA"/>
    <w:rsid w:val="00C70C88"/>
    <w:rsid w:val="00C801D9"/>
    <w:rsid w:val="00C84446"/>
    <w:rsid w:val="00CB4880"/>
    <w:rsid w:val="00CE475C"/>
    <w:rsid w:val="00CF0E44"/>
    <w:rsid w:val="00CF1A93"/>
    <w:rsid w:val="00CF7C4E"/>
    <w:rsid w:val="00D068BC"/>
    <w:rsid w:val="00D16466"/>
    <w:rsid w:val="00D16937"/>
    <w:rsid w:val="00D7229A"/>
    <w:rsid w:val="00D76D34"/>
    <w:rsid w:val="00D8286A"/>
    <w:rsid w:val="00D9261A"/>
    <w:rsid w:val="00D95348"/>
    <w:rsid w:val="00D956C8"/>
    <w:rsid w:val="00DB28EC"/>
    <w:rsid w:val="00DE754C"/>
    <w:rsid w:val="00E003E0"/>
    <w:rsid w:val="00E06557"/>
    <w:rsid w:val="00E06694"/>
    <w:rsid w:val="00E11170"/>
    <w:rsid w:val="00E15247"/>
    <w:rsid w:val="00E215E0"/>
    <w:rsid w:val="00E253DE"/>
    <w:rsid w:val="00E361BA"/>
    <w:rsid w:val="00E4727F"/>
    <w:rsid w:val="00E53E83"/>
    <w:rsid w:val="00E6258F"/>
    <w:rsid w:val="00E701FC"/>
    <w:rsid w:val="00E7205B"/>
    <w:rsid w:val="00E722CA"/>
    <w:rsid w:val="00E73B10"/>
    <w:rsid w:val="00E96B73"/>
    <w:rsid w:val="00EA6863"/>
    <w:rsid w:val="00EB27D9"/>
    <w:rsid w:val="00EC5556"/>
    <w:rsid w:val="00ED7B10"/>
    <w:rsid w:val="00EF7564"/>
    <w:rsid w:val="00F07D86"/>
    <w:rsid w:val="00F24507"/>
    <w:rsid w:val="00F76ABC"/>
    <w:rsid w:val="00F8054A"/>
    <w:rsid w:val="00FA0C1C"/>
    <w:rsid w:val="00FB372F"/>
    <w:rsid w:val="00FD09D5"/>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ListParagraph">
    <w:name w:val="List Paragraph"/>
    <w:basedOn w:val="Normal"/>
    <w:uiPriority w:val="34"/>
    <w:qFormat/>
    <w:rsid w:val="00AF2B8C"/>
    <w:pPr>
      <w:ind w:left="720"/>
      <w:contextualSpacing/>
    </w:pPr>
  </w:style>
  <w:style w:type="character" w:styleId="CommentReference">
    <w:name w:val="annotation reference"/>
    <w:basedOn w:val="DefaultParagraphFont"/>
    <w:rsid w:val="00796591"/>
    <w:rPr>
      <w:sz w:val="16"/>
      <w:szCs w:val="16"/>
    </w:rPr>
  </w:style>
  <w:style w:type="paragraph" w:styleId="CommentText">
    <w:name w:val="annotation text"/>
    <w:basedOn w:val="Normal"/>
    <w:link w:val="CommentTextChar"/>
    <w:rsid w:val="00796591"/>
    <w:rPr>
      <w:sz w:val="20"/>
    </w:rPr>
  </w:style>
  <w:style w:type="character" w:customStyle="1" w:styleId="CommentTextChar">
    <w:name w:val="Comment Text Char"/>
    <w:basedOn w:val="DefaultParagraphFont"/>
    <w:link w:val="CommentText"/>
    <w:rsid w:val="00796591"/>
    <w:rPr>
      <w:rFonts w:ascii="Arial" w:hAnsi="Arial"/>
    </w:rPr>
  </w:style>
  <w:style w:type="paragraph" w:styleId="CommentSubject">
    <w:name w:val="annotation subject"/>
    <w:basedOn w:val="CommentText"/>
    <w:next w:val="CommentText"/>
    <w:link w:val="CommentSubjectChar"/>
    <w:rsid w:val="00796591"/>
    <w:rPr>
      <w:b/>
      <w:bCs/>
    </w:rPr>
  </w:style>
  <w:style w:type="character" w:customStyle="1" w:styleId="CommentSubjectChar">
    <w:name w:val="Comment Subject Char"/>
    <w:basedOn w:val="CommentTextChar"/>
    <w:link w:val="CommentSubject"/>
    <w:rsid w:val="00796591"/>
    <w:rPr>
      <w:rFonts w:ascii="Arial" w:hAnsi="Arial"/>
      <w:b/>
      <w:bCs/>
    </w:rPr>
  </w:style>
  <w:style w:type="paragraph" w:customStyle="1" w:styleId="m4952268485352511667m-6859169342093900110m4230031609067152326msolistparagraph">
    <w:name w:val="m_4952268485352511667m-6859169342093900110m4230031609067152326msolistparagraph"/>
    <w:basedOn w:val="Normal"/>
    <w:rsid w:val="009B57C7"/>
    <w:pPr>
      <w:tabs>
        <w:tab w:val="clear" w:pos="1260"/>
        <w:tab w:val="clear" w:pos="1980"/>
        <w:tab w:val="clear" w:pos="2700"/>
        <w:tab w:val="clear" w:pos="3420"/>
      </w:tabs>
      <w:spacing w:before="100" w:beforeAutospacing="1" w:after="100" w:afterAutospacing="1"/>
      <w:jc w:val="left"/>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ListParagraph">
    <w:name w:val="List Paragraph"/>
    <w:basedOn w:val="Normal"/>
    <w:uiPriority w:val="34"/>
    <w:qFormat/>
    <w:rsid w:val="00AF2B8C"/>
    <w:pPr>
      <w:ind w:left="720"/>
      <w:contextualSpacing/>
    </w:pPr>
  </w:style>
  <w:style w:type="character" w:styleId="CommentReference">
    <w:name w:val="annotation reference"/>
    <w:basedOn w:val="DefaultParagraphFont"/>
    <w:rsid w:val="00796591"/>
    <w:rPr>
      <w:sz w:val="16"/>
      <w:szCs w:val="16"/>
    </w:rPr>
  </w:style>
  <w:style w:type="paragraph" w:styleId="CommentText">
    <w:name w:val="annotation text"/>
    <w:basedOn w:val="Normal"/>
    <w:link w:val="CommentTextChar"/>
    <w:rsid w:val="00796591"/>
    <w:rPr>
      <w:sz w:val="20"/>
    </w:rPr>
  </w:style>
  <w:style w:type="character" w:customStyle="1" w:styleId="CommentTextChar">
    <w:name w:val="Comment Text Char"/>
    <w:basedOn w:val="DefaultParagraphFont"/>
    <w:link w:val="CommentText"/>
    <w:rsid w:val="00796591"/>
    <w:rPr>
      <w:rFonts w:ascii="Arial" w:hAnsi="Arial"/>
    </w:rPr>
  </w:style>
  <w:style w:type="paragraph" w:styleId="CommentSubject">
    <w:name w:val="annotation subject"/>
    <w:basedOn w:val="CommentText"/>
    <w:next w:val="CommentText"/>
    <w:link w:val="CommentSubjectChar"/>
    <w:rsid w:val="00796591"/>
    <w:rPr>
      <w:b/>
      <w:bCs/>
    </w:rPr>
  </w:style>
  <w:style w:type="character" w:customStyle="1" w:styleId="CommentSubjectChar">
    <w:name w:val="Comment Subject Char"/>
    <w:basedOn w:val="CommentTextChar"/>
    <w:link w:val="CommentSubject"/>
    <w:rsid w:val="00796591"/>
    <w:rPr>
      <w:rFonts w:ascii="Arial" w:hAnsi="Arial"/>
      <w:b/>
      <w:bCs/>
    </w:rPr>
  </w:style>
  <w:style w:type="paragraph" w:customStyle="1" w:styleId="m4952268485352511667m-6859169342093900110m4230031609067152326msolistparagraph">
    <w:name w:val="m_4952268485352511667m-6859169342093900110m4230031609067152326msolistparagraph"/>
    <w:basedOn w:val="Normal"/>
    <w:rsid w:val="009B57C7"/>
    <w:pPr>
      <w:tabs>
        <w:tab w:val="clear" w:pos="1260"/>
        <w:tab w:val="clear" w:pos="1980"/>
        <w:tab w:val="clear" w:pos="2700"/>
        <w:tab w:val="clear" w:pos="3420"/>
      </w:tabs>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59885">
      <w:bodyDiv w:val="1"/>
      <w:marLeft w:val="0"/>
      <w:marRight w:val="0"/>
      <w:marTop w:val="0"/>
      <w:marBottom w:val="0"/>
      <w:divBdr>
        <w:top w:val="none" w:sz="0" w:space="0" w:color="auto"/>
        <w:left w:val="none" w:sz="0" w:space="0" w:color="auto"/>
        <w:bottom w:val="none" w:sz="0" w:space="0" w:color="auto"/>
        <w:right w:val="none" w:sz="0" w:space="0" w:color="auto"/>
      </w:divBdr>
    </w:div>
    <w:div w:id="670912278">
      <w:bodyDiv w:val="1"/>
      <w:marLeft w:val="0"/>
      <w:marRight w:val="0"/>
      <w:marTop w:val="0"/>
      <w:marBottom w:val="0"/>
      <w:divBdr>
        <w:top w:val="none" w:sz="0" w:space="0" w:color="auto"/>
        <w:left w:val="none" w:sz="0" w:space="0" w:color="auto"/>
        <w:bottom w:val="none" w:sz="0" w:space="0" w:color="auto"/>
        <w:right w:val="none" w:sz="0" w:space="0" w:color="auto"/>
      </w:divBdr>
    </w:div>
    <w:div w:id="764232642">
      <w:bodyDiv w:val="1"/>
      <w:marLeft w:val="0"/>
      <w:marRight w:val="0"/>
      <w:marTop w:val="0"/>
      <w:marBottom w:val="0"/>
      <w:divBdr>
        <w:top w:val="none" w:sz="0" w:space="0" w:color="auto"/>
        <w:left w:val="none" w:sz="0" w:space="0" w:color="auto"/>
        <w:bottom w:val="none" w:sz="0" w:space="0" w:color="auto"/>
        <w:right w:val="none" w:sz="0" w:space="0" w:color="auto"/>
      </w:divBdr>
    </w:div>
    <w:div w:id="789855243">
      <w:bodyDiv w:val="1"/>
      <w:marLeft w:val="0"/>
      <w:marRight w:val="0"/>
      <w:marTop w:val="0"/>
      <w:marBottom w:val="0"/>
      <w:divBdr>
        <w:top w:val="none" w:sz="0" w:space="0" w:color="auto"/>
        <w:left w:val="none" w:sz="0" w:space="0" w:color="auto"/>
        <w:bottom w:val="none" w:sz="0" w:space="0" w:color="auto"/>
        <w:right w:val="none" w:sz="0" w:space="0" w:color="auto"/>
      </w:divBdr>
    </w:div>
    <w:div w:id="1222667828">
      <w:bodyDiv w:val="1"/>
      <w:marLeft w:val="0"/>
      <w:marRight w:val="0"/>
      <w:marTop w:val="0"/>
      <w:marBottom w:val="0"/>
      <w:divBdr>
        <w:top w:val="none" w:sz="0" w:space="0" w:color="auto"/>
        <w:left w:val="none" w:sz="0" w:space="0" w:color="auto"/>
        <w:bottom w:val="none" w:sz="0" w:space="0" w:color="auto"/>
        <w:right w:val="none" w:sz="0" w:space="0" w:color="auto"/>
      </w:divBdr>
    </w:div>
    <w:div w:id="1296522000">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gp\Local%20Settings\Temporary%20Internet%20Files\OLK9\TRDC%20Report%20Template%2015%2008%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8653-B37D-4A35-B693-ACD3B4BC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TRDC Report Template 15 08 12</Template>
  <TotalTime>12</TotalTime>
  <Pages>6</Pages>
  <Words>1470</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9755</CharactersWithSpaces>
  <SharedDoc>false</SharedDoc>
  <HLinks>
    <vt:vector size="6" baseType="variant">
      <vt:variant>
        <vt:i4>1769501</vt:i4>
      </vt:variant>
      <vt:variant>
        <vt:i4>24</vt:i4>
      </vt:variant>
      <vt:variant>
        <vt:i4>0</vt:i4>
      </vt:variant>
      <vt:variant>
        <vt:i4>5</vt:i4>
      </vt:variant>
      <vt:variant>
        <vt:lpwstr>http://intranet.threerivers.gov.uk/Default.aspx/Web/PoliciesAndProceduresCategoryListingPage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Phill King</dc:creator>
  <cp:lastModifiedBy>Sherrie Ralton</cp:lastModifiedBy>
  <cp:revision>4</cp:revision>
  <cp:lastPrinted>2017-11-16T11:54:00Z</cp:lastPrinted>
  <dcterms:created xsi:type="dcterms:W3CDTF">2017-11-16T10:23:00Z</dcterms:created>
  <dcterms:modified xsi:type="dcterms:W3CDTF">2017-11-16T11:57:00Z</dcterms:modified>
</cp:coreProperties>
</file>