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C0" w:rsidRDefault="00782CC0" w:rsidP="00782CC0">
      <w:pPr>
        <w:ind w:left="360"/>
        <w:jc w:val="center"/>
        <w:rPr>
          <w:rFonts w:ascii="Arial" w:hAnsi="Arial" w:cs="Arial"/>
          <w:b/>
        </w:rPr>
      </w:pPr>
      <w:r w:rsidRPr="00F86938">
        <w:rPr>
          <w:rFonts w:ascii="Arial" w:hAnsi="Arial" w:cs="Arial"/>
          <w:b/>
        </w:rPr>
        <w:t>POLICY AND RESOURCES COMMITTEE</w:t>
      </w:r>
      <w:r w:rsidR="00F86938" w:rsidRPr="00F86938">
        <w:rPr>
          <w:rFonts w:ascii="Arial" w:hAnsi="Arial" w:cs="Arial"/>
          <w:b/>
        </w:rPr>
        <w:t xml:space="preserve"> - </w:t>
      </w:r>
      <w:r w:rsidR="003E2D7A" w:rsidRPr="00F86938">
        <w:rPr>
          <w:rFonts w:ascii="Arial" w:hAnsi="Arial" w:cs="Arial"/>
          <w:b/>
        </w:rPr>
        <w:t>12 June 2017</w:t>
      </w:r>
    </w:p>
    <w:p w:rsidR="00F86938" w:rsidRPr="00F86938" w:rsidRDefault="00F86938" w:rsidP="00782CC0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I - DELEGATED</w:t>
      </w:r>
    </w:p>
    <w:p w:rsidR="00782CC0" w:rsidRDefault="00F86938" w:rsidP="005C1F77">
      <w:pPr>
        <w:spacing w:after="0"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5.</w:t>
      </w:r>
      <w:r>
        <w:rPr>
          <w:rFonts w:ascii="Arial" w:hAnsi="Arial" w:cs="Arial"/>
          <w:b/>
          <w:caps/>
        </w:rPr>
        <w:tab/>
      </w:r>
      <w:r w:rsidR="003E2D7A" w:rsidRPr="00F86938">
        <w:rPr>
          <w:rFonts w:ascii="Arial" w:hAnsi="Arial" w:cs="Arial"/>
          <w:b/>
          <w:caps/>
        </w:rPr>
        <w:t>Local Council Tax Reduction Scheme</w:t>
      </w:r>
      <w:r w:rsidR="005836DB" w:rsidRPr="00F86938">
        <w:rPr>
          <w:rFonts w:ascii="Arial" w:hAnsi="Arial" w:cs="Arial"/>
          <w:b/>
          <w:caps/>
        </w:rPr>
        <w:t xml:space="preserve"> (LCTR)</w:t>
      </w:r>
      <w:r w:rsidR="00A0187D" w:rsidRPr="00F86938">
        <w:rPr>
          <w:rFonts w:ascii="Arial" w:hAnsi="Arial" w:cs="Arial"/>
          <w:b/>
          <w:caps/>
        </w:rPr>
        <w:t xml:space="preserve"> </w:t>
      </w:r>
      <w:r w:rsidR="00732CA6" w:rsidRPr="00F86938">
        <w:rPr>
          <w:rFonts w:ascii="Arial" w:hAnsi="Arial" w:cs="Arial"/>
          <w:b/>
          <w:caps/>
        </w:rPr>
        <w:t>–</w:t>
      </w:r>
      <w:r w:rsidR="00A0187D" w:rsidRPr="00F86938">
        <w:rPr>
          <w:rFonts w:ascii="Arial" w:hAnsi="Arial" w:cs="Arial"/>
          <w:b/>
          <w:caps/>
        </w:rPr>
        <w:t xml:space="preserve"> </w:t>
      </w:r>
      <w:r w:rsidR="003E2D7A" w:rsidRPr="00F86938">
        <w:rPr>
          <w:rFonts w:ascii="Arial" w:hAnsi="Arial" w:cs="Arial"/>
          <w:b/>
          <w:caps/>
        </w:rPr>
        <w:t xml:space="preserve">Review </w:t>
      </w:r>
    </w:p>
    <w:p w:rsidR="005C1F77" w:rsidRPr="00F86938" w:rsidRDefault="005C1F77" w:rsidP="005C1F77">
      <w:pPr>
        <w:spacing w:after="0" w:line="240" w:lineRule="auto"/>
        <w:rPr>
          <w:rFonts w:ascii="Arial" w:hAnsi="Arial" w:cs="Arial"/>
          <w:b/>
          <w:caps/>
        </w:rPr>
      </w:pPr>
    </w:p>
    <w:p w:rsidR="000F766E" w:rsidRPr="005C1F77" w:rsidRDefault="000F766E" w:rsidP="005C1F77">
      <w:pPr>
        <w:pStyle w:val="ListParagraph"/>
        <w:numPr>
          <w:ilvl w:val="0"/>
          <w:numId w:val="27"/>
        </w:numPr>
        <w:spacing w:after="0" w:line="240" w:lineRule="auto"/>
        <w:ind w:left="709" w:hanging="709"/>
        <w:rPr>
          <w:rFonts w:ascii="Arial" w:hAnsi="Arial" w:cs="Arial"/>
          <w:b/>
        </w:rPr>
      </w:pPr>
      <w:r w:rsidRPr="005C1F77">
        <w:rPr>
          <w:rFonts w:ascii="Arial" w:hAnsi="Arial" w:cs="Arial"/>
          <w:b/>
        </w:rPr>
        <w:t>Introduction</w:t>
      </w:r>
    </w:p>
    <w:p w:rsidR="005C1F77" w:rsidRPr="005C1F77" w:rsidRDefault="005C1F77" w:rsidP="005C1F77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BF0072" w:rsidRPr="00F86938" w:rsidRDefault="003E2D7A" w:rsidP="005C1F77">
      <w:pPr>
        <w:pStyle w:val="ListParagraph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 xml:space="preserve">In April 2013, as part of the </w:t>
      </w:r>
      <w:r w:rsidR="00CF65AF">
        <w:rPr>
          <w:rFonts w:ascii="Arial" w:hAnsi="Arial" w:cs="Arial"/>
        </w:rPr>
        <w:t>N</w:t>
      </w:r>
      <w:r w:rsidRPr="00F86938">
        <w:rPr>
          <w:rFonts w:ascii="Arial" w:hAnsi="Arial" w:cs="Arial"/>
        </w:rPr>
        <w:t xml:space="preserve">ational </w:t>
      </w:r>
      <w:r w:rsidR="00CF65AF">
        <w:rPr>
          <w:rFonts w:ascii="Arial" w:hAnsi="Arial" w:cs="Arial"/>
        </w:rPr>
        <w:t>W</w:t>
      </w:r>
      <w:r w:rsidRPr="00F86938">
        <w:rPr>
          <w:rFonts w:ascii="Arial" w:hAnsi="Arial" w:cs="Arial"/>
        </w:rPr>
        <w:t xml:space="preserve">elfare </w:t>
      </w:r>
      <w:r w:rsidR="00CF65AF">
        <w:rPr>
          <w:rFonts w:ascii="Arial" w:hAnsi="Arial" w:cs="Arial"/>
        </w:rPr>
        <w:t>R</w:t>
      </w:r>
      <w:r w:rsidRPr="00F86938">
        <w:rPr>
          <w:rFonts w:ascii="Arial" w:hAnsi="Arial" w:cs="Arial"/>
        </w:rPr>
        <w:t xml:space="preserve">eform, the </w:t>
      </w:r>
      <w:r w:rsidR="00CF65AF">
        <w:rPr>
          <w:rFonts w:ascii="Arial" w:hAnsi="Arial" w:cs="Arial"/>
        </w:rPr>
        <w:t>G</w:t>
      </w:r>
      <w:r w:rsidRPr="00F86938">
        <w:rPr>
          <w:rFonts w:ascii="Arial" w:hAnsi="Arial" w:cs="Arial"/>
        </w:rPr>
        <w:t>overnment changed the way financial support for council tax was managed. This meant the national council tax benefit system,</w:t>
      </w:r>
      <w:r w:rsidR="005836DB" w:rsidRPr="00F86938">
        <w:rPr>
          <w:rFonts w:ascii="Arial" w:hAnsi="Arial" w:cs="Arial"/>
        </w:rPr>
        <w:t xml:space="preserve"> which helped people with a </w:t>
      </w:r>
      <w:r w:rsidRPr="00F86938">
        <w:rPr>
          <w:rFonts w:ascii="Arial" w:hAnsi="Arial" w:cs="Arial"/>
        </w:rPr>
        <w:t xml:space="preserve">low income meet their council tax obligations, was replaced by new </w:t>
      </w:r>
      <w:r w:rsidR="00CF65AF">
        <w:rPr>
          <w:rFonts w:ascii="Arial" w:hAnsi="Arial" w:cs="Arial"/>
        </w:rPr>
        <w:t>L</w:t>
      </w:r>
      <w:r w:rsidRPr="00F86938">
        <w:rPr>
          <w:rFonts w:ascii="Arial" w:hAnsi="Arial" w:cs="Arial"/>
        </w:rPr>
        <w:t xml:space="preserve">ocal </w:t>
      </w:r>
      <w:r w:rsidR="00CF65AF">
        <w:rPr>
          <w:rFonts w:ascii="Arial" w:hAnsi="Arial" w:cs="Arial"/>
        </w:rPr>
        <w:t>C</w:t>
      </w:r>
      <w:r w:rsidRPr="00F86938">
        <w:rPr>
          <w:rFonts w:ascii="Arial" w:hAnsi="Arial" w:cs="Arial"/>
        </w:rPr>
        <w:t xml:space="preserve">ouncil </w:t>
      </w:r>
      <w:r w:rsidR="00CF65AF">
        <w:rPr>
          <w:rFonts w:ascii="Arial" w:hAnsi="Arial" w:cs="Arial"/>
        </w:rPr>
        <w:t>T</w:t>
      </w:r>
      <w:r w:rsidRPr="00F86938">
        <w:rPr>
          <w:rFonts w:ascii="Arial" w:hAnsi="Arial" w:cs="Arial"/>
        </w:rPr>
        <w:t xml:space="preserve">ax </w:t>
      </w:r>
      <w:r w:rsidR="00CF65AF">
        <w:rPr>
          <w:rFonts w:ascii="Arial" w:hAnsi="Arial" w:cs="Arial"/>
        </w:rPr>
        <w:t>R</w:t>
      </w:r>
      <w:r w:rsidRPr="00F86938">
        <w:rPr>
          <w:rFonts w:ascii="Arial" w:hAnsi="Arial" w:cs="Arial"/>
        </w:rPr>
        <w:t xml:space="preserve">eduction </w:t>
      </w:r>
      <w:r w:rsidR="00EB30E3">
        <w:rPr>
          <w:rFonts w:ascii="Arial" w:hAnsi="Arial" w:cs="Arial"/>
        </w:rPr>
        <w:t>S</w:t>
      </w:r>
      <w:r w:rsidRPr="00F86938">
        <w:rPr>
          <w:rFonts w:ascii="Arial" w:hAnsi="Arial" w:cs="Arial"/>
        </w:rPr>
        <w:t>chemes managed by Local Authorities</w:t>
      </w:r>
      <w:r w:rsidR="00BF0072" w:rsidRPr="00F86938">
        <w:rPr>
          <w:rFonts w:ascii="Arial" w:hAnsi="Arial" w:cs="Arial"/>
        </w:rPr>
        <w:t xml:space="preserve">. </w:t>
      </w:r>
    </w:p>
    <w:p w:rsidR="00BF0072" w:rsidRPr="00F86938" w:rsidRDefault="00BF0072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836DB" w:rsidRPr="00F86938" w:rsidRDefault="005836DB" w:rsidP="005C1F77">
      <w:pPr>
        <w:pStyle w:val="ListParagraph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Three Rivers District Council’s current scheme replicates the previous Council Tax Benefit scheme with the following amendments:</w:t>
      </w:r>
    </w:p>
    <w:p w:rsidR="005836DB" w:rsidRPr="00F86938" w:rsidRDefault="005836DB" w:rsidP="005C1F77">
      <w:pPr>
        <w:pStyle w:val="ListParagraph"/>
        <w:spacing w:after="0" w:line="240" w:lineRule="auto"/>
        <w:rPr>
          <w:rFonts w:ascii="Arial" w:hAnsi="Arial" w:cs="Arial"/>
        </w:rPr>
      </w:pPr>
    </w:p>
    <w:p w:rsidR="005836DB" w:rsidRPr="00F86938" w:rsidRDefault="005836DB" w:rsidP="005C1F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A limitation on the amount payable based on the band of the property;</w:t>
      </w:r>
    </w:p>
    <w:p w:rsidR="005836DB" w:rsidRPr="00F86938" w:rsidRDefault="005836DB" w:rsidP="005C1F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Changes to capital levels;</w:t>
      </w:r>
    </w:p>
    <w:p w:rsidR="005836DB" w:rsidRPr="00F86938" w:rsidRDefault="005836DB" w:rsidP="005C1F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The removal of Second Adult Rebate; and</w:t>
      </w:r>
    </w:p>
    <w:p w:rsidR="005836DB" w:rsidRPr="00F86938" w:rsidRDefault="005836DB" w:rsidP="005C1F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Increases in Non-Dependant deductions</w:t>
      </w:r>
    </w:p>
    <w:p w:rsidR="0020577D" w:rsidRPr="00F86938" w:rsidRDefault="0020577D" w:rsidP="005C1F77">
      <w:pPr>
        <w:pStyle w:val="ListParagraph"/>
        <w:spacing w:after="0" w:line="240" w:lineRule="auto"/>
        <w:rPr>
          <w:rFonts w:ascii="Arial" w:hAnsi="Arial" w:cs="Arial"/>
        </w:rPr>
      </w:pPr>
    </w:p>
    <w:p w:rsidR="0020577D" w:rsidRDefault="0020577D" w:rsidP="005C1F77">
      <w:pPr>
        <w:pStyle w:val="ListParagraph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The current scheme does not appear to have impacted council tax collection rates which have consistently attained target.</w:t>
      </w:r>
    </w:p>
    <w:p w:rsidR="005C1F77" w:rsidRPr="00F86938" w:rsidRDefault="005C1F77" w:rsidP="005C1F77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</w:p>
    <w:p w:rsidR="000F766E" w:rsidRPr="005C1F77" w:rsidRDefault="000F766E" w:rsidP="005C1F77">
      <w:pPr>
        <w:pStyle w:val="ListParagraph"/>
        <w:numPr>
          <w:ilvl w:val="0"/>
          <w:numId w:val="27"/>
        </w:numPr>
        <w:spacing w:after="0" w:line="240" w:lineRule="auto"/>
        <w:ind w:left="709" w:hanging="709"/>
        <w:rPr>
          <w:rFonts w:ascii="Arial" w:hAnsi="Arial" w:cs="Arial"/>
          <w:b/>
        </w:rPr>
      </w:pPr>
      <w:r w:rsidRPr="005C1F77">
        <w:rPr>
          <w:rFonts w:ascii="Arial" w:hAnsi="Arial" w:cs="Arial"/>
          <w:b/>
        </w:rPr>
        <w:t>Background</w:t>
      </w:r>
    </w:p>
    <w:p w:rsidR="005C1F77" w:rsidRPr="005C1F77" w:rsidRDefault="005C1F77" w:rsidP="005C1F77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A563DD" w:rsidRPr="00F86938" w:rsidRDefault="00F86938" w:rsidP="005C1F7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5836DB" w:rsidRPr="00F86938">
        <w:rPr>
          <w:rFonts w:ascii="Arial" w:hAnsi="Arial" w:cs="Arial"/>
        </w:rPr>
        <w:t xml:space="preserve">It was agreed to undertake a full review of </w:t>
      </w:r>
      <w:r w:rsidR="00A563DD" w:rsidRPr="00F86938">
        <w:rPr>
          <w:rFonts w:ascii="Arial" w:hAnsi="Arial" w:cs="Arial"/>
        </w:rPr>
        <w:t xml:space="preserve">the current </w:t>
      </w:r>
      <w:r w:rsidR="005836DB" w:rsidRPr="00F86938">
        <w:rPr>
          <w:rFonts w:ascii="Arial" w:hAnsi="Arial" w:cs="Arial"/>
        </w:rPr>
        <w:t>LCTR scheme during 2017</w:t>
      </w:r>
      <w:r w:rsidR="00A563DD" w:rsidRPr="00F86938">
        <w:rPr>
          <w:rFonts w:ascii="Arial" w:hAnsi="Arial" w:cs="Arial"/>
        </w:rPr>
        <w:t xml:space="preserve">, provide options for consideration </w:t>
      </w:r>
      <w:r w:rsidR="005836DB" w:rsidRPr="00F86938">
        <w:rPr>
          <w:rFonts w:ascii="Arial" w:hAnsi="Arial" w:cs="Arial"/>
        </w:rPr>
        <w:t xml:space="preserve">and if agreed to adopt a new scheme </w:t>
      </w:r>
      <w:r w:rsidR="00A563DD" w:rsidRPr="00F86938">
        <w:rPr>
          <w:rFonts w:ascii="Arial" w:hAnsi="Arial" w:cs="Arial"/>
        </w:rPr>
        <w:t xml:space="preserve">carry out the necessary consultation. </w:t>
      </w:r>
      <w:r w:rsidR="005836DB" w:rsidRPr="00F86938">
        <w:rPr>
          <w:rFonts w:ascii="Arial" w:hAnsi="Arial" w:cs="Arial"/>
        </w:rPr>
        <w:t xml:space="preserve"> </w:t>
      </w:r>
    </w:p>
    <w:p w:rsidR="00A563DD" w:rsidRPr="00F86938" w:rsidRDefault="00A563DD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BF0072" w:rsidRPr="00F86938" w:rsidRDefault="005836DB" w:rsidP="005C1F77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 xml:space="preserve">Any new scheme </w:t>
      </w:r>
      <w:r w:rsidR="00A563DD" w:rsidRPr="00F86938">
        <w:rPr>
          <w:rFonts w:ascii="Arial" w:hAnsi="Arial" w:cs="Arial"/>
        </w:rPr>
        <w:t xml:space="preserve">adopted by Three Rivers District Council must </w:t>
      </w:r>
      <w:r w:rsidRPr="00F86938">
        <w:rPr>
          <w:rFonts w:ascii="Arial" w:hAnsi="Arial" w:cs="Arial"/>
        </w:rPr>
        <w:t>be agreed by Full Council before 31 January 201</w:t>
      </w:r>
      <w:r w:rsidR="005845A1" w:rsidRPr="00F86938">
        <w:rPr>
          <w:rFonts w:ascii="Arial" w:hAnsi="Arial" w:cs="Arial"/>
        </w:rPr>
        <w:t>8</w:t>
      </w:r>
      <w:r w:rsidRPr="00F86938">
        <w:rPr>
          <w:rFonts w:ascii="Arial" w:hAnsi="Arial" w:cs="Arial"/>
        </w:rPr>
        <w:t xml:space="preserve"> f</w:t>
      </w:r>
      <w:r w:rsidR="005C1F77">
        <w:rPr>
          <w:rFonts w:ascii="Arial" w:hAnsi="Arial" w:cs="Arial"/>
        </w:rPr>
        <w:t>or introduction in April 2018.</w:t>
      </w:r>
    </w:p>
    <w:p w:rsidR="00A563DD" w:rsidRPr="00F86938" w:rsidRDefault="00A563DD" w:rsidP="005C1F77">
      <w:pPr>
        <w:pStyle w:val="ListParagraph"/>
        <w:spacing w:after="0" w:line="240" w:lineRule="auto"/>
        <w:rPr>
          <w:rFonts w:ascii="Arial" w:hAnsi="Arial" w:cs="Arial"/>
        </w:rPr>
      </w:pPr>
    </w:p>
    <w:p w:rsidR="00A563DD" w:rsidRPr="00F86938" w:rsidRDefault="00A563DD" w:rsidP="005C1F77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Some of the key considerations that would be taken into account during the review are:</w:t>
      </w:r>
    </w:p>
    <w:p w:rsidR="00A563DD" w:rsidRPr="00F86938" w:rsidRDefault="00A563DD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563DD" w:rsidRPr="00F86938" w:rsidRDefault="00A563DD" w:rsidP="005C1F77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F86938">
        <w:rPr>
          <w:rFonts w:ascii="Arial" w:hAnsi="Arial" w:cs="Arial"/>
          <w:b/>
        </w:rPr>
        <w:t>Pensioners of pension credit qualifying age are fully protected</w:t>
      </w:r>
      <w:r w:rsidRPr="00F86938">
        <w:rPr>
          <w:rFonts w:ascii="Arial" w:hAnsi="Arial" w:cs="Arial"/>
        </w:rPr>
        <w:t>. This principle in effect means there is no discretion in relation to people over pension age and entitlement rules for this group are set nationally.</w:t>
      </w:r>
    </w:p>
    <w:p w:rsidR="00A563DD" w:rsidRPr="00F86938" w:rsidRDefault="00A563DD" w:rsidP="005C1F77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A563DD" w:rsidRPr="00F86938" w:rsidRDefault="00A563DD" w:rsidP="005C1F77">
      <w:pPr>
        <w:pStyle w:val="ListParagraph"/>
        <w:numPr>
          <w:ilvl w:val="0"/>
          <w:numId w:val="19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F86938">
        <w:rPr>
          <w:rFonts w:ascii="Arial" w:hAnsi="Arial" w:cs="Arial"/>
          <w:b/>
        </w:rPr>
        <w:t>Vulnerable groups should be protected as far as possible</w:t>
      </w:r>
      <w:r w:rsidRPr="00F86938">
        <w:rPr>
          <w:rFonts w:ascii="Arial" w:hAnsi="Arial" w:cs="Arial"/>
        </w:rPr>
        <w:t>. There is no definition given to local authorities regarding which groups should be counted as ‘vulnerable’ so this is determined locally.</w:t>
      </w:r>
    </w:p>
    <w:p w:rsidR="00A563DD" w:rsidRPr="00F86938" w:rsidRDefault="00A563DD" w:rsidP="005C1F77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A563DD" w:rsidRDefault="00A563DD" w:rsidP="005C1F77">
      <w:pPr>
        <w:pStyle w:val="ListParagraph"/>
        <w:numPr>
          <w:ilvl w:val="0"/>
          <w:numId w:val="20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F86938">
        <w:rPr>
          <w:rFonts w:ascii="Arial" w:hAnsi="Arial" w:cs="Arial"/>
          <w:b/>
        </w:rPr>
        <w:t>Work incentives should not be undermined</w:t>
      </w:r>
      <w:r w:rsidRPr="00F86938">
        <w:rPr>
          <w:rFonts w:ascii="Arial" w:hAnsi="Arial" w:cs="Arial"/>
        </w:rPr>
        <w:t>. Local schemes should be designed to support work incentives and, in particular, avoid disincentives to move into work.</w:t>
      </w:r>
    </w:p>
    <w:p w:rsidR="00EB30E3" w:rsidRPr="00F86938" w:rsidRDefault="00EB30E3" w:rsidP="00EB30E3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  <w:bookmarkStart w:id="0" w:name="_GoBack"/>
      <w:bookmarkEnd w:id="0"/>
    </w:p>
    <w:p w:rsidR="00A563DD" w:rsidRPr="00F86938" w:rsidRDefault="00A563DD" w:rsidP="005C1F77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 xml:space="preserve">Only 42 out of 326 authorities have decided to maintain support at 100% for working age applicants, the level previously available under Council Tax Benefit. The changes most commonly adopted by </w:t>
      </w:r>
      <w:r w:rsidR="00EB30E3">
        <w:rPr>
          <w:rFonts w:ascii="Arial" w:hAnsi="Arial" w:cs="Arial"/>
        </w:rPr>
        <w:t>C</w:t>
      </w:r>
      <w:r w:rsidRPr="00F86938">
        <w:rPr>
          <w:rFonts w:ascii="Arial" w:hAnsi="Arial" w:cs="Arial"/>
        </w:rPr>
        <w:t>ouncils are:</w:t>
      </w:r>
    </w:p>
    <w:p w:rsidR="00A563DD" w:rsidRPr="00F86938" w:rsidRDefault="00A563DD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563DD" w:rsidRPr="00F86938" w:rsidRDefault="00A563DD" w:rsidP="005C1F7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Requiring a minimum payment;</w:t>
      </w:r>
    </w:p>
    <w:p w:rsidR="00A563DD" w:rsidRPr="00F86938" w:rsidRDefault="00A563DD" w:rsidP="005C1F7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lastRenderedPageBreak/>
        <w:t>Removing Second Adult Reduction (as per Three Rivers District Council)</w:t>
      </w:r>
    </w:p>
    <w:p w:rsidR="00A563DD" w:rsidRPr="00F86938" w:rsidRDefault="00A563DD" w:rsidP="005C1F7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Setting a minimum award level;</w:t>
      </w:r>
    </w:p>
    <w:p w:rsidR="00A563DD" w:rsidRPr="00F86938" w:rsidRDefault="00A563DD" w:rsidP="005C1F7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Changes the excess income taper;</w:t>
      </w:r>
    </w:p>
    <w:p w:rsidR="00A563DD" w:rsidRPr="00F86938" w:rsidRDefault="00A563DD" w:rsidP="005C1F7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Reducing the overall Capital Limits (as per Three Rivers District Council);</w:t>
      </w:r>
    </w:p>
    <w:p w:rsidR="00A563DD" w:rsidRPr="00F86938" w:rsidRDefault="00A563DD" w:rsidP="005C1F7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Limiting the amount of the reduction by Band; and</w:t>
      </w:r>
    </w:p>
    <w:p w:rsidR="00A563DD" w:rsidRPr="00F86938" w:rsidRDefault="00A563DD" w:rsidP="005C1F7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Changing Non-Dependant Deductions (as per Three Rivers District Council).</w:t>
      </w:r>
    </w:p>
    <w:p w:rsidR="005845A1" w:rsidRPr="00F86938" w:rsidRDefault="005845A1" w:rsidP="005C1F77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5908B4" w:rsidRPr="00F86938" w:rsidRDefault="005908B4" w:rsidP="005C1F77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The table below illustrates the estimated caseload for both working age and pension age recipients in 2017/18</w:t>
      </w:r>
    </w:p>
    <w:p w:rsidR="005908B4" w:rsidRPr="00F86938" w:rsidRDefault="005908B4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1373"/>
        <w:gridCol w:w="1559"/>
        <w:gridCol w:w="1559"/>
      </w:tblGrid>
      <w:tr w:rsidR="005908B4" w:rsidRPr="00F86938" w:rsidTr="005908B4">
        <w:tc>
          <w:tcPr>
            <w:tcW w:w="1373" w:type="dxa"/>
          </w:tcPr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Working age</w:t>
            </w:r>
          </w:p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Pension Age</w:t>
            </w:r>
          </w:p>
        </w:tc>
        <w:tc>
          <w:tcPr>
            <w:tcW w:w="1559" w:type="dxa"/>
          </w:tcPr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Total</w:t>
            </w:r>
          </w:p>
        </w:tc>
      </w:tr>
      <w:tr w:rsidR="005908B4" w:rsidRPr="00F86938" w:rsidTr="005908B4">
        <w:tc>
          <w:tcPr>
            <w:tcW w:w="1373" w:type="dxa"/>
          </w:tcPr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2510</w:t>
            </w:r>
          </w:p>
        </w:tc>
        <w:tc>
          <w:tcPr>
            <w:tcW w:w="1559" w:type="dxa"/>
          </w:tcPr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1839</w:t>
            </w:r>
          </w:p>
        </w:tc>
        <w:tc>
          <w:tcPr>
            <w:tcW w:w="1559" w:type="dxa"/>
          </w:tcPr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5908B4" w:rsidRPr="00F86938" w:rsidRDefault="005908B4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4349</w:t>
            </w:r>
          </w:p>
          <w:p w:rsidR="00FF5316" w:rsidRPr="00F86938" w:rsidRDefault="00FF5316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908B4" w:rsidRPr="00F86938" w:rsidRDefault="005908B4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908B4" w:rsidRPr="00F86938" w:rsidRDefault="005908B4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908B4" w:rsidRPr="00F86938" w:rsidRDefault="005908B4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908B4" w:rsidRPr="00F86938" w:rsidRDefault="005908B4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908B4" w:rsidRPr="00F86938" w:rsidRDefault="005908B4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 xml:space="preserve"> </w:t>
      </w:r>
    </w:p>
    <w:p w:rsidR="005908B4" w:rsidRPr="00F86938" w:rsidRDefault="005908B4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F5316" w:rsidRPr="00F86938" w:rsidRDefault="00FF5316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C1F77" w:rsidRDefault="005C1F77" w:rsidP="005C1F77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</w:p>
    <w:p w:rsidR="00F14D5E" w:rsidRPr="00F86938" w:rsidRDefault="00F14D5E" w:rsidP="005C1F77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 xml:space="preserve">The estimated cost of the scheme for working age applicants in 2017/18 as at 15 May 2017 is £3,904,287.68.  </w:t>
      </w:r>
    </w:p>
    <w:p w:rsidR="00F14D5E" w:rsidRPr="00F86938" w:rsidRDefault="00F14D5E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14D5E" w:rsidRPr="00F86938" w:rsidRDefault="00F14D5E" w:rsidP="005C1F77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The average weekly entitlement to council tax reduction for a working age recipient is £19.76</w:t>
      </w:r>
      <w:r w:rsidR="00F86938">
        <w:rPr>
          <w:rFonts w:ascii="Arial" w:hAnsi="Arial" w:cs="Arial"/>
        </w:rPr>
        <w:t>.</w:t>
      </w:r>
    </w:p>
    <w:p w:rsidR="00F14D5E" w:rsidRPr="00F86938" w:rsidRDefault="00F14D5E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14D5E" w:rsidRPr="00F86938" w:rsidRDefault="00F14D5E" w:rsidP="005C1F77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 xml:space="preserve">The table below illustrates how every £1 of council tax is apportioned between Hertfordshire County Council, Three Rivers District Council and the Police and Crime Commission. </w:t>
      </w:r>
    </w:p>
    <w:p w:rsidR="00F14D5E" w:rsidRPr="00F86938" w:rsidRDefault="00F14D5E" w:rsidP="005C1F77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9"/>
        <w:gridCol w:w="2094"/>
        <w:gridCol w:w="2171"/>
        <w:gridCol w:w="2078"/>
      </w:tblGrid>
      <w:tr w:rsidR="00F14D5E" w:rsidRPr="00F86938" w:rsidTr="00F14D5E">
        <w:tc>
          <w:tcPr>
            <w:tcW w:w="2310" w:type="dxa"/>
          </w:tcPr>
          <w:p w:rsidR="00FF5316" w:rsidRPr="00F86938" w:rsidRDefault="00FF5316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Hertfordshire District Council</w:t>
            </w:r>
          </w:p>
        </w:tc>
        <w:tc>
          <w:tcPr>
            <w:tcW w:w="2310" w:type="dxa"/>
          </w:tcPr>
          <w:p w:rsidR="00FF5316" w:rsidRPr="00F86938" w:rsidRDefault="00FF5316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Three Rivers District Council</w:t>
            </w:r>
          </w:p>
        </w:tc>
        <w:tc>
          <w:tcPr>
            <w:tcW w:w="2311" w:type="dxa"/>
          </w:tcPr>
          <w:p w:rsidR="00FF5316" w:rsidRPr="00F86938" w:rsidRDefault="00FF5316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Police and Crime Commission</w:t>
            </w:r>
          </w:p>
          <w:p w:rsidR="00FF5316" w:rsidRPr="00F86938" w:rsidRDefault="00FF5316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FF5316" w:rsidRPr="00F86938" w:rsidRDefault="00FF5316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Parish</w:t>
            </w:r>
          </w:p>
        </w:tc>
      </w:tr>
      <w:tr w:rsidR="00F14D5E" w:rsidRPr="00F86938" w:rsidTr="00F14D5E">
        <w:tc>
          <w:tcPr>
            <w:tcW w:w="2310" w:type="dxa"/>
          </w:tcPr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77p</w:t>
            </w:r>
          </w:p>
        </w:tc>
        <w:tc>
          <w:tcPr>
            <w:tcW w:w="2310" w:type="dxa"/>
          </w:tcPr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10p</w:t>
            </w:r>
          </w:p>
        </w:tc>
        <w:tc>
          <w:tcPr>
            <w:tcW w:w="2311" w:type="dxa"/>
          </w:tcPr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10p</w:t>
            </w:r>
          </w:p>
        </w:tc>
        <w:tc>
          <w:tcPr>
            <w:tcW w:w="2311" w:type="dxa"/>
          </w:tcPr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6938">
              <w:rPr>
                <w:rFonts w:ascii="Arial" w:hAnsi="Arial" w:cs="Arial"/>
              </w:rPr>
              <w:t>3p</w:t>
            </w:r>
          </w:p>
          <w:p w:rsidR="00F14D5E" w:rsidRPr="00F86938" w:rsidRDefault="00F14D5E" w:rsidP="005C1F7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F14D5E" w:rsidRPr="00F86938" w:rsidRDefault="00F14D5E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563DD" w:rsidRDefault="00F14D5E" w:rsidP="005C1F77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It is clear from the apportioning of council tax collection that the County Council would financially benefit the most from a</w:t>
      </w:r>
      <w:r w:rsidR="005C1F77">
        <w:rPr>
          <w:rFonts w:ascii="Arial" w:hAnsi="Arial" w:cs="Arial"/>
        </w:rPr>
        <w:t>ny reduction in CTR expenditure.</w:t>
      </w:r>
    </w:p>
    <w:p w:rsidR="005C1F77" w:rsidRPr="00F86938" w:rsidRDefault="005C1F77" w:rsidP="005C1F77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</w:p>
    <w:p w:rsidR="005241AF" w:rsidRPr="005C1F77" w:rsidRDefault="00A16616" w:rsidP="005C1F77">
      <w:pPr>
        <w:pStyle w:val="ListParagraph"/>
        <w:numPr>
          <w:ilvl w:val="0"/>
          <w:numId w:val="27"/>
        </w:numPr>
        <w:spacing w:after="0" w:line="240" w:lineRule="auto"/>
        <w:ind w:left="709" w:hanging="709"/>
        <w:rPr>
          <w:rFonts w:ascii="Arial" w:hAnsi="Arial" w:cs="Arial"/>
          <w:b/>
        </w:rPr>
      </w:pPr>
      <w:r w:rsidRPr="005C1F77">
        <w:rPr>
          <w:rFonts w:ascii="Arial" w:hAnsi="Arial" w:cs="Arial"/>
          <w:b/>
        </w:rPr>
        <w:t>Decision options</w:t>
      </w:r>
    </w:p>
    <w:p w:rsidR="005C1F77" w:rsidRPr="005C1F77" w:rsidRDefault="005C1F77" w:rsidP="005C1F77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D86247" w:rsidRPr="00F86938" w:rsidRDefault="00D86247" w:rsidP="005C1F77">
      <w:pPr>
        <w:pStyle w:val="ListParagraph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A number of options were selected for further development and modelling:</w:t>
      </w:r>
    </w:p>
    <w:p w:rsidR="00D86247" w:rsidRPr="00F86938" w:rsidRDefault="00D86247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D86247" w:rsidRPr="00F86938" w:rsidRDefault="00D86247" w:rsidP="005C1F7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 xml:space="preserve">Introduce a ‘fixed assessment period’ and continue with the current schemes to allow for multiple changes </w:t>
      </w:r>
    </w:p>
    <w:p w:rsidR="00D86247" w:rsidRPr="00F86938" w:rsidRDefault="00D86247" w:rsidP="005C1F77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D86247" w:rsidRPr="00F86938" w:rsidRDefault="00D86247" w:rsidP="005C1F7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Aligning the current scheme with changes to mirror housing benefit from 2018/19</w:t>
      </w:r>
    </w:p>
    <w:p w:rsidR="00D86247" w:rsidRPr="00F86938" w:rsidRDefault="00D86247" w:rsidP="005C1F77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Removal of family premium</w:t>
      </w:r>
    </w:p>
    <w:p w:rsidR="00D86247" w:rsidRPr="00F86938" w:rsidRDefault="00D86247" w:rsidP="005C1F77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Reduction of backdating to 1 month</w:t>
      </w:r>
    </w:p>
    <w:p w:rsidR="00D86247" w:rsidRPr="00F86938" w:rsidRDefault="00D86247" w:rsidP="005C1F77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Freezing applicable amounts</w:t>
      </w:r>
    </w:p>
    <w:p w:rsidR="00D86247" w:rsidRPr="00F86938" w:rsidRDefault="00D86247" w:rsidP="005C1F77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Withdrawal of council tax reduction where a person leaves the UK for 1 month or more</w:t>
      </w:r>
    </w:p>
    <w:p w:rsidR="00D86247" w:rsidRPr="00F86938" w:rsidRDefault="00D86247" w:rsidP="005C1F77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Limiting the number of dependants’ additions</w:t>
      </w:r>
    </w:p>
    <w:p w:rsidR="00D86247" w:rsidRPr="00F86938" w:rsidRDefault="00D86247" w:rsidP="005C1F77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lastRenderedPageBreak/>
        <w:t>Removal of the Employment and Support Allowance Work-Related Activity Component</w:t>
      </w:r>
    </w:p>
    <w:p w:rsidR="00D86247" w:rsidRPr="00F86938" w:rsidRDefault="00D86247" w:rsidP="005C1F77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Disregard of Post-Graduate Master’s Degree Loan and Special Support Loans</w:t>
      </w:r>
    </w:p>
    <w:p w:rsidR="005908B4" w:rsidRPr="00F86938" w:rsidRDefault="005908B4" w:rsidP="005C1F77">
      <w:pPr>
        <w:pStyle w:val="ListParagraph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The full disregard of Bereavement Payments from April 2017</w:t>
      </w:r>
    </w:p>
    <w:p w:rsidR="005908B4" w:rsidRPr="00F86938" w:rsidRDefault="005908B4" w:rsidP="005C1F77">
      <w:pPr>
        <w:pStyle w:val="ListParagraph"/>
        <w:spacing w:after="0" w:line="240" w:lineRule="auto"/>
        <w:ind w:left="2880"/>
        <w:jc w:val="both"/>
        <w:rPr>
          <w:rFonts w:ascii="Arial" w:hAnsi="Arial" w:cs="Arial"/>
        </w:rPr>
      </w:pPr>
    </w:p>
    <w:p w:rsidR="00D86247" w:rsidRPr="00F86938" w:rsidRDefault="00D86247" w:rsidP="005C1F7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 xml:space="preserve">Continue with current scheme but introduce a minimum income floor </w:t>
      </w:r>
    </w:p>
    <w:p w:rsidR="00D86247" w:rsidRPr="00F86938" w:rsidRDefault="00D86247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7301E" w:rsidRPr="00F86938" w:rsidRDefault="005908B4" w:rsidP="005C1F77">
      <w:pPr>
        <w:pStyle w:val="ListParagraph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 xml:space="preserve">The </w:t>
      </w:r>
      <w:r w:rsidR="0057301E" w:rsidRPr="00F86938">
        <w:rPr>
          <w:rFonts w:ascii="Arial" w:hAnsi="Arial" w:cs="Arial"/>
        </w:rPr>
        <w:t xml:space="preserve">table below illustrates potential reduction in expenditure where it has been quantified. </w:t>
      </w:r>
    </w:p>
    <w:tbl>
      <w:tblPr>
        <w:tblW w:w="8490" w:type="dxa"/>
        <w:tblInd w:w="565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1701"/>
        <w:gridCol w:w="1402"/>
      </w:tblGrid>
      <w:tr w:rsidR="00252BC3" w:rsidRPr="00F86938" w:rsidTr="00FF531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Option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Hertfordshire County Council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Three Rivers District Council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Police and Crime Commission</w:t>
            </w: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Parish</w:t>
            </w:r>
          </w:p>
        </w:tc>
      </w:tr>
      <w:tr w:rsidR="00252BC3" w:rsidRPr="00F86938" w:rsidTr="00FF531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Remove Family Premium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83,234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10,809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10,809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3,243</w:t>
            </w:r>
          </w:p>
        </w:tc>
      </w:tr>
      <w:tr w:rsidR="00252BC3" w:rsidRPr="00F86938" w:rsidTr="00FF531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Limit Dependants</w:t>
            </w: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93,073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12,088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12,088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3,626</w:t>
            </w:r>
          </w:p>
        </w:tc>
      </w:tr>
      <w:tr w:rsidR="00252BC3" w:rsidRPr="00F86938" w:rsidTr="00FF531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Minimum Floor Income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47,423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6,159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6,159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D7AC6" w:rsidRPr="00F86938" w:rsidRDefault="009D7AC6" w:rsidP="005C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938">
              <w:rPr>
                <w:rFonts w:ascii="Arial" w:eastAsia="Times New Roman" w:hAnsi="Arial" w:cs="Arial"/>
                <w:color w:val="000000"/>
                <w:lang w:eastAsia="en-GB"/>
              </w:rPr>
              <w:t>1,848</w:t>
            </w:r>
          </w:p>
        </w:tc>
      </w:tr>
    </w:tbl>
    <w:p w:rsidR="0057301E" w:rsidRPr="00F86938" w:rsidRDefault="0057301E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14D5E" w:rsidRPr="00F86938" w:rsidRDefault="009D7AC6" w:rsidP="005C1F77">
      <w:pPr>
        <w:pStyle w:val="ListParagraph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Full details of impact to current recipients, where identified, are</w:t>
      </w:r>
      <w:r w:rsidR="0057301E" w:rsidRPr="00F86938">
        <w:rPr>
          <w:rFonts w:ascii="Arial" w:hAnsi="Arial" w:cs="Arial"/>
        </w:rPr>
        <w:t xml:space="preserve"> contained in the Appendix.</w:t>
      </w:r>
      <w:r w:rsidR="005908B4" w:rsidRPr="00F86938">
        <w:rPr>
          <w:rFonts w:ascii="Arial" w:hAnsi="Arial" w:cs="Arial"/>
        </w:rPr>
        <w:t xml:space="preserve"> </w:t>
      </w:r>
    </w:p>
    <w:p w:rsidR="00252BC3" w:rsidRPr="00F86938" w:rsidRDefault="00252BC3" w:rsidP="005C1F7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9D7AC6" w:rsidRPr="00F86938" w:rsidRDefault="00252BC3" w:rsidP="005C1F77">
      <w:pPr>
        <w:pStyle w:val="ListParagraph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Should any of the options be selected, we must consult with both the public and major precepting authorities in accordance with the legislation.</w:t>
      </w:r>
    </w:p>
    <w:p w:rsidR="00FF5316" w:rsidRPr="00F86938" w:rsidRDefault="00FF5316" w:rsidP="005C1F77">
      <w:pPr>
        <w:pStyle w:val="ListParagraph"/>
        <w:spacing w:after="0" w:line="240" w:lineRule="auto"/>
        <w:rPr>
          <w:rFonts w:ascii="Arial" w:hAnsi="Arial" w:cs="Arial"/>
        </w:rPr>
      </w:pPr>
    </w:p>
    <w:p w:rsidR="00F14D5E" w:rsidRDefault="00FF5316" w:rsidP="005C1F77">
      <w:pPr>
        <w:pStyle w:val="ListParagraph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6938">
        <w:rPr>
          <w:rFonts w:ascii="Arial" w:hAnsi="Arial" w:cs="Arial"/>
        </w:rPr>
        <w:t>A full equalities impact assessment will be undertaken on any option selected the result of which will be included in the final report following any consultation.</w:t>
      </w:r>
    </w:p>
    <w:p w:rsidR="005C1F77" w:rsidRPr="00F86938" w:rsidRDefault="005C1F77" w:rsidP="005C1F77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</w:p>
    <w:p w:rsidR="00A16616" w:rsidRPr="005C1F77" w:rsidRDefault="005C1F77" w:rsidP="005C1F77">
      <w:pPr>
        <w:pStyle w:val="ListParagraph"/>
        <w:numPr>
          <w:ilvl w:val="0"/>
          <w:numId w:val="27"/>
        </w:numPr>
        <w:spacing w:after="0" w:line="240" w:lineRule="auto"/>
        <w:ind w:hanging="1080"/>
        <w:rPr>
          <w:rFonts w:ascii="Arial" w:hAnsi="Arial" w:cs="Arial"/>
          <w:b/>
        </w:rPr>
      </w:pPr>
      <w:r w:rsidRPr="005C1F77">
        <w:rPr>
          <w:rFonts w:ascii="Arial" w:hAnsi="Arial" w:cs="Arial"/>
          <w:b/>
        </w:rPr>
        <w:t>Options available</w:t>
      </w:r>
    </w:p>
    <w:p w:rsidR="005C1F77" w:rsidRPr="005C1F77" w:rsidRDefault="005C1F77" w:rsidP="005C1F77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576C57" w:rsidRPr="00F86938" w:rsidRDefault="00576C57" w:rsidP="005C1F77">
      <w:pPr>
        <w:pStyle w:val="ListParagraph"/>
        <w:numPr>
          <w:ilvl w:val="1"/>
          <w:numId w:val="26"/>
        </w:numPr>
        <w:spacing w:after="0" w:line="240" w:lineRule="auto"/>
        <w:ind w:left="709" w:hanging="709"/>
        <w:rPr>
          <w:rFonts w:ascii="Arial" w:hAnsi="Arial" w:cs="Arial"/>
        </w:rPr>
      </w:pPr>
      <w:r w:rsidRPr="00F86938">
        <w:rPr>
          <w:rFonts w:ascii="Arial" w:hAnsi="Arial" w:cs="Arial"/>
        </w:rPr>
        <w:t>Members can make any of the following decisions:</w:t>
      </w:r>
    </w:p>
    <w:p w:rsidR="006C1648" w:rsidRPr="00F86938" w:rsidRDefault="006C1648" w:rsidP="005C1F77">
      <w:pPr>
        <w:pStyle w:val="ListParagraph"/>
        <w:spacing w:after="0" w:line="240" w:lineRule="auto"/>
        <w:rPr>
          <w:rFonts w:ascii="Arial" w:hAnsi="Arial" w:cs="Arial"/>
        </w:rPr>
      </w:pPr>
    </w:p>
    <w:p w:rsidR="00576C57" w:rsidRPr="00F86938" w:rsidRDefault="00F14D5E" w:rsidP="005C1F7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F86938">
        <w:rPr>
          <w:rFonts w:ascii="Arial" w:hAnsi="Arial" w:cs="Arial"/>
        </w:rPr>
        <w:t>To maintain the current scheme and not make any changes</w:t>
      </w:r>
      <w:r w:rsidR="00F86938">
        <w:rPr>
          <w:rFonts w:ascii="Arial" w:hAnsi="Arial" w:cs="Arial"/>
        </w:rPr>
        <w:t>; or</w:t>
      </w:r>
    </w:p>
    <w:p w:rsidR="00576C57" w:rsidRPr="00F86938" w:rsidRDefault="00F14D5E" w:rsidP="005C1F7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F86938">
        <w:rPr>
          <w:rFonts w:ascii="Arial" w:hAnsi="Arial" w:cs="Arial"/>
        </w:rPr>
        <w:t>To consult on any of the options contained in the appendix</w:t>
      </w:r>
      <w:r w:rsidR="00F86938">
        <w:rPr>
          <w:rFonts w:ascii="Arial" w:hAnsi="Arial" w:cs="Arial"/>
        </w:rPr>
        <w:t>; or</w:t>
      </w:r>
    </w:p>
    <w:p w:rsidR="00576C57" w:rsidRPr="00F86938" w:rsidRDefault="00F14D5E" w:rsidP="005C1F7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F86938">
        <w:rPr>
          <w:rFonts w:ascii="Arial" w:hAnsi="Arial" w:cs="Arial"/>
        </w:rPr>
        <w:t>To consult on all the options contained in the appendix but identify the preferred option</w:t>
      </w:r>
    </w:p>
    <w:p w:rsidR="006C1648" w:rsidRPr="00F86938" w:rsidRDefault="006C1648" w:rsidP="005C1F7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782CC0" w:rsidRPr="00F86938" w:rsidRDefault="00782CC0" w:rsidP="005C1F77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lang w:eastAsia="en-GB"/>
        </w:rPr>
      </w:pPr>
      <w:r w:rsidRPr="00F86938">
        <w:rPr>
          <w:rFonts w:ascii="Arial" w:eastAsia="Times New Roman" w:hAnsi="Arial" w:cs="Arial"/>
          <w:lang w:eastAsia="en-GB"/>
        </w:rPr>
        <w:t>Report prepared by</w:t>
      </w:r>
      <w:r w:rsidRPr="00F86938">
        <w:rPr>
          <w:rFonts w:ascii="Arial" w:eastAsia="Times New Roman" w:hAnsi="Arial" w:cs="Arial"/>
          <w:lang w:eastAsia="en-GB"/>
        </w:rPr>
        <w:tab/>
      </w:r>
      <w:r w:rsidRPr="00F86938">
        <w:rPr>
          <w:rFonts w:ascii="Arial" w:eastAsia="Times New Roman" w:hAnsi="Arial" w:cs="Arial"/>
          <w:lang w:eastAsia="en-GB"/>
        </w:rPr>
        <w:tab/>
      </w:r>
      <w:r w:rsidR="004C3F27" w:rsidRPr="00F86938">
        <w:rPr>
          <w:rFonts w:ascii="Arial" w:eastAsia="Times New Roman" w:hAnsi="Arial" w:cs="Arial"/>
          <w:lang w:eastAsia="en-GB"/>
        </w:rPr>
        <w:t>Jude Green</w:t>
      </w:r>
      <w:r w:rsidRPr="00F86938">
        <w:rPr>
          <w:rFonts w:ascii="Arial" w:eastAsia="Times New Roman" w:hAnsi="Arial" w:cs="Arial"/>
          <w:color w:val="FF0000"/>
          <w:lang w:eastAsia="en-GB"/>
        </w:rPr>
        <w:fldChar w:fldCharType="begin"/>
      </w:r>
      <w:r w:rsidRPr="00F86938">
        <w:rPr>
          <w:rFonts w:ascii="Arial" w:eastAsia="Times New Roman" w:hAnsi="Arial" w:cs="Arial"/>
          <w:color w:val="FF0000"/>
          <w:lang w:eastAsia="en-GB"/>
        </w:rPr>
        <w:instrText xml:space="preserve">  </w:instrText>
      </w:r>
      <w:r w:rsidRPr="00F86938">
        <w:rPr>
          <w:rFonts w:ascii="Arial" w:eastAsia="Times New Roman" w:hAnsi="Arial" w:cs="Arial"/>
          <w:color w:val="FF0000"/>
          <w:lang w:eastAsia="en-GB"/>
        </w:rPr>
        <w:fldChar w:fldCharType="end"/>
      </w:r>
    </w:p>
    <w:p w:rsidR="00782CC0" w:rsidRPr="00F86938" w:rsidRDefault="00782CC0" w:rsidP="005C1F77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 w:hanging="1253"/>
        <w:jc w:val="both"/>
        <w:rPr>
          <w:rFonts w:ascii="Arial" w:eastAsia="Times New Roman" w:hAnsi="Arial" w:cs="Arial"/>
          <w:color w:val="FF0000"/>
          <w:lang w:eastAsia="en-GB"/>
        </w:rPr>
      </w:pPr>
      <w:r w:rsidRPr="00F86938">
        <w:rPr>
          <w:rFonts w:ascii="Arial" w:eastAsia="Times New Roman" w:hAnsi="Arial" w:cs="Arial"/>
          <w:lang w:eastAsia="en-GB"/>
        </w:rPr>
        <w:t>Data checked by</w:t>
      </w:r>
      <w:r w:rsidRPr="00F86938">
        <w:rPr>
          <w:rFonts w:ascii="Arial" w:eastAsia="Times New Roman" w:hAnsi="Arial" w:cs="Arial"/>
          <w:lang w:eastAsia="en-GB"/>
        </w:rPr>
        <w:tab/>
      </w:r>
      <w:r w:rsidRPr="00F86938">
        <w:rPr>
          <w:rFonts w:ascii="Arial" w:eastAsia="Times New Roman" w:hAnsi="Arial" w:cs="Arial"/>
          <w:lang w:eastAsia="en-GB"/>
        </w:rPr>
        <w:tab/>
      </w:r>
      <w:r w:rsidR="00AD0D5E" w:rsidRPr="00F86938">
        <w:rPr>
          <w:rFonts w:ascii="Arial" w:eastAsia="Times New Roman" w:hAnsi="Arial" w:cs="Arial"/>
          <w:lang w:eastAsia="en-GB"/>
        </w:rPr>
        <w:t>Joanne Wagstaffe</w:t>
      </w:r>
      <w:r w:rsidR="000D2871" w:rsidRPr="00F86938">
        <w:rPr>
          <w:rFonts w:ascii="Arial" w:eastAsia="Times New Roman" w:hAnsi="Arial" w:cs="Arial"/>
          <w:lang w:eastAsia="en-GB"/>
        </w:rPr>
        <w:t xml:space="preserve"> </w:t>
      </w:r>
      <w:r w:rsidR="00AD0D5E" w:rsidRPr="00F86938">
        <w:rPr>
          <w:rFonts w:ascii="Arial" w:eastAsia="Times New Roman" w:hAnsi="Arial" w:cs="Arial"/>
          <w:lang w:eastAsia="en-GB"/>
        </w:rPr>
        <w:t xml:space="preserve"> </w:t>
      </w:r>
    </w:p>
    <w:p w:rsidR="00782CC0" w:rsidRPr="00F86938" w:rsidRDefault="00782CC0" w:rsidP="005C1F77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 w:hanging="1260"/>
        <w:jc w:val="both"/>
        <w:rPr>
          <w:rFonts w:ascii="Arial" w:eastAsia="Times New Roman" w:hAnsi="Arial" w:cs="Arial"/>
          <w:b/>
          <w:i/>
          <w:color w:val="008000"/>
          <w:lang w:eastAsia="en-GB"/>
        </w:rPr>
      </w:pPr>
      <w:r w:rsidRPr="00F86938">
        <w:rPr>
          <w:rFonts w:ascii="Arial" w:eastAsia="Times New Roman" w:hAnsi="Arial" w:cs="Arial"/>
          <w:b/>
          <w:i/>
          <w:lang w:eastAsia="en-GB"/>
        </w:rPr>
        <w:tab/>
      </w:r>
    </w:p>
    <w:p w:rsidR="00782CC0" w:rsidRPr="00F86938" w:rsidRDefault="00782CC0" w:rsidP="005C1F77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 w:hanging="1260"/>
        <w:jc w:val="both"/>
        <w:rPr>
          <w:rFonts w:ascii="Arial" w:eastAsia="Times New Roman" w:hAnsi="Arial" w:cs="Arial"/>
          <w:b/>
          <w:lang w:eastAsia="en-GB"/>
        </w:rPr>
      </w:pPr>
      <w:r w:rsidRPr="00F86938">
        <w:rPr>
          <w:rFonts w:ascii="Arial" w:eastAsia="Times New Roman" w:hAnsi="Arial" w:cs="Arial"/>
          <w:b/>
          <w:lang w:eastAsia="en-GB"/>
        </w:rPr>
        <w:t>Background Papers</w:t>
      </w:r>
    </w:p>
    <w:p w:rsidR="00782CC0" w:rsidRPr="00F86938" w:rsidRDefault="00782CC0" w:rsidP="005C1F77">
      <w:pPr>
        <w:keepNext/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7" w:hanging="1267"/>
        <w:jc w:val="both"/>
        <w:rPr>
          <w:rFonts w:ascii="Arial" w:eastAsia="Times New Roman" w:hAnsi="Arial" w:cs="Arial"/>
          <w:b/>
          <w:lang w:eastAsia="en-GB"/>
        </w:rPr>
      </w:pPr>
    </w:p>
    <w:p w:rsidR="00782CC0" w:rsidRPr="00F86938" w:rsidRDefault="00782CC0" w:rsidP="005C1F77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86938">
        <w:rPr>
          <w:rFonts w:ascii="Arial" w:eastAsia="Times New Roman" w:hAnsi="Arial" w:cs="Arial"/>
          <w:lang w:eastAsia="en-GB"/>
        </w:rPr>
        <w:t>Appendix 1</w:t>
      </w:r>
      <w:r w:rsidRPr="00F86938">
        <w:rPr>
          <w:rFonts w:ascii="Arial" w:eastAsia="Times New Roman" w:hAnsi="Arial" w:cs="Arial"/>
          <w:lang w:eastAsia="en-GB"/>
        </w:rPr>
        <w:tab/>
        <w:t>-</w:t>
      </w:r>
      <w:r w:rsidRPr="00F86938">
        <w:rPr>
          <w:rFonts w:ascii="Arial" w:eastAsia="Times New Roman" w:hAnsi="Arial" w:cs="Arial"/>
          <w:lang w:eastAsia="en-GB"/>
        </w:rPr>
        <w:tab/>
      </w:r>
      <w:r w:rsidR="004C3F27" w:rsidRPr="00F86938">
        <w:rPr>
          <w:rFonts w:ascii="Arial" w:eastAsia="Times New Roman" w:hAnsi="Arial" w:cs="Arial"/>
          <w:lang w:eastAsia="en-GB"/>
        </w:rPr>
        <w:t>Option modelling report</w:t>
      </w:r>
    </w:p>
    <w:p w:rsidR="00782CC0" w:rsidRPr="00F86938" w:rsidRDefault="00782CC0" w:rsidP="005C1F77">
      <w:pPr>
        <w:spacing w:after="0" w:line="240" w:lineRule="auto"/>
        <w:jc w:val="both"/>
        <w:rPr>
          <w:rFonts w:ascii="Arial" w:hAnsi="Arial" w:cs="Arial"/>
        </w:rPr>
      </w:pPr>
    </w:p>
    <w:sectPr w:rsidR="00782CC0" w:rsidRPr="00F86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89"/>
    <w:multiLevelType w:val="hybridMultilevel"/>
    <w:tmpl w:val="CA26D0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E490A"/>
    <w:multiLevelType w:val="multilevel"/>
    <w:tmpl w:val="82EAB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B85121"/>
    <w:multiLevelType w:val="multilevel"/>
    <w:tmpl w:val="57CC9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1E64F70"/>
    <w:multiLevelType w:val="hybridMultilevel"/>
    <w:tmpl w:val="A14A1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955DAF"/>
    <w:multiLevelType w:val="hybridMultilevel"/>
    <w:tmpl w:val="AEF20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3D4532"/>
    <w:multiLevelType w:val="hybridMultilevel"/>
    <w:tmpl w:val="A5646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897D91"/>
    <w:multiLevelType w:val="multilevel"/>
    <w:tmpl w:val="0F686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ECB7F59"/>
    <w:multiLevelType w:val="hybridMultilevel"/>
    <w:tmpl w:val="BB4E1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5044C"/>
    <w:multiLevelType w:val="hybridMultilevel"/>
    <w:tmpl w:val="03A65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D559CC"/>
    <w:multiLevelType w:val="hybridMultilevel"/>
    <w:tmpl w:val="25F0D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71273"/>
    <w:multiLevelType w:val="hybridMultilevel"/>
    <w:tmpl w:val="FF3A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3214"/>
    <w:multiLevelType w:val="hybridMultilevel"/>
    <w:tmpl w:val="C4C0B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B81A02"/>
    <w:multiLevelType w:val="hybridMultilevel"/>
    <w:tmpl w:val="FA7632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4A5202"/>
    <w:multiLevelType w:val="multilevel"/>
    <w:tmpl w:val="B3789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A6D4068"/>
    <w:multiLevelType w:val="hybridMultilevel"/>
    <w:tmpl w:val="4D309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E00B5"/>
    <w:multiLevelType w:val="hybridMultilevel"/>
    <w:tmpl w:val="209A2444"/>
    <w:lvl w:ilvl="0" w:tplc="9E6882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A3ACF"/>
    <w:multiLevelType w:val="multilevel"/>
    <w:tmpl w:val="9C004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D392977"/>
    <w:multiLevelType w:val="hybridMultilevel"/>
    <w:tmpl w:val="C6DA1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B0C07"/>
    <w:multiLevelType w:val="hybridMultilevel"/>
    <w:tmpl w:val="3E4430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565DA3"/>
    <w:multiLevelType w:val="multilevel"/>
    <w:tmpl w:val="0AA0180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5F7256FF"/>
    <w:multiLevelType w:val="hybridMultilevel"/>
    <w:tmpl w:val="7218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507E2"/>
    <w:multiLevelType w:val="hybridMultilevel"/>
    <w:tmpl w:val="74009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25E46"/>
    <w:multiLevelType w:val="hybridMultilevel"/>
    <w:tmpl w:val="D5C69C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B02B4D"/>
    <w:multiLevelType w:val="multilevel"/>
    <w:tmpl w:val="DDB2B6E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41C2C1E"/>
    <w:multiLevelType w:val="hybridMultilevel"/>
    <w:tmpl w:val="5A1E8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1A6D25"/>
    <w:multiLevelType w:val="hybridMultilevel"/>
    <w:tmpl w:val="D8A4A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AC4D13"/>
    <w:multiLevelType w:val="hybridMultilevel"/>
    <w:tmpl w:val="26144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0"/>
  </w:num>
  <w:num w:numId="5">
    <w:abstractNumId w:val="2"/>
  </w:num>
  <w:num w:numId="6">
    <w:abstractNumId w:val="25"/>
  </w:num>
  <w:num w:numId="7">
    <w:abstractNumId w:val="19"/>
  </w:num>
  <w:num w:numId="8">
    <w:abstractNumId w:val="21"/>
  </w:num>
  <w:num w:numId="9">
    <w:abstractNumId w:val="17"/>
  </w:num>
  <w:num w:numId="10">
    <w:abstractNumId w:val="4"/>
  </w:num>
  <w:num w:numId="11">
    <w:abstractNumId w:val="24"/>
  </w:num>
  <w:num w:numId="12">
    <w:abstractNumId w:val="18"/>
  </w:num>
  <w:num w:numId="13">
    <w:abstractNumId w:val="11"/>
  </w:num>
  <w:num w:numId="14">
    <w:abstractNumId w:val="7"/>
  </w:num>
  <w:num w:numId="15">
    <w:abstractNumId w:val="12"/>
  </w:num>
  <w:num w:numId="16">
    <w:abstractNumId w:val="22"/>
  </w:num>
  <w:num w:numId="17">
    <w:abstractNumId w:val="26"/>
  </w:num>
  <w:num w:numId="18">
    <w:abstractNumId w:val="10"/>
  </w:num>
  <w:num w:numId="19">
    <w:abstractNumId w:val="14"/>
  </w:num>
  <w:num w:numId="20">
    <w:abstractNumId w:val="20"/>
  </w:num>
  <w:num w:numId="21">
    <w:abstractNumId w:val="8"/>
  </w:num>
  <w:num w:numId="22">
    <w:abstractNumId w:val="5"/>
  </w:num>
  <w:num w:numId="23">
    <w:abstractNumId w:val="13"/>
  </w:num>
  <w:num w:numId="24">
    <w:abstractNumId w:val="6"/>
  </w:num>
  <w:num w:numId="25">
    <w:abstractNumId w:val="1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6E"/>
    <w:rsid w:val="000B529C"/>
    <w:rsid w:val="000D2871"/>
    <w:rsid w:val="000D2975"/>
    <w:rsid w:val="000F5E35"/>
    <w:rsid w:val="000F766E"/>
    <w:rsid w:val="00135981"/>
    <w:rsid w:val="001634F4"/>
    <w:rsid w:val="00203FC1"/>
    <w:rsid w:val="0020577D"/>
    <w:rsid w:val="00230761"/>
    <w:rsid w:val="00252BC3"/>
    <w:rsid w:val="002C34CB"/>
    <w:rsid w:val="002C65B1"/>
    <w:rsid w:val="00380F68"/>
    <w:rsid w:val="003832FB"/>
    <w:rsid w:val="003C3256"/>
    <w:rsid w:val="003E2D7A"/>
    <w:rsid w:val="004B4DAB"/>
    <w:rsid w:val="004C3F27"/>
    <w:rsid w:val="004C51ED"/>
    <w:rsid w:val="00502D89"/>
    <w:rsid w:val="005241AF"/>
    <w:rsid w:val="0057301E"/>
    <w:rsid w:val="00576C57"/>
    <w:rsid w:val="00577F8D"/>
    <w:rsid w:val="005836DB"/>
    <w:rsid w:val="005845A1"/>
    <w:rsid w:val="005908B4"/>
    <w:rsid w:val="005C0FE3"/>
    <w:rsid w:val="005C1F77"/>
    <w:rsid w:val="006C1648"/>
    <w:rsid w:val="00732CA6"/>
    <w:rsid w:val="00782CC0"/>
    <w:rsid w:val="00792C64"/>
    <w:rsid w:val="007E2818"/>
    <w:rsid w:val="007E5602"/>
    <w:rsid w:val="007F7DC8"/>
    <w:rsid w:val="00856636"/>
    <w:rsid w:val="00893775"/>
    <w:rsid w:val="00961A9B"/>
    <w:rsid w:val="009D7AC6"/>
    <w:rsid w:val="00A0187D"/>
    <w:rsid w:val="00A16616"/>
    <w:rsid w:val="00A563DD"/>
    <w:rsid w:val="00A70581"/>
    <w:rsid w:val="00AD0D5E"/>
    <w:rsid w:val="00B01A1B"/>
    <w:rsid w:val="00B07A0C"/>
    <w:rsid w:val="00B221BC"/>
    <w:rsid w:val="00B7667B"/>
    <w:rsid w:val="00BA5831"/>
    <w:rsid w:val="00BC28A8"/>
    <w:rsid w:val="00BF0072"/>
    <w:rsid w:val="00C10FA4"/>
    <w:rsid w:val="00C43BF3"/>
    <w:rsid w:val="00C75041"/>
    <w:rsid w:val="00CA18DB"/>
    <w:rsid w:val="00CF65AF"/>
    <w:rsid w:val="00D14A25"/>
    <w:rsid w:val="00D86247"/>
    <w:rsid w:val="00E0243D"/>
    <w:rsid w:val="00E06CB2"/>
    <w:rsid w:val="00E560BD"/>
    <w:rsid w:val="00EB30E3"/>
    <w:rsid w:val="00F04D71"/>
    <w:rsid w:val="00F14D5E"/>
    <w:rsid w:val="00F74C43"/>
    <w:rsid w:val="00F86938"/>
    <w:rsid w:val="00F902EF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6151-DF46-4F51-A72D-9949B44F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Della-Sala</dc:creator>
  <cp:lastModifiedBy>Sarah Haythorpe</cp:lastModifiedBy>
  <cp:revision>13</cp:revision>
  <cp:lastPrinted>2017-06-02T08:19:00Z</cp:lastPrinted>
  <dcterms:created xsi:type="dcterms:W3CDTF">2017-06-02T05:41:00Z</dcterms:created>
  <dcterms:modified xsi:type="dcterms:W3CDTF">2017-06-02T08:46:00Z</dcterms:modified>
</cp:coreProperties>
</file>