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56E" w:rsidRDefault="00821BA0" w:rsidP="008A256E">
      <w:pPr>
        <w:ind w:left="-142" w:right="-269"/>
        <w:jc w:val="center"/>
        <w:rPr>
          <w:b/>
        </w:rPr>
      </w:pPr>
      <w:r>
        <w:rPr>
          <w:b/>
        </w:rPr>
        <w:t xml:space="preserve">POLICY </w:t>
      </w:r>
      <w:r w:rsidR="0067012B">
        <w:rPr>
          <w:b/>
        </w:rPr>
        <w:t>AND</w:t>
      </w:r>
      <w:r>
        <w:rPr>
          <w:b/>
        </w:rPr>
        <w:t xml:space="preserve"> RESOURCES</w:t>
      </w:r>
      <w:r w:rsidR="00F4144B">
        <w:rPr>
          <w:b/>
        </w:rPr>
        <w:t xml:space="preserve"> COMMITTEE </w:t>
      </w:r>
      <w:r w:rsidR="00A6630B">
        <w:rPr>
          <w:b/>
        </w:rPr>
        <w:t>–</w:t>
      </w:r>
      <w:r w:rsidR="00F4144B">
        <w:rPr>
          <w:b/>
        </w:rPr>
        <w:t xml:space="preserve"> </w:t>
      </w:r>
      <w:r w:rsidR="007A620E">
        <w:rPr>
          <w:b/>
        </w:rPr>
        <w:t>1</w:t>
      </w:r>
      <w:r w:rsidR="007940B5">
        <w:rPr>
          <w:b/>
        </w:rPr>
        <w:t xml:space="preserve">2 </w:t>
      </w:r>
      <w:r w:rsidR="007A620E">
        <w:rPr>
          <w:b/>
        </w:rPr>
        <w:t>JUNE 201</w:t>
      </w:r>
      <w:r w:rsidR="007940B5">
        <w:rPr>
          <w:b/>
        </w:rPr>
        <w:t>7</w:t>
      </w:r>
    </w:p>
    <w:p w:rsidR="0067012B" w:rsidRDefault="0067012B" w:rsidP="008A256E">
      <w:pPr>
        <w:ind w:left="-142" w:right="-269"/>
        <w:jc w:val="center"/>
        <w:rPr>
          <w:b/>
        </w:rPr>
      </w:pPr>
    </w:p>
    <w:p w:rsidR="00F4144B" w:rsidRDefault="00F4144B">
      <w:pPr>
        <w:jc w:val="center"/>
        <w:rPr>
          <w:b/>
        </w:rPr>
      </w:pPr>
      <w:r>
        <w:rPr>
          <w:b/>
        </w:rPr>
        <w:t xml:space="preserve">PART </w:t>
      </w:r>
      <w:r>
        <w:rPr>
          <w:b/>
        </w:rPr>
        <w:fldChar w:fldCharType="begin"/>
      </w:r>
      <w:r>
        <w:rPr>
          <w:b/>
        </w:rPr>
        <w:instrText xml:space="preserve">  </w:instrText>
      </w:r>
      <w:r>
        <w:rPr>
          <w:b/>
        </w:rPr>
        <w:fldChar w:fldCharType="end"/>
      </w:r>
      <w:r>
        <w:rPr>
          <w:b/>
        </w:rPr>
        <w:t xml:space="preserve">I - </w:t>
      </w: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sidRPr="0070178D">
        <w:rPr>
          <w:b/>
        </w:rPr>
        <w:t>NOT</w:t>
      </w:r>
      <w:r w:rsidRPr="007200AD">
        <w:rPr>
          <w:b/>
        </w:rPr>
        <w:t xml:space="preserve"> DELEGATED</w:t>
      </w:r>
    </w:p>
    <w:p w:rsidR="00FD020F" w:rsidRDefault="00FD020F">
      <w:pPr>
        <w:jc w:val="center"/>
        <w:rPr>
          <w:b/>
        </w:rPr>
      </w:pPr>
    </w:p>
    <w:p w:rsidR="00F4144B" w:rsidRDefault="004420EB">
      <w:pPr>
        <w:keepNext/>
        <w:ind w:left="1267" w:hanging="1267"/>
        <w:rPr>
          <w:b/>
          <w:i/>
          <w:color w:val="008000"/>
        </w:rPr>
      </w:pPr>
      <w:r>
        <w:rPr>
          <w:b/>
        </w:rPr>
        <w:t>7.</w:t>
      </w:r>
      <w:r w:rsidR="00F4144B">
        <w:rPr>
          <w:b/>
        </w:rPr>
        <w:fldChar w:fldCharType="begin"/>
      </w:r>
      <w:r w:rsidR="00F4144B">
        <w:rPr>
          <w:b/>
        </w:rPr>
        <w:instrText xml:space="preserve">  </w:instrText>
      </w:r>
      <w:r w:rsidR="00F4144B">
        <w:rPr>
          <w:b/>
        </w:rPr>
        <w:fldChar w:fldCharType="end"/>
      </w:r>
      <w:r w:rsidR="00F4144B">
        <w:rPr>
          <w:b/>
        </w:rPr>
        <w:tab/>
      </w:r>
      <w:r w:rsidR="002B03E3">
        <w:rPr>
          <w:rFonts w:cs="Arial"/>
          <w:b/>
          <w:szCs w:val="22"/>
        </w:rPr>
        <w:t xml:space="preserve">SUMMARY OF THE FINANCIAL OUTTURN FOR </w:t>
      </w:r>
      <w:r w:rsidR="007940B5">
        <w:rPr>
          <w:rFonts w:cs="Arial"/>
          <w:b/>
          <w:szCs w:val="22"/>
        </w:rPr>
        <w:t>2016/17</w:t>
      </w:r>
      <w:r w:rsidR="00F4144B">
        <w:rPr>
          <w:b/>
        </w:rPr>
        <w:fldChar w:fldCharType="begin"/>
      </w:r>
      <w:r w:rsidR="00F4144B">
        <w:rPr>
          <w:b/>
        </w:rPr>
        <w:instrText xml:space="preserve">  </w:instrText>
      </w:r>
      <w:r w:rsidR="00F4144B">
        <w:rPr>
          <w:b/>
        </w:rPr>
        <w:fldChar w:fldCharType="end"/>
      </w:r>
    </w:p>
    <w:p w:rsidR="00F4144B" w:rsidRDefault="00F4144B">
      <w:pPr>
        <w:keepNext/>
        <w:ind w:left="1267" w:hanging="1267"/>
        <w:rPr>
          <w:b/>
          <w:i/>
          <w:color w:val="008000"/>
        </w:rPr>
      </w:pPr>
      <w:r>
        <w:rPr>
          <w:b/>
        </w:rPr>
        <w:tab/>
      </w:r>
      <w:r>
        <w:fldChar w:fldCharType="begin"/>
      </w:r>
      <w:r>
        <w:instrText xml:space="preserve">  </w:instrText>
      </w:r>
      <w:r>
        <w:fldChar w:fldCharType="end"/>
      </w:r>
      <w:r>
        <w:t>(D</w:t>
      </w:r>
      <w:r w:rsidR="00746FCD">
        <w:t>o</w:t>
      </w:r>
      <w:r w:rsidR="00F0377C">
        <w:t>F</w:t>
      </w:r>
      <w:r>
        <w:t>)</w:t>
      </w:r>
    </w:p>
    <w:p w:rsidR="00F4144B" w:rsidRPr="007940B5" w:rsidRDefault="00F4144B">
      <w:pPr>
        <w:ind w:left="1260" w:hanging="1260"/>
        <w:rPr>
          <w:color w:val="4F81BD" w:themeColor="accent1"/>
        </w:rPr>
      </w:pPr>
    </w:p>
    <w:p w:rsidR="00F4144B" w:rsidRPr="007940B5" w:rsidRDefault="00F4144B">
      <w:pPr>
        <w:keepNext/>
        <w:ind w:left="1267" w:hanging="1267"/>
      </w:pPr>
      <w:r w:rsidRPr="007940B5">
        <w:t>1.</w:t>
      </w:r>
      <w:r w:rsidRPr="007940B5">
        <w:tab/>
      </w:r>
      <w:r w:rsidRPr="007940B5">
        <w:rPr>
          <w:b/>
        </w:rPr>
        <w:t>Summary</w:t>
      </w:r>
    </w:p>
    <w:p w:rsidR="00F4144B" w:rsidRPr="007940B5" w:rsidRDefault="00F4144B">
      <w:pPr>
        <w:keepNext/>
        <w:ind w:left="1267" w:hanging="1267"/>
      </w:pPr>
    </w:p>
    <w:p w:rsidR="00A87865" w:rsidRPr="007940B5" w:rsidRDefault="00A87865" w:rsidP="00BE7450">
      <w:pPr>
        <w:numPr>
          <w:ilvl w:val="1"/>
          <w:numId w:val="19"/>
        </w:numPr>
        <w:tabs>
          <w:tab w:val="clear" w:pos="360"/>
          <w:tab w:val="clear" w:pos="1260"/>
          <w:tab w:val="num" w:pos="1276"/>
        </w:tabs>
        <w:ind w:left="1276" w:hanging="1276"/>
        <w:rPr>
          <w:rFonts w:cs="Arial"/>
          <w:szCs w:val="22"/>
        </w:rPr>
      </w:pPr>
      <w:r w:rsidRPr="007940B5">
        <w:rPr>
          <w:rFonts w:cs="Arial"/>
          <w:szCs w:val="22"/>
        </w:rPr>
        <w:t>This report shows the outturn position</w:t>
      </w:r>
      <w:r w:rsidR="00B03DB4">
        <w:rPr>
          <w:rFonts w:cs="Arial"/>
          <w:szCs w:val="22"/>
        </w:rPr>
        <w:t xml:space="preserve"> for the financial year ending on 31 March 2017</w:t>
      </w:r>
      <w:r w:rsidRPr="007940B5">
        <w:rPr>
          <w:rFonts w:cs="Arial"/>
          <w:szCs w:val="22"/>
        </w:rPr>
        <w:t xml:space="preserve"> for both revenue and capital</w:t>
      </w:r>
      <w:r w:rsidR="00B03DB4">
        <w:rPr>
          <w:rFonts w:cs="Arial"/>
          <w:szCs w:val="22"/>
        </w:rPr>
        <w:t xml:space="preserve"> and makes</w:t>
      </w:r>
      <w:r w:rsidRPr="007940B5">
        <w:rPr>
          <w:rFonts w:cs="Arial"/>
          <w:szCs w:val="22"/>
        </w:rPr>
        <w:t xml:space="preserve"> the following recommendations:-</w:t>
      </w:r>
    </w:p>
    <w:p w:rsidR="00A87865" w:rsidRPr="007940B5" w:rsidRDefault="00A87865" w:rsidP="00A87865">
      <w:pPr>
        <w:rPr>
          <w:rFonts w:cs="Arial"/>
          <w:szCs w:val="22"/>
        </w:rPr>
      </w:pPr>
    </w:p>
    <w:p w:rsidR="00A87865" w:rsidRPr="007940B5" w:rsidRDefault="00A87865" w:rsidP="00A87865">
      <w:pPr>
        <w:numPr>
          <w:ilvl w:val="2"/>
          <w:numId w:val="22"/>
        </w:numPr>
        <w:tabs>
          <w:tab w:val="clear" w:pos="1980"/>
          <w:tab w:val="clear" w:pos="3420"/>
          <w:tab w:val="num" w:pos="1985"/>
        </w:tabs>
        <w:ind w:left="1985"/>
      </w:pPr>
      <w:r w:rsidRPr="007940B5">
        <w:rPr>
          <w:rFonts w:cs="Arial"/>
          <w:szCs w:val="22"/>
        </w:rPr>
        <w:t xml:space="preserve">to carry forward to </w:t>
      </w:r>
      <w:r w:rsidR="007940B5" w:rsidRPr="007940B5">
        <w:rPr>
          <w:rFonts w:cs="Arial"/>
          <w:szCs w:val="22"/>
        </w:rPr>
        <w:t>2017/18</w:t>
      </w:r>
      <w:r w:rsidRPr="007940B5">
        <w:rPr>
          <w:rFonts w:cs="Arial"/>
          <w:szCs w:val="22"/>
        </w:rPr>
        <w:t xml:space="preserve"> </w:t>
      </w:r>
      <w:r w:rsidR="00B03DB4">
        <w:rPr>
          <w:rFonts w:cs="Arial"/>
          <w:szCs w:val="22"/>
        </w:rPr>
        <w:t xml:space="preserve">certain </w:t>
      </w:r>
      <w:r w:rsidRPr="007940B5">
        <w:rPr>
          <w:rFonts w:cs="Arial"/>
          <w:szCs w:val="22"/>
        </w:rPr>
        <w:t>unspent revenue budgets and;</w:t>
      </w:r>
    </w:p>
    <w:p w:rsidR="003D5D0F" w:rsidRPr="007940B5" w:rsidRDefault="00A87865" w:rsidP="00A87865">
      <w:pPr>
        <w:numPr>
          <w:ilvl w:val="0"/>
          <w:numId w:val="22"/>
        </w:numPr>
      </w:pPr>
      <w:r w:rsidRPr="007940B5">
        <w:rPr>
          <w:rFonts w:cs="Arial"/>
          <w:szCs w:val="22"/>
        </w:rPr>
        <w:t xml:space="preserve">to rephase those capital budgets that require completion in </w:t>
      </w:r>
      <w:r w:rsidR="007940B5" w:rsidRPr="007940B5">
        <w:rPr>
          <w:rFonts w:cs="Arial"/>
          <w:szCs w:val="22"/>
        </w:rPr>
        <w:t>2017/18</w:t>
      </w:r>
    </w:p>
    <w:p w:rsidR="00BE7450" w:rsidRPr="007940B5" w:rsidRDefault="00BE7450" w:rsidP="00BE7450">
      <w:pPr>
        <w:ind w:left="1620"/>
      </w:pPr>
    </w:p>
    <w:p w:rsidR="00F2044E" w:rsidRPr="007940B5" w:rsidRDefault="00BE7450" w:rsidP="00BE7450">
      <w:pPr>
        <w:pStyle w:val="Heading3"/>
        <w:ind w:left="1260" w:hanging="1260"/>
        <w:rPr>
          <w:rFonts w:cs="Arial"/>
          <w:szCs w:val="22"/>
        </w:rPr>
      </w:pPr>
      <w:r w:rsidRPr="007940B5">
        <w:t>1.2</w:t>
      </w:r>
      <w:r w:rsidRPr="007940B5">
        <w:tab/>
      </w:r>
      <w:r w:rsidRPr="007940B5">
        <w:rPr>
          <w:rFonts w:cs="Arial"/>
          <w:szCs w:val="22"/>
        </w:rPr>
        <w:t xml:space="preserve">A key feature of reporting the outturn for the financial year is to compare it against the latest </w:t>
      </w:r>
      <w:r w:rsidR="00B03DB4">
        <w:rPr>
          <w:rFonts w:cs="Arial"/>
          <w:szCs w:val="22"/>
        </w:rPr>
        <w:t xml:space="preserve">agreed </w:t>
      </w:r>
      <w:r w:rsidRPr="007940B5">
        <w:rPr>
          <w:rFonts w:cs="Arial"/>
          <w:szCs w:val="22"/>
        </w:rPr>
        <w:t>budget which provides an indication of the accuracy and robustness of finan</w:t>
      </w:r>
      <w:r w:rsidR="00F2044E" w:rsidRPr="007940B5">
        <w:rPr>
          <w:rFonts w:cs="Arial"/>
          <w:szCs w:val="22"/>
        </w:rPr>
        <w:t xml:space="preserve">cial control and </w:t>
      </w:r>
      <w:r w:rsidR="000A4F6F" w:rsidRPr="007940B5">
        <w:rPr>
          <w:rFonts w:cs="Arial"/>
          <w:szCs w:val="22"/>
        </w:rPr>
        <w:t xml:space="preserve">the </w:t>
      </w:r>
      <w:r w:rsidR="00F2044E" w:rsidRPr="007940B5">
        <w:rPr>
          <w:rFonts w:cs="Arial"/>
          <w:szCs w:val="22"/>
        </w:rPr>
        <w:t xml:space="preserve">achievement of the strategic objective to manage resources </w:t>
      </w:r>
      <w:r w:rsidR="00F2044E" w:rsidRPr="007940B5">
        <w:rPr>
          <w:rFonts w:ascii="Helvetica-BoldOblique" w:hAnsi="Helvetica-BoldOblique" w:cs="Helvetica-BoldOblique"/>
          <w:bCs/>
          <w:iCs/>
          <w:szCs w:val="22"/>
        </w:rPr>
        <w:t xml:space="preserve">to deliver </w:t>
      </w:r>
      <w:r w:rsidR="000A4F6F" w:rsidRPr="007940B5">
        <w:rPr>
          <w:rFonts w:ascii="Helvetica-BoldOblique" w:hAnsi="Helvetica-BoldOblique" w:cs="Helvetica-BoldOblique"/>
          <w:bCs/>
          <w:iCs/>
          <w:szCs w:val="22"/>
        </w:rPr>
        <w:t>the Council’s</w:t>
      </w:r>
      <w:r w:rsidR="00F2044E" w:rsidRPr="007940B5">
        <w:rPr>
          <w:rFonts w:ascii="Helvetica-BoldOblique" w:hAnsi="Helvetica-BoldOblique" w:cs="Helvetica-BoldOblique"/>
          <w:bCs/>
          <w:iCs/>
          <w:szCs w:val="22"/>
        </w:rPr>
        <w:t xml:space="preserve"> strategic priorities and service needs</w:t>
      </w:r>
      <w:r w:rsidR="000A4F6F" w:rsidRPr="007940B5">
        <w:rPr>
          <w:rFonts w:ascii="Helvetica-BoldOblique" w:hAnsi="Helvetica-BoldOblique" w:cs="Helvetica-BoldOblique"/>
          <w:bCs/>
          <w:iCs/>
          <w:szCs w:val="22"/>
        </w:rPr>
        <w:t>.</w:t>
      </w:r>
      <w:r w:rsidR="00F2044E" w:rsidRPr="007940B5">
        <w:rPr>
          <w:rFonts w:ascii="Helvetica-BoldOblique" w:hAnsi="Helvetica-BoldOblique" w:cs="Helvetica-BoldOblique"/>
          <w:b/>
          <w:bCs/>
          <w:i/>
          <w:iCs/>
          <w:szCs w:val="22"/>
        </w:rPr>
        <w:t xml:space="preserve"> </w:t>
      </w:r>
    </w:p>
    <w:p w:rsidR="00BE7450" w:rsidRPr="007940B5" w:rsidRDefault="00BE7450" w:rsidP="00BE7450">
      <w:pPr>
        <w:keepNext/>
        <w:tabs>
          <w:tab w:val="clear" w:pos="1260"/>
        </w:tabs>
        <w:rPr>
          <w:b/>
        </w:rPr>
      </w:pPr>
      <w:r w:rsidRPr="007940B5">
        <w:tab/>
      </w:r>
    </w:p>
    <w:p w:rsidR="006E177E" w:rsidRPr="007940B5" w:rsidRDefault="006E177E" w:rsidP="005C5E36">
      <w:pPr>
        <w:keepNext/>
        <w:numPr>
          <w:ilvl w:val="0"/>
          <w:numId w:val="15"/>
        </w:numPr>
        <w:rPr>
          <w:b/>
        </w:rPr>
      </w:pPr>
      <w:r w:rsidRPr="007940B5">
        <w:rPr>
          <w:b/>
        </w:rPr>
        <w:t>Details</w:t>
      </w:r>
    </w:p>
    <w:p w:rsidR="00BE7450" w:rsidRPr="007940B5" w:rsidRDefault="00BE7450" w:rsidP="00BE7450">
      <w:pPr>
        <w:keepNext/>
        <w:tabs>
          <w:tab w:val="clear" w:pos="1260"/>
        </w:tabs>
        <w:rPr>
          <w:b/>
        </w:rPr>
      </w:pPr>
    </w:p>
    <w:p w:rsidR="00063A57" w:rsidRPr="007940B5" w:rsidRDefault="00BE7450" w:rsidP="0002592D">
      <w:pPr>
        <w:keepNext/>
        <w:tabs>
          <w:tab w:val="clear" w:pos="1260"/>
          <w:tab w:val="clear" w:pos="1980"/>
          <w:tab w:val="left" w:pos="1276"/>
        </w:tabs>
        <w:ind w:left="1260"/>
      </w:pPr>
      <w:r w:rsidRPr="007940B5">
        <w:rPr>
          <w:b/>
          <w:i/>
        </w:rPr>
        <w:t>Revenue</w:t>
      </w:r>
    </w:p>
    <w:p w:rsidR="0002592D" w:rsidRPr="007940B5" w:rsidRDefault="0002592D" w:rsidP="00BE7450">
      <w:pPr>
        <w:keepNext/>
        <w:tabs>
          <w:tab w:val="clear" w:pos="1260"/>
          <w:tab w:val="clear" w:pos="1980"/>
          <w:tab w:val="left" w:pos="1276"/>
        </w:tabs>
        <w:rPr>
          <w:color w:val="4F81BD" w:themeColor="accent1"/>
        </w:rPr>
      </w:pPr>
    </w:p>
    <w:p w:rsidR="00957054" w:rsidRPr="002C08E1" w:rsidRDefault="00957054" w:rsidP="00957054">
      <w:pPr>
        <w:pStyle w:val="Heading3"/>
        <w:ind w:left="1260" w:hanging="1260"/>
      </w:pPr>
      <w:r w:rsidRPr="002C08E1">
        <w:t>2.1</w:t>
      </w:r>
      <w:r w:rsidRPr="002C08E1">
        <w:tab/>
        <w:t xml:space="preserve">The </w:t>
      </w:r>
      <w:r w:rsidR="00D82FD7" w:rsidRPr="002C08E1">
        <w:t>l</w:t>
      </w:r>
      <w:r w:rsidRPr="002C08E1">
        <w:t xml:space="preserve">atest </w:t>
      </w:r>
      <w:r w:rsidR="0014717E" w:rsidRPr="002C08E1">
        <w:t xml:space="preserve">budget </w:t>
      </w:r>
      <w:r w:rsidR="0014717E">
        <w:t xml:space="preserve">of </w:t>
      </w:r>
      <w:r w:rsidR="0014717E" w:rsidRPr="0014717E">
        <w:rPr>
          <w:b/>
        </w:rPr>
        <w:t>£11.612 million</w:t>
      </w:r>
      <w:r w:rsidR="0014717E">
        <w:t xml:space="preserve"> </w:t>
      </w:r>
      <w:r w:rsidRPr="002C08E1">
        <w:t xml:space="preserve">for </w:t>
      </w:r>
      <w:r w:rsidR="007940B5" w:rsidRPr="002C08E1">
        <w:t>2016/17</w:t>
      </w:r>
      <w:r w:rsidRPr="002C08E1">
        <w:t xml:space="preserve"> was approved by </w:t>
      </w:r>
      <w:r w:rsidR="00502700" w:rsidRPr="002C08E1">
        <w:t>this Committee on 20 March 2017.</w:t>
      </w:r>
      <w:r w:rsidRPr="002C08E1">
        <w:t xml:space="preserve"> </w:t>
      </w:r>
    </w:p>
    <w:p w:rsidR="00957054" w:rsidRPr="002C08E1" w:rsidRDefault="00957054" w:rsidP="00957054">
      <w:pPr>
        <w:keepNext/>
        <w:tabs>
          <w:tab w:val="clear" w:pos="1260"/>
          <w:tab w:val="clear" w:pos="1980"/>
        </w:tabs>
        <w:rPr>
          <w:b/>
        </w:rPr>
      </w:pPr>
    </w:p>
    <w:p w:rsidR="00DB35CA" w:rsidRPr="00165D26" w:rsidRDefault="0002592D" w:rsidP="00471E11">
      <w:pPr>
        <w:keepNext/>
        <w:numPr>
          <w:ilvl w:val="1"/>
          <w:numId w:val="29"/>
        </w:numPr>
        <w:tabs>
          <w:tab w:val="clear" w:pos="644"/>
          <w:tab w:val="clear" w:pos="1260"/>
          <w:tab w:val="clear" w:pos="1980"/>
          <w:tab w:val="num" w:pos="1276"/>
        </w:tabs>
        <w:ind w:left="1276" w:hanging="1276"/>
      </w:pPr>
      <w:r w:rsidRPr="002C08E1">
        <w:t>In summary</w:t>
      </w:r>
      <w:r w:rsidR="00957054" w:rsidRPr="002C08E1">
        <w:t>,</w:t>
      </w:r>
      <w:r w:rsidRPr="002C08E1">
        <w:t xml:space="preserve"> the </w:t>
      </w:r>
      <w:r w:rsidR="007A620E" w:rsidRPr="002C08E1">
        <w:t>net</w:t>
      </w:r>
      <w:r w:rsidR="00E54A3A" w:rsidRPr="002C08E1">
        <w:t xml:space="preserve"> direct</w:t>
      </w:r>
      <w:r w:rsidR="007A620E" w:rsidRPr="002C08E1">
        <w:t xml:space="preserve"> </w:t>
      </w:r>
      <w:r w:rsidR="009A0DE5">
        <w:t xml:space="preserve">service cost </w:t>
      </w:r>
      <w:r w:rsidR="00B03DB4">
        <w:t xml:space="preserve">was </w:t>
      </w:r>
      <w:r w:rsidR="00B03DB4" w:rsidRPr="00165D26">
        <w:rPr>
          <w:b/>
        </w:rPr>
        <w:t>£11.</w:t>
      </w:r>
      <w:r w:rsidR="00471E11" w:rsidRPr="00165D26">
        <w:rPr>
          <w:b/>
        </w:rPr>
        <w:t>5</w:t>
      </w:r>
      <w:r w:rsidR="00CC590B">
        <w:rPr>
          <w:b/>
        </w:rPr>
        <w:t>17</w:t>
      </w:r>
      <w:r w:rsidR="00B03DB4" w:rsidRPr="00165D26">
        <w:rPr>
          <w:b/>
        </w:rPr>
        <w:t xml:space="preserve"> million </w:t>
      </w:r>
      <w:r w:rsidR="00B03DB4" w:rsidRPr="00165D26">
        <w:t xml:space="preserve">which represents </w:t>
      </w:r>
      <w:r w:rsidRPr="00165D26">
        <w:t>a</w:t>
      </w:r>
      <w:r w:rsidR="006C65C5" w:rsidRPr="00165D26">
        <w:t xml:space="preserve"> </w:t>
      </w:r>
      <w:r w:rsidR="00E4507A" w:rsidRPr="00165D26">
        <w:t>favourable</w:t>
      </w:r>
      <w:r w:rsidRPr="00165D26">
        <w:t xml:space="preserve"> </w:t>
      </w:r>
      <w:r w:rsidR="00E4507A" w:rsidRPr="00165D26">
        <w:t>variance</w:t>
      </w:r>
      <w:r w:rsidRPr="00165D26">
        <w:t xml:space="preserve"> of </w:t>
      </w:r>
      <w:r w:rsidR="00957054" w:rsidRPr="00165D26">
        <w:rPr>
          <w:b/>
        </w:rPr>
        <w:t>£</w:t>
      </w:r>
      <w:r w:rsidR="006C65C5" w:rsidRPr="00165D26">
        <w:rPr>
          <w:b/>
        </w:rPr>
        <w:t>0.</w:t>
      </w:r>
      <w:r w:rsidR="00CC590B">
        <w:rPr>
          <w:b/>
        </w:rPr>
        <w:t>095</w:t>
      </w:r>
      <w:r w:rsidR="006C65C5" w:rsidRPr="00165D26">
        <w:rPr>
          <w:b/>
        </w:rPr>
        <w:t xml:space="preserve"> million</w:t>
      </w:r>
      <w:r w:rsidR="00B03DB4" w:rsidRPr="00165D26">
        <w:t xml:space="preserve">.  </w:t>
      </w:r>
      <w:r w:rsidR="00471E11" w:rsidRPr="00165D26">
        <w:t>In addition the Council received additional investment interest of</w:t>
      </w:r>
      <w:r w:rsidR="00471E11" w:rsidRPr="00165D26">
        <w:rPr>
          <w:b/>
        </w:rPr>
        <w:t xml:space="preserve"> £0.021 million </w:t>
      </w:r>
      <w:r w:rsidR="00471E11" w:rsidRPr="00165D26">
        <w:t xml:space="preserve">and additional </w:t>
      </w:r>
      <w:r w:rsidR="00B1037A">
        <w:t xml:space="preserve">grant funding of </w:t>
      </w:r>
      <w:r w:rsidR="00B1037A" w:rsidRPr="00B1037A">
        <w:rPr>
          <w:b/>
        </w:rPr>
        <w:t>£0.286 million</w:t>
      </w:r>
      <w:r w:rsidR="00B1037A">
        <w:t xml:space="preserve"> which predominantly relates to </w:t>
      </w:r>
      <w:r w:rsidR="000076E6" w:rsidRPr="00165D26">
        <w:t>Section 31 grant of</w:t>
      </w:r>
      <w:r w:rsidR="000076E6" w:rsidRPr="00165D26">
        <w:rPr>
          <w:b/>
        </w:rPr>
        <w:t xml:space="preserve"> </w:t>
      </w:r>
      <w:r w:rsidR="000076E6" w:rsidRPr="00FF2BA7">
        <w:rPr>
          <w:b/>
        </w:rPr>
        <w:t>£0.2</w:t>
      </w:r>
      <w:r w:rsidR="00B1037A" w:rsidRPr="00FF2BA7">
        <w:rPr>
          <w:b/>
        </w:rPr>
        <w:t>58</w:t>
      </w:r>
      <w:r w:rsidR="000076E6" w:rsidRPr="00FF2BA7">
        <w:rPr>
          <w:b/>
        </w:rPr>
        <w:t xml:space="preserve"> million.</w:t>
      </w:r>
      <w:r w:rsidR="009A0DE5">
        <w:rPr>
          <w:b/>
        </w:rPr>
        <w:t xml:space="preserve">  </w:t>
      </w:r>
      <w:r w:rsidR="009A0DE5" w:rsidRPr="009A0DE5">
        <w:t>This provides a Revenue Outturn of</w:t>
      </w:r>
      <w:r w:rsidR="009A0DE5">
        <w:rPr>
          <w:b/>
        </w:rPr>
        <w:t xml:space="preserve"> £11,0</w:t>
      </w:r>
      <w:r w:rsidR="00CC590B">
        <w:rPr>
          <w:b/>
        </w:rPr>
        <w:t>45</w:t>
      </w:r>
      <w:r w:rsidR="009A0DE5">
        <w:rPr>
          <w:b/>
        </w:rPr>
        <w:t xml:space="preserve"> million </w:t>
      </w:r>
      <w:r w:rsidR="009A0DE5" w:rsidRPr="009A0DE5">
        <w:t>which equates to a favourable variance of</w:t>
      </w:r>
      <w:r w:rsidR="009A0DE5">
        <w:rPr>
          <w:b/>
        </w:rPr>
        <w:t xml:space="preserve"> £0.4</w:t>
      </w:r>
      <w:r w:rsidR="00CC590B">
        <w:rPr>
          <w:b/>
        </w:rPr>
        <w:t>02</w:t>
      </w:r>
      <w:r w:rsidR="009A0DE5">
        <w:rPr>
          <w:b/>
        </w:rPr>
        <w:t xml:space="preserve"> million.</w:t>
      </w:r>
      <w:r w:rsidR="00DB35CA" w:rsidRPr="00165D26">
        <w:tab/>
      </w:r>
    </w:p>
    <w:p w:rsidR="00DB35CA" w:rsidRDefault="00DB35CA" w:rsidP="00DB35CA">
      <w:pPr>
        <w:pStyle w:val="ListParagraph"/>
        <w:rPr>
          <w:color w:val="4F81BD" w:themeColor="accent1"/>
        </w:rPr>
      </w:pPr>
    </w:p>
    <w:p w:rsidR="0003152A" w:rsidRPr="007940B5" w:rsidRDefault="00071A3A" w:rsidP="00471E11">
      <w:pPr>
        <w:keepNext/>
        <w:numPr>
          <w:ilvl w:val="1"/>
          <w:numId w:val="29"/>
        </w:numPr>
        <w:tabs>
          <w:tab w:val="clear" w:pos="644"/>
          <w:tab w:val="clear" w:pos="1260"/>
          <w:tab w:val="clear" w:pos="1980"/>
          <w:tab w:val="num" w:pos="1276"/>
        </w:tabs>
        <w:ind w:left="1276" w:hanging="1276"/>
        <w:rPr>
          <w:color w:val="4F81BD" w:themeColor="accent1"/>
        </w:rPr>
      </w:pPr>
      <w:r w:rsidRPr="00082A39">
        <w:t xml:space="preserve">The table </w:t>
      </w:r>
      <w:r w:rsidR="001E0FF6">
        <w:t xml:space="preserve">and </w:t>
      </w:r>
      <w:r w:rsidR="000076E6">
        <w:t>chart</w:t>
      </w:r>
      <w:r w:rsidR="001E0FF6">
        <w:t xml:space="preserve"> </w:t>
      </w:r>
      <w:r w:rsidRPr="00082A39">
        <w:t>below</w:t>
      </w:r>
      <w:r w:rsidR="007A620E" w:rsidRPr="00082A39">
        <w:t xml:space="preserve"> </w:t>
      </w:r>
      <w:r w:rsidR="007A620E" w:rsidRPr="002C08E1">
        <w:t xml:space="preserve">summarise the </w:t>
      </w:r>
      <w:r w:rsidR="0003152A" w:rsidRPr="002C08E1">
        <w:t>variance</w:t>
      </w:r>
      <w:r w:rsidR="007A620E" w:rsidRPr="002C08E1">
        <w:t xml:space="preserve"> for each </w:t>
      </w:r>
      <w:r>
        <w:t>committee</w:t>
      </w:r>
      <w:r w:rsidR="00D82FD7" w:rsidRPr="007940B5">
        <w:rPr>
          <w:color w:val="4F81BD" w:themeColor="accent1"/>
        </w:rPr>
        <w:t>.</w:t>
      </w:r>
    </w:p>
    <w:p w:rsidR="00D82FD7" w:rsidRPr="007940B5" w:rsidRDefault="00D82FD7" w:rsidP="00D82FD7">
      <w:pPr>
        <w:keepNext/>
        <w:tabs>
          <w:tab w:val="clear" w:pos="1260"/>
          <w:tab w:val="clear" w:pos="1980"/>
        </w:tabs>
        <w:rPr>
          <w:color w:val="4F81BD" w:themeColor="accent1"/>
        </w:rPr>
      </w:pPr>
    </w:p>
    <w:tbl>
      <w:tblPr>
        <w:tblW w:w="8647" w:type="dxa"/>
        <w:tblInd w:w="1384" w:type="dxa"/>
        <w:tblLook w:val="0000" w:firstRow="0" w:lastRow="0" w:firstColumn="0" w:lastColumn="0" w:noHBand="0" w:noVBand="0"/>
      </w:tblPr>
      <w:tblGrid>
        <w:gridCol w:w="5237"/>
        <w:gridCol w:w="1133"/>
        <w:gridCol w:w="1133"/>
        <w:gridCol w:w="1144"/>
      </w:tblGrid>
      <w:tr w:rsidR="00AD0A5D" w:rsidRPr="007940B5" w:rsidTr="00A82462">
        <w:trPr>
          <w:trHeight w:val="300"/>
        </w:trPr>
        <w:tc>
          <w:tcPr>
            <w:tcW w:w="5237" w:type="dxa"/>
            <w:vMerge w:val="restart"/>
            <w:tcBorders>
              <w:top w:val="single" w:sz="8" w:space="0" w:color="auto"/>
              <w:left w:val="single" w:sz="8" w:space="0" w:color="auto"/>
              <w:bottom w:val="single" w:sz="4" w:space="0" w:color="000000"/>
              <w:right w:val="single" w:sz="4" w:space="0" w:color="auto"/>
            </w:tcBorders>
            <w:shd w:val="clear" w:color="auto" w:fill="F2F2F2" w:themeFill="background1" w:themeFillShade="F2"/>
            <w:noWrap/>
            <w:vAlign w:val="center"/>
          </w:tcPr>
          <w:p w:rsidR="00AD0A5D" w:rsidRPr="00A82462" w:rsidRDefault="00EB707B" w:rsidP="003F4EF7">
            <w:pPr>
              <w:jc w:val="center"/>
              <w:rPr>
                <w:rFonts w:cs="Arial"/>
                <w:b/>
                <w:color w:val="4F81BD" w:themeColor="accent1"/>
                <w:szCs w:val="22"/>
              </w:rPr>
            </w:pPr>
            <w:r w:rsidRPr="00A82462">
              <w:rPr>
                <w:rFonts w:cs="Arial"/>
                <w:b/>
                <w:szCs w:val="22"/>
              </w:rPr>
              <w:t>Committee</w:t>
            </w:r>
          </w:p>
        </w:tc>
        <w:tc>
          <w:tcPr>
            <w:tcW w:w="1133" w:type="dxa"/>
            <w:tcBorders>
              <w:top w:val="single" w:sz="8" w:space="0" w:color="auto"/>
              <w:left w:val="nil"/>
              <w:bottom w:val="nil"/>
              <w:right w:val="single" w:sz="4" w:space="0" w:color="auto"/>
            </w:tcBorders>
            <w:shd w:val="clear" w:color="auto" w:fill="F2F2F2" w:themeFill="background1" w:themeFillShade="F2"/>
            <w:noWrap/>
            <w:vAlign w:val="center"/>
          </w:tcPr>
          <w:p w:rsidR="00AD0A5D" w:rsidRPr="00A82462" w:rsidRDefault="00AD0A5D" w:rsidP="003F4EF7">
            <w:pPr>
              <w:jc w:val="center"/>
              <w:rPr>
                <w:rFonts w:cs="Arial"/>
                <w:b/>
                <w:szCs w:val="22"/>
              </w:rPr>
            </w:pPr>
            <w:r w:rsidRPr="00A82462">
              <w:rPr>
                <w:rFonts w:cs="Arial"/>
                <w:b/>
                <w:szCs w:val="22"/>
              </w:rPr>
              <w:t xml:space="preserve">Latest </w:t>
            </w:r>
          </w:p>
        </w:tc>
        <w:tc>
          <w:tcPr>
            <w:tcW w:w="1133" w:type="dxa"/>
            <w:tcBorders>
              <w:top w:val="single" w:sz="8" w:space="0" w:color="auto"/>
              <w:left w:val="nil"/>
              <w:bottom w:val="nil"/>
              <w:right w:val="single" w:sz="4" w:space="0" w:color="auto"/>
            </w:tcBorders>
            <w:shd w:val="clear" w:color="auto" w:fill="F2F2F2" w:themeFill="background1" w:themeFillShade="F2"/>
            <w:noWrap/>
            <w:vAlign w:val="center"/>
          </w:tcPr>
          <w:p w:rsidR="00AD0A5D" w:rsidRPr="00A82462" w:rsidRDefault="00FF2BA7" w:rsidP="003F4EF7">
            <w:pPr>
              <w:jc w:val="center"/>
              <w:rPr>
                <w:rFonts w:cs="Arial"/>
                <w:b/>
                <w:szCs w:val="22"/>
              </w:rPr>
            </w:pPr>
            <w:r>
              <w:rPr>
                <w:rFonts w:cs="Arial"/>
                <w:b/>
                <w:szCs w:val="22"/>
              </w:rPr>
              <w:t>Outturn</w:t>
            </w:r>
          </w:p>
        </w:tc>
        <w:tc>
          <w:tcPr>
            <w:tcW w:w="1144" w:type="dxa"/>
            <w:tcBorders>
              <w:top w:val="single" w:sz="8" w:space="0" w:color="auto"/>
              <w:left w:val="nil"/>
              <w:bottom w:val="nil"/>
              <w:right w:val="single" w:sz="4" w:space="0" w:color="auto"/>
            </w:tcBorders>
            <w:shd w:val="clear" w:color="auto" w:fill="F2F2F2" w:themeFill="background1" w:themeFillShade="F2"/>
            <w:noWrap/>
            <w:vAlign w:val="center"/>
          </w:tcPr>
          <w:p w:rsidR="00AD0A5D" w:rsidRPr="00A82462" w:rsidRDefault="00AD0A5D" w:rsidP="003F4EF7">
            <w:pPr>
              <w:jc w:val="center"/>
              <w:rPr>
                <w:rFonts w:cs="Arial"/>
                <w:b/>
                <w:szCs w:val="22"/>
              </w:rPr>
            </w:pPr>
            <w:r w:rsidRPr="00A82462">
              <w:rPr>
                <w:rFonts w:cs="Arial"/>
                <w:b/>
                <w:szCs w:val="22"/>
              </w:rPr>
              <w:t>Variance</w:t>
            </w:r>
          </w:p>
        </w:tc>
      </w:tr>
      <w:tr w:rsidR="00AD0A5D" w:rsidRPr="007940B5" w:rsidTr="00A82462">
        <w:trPr>
          <w:trHeight w:val="383"/>
        </w:trPr>
        <w:tc>
          <w:tcPr>
            <w:tcW w:w="5237" w:type="dxa"/>
            <w:vMerge/>
            <w:tcBorders>
              <w:top w:val="single" w:sz="8" w:space="0" w:color="auto"/>
              <w:left w:val="single" w:sz="8" w:space="0" w:color="auto"/>
              <w:bottom w:val="single" w:sz="4" w:space="0" w:color="000000"/>
              <w:right w:val="single" w:sz="4" w:space="0" w:color="auto"/>
            </w:tcBorders>
            <w:shd w:val="clear" w:color="auto" w:fill="F2F2F2" w:themeFill="background1" w:themeFillShade="F2"/>
            <w:vAlign w:val="center"/>
          </w:tcPr>
          <w:p w:rsidR="00AD0A5D" w:rsidRPr="00A82462" w:rsidRDefault="00AD0A5D" w:rsidP="003F4EF7">
            <w:pPr>
              <w:rPr>
                <w:rFonts w:cs="Arial"/>
                <w:b/>
                <w:color w:val="4F81BD" w:themeColor="accent1"/>
                <w:szCs w:val="22"/>
              </w:rPr>
            </w:pPr>
          </w:p>
        </w:tc>
        <w:tc>
          <w:tcPr>
            <w:tcW w:w="1133" w:type="dxa"/>
            <w:tcBorders>
              <w:top w:val="nil"/>
              <w:left w:val="nil"/>
              <w:bottom w:val="nil"/>
              <w:right w:val="single" w:sz="4" w:space="0" w:color="auto"/>
            </w:tcBorders>
            <w:shd w:val="clear" w:color="auto" w:fill="F2F2F2" w:themeFill="background1" w:themeFillShade="F2"/>
            <w:noWrap/>
            <w:vAlign w:val="center"/>
          </w:tcPr>
          <w:p w:rsidR="00AD0A5D" w:rsidRPr="00A82462" w:rsidRDefault="00AD0A5D" w:rsidP="003F4EF7">
            <w:pPr>
              <w:jc w:val="center"/>
              <w:rPr>
                <w:rFonts w:cs="Arial"/>
                <w:b/>
                <w:szCs w:val="22"/>
              </w:rPr>
            </w:pPr>
            <w:r w:rsidRPr="00A82462">
              <w:rPr>
                <w:rFonts w:cs="Arial"/>
                <w:b/>
                <w:szCs w:val="22"/>
              </w:rPr>
              <w:t>Budget</w:t>
            </w:r>
          </w:p>
        </w:tc>
        <w:tc>
          <w:tcPr>
            <w:tcW w:w="1133" w:type="dxa"/>
            <w:tcBorders>
              <w:top w:val="nil"/>
              <w:left w:val="nil"/>
              <w:bottom w:val="nil"/>
              <w:right w:val="single" w:sz="4" w:space="0" w:color="auto"/>
            </w:tcBorders>
            <w:shd w:val="clear" w:color="auto" w:fill="F2F2F2" w:themeFill="background1" w:themeFillShade="F2"/>
            <w:noWrap/>
            <w:vAlign w:val="center"/>
          </w:tcPr>
          <w:p w:rsidR="00AD0A5D" w:rsidRPr="00A82462" w:rsidRDefault="00AD0A5D" w:rsidP="003F4EF7">
            <w:pPr>
              <w:jc w:val="center"/>
              <w:rPr>
                <w:rFonts w:cs="Arial"/>
                <w:b/>
                <w:szCs w:val="22"/>
              </w:rPr>
            </w:pPr>
            <w:r w:rsidRPr="00A82462">
              <w:rPr>
                <w:rFonts w:cs="Arial"/>
                <w:b/>
                <w:szCs w:val="22"/>
              </w:rPr>
              <w:t> </w:t>
            </w:r>
          </w:p>
        </w:tc>
        <w:tc>
          <w:tcPr>
            <w:tcW w:w="1144" w:type="dxa"/>
            <w:tcBorders>
              <w:top w:val="nil"/>
              <w:left w:val="nil"/>
              <w:bottom w:val="nil"/>
              <w:right w:val="single" w:sz="4" w:space="0" w:color="auto"/>
            </w:tcBorders>
            <w:shd w:val="clear" w:color="auto" w:fill="F2F2F2" w:themeFill="background1" w:themeFillShade="F2"/>
            <w:noWrap/>
            <w:vAlign w:val="center"/>
          </w:tcPr>
          <w:p w:rsidR="00AD0A5D" w:rsidRPr="00A82462" w:rsidRDefault="00AD0A5D" w:rsidP="003F4EF7">
            <w:pPr>
              <w:jc w:val="center"/>
              <w:rPr>
                <w:rFonts w:cs="Arial"/>
                <w:b/>
                <w:szCs w:val="22"/>
              </w:rPr>
            </w:pPr>
            <w:r w:rsidRPr="00A82462">
              <w:rPr>
                <w:rFonts w:cs="Arial"/>
                <w:b/>
                <w:szCs w:val="22"/>
              </w:rPr>
              <w:t> </w:t>
            </w:r>
          </w:p>
        </w:tc>
      </w:tr>
      <w:tr w:rsidR="00AD0A5D" w:rsidRPr="007940B5" w:rsidTr="00A82462">
        <w:trPr>
          <w:trHeight w:val="300"/>
        </w:trPr>
        <w:tc>
          <w:tcPr>
            <w:tcW w:w="5237" w:type="dxa"/>
            <w:vMerge/>
            <w:tcBorders>
              <w:top w:val="single" w:sz="8" w:space="0" w:color="auto"/>
              <w:left w:val="single" w:sz="8" w:space="0" w:color="auto"/>
              <w:bottom w:val="single" w:sz="4" w:space="0" w:color="000000"/>
              <w:right w:val="single" w:sz="4" w:space="0" w:color="auto"/>
            </w:tcBorders>
            <w:shd w:val="clear" w:color="auto" w:fill="F2F2F2" w:themeFill="background1" w:themeFillShade="F2"/>
            <w:vAlign w:val="center"/>
          </w:tcPr>
          <w:p w:rsidR="00AD0A5D" w:rsidRPr="00A82462" w:rsidRDefault="00AD0A5D" w:rsidP="003F4EF7">
            <w:pPr>
              <w:rPr>
                <w:rFonts w:cs="Arial"/>
                <w:b/>
                <w:color w:val="4F81BD" w:themeColor="accent1"/>
                <w:szCs w:val="22"/>
              </w:rPr>
            </w:pPr>
          </w:p>
        </w:tc>
        <w:tc>
          <w:tcPr>
            <w:tcW w:w="1133" w:type="dxa"/>
            <w:tcBorders>
              <w:top w:val="nil"/>
              <w:left w:val="nil"/>
              <w:bottom w:val="single" w:sz="4" w:space="0" w:color="auto"/>
              <w:right w:val="single" w:sz="4" w:space="0" w:color="auto"/>
            </w:tcBorders>
            <w:shd w:val="clear" w:color="auto" w:fill="F2F2F2" w:themeFill="background1" w:themeFillShade="F2"/>
            <w:noWrap/>
            <w:vAlign w:val="center"/>
          </w:tcPr>
          <w:p w:rsidR="00AD0A5D" w:rsidRPr="00A82462" w:rsidRDefault="00AD0A5D" w:rsidP="003F4EF7">
            <w:pPr>
              <w:jc w:val="center"/>
              <w:rPr>
                <w:rFonts w:cs="Arial"/>
                <w:b/>
                <w:szCs w:val="22"/>
              </w:rPr>
            </w:pPr>
            <w:r w:rsidRPr="00A82462">
              <w:rPr>
                <w:rFonts w:cs="Arial"/>
                <w:b/>
                <w:szCs w:val="22"/>
              </w:rPr>
              <w:t>£000</w:t>
            </w:r>
          </w:p>
        </w:tc>
        <w:tc>
          <w:tcPr>
            <w:tcW w:w="1133" w:type="dxa"/>
            <w:tcBorders>
              <w:top w:val="nil"/>
              <w:left w:val="nil"/>
              <w:bottom w:val="single" w:sz="4" w:space="0" w:color="auto"/>
              <w:right w:val="single" w:sz="4" w:space="0" w:color="auto"/>
            </w:tcBorders>
            <w:shd w:val="clear" w:color="auto" w:fill="F2F2F2" w:themeFill="background1" w:themeFillShade="F2"/>
            <w:noWrap/>
            <w:vAlign w:val="center"/>
          </w:tcPr>
          <w:p w:rsidR="00AD0A5D" w:rsidRPr="00A82462" w:rsidRDefault="00AD0A5D" w:rsidP="003F4EF7">
            <w:pPr>
              <w:jc w:val="center"/>
              <w:rPr>
                <w:rFonts w:cs="Arial"/>
                <w:b/>
                <w:szCs w:val="22"/>
              </w:rPr>
            </w:pPr>
            <w:r w:rsidRPr="00A82462">
              <w:rPr>
                <w:rFonts w:cs="Arial"/>
                <w:b/>
                <w:szCs w:val="22"/>
              </w:rPr>
              <w:t>£000</w:t>
            </w:r>
          </w:p>
        </w:tc>
        <w:tc>
          <w:tcPr>
            <w:tcW w:w="1144" w:type="dxa"/>
            <w:tcBorders>
              <w:top w:val="nil"/>
              <w:left w:val="nil"/>
              <w:bottom w:val="single" w:sz="4" w:space="0" w:color="auto"/>
              <w:right w:val="single" w:sz="4" w:space="0" w:color="auto"/>
            </w:tcBorders>
            <w:shd w:val="clear" w:color="auto" w:fill="F2F2F2" w:themeFill="background1" w:themeFillShade="F2"/>
            <w:noWrap/>
            <w:vAlign w:val="center"/>
          </w:tcPr>
          <w:p w:rsidR="00AD0A5D" w:rsidRPr="00A82462" w:rsidRDefault="00AD0A5D" w:rsidP="003F4EF7">
            <w:pPr>
              <w:jc w:val="center"/>
              <w:rPr>
                <w:rFonts w:cs="Arial"/>
                <w:b/>
                <w:szCs w:val="22"/>
              </w:rPr>
            </w:pPr>
            <w:r w:rsidRPr="00A82462">
              <w:rPr>
                <w:rFonts w:cs="Arial"/>
                <w:b/>
                <w:szCs w:val="22"/>
              </w:rPr>
              <w:t>£000</w:t>
            </w:r>
          </w:p>
        </w:tc>
      </w:tr>
      <w:tr w:rsidR="00AD0A5D" w:rsidRPr="007940B5" w:rsidTr="00FF2BA7">
        <w:trPr>
          <w:trHeight w:val="356"/>
        </w:trPr>
        <w:tc>
          <w:tcPr>
            <w:tcW w:w="5237" w:type="dxa"/>
            <w:tcBorders>
              <w:top w:val="nil"/>
              <w:left w:val="single" w:sz="8" w:space="0" w:color="auto"/>
              <w:bottom w:val="single" w:sz="4" w:space="0" w:color="auto"/>
              <w:right w:val="single" w:sz="4" w:space="0" w:color="auto"/>
            </w:tcBorders>
            <w:shd w:val="clear" w:color="auto" w:fill="auto"/>
            <w:noWrap/>
            <w:vAlign w:val="center"/>
          </w:tcPr>
          <w:p w:rsidR="00AD0A5D" w:rsidRPr="00071A3A" w:rsidRDefault="00EB707B" w:rsidP="00FF2BA7">
            <w:pPr>
              <w:jc w:val="left"/>
              <w:rPr>
                <w:rFonts w:cs="Arial"/>
                <w:szCs w:val="22"/>
              </w:rPr>
            </w:pPr>
            <w:r w:rsidRPr="00071A3A">
              <w:rPr>
                <w:rFonts w:cs="Arial"/>
                <w:szCs w:val="22"/>
              </w:rPr>
              <w:t>Leisure, Wellbeing &amp; Health</w:t>
            </w:r>
          </w:p>
        </w:tc>
        <w:tc>
          <w:tcPr>
            <w:tcW w:w="1133" w:type="dxa"/>
            <w:tcBorders>
              <w:top w:val="nil"/>
              <w:left w:val="nil"/>
              <w:bottom w:val="single" w:sz="4" w:space="0" w:color="auto"/>
              <w:right w:val="single" w:sz="4" w:space="0" w:color="auto"/>
            </w:tcBorders>
            <w:shd w:val="clear" w:color="auto" w:fill="auto"/>
            <w:noWrap/>
            <w:vAlign w:val="center"/>
          </w:tcPr>
          <w:p w:rsidR="00AD0A5D" w:rsidRPr="00102FC6" w:rsidRDefault="00102FC6" w:rsidP="00FF2BA7">
            <w:pPr>
              <w:jc w:val="right"/>
              <w:rPr>
                <w:rFonts w:cs="Arial"/>
                <w:szCs w:val="22"/>
              </w:rPr>
            </w:pPr>
            <w:r w:rsidRPr="00102FC6">
              <w:rPr>
                <w:rFonts w:cs="Arial"/>
                <w:szCs w:val="22"/>
              </w:rPr>
              <w:t>2,217</w:t>
            </w:r>
          </w:p>
        </w:tc>
        <w:tc>
          <w:tcPr>
            <w:tcW w:w="1133" w:type="dxa"/>
            <w:tcBorders>
              <w:top w:val="nil"/>
              <w:left w:val="nil"/>
              <w:bottom w:val="single" w:sz="4" w:space="0" w:color="auto"/>
              <w:right w:val="single" w:sz="4" w:space="0" w:color="auto"/>
            </w:tcBorders>
            <w:shd w:val="clear" w:color="auto" w:fill="auto"/>
            <w:noWrap/>
            <w:vAlign w:val="center"/>
          </w:tcPr>
          <w:p w:rsidR="00AD0A5D" w:rsidRPr="00165D26" w:rsidRDefault="00CF0EAD" w:rsidP="00FF2BA7">
            <w:pPr>
              <w:tabs>
                <w:tab w:val="left" w:pos="212"/>
                <w:tab w:val="left" w:pos="440"/>
              </w:tabs>
              <w:jc w:val="right"/>
              <w:rPr>
                <w:rFonts w:cs="Arial"/>
                <w:szCs w:val="22"/>
              </w:rPr>
            </w:pPr>
            <w:r w:rsidRPr="00165D26">
              <w:rPr>
                <w:rFonts w:cs="Arial"/>
                <w:szCs w:val="22"/>
              </w:rPr>
              <w:t>2,29</w:t>
            </w:r>
            <w:r w:rsidR="00944077">
              <w:rPr>
                <w:rFonts w:cs="Arial"/>
                <w:szCs w:val="22"/>
              </w:rPr>
              <w:t>2</w:t>
            </w:r>
          </w:p>
        </w:tc>
        <w:tc>
          <w:tcPr>
            <w:tcW w:w="1144" w:type="dxa"/>
            <w:tcBorders>
              <w:top w:val="nil"/>
              <w:left w:val="nil"/>
              <w:bottom w:val="single" w:sz="4" w:space="0" w:color="auto"/>
              <w:right w:val="single" w:sz="4" w:space="0" w:color="auto"/>
            </w:tcBorders>
            <w:shd w:val="clear" w:color="auto" w:fill="auto"/>
            <w:noWrap/>
            <w:vAlign w:val="center"/>
          </w:tcPr>
          <w:p w:rsidR="00AD0A5D" w:rsidRPr="00165D26" w:rsidRDefault="00ED1903" w:rsidP="00FF2BA7">
            <w:pPr>
              <w:jc w:val="right"/>
              <w:rPr>
                <w:rFonts w:cs="Arial"/>
                <w:szCs w:val="22"/>
              </w:rPr>
            </w:pPr>
            <w:r w:rsidRPr="00165D26">
              <w:rPr>
                <w:rFonts w:cs="Arial"/>
                <w:szCs w:val="22"/>
              </w:rPr>
              <w:t>7</w:t>
            </w:r>
            <w:r w:rsidR="00944077">
              <w:rPr>
                <w:rFonts w:cs="Arial"/>
                <w:szCs w:val="22"/>
              </w:rPr>
              <w:t>5</w:t>
            </w:r>
          </w:p>
        </w:tc>
      </w:tr>
      <w:tr w:rsidR="00AD0A5D" w:rsidRPr="007940B5" w:rsidTr="00FF2BA7">
        <w:trPr>
          <w:trHeight w:val="418"/>
        </w:trPr>
        <w:tc>
          <w:tcPr>
            <w:tcW w:w="5237" w:type="dxa"/>
            <w:tcBorders>
              <w:top w:val="nil"/>
              <w:left w:val="single" w:sz="8" w:space="0" w:color="auto"/>
              <w:bottom w:val="single" w:sz="4" w:space="0" w:color="auto"/>
              <w:right w:val="single" w:sz="4" w:space="0" w:color="auto"/>
            </w:tcBorders>
            <w:shd w:val="clear" w:color="auto" w:fill="auto"/>
            <w:noWrap/>
            <w:vAlign w:val="center"/>
          </w:tcPr>
          <w:p w:rsidR="00071A3A" w:rsidRPr="00071A3A" w:rsidRDefault="00071A3A" w:rsidP="00FF2BA7">
            <w:pPr>
              <w:jc w:val="left"/>
              <w:rPr>
                <w:rFonts w:cs="Arial"/>
                <w:szCs w:val="22"/>
              </w:rPr>
            </w:pPr>
            <w:r w:rsidRPr="00071A3A">
              <w:rPr>
                <w:rFonts w:cs="Arial"/>
                <w:szCs w:val="22"/>
              </w:rPr>
              <w:t>Sustainable Development, Planning &amp; Transport</w:t>
            </w:r>
          </w:p>
        </w:tc>
        <w:tc>
          <w:tcPr>
            <w:tcW w:w="1133" w:type="dxa"/>
            <w:tcBorders>
              <w:top w:val="nil"/>
              <w:left w:val="nil"/>
              <w:bottom w:val="single" w:sz="4" w:space="0" w:color="auto"/>
              <w:right w:val="single" w:sz="4" w:space="0" w:color="auto"/>
            </w:tcBorders>
            <w:shd w:val="clear" w:color="auto" w:fill="auto"/>
            <w:noWrap/>
            <w:vAlign w:val="center"/>
          </w:tcPr>
          <w:p w:rsidR="00AD0A5D" w:rsidRPr="00102FC6" w:rsidRDefault="00102FC6" w:rsidP="00FF2BA7">
            <w:pPr>
              <w:jc w:val="right"/>
              <w:rPr>
                <w:rFonts w:cs="Arial"/>
                <w:szCs w:val="22"/>
              </w:rPr>
            </w:pPr>
            <w:r w:rsidRPr="00102FC6">
              <w:rPr>
                <w:rFonts w:cs="Arial"/>
                <w:szCs w:val="22"/>
              </w:rPr>
              <w:t>1,944</w:t>
            </w:r>
          </w:p>
        </w:tc>
        <w:tc>
          <w:tcPr>
            <w:tcW w:w="1133" w:type="dxa"/>
            <w:tcBorders>
              <w:top w:val="nil"/>
              <w:left w:val="nil"/>
              <w:bottom w:val="single" w:sz="4" w:space="0" w:color="auto"/>
              <w:right w:val="single" w:sz="4" w:space="0" w:color="auto"/>
            </w:tcBorders>
            <w:shd w:val="clear" w:color="auto" w:fill="auto"/>
            <w:noWrap/>
            <w:vAlign w:val="center"/>
          </w:tcPr>
          <w:p w:rsidR="00AD0A5D" w:rsidRPr="00165D26" w:rsidRDefault="00430BA1" w:rsidP="00FF2BA7">
            <w:pPr>
              <w:jc w:val="right"/>
              <w:rPr>
                <w:rFonts w:cs="Arial"/>
                <w:szCs w:val="22"/>
              </w:rPr>
            </w:pPr>
            <w:r w:rsidRPr="00165D26">
              <w:rPr>
                <w:rFonts w:cs="Arial"/>
                <w:szCs w:val="22"/>
              </w:rPr>
              <w:t>1,692</w:t>
            </w:r>
          </w:p>
        </w:tc>
        <w:tc>
          <w:tcPr>
            <w:tcW w:w="1144" w:type="dxa"/>
            <w:tcBorders>
              <w:top w:val="nil"/>
              <w:left w:val="nil"/>
              <w:bottom w:val="single" w:sz="4" w:space="0" w:color="auto"/>
              <w:right w:val="single" w:sz="4" w:space="0" w:color="auto"/>
            </w:tcBorders>
            <w:shd w:val="clear" w:color="auto" w:fill="auto"/>
            <w:noWrap/>
            <w:vAlign w:val="center"/>
          </w:tcPr>
          <w:p w:rsidR="00AD0A5D" w:rsidRPr="00165D26" w:rsidRDefault="00ED1903" w:rsidP="00FF2BA7">
            <w:pPr>
              <w:jc w:val="right"/>
              <w:rPr>
                <w:rFonts w:cs="Arial"/>
                <w:szCs w:val="22"/>
              </w:rPr>
            </w:pPr>
            <w:r w:rsidRPr="00165D26">
              <w:rPr>
                <w:rFonts w:cs="Arial"/>
                <w:szCs w:val="22"/>
              </w:rPr>
              <w:t>(252)</w:t>
            </w:r>
          </w:p>
        </w:tc>
      </w:tr>
      <w:tr w:rsidR="00AD0A5D" w:rsidRPr="007940B5" w:rsidTr="00FF2BA7">
        <w:trPr>
          <w:trHeight w:val="410"/>
        </w:trPr>
        <w:tc>
          <w:tcPr>
            <w:tcW w:w="5237" w:type="dxa"/>
            <w:tcBorders>
              <w:top w:val="nil"/>
              <w:left w:val="single" w:sz="8" w:space="0" w:color="auto"/>
              <w:bottom w:val="single" w:sz="4" w:space="0" w:color="auto"/>
              <w:right w:val="single" w:sz="4" w:space="0" w:color="auto"/>
            </w:tcBorders>
            <w:shd w:val="clear" w:color="auto" w:fill="auto"/>
            <w:noWrap/>
            <w:vAlign w:val="center"/>
          </w:tcPr>
          <w:p w:rsidR="00AD0A5D" w:rsidRPr="00071A3A" w:rsidRDefault="00071A3A" w:rsidP="00FF2BA7">
            <w:pPr>
              <w:jc w:val="left"/>
              <w:rPr>
                <w:rFonts w:cs="Arial"/>
                <w:szCs w:val="22"/>
              </w:rPr>
            </w:pPr>
            <w:r w:rsidRPr="00071A3A">
              <w:rPr>
                <w:rFonts w:cs="Arial"/>
                <w:szCs w:val="22"/>
              </w:rPr>
              <w:t>General Public Services &amp; Community safety</w:t>
            </w:r>
          </w:p>
        </w:tc>
        <w:tc>
          <w:tcPr>
            <w:tcW w:w="1133" w:type="dxa"/>
            <w:tcBorders>
              <w:top w:val="nil"/>
              <w:left w:val="nil"/>
              <w:bottom w:val="single" w:sz="4" w:space="0" w:color="auto"/>
              <w:right w:val="single" w:sz="4" w:space="0" w:color="auto"/>
            </w:tcBorders>
            <w:shd w:val="clear" w:color="auto" w:fill="auto"/>
            <w:noWrap/>
            <w:vAlign w:val="center"/>
          </w:tcPr>
          <w:p w:rsidR="00AD0A5D" w:rsidRPr="00102FC6" w:rsidRDefault="00102FC6" w:rsidP="00FF2BA7">
            <w:pPr>
              <w:jc w:val="right"/>
              <w:rPr>
                <w:rFonts w:cs="Arial"/>
                <w:szCs w:val="22"/>
              </w:rPr>
            </w:pPr>
            <w:r w:rsidRPr="00102FC6">
              <w:rPr>
                <w:rFonts w:cs="Arial"/>
                <w:szCs w:val="22"/>
              </w:rPr>
              <w:t>2,055</w:t>
            </w:r>
          </w:p>
        </w:tc>
        <w:tc>
          <w:tcPr>
            <w:tcW w:w="1133" w:type="dxa"/>
            <w:tcBorders>
              <w:top w:val="nil"/>
              <w:left w:val="nil"/>
              <w:bottom w:val="single" w:sz="4" w:space="0" w:color="auto"/>
              <w:right w:val="single" w:sz="4" w:space="0" w:color="auto"/>
            </w:tcBorders>
            <w:shd w:val="clear" w:color="auto" w:fill="auto"/>
            <w:noWrap/>
            <w:vAlign w:val="center"/>
          </w:tcPr>
          <w:p w:rsidR="00AD0A5D" w:rsidRPr="00165D26" w:rsidRDefault="00430BA1" w:rsidP="00FF2BA7">
            <w:pPr>
              <w:jc w:val="right"/>
              <w:rPr>
                <w:rFonts w:cs="Arial"/>
                <w:szCs w:val="22"/>
              </w:rPr>
            </w:pPr>
            <w:r w:rsidRPr="00165D26">
              <w:rPr>
                <w:rFonts w:cs="Arial"/>
                <w:szCs w:val="22"/>
              </w:rPr>
              <w:t>1,943</w:t>
            </w:r>
          </w:p>
        </w:tc>
        <w:tc>
          <w:tcPr>
            <w:tcW w:w="1144" w:type="dxa"/>
            <w:tcBorders>
              <w:top w:val="nil"/>
              <w:left w:val="nil"/>
              <w:bottom w:val="single" w:sz="4" w:space="0" w:color="auto"/>
              <w:right w:val="single" w:sz="4" w:space="0" w:color="auto"/>
            </w:tcBorders>
            <w:shd w:val="clear" w:color="auto" w:fill="auto"/>
            <w:noWrap/>
            <w:vAlign w:val="center"/>
          </w:tcPr>
          <w:p w:rsidR="00AD0A5D" w:rsidRPr="00165D26" w:rsidRDefault="00ED1903" w:rsidP="00FF2BA7">
            <w:pPr>
              <w:jc w:val="right"/>
              <w:rPr>
                <w:rFonts w:cs="Arial"/>
                <w:szCs w:val="22"/>
              </w:rPr>
            </w:pPr>
            <w:r w:rsidRPr="00165D26">
              <w:rPr>
                <w:rFonts w:cs="Arial"/>
                <w:szCs w:val="22"/>
              </w:rPr>
              <w:t>(112)</w:t>
            </w:r>
          </w:p>
        </w:tc>
      </w:tr>
      <w:tr w:rsidR="00AD0A5D" w:rsidRPr="007940B5" w:rsidTr="00FF2BA7">
        <w:trPr>
          <w:trHeight w:val="416"/>
        </w:trPr>
        <w:tc>
          <w:tcPr>
            <w:tcW w:w="5237" w:type="dxa"/>
            <w:tcBorders>
              <w:top w:val="nil"/>
              <w:left w:val="single" w:sz="8" w:space="0" w:color="auto"/>
              <w:bottom w:val="single" w:sz="4" w:space="0" w:color="auto"/>
              <w:right w:val="single" w:sz="4" w:space="0" w:color="auto"/>
            </w:tcBorders>
            <w:shd w:val="clear" w:color="auto" w:fill="auto"/>
            <w:noWrap/>
            <w:vAlign w:val="center"/>
          </w:tcPr>
          <w:p w:rsidR="00AD0A5D" w:rsidRPr="00071A3A" w:rsidRDefault="00071A3A" w:rsidP="00FF2BA7">
            <w:pPr>
              <w:jc w:val="left"/>
              <w:rPr>
                <w:rFonts w:cs="Arial"/>
                <w:szCs w:val="22"/>
              </w:rPr>
            </w:pPr>
            <w:r w:rsidRPr="00071A3A">
              <w:rPr>
                <w:rFonts w:cs="Arial"/>
                <w:szCs w:val="22"/>
              </w:rPr>
              <w:t>Policy &amp; Resources</w:t>
            </w:r>
          </w:p>
        </w:tc>
        <w:tc>
          <w:tcPr>
            <w:tcW w:w="1133" w:type="dxa"/>
            <w:tcBorders>
              <w:top w:val="nil"/>
              <w:left w:val="nil"/>
              <w:bottom w:val="single" w:sz="4" w:space="0" w:color="auto"/>
              <w:right w:val="single" w:sz="4" w:space="0" w:color="auto"/>
            </w:tcBorders>
            <w:shd w:val="clear" w:color="auto" w:fill="auto"/>
            <w:noWrap/>
            <w:vAlign w:val="center"/>
          </w:tcPr>
          <w:p w:rsidR="00AD0A5D" w:rsidRPr="00102FC6" w:rsidRDefault="00102FC6" w:rsidP="00FF2BA7">
            <w:pPr>
              <w:jc w:val="right"/>
              <w:rPr>
                <w:rFonts w:cs="Arial"/>
                <w:szCs w:val="22"/>
              </w:rPr>
            </w:pPr>
            <w:r w:rsidRPr="00102FC6">
              <w:rPr>
                <w:rFonts w:cs="Arial"/>
                <w:szCs w:val="22"/>
              </w:rPr>
              <w:t>5,396</w:t>
            </w:r>
          </w:p>
        </w:tc>
        <w:tc>
          <w:tcPr>
            <w:tcW w:w="1133" w:type="dxa"/>
            <w:tcBorders>
              <w:top w:val="nil"/>
              <w:left w:val="nil"/>
              <w:bottom w:val="single" w:sz="4" w:space="0" w:color="auto"/>
              <w:right w:val="single" w:sz="4" w:space="0" w:color="auto"/>
            </w:tcBorders>
            <w:shd w:val="clear" w:color="auto" w:fill="auto"/>
            <w:noWrap/>
            <w:vAlign w:val="center"/>
          </w:tcPr>
          <w:p w:rsidR="00430BA1" w:rsidRPr="00165D26" w:rsidRDefault="00430BA1" w:rsidP="00FF2BA7">
            <w:pPr>
              <w:jc w:val="right"/>
              <w:rPr>
                <w:rFonts w:cs="Arial"/>
                <w:szCs w:val="22"/>
              </w:rPr>
            </w:pPr>
            <w:r w:rsidRPr="00165D26">
              <w:rPr>
                <w:rFonts w:cs="Arial"/>
                <w:szCs w:val="22"/>
              </w:rPr>
              <w:t>5,</w:t>
            </w:r>
            <w:r w:rsidR="00114637" w:rsidRPr="00165D26">
              <w:rPr>
                <w:rFonts w:cs="Arial"/>
                <w:szCs w:val="22"/>
              </w:rPr>
              <w:t>5</w:t>
            </w:r>
            <w:r w:rsidR="00944077">
              <w:rPr>
                <w:rFonts w:cs="Arial"/>
                <w:szCs w:val="22"/>
              </w:rPr>
              <w:t>90</w:t>
            </w:r>
          </w:p>
        </w:tc>
        <w:tc>
          <w:tcPr>
            <w:tcW w:w="1144" w:type="dxa"/>
            <w:tcBorders>
              <w:top w:val="nil"/>
              <w:left w:val="nil"/>
              <w:bottom w:val="single" w:sz="4" w:space="0" w:color="auto"/>
              <w:right w:val="single" w:sz="4" w:space="0" w:color="auto"/>
            </w:tcBorders>
            <w:shd w:val="clear" w:color="auto" w:fill="auto"/>
            <w:noWrap/>
            <w:vAlign w:val="center"/>
          </w:tcPr>
          <w:p w:rsidR="00AD0A5D" w:rsidRPr="00165D26" w:rsidRDefault="00114637" w:rsidP="00FF2BA7">
            <w:pPr>
              <w:jc w:val="right"/>
              <w:rPr>
                <w:rFonts w:cs="Arial"/>
                <w:szCs w:val="22"/>
              </w:rPr>
            </w:pPr>
            <w:r w:rsidRPr="00165D26">
              <w:rPr>
                <w:rFonts w:cs="Arial"/>
                <w:szCs w:val="22"/>
              </w:rPr>
              <w:t>1</w:t>
            </w:r>
            <w:r w:rsidR="00944077">
              <w:rPr>
                <w:rFonts w:cs="Arial"/>
                <w:szCs w:val="22"/>
              </w:rPr>
              <w:t>94</w:t>
            </w:r>
          </w:p>
        </w:tc>
      </w:tr>
      <w:tr w:rsidR="00AD0A5D" w:rsidRPr="007940B5" w:rsidTr="00FF2BA7">
        <w:trPr>
          <w:trHeight w:val="412"/>
        </w:trPr>
        <w:tc>
          <w:tcPr>
            <w:tcW w:w="5237" w:type="dxa"/>
            <w:tcBorders>
              <w:top w:val="single" w:sz="8" w:space="0" w:color="auto"/>
              <w:left w:val="single" w:sz="8" w:space="0" w:color="auto"/>
              <w:bottom w:val="single" w:sz="8" w:space="0" w:color="auto"/>
              <w:right w:val="single" w:sz="4" w:space="0" w:color="auto"/>
            </w:tcBorders>
            <w:shd w:val="clear" w:color="auto" w:fill="auto"/>
            <w:noWrap/>
            <w:vAlign w:val="center"/>
          </w:tcPr>
          <w:p w:rsidR="00AD0A5D" w:rsidRPr="00071A3A" w:rsidRDefault="009A0DE5" w:rsidP="00FF2BA7">
            <w:pPr>
              <w:jc w:val="left"/>
              <w:rPr>
                <w:rFonts w:cs="Arial"/>
                <w:b/>
                <w:bCs/>
                <w:szCs w:val="22"/>
              </w:rPr>
            </w:pPr>
            <w:r>
              <w:rPr>
                <w:rFonts w:cs="Arial"/>
                <w:b/>
                <w:bCs/>
                <w:szCs w:val="22"/>
              </w:rPr>
              <w:t xml:space="preserve">Net </w:t>
            </w:r>
            <w:r w:rsidR="001E0FF6">
              <w:rPr>
                <w:rFonts w:cs="Arial"/>
                <w:b/>
                <w:bCs/>
                <w:szCs w:val="22"/>
              </w:rPr>
              <w:t xml:space="preserve">Direct </w:t>
            </w:r>
            <w:r w:rsidR="00AD0A5D" w:rsidRPr="00071A3A">
              <w:rPr>
                <w:rFonts w:cs="Arial"/>
                <w:b/>
                <w:bCs/>
                <w:szCs w:val="22"/>
              </w:rPr>
              <w:t>Service</w:t>
            </w:r>
            <w:r w:rsidR="001E0FF6">
              <w:rPr>
                <w:rFonts w:cs="Arial"/>
                <w:b/>
                <w:bCs/>
                <w:szCs w:val="22"/>
              </w:rPr>
              <w:t xml:space="preserve"> </w:t>
            </w:r>
            <w:r>
              <w:rPr>
                <w:rFonts w:cs="Arial"/>
                <w:b/>
                <w:bCs/>
                <w:szCs w:val="22"/>
              </w:rPr>
              <w:t>Cost</w:t>
            </w:r>
          </w:p>
        </w:tc>
        <w:tc>
          <w:tcPr>
            <w:tcW w:w="1133" w:type="dxa"/>
            <w:tcBorders>
              <w:top w:val="single" w:sz="8" w:space="0" w:color="auto"/>
              <w:left w:val="nil"/>
              <w:bottom w:val="single" w:sz="8" w:space="0" w:color="auto"/>
              <w:right w:val="single" w:sz="4" w:space="0" w:color="auto"/>
            </w:tcBorders>
            <w:shd w:val="clear" w:color="auto" w:fill="auto"/>
            <w:noWrap/>
            <w:vAlign w:val="center"/>
          </w:tcPr>
          <w:p w:rsidR="00AD0A5D" w:rsidRPr="00102FC6" w:rsidRDefault="00102FC6" w:rsidP="00FF2BA7">
            <w:pPr>
              <w:jc w:val="right"/>
              <w:rPr>
                <w:rFonts w:cs="Arial"/>
                <w:b/>
                <w:bCs/>
                <w:szCs w:val="22"/>
              </w:rPr>
            </w:pPr>
            <w:r w:rsidRPr="00102FC6">
              <w:rPr>
                <w:rFonts w:cs="Arial"/>
                <w:b/>
                <w:bCs/>
                <w:szCs w:val="22"/>
              </w:rPr>
              <w:t>11,612</w:t>
            </w:r>
          </w:p>
        </w:tc>
        <w:tc>
          <w:tcPr>
            <w:tcW w:w="1133" w:type="dxa"/>
            <w:tcBorders>
              <w:top w:val="single" w:sz="8" w:space="0" w:color="auto"/>
              <w:left w:val="nil"/>
              <w:bottom w:val="single" w:sz="8" w:space="0" w:color="auto"/>
              <w:right w:val="single" w:sz="4" w:space="0" w:color="auto"/>
            </w:tcBorders>
            <w:shd w:val="clear" w:color="auto" w:fill="auto"/>
            <w:noWrap/>
            <w:vAlign w:val="center"/>
          </w:tcPr>
          <w:p w:rsidR="00AD0A5D" w:rsidRPr="00165D26" w:rsidRDefault="00430BA1" w:rsidP="00FF2BA7">
            <w:pPr>
              <w:jc w:val="right"/>
              <w:rPr>
                <w:rFonts w:cs="Arial"/>
                <w:b/>
                <w:bCs/>
                <w:szCs w:val="22"/>
              </w:rPr>
            </w:pPr>
            <w:r w:rsidRPr="00165D26">
              <w:rPr>
                <w:rFonts w:cs="Arial"/>
                <w:b/>
                <w:bCs/>
                <w:szCs w:val="22"/>
              </w:rPr>
              <w:t>11,</w:t>
            </w:r>
            <w:r w:rsidR="00CF0EAD" w:rsidRPr="00165D26">
              <w:rPr>
                <w:rFonts w:cs="Arial"/>
                <w:b/>
                <w:bCs/>
                <w:szCs w:val="22"/>
              </w:rPr>
              <w:t>5</w:t>
            </w:r>
            <w:r w:rsidR="00944077">
              <w:rPr>
                <w:rFonts w:cs="Arial"/>
                <w:b/>
                <w:bCs/>
                <w:szCs w:val="22"/>
              </w:rPr>
              <w:t>17</w:t>
            </w:r>
          </w:p>
        </w:tc>
        <w:tc>
          <w:tcPr>
            <w:tcW w:w="1144" w:type="dxa"/>
            <w:tcBorders>
              <w:top w:val="single" w:sz="8" w:space="0" w:color="auto"/>
              <w:left w:val="nil"/>
              <w:bottom w:val="single" w:sz="8" w:space="0" w:color="auto"/>
              <w:right w:val="single" w:sz="4" w:space="0" w:color="auto"/>
            </w:tcBorders>
            <w:shd w:val="clear" w:color="auto" w:fill="auto"/>
            <w:noWrap/>
            <w:vAlign w:val="center"/>
          </w:tcPr>
          <w:p w:rsidR="00AD0A5D" w:rsidRPr="00165D26" w:rsidRDefault="00114637" w:rsidP="00FF2BA7">
            <w:pPr>
              <w:jc w:val="right"/>
              <w:rPr>
                <w:rFonts w:cs="Arial"/>
                <w:b/>
                <w:bCs/>
                <w:szCs w:val="22"/>
              </w:rPr>
            </w:pPr>
            <w:r w:rsidRPr="00165D26">
              <w:rPr>
                <w:rFonts w:cs="Arial"/>
                <w:b/>
                <w:bCs/>
                <w:szCs w:val="22"/>
              </w:rPr>
              <w:t>(</w:t>
            </w:r>
            <w:r w:rsidR="00CC590B">
              <w:rPr>
                <w:rFonts w:cs="Arial"/>
                <w:b/>
                <w:bCs/>
                <w:szCs w:val="22"/>
              </w:rPr>
              <w:t>95</w:t>
            </w:r>
            <w:r w:rsidRPr="00165D26">
              <w:rPr>
                <w:rFonts w:cs="Arial"/>
                <w:b/>
                <w:bCs/>
                <w:szCs w:val="22"/>
              </w:rPr>
              <w:t>)</w:t>
            </w:r>
          </w:p>
        </w:tc>
      </w:tr>
      <w:tr w:rsidR="002239A3" w:rsidRPr="007940B5" w:rsidTr="00FF2BA7">
        <w:trPr>
          <w:trHeight w:val="404"/>
        </w:trPr>
        <w:tc>
          <w:tcPr>
            <w:tcW w:w="5237" w:type="dxa"/>
            <w:tcBorders>
              <w:top w:val="single" w:sz="8" w:space="0" w:color="auto"/>
              <w:left w:val="single" w:sz="8" w:space="0" w:color="auto"/>
              <w:bottom w:val="single" w:sz="8" w:space="0" w:color="auto"/>
              <w:right w:val="single" w:sz="4" w:space="0" w:color="auto"/>
            </w:tcBorders>
            <w:shd w:val="clear" w:color="auto" w:fill="auto"/>
            <w:noWrap/>
            <w:vAlign w:val="center"/>
          </w:tcPr>
          <w:p w:rsidR="002239A3" w:rsidRPr="002239A3" w:rsidRDefault="002239A3" w:rsidP="00FF2BA7">
            <w:pPr>
              <w:jc w:val="left"/>
              <w:rPr>
                <w:rFonts w:cs="Arial"/>
                <w:bCs/>
                <w:szCs w:val="22"/>
              </w:rPr>
            </w:pPr>
            <w:r w:rsidRPr="002239A3">
              <w:rPr>
                <w:rFonts w:cs="Arial"/>
                <w:bCs/>
                <w:szCs w:val="22"/>
              </w:rPr>
              <w:t>Investment Interest</w:t>
            </w:r>
          </w:p>
        </w:tc>
        <w:tc>
          <w:tcPr>
            <w:tcW w:w="1133" w:type="dxa"/>
            <w:tcBorders>
              <w:top w:val="single" w:sz="8" w:space="0" w:color="auto"/>
              <w:left w:val="nil"/>
              <w:bottom w:val="single" w:sz="8" w:space="0" w:color="auto"/>
              <w:right w:val="single" w:sz="4" w:space="0" w:color="auto"/>
            </w:tcBorders>
            <w:shd w:val="clear" w:color="auto" w:fill="auto"/>
            <w:noWrap/>
            <w:vAlign w:val="center"/>
          </w:tcPr>
          <w:p w:rsidR="002239A3" w:rsidRPr="002239A3" w:rsidRDefault="002239A3" w:rsidP="00FF2BA7">
            <w:pPr>
              <w:jc w:val="right"/>
              <w:rPr>
                <w:rFonts w:cs="Arial"/>
                <w:bCs/>
                <w:szCs w:val="22"/>
              </w:rPr>
            </w:pPr>
            <w:r w:rsidRPr="002239A3">
              <w:rPr>
                <w:rFonts w:cs="Arial"/>
                <w:bCs/>
                <w:szCs w:val="22"/>
              </w:rPr>
              <w:t>(165)</w:t>
            </w:r>
          </w:p>
        </w:tc>
        <w:tc>
          <w:tcPr>
            <w:tcW w:w="1133" w:type="dxa"/>
            <w:tcBorders>
              <w:top w:val="single" w:sz="8" w:space="0" w:color="auto"/>
              <w:left w:val="nil"/>
              <w:bottom w:val="single" w:sz="8" w:space="0" w:color="auto"/>
              <w:right w:val="single" w:sz="4" w:space="0" w:color="auto"/>
            </w:tcBorders>
            <w:shd w:val="clear" w:color="auto" w:fill="auto"/>
            <w:noWrap/>
            <w:vAlign w:val="center"/>
          </w:tcPr>
          <w:p w:rsidR="002239A3" w:rsidRPr="00165D26" w:rsidRDefault="002239A3" w:rsidP="00FF2BA7">
            <w:pPr>
              <w:jc w:val="right"/>
              <w:rPr>
                <w:rFonts w:cs="Arial"/>
                <w:bCs/>
                <w:szCs w:val="22"/>
              </w:rPr>
            </w:pPr>
            <w:r w:rsidRPr="00165D26">
              <w:rPr>
                <w:rFonts w:cs="Arial"/>
                <w:bCs/>
                <w:szCs w:val="22"/>
              </w:rPr>
              <w:t>(186)</w:t>
            </w:r>
          </w:p>
        </w:tc>
        <w:tc>
          <w:tcPr>
            <w:tcW w:w="1144" w:type="dxa"/>
            <w:tcBorders>
              <w:top w:val="single" w:sz="8" w:space="0" w:color="auto"/>
              <w:left w:val="nil"/>
              <w:bottom w:val="single" w:sz="8" w:space="0" w:color="auto"/>
              <w:right w:val="single" w:sz="4" w:space="0" w:color="auto"/>
            </w:tcBorders>
            <w:shd w:val="clear" w:color="auto" w:fill="auto"/>
            <w:noWrap/>
            <w:vAlign w:val="center"/>
          </w:tcPr>
          <w:p w:rsidR="002239A3" w:rsidRPr="00165D26" w:rsidRDefault="002239A3" w:rsidP="00FF2BA7">
            <w:pPr>
              <w:jc w:val="right"/>
              <w:rPr>
                <w:rFonts w:cs="Arial"/>
                <w:bCs/>
                <w:szCs w:val="22"/>
              </w:rPr>
            </w:pPr>
            <w:r w:rsidRPr="00165D26">
              <w:rPr>
                <w:rFonts w:cs="Arial"/>
                <w:bCs/>
                <w:szCs w:val="22"/>
              </w:rPr>
              <w:t>(21)</w:t>
            </w:r>
          </w:p>
        </w:tc>
      </w:tr>
      <w:tr w:rsidR="002239A3" w:rsidRPr="007940B5" w:rsidTr="00FF2BA7">
        <w:trPr>
          <w:trHeight w:val="410"/>
        </w:trPr>
        <w:tc>
          <w:tcPr>
            <w:tcW w:w="5237" w:type="dxa"/>
            <w:tcBorders>
              <w:top w:val="single" w:sz="8" w:space="0" w:color="auto"/>
              <w:left w:val="single" w:sz="8" w:space="0" w:color="auto"/>
              <w:bottom w:val="single" w:sz="8" w:space="0" w:color="auto"/>
              <w:right w:val="single" w:sz="4" w:space="0" w:color="auto"/>
            </w:tcBorders>
            <w:shd w:val="clear" w:color="auto" w:fill="auto"/>
            <w:noWrap/>
            <w:vAlign w:val="center"/>
          </w:tcPr>
          <w:p w:rsidR="002239A3" w:rsidRPr="002239A3" w:rsidRDefault="002239A3" w:rsidP="00FF2BA7">
            <w:pPr>
              <w:jc w:val="left"/>
              <w:rPr>
                <w:rFonts w:cs="Arial"/>
                <w:bCs/>
                <w:szCs w:val="22"/>
              </w:rPr>
            </w:pPr>
            <w:r w:rsidRPr="002239A3">
              <w:rPr>
                <w:rFonts w:cs="Arial"/>
                <w:bCs/>
                <w:szCs w:val="22"/>
              </w:rPr>
              <w:t>Direct grants</w:t>
            </w:r>
          </w:p>
        </w:tc>
        <w:tc>
          <w:tcPr>
            <w:tcW w:w="1133" w:type="dxa"/>
            <w:tcBorders>
              <w:top w:val="single" w:sz="8" w:space="0" w:color="auto"/>
              <w:left w:val="nil"/>
              <w:bottom w:val="single" w:sz="8" w:space="0" w:color="auto"/>
              <w:right w:val="single" w:sz="4" w:space="0" w:color="auto"/>
            </w:tcBorders>
            <w:shd w:val="clear" w:color="auto" w:fill="auto"/>
            <w:noWrap/>
            <w:vAlign w:val="center"/>
          </w:tcPr>
          <w:p w:rsidR="002239A3" w:rsidRPr="002239A3" w:rsidRDefault="002239A3" w:rsidP="00FF2BA7">
            <w:pPr>
              <w:jc w:val="right"/>
              <w:rPr>
                <w:rFonts w:cs="Arial"/>
                <w:bCs/>
                <w:szCs w:val="22"/>
              </w:rPr>
            </w:pPr>
            <w:r w:rsidRPr="002239A3">
              <w:rPr>
                <w:rFonts w:cs="Arial"/>
                <w:bCs/>
                <w:szCs w:val="22"/>
              </w:rPr>
              <w:t>0</w:t>
            </w:r>
          </w:p>
        </w:tc>
        <w:tc>
          <w:tcPr>
            <w:tcW w:w="1133" w:type="dxa"/>
            <w:tcBorders>
              <w:top w:val="single" w:sz="8" w:space="0" w:color="auto"/>
              <w:left w:val="nil"/>
              <w:bottom w:val="single" w:sz="8" w:space="0" w:color="auto"/>
              <w:right w:val="single" w:sz="4" w:space="0" w:color="auto"/>
            </w:tcBorders>
            <w:shd w:val="clear" w:color="auto" w:fill="auto"/>
            <w:noWrap/>
            <w:vAlign w:val="center"/>
          </w:tcPr>
          <w:p w:rsidR="002239A3" w:rsidRPr="00165D26" w:rsidRDefault="002239A3" w:rsidP="00FF2BA7">
            <w:pPr>
              <w:jc w:val="right"/>
              <w:rPr>
                <w:rFonts w:cs="Arial"/>
                <w:bCs/>
                <w:szCs w:val="22"/>
              </w:rPr>
            </w:pPr>
            <w:r w:rsidRPr="00165D26">
              <w:rPr>
                <w:rFonts w:cs="Arial"/>
                <w:bCs/>
                <w:szCs w:val="22"/>
              </w:rPr>
              <w:t>(286)</w:t>
            </w:r>
          </w:p>
        </w:tc>
        <w:tc>
          <w:tcPr>
            <w:tcW w:w="1144" w:type="dxa"/>
            <w:tcBorders>
              <w:top w:val="single" w:sz="8" w:space="0" w:color="auto"/>
              <w:left w:val="nil"/>
              <w:bottom w:val="single" w:sz="8" w:space="0" w:color="auto"/>
              <w:right w:val="single" w:sz="4" w:space="0" w:color="auto"/>
            </w:tcBorders>
            <w:shd w:val="clear" w:color="auto" w:fill="auto"/>
            <w:noWrap/>
            <w:vAlign w:val="center"/>
          </w:tcPr>
          <w:p w:rsidR="002239A3" w:rsidRPr="00165D26" w:rsidRDefault="002239A3" w:rsidP="00FF2BA7">
            <w:pPr>
              <w:jc w:val="right"/>
              <w:rPr>
                <w:rFonts w:cs="Arial"/>
                <w:bCs/>
                <w:szCs w:val="22"/>
              </w:rPr>
            </w:pPr>
            <w:r w:rsidRPr="00165D26">
              <w:rPr>
                <w:rFonts w:cs="Arial"/>
                <w:bCs/>
                <w:szCs w:val="22"/>
              </w:rPr>
              <w:t>(286)</w:t>
            </w:r>
          </w:p>
        </w:tc>
      </w:tr>
      <w:tr w:rsidR="002239A3" w:rsidRPr="007940B5" w:rsidTr="00FF2BA7">
        <w:trPr>
          <w:trHeight w:val="402"/>
        </w:trPr>
        <w:tc>
          <w:tcPr>
            <w:tcW w:w="5237"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tcPr>
          <w:p w:rsidR="002239A3" w:rsidRPr="00071A3A" w:rsidRDefault="002239A3" w:rsidP="00FF2BA7">
            <w:pPr>
              <w:jc w:val="left"/>
              <w:rPr>
                <w:rFonts w:cs="Arial"/>
                <w:b/>
                <w:bCs/>
                <w:szCs w:val="22"/>
              </w:rPr>
            </w:pPr>
            <w:r>
              <w:rPr>
                <w:rFonts w:cs="Arial"/>
                <w:b/>
                <w:bCs/>
                <w:szCs w:val="22"/>
              </w:rPr>
              <w:t>Revenue Outturn</w:t>
            </w:r>
          </w:p>
        </w:tc>
        <w:tc>
          <w:tcPr>
            <w:tcW w:w="1133" w:type="dxa"/>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2239A3" w:rsidRPr="00102FC6" w:rsidRDefault="002239A3" w:rsidP="00FF2BA7">
            <w:pPr>
              <w:jc w:val="right"/>
              <w:rPr>
                <w:rFonts w:cs="Arial"/>
                <w:b/>
                <w:bCs/>
                <w:szCs w:val="22"/>
              </w:rPr>
            </w:pPr>
            <w:r>
              <w:rPr>
                <w:rFonts w:cs="Arial"/>
                <w:b/>
                <w:bCs/>
                <w:szCs w:val="22"/>
              </w:rPr>
              <w:t>11,447</w:t>
            </w:r>
          </w:p>
        </w:tc>
        <w:tc>
          <w:tcPr>
            <w:tcW w:w="1133" w:type="dxa"/>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2239A3" w:rsidRPr="00165D26" w:rsidRDefault="002239A3" w:rsidP="00FF2BA7">
            <w:pPr>
              <w:jc w:val="right"/>
              <w:rPr>
                <w:rFonts w:cs="Arial"/>
                <w:b/>
                <w:bCs/>
                <w:szCs w:val="22"/>
              </w:rPr>
            </w:pPr>
            <w:r w:rsidRPr="00165D26">
              <w:rPr>
                <w:rFonts w:cs="Arial"/>
                <w:b/>
                <w:bCs/>
                <w:szCs w:val="22"/>
              </w:rPr>
              <w:t>11,</w:t>
            </w:r>
            <w:r w:rsidR="00CF0EAD" w:rsidRPr="00165D26">
              <w:rPr>
                <w:rFonts w:cs="Arial"/>
                <w:b/>
                <w:bCs/>
                <w:szCs w:val="22"/>
              </w:rPr>
              <w:t>0</w:t>
            </w:r>
            <w:r w:rsidR="00CC590B">
              <w:rPr>
                <w:rFonts w:cs="Arial"/>
                <w:b/>
                <w:bCs/>
                <w:szCs w:val="22"/>
              </w:rPr>
              <w:t>45</w:t>
            </w:r>
          </w:p>
        </w:tc>
        <w:tc>
          <w:tcPr>
            <w:tcW w:w="1144" w:type="dxa"/>
            <w:tcBorders>
              <w:top w:val="single" w:sz="8" w:space="0" w:color="auto"/>
              <w:left w:val="nil"/>
              <w:bottom w:val="single" w:sz="4" w:space="0" w:color="auto"/>
              <w:right w:val="single" w:sz="4" w:space="0" w:color="auto"/>
            </w:tcBorders>
            <w:shd w:val="clear" w:color="auto" w:fill="F2F2F2" w:themeFill="background1" w:themeFillShade="F2"/>
            <w:noWrap/>
            <w:vAlign w:val="center"/>
          </w:tcPr>
          <w:p w:rsidR="002239A3" w:rsidRPr="00165D26" w:rsidRDefault="002239A3" w:rsidP="00FF2BA7">
            <w:pPr>
              <w:jc w:val="right"/>
              <w:rPr>
                <w:rFonts w:cs="Arial"/>
                <w:b/>
                <w:bCs/>
                <w:szCs w:val="22"/>
              </w:rPr>
            </w:pPr>
            <w:r w:rsidRPr="00165D26">
              <w:rPr>
                <w:rFonts w:cs="Arial"/>
                <w:b/>
                <w:bCs/>
                <w:szCs w:val="22"/>
              </w:rPr>
              <w:t>(</w:t>
            </w:r>
            <w:r w:rsidR="00CF0EAD" w:rsidRPr="00165D26">
              <w:rPr>
                <w:rFonts w:cs="Arial"/>
                <w:b/>
                <w:bCs/>
                <w:szCs w:val="22"/>
              </w:rPr>
              <w:t>4</w:t>
            </w:r>
            <w:r w:rsidR="00CC590B">
              <w:rPr>
                <w:rFonts w:cs="Arial"/>
                <w:b/>
                <w:bCs/>
                <w:szCs w:val="22"/>
              </w:rPr>
              <w:t>02</w:t>
            </w:r>
            <w:r w:rsidRPr="00165D26">
              <w:rPr>
                <w:rFonts w:cs="Arial"/>
                <w:b/>
                <w:bCs/>
                <w:szCs w:val="22"/>
              </w:rPr>
              <w:t>)</w:t>
            </w:r>
          </w:p>
        </w:tc>
      </w:tr>
    </w:tbl>
    <w:p w:rsidR="00DF6298" w:rsidRDefault="00AC6D43" w:rsidP="00632523">
      <w:pPr>
        <w:keepNext/>
        <w:ind w:left="1267" w:hanging="983"/>
        <w:rPr>
          <w:rFonts w:cs="Arial"/>
          <w:color w:val="4F81BD" w:themeColor="accent1"/>
          <w:szCs w:val="22"/>
        </w:rPr>
      </w:pPr>
      <w:r>
        <w:rPr>
          <w:rFonts w:cs="Arial"/>
          <w:noProof/>
          <w:color w:val="4F81BD" w:themeColor="accent1"/>
          <w:szCs w:val="22"/>
        </w:rPr>
        <w:lastRenderedPageBreak/>
        <w:drawing>
          <wp:inline distT="0" distB="0" distL="0" distR="0">
            <wp:extent cx="5677468" cy="2456597"/>
            <wp:effectExtent l="0" t="0" r="19050" b="203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C6D43" w:rsidRPr="00132C07" w:rsidRDefault="00AC6D43" w:rsidP="00C74AF3">
      <w:pPr>
        <w:keepNext/>
        <w:ind w:left="142"/>
        <w:rPr>
          <w:rFonts w:cs="Arial"/>
          <w:b/>
          <w:color w:val="4F81BD" w:themeColor="accent1"/>
          <w:sz w:val="16"/>
          <w:szCs w:val="16"/>
        </w:rPr>
      </w:pPr>
    </w:p>
    <w:p w:rsidR="00C74AF3" w:rsidRPr="00C74AF3" w:rsidRDefault="00C74AF3" w:rsidP="00165D26">
      <w:pPr>
        <w:keepNext/>
        <w:numPr>
          <w:ilvl w:val="1"/>
          <w:numId w:val="29"/>
        </w:numPr>
        <w:tabs>
          <w:tab w:val="clear" w:pos="1260"/>
          <w:tab w:val="clear" w:pos="1980"/>
        </w:tabs>
        <w:ind w:left="1276" w:hanging="1276"/>
      </w:pPr>
      <w:r w:rsidRPr="0073217E">
        <w:t xml:space="preserve">The </w:t>
      </w:r>
      <w:r>
        <w:t xml:space="preserve">details of all </w:t>
      </w:r>
      <w:r w:rsidRPr="0073217E">
        <w:t xml:space="preserve">the variances are shown in </w:t>
      </w:r>
      <w:r w:rsidRPr="0073217E">
        <w:rPr>
          <w:b/>
        </w:rPr>
        <w:t>Appendix 1</w:t>
      </w:r>
      <w:r w:rsidR="00165D26">
        <w:rPr>
          <w:b/>
        </w:rPr>
        <w:t xml:space="preserve">, </w:t>
      </w:r>
      <w:r w:rsidR="00165D26" w:rsidRPr="00165D26">
        <w:t>with a summary shown</w:t>
      </w:r>
      <w:r w:rsidRPr="00C74AF3">
        <w:t xml:space="preserve"> </w:t>
      </w:r>
      <w:r w:rsidR="000076E6">
        <w:t>b</w:t>
      </w:r>
      <w:r w:rsidRPr="00C74AF3">
        <w:t>elow:</w:t>
      </w:r>
    </w:p>
    <w:p w:rsidR="00C74AF3" w:rsidRPr="00132C07" w:rsidRDefault="00C74AF3" w:rsidP="00C74AF3">
      <w:pPr>
        <w:pStyle w:val="ListParagraph"/>
        <w:rPr>
          <w:color w:val="4F81BD" w:themeColor="accent1"/>
          <w:sz w:val="16"/>
          <w:szCs w:val="16"/>
        </w:rPr>
      </w:pPr>
      <w:bookmarkStart w:id="0" w:name="_GoBack"/>
      <w:bookmarkEnd w:id="0"/>
    </w:p>
    <w:tbl>
      <w:tblPr>
        <w:tblW w:w="6381" w:type="dxa"/>
        <w:tblInd w:w="1384" w:type="dxa"/>
        <w:tblLook w:val="0000" w:firstRow="0" w:lastRow="0" w:firstColumn="0" w:lastColumn="0" w:noHBand="0" w:noVBand="0"/>
      </w:tblPr>
      <w:tblGrid>
        <w:gridCol w:w="5237"/>
        <w:gridCol w:w="1144"/>
      </w:tblGrid>
      <w:tr w:rsidR="00C74AF3" w:rsidRPr="002C08E1" w:rsidTr="00D16472">
        <w:trPr>
          <w:trHeight w:val="300"/>
        </w:trPr>
        <w:tc>
          <w:tcPr>
            <w:tcW w:w="5237" w:type="dxa"/>
            <w:vMerge w:val="restart"/>
            <w:tcBorders>
              <w:top w:val="single" w:sz="8" w:space="0" w:color="auto"/>
              <w:left w:val="single" w:sz="8" w:space="0" w:color="auto"/>
              <w:bottom w:val="single" w:sz="4" w:space="0" w:color="000000"/>
              <w:right w:val="single" w:sz="4" w:space="0" w:color="auto"/>
            </w:tcBorders>
            <w:shd w:val="clear" w:color="auto" w:fill="F2F2F2" w:themeFill="background1" w:themeFillShade="F2"/>
            <w:noWrap/>
            <w:vAlign w:val="center"/>
          </w:tcPr>
          <w:p w:rsidR="00C74AF3" w:rsidRPr="00A82462" w:rsidRDefault="00E45576" w:rsidP="00C74AF3">
            <w:pPr>
              <w:jc w:val="center"/>
              <w:rPr>
                <w:rFonts w:cs="Arial"/>
                <w:b/>
                <w:color w:val="4F81BD" w:themeColor="accent1"/>
                <w:szCs w:val="22"/>
              </w:rPr>
            </w:pPr>
            <w:r>
              <w:rPr>
                <w:rFonts w:cs="Arial"/>
                <w:b/>
                <w:szCs w:val="22"/>
              </w:rPr>
              <w:t>Detail</w:t>
            </w:r>
          </w:p>
        </w:tc>
        <w:tc>
          <w:tcPr>
            <w:tcW w:w="1144" w:type="dxa"/>
            <w:tcBorders>
              <w:top w:val="single" w:sz="8" w:space="0" w:color="auto"/>
              <w:left w:val="nil"/>
              <w:bottom w:val="nil"/>
              <w:right w:val="single" w:sz="4" w:space="0" w:color="auto"/>
            </w:tcBorders>
            <w:shd w:val="clear" w:color="auto" w:fill="F2F2F2" w:themeFill="background1" w:themeFillShade="F2"/>
            <w:noWrap/>
            <w:vAlign w:val="center"/>
          </w:tcPr>
          <w:p w:rsidR="00C74AF3" w:rsidRPr="00A82462" w:rsidRDefault="00C74AF3" w:rsidP="00C74AF3">
            <w:pPr>
              <w:jc w:val="center"/>
              <w:rPr>
                <w:rFonts w:cs="Arial"/>
                <w:b/>
                <w:szCs w:val="22"/>
              </w:rPr>
            </w:pPr>
            <w:r w:rsidRPr="00A82462">
              <w:rPr>
                <w:rFonts w:cs="Arial"/>
                <w:b/>
                <w:szCs w:val="22"/>
              </w:rPr>
              <w:t>Variance</w:t>
            </w:r>
          </w:p>
        </w:tc>
      </w:tr>
      <w:tr w:rsidR="00C74AF3" w:rsidRPr="002C08E1" w:rsidTr="00D16472">
        <w:trPr>
          <w:trHeight w:val="213"/>
        </w:trPr>
        <w:tc>
          <w:tcPr>
            <w:tcW w:w="5237" w:type="dxa"/>
            <w:vMerge/>
            <w:tcBorders>
              <w:top w:val="single" w:sz="8" w:space="0" w:color="auto"/>
              <w:left w:val="single" w:sz="8" w:space="0" w:color="auto"/>
              <w:bottom w:val="single" w:sz="4" w:space="0" w:color="000000"/>
              <w:right w:val="single" w:sz="4" w:space="0" w:color="auto"/>
            </w:tcBorders>
            <w:shd w:val="clear" w:color="auto" w:fill="F2F2F2" w:themeFill="background1" w:themeFillShade="F2"/>
            <w:vAlign w:val="center"/>
          </w:tcPr>
          <w:p w:rsidR="00C74AF3" w:rsidRPr="00A82462" w:rsidRDefault="00C74AF3" w:rsidP="00C74AF3">
            <w:pPr>
              <w:rPr>
                <w:rFonts w:cs="Arial"/>
                <w:b/>
                <w:color w:val="4F81BD" w:themeColor="accent1"/>
                <w:szCs w:val="22"/>
              </w:rPr>
            </w:pPr>
          </w:p>
        </w:tc>
        <w:tc>
          <w:tcPr>
            <w:tcW w:w="1144" w:type="dxa"/>
            <w:tcBorders>
              <w:top w:val="nil"/>
              <w:left w:val="nil"/>
              <w:bottom w:val="single" w:sz="4" w:space="0" w:color="auto"/>
              <w:right w:val="single" w:sz="4" w:space="0" w:color="auto"/>
            </w:tcBorders>
            <w:shd w:val="clear" w:color="auto" w:fill="F2F2F2" w:themeFill="background1" w:themeFillShade="F2"/>
            <w:noWrap/>
            <w:vAlign w:val="center"/>
          </w:tcPr>
          <w:p w:rsidR="00C74AF3" w:rsidRPr="00A82462" w:rsidRDefault="00C74AF3" w:rsidP="00C74AF3">
            <w:pPr>
              <w:jc w:val="center"/>
              <w:rPr>
                <w:rFonts w:cs="Arial"/>
                <w:b/>
                <w:szCs w:val="22"/>
              </w:rPr>
            </w:pPr>
            <w:r w:rsidRPr="00A82462">
              <w:rPr>
                <w:rFonts w:cs="Arial"/>
                <w:b/>
                <w:szCs w:val="22"/>
              </w:rPr>
              <w:t>£000</w:t>
            </w:r>
          </w:p>
        </w:tc>
      </w:tr>
      <w:tr w:rsidR="00C74AF3" w:rsidRPr="007940B5" w:rsidTr="00A82462">
        <w:trPr>
          <w:trHeight w:val="345"/>
        </w:trPr>
        <w:tc>
          <w:tcPr>
            <w:tcW w:w="5237" w:type="dxa"/>
            <w:tcBorders>
              <w:top w:val="nil"/>
              <w:left w:val="single" w:sz="8" w:space="0" w:color="auto"/>
              <w:bottom w:val="single" w:sz="4" w:space="0" w:color="auto"/>
              <w:right w:val="single" w:sz="4" w:space="0" w:color="auto"/>
            </w:tcBorders>
            <w:shd w:val="clear" w:color="auto" w:fill="auto"/>
            <w:noWrap/>
            <w:vAlign w:val="center"/>
          </w:tcPr>
          <w:p w:rsidR="00C74AF3" w:rsidRPr="00DB35CA" w:rsidRDefault="00C74AF3" w:rsidP="00A82462">
            <w:pPr>
              <w:jc w:val="left"/>
              <w:rPr>
                <w:rFonts w:cs="Arial"/>
                <w:szCs w:val="22"/>
                <w:u w:val="single"/>
              </w:rPr>
            </w:pPr>
            <w:r w:rsidRPr="00DB35CA">
              <w:rPr>
                <w:rFonts w:cs="Arial"/>
                <w:szCs w:val="22"/>
                <w:u w:val="single"/>
              </w:rPr>
              <w:t>Increase in Costs</w:t>
            </w:r>
          </w:p>
        </w:tc>
        <w:tc>
          <w:tcPr>
            <w:tcW w:w="1144" w:type="dxa"/>
            <w:tcBorders>
              <w:top w:val="nil"/>
              <w:left w:val="nil"/>
              <w:bottom w:val="single" w:sz="4" w:space="0" w:color="auto"/>
              <w:right w:val="single" w:sz="4" w:space="0" w:color="auto"/>
            </w:tcBorders>
            <w:shd w:val="clear" w:color="auto" w:fill="auto"/>
            <w:noWrap/>
            <w:vAlign w:val="center"/>
          </w:tcPr>
          <w:p w:rsidR="00C74AF3" w:rsidRPr="007940B5" w:rsidRDefault="00C74AF3" w:rsidP="00A82462">
            <w:pPr>
              <w:jc w:val="left"/>
              <w:rPr>
                <w:rFonts w:cs="Arial"/>
                <w:color w:val="4F81BD" w:themeColor="accent1"/>
                <w:szCs w:val="22"/>
              </w:rPr>
            </w:pPr>
          </w:p>
        </w:tc>
      </w:tr>
      <w:tr w:rsidR="00C74AF3" w:rsidRPr="007940B5" w:rsidTr="00A82462">
        <w:trPr>
          <w:trHeight w:val="345"/>
        </w:trPr>
        <w:tc>
          <w:tcPr>
            <w:tcW w:w="5237" w:type="dxa"/>
            <w:tcBorders>
              <w:top w:val="nil"/>
              <w:left w:val="single" w:sz="8" w:space="0" w:color="auto"/>
              <w:bottom w:val="single" w:sz="4" w:space="0" w:color="auto"/>
              <w:right w:val="single" w:sz="4" w:space="0" w:color="auto"/>
            </w:tcBorders>
            <w:shd w:val="clear" w:color="auto" w:fill="auto"/>
            <w:noWrap/>
            <w:vAlign w:val="center"/>
          </w:tcPr>
          <w:p w:rsidR="00C74AF3" w:rsidRPr="00071A3A" w:rsidRDefault="00C74AF3" w:rsidP="00FF2BA7">
            <w:pPr>
              <w:jc w:val="left"/>
              <w:rPr>
                <w:rFonts w:cs="Arial"/>
                <w:szCs w:val="22"/>
              </w:rPr>
            </w:pPr>
            <w:r>
              <w:rPr>
                <w:rFonts w:cs="Arial"/>
                <w:szCs w:val="22"/>
              </w:rPr>
              <w:t>ICT</w:t>
            </w:r>
            <w:r w:rsidR="0059687A">
              <w:rPr>
                <w:rFonts w:cs="Arial"/>
                <w:szCs w:val="22"/>
              </w:rPr>
              <w:t xml:space="preserve"> </w:t>
            </w:r>
            <w:r w:rsidR="00FF2BA7">
              <w:rPr>
                <w:rFonts w:cs="Arial"/>
                <w:szCs w:val="22"/>
              </w:rPr>
              <w:t>- Software maintenance &amp; licences</w:t>
            </w:r>
          </w:p>
        </w:tc>
        <w:tc>
          <w:tcPr>
            <w:tcW w:w="1144" w:type="dxa"/>
            <w:tcBorders>
              <w:top w:val="nil"/>
              <w:left w:val="nil"/>
              <w:bottom w:val="single" w:sz="4" w:space="0" w:color="auto"/>
              <w:right w:val="single" w:sz="4" w:space="0" w:color="auto"/>
            </w:tcBorders>
            <w:shd w:val="clear" w:color="auto" w:fill="auto"/>
            <w:noWrap/>
            <w:vAlign w:val="center"/>
          </w:tcPr>
          <w:p w:rsidR="00C74AF3" w:rsidRPr="00165D26" w:rsidRDefault="00FF2BA7" w:rsidP="00A82462">
            <w:pPr>
              <w:jc w:val="right"/>
              <w:rPr>
                <w:rFonts w:cs="Arial"/>
                <w:szCs w:val="22"/>
              </w:rPr>
            </w:pPr>
            <w:r>
              <w:rPr>
                <w:rFonts w:cs="Arial"/>
                <w:szCs w:val="22"/>
              </w:rPr>
              <w:t>288</w:t>
            </w:r>
          </w:p>
        </w:tc>
      </w:tr>
      <w:tr w:rsidR="00FF2BA7" w:rsidRPr="007940B5" w:rsidTr="00A82462">
        <w:trPr>
          <w:trHeight w:val="345"/>
        </w:trPr>
        <w:tc>
          <w:tcPr>
            <w:tcW w:w="5237" w:type="dxa"/>
            <w:tcBorders>
              <w:top w:val="nil"/>
              <w:left w:val="single" w:sz="8" w:space="0" w:color="auto"/>
              <w:bottom w:val="single" w:sz="4" w:space="0" w:color="auto"/>
              <w:right w:val="single" w:sz="4" w:space="0" w:color="auto"/>
            </w:tcBorders>
            <w:shd w:val="clear" w:color="auto" w:fill="auto"/>
            <w:noWrap/>
            <w:vAlign w:val="center"/>
          </w:tcPr>
          <w:p w:rsidR="00FF2BA7" w:rsidRDefault="00FF2BA7" w:rsidP="00A82462">
            <w:pPr>
              <w:jc w:val="left"/>
              <w:rPr>
                <w:rFonts w:cs="Arial"/>
                <w:szCs w:val="22"/>
              </w:rPr>
            </w:pPr>
            <w:r>
              <w:rPr>
                <w:rFonts w:cs="Arial"/>
                <w:szCs w:val="22"/>
              </w:rPr>
              <w:t>ICT – Shared services</w:t>
            </w:r>
          </w:p>
        </w:tc>
        <w:tc>
          <w:tcPr>
            <w:tcW w:w="1144" w:type="dxa"/>
            <w:tcBorders>
              <w:top w:val="nil"/>
              <w:left w:val="nil"/>
              <w:bottom w:val="single" w:sz="4" w:space="0" w:color="auto"/>
              <w:right w:val="single" w:sz="4" w:space="0" w:color="auto"/>
            </w:tcBorders>
            <w:shd w:val="clear" w:color="auto" w:fill="auto"/>
            <w:noWrap/>
            <w:vAlign w:val="center"/>
          </w:tcPr>
          <w:p w:rsidR="00FF2BA7" w:rsidRPr="00165D26" w:rsidRDefault="00FF2BA7" w:rsidP="00A82462">
            <w:pPr>
              <w:jc w:val="right"/>
              <w:rPr>
                <w:rFonts w:cs="Arial"/>
                <w:szCs w:val="22"/>
              </w:rPr>
            </w:pPr>
            <w:r>
              <w:rPr>
                <w:rFonts w:cs="Arial"/>
                <w:szCs w:val="22"/>
              </w:rPr>
              <w:t>224</w:t>
            </w:r>
          </w:p>
        </w:tc>
      </w:tr>
      <w:tr w:rsidR="00C74AF3" w:rsidRPr="007940B5" w:rsidTr="00A82462">
        <w:trPr>
          <w:trHeight w:val="345"/>
        </w:trPr>
        <w:tc>
          <w:tcPr>
            <w:tcW w:w="5237" w:type="dxa"/>
            <w:tcBorders>
              <w:top w:val="nil"/>
              <w:left w:val="single" w:sz="8" w:space="0" w:color="auto"/>
              <w:bottom w:val="single" w:sz="4" w:space="0" w:color="auto"/>
              <w:right w:val="single" w:sz="4" w:space="0" w:color="auto"/>
            </w:tcBorders>
            <w:shd w:val="clear" w:color="auto" w:fill="auto"/>
            <w:noWrap/>
            <w:vAlign w:val="center"/>
          </w:tcPr>
          <w:p w:rsidR="00C74AF3" w:rsidRPr="00071A3A" w:rsidRDefault="00C74AF3" w:rsidP="00A82462">
            <w:pPr>
              <w:jc w:val="left"/>
              <w:rPr>
                <w:rFonts w:cs="Arial"/>
                <w:szCs w:val="22"/>
              </w:rPr>
            </w:pPr>
            <w:r>
              <w:rPr>
                <w:rFonts w:cs="Arial"/>
                <w:szCs w:val="22"/>
              </w:rPr>
              <w:t>Housing benefits</w:t>
            </w:r>
          </w:p>
        </w:tc>
        <w:tc>
          <w:tcPr>
            <w:tcW w:w="1144" w:type="dxa"/>
            <w:tcBorders>
              <w:top w:val="nil"/>
              <w:left w:val="nil"/>
              <w:bottom w:val="single" w:sz="4" w:space="0" w:color="auto"/>
              <w:right w:val="single" w:sz="4" w:space="0" w:color="auto"/>
            </w:tcBorders>
            <w:shd w:val="clear" w:color="auto" w:fill="auto"/>
            <w:noWrap/>
            <w:vAlign w:val="center"/>
          </w:tcPr>
          <w:p w:rsidR="00C74AF3" w:rsidRPr="00165D26" w:rsidRDefault="00C74AF3" w:rsidP="00A82462">
            <w:pPr>
              <w:jc w:val="right"/>
              <w:rPr>
                <w:rFonts w:cs="Arial"/>
                <w:szCs w:val="22"/>
              </w:rPr>
            </w:pPr>
            <w:r w:rsidRPr="00165D26">
              <w:rPr>
                <w:rFonts w:cs="Arial"/>
                <w:szCs w:val="22"/>
              </w:rPr>
              <w:t>1</w:t>
            </w:r>
            <w:r w:rsidR="00785B9B" w:rsidRPr="00165D26">
              <w:rPr>
                <w:rFonts w:cs="Arial"/>
                <w:szCs w:val="22"/>
              </w:rPr>
              <w:t>48</w:t>
            </w:r>
          </w:p>
        </w:tc>
      </w:tr>
      <w:tr w:rsidR="00785B9B" w:rsidRPr="007940B5" w:rsidTr="00A82462">
        <w:trPr>
          <w:trHeight w:val="345"/>
        </w:trPr>
        <w:tc>
          <w:tcPr>
            <w:tcW w:w="5237" w:type="dxa"/>
            <w:tcBorders>
              <w:top w:val="nil"/>
              <w:left w:val="single" w:sz="8" w:space="0" w:color="auto"/>
              <w:bottom w:val="single" w:sz="4" w:space="0" w:color="auto"/>
              <w:right w:val="single" w:sz="4" w:space="0" w:color="auto"/>
            </w:tcBorders>
            <w:shd w:val="clear" w:color="auto" w:fill="auto"/>
            <w:noWrap/>
            <w:vAlign w:val="center"/>
          </w:tcPr>
          <w:p w:rsidR="00785B9B" w:rsidRDefault="00785B9B" w:rsidP="00A82462">
            <w:pPr>
              <w:jc w:val="left"/>
              <w:rPr>
                <w:rFonts w:cs="Arial"/>
                <w:szCs w:val="22"/>
              </w:rPr>
            </w:pPr>
            <w:r>
              <w:rPr>
                <w:rFonts w:cs="Arial"/>
                <w:szCs w:val="22"/>
              </w:rPr>
              <w:t>Other</w:t>
            </w:r>
          </w:p>
        </w:tc>
        <w:tc>
          <w:tcPr>
            <w:tcW w:w="1144" w:type="dxa"/>
            <w:tcBorders>
              <w:top w:val="nil"/>
              <w:left w:val="nil"/>
              <w:bottom w:val="single" w:sz="4" w:space="0" w:color="auto"/>
              <w:right w:val="single" w:sz="4" w:space="0" w:color="auto"/>
            </w:tcBorders>
            <w:shd w:val="clear" w:color="auto" w:fill="auto"/>
            <w:noWrap/>
            <w:vAlign w:val="center"/>
          </w:tcPr>
          <w:p w:rsidR="00785B9B" w:rsidRPr="00165D26" w:rsidRDefault="00CC590B" w:rsidP="00A82462">
            <w:pPr>
              <w:jc w:val="right"/>
              <w:rPr>
                <w:rFonts w:cs="Arial"/>
                <w:szCs w:val="22"/>
              </w:rPr>
            </w:pPr>
            <w:r>
              <w:rPr>
                <w:rFonts w:cs="Arial"/>
                <w:szCs w:val="22"/>
              </w:rPr>
              <w:t>19</w:t>
            </w:r>
          </w:p>
        </w:tc>
      </w:tr>
      <w:tr w:rsidR="00785B9B" w:rsidRPr="007940B5" w:rsidTr="00FF2BA7">
        <w:trPr>
          <w:trHeight w:val="69"/>
        </w:trPr>
        <w:tc>
          <w:tcPr>
            <w:tcW w:w="5237" w:type="dxa"/>
            <w:tcBorders>
              <w:top w:val="nil"/>
              <w:left w:val="single" w:sz="8" w:space="0" w:color="auto"/>
              <w:bottom w:val="single" w:sz="4" w:space="0" w:color="auto"/>
              <w:right w:val="single" w:sz="4" w:space="0" w:color="auto"/>
            </w:tcBorders>
            <w:shd w:val="clear" w:color="auto" w:fill="auto"/>
            <w:noWrap/>
            <w:vAlign w:val="center"/>
          </w:tcPr>
          <w:p w:rsidR="00785B9B" w:rsidRDefault="00785B9B" w:rsidP="00A82462">
            <w:pPr>
              <w:jc w:val="left"/>
              <w:rPr>
                <w:rFonts w:cs="Arial"/>
                <w:szCs w:val="22"/>
              </w:rPr>
            </w:pPr>
          </w:p>
        </w:tc>
        <w:tc>
          <w:tcPr>
            <w:tcW w:w="1144" w:type="dxa"/>
            <w:tcBorders>
              <w:top w:val="nil"/>
              <w:left w:val="nil"/>
              <w:bottom w:val="single" w:sz="4" w:space="0" w:color="auto"/>
              <w:right w:val="single" w:sz="4" w:space="0" w:color="auto"/>
            </w:tcBorders>
            <w:shd w:val="clear" w:color="auto" w:fill="auto"/>
            <w:noWrap/>
            <w:vAlign w:val="center"/>
          </w:tcPr>
          <w:p w:rsidR="00785B9B" w:rsidRPr="00165D26" w:rsidRDefault="00785B9B" w:rsidP="00A82462">
            <w:pPr>
              <w:jc w:val="right"/>
              <w:rPr>
                <w:rFonts w:cs="Arial"/>
                <w:szCs w:val="22"/>
              </w:rPr>
            </w:pPr>
          </w:p>
        </w:tc>
      </w:tr>
      <w:tr w:rsidR="00785B9B" w:rsidRPr="007940B5" w:rsidTr="00A82462">
        <w:trPr>
          <w:trHeight w:val="345"/>
        </w:trPr>
        <w:tc>
          <w:tcPr>
            <w:tcW w:w="5237" w:type="dxa"/>
            <w:tcBorders>
              <w:top w:val="nil"/>
              <w:left w:val="single" w:sz="8" w:space="0" w:color="auto"/>
              <w:bottom w:val="single" w:sz="4" w:space="0" w:color="auto"/>
              <w:right w:val="single" w:sz="4" w:space="0" w:color="auto"/>
            </w:tcBorders>
            <w:shd w:val="clear" w:color="auto" w:fill="auto"/>
            <w:noWrap/>
            <w:vAlign w:val="center"/>
          </w:tcPr>
          <w:p w:rsidR="00785B9B" w:rsidRPr="00785B9B" w:rsidRDefault="00785B9B" w:rsidP="00A82462">
            <w:pPr>
              <w:jc w:val="left"/>
              <w:rPr>
                <w:rFonts w:cs="Arial"/>
                <w:szCs w:val="22"/>
                <w:u w:val="single"/>
              </w:rPr>
            </w:pPr>
            <w:r w:rsidRPr="00785B9B">
              <w:rPr>
                <w:rFonts w:cs="Arial"/>
                <w:szCs w:val="22"/>
                <w:u w:val="single"/>
              </w:rPr>
              <w:t>Savings and additional Income</w:t>
            </w:r>
          </w:p>
        </w:tc>
        <w:tc>
          <w:tcPr>
            <w:tcW w:w="1144" w:type="dxa"/>
            <w:tcBorders>
              <w:top w:val="nil"/>
              <w:left w:val="nil"/>
              <w:bottom w:val="single" w:sz="4" w:space="0" w:color="auto"/>
              <w:right w:val="single" w:sz="4" w:space="0" w:color="auto"/>
            </w:tcBorders>
            <w:shd w:val="clear" w:color="auto" w:fill="auto"/>
            <w:noWrap/>
            <w:vAlign w:val="center"/>
          </w:tcPr>
          <w:p w:rsidR="00785B9B" w:rsidRPr="00165D26" w:rsidRDefault="00785B9B" w:rsidP="00A82462">
            <w:pPr>
              <w:jc w:val="right"/>
              <w:rPr>
                <w:rFonts w:cs="Arial"/>
                <w:szCs w:val="22"/>
              </w:rPr>
            </w:pPr>
          </w:p>
        </w:tc>
      </w:tr>
      <w:tr w:rsidR="00C74AF3" w:rsidRPr="007940B5" w:rsidTr="00A82462">
        <w:trPr>
          <w:trHeight w:val="345"/>
        </w:trPr>
        <w:tc>
          <w:tcPr>
            <w:tcW w:w="5237" w:type="dxa"/>
            <w:tcBorders>
              <w:top w:val="nil"/>
              <w:left w:val="single" w:sz="8" w:space="0" w:color="auto"/>
              <w:bottom w:val="single" w:sz="4" w:space="0" w:color="auto"/>
              <w:right w:val="single" w:sz="4" w:space="0" w:color="auto"/>
            </w:tcBorders>
            <w:shd w:val="clear" w:color="auto" w:fill="auto"/>
            <w:noWrap/>
            <w:vAlign w:val="center"/>
          </w:tcPr>
          <w:p w:rsidR="00C74AF3" w:rsidRPr="00071A3A" w:rsidRDefault="00C74AF3" w:rsidP="00A82462">
            <w:pPr>
              <w:jc w:val="left"/>
              <w:rPr>
                <w:rFonts w:cs="Arial"/>
                <w:szCs w:val="22"/>
              </w:rPr>
            </w:pPr>
            <w:r>
              <w:rPr>
                <w:rFonts w:cs="Arial"/>
                <w:szCs w:val="22"/>
              </w:rPr>
              <w:t>Staff reductions due to vacancies</w:t>
            </w:r>
          </w:p>
        </w:tc>
        <w:tc>
          <w:tcPr>
            <w:tcW w:w="1144" w:type="dxa"/>
            <w:tcBorders>
              <w:top w:val="nil"/>
              <w:left w:val="nil"/>
              <w:bottom w:val="single" w:sz="4" w:space="0" w:color="auto"/>
              <w:right w:val="single" w:sz="4" w:space="0" w:color="auto"/>
            </w:tcBorders>
            <w:shd w:val="clear" w:color="auto" w:fill="auto"/>
            <w:noWrap/>
            <w:vAlign w:val="center"/>
          </w:tcPr>
          <w:p w:rsidR="00C74AF3" w:rsidRPr="00165D26" w:rsidRDefault="00C74AF3" w:rsidP="00A82462">
            <w:pPr>
              <w:jc w:val="right"/>
              <w:rPr>
                <w:rFonts w:cs="Arial"/>
                <w:szCs w:val="22"/>
              </w:rPr>
            </w:pPr>
            <w:r w:rsidRPr="00165D26">
              <w:rPr>
                <w:rFonts w:cs="Arial"/>
                <w:szCs w:val="22"/>
              </w:rPr>
              <w:t>(136)</w:t>
            </w:r>
          </w:p>
        </w:tc>
      </w:tr>
      <w:tr w:rsidR="00C74AF3" w:rsidRPr="007940B5" w:rsidTr="00A82462">
        <w:trPr>
          <w:trHeight w:val="345"/>
        </w:trPr>
        <w:tc>
          <w:tcPr>
            <w:tcW w:w="5237" w:type="dxa"/>
            <w:tcBorders>
              <w:top w:val="nil"/>
              <w:left w:val="single" w:sz="8" w:space="0" w:color="auto"/>
              <w:bottom w:val="single" w:sz="4" w:space="0" w:color="auto"/>
              <w:right w:val="single" w:sz="4" w:space="0" w:color="auto"/>
            </w:tcBorders>
            <w:shd w:val="clear" w:color="auto" w:fill="auto"/>
            <w:noWrap/>
            <w:vAlign w:val="center"/>
          </w:tcPr>
          <w:p w:rsidR="00C74AF3" w:rsidRPr="00071A3A" w:rsidRDefault="00C74AF3" w:rsidP="00A82462">
            <w:pPr>
              <w:jc w:val="left"/>
              <w:rPr>
                <w:rFonts w:cs="Arial"/>
                <w:szCs w:val="22"/>
              </w:rPr>
            </w:pPr>
            <w:r>
              <w:rPr>
                <w:rFonts w:cs="Arial"/>
                <w:szCs w:val="22"/>
              </w:rPr>
              <w:t>Additional fees &amp; charges and rental income</w:t>
            </w:r>
          </w:p>
        </w:tc>
        <w:tc>
          <w:tcPr>
            <w:tcW w:w="1144" w:type="dxa"/>
            <w:tcBorders>
              <w:top w:val="nil"/>
              <w:left w:val="nil"/>
              <w:bottom w:val="single" w:sz="4" w:space="0" w:color="auto"/>
              <w:right w:val="single" w:sz="4" w:space="0" w:color="auto"/>
            </w:tcBorders>
            <w:shd w:val="clear" w:color="auto" w:fill="auto"/>
            <w:noWrap/>
            <w:vAlign w:val="center"/>
          </w:tcPr>
          <w:p w:rsidR="00C74AF3" w:rsidRPr="00165D26" w:rsidRDefault="00632523" w:rsidP="00A82462">
            <w:pPr>
              <w:jc w:val="right"/>
              <w:rPr>
                <w:rFonts w:cs="Arial"/>
                <w:szCs w:val="22"/>
              </w:rPr>
            </w:pPr>
            <w:r w:rsidRPr="00165D26">
              <w:rPr>
                <w:rFonts w:cs="Arial"/>
                <w:szCs w:val="22"/>
              </w:rPr>
              <w:t>(1</w:t>
            </w:r>
            <w:r w:rsidR="00785B9B" w:rsidRPr="00165D26">
              <w:rPr>
                <w:rFonts w:cs="Arial"/>
                <w:szCs w:val="22"/>
              </w:rPr>
              <w:t>81</w:t>
            </w:r>
            <w:r w:rsidRPr="00165D26">
              <w:rPr>
                <w:rFonts w:cs="Arial"/>
                <w:szCs w:val="22"/>
              </w:rPr>
              <w:t>)</w:t>
            </w:r>
          </w:p>
        </w:tc>
      </w:tr>
      <w:tr w:rsidR="00C74AF3" w:rsidRPr="007940B5" w:rsidTr="00FF2BA7">
        <w:trPr>
          <w:trHeight w:val="158"/>
        </w:trPr>
        <w:tc>
          <w:tcPr>
            <w:tcW w:w="5237" w:type="dxa"/>
            <w:tcBorders>
              <w:top w:val="nil"/>
              <w:left w:val="single" w:sz="8" w:space="0" w:color="auto"/>
              <w:bottom w:val="single" w:sz="4" w:space="0" w:color="auto"/>
              <w:right w:val="single" w:sz="4" w:space="0" w:color="auto"/>
            </w:tcBorders>
            <w:shd w:val="clear" w:color="auto" w:fill="auto"/>
            <w:noWrap/>
            <w:vAlign w:val="center"/>
          </w:tcPr>
          <w:p w:rsidR="00C74AF3" w:rsidRPr="00DB35CA" w:rsidRDefault="00C74AF3" w:rsidP="00A82462">
            <w:pPr>
              <w:jc w:val="left"/>
              <w:rPr>
                <w:rFonts w:cs="Arial"/>
                <w:szCs w:val="22"/>
                <w:u w:val="single"/>
              </w:rPr>
            </w:pPr>
          </w:p>
        </w:tc>
        <w:tc>
          <w:tcPr>
            <w:tcW w:w="1144" w:type="dxa"/>
            <w:tcBorders>
              <w:top w:val="nil"/>
              <w:left w:val="nil"/>
              <w:bottom w:val="single" w:sz="4" w:space="0" w:color="auto"/>
              <w:right w:val="single" w:sz="4" w:space="0" w:color="auto"/>
            </w:tcBorders>
            <w:shd w:val="clear" w:color="auto" w:fill="auto"/>
            <w:noWrap/>
            <w:vAlign w:val="center"/>
          </w:tcPr>
          <w:p w:rsidR="00C74AF3" w:rsidRPr="00165D26" w:rsidRDefault="00C74AF3" w:rsidP="00A82462">
            <w:pPr>
              <w:jc w:val="right"/>
              <w:rPr>
                <w:rFonts w:cs="Arial"/>
                <w:szCs w:val="22"/>
              </w:rPr>
            </w:pPr>
          </w:p>
        </w:tc>
      </w:tr>
      <w:tr w:rsidR="00C74AF3" w:rsidRPr="007940B5" w:rsidTr="00A82462">
        <w:trPr>
          <w:trHeight w:val="345"/>
        </w:trPr>
        <w:tc>
          <w:tcPr>
            <w:tcW w:w="5237" w:type="dxa"/>
            <w:tcBorders>
              <w:top w:val="nil"/>
              <w:left w:val="single" w:sz="8" w:space="0" w:color="auto"/>
              <w:bottom w:val="single" w:sz="4" w:space="0" w:color="auto"/>
              <w:right w:val="single" w:sz="4" w:space="0" w:color="auto"/>
            </w:tcBorders>
            <w:shd w:val="clear" w:color="auto" w:fill="auto"/>
            <w:noWrap/>
            <w:vAlign w:val="center"/>
          </w:tcPr>
          <w:p w:rsidR="00C74AF3" w:rsidRPr="0073217E" w:rsidRDefault="00C74AF3" w:rsidP="00A82462">
            <w:pPr>
              <w:jc w:val="left"/>
              <w:rPr>
                <w:rFonts w:cs="Arial"/>
                <w:szCs w:val="22"/>
                <w:u w:val="single"/>
              </w:rPr>
            </w:pPr>
            <w:r w:rsidRPr="0073217E">
              <w:rPr>
                <w:rFonts w:cs="Arial"/>
                <w:szCs w:val="22"/>
                <w:u w:val="single"/>
              </w:rPr>
              <w:t>Underspends</w:t>
            </w:r>
          </w:p>
        </w:tc>
        <w:tc>
          <w:tcPr>
            <w:tcW w:w="1144" w:type="dxa"/>
            <w:tcBorders>
              <w:top w:val="nil"/>
              <w:left w:val="nil"/>
              <w:bottom w:val="single" w:sz="4" w:space="0" w:color="auto"/>
              <w:right w:val="single" w:sz="4" w:space="0" w:color="auto"/>
            </w:tcBorders>
            <w:shd w:val="clear" w:color="auto" w:fill="auto"/>
            <w:noWrap/>
            <w:vAlign w:val="center"/>
          </w:tcPr>
          <w:p w:rsidR="00C74AF3" w:rsidRPr="00165D26" w:rsidRDefault="00C74AF3" w:rsidP="00A82462">
            <w:pPr>
              <w:jc w:val="right"/>
              <w:rPr>
                <w:rFonts w:cs="Arial"/>
                <w:szCs w:val="22"/>
              </w:rPr>
            </w:pPr>
          </w:p>
        </w:tc>
      </w:tr>
      <w:tr w:rsidR="00C74AF3" w:rsidRPr="007940B5" w:rsidTr="00A82462">
        <w:trPr>
          <w:trHeight w:val="345"/>
        </w:trPr>
        <w:tc>
          <w:tcPr>
            <w:tcW w:w="5237" w:type="dxa"/>
            <w:tcBorders>
              <w:top w:val="nil"/>
              <w:left w:val="single" w:sz="8" w:space="0" w:color="auto"/>
              <w:bottom w:val="single" w:sz="4" w:space="0" w:color="auto"/>
              <w:right w:val="single" w:sz="4" w:space="0" w:color="auto"/>
            </w:tcBorders>
            <w:shd w:val="clear" w:color="auto" w:fill="auto"/>
            <w:noWrap/>
            <w:vAlign w:val="center"/>
          </w:tcPr>
          <w:p w:rsidR="00C74AF3" w:rsidRDefault="00C74AF3" w:rsidP="00A82462">
            <w:pPr>
              <w:jc w:val="left"/>
              <w:rPr>
                <w:rFonts w:cs="Arial"/>
                <w:szCs w:val="22"/>
              </w:rPr>
            </w:pPr>
            <w:r>
              <w:rPr>
                <w:rFonts w:cs="Arial"/>
                <w:szCs w:val="22"/>
              </w:rPr>
              <w:t>Homelessness</w:t>
            </w:r>
          </w:p>
        </w:tc>
        <w:tc>
          <w:tcPr>
            <w:tcW w:w="1144" w:type="dxa"/>
            <w:tcBorders>
              <w:top w:val="nil"/>
              <w:left w:val="nil"/>
              <w:bottom w:val="single" w:sz="4" w:space="0" w:color="auto"/>
              <w:right w:val="single" w:sz="4" w:space="0" w:color="auto"/>
            </w:tcBorders>
            <w:shd w:val="clear" w:color="auto" w:fill="auto"/>
            <w:noWrap/>
            <w:vAlign w:val="center"/>
          </w:tcPr>
          <w:p w:rsidR="00C74AF3" w:rsidRPr="00165D26" w:rsidRDefault="00C74AF3" w:rsidP="00A82462">
            <w:pPr>
              <w:jc w:val="right"/>
              <w:rPr>
                <w:rFonts w:cs="Arial"/>
                <w:szCs w:val="22"/>
              </w:rPr>
            </w:pPr>
            <w:r w:rsidRPr="00165D26">
              <w:rPr>
                <w:rFonts w:cs="Arial"/>
                <w:szCs w:val="22"/>
              </w:rPr>
              <w:t>(60)</w:t>
            </w:r>
          </w:p>
        </w:tc>
      </w:tr>
      <w:tr w:rsidR="00E45576" w:rsidRPr="007940B5" w:rsidTr="00A82462">
        <w:trPr>
          <w:trHeight w:val="345"/>
        </w:trPr>
        <w:tc>
          <w:tcPr>
            <w:tcW w:w="5237" w:type="dxa"/>
            <w:tcBorders>
              <w:top w:val="nil"/>
              <w:left w:val="single" w:sz="8" w:space="0" w:color="auto"/>
              <w:bottom w:val="single" w:sz="4" w:space="0" w:color="auto"/>
              <w:right w:val="single" w:sz="4" w:space="0" w:color="auto"/>
            </w:tcBorders>
            <w:shd w:val="clear" w:color="auto" w:fill="auto"/>
            <w:noWrap/>
            <w:vAlign w:val="center"/>
          </w:tcPr>
          <w:p w:rsidR="00E45576" w:rsidRDefault="00E45576" w:rsidP="00A82462">
            <w:pPr>
              <w:jc w:val="left"/>
              <w:rPr>
                <w:rFonts w:cs="Arial"/>
                <w:szCs w:val="22"/>
              </w:rPr>
            </w:pPr>
            <w:r>
              <w:rPr>
                <w:rFonts w:cs="Arial"/>
                <w:szCs w:val="22"/>
              </w:rPr>
              <w:t>Repairs &amp; maintenance to Council assets</w:t>
            </w:r>
          </w:p>
        </w:tc>
        <w:tc>
          <w:tcPr>
            <w:tcW w:w="1144" w:type="dxa"/>
            <w:tcBorders>
              <w:top w:val="nil"/>
              <w:left w:val="nil"/>
              <w:bottom w:val="single" w:sz="4" w:space="0" w:color="auto"/>
              <w:right w:val="single" w:sz="4" w:space="0" w:color="auto"/>
            </w:tcBorders>
            <w:shd w:val="clear" w:color="auto" w:fill="auto"/>
            <w:noWrap/>
            <w:vAlign w:val="center"/>
          </w:tcPr>
          <w:p w:rsidR="00E45576" w:rsidRPr="00165D26" w:rsidRDefault="00E45576" w:rsidP="00A82462">
            <w:pPr>
              <w:jc w:val="right"/>
              <w:rPr>
                <w:rFonts w:cs="Arial"/>
                <w:szCs w:val="22"/>
              </w:rPr>
            </w:pPr>
            <w:r>
              <w:rPr>
                <w:rFonts w:cs="Arial"/>
                <w:szCs w:val="22"/>
              </w:rPr>
              <w:t>(16)</w:t>
            </w:r>
          </w:p>
        </w:tc>
      </w:tr>
      <w:tr w:rsidR="00C74AF3" w:rsidRPr="007940B5" w:rsidTr="00A82462">
        <w:trPr>
          <w:trHeight w:val="345"/>
        </w:trPr>
        <w:tc>
          <w:tcPr>
            <w:tcW w:w="5237" w:type="dxa"/>
            <w:tcBorders>
              <w:top w:val="nil"/>
              <w:left w:val="single" w:sz="8" w:space="0" w:color="auto"/>
              <w:bottom w:val="single" w:sz="4" w:space="0" w:color="auto"/>
              <w:right w:val="single" w:sz="4" w:space="0" w:color="auto"/>
            </w:tcBorders>
            <w:shd w:val="clear" w:color="auto" w:fill="auto"/>
            <w:noWrap/>
            <w:vAlign w:val="center"/>
          </w:tcPr>
          <w:p w:rsidR="00C74AF3" w:rsidRPr="00785B9B" w:rsidRDefault="00785B9B" w:rsidP="00A82462">
            <w:pPr>
              <w:jc w:val="left"/>
              <w:rPr>
                <w:rFonts w:cs="Arial"/>
                <w:szCs w:val="22"/>
              </w:rPr>
            </w:pPr>
            <w:r w:rsidRPr="00785B9B">
              <w:rPr>
                <w:rFonts w:cs="Arial"/>
                <w:szCs w:val="22"/>
              </w:rPr>
              <w:t>Reduction in bad debt provision</w:t>
            </w:r>
          </w:p>
        </w:tc>
        <w:tc>
          <w:tcPr>
            <w:tcW w:w="1144" w:type="dxa"/>
            <w:tcBorders>
              <w:top w:val="nil"/>
              <w:left w:val="nil"/>
              <w:bottom w:val="single" w:sz="4" w:space="0" w:color="auto"/>
              <w:right w:val="single" w:sz="4" w:space="0" w:color="auto"/>
            </w:tcBorders>
            <w:shd w:val="clear" w:color="auto" w:fill="auto"/>
            <w:noWrap/>
            <w:vAlign w:val="center"/>
          </w:tcPr>
          <w:p w:rsidR="00C74AF3" w:rsidRPr="00165D26" w:rsidRDefault="00785B9B" w:rsidP="00A82462">
            <w:pPr>
              <w:jc w:val="right"/>
              <w:rPr>
                <w:rFonts w:cs="Arial"/>
                <w:szCs w:val="22"/>
              </w:rPr>
            </w:pPr>
            <w:r w:rsidRPr="00165D26">
              <w:rPr>
                <w:rFonts w:cs="Arial"/>
                <w:szCs w:val="22"/>
              </w:rPr>
              <w:t>(93)</w:t>
            </w:r>
          </w:p>
        </w:tc>
      </w:tr>
      <w:tr w:rsidR="00785B9B" w:rsidRPr="007940B5" w:rsidTr="00A82462">
        <w:trPr>
          <w:trHeight w:val="153"/>
        </w:trPr>
        <w:tc>
          <w:tcPr>
            <w:tcW w:w="5237" w:type="dxa"/>
            <w:tcBorders>
              <w:top w:val="nil"/>
              <w:left w:val="single" w:sz="8" w:space="0" w:color="auto"/>
              <w:bottom w:val="single" w:sz="4" w:space="0" w:color="auto"/>
              <w:right w:val="single" w:sz="4" w:space="0" w:color="auto"/>
            </w:tcBorders>
            <w:shd w:val="clear" w:color="auto" w:fill="auto"/>
            <w:noWrap/>
            <w:vAlign w:val="center"/>
          </w:tcPr>
          <w:p w:rsidR="00785B9B" w:rsidRPr="00DB35CA" w:rsidRDefault="00785B9B" w:rsidP="00A82462">
            <w:pPr>
              <w:jc w:val="left"/>
              <w:rPr>
                <w:rFonts w:cs="Arial"/>
                <w:szCs w:val="22"/>
                <w:u w:val="single"/>
              </w:rPr>
            </w:pPr>
          </w:p>
        </w:tc>
        <w:tc>
          <w:tcPr>
            <w:tcW w:w="1144" w:type="dxa"/>
            <w:tcBorders>
              <w:top w:val="nil"/>
              <w:left w:val="nil"/>
              <w:bottom w:val="single" w:sz="4" w:space="0" w:color="auto"/>
              <w:right w:val="single" w:sz="4" w:space="0" w:color="auto"/>
            </w:tcBorders>
            <w:shd w:val="clear" w:color="auto" w:fill="auto"/>
            <w:noWrap/>
            <w:vAlign w:val="center"/>
          </w:tcPr>
          <w:p w:rsidR="00785B9B" w:rsidRPr="00165D26" w:rsidRDefault="00785B9B" w:rsidP="00A82462">
            <w:pPr>
              <w:jc w:val="right"/>
              <w:rPr>
                <w:rFonts w:cs="Arial"/>
                <w:szCs w:val="22"/>
              </w:rPr>
            </w:pPr>
          </w:p>
        </w:tc>
      </w:tr>
      <w:tr w:rsidR="00C74AF3" w:rsidRPr="007940B5" w:rsidTr="00A82462">
        <w:trPr>
          <w:trHeight w:val="345"/>
        </w:trPr>
        <w:tc>
          <w:tcPr>
            <w:tcW w:w="5237" w:type="dxa"/>
            <w:tcBorders>
              <w:top w:val="nil"/>
              <w:left w:val="single" w:sz="8" w:space="0" w:color="auto"/>
              <w:bottom w:val="single" w:sz="4" w:space="0" w:color="auto"/>
              <w:right w:val="single" w:sz="4" w:space="0" w:color="auto"/>
            </w:tcBorders>
            <w:shd w:val="clear" w:color="auto" w:fill="auto"/>
            <w:noWrap/>
            <w:vAlign w:val="center"/>
          </w:tcPr>
          <w:p w:rsidR="00C74AF3" w:rsidRPr="00DB35CA" w:rsidRDefault="00C74AF3" w:rsidP="00A82462">
            <w:pPr>
              <w:jc w:val="left"/>
              <w:rPr>
                <w:rFonts w:cs="Arial"/>
                <w:szCs w:val="22"/>
                <w:u w:val="single"/>
              </w:rPr>
            </w:pPr>
            <w:r w:rsidRPr="00DB35CA">
              <w:rPr>
                <w:rFonts w:cs="Arial"/>
                <w:szCs w:val="22"/>
                <w:u w:val="single"/>
              </w:rPr>
              <w:t>Underspends</w:t>
            </w:r>
            <w:r>
              <w:rPr>
                <w:rFonts w:cs="Arial"/>
                <w:szCs w:val="22"/>
                <w:u w:val="single"/>
              </w:rPr>
              <w:t xml:space="preserve"> that require being carried forward to 2017/18 for completion of specific projects</w:t>
            </w:r>
          </w:p>
        </w:tc>
        <w:tc>
          <w:tcPr>
            <w:tcW w:w="1144" w:type="dxa"/>
            <w:tcBorders>
              <w:top w:val="nil"/>
              <w:left w:val="nil"/>
              <w:bottom w:val="single" w:sz="4" w:space="0" w:color="auto"/>
              <w:right w:val="single" w:sz="4" w:space="0" w:color="auto"/>
            </w:tcBorders>
            <w:shd w:val="clear" w:color="auto" w:fill="auto"/>
            <w:noWrap/>
            <w:vAlign w:val="center"/>
          </w:tcPr>
          <w:p w:rsidR="00C74AF3" w:rsidRPr="00165D26" w:rsidRDefault="00C74AF3" w:rsidP="00A82462">
            <w:pPr>
              <w:jc w:val="right"/>
              <w:rPr>
                <w:rFonts w:cs="Arial"/>
                <w:szCs w:val="22"/>
              </w:rPr>
            </w:pPr>
          </w:p>
        </w:tc>
      </w:tr>
      <w:tr w:rsidR="00C74AF3" w:rsidRPr="007940B5" w:rsidTr="00A82462">
        <w:trPr>
          <w:trHeight w:val="345"/>
        </w:trPr>
        <w:tc>
          <w:tcPr>
            <w:tcW w:w="5237" w:type="dxa"/>
            <w:tcBorders>
              <w:top w:val="nil"/>
              <w:left w:val="single" w:sz="8" w:space="0" w:color="auto"/>
              <w:bottom w:val="single" w:sz="4" w:space="0" w:color="auto"/>
              <w:right w:val="single" w:sz="4" w:space="0" w:color="auto"/>
            </w:tcBorders>
            <w:shd w:val="clear" w:color="auto" w:fill="auto"/>
            <w:noWrap/>
            <w:vAlign w:val="center"/>
          </w:tcPr>
          <w:p w:rsidR="00C74AF3" w:rsidRPr="00071A3A" w:rsidRDefault="00C74AF3" w:rsidP="00A82462">
            <w:pPr>
              <w:jc w:val="left"/>
              <w:rPr>
                <w:rFonts w:cs="Arial"/>
                <w:szCs w:val="22"/>
              </w:rPr>
            </w:pPr>
            <w:r>
              <w:rPr>
                <w:rFonts w:cs="Arial"/>
                <w:szCs w:val="22"/>
              </w:rPr>
              <w:t>District plan</w:t>
            </w:r>
          </w:p>
        </w:tc>
        <w:tc>
          <w:tcPr>
            <w:tcW w:w="1144" w:type="dxa"/>
            <w:tcBorders>
              <w:top w:val="nil"/>
              <w:left w:val="nil"/>
              <w:bottom w:val="single" w:sz="4" w:space="0" w:color="auto"/>
              <w:right w:val="single" w:sz="4" w:space="0" w:color="auto"/>
            </w:tcBorders>
            <w:shd w:val="clear" w:color="auto" w:fill="auto"/>
            <w:noWrap/>
            <w:vAlign w:val="center"/>
          </w:tcPr>
          <w:p w:rsidR="00C74AF3" w:rsidRPr="00165D26" w:rsidRDefault="00C74AF3" w:rsidP="00A82462">
            <w:pPr>
              <w:jc w:val="right"/>
              <w:rPr>
                <w:rFonts w:cs="Arial"/>
                <w:szCs w:val="22"/>
              </w:rPr>
            </w:pPr>
            <w:r w:rsidRPr="00165D26">
              <w:rPr>
                <w:rFonts w:cs="Arial"/>
                <w:szCs w:val="22"/>
              </w:rPr>
              <w:t>(69)</w:t>
            </w:r>
          </w:p>
        </w:tc>
      </w:tr>
      <w:tr w:rsidR="00C74AF3" w:rsidRPr="007940B5" w:rsidTr="00A82462">
        <w:trPr>
          <w:trHeight w:val="345"/>
        </w:trPr>
        <w:tc>
          <w:tcPr>
            <w:tcW w:w="5237" w:type="dxa"/>
            <w:tcBorders>
              <w:top w:val="nil"/>
              <w:left w:val="single" w:sz="8" w:space="0" w:color="auto"/>
              <w:bottom w:val="single" w:sz="4" w:space="0" w:color="auto"/>
              <w:right w:val="single" w:sz="4" w:space="0" w:color="auto"/>
            </w:tcBorders>
            <w:shd w:val="clear" w:color="auto" w:fill="auto"/>
            <w:noWrap/>
            <w:vAlign w:val="center"/>
          </w:tcPr>
          <w:p w:rsidR="00C74AF3" w:rsidRPr="00071A3A" w:rsidRDefault="00C74AF3" w:rsidP="00A82462">
            <w:pPr>
              <w:jc w:val="left"/>
              <w:rPr>
                <w:rFonts w:cs="Arial"/>
                <w:szCs w:val="22"/>
              </w:rPr>
            </w:pPr>
            <w:r>
              <w:rPr>
                <w:rFonts w:cs="Arial"/>
                <w:szCs w:val="22"/>
              </w:rPr>
              <w:t>Better buses</w:t>
            </w:r>
          </w:p>
        </w:tc>
        <w:tc>
          <w:tcPr>
            <w:tcW w:w="1144" w:type="dxa"/>
            <w:tcBorders>
              <w:top w:val="nil"/>
              <w:left w:val="nil"/>
              <w:bottom w:val="single" w:sz="4" w:space="0" w:color="auto"/>
              <w:right w:val="single" w:sz="4" w:space="0" w:color="auto"/>
            </w:tcBorders>
            <w:shd w:val="clear" w:color="auto" w:fill="auto"/>
            <w:noWrap/>
            <w:vAlign w:val="center"/>
          </w:tcPr>
          <w:p w:rsidR="00C74AF3" w:rsidRPr="00165D26" w:rsidRDefault="00C74AF3" w:rsidP="00A82462">
            <w:pPr>
              <w:jc w:val="right"/>
              <w:rPr>
                <w:rFonts w:cs="Arial"/>
                <w:szCs w:val="22"/>
              </w:rPr>
            </w:pPr>
            <w:r w:rsidRPr="00165D26">
              <w:rPr>
                <w:rFonts w:cs="Arial"/>
                <w:szCs w:val="22"/>
              </w:rPr>
              <w:t>(23)</w:t>
            </w:r>
          </w:p>
        </w:tc>
      </w:tr>
      <w:tr w:rsidR="00C74AF3" w:rsidRPr="007940B5" w:rsidTr="00A82462">
        <w:trPr>
          <w:trHeight w:val="345"/>
        </w:trPr>
        <w:tc>
          <w:tcPr>
            <w:tcW w:w="5237" w:type="dxa"/>
            <w:tcBorders>
              <w:top w:val="nil"/>
              <w:left w:val="single" w:sz="8" w:space="0" w:color="auto"/>
              <w:bottom w:val="single" w:sz="4" w:space="0" w:color="auto"/>
              <w:right w:val="single" w:sz="4" w:space="0" w:color="auto"/>
            </w:tcBorders>
            <w:shd w:val="clear" w:color="auto" w:fill="auto"/>
            <w:noWrap/>
            <w:vAlign w:val="center"/>
          </w:tcPr>
          <w:p w:rsidR="00C74AF3" w:rsidRPr="00071A3A" w:rsidRDefault="00C74AF3" w:rsidP="00A82462">
            <w:pPr>
              <w:jc w:val="left"/>
              <w:rPr>
                <w:rFonts w:cs="Arial"/>
                <w:szCs w:val="22"/>
              </w:rPr>
            </w:pPr>
            <w:r>
              <w:rPr>
                <w:rFonts w:cs="Arial"/>
                <w:szCs w:val="22"/>
              </w:rPr>
              <w:t>Planning legal fees</w:t>
            </w:r>
          </w:p>
        </w:tc>
        <w:tc>
          <w:tcPr>
            <w:tcW w:w="1144" w:type="dxa"/>
            <w:tcBorders>
              <w:top w:val="nil"/>
              <w:left w:val="nil"/>
              <w:bottom w:val="single" w:sz="4" w:space="0" w:color="auto"/>
              <w:right w:val="single" w:sz="4" w:space="0" w:color="auto"/>
            </w:tcBorders>
            <w:shd w:val="clear" w:color="auto" w:fill="auto"/>
            <w:noWrap/>
            <w:vAlign w:val="center"/>
          </w:tcPr>
          <w:p w:rsidR="00C74AF3" w:rsidRPr="00165D26" w:rsidRDefault="00C74AF3" w:rsidP="00A82462">
            <w:pPr>
              <w:jc w:val="right"/>
              <w:rPr>
                <w:rFonts w:cs="Arial"/>
                <w:szCs w:val="22"/>
              </w:rPr>
            </w:pPr>
            <w:r w:rsidRPr="00165D26">
              <w:rPr>
                <w:rFonts w:cs="Arial"/>
                <w:szCs w:val="22"/>
              </w:rPr>
              <w:t>(67)</w:t>
            </w:r>
          </w:p>
        </w:tc>
      </w:tr>
      <w:tr w:rsidR="00C74AF3" w:rsidRPr="007940B5" w:rsidTr="00A82462">
        <w:trPr>
          <w:trHeight w:val="345"/>
        </w:trPr>
        <w:tc>
          <w:tcPr>
            <w:tcW w:w="5237" w:type="dxa"/>
            <w:tcBorders>
              <w:top w:val="nil"/>
              <w:left w:val="single" w:sz="8" w:space="0" w:color="auto"/>
              <w:bottom w:val="single" w:sz="4" w:space="0" w:color="auto"/>
              <w:right w:val="single" w:sz="4" w:space="0" w:color="auto"/>
            </w:tcBorders>
            <w:shd w:val="clear" w:color="auto" w:fill="auto"/>
            <w:noWrap/>
            <w:vAlign w:val="center"/>
          </w:tcPr>
          <w:p w:rsidR="00C74AF3" w:rsidRDefault="00C74AF3" w:rsidP="00A82462">
            <w:pPr>
              <w:jc w:val="left"/>
              <w:rPr>
                <w:rFonts w:cs="Arial"/>
                <w:szCs w:val="22"/>
              </w:rPr>
            </w:pPr>
            <w:r>
              <w:rPr>
                <w:rFonts w:cs="Arial"/>
                <w:szCs w:val="22"/>
              </w:rPr>
              <w:t>Contractual liability</w:t>
            </w:r>
          </w:p>
        </w:tc>
        <w:tc>
          <w:tcPr>
            <w:tcW w:w="1144" w:type="dxa"/>
            <w:tcBorders>
              <w:top w:val="nil"/>
              <w:left w:val="nil"/>
              <w:bottom w:val="single" w:sz="4" w:space="0" w:color="auto"/>
              <w:right w:val="single" w:sz="4" w:space="0" w:color="auto"/>
            </w:tcBorders>
            <w:shd w:val="clear" w:color="auto" w:fill="auto"/>
            <w:noWrap/>
            <w:vAlign w:val="center"/>
          </w:tcPr>
          <w:p w:rsidR="00C74AF3" w:rsidRPr="00165D26" w:rsidRDefault="00C74AF3" w:rsidP="00A82462">
            <w:pPr>
              <w:jc w:val="right"/>
              <w:rPr>
                <w:rFonts w:cs="Arial"/>
                <w:szCs w:val="22"/>
              </w:rPr>
            </w:pPr>
            <w:r w:rsidRPr="00165D26">
              <w:rPr>
                <w:rFonts w:cs="Arial"/>
                <w:szCs w:val="22"/>
              </w:rPr>
              <w:t>(81)</w:t>
            </w:r>
          </w:p>
        </w:tc>
      </w:tr>
      <w:tr w:rsidR="00C74AF3" w:rsidRPr="007940B5" w:rsidTr="00A82462">
        <w:trPr>
          <w:trHeight w:val="345"/>
        </w:trPr>
        <w:tc>
          <w:tcPr>
            <w:tcW w:w="5237" w:type="dxa"/>
            <w:tcBorders>
              <w:top w:val="nil"/>
              <w:left w:val="single" w:sz="8" w:space="0" w:color="auto"/>
              <w:bottom w:val="single" w:sz="4" w:space="0" w:color="auto"/>
              <w:right w:val="single" w:sz="4" w:space="0" w:color="auto"/>
            </w:tcBorders>
            <w:shd w:val="clear" w:color="auto" w:fill="auto"/>
            <w:noWrap/>
            <w:vAlign w:val="center"/>
          </w:tcPr>
          <w:p w:rsidR="00C74AF3" w:rsidRDefault="00C74AF3" w:rsidP="00A82462">
            <w:pPr>
              <w:jc w:val="left"/>
              <w:rPr>
                <w:rFonts w:cs="Arial"/>
                <w:szCs w:val="22"/>
              </w:rPr>
            </w:pPr>
            <w:r>
              <w:rPr>
                <w:rFonts w:cs="Arial"/>
                <w:szCs w:val="22"/>
              </w:rPr>
              <w:t>Energy efficiency</w:t>
            </w:r>
          </w:p>
        </w:tc>
        <w:tc>
          <w:tcPr>
            <w:tcW w:w="1144" w:type="dxa"/>
            <w:tcBorders>
              <w:top w:val="nil"/>
              <w:left w:val="nil"/>
              <w:bottom w:val="single" w:sz="4" w:space="0" w:color="auto"/>
              <w:right w:val="single" w:sz="4" w:space="0" w:color="auto"/>
            </w:tcBorders>
            <w:shd w:val="clear" w:color="auto" w:fill="auto"/>
            <w:noWrap/>
            <w:vAlign w:val="center"/>
          </w:tcPr>
          <w:p w:rsidR="00C74AF3" w:rsidRPr="00165D26" w:rsidRDefault="00C74AF3" w:rsidP="00A82462">
            <w:pPr>
              <w:jc w:val="right"/>
              <w:rPr>
                <w:rFonts w:cs="Arial"/>
                <w:szCs w:val="22"/>
              </w:rPr>
            </w:pPr>
            <w:r w:rsidRPr="00165D26">
              <w:rPr>
                <w:rFonts w:cs="Arial"/>
                <w:szCs w:val="22"/>
              </w:rPr>
              <w:t>(1</w:t>
            </w:r>
            <w:r w:rsidR="00785B9B" w:rsidRPr="00165D26">
              <w:rPr>
                <w:rFonts w:cs="Arial"/>
                <w:szCs w:val="22"/>
              </w:rPr>
              <w:t>2</w:t>
            </w:r>
            <w:r w:rsidRPr="00165D26">
              <w:rPr>
                <w:rFonts w:cs="Arial"/>
                <w:szCs w:val="22"/>
              </w:rPr>
              <w:t>)</w:t>
            </w:r>
          </w:p>
        </w:tc>
      </w:tr>
      <w:tr w:rsidR="00C74AF3" w:rsidRPr="007940B5" w:rsidTr="00A82462">
        <w:trPr>
          <w:trHeight w:val="345"/>
        </w:trPr>
        <w:tc>
          <w:tcPr>
            <w:tcW w:w="5237" w:type="dxa"/>
            <w:tcBorders>
              <w:top w:val="nil"/>
              <w:left w:val="single" w:sz="8" w:space="0" w:color="auto"/>
              <w:bottom w:val="single" w:sz="4" w:space="0" w:color="auto"/>
              <w:right w:val="single" w:sz="4" w:space="0" w:color="auto"/>
            </w:tcBorders>
            <w:shd w:val="clear" w:color="auto" w:fill="auto"/>
            <w:noWrap/>
            <w:vAlign w:val="center"/>
          </w:tcPr>
          <w:p w:rsidR="00C74AF3" w:rsidRDefault="00C74AF3" w:rsidP="00A82462">
            <w:pPr>
              <w:jc w:val="left"/>
              <w:rPr>
                <w:rFonts w:cs="Arial"/>
                <w:szCs w:val="22"/>
              </w:rPr>
            </w:pPr>
            <w:r>
              <w:rPr>
                <w:rFonts w:cs="Arial"/>
                <w:szCs w:val="22"/>
              </w:rPr>
              <w:t>Future trading activities</w:t>
            </w:r>
          </w:p>
        </w:tc>
        <w:tc>
          <w:tcPr>
            <w:tcW w:w="1144" w:type="dxa"/>
            <w:tcBorders>
              <w:top w:val="nil"/>
              <w:left w:val="nil"/>
              <w:bottom w:val="single" w:sz="4" w:space="0" w:color="auto"/>
              <w:right w:val="single" w:sz="4" w:space="0" w:color="auto"/>
            </w:tcBorders>
            <w:shd w:val="clear" w:color="auto" w:fill="auto"/>
            <w:noWrap/>
            <w:vAlign w:val="center"/>
          </w:tcPr>
          <w:p w:rsidR="00C74AF3" w:rsidRPr="00165D26" w:rsidRDefault="00C74AF3" w:rsidP="00A82462">
            <w:pPr>
              <w:jc w:val="right"/>
              <w:rPr>
                <w:rFonts w:cs="Arial"/>
                <w:szCs w:val="22"/>
              </w:rPr>
            </w:pPr>
            <w:r w:rsidRPr="00165D26">
              <w:rPr>
                <w:rFonts w:cs="Arial"/>
                <w:szCs w:val="22"/>
              </w:rPr>
              <w:t>(</w:t>
            </w:r>
            <w:r w:rsidR="00785B9B" w:rsidRPr="00165D26">
              <w:rPr>
                <w:rFonts w:cs="Arial"/>
                <w:szCs w:val="22"/>
              </w:rPr>
              <w:t>19</w:t>
            </w:r>
            <w:r w:rsidRPr="00165D26">
              <w:rPr>
                <w:rFonts w:cs="Arial"/>
                <w:szCs w:val="22"/>
              </w:rPr>
              <w:t>)</w:t>
            </w:r>
          </w:p>
        </w:tc>
      </w:tr>
      <w:tr w:rsidR="001E0FF6" w:rsidRPr="007940B5" w:rsidTr="00A82462">
        <w:trPr>
          <w:trHeight w:val="345"/>
        </w:trPr>
        <w:tc>
          <w:tcPr>
            <w:tcW w:w="5237" w:type="dxa"/>
            <w:tcBorders>
              <w:top w:val="nil"/>
              <w:left w:val="single" w:sz="8" w:space="0" w:color="auto"/>
              <w:bottom w:val="single" w:sz="4" w:space="0" w:color="auto"/>
              <w:right w:val="single" w:sz="4" w:space="0" w:color="auto"/>
            </w:tcBorders>
            <w:shd w:val="clear" w:color="auto" w:fill="auto"/>
            <w:noWrap/>
            <w:vAlign w:val="center"/>
          </w:tcPr>
          <w:p w:rsidR="001E0FF6" w:rsidRPr="00CF0EAD" w:rsidRDefault="00CF0EAD" w:rsidP="00A82462">
            <w:pPr>
              <w:jc w:val="left"/>
              <w:rPr>
                <w:rFonts w:cs="Arial"/>
                <w:szCs w:val="22"/>
              </w:rPr>
            </w:pPr>
            <w:r w:rsidRPr="00CF0EAD">
              <w:rPr>
                <w:rFonts w:cs="Arial"/>
                <w:szCs w:val="22"/>
              </w:rPr>
              <w:t>Scanning</w:t>
            </w:r>
          </w:p>
        </w:tc>
        <w:tc>
          <w:tcPr>
            <w:tcW w:w="1144" w:type="dxa"/>
            <w:tcBorders>
              <w:top w:val="nil"/>
              <w:left w:val="nil"/>
              <w:bottom w:val="single" w:sz="4" w:space="0" w:color="auto"/>
              <w:right w:val="single" w:sz="4" w:space="0" w:color="auto"/>
            </w:tcBorders>
            <w:shd w:val="clear" w:color="auto" w:fill="auto"/>
            <w:noWrap/>
            <w:vAlign w:val="center"/>
          </w:tcPr>
          <w:p w:rsidR="001E0FF6" w:rsidRPr="00165D26" w:rsidRDefault="00CF0EAD" w:rsidP="00A82462">
            <w:pPr>
              <w:jc w:val="right"/>
              <w:rPr>
                <w:rFonts w:cs="Arial"/>
                <w:szCs w:val="22"/>
              </w:rPr>
            </w:pPr>
            <w:r w:rsidRPr="00165D26">
              <w:rPr>
                <w:rFonts w:cs="Arial"/>
                <w:szCs w:val="22"/>
              </w:rPr>
              <w:t>(10)</w:t>
            </w:r>
          </w:p>
        </w:tc>
      </w:tr>
      <w:tr w:rsidR="00CF0EAD" w:rsidRPr="007940B5" w:rsidTr="00A82462">
        <w:trPr>
          <w:trHeight w:val="345"/>
        </w:trPr>
        <w:tc>
          <w:tcPr>
            <w:tcW w:w="5237" w:type="dxa"/>
            <w:tcBorders>
              <w:top w:val="nil"/>
              <w:left w:val="single" w:sz="8" w:space="0" w:color="auto"/>
              <w:bottom w:val="single" w:sz="4" w:space="0" w:color="auto"/>
              <w:right w:val="single" w:sz="4" w:space="0" w:color="auto"/>
            </w:tcBorders>
            <w:shd w:val="clear" w:color="auto" w:fill="auto"/>
            <w:noWrap/>
            <w:vAlign w:val="center"/>
          </w:tcPr>
          <w:p w:rsidR="00CF0EAD" w:rsidRPr="00CF0EAD" w:rsidRDefault="00CF0EAD" w:rsidP="00A82462">
            <w:pPr>
              <w:jc w:val="left"/>
              <w:rPr>
                <w:rFonts w:cs="Arial"/>
                <w:szCs w:val="22"/>
              </w:rPr>
            </w:pPr>
            <w:r>
              <w:rPr>
                <w:rFonts w:cs="Arial"/>
                <w:szCs w:val="22"/>
              </w:rPr>
              <w:t>Langley Lane project</w:t>
            </w:r>
          </w:p>
        </w:tc>
        <w:tc>
          <w:tcPr>
            <w:tcW w:w="1144" w:type="dxa"/>
            <w:tcBorders>
              <w:top w:val="nil"/>
              <w:left w:val="nil"/>
              <w:bottom w:val="single" w:sz="4" w:space="0" w:color="auto"/>
              <w:right w:val="single" w:sz="4" w:space="0" w:color="auto"/>
            </w:tcBorders>
            <w:shd w:val="clear" w:color="auto" w:fill="auto"/>
            <w:noWrap/>
            <w:vAlign w:val="center"/>
          </w:tcPr>
          <w:p w:rsidR="00CF0EAD" w:rsidRPr="00165D26" w:rsidRDefault="00CF0EAD" w:rsidP="00A82462">
            <w:pPr>
              <w:jc w:val="right"/>
              <w:rPr>
                <w:rFonts w:cs="Arial"/>
                <w:szCs w:val="22"/>
              </w:rPr>
            </w:pPr>
            <w:r w:rsidRPr="00165D26">
              <w:rPr>
                <w:rFonts w:cs="Arial"/>
                <w:szCs w:val="22"/>
              </w:rPr>
              <w:t>(7)</w:t>
            </w:r>
          </w:p>
        </w:tc>
      </w:tr>
      <w:tr w:rsidR="008D5843" w:rsidRPr="007940B5" w:rsidTr="00A82462">
        <w:trPr>
          <w:trHeight w:val="345"/>
        </w:trPr>
        <w:tc>
          <w:tcPr>
            <w:tcW w:w="5237" w:type="dxa"/>
            <w:tcBorders>
              <w:top w:val="nil"/>
              <w:left w:val="single" w:sz="8" w:space="0" w:color="auto"/>
              <w:bottom w:val="single" w:sz="4" w:space="0" w:color="auto"/>
              <w:right w:val="single" w:sz="4" w:space="0" w:color="auto"/>
            </w:tcBorders>
            <w:shd w:val="clear" w:color="auto" w:fill="auto"/>
            <w:noWrap/>
            <w:vAlign w:val="center"/>
          </w:tcPr>
          <w:p w:rsidR="008D5843" w:rsidRPr="001E0FF6" w:rsidRDefault="008D5843" w:rsidP="00A82462">
            <w:pPr>
              <w:jc w:val="left"/>
              <w:rPr>
                <w:rFonts w:cs="Arial"/>
                <w:szCs w:val="22"/>
              </w:rPr>
            </w:pPr>
          </w:p>
        </w:tc>
        <w:tc>
          <w:tcPr>
            <w:tcW w:w="1144" w:type="dxa"/>
            <w:tcBorders>
              <w:top w:val="nil"/>
              <w:left w:val="nil"/>
              <w:bottom w:val="single" w:sz="4" w:space="0" w:color="auto"/>
              <w:right w:val="single" w:sz="4" w:space="0" w:color="auto"/>
            </w:tcBorders>
            <w:shd w:val="clear" w:color="auto" w:fill="auto"/>
            <w:noWrap/>
            <w:vAlign w:val="center"/>
          </w:tcPr>
          <w:p w:rsidR="008D5843" w:rsidRPr="00165D26" w:rsidRDefault="008D5843" w:rsidP="00A82462">
            <w:pPr>
              <w:jc w:val="right"/>
              <w:rPr>
                <w:rFonts w:cs="Arial"/>
                <w:szCs w:val="22"/>
              </w:rPr>
            </w:pPr>
          </w:p>
        </w:tc>
      </w:tr>
      <w:tr w:rsidR="001E0FF6" w:rsidRPr="007940B5" w:rsidTr="00A82462">
        <w:trPr>
          <w:trHeight w:val="345"/>
        </w:trPr>
        <w:tc>
          <w:tcPr>
            <w:tcW w:w="5237" w:type="dxa"/>
            <w:tcBorders>
              <w:top w:val="nil"/>
              <w:left w:val="single" w:sz="8" w:space="0" w:color="auto"/>
              <w:bottom w:val="single" w:sz="4" w:space="0" w:color="auto"/>
              <w:right w:val="single" w:sz="4" w:space="0" w:color="auto"/>
            </w:tcBorders>
            <w:shd w:val="clear" w:color="auto" w:fill="auto"/>
            <w:noWrap/>
            <w:vAlign w:val="center"/>
          </w:tcPr>
          <w:p w:rsidR="001E0FF6" w:rsidRPr="008D5843" w:rsidRDefault="001E0FF6" w:rsidP="00A82462">
            <w:pPr>
              <w:jc w:val="left"/>
              <w:rPr>
                <w:rFonts w:cs="Arial"/>
                <w:szCs w:val="22"/>
                <w:u w:val="single"/>
              </w:rPr>
            </w:pPr>
            <w:r w:rsidRPr="008D5843">
              <w:rPr>
                <w:rFonts w:cs="Arial"/>
                <w:szCs w:val="22"/>
                <w:u w:val="single"/>
              </w:rPr>
              <w:t>Additional investment and grant income</w:t>
            </w:r>
          </w:p>
        </w:tc>
        <w:tc>
          <w:tcPr>
            <w:tcW w:w="1144" w:type="dxa"/>
            <w:tcBorders>
              <w:top w:val="nil"/>
              <w:left w:val="nil"/>
              <w:bottom w:val="single" w:sz="4" w:space="0" w:color="auto"/>
              <w:right w:val="single" w:sz="4" w:space="0" w:color="auto"/>
            </w:tcBorders>
            <w:shd w:val="clear" w:color="auto" w:fill="auto"/>
            <w:noWrap/>
            <w:vAlign w:val="center"/>
          </w:tcPr>
          <w:p w:rsidR="001E0FF6" w:rsidRDefault="001E0FF6" w:rsidP="00A82462">
            <w:pPr>
              <w:jc w:val="right"/>
              <w:rPr>
                <w:rFonts w:cs="Arial"/>
                <w:color w:val="4F81BD" w:themeColor="accent1"/>
                <w:szCs w:val="22"/>
              </w:rPr>
            </w:pPr>
            <w:r w:rsidRPr="00165D26">
              <w:rPr>
                <w:rFonts w:cs="Arial"/>
                <w:szCs w:val="22"/>
              </w:rPr>
              <w:t>(307)</w:t>
            </w:r>
          </w:p>
        </w:tc>
      </w:tr>
      <w:tr w:rsidR="00C74AF3" w:rsidRPr="007940B5" w:rsidTr="00A82462">
        <w:trPr>
          <w:trHeight w:val="345"/>
        </w:trPr>
        <w:tc>
          <w:tcPr>
            <w:tcW w:w="5237"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rsidR="00C74AF3" w:rsidRPr="0073217E" w:rsidRDefault="001E0FF6" w:rsidP="00A82462">
            <w:pPr>
              <w:jc w:val="left"/>
              <w:rPr>
                <w:rFonts w:cs="Arial"/>
                <w:b/>
                <w:szCs w:val="22"/>
              </w:rPr>
            </w:pPr>
            <w:r>
              <w:rPr>
                <w:rFonts w:cs="Arial"/>
                <w:b/>
                <w:szCs w:val="22"/>
              </w:rPr>
              <w:t>Revenue Outturn variance</w:t>
            </w:r>
          </w:p>
        </w:tc>
        <w:tc>
          <w:tcPr>
            <w:tcW w:w="114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C74AF3" w:rsidRPr="001E0FF6" w:rsidRDefault="001E0FF6" w:rsidP="00CC590B">
            <w:pPr>
              <w:jc w:val="right"/>
              <w:rPr>
                <w:rFonts w:cs="Arial"/>
                <w:b/>
                <w:color w:val="4F81BD" w:themeColor="accent1"/>
                <w:szCs w:val="22"/>
              </w:rPr>
            </w:pPr>
            <w:r w:rsidRPr="00165D26">
              <w:rPr>
                <w:rFonts w:cs="Arial"/>
                <w:b/>
                <w:szCs w:val="22"/>
              </w:rPr>
              <w:t>(</w:t>
            </w:r>
            <w:r w:rsidR="00785B9B" w:rsidRPr="00165D26">
              <w:rPr>
                <w:rFonts w:cs="Arial"/>
                <w:b/>
                <w:szCs w:val="22"/>
              </w:rPr>
              <w:t>4</w:t>
            </w:r>
            <w:r w:rsidR="00CC590B">
              <w:rPr>
                <w:rFonts w:cs="Arial"/>
                <w:b/>
                <w:szCs w:val="22"/>
              </w:rPr>
              <w:t>02</w:t>
            </w:r>
            <w:r w:rsidRPr="00165D26">
              <w:rPr>
                <w:rFonts w:cs="Arial"/>
                <w:b/>
                <w:szCs w:val="22"/>
              </w:rPr>
              <w:t>)</w:t>
            </w:r>
          </w:p>
        </w:tc>
      </w:tr>
    </w:tbl>
    <w:p w:rsidR="00A53F7B" w:rsidRDefault="00A53F7B" w:rsidP="00F2044E">
      <w:pPr>
        <w:keepNext/>
        <w:ind w:left="1267" w:hanging="1267"/>
        <w:rPr>
          <w:rFonts w:cs="Arial"/>
          <w:szCs w:val="22"/>
        </w:rPr>
      </w:pPr>
    </w:p>
    <w:p w:rsidR="00F2044E" w:rsidRDefault="004438D1" w:rsidP="00F2044E">
      <w:pPr>
        <w:keepNext/>
        <w:ind w:left="1267" w:hanging="1267"/>
        <w:rPr>
          <w:rFonts w:cs="Arial"/>
          <w:szCs w:val="22"/>
        </w:rPr>
      </w:pPr>
      <w:r w:rsidRPr="002C08E1">
        <w:rPr>
          <w:rFonts w:cs="Arial"/>
          <w:szCs w:val="22"/>
        </w:rPr>
        <w:t>2.</w:t>
      </w:r>
      <w:r w:rsidR="00074622">
        <w:rPr>
          <w:rFonts w:cs="Arial"/>
          <w:szCs w:val="22"/>
        </w:rPr>
        <w:t>5</w:t>
      </w:r>
      <w:r w:rsidR="00F2044E" w:rsidRPr="007940B5">
        <w:rPr>
          <w:rFonts w:cs="Arial"/>
          <w:color w:val="4F81BD" w:themeColor="accent1"/>
          <w:szCs w:val="22"/>
        </w:rPr>
        <w:tab/>
      </w:r>
      <w:r w:rsidR="00F2044E" w:rsidRPr="00165D26">
        <w:rPr>
          <w:rFonts w:cs="Arial"/>
          <w:b/>
          <w:szCs w:val="22"/>
        </w:rPr>
        <w:t xml:space="preserve">Appendix </w:t>
      </w:r>
      <w:r w:rsidR="00F176CA" w:rsidRPr="00165D26">
        <w:rPr>
          <w:rFonts w:cs="Arial"/>
          <w:b/>
          <w:szCs w:val="22"/>
        </w:rPr>
        <w:t>2</w:t>
      </w:r>
      <w:r w:rsidR="00F2044E" w:rsidRPr="007940B5">
        <w:rPr>
          <w:rFonts w:cs="Arial"/>
          <w:color w:val="4F81BD" w:themeColor="accent1"/>
          <w:szCs w:val="22"/>
        </w:rPr>
        <w:t xml:space="preserve"> </w:t>
      </w:r>
      <w:r w:rsidR="00F2044E" w:rsidRPr="002C08E1">
        <w:rPr>
          <w:rFonts w:cs="Arial"/>
          <w:szCs w:val="22"/>
        </w:rPr>
        <w:t>details th</w:t>
      </w:r>
      <w:r w:rsidR="008D5843">
        <w:rPr>
          <w:rFonts w:cs="Arial"/>
          <w:szCs w:val="22"/>
        </w:rPr>
        <w:t>e</w:t>
      </w:r>
      <w:r w:rsidR="00F2044E" w:rsidRPr="002C08E1">
        <w:rPr>
          <w:rFonts w:cs="Arial"/>
          <w:szCs w:val="22"/>
        </w:rPr>
        <w:t xml:space="preserve"> unspent revenue balances that </w:t>
      </w:r>
      <w:r w:rsidR="008D5843">
        <w:rPr>
          <w:rFonts w:cs="Arial"/>
          <w:szCs w:val="22"/>
        </w:rPr>
        <w:t xml:space="preserve">services </w:t>
      </w:r>
      <w:r w:rsidR="00F2044E" w:rsidRPr="002C08E1">
        <w:rPr>
          <w:rFonts w:cs="Arial"/>
          <w:szCs w:val="22"/>
        </w:rPr>
        <w:t>are re</w:t>
      </w:r>
      <w:r w:rsidR="008D5843">
        <w:rPr>
          <w:rFonts w:cs="Arial"/>
          <w:szCs w:val="22"/>
        </w:rPr>
        <w:t>questing</w:t>
      </w:r>
      <w:r w:rsidR="00614D62" w:rsidRPr="002C08E1">
        <w:rPr>
          <w:rFonts w:cs="Arial"/>
          <w:szCs w:val="22"/>
        </w:rPr>
        <w:t xml:space="preserve"> </w:t>
      </w:r>
      <w:r w:rsidR="00F2044E" w:rsidRPr="002C08E1">
        <w:rPr>
          <w:rFonts w:cs="Arial"/>
          <w:szCs w:val="22"/>
        </w:rPr>
        <w:t xml:space="preserve">be carried forward to </w:t>
      </w:r>
      <w:r w:rsidR="002C08E1" w:rsidRPr="002C08E1">
        <w:rPr>
          <w:rFonts w:cs="Arial"/>
          <w:szCs w:val="22"/>
        </w:rPr>
        <w:t>2017/18</w:t>
      </w:r>
      <w:r w:rsidR="00F2044E" w:rsidRPr="002C08E1">
        <w:rPr>
          <w:rFonts w:cs="Arial"/>
          <w:szCs w:val="22"/>
        </w:rPr>
        <w:t>.</w:t>
      </w:r>
      <w:r w:rsidR="008D5843">
        <w:rPr>
          <w:rFonts w:cs="Arial"/>
          <w:szCs w:val="22"/>
        </w:rPr>
        <w:t xml:space="preserve">  These total </w:t>
      </w:r>
      <w:r w:rsidR="008D5843" w:rsidRPr="008D5843">
        <w:rPr>
          <w:rFonts w:cs="Arial"/>
          <w:b/>
          <w:szCs w:val="22"/>
        </w:rPr>
        <w:t>£0.289 million</w:t>
      </w:r>
      <w:r w:rsidR="008D5843">
        <w:rPr>
          <w:rFonts w:cs="Arial"/>
          <w:szCs w:val="22"/>
        </w:rPr>
        <w:t xml:space="preserve">.  This would leave a favourable balance of </w:t>
      </w:r>
      <w:r w:rsidR="008D5843" w:rsidRPr="008D5843">
        <w:rPr>
          <w:rFonts w:cs="Arial"/>
          <w:b/>
          <w:szCs w:val="22"/>
        </w:rPr>
        <w:t>£0.124 million</w:t>
      </w:r>
      <w:r w:rsidR="008D5843">
        <w:rPr>
          <w:rFonts w:cs="Arial"/>
          <w:szCs w:val="22"/>
        </w:rPr>
        <w:t xml:space="preserve"> that would be returned to reserves.</w:t>
      </w:r>
      <w:r w:rsidR="00F2044E" w:rsidRPr="002C08E1">
        <w:rPr>
          <w:rFonts w:cs="Arial"/>
          <w:szCs w:val="22"/>
        </w:rPr>
        <w:t xml:space="preserve"> </w:t>
      </w:r>
    </w:p>
    <w:p w:rsidR="00C74AF3" w:rsidRPr="001E0FF6" w:rsidRDefault="00C74AF3" w:rsidP="001E0FF6">
      <w:pPr>
        <w:keepNext/>
        <w:ind w:left="1267" w:hanging="1267"/>
        <w:rPr>
          <w:rFonts w:cs="Arial"/>
          <w:b/>
          <w:szCs w:val="22"/>
        </w:rPr>
      </w:pPr>
      <w:r>
        <w:rPr>
          <w:rFonts w:cs="Arial"/>
          <w:szCs w:val="22"/>
        </w:rPr>
        <w:tab/>
      </w:r>
    </w:p>
    <w:p w:rsidR="00BE7450" w:rsidRPr="002C08E1" w:rsidRDefault="00BE7450" w:rsidP="006E177E">
      <w:pPr>
        <w:ind w:left="1267" w:hanging="1267"/>
        <w:rPr>
          <w:b/>
          <w:i/>
        </w:rPr>
      </w:pPr>
      <w:r w:rsidRPr="007940B5">
        <w:rPr>
          <w:color w:val="4F81BD" w:themeColor="accent1"/>
        </w:rPr>
        <w:tab/>
      </w:r>
      <w:r w:rsidRPr="002C08E1">
        <w:rPr>
          <w:b/>
          <w:i/>
        </w:rPr>
        <w:t>Capital</w:t>
      </w:r>
    </w:p>
    <w:p w:rsidR="002B03E3" w:rsidRPr="002C08E1" w:rsidRDefault="002B03E3" w:rsidP="006E177E">
      <w:pPr>
        <w:ind w:left="1267" w:hanging="1267"/>
        <w:rPr>
          <w:b/>
          <w:i/>
        </w:rPr>
      </w:pPr>
    </w:p>
    <w:p w:rsidR="00BE7450" w:rsidRDefault="002C18DB" w:rsidP="006B1E3C">
      <w:pPr>
        <w:pStyle w:val="Heading3"/>
        <w:ind w:left="1260" w:hanging="1260"/>
      </w:pPr>
      <w:r w:rsidRPr="002C08E1">
        <w:t>2.</w:t>
      </w:r>
      <w:r w:rsidR="00074622">
        <w:t>6</w:t>
      </w:r>
      <w:r w:rsidR="002B03E3" w:rsidRPr="002C08E1">
        <w:rPr>
          <w:b/>
          <w:i/>
        </w:rPr>
        <w:tab/>
      </w:r>
      <w:r w:rsidR="002B03E3" w:rsidRPr="002C08E1">
        <w:t xml:space="preserve">The </w:t>
      </w:r>
      <w:r w:rsidR="00A11C53" w:rsidRPr="002C08E1">
        <w:t>l</w:t>
      </w:r>
      <w:r w:rsidR="002B03E3" w:rsidRPr="002C08E1">
        <w:t xml:space="preserve">atest </w:t>
      </w:r>
      <w:r w:rsidR="00A11C53" w:rsidRPr="002C08E1">
        <w:t>b</w:t>
      </w:r>
      <w:r w:rsidR="002B03E3" w:rsidRPr="002C08E1">
        <w:t>udget</w:t>
      </w:r>
      <w:r w:rsidR="005125C7">
        <w:t xml:space="preserve"> </w:t>
      </w:r>
      <w:r w:rsidR="007B21D3">
        <w:t>for the capital programme for 2016/17 was £</w:t>
      </w:r>
      <w:r w:rsidR="005125C7" w:rsidRPr="0003014A">
        <w:rPr>
          <w:b/>
        </w:rPr>
        <w:t>5.912 million</w:t>
      </w:r>
      <w:r w:rsidR="007B21D3">
        <w:t xml:space="preserve">, and was </w:t>
      </w:r>
      <w:r w:rsidR="002B03E3" w:rsidRPr="002C08E1">
        <w:t xml:space="preserve">approved </w:t>
      </w:r>
      <w:r w:rsidR="007B21D3">
        <w:t xml:space="preserve">by </w:t>
      </w:r>
      <w:r w:rsidR="002C08E1" w:rsidRPr="002C08E1">
        <w:t>this Committee on 20 March 2017</w:t>
      </w:r>
      <w:r w:rsidR="00D16472">
        <w:t>.</w:t>
      </w:r>
      <w:r w:rsidR="00D16472" w:rsidRPr="00D16472">
        <w:t xml:space="preserve"> </w:t>
      </w:r>
      <w:r w:rsidR="007B21D3">
        <w:t xml:space="preserve"> T</w:t>
      </w:r>
      <w:r w:rsidR="00D16472" w:rsidRPr="002C08E1">
        <w:t xml:space="preserve">he </w:t>
      </w:r>
      <w:r w:rsidR="00D16472">
        <w:t xml:space="preserve">actual spend </w:t>
      </w:r>
      <w:r w:rsidR="007B21D3">
        <w:t xml:space="preserve">at 31 March 2017 </w:t>
      </w:r>
      <w:r w:rsidR="00D16472">
        <w:t xml:space="preserve">on the capital programme was </w:t>
      </w:r>
      <w:r w:rsidR="00D16472" w:rsidRPr="00165D26">
        <w:rPr>
          <w:b/>
        </w:rPr>
        <w:t>£</w:t>
      </w:r>
      <w:r w:rsidR="00D16472">
        <w:rPr>
          <w:b/>
        </w:rPr>
        <w:t>3</w:t>
      </w:r>
      <w:r w:rsidR="00D16472" w:rsidRPr="00165D26">
        <w:rPr>
          <w:b/>
        </w:rPr>
        <w:t>.</w:t>
      </w:r>
      <w:r w:rsidR="001A3E2E">
        <w:rPr>
          <w:b/>
        </w:rPr>
        <w:t>918</w:t>
      </w:r>
      <w:r w:rsidR="00D16472" w:rsidRPr="00165D26">
        <w:rPr>
          <w:b/>
        </w:rPr>
        <w:t xml:space="preserve"> million </w:t>
      </w:r>
      <w:r w:rsidR="00D16472" w:rsidRPr="00165D26">
        <w:t xml:space="preserve">which represents </w:t>
      </w:r>
      <w:r w:rsidR="00D16472">
        <w:t>a variance</w:t>
      </w:r>
      <w:r w:rsidR="00D16472" w:rsidRPr="00165D26">
        <w:t xml:space="preserve"> of </w:t>
      </w:r>
      <w:r w:rsidR="00D16472" w:rsidRPr="00165D26">
        <w:rPr>
          <w:b/>
        </w:rPr>
        <w:t>£</w:t>
      </w:r>
      <w:r w:rsidR="001A3E2E">
        <w:rPr>
          <w:b/>
        </w:rPr>
        <w:t>1</w:t>
      </w:r>
      <w:r w:rsidR="00D16472">
        <w:rPr>
          <w:b/>
        </w:rPr>
        <w:t>.</w:t>
      </w:r>
      <w:r w:rsidR="001A3E2E">
        <w:rPr>
          <w:b/>
        </w:rPr>
        <w:t>994</w:t>
      </w:r>
      <w:r w:rsidR="00076B75">
        <w:rPr>
          <w:b/>
        </w:rPr>
        <w:t xml:space="preserve"> </w:t>
      </w:r>
      <w:r w:rsidR="00D16472" w:rsidRPr="00165D26">
        <w:rPr>
          <w:b/>
        </w:rPr>
        <w:t>million</w:t>
      </w:r>
      <w:r w:rsidR="00D16472" w:rsidRPr="00165D26">
        <w:t xml:space="preserve">.  </w:t>
      </w:r>
    </w:p>
    <w:p w:rsidR="002C08E1" w:rsidRPr="002C08E1" w:rsidRDefault="002C08E1" w:rsidP="002C08E1"/>
    <w:p w:rsidR="0093028D" w:rsidRDefault="00BE7450" w:rsidP="00BE7450">
      <w:pPr>
        <w:ind w:left="1260" w:hanging="1260"/>
        <w:rPr>
          <w:rFonts w:cs="Arial"/>
          <w:szCs w:val="22"/>
        </w:rPr>
      </w:pPr>
      <w:r w:rsidRPr="002C08E1">
        <w:t>2.</w:t>
      </w:r>
      <w:r w:rsidR="00074622">
        <w:t>7</w:t>
      </w:r>
      <w:r w:rsidR="006E177E" w:rsidRPr="007940B5">
        <w:rPr>
          <w:color w:val="4F81BD" w:themeColor="accent1"/>
        </w:rPr>
        <w:tab/>
      </w:r>
      <w:r w:rsidR="00A23278" w:rsidRPr="00165D26">
        <w:rPr>
          <w:rFonts w:cs="Arial"/>
          <w:b/>
          <w:szCs w:val="22"/>
        </w:rPr>
        <w:t>Appendix</w:t>
      </w:r>
      <w:r w:rsidR="00471E11" w:rsidRPr="00165D26">
        <w:rPr>
          <w:rFonts w:cs="Arial"/>
          <w:b/>
          <w:szCs w:val="22"/>
        </w:rPr>
        <w:t xml:space="preserve"> </w:t>
      </w:r>
      <w:r w:rsidR="00F176CA" w:rsidRPr="00165D26">
        <w:rPr>
          <w:rFonts w:cs="Arial"/>
          <w:b/>
          <w:szCs w:val="22"/>
        </w:rPr>
        <w:t>3</w:t>
      </w:r>
      <w:r w:rsidR="00A23278" w:rsidRPr="007940B5">
        <w:rPr>
          <w:rFonts w:cs="Arial"/>
          <w:b/>
          <w:color w:val="4F81BD" w:themeColor="accent1"/>
          <w:szCs w:val="22"/>
        </w:rPr>
        <w:t xml:space="preserve"> </w:t>
      </w:r>
      <w:r w:rsidR="00A23278" w:rsidRPr="002C08E1">
        <w:rPr>
          <w:rFonts w:cs="Arial"/>
          <w:szCs w:val="22"/>
        </w:rPr>
        <w:t>shows the</w:t>
      </w:r>
      <w:r w:rsidR="006E177E" w:rsidRPr="002C08E1">
        <w:fldChar w:fldCharType="begin"/>
      </w:r>
      <w:r w:rsidR="006E177E" w:rsidRPr="002C08E1">
        <w:instrText xml:space="preserve">  </w:instrText>
      </w:r>
      <w:r w:rsidR="006E177E" w:rsidRPr="002C08E1">
        <w:fldChar w:fldCharType="end"/>
      </w:r>
      <w:r w:rsidRPr="002C08E1">
        <w:rPr>
          <w:rFonts w:cs="Arial"/>
          <w:szCs w:val="22"/>
        </w:rPr>
        <w:t xml:space="preserve"> analysis of the </w:t>
      </w:r>
      <w:r w:rsidR="002C08E1" w:rsidRPr="002C08E1">
        <w:rPr>
          <w:rFonts w:cs="Arial"/>
          <w:szCs w:val="22"/>
        </w:rPr>
        <w:t xml:space="preserve">capital programme </w:t>
      </w:r>
      <w:r w:rsidR="0095619D" w:rsidRPr="002C08E1">
        <w:rPr>
          <w:rFonts w:cs="Arial"/>
          <w:szCs w:val="22"/>
        </w:rPr>
        <w:t xml:space="preserve">outturn </w:t>
      </w:r>
      <w:r w:rsidR="0093028D" w:rsidRPr="002C08E1">
        <w:rPr>
          <w:rFonts w:cs="Arial"/>
          <w:szCs w:val="22"/>
        </w:rPr>
        <w:t>position</w:t>
      </w:r>
      <w:r w:rsidR="001A7F09">
        <w:rPr>
          <w:rFonts w:cs="Arial"/>
          <w:szCs w:val="22"/>
        </w:rPr>
        <w:t xml:space="preserve"> by Committee </w:t>
      </w:r>
      <w:r w:rsidR="0095619D" w:rsidRPr="002C08E1">
        <w:rPr>
          <w:rFonts w:cs="Arial"/>
          <w:szCs w:val="22"/>
        </w:rPr>
        <w:t>and</w:t>
      </w:r>
      <w:r w:rsidR="00877DA6" w:rsidRPr="002C08E1">
        <w:rPr>
          <w:rFonts w:cs="Arial"/>
          <w:szCs w:val="22"/>
        </w:rPr>
        <w:t xml:space="preserve"> separately </w:t>
      </w:r>
      <w:r w:rsidR="002C08E1" w:rsidRPr="002C08E1">
        <w:rPr>
          <w:rFonts w:cs="Arial"/>
          <w:szCs w:val="22"/>
        </w:rPr>
        <w:t>identifies</w:t>
      </w:r>
      <w:r w:rsidR="00877DA6" w:rsidRPr="002C08E1">
        <w:rPr>
          <w:rFonts w:cs="Arial"/>
          <w:szCs w:val="22"/>
        </w:rPr>
        <w:t xml:space="preserve"> the </w:t>
      </w:r>
      <w:r w:rsidR="007B21D3">
        <w:rPr>
          <w:rFonts w:cs="Arial"/>
          <w:szCs w:val="22"/>
        </w:rPr>
        <w:t xml:space="preserve">main </w:t>
      </w:r>
      <w:r w:rsidR="00877DA6" w:rsidRPr="002C08E1">
        <w:rPr>
          <w:rFonts w:cs="Arial"/>
          <w:szCs w:val="22"/>
        </w:rPr>
        <w:t>South Oxhey Initiative (SOI) project</w:t>
      </w:r>
      <w:r w:rsidR="0093028D" w:rsidRPr="002C08E1">
        <w:rPr>
          <w:rFonts w:cs="Arial"/>
          <w:szCs w:val="22"/>
        </w:rPr>
        <w:t xml:space="preserve"> over the medium term</w:t>
      </w:r>
      <w:r w:rsidR="00A23278" w:rsidRPr="002C08E1">
        <w:rPr>
          <w:rFonts w:cs="Arial"/>
          <w:szCs w:val="22"/>
        </w:rPr>
        <w:t>.</w:t>
      </w:r>
      <w:r w:rsidRPr="002C08E1">
        <w:rPr>
          <w:rFonts w:cs="Arial"/>
          <w:szCs w:val="22"/>
        </w:rPr>
        <w:t xml:space="preserve"> </w:t>
      </w:r>
      <w:r w:rsidR="001E0FF6">
        <w:rPr>
          <w:rFonts w:cs="Arial"/>
          <w:szCs w:val="22"/>
        </w:rPr>
        <w:t xml:space="preserve"> </w:t>
      </w:r>
      <w:r w:rsidR="00877DA6" w:rsidRPr="002C08E1">
        <w:rPr>
          <w:rFonts w:cs="Arial"/>
          <w:szCs w:val="22"/>
        </w:rPr>
        <w:t>Excluding the SOI, t</w:t>
      </w:r>
      <w:r w:rsidRPr="002C08E1">
        <w:rPr>
          <w:rFonts w:cs="Arial"/>
          <w:szCs w:val="22"/>
        </w:rPr>
        <w:t>he</w:t>
      </w:r>
      <w:r w:rsidR="005125C7" w:rsidRPr="005125C7">
        <w:rPr>
          <w:rFonts w:cs="Arial"/>
          <w:szCs w:val="22"/>
        </w:rPr>
        <w:t xml:space="preserve"> variance of </w:t>
      </w:r>
      <w:r w:rsidR="00877DA6" w:rsidRPr="00165D26">
        <w:rPr>
          <w:rFonts w:cs="Arial"/>
          <w:b/>
          <w:szCs w:val="22"/>
        </w:rPr>
        <w:t>£</w:t>
      </w:r>
      <w:r w:rsidR="001A3E2E">
        <w:rPr>
          <w:rFonts w:cs="Arial"/>
          <w:b/>
          <w:szCs w:val="22"/>
        </w:rPr>
        <w:t>1</w:t>
      </w:r>
      <w:r w:rsidR="00877DA6" w:rsidRPr="00165D26">
        <w:rPr>
          <w:rFonts w:cs="Arial"/>
          <w:b/>
          <w:szCs w:val="22"/>
        </w:rPr>
        <w:t>.</w:t>
      </w:r>
      <w:r w:rsidR="001A3E2E">
        <w:rPr>
          <w:rFonts w:cs="Arial"/>
          <w:b/>
          <w:szCs w:val="22"/>
        </w:rPr>
        <w:t>994</w:t>
      </w:r>
      <w:r w:rsidR="005125C7" w:rsidRPr="00165D26">
        <w:rPr>
          <w:rFonts w:cs="Arial"/>
          <w:b/>
          <w:szCs w:val="22"/>
        </w:rPr>
        <w:t xml:space="preserve"> million</w:t>
      </w:r>
      <w:r w:rsidR="005125C7" w:rsidRPr="00165D26">
        <w:rPr>
          <w:rFonts w:cs="Arial"/>
          <w:szCs w:val="22"/>
        </w:rPr>
        <w:t xml:space="preserve"> </w:t>
      </w:r>
      <w:r w:rsidR="00957054" w:rsidRPr="00165D26">
        <w:rPr>
          <w:rFonts w:cs="Arial"/>
          <w:szCs w:val="22"/>
        </w:rPr>
        <w:t>can be analysed as</w:t>
      </w:r>
      <w:r w:rsidR="0093028D" w:rsidRPr="00165D26">
        <w:rPr>
          <w:rFonts w:cs="Arial"/>
          <w:szCs w:val="22"/>
        </w:rPr>
        <w:t>:</w:t>
      </w:r>
    </w:p>
    <w:p w:rsidR="0093028D" w:rsidRPr="00165D26" w:rsidRDefault="00957054" w:rsidP="0093028D">
      <w:pPr>
        <w:numPr>
          <w:ilvl w:val="0"/>
          <w:numId w:val="31"/>
        </w:numPr>
        <w:rPr>
          <w:rFonts w:cs="Arial"/>
          <w:szCs w:val="22"/>
        </w:rPr>
      </w:pPr>
      <w:r w:rsidRPr="00165D26">
        <w:rPr>
          <w:rFonts w:cs="Arial"/>
          <w:szCs w:val="22"/>
        </w:rPr>
        <w:t>£</w:t>
      </w:r>
      <w:r w:rsidR="001A3E2E">
        <w:rPr>
          <w:rFonts w:cs="Arial"/>
          <w:szCs w:val="22"/>
        </w:rPr>
        <w:t>1.986</w:t>
      </w:r>
      <w:r w:rsidR="005125C7" w:rsidRPr="00165D26">
        <w:rPr>
          <w:rFonts w:cs="Arial"/>
          <w:szCs w:val="22"/>
        </w:rPr>
        <w:t xml:space="preserve"> </w:t>
      </w:r>
      <w:r w:rsidR="00353073" w:rsidRPr="00165D26">
        <w:rPr>
          <w:rFonts w:cs="Arial"/>
          <w:szCs w:val="22"/>
        </w:rPr>
        <w:t>million</w:t>
      </w:r>
      <w:r w:rsidRPr="00165D26">
        <w:rPr>
          <w:rFonts w:cs="Arial"/>
          <w:szCs w:val="22"/>
        </w:rPr>
        <w:t xml:space="preserve"> </w:t>
      </w:r>
      <w:r w:rsidR="0093028D" w:rsidRPr="00165D26">
        <w:rPr>
          <w:rFonts w:cs="Arial"/>
          <w:szCs w:val="22"/>
        </w:rPr>
        <w:t xml:space="preserve">that needs to be </w:t>
      </w:r>
      <w:r w:rsidRPr="00165D26">
        <w:rPr>
          <w:rFonts w:cs="Arial"/>
          <w:szCs w:val="22"/>
        </w:rPr>
        <w:t xml:space="preserve">rephased to </w:t>
      </w:r>
      <w:r w:rsidR="002C08E1" w:rsidRPr="00165D26">
        <w:rPr>
          <w:rFonts w:cs="Arial"/>
          <w:szCs w:val="22"/>
        </w:rPr>
        <w:t>2017/18</w:t>
      </w:r>
      <w:r w:rsidR="0093028D" w:rsidRPr="00165D26">
        <w:rPr>
          <w:rFonts w:cs="Arial"/>
          <w:szCs w:val="22"/>
        </w:rPr>
        <w:t xml:space="preserve"> in order to complete outstanding projects.</w:t>
      </w:r>
    </w:p>
    <w:p w:rsidR="0093028D" w:rsidRPr="00165D26" w:rsidRDefault="00957054" w:rsidP="0093028D">
      <w:pPr>
        <w:numPr>
          <w:ilvl w:val="0"/>
          <w:numId w:val="31"/>
        </w:numPr>
        <w:rPr>
          <w:rFonts w:cs="Arial"/>
          <w:szCs w:val="22"/>
        </w:rPr>
      </w:pPr>
      <w:r w:rsidRPr="00165D26">
        <w:rPr>
          <w:rFonts w:cs="Arial"/>
          <w:szCs w:val="22"/>
        </w:rPr>
        <w:t>£</w:t>
      </w:r>
      <w:r w:rsidR="00353073" w:rsidRPr="00165D26">
        <w:rPr>
          <w:rFonts w:cs="Arial"/>
          <w:szCs w:val="22"/>
        </w:rPr>
        <w:t>0.</w:t>
      </w:r>
      <w:r w:rsidR="0093028D" w:rsidRPr="00165D26">
        <w:rPr>
          <w:rFonts w:cs="Arial"/>
          <w:szCs w:val="22"/>
        </w:rPr>
        <w:t>1</w:t>
      </w:r>
      <w:r w:rsidR="00353073" w:rsidRPr="00165D26">
        <w:rPr>
          <w:rFonts w:cs="Arial"/>
          <w:szCs w:val="22"/>
        </w:rPr>
        <w:t>06 million</w:t>
      </w:r>
      <w:r w:rsidRPr="00165D26">
        <w:rPr>
          <w:rFonts w:cs="Arial"/>
          <w:szCs w:val="22"/>
        </w:rPr>
        <w:t xml:space="preserve"> in </w:t>
      </w:r>
      <w:r w:rsidR="00F751D9" w:rsidRPr="00165D26">
        <w:rPr>
          <w:rFonts w:cs="Arial"/>
          <w:szCs w:val="22"/>
        </w:rPr>
        <w:t>over</w:t>
      </w:r>
      <w:r w:rsidRPr="00165D26">
        <w:rPr>
          <w:rFonts w:cs="Arial"/>
          <w:szCs w:val="22"/>
        </w:rPr>
        <w:t>spends</w:t>
      </w:r>
      <w:r w:rsidR="002C08E1" w:rsidRPr="00165D26">
        <w:rPr>
          <w:rFonts w:cs="Arial"/>
          <w:szCs w:val="22"/>
        </w:rPr>
        <w:t>.</w:t>
      </w:r>
    </w:p>
    <w:p w:rsidR="00BE7450" w:rsidRPr="00165D26" w:rsidRDefault="00C70449" w:rsidP="0093028D">
      <w:pPr>
        <w:numPr>
          <w:ilvl w:val="0"/>
          <w:numId w:val="31"/>
        </w:numPr>
        <w:rPr>
          <w:rFonts w:cs="Arial"/>
          <w:szCs w:val="22"/>
        </w:rPr>
      </w:pPr>
      <w:r w:rsidRPr="00165D26">
        <w:rPr>
          <w:rFonts w:cs="Arial"/>
          <w:szCs w:val="22"/>
        </w:rPr>
        <w:t>£</w:t>
      </w:r>
      <w:r w:rsidR="00353073" w:rsidRPr="00165D26">
        <w:rPr>
          <w:rFonts w:cs="Arial"/>
          <w:szCs w:val="22"/>
        </w:rPr>
        <w:t>0.</w:t>
      </w:r>
      <w:r w:rsidR="00A44AF1">
        <w:rPr>
          <w:rFonts w:cs="Arial"/>
          <w:szCs w:val="22"/>
        </w:rPr>
        <w:t>114</w:t>
      </w:r>
      <w:r w:rsidR="00353073" w:rsidRPr="00165D26">
        <w:rPr>
          <w:rFonts w:cs="Arial"/>
          <w:szCs w:val="22"/>
        </w:rPr>
        <w:t xml:space="preserve"> million</w:t>
      </w:r>
      <w:r w:rsidRPr="00165D26">
        <w:rPr>
          <w:rFonts w:cs="Arial"/>
          <w:szCs w:val="22"/>
        </w:rPr>
        <w:t xml:space="preserve"> in underspends</w:t>
      </w:r>
      <w:r w:rsidR="00957054" w:rsidRPr="00165D26">
        <w:rPr>
          <w:rFonts w:cs="Arial"/>
          <w:szCs w:val="22"/>
        </w:rPr>
        <w:t>.</w:t>
      </w:r>
      <w:r w:rsidR="00BE7450" w:rsidRPr="00165D26">
        <w:rPr>
          <w:rFonts w:cs="Arial"/>
          <w:szCs w:val="22"/>
        </w:rPr>
        <w:t xml:space="preserve"> </w:t>
      </w:r>
    </w:p>
    <w:p w:rsidR="006E177E" w:rsidRPr="00165D26" w:rsidRDefault="006E177E" w:rsidP="006E177E">
      <w:pPr>
        <w:ind w:left="1267" w:hanging="1267"/>
        <w:jc w:val="left"/>
        <w:rPr>
          <w:highlight w:val="yellow"/>
        </w:rPr>
      </w:pPr>
    </w:p>
    <w:p w:rsidR="004E31E6" w:rsidRDefault="002C18DB" w:rsidP="00885E9C">
      <w:pPr>
        <w:tabs>
          <w:tab w:val="clear" w:pos="1260"/>
          <w:tab w:val="left" w:pos="1276"/>
        </w:tabs>
        <w:ind w:left="1260" w:hanging="1260"/>
        <w:rPr>
          <w:szCs w:val="22"/>
        </w:rPr>
      </w:pPr>
      <w:r w:rsidRPr="002C08E1">
        <w:rPr>
          <w:szCs w:val="22"/>
        </w:rPr>
        <w:t>2.</w:t>
      </w:r>
      <w:r w:rsidR="00074622">
        <w:rPr>
          <w:szCs w:val="22"/>
        </w:rPr>
        <w:t>8</w:t>
      </w:r>
      <w:r w:rsidR="002C7C45">
        <w:rPr>
          <w:szCs w:val="22"/>
        </w:rPr>
        <w:tab/>
        <w:t xml:space="preserve">A full list of those projects requesting re-phasing with rationales is at </w:t>
      </w:r>
      <w:r w:rsidR="002C7C45" w:rsidRPr="009E2688">
        <w:rPr>
          <w:b/>
          <w:szCs w:val="22"/>
        </w:rPr>
        <w:t xml:space="preserve">Appendix </w:t>
      </w:r>
      <w:r w:rsidR="00165D26" w:rsidRPr="009E2688">
        <w:rPr>
          <w:b/>
          <w:szCs w:val="22"/>
        </w:rPr>
        <w:t>4</w:t>
      </w:r>
      <w:r w:rsidR="002C7C45">
        <w:rPr>
          <w:szCs w:val="22"/>
        </w:rPr>
        <w:t xml:space="preserve"> totalling </w:t>
      </w:r>
      <w:r w:rsidR="00353073">
        <w:rPr>
          <w:szCs w:val="22"/>
        </w:rPr>
        <w:t>£</w:t>
      </w:r>
      <w:r w:rsidR="001A3E2E">
        <w:rPr>
          <w:szCs w:val="22"/>
        </w:rPr>
        <w:t>1</w:t>
      </w:r>
      <w:r w:rsidR="00353073">
        <w:rPr>
          <w:szCs w:val="22"/>
        </w:rPr>
        <w:t>.</w:t>
      </w:r>
      <w:r w:rsidR="001A3E2E">
        <w:rPr>
          <w:szCs w:val="22"/>
        </w:rPr>
        <w:t>986</w:t>
      </w:r>
      <w:r w:rsidR="005513BF">
        <w:rPr>
          <w:szCs w:val="22"/>
        </w:rPr>
        <w:t xml:space="preserve"> </w:t>
      </w:r>
      <w:r w:rsidR="00353073">
        <w:rPr>
          <w:szCs w:val="22"/>
        </w:rPr>
        <w:t>million</w:t>
      </w:r>
      <w:r w:rsidR="002C7C45">
        <w:rPr>
          <w:szCs w:val="22"/>
        </w:rPr>
        <w:t xml:space="preserve"> which is required to allow the schemes to complete in 2017/18.  Some of the more significant </w:t>
      </w:r>
      <w:r w:rsidR="0003014A">
        <w:rPr>
          <w:szCs w:val="22"/>
        </w:rPr>
        <w:t>projects</w:t>
      </w:r>
      <w:r w:rsidR="002C7C45">
        <w:rPr>
          <w:szCs w:val="22"/>
        </w:rPr>
        <w:t xml:space="preserve"> are shown below.</w:t>
      </w:r>
    </w:p>
    <w:p w:rsidR="00353073" w:rsidRDefault="002B03E3" w:rsidP="002B03E3">
      <w:pPr>
        <w:ind w:left="1260" w:hanging="1260"/>
        <w:rPr>
          <w:sz w:val="20"/>
        </w:rPr>
      </w:pPr>
      <w:r w:rsidRPr="002C08E1">
        <w:rPr>
          <w:sz w:val="20"/>
        </w:rPr>
        <w:tab/>
      </w:r>
      <w:r w:rsidR="00353073">
        <w:rPr>
          <w:sz w:val="20"/>
        </w:rPr>
        <w:tab/>
      </w:r>
    </w:p>
    <w:tbl>
      <w:tblPr>
        <w:tblW w:w="8505" w:type="dxa"/>
        <w:tblInd w:w="1384" w:type="dxa"/>
        <w:tblLook w:val="04A0" w:firstRow="1" w:lastRow="0" w:firstColumn="1" w:lastColumn="0" w:noHBand="0" w:noVBand="1"/>
      </w:tblPr>
      <w:tblGrid>
        <w:gridCol w:w="3402"/>
        <w:gridCol w:w="1479"/>
        <w:gridCol w:w="3624"/>
      </w:tblGrid>
      <w:tr w:rsidR="002C7C45" w:rsidRPr="00546D84" w:rsidTr="00C575CD">
        <w:trPr>
          <w:trHeight w:val="360"/>
        </w:trPr>
        <w:tc>
          <w:tcPr>
            <w:tcW w:w="3402" w:type="dxa"/>
            <w:tcBorders>
              <w:top w:val="nil"/>
              <w:left w:val="nil"/>
              <w:bottom w:val="nil"/>
              <w:right w:val="nil"/>
            </w:tcBorders>
            <w:shd w:val="clear" w:color="auto" w:fill="F2F2F2" w:themeFill="background1" w:themeFillShade="F2"/>
            <w:vAlign w:val="center"/>
          </w:tcPr>
          <w:p w:rsidR="002C7C45" w:rsidRPr="00A82462" w:rsidRDefault="002C7C45" w:rsidP="00885E9C">
            <w:pPr>
              <w:tabs>
                <w:tab w:val="clear" w:pos="1260"/>
                <w:tab w:val="clear" w:pos="1980"/>
                <w:tab w:val="clear" w:pos="2700"/>
                <w:tab w:val="clear" w:pos="3420"/>
              </w:tabs>
              <w:jc w:val="left"/>
              <w:rPr>
                <w:rFonts w:cs="Arial"/>
                <w:b/>
                <w:color w:val="000000"/>
                <w:szCs w:val="22"/>
                <w:u w:val="single"/>
              </w:rPr>
            </w:pPr>
            <w:r w:rsidRPr="00A82462">
              <w:rPr>
                <w:rFonts w:cs="Arial"/>
                <w:b/>
                <w:color w:val="000000"/>
                <w:szCs w:val="22"/>
                <w:u w:val="single"/>
              </w:rPr>
              <w:t>Scheme</w:t>
            </w:r>
          </w:p>
        </w:tc>
        <w:tc>
          <w:tcPr>
            <w:tcW w:w="1479" w:type="dxa"/>
            <w:tcBorders>
              <w:top w:val="nil"/>
              <w:left w:val="nil"/>
              <w:bottom w:val="nil"/>
              <w:right w:val="nil"/>
            </w:tcBorders>
            <w:shd w:val="clear" w:color="auto" w:fill="F2F2F2" w:themeFill="background1" w:themeFillShade="F2"/>
            <w:noWrap/>
            <w:vAlign w:val="center"/>
          </w:tcPr>
          <w:p w:rsidR="002C7C45" w:rsidRPr="00A82462" w:rsidRDefault="002C7C45" w:rsidP="00885E9C">
            <w:pPr>
              <w:tabs>
                <w:tab w:val="clear" w:pos="1260"/>
                <w:tab w:val="clear" w:pos="1980"/>
                <w:tab w:val="clear" w:pos="2700"/>
                <w:tab w:val="clear" w:pos="3420"/>
              </w:tabs>
              <w:jc w:val="center"/>
              <w:rPr>
                <w:rFonts w:cs="Arial"/>
                <w:b/>
                <w:szCs w:val="22"/>
                <w:u w:val="single"/>
              </w:rPr>
            </w:pPr>
            <w:r w:rsidRPr="00A82462">
              <w:rPr>
                <w:rFonts w:cs="Arial"/>
                <w:b/>
                <w:szCs w:val="22"/>
                <w:u w:val="single"/>
              </w:rPr>
              <w:t>£</w:t>
            </w:r>
          </w:p>
        </w:tc>
        <w:tc>
          <w:tcPr>
            <w:tcW w:w="3624" w:type="dxa"/>
            <w:tcBorders>
              <w:top w:val="nil"/>
              <w:left w:val="nil"/>
              <w:bottom w:val="nil"/>
              <w:right w:val="nil"/>
            </w:tcBorders>
            <w:shd w:val="clear" w:color="auto" w:fill="F2F2F2" w:themeFill="background1" w:themeFillShade="F2"/>
            <w:vAlign w:val="center"/>
          </w:tcPr>
          <w:p w:rsidR="002C7C45" w:rsidRPr="00A82462" w:rsidRDefault="009E2688" w:rsidP="00885E9C">
            <w:pPr>
              <w:tabs>
                <w:tab w:val="clear" w:pos="1260"/>
                <w:tab w:val="clear" w:pos="1980"/>
                <w:tab w:val="clear" w:pos="2700"/>
                <w:tab w:val="clear" w:pos="3420"/>
              </w:tabs>
              <w:jc w:val="left"/>
              <w:rPr>
                <w:rFonts w:cs="Arial"/>
                <w:b/>
                <w:szCs w:val="22"/>
                <w:u w:val="single"/>
              </w:rPr>
            </w:pPr>
            <w:r w:rsidRPr="00A82462">
              <w:rPr>
                <w:rFonts w:cs="Arial"/>
                <w:b/>
                <w:szCs w:val="22"/>
                <w:u w:val="single"/>
              </w:rPr>
              <w:t>Reason for rephasing</w:t>
            </w:r>
          </w:p>
        </w:tc>
      </w:tr>
      <w:tr w:rsidR="002C7C45" w:rsidRPr="00546D84" w:rsidTr="00C575CD">
        <w:trPr>
          <w:trHeight w:val="745"/>
        </w:trPr>
        <w:tc>
          <w:tcPr>
            <w:tcW w:w="3402" w:type="dxa"/>
            <w:tcBorders>
              <w:top w:val="nil"/>
              <w:left w:val="nil"/>
              <w:bottom w:val="nil"/>
              <w:right w:val="nil"/>
            </w:tcBorders>
            <w:shd w:val="clear" w:color="auto" w:fill="auto"/>
            <w:vAlign w:val="center"/>
            <w:hideMark/>
          </w:tcPr>
          <w:p w:rsidR="002C7C45" w:rsidRPr="00546D84" w:rsidRDefault="002C7C45" w:rsidP="00885E9C">
            <w:pPr>
              <w:tabs>
                <w:tab w:val="clear" w:pos="1260"/>
                <w:tab w:val="clear" w:pos="1980"/>
                <w:tab w:val="clear" w:pos="2700"/>
                <w:tab w:val="clear" w:pos="3420"/>
              </w:tabs>
              <w:jc w:val="left"/>
              <w:rPr>
                <w:rFonts w:cs="Arial"/>
                <w:color w:val="000000"/>
                <w:szCs w:val="22"/>
              </w:rPr>
            </w:pPr>
            <w:r w:rsidRPr="00546D84">
              <w:rPr>
                <w:rFonts w:cs="Arial"/>
                <w:color w:val="000000"/>
                <w:szCs w:val="22"/>
              </w:rPr>
              <w:t>Leisure Centre</w:t>
            </w:r>
            <w:r>
              <w:rPr>
                <w:rFonts w:cs="Arial"/>
                <w:color w:val="000000"/>
                <w:szCs w:val="22"/>
              </w:rPr>
              <w:t xml:space="preserve"> </w:t>
            </w:r>
            <w:r w:rsidR="007B21D3">
              <w:rPr>
                <w:rFonts w:cs="Arial"/>
                <w:color w:val="000000"/>
                <w:szCs w:val="22"/>
              </w:rPr>
              <w:t>(</w:t>
            </w:r>
            <w:r w:rsidR="007B21D3" w:rsidRPr="00546D84">
              <w:rPr>
                <w:rFonts w:cs="Arial"/>
                <w:color w:val="000000"/>
                <w:szCs w:val="22"/>
              </w:rPr>
              <w:t>South Oxhey</w:t>
            </w:r>
            <w:r w:rsidR="007B21D3">
              <w:rPr>
                <w:rFonts w:cs="Arial"/>
                <w:color w:val="000000"/>
                <w:szCs w:val="22"/>
              </w:rPr>
              <w:t>)</w:t>
            </w:r>
          </w:p>
        </w:tc>
        <w:tc>
          <w:tcPr>
            <w:tcW w:w="1479" w:type="dxa"/>
            <w:tcBorders>
              <w:top w:val="nil"/>
              <w:left w:val="nil"/>
              <w:bottom w:val="nil"/>
              <w:right w:val="nil"/>
            </w:tcBorders>
            <w:shd w:val="clear" w:color="auto" w:fill="auto"/>
            <w:noWrap/>
            <w:vAlign w:val="center"/>
            <w:hideMark/>
          </w:tcPr>
          <w:p w:rsidR="002C7C45" w:rsidRPr="00546D84" w:rsidRDefault="002C7C45" w:rsidP="00885E9C">
            <w:pPr>
              <w:tabs>
                <w:tab w:val="clear" w:pos="1260"/>
                <w:tab w:val="clear" w:pos="1980"/>
                <w:tab w:val="clear" w:pos="2700"/>
                <w:tab w:val="clear" w:pos="3420"/>
              </w:tabs>
              <w:jc w:val="right"/>
              <w:rPr>
                <w:rFonts w:cs="Arial"/>
                <w:szCs w:val="22"/>
              </w:rPr>
            </w:pPr>
            <w:r w:rsidRPr="00546D84">
              <w:rPr>
                <w:rFonts w:cs="Arial"/>
                <w:szCs w:val="22"/>
              </w:rPr>
              <w:t>37,850</w:t>
            </w:r>
          </w:p>
        </w:tc>
        <w:tc>
          <w:tcPr>
            <w:tcW w:w="3624" w:type="dxa"/>
            <w:tcBorders>
              <w:top w:val="nil"/>
              <w:left w:val="nil"/>
              <w:bottom w:val="nil"/>
              <w:right w:val="nil"/>
            </w:tcBorders>
            <w:vAlign w:val="center"/>
          </w:tcPr>
          <w:p w:rsidR="002C7C45" w:rsidRPr="00546D84" w:rsidRDefault="002C7C45" w:rsidP="00885E9C">
            <w:pPr>
              <w:tabs>
                <w:tab w:val="clear" w:pos="1260"/>
                <w:tab w:val="clear" w:pos="1980"/>
                <w:tab w:val="clear" w:pos="2700"/>
                <w:tab w:val="clear" w:pos="3420"/>
              </w:tabs>
              <w:jc w:val="left"/>
              <w:rPr>
                <w:rFonts w:cs="Arial"/>
                <w:szCs w:val="22"/>
              </w:rPr>
            </w:pPr>
            <w:r>
              <w:rPr>
                <w:rFonts w:cs="Arial"/>
                <w:szCs w:val="22"/>
              </w:rPr>
              <w:t>Part of new leisure facilities management contract tender</w:t>
            </w:r>
          </w:p>
        </w:tc>
      </w:tr>
      <w:tr w:rsidR="002C7C45" w:rsidRPr="00546D84" w:rsidTr="00C575CD">
        <w:trPr>
          <w:trHeight w:val="360"/>
        </w:trPr>
        <w:tc>
          <w:tcPr>
            <w:tcW w:w="3402" w:type="dxa"/>
            <w:tcBorders>
              <w:top w:val="nil"/>
              <w:left w:val="nil"/>
              <w:bottom w:val="nil"/>
              <w:right w:val="nil"/>
            </w:tcBorders>
            <w:shd w:val="clear" w:color="auto" w:fill="auto"/>
            <w:vAlign w:val="center"/>
            <w:hideMark/>
          </w:tcPr>
          <w:p w:rsidR="002C7C45" w:rsidRPr="00546D84" w:rsidRDefault="002C7C45" w:rsidP="00885E9C">
            <w:pPr>
              <w:tabs>
                <w:tab w:val="clear" w:pos="1260"/>
                <w:tab w:val="clear" w:pos="1980"/>
                <w:tab w:val="clear" w:pos="2700"/>
                <w:tab w:val="clear" w:pos="3420"/>
              </w:tabs>
              <w:jc w:val="left"/>
              <w:rPr>
                <w:rFonts w:cs="Arial"/>
                <w:color w:val="000000"/>
                <w:szCs w:val="22"/>
              </w:rPr>
            </w:pPr>
            <w:r w:rsidRPr="00546D84">
              <w:rPr>
                <w:rFonts w:cs="Arial"/>
                <w:color w:val="000000"/>
                <w:szCs w:val="22"/>
              </w:rPr>
              <w:t>Replacement</w:t>
            </w:r>
            <w:r>
              <w:rPr>
                <w:rFonts w:cs="Arial"/>
                <w:color w:val="000000"/>
                <w:szCs w:val="22"/>
              </w:rPr>
              <w:t xml:space="preserve"> of vehicles</w:t>
            </w:r>
            <w:r w:rsidRPr="00546D84">
              <w:rPr>
                <w:rFonts w:cs="Arial"/>
                <w:color w:val="000000"/>
                <w:szCs w:val="22"/>
              </w:rPr>
              <w:t xml:space="preserve"> </w:t>
            </w:r>
          </w:p>
        </w:tc>
        <w:tc>
          <w:tcPr>
            <w:tcW w:w="1479" w:type="dxa"/>
            <w:tcBorders>
              <w:top w:val="nil"/>
              <w:left w:val="nil"/>
              <w:bottom w:val="nil"/>
              <w:right w:val="nil"/>
            </w:tcBorders>
            <w:shd w:val="clear" w:color="auto" w:fill="auto"/>
            <w:noWrap/>
            <w:vAlign w:val="center"/>
            <w:hideMark/>
          </w:tcPr>
          <w:p w:rsidR="002C7C45" w:rsidRPr="00546D84" w:rsidRDefault="002C7C45" w:rsidP="00885E9C">
            <w:pPr>
              <w:tabs>
                <w:tab w:val="clear" w:pos="1260"/>
                <w:tab w:val="clear" w:pos="1980"/>
                <w:tab w:val="clear" w:pos="2700"/>
                <w:tab w:val="clear" w:pos="3420"/>
              </w:tabs>
              <w:jc w:val="right"/>
              <w:rPr>
                <w:rFonts w:cs="Arial"/>
                <w:szCs w:val="22"/>
              </w:rPr>
            </w:pPr>
            <w:r w:rsidRPr="00546D84">
              <w:rPr>
                <w:rFonts w:cs="Arial"/>
                <w:szCs w:val="22"/>
              </w:rPr>
              <w:t>76,690</w:t>
            </w:r>
          </w:p>
        </w:tc>
        <w:tc>
          <w:tcPr>
            <w:tcW w:w="3624" w:type="dxa"/>
            <w:tcBorders>
              <w:top w:val="nil"/>
              <w:left w:val="nil"/>
              <w:bottom w:val="nil"/>
              <w:right w:val="nil"/>
            </w:tcBorders>
            <w:vAlign w:val="center"/>
          </w:tcPr>
          <w:p w:rsidR="002C7C45" w:rsidRPr="00546D84" w:rsidRDefault="00195685" w:rsidP="00885E9C">
            <w:pPr>
              <w:tabs>
                <w:tab w:val="clear" w:pos="1260"/>
                <w:tab w:val="clear" w:pos="1980"/>
                <w:tab w:val="clear" w:pos="2700"/>
                <w:tab w:val="clear" w:pos="3420"/>
              </w:tabs>
              <w:jc w:val="left"/>
              <w:rPr>
                <w:rFonts w:cs="Arial"/>
                <w:szCs w:val="22"/>
              </w:rPr>
            </w:pPr>
            <w:r>
              <w:rPr>
                <w:rFonts w:cs="Arial"/>
                <w:szCs w:val="22"/>
              </w:rPr>
              <w:t>Grounds maintenance vehicles</w:t>
            </w:r>
          </w:p>
        </w:tc>
      </w:tr>
      <w:tr w:rsidR="002C7C45" w:rsidRPr="00546D84" w:rsidTr="00C575CD">
        <w:trPr>
          <w:trHeight w:val="360"/>
        </w:trPr>
        <w:tc>
          <w:tcPr>
            <w:tcW w:w="3402" w:type="dxa"/>
            <w:tcBorders>
              <w:top w:val="nil"/>
              <w:left w:val="nil"/>
              <w:bottom w:val="nil"/>
              <w:right w:val="nil"/>
            </w:tcBorders>
            <w:shd w:val="clear" w:color="auto" w:fill="auto"/>
            <w:vAlign w:val="center"/>
            <w:hideMark/>
          </w:tcPr>
          <w:p w:rsidR="002C7C45" w:rsidRPr="00546D84" w:rsidRDefault="002C7C45" w:rsidP="00885E9C">
            <w:pPr>
              <w:tabs>
                <w:tab w:val="clear" w:pos="1260"/>
                <w:tab w:val="clear" w:pos="1980"/>
                <w:tab w:val="clear" w:pos="2700"/>
                <w:tab w:val="clear" w:pos="3420"/>
              </w:tabs>
              <w:jc w:val="left"/>
              <w:rPr>
                <w:rFonts w:cs="Arial"/>
                <w:color w:val="000000"/>
                <w:szCs w:val="22"/>
              </w:rPr>
            </w:pPr>
            <w:r w:rsidRPr="00546D84">
              <w:rPr>
                <w:rFonts w:cs="Arial"/>
                <w:color w:val="000000"/>
                <w:szCs w:val="22"/>
              </w:rPr>
              <w:t>Controlled Parking</w:t>
            </w:r>
          </w:p>
        </w:tc>
        <w:tc>
          <w:tcPr>
            <w:tcW w:w="1479" w:type="dxa"/>
            <w:tcBorders>
              <w:top w:val="nil"/>
              <w:left w:val="nil"/>
              <w:bottom w:val="nil"/>
              <w:right w:val="nil"/>
            </w:tcBorders>
            <w:shd w:val="clear" w:color="auto" w:fill="auto"/>
            <w:noWrap/>
            <w:vAlign w:val="center"/>
            <w:hideMark/>
          </w:tcPr>
          <w:p w:rsidR="002C7C45" w:rsidRPr="00546D84" w:rsidRDefault="002C7C45" w:rsidP="00885E9C">
            <w:pPr>
              <w:tabs>
                <w:tab w:val="clear" w:pos="1260"/>
                <w:tab w:val="clear" w:pos="1980"/>
                <w:tab w:val="clear" w:pos="2700"/>
                <w:tab w:val="clear" w:pos="3420"/>
              </w:tabs>
              <w:jc w:val="right"/>
              <w:rPr>
                <w:rFonts w:cs="Arial"/>
                <w:szCs w:val="22"/>
              </w:rPr>
            </w:pPr>
            <w:r w:rsidRPr="00546D84">
              <w:rPr>
                <w:rFonts w:cs="Arial"/>
                <w:szCs w:val="22"/>
              </w:rPr>
              <w:t>72,000</w:t>
            </w:r>
          </w:p>
        </w:tc>
        <w:tc>
          <w:tcPr>
            <w:tcW w:w="3624" w:type="dxa"/>
            <w:tcBorders>
              <w:top w:val="nil"/>
              <w:left w:val="nil"/>
              <w:bottom w:val="nil"/>
              <w:right w:val="nil"/>
            </w:tcBorders>
            <w:vAlign w:val="center"/>
          </w:tcPr>
          <w:p w:rsidR="002C7C45" w:rsidRPr="00546D84" w:rsidRDefault="00195685" w:rsidP="00885E9C">
            <w:pPr>
              <w:tabs>
                <w:tab w:val="clear" w:pos="1260"/>
                <w:tab w:val="clear" w:pos="1980"/>
                <w:tab w:val="clear" w:pos="2700"/>
                <w:tab w:val="clear" w:pos="3420"/>
              </w:tabs>
              <w:jc w:val="left"/>
              <w:rPr>
                <w:rFonts w:cs="Arial"/>
                <w:szCs w:val="22"/>
              </w:rPr>
            </w:pPr>
            <w:r>
              <w:rPr>
                <w:rFonts w:cs="Arial"/>
                <w:szCs w:val="22"/>
              </w:rPr>
              <w:t>Parking project</w:t>
            </w:r>
          </w:p>
        </w:tc>
      </w:tr>
      <w:tr w:rsidR="002C7C45" w:rsidRPr="00546D84" w:rsidTr="00C575CD">
        <w:trPr>
          <w:trHeight w:val="696"/>
        </w:trPr>
        <w:tc>
          <w:tcPr>
            <w:tcW w:w="3402" w:type="dxa"/>
            <w:tcBorders>
              <w:top w:val="nil"/>
              <w:left w:val="nil"/>
              <w:bottom w:val="nil"/>
              <w:right w:val="nil"/>
            </w:tcBorders>
            <w:shd w:val="clear" w:color="auto" w:fill="auto"/>
            <w:vAlign w:val="center"/>
            <w:hideMark/>
          </w:tcPr>
          <w:p w:rsidR="002C7C45" w:rsidRPr="00546D84" w:rsidRDefault="002C7C45" w:rsidP="00885E9C">
            <w:pPr>
              <w:tabs>
                <w:tab w:val="clear" w:pos="1260"/>
                <w:tab w:val="clear" w:pos="1980"/>
                <w:tab w:val="clear" w:pos="2700"/>
                <w:tab w:val="clear" w:pos="3420"/>
              </w:tabs>
              <w:jc w:val="left"/>
              <w:rPr>
                <w:rFonts w:cs="Arial"/>
                <w:color w:val="000000"/>
                <w:szCs w:val="22"/>
              </w:rPr>
            </w:pPr>
            <w:r>
              <w:rPr>
                <w:rFonts w:cs="Arial"/>
                <w:color w:val="000000"/>
                <w:szCs w:val="22"/>
              </w:rPr>
              <w:t xml:space="preserve">Preliminary advice for </w:t>
            </w:r>
            <w:r w:rsidRPr="00546D84">
              <w:rPr>
                <w:rFonts w:cs="Arial"/>
                <w:color w:val="000000"/>
                <w:szCs w:val="22"/>
              </w:rPr>
              <w:t>SO</w:t>
            </w:r>
            <w:r>
              <w:rPr>
                <w:rFonts w:cs="Arial"/>
                <w:color w:val="000000"/>
                <w:szCs w:val="22"/>
              </w:rPr>
              <w:t xml:space="preserve">I </w:t>
            </w:r>
          </w:p>
        </w:tc>
        <w:tc>
          <w:tcPr>
            <w:tcW w:w="1479" w:type="dxa"/>
            <w:tcBorders>
              <w:top w:val="nil"/>
              <w:left w:val="nil"/>
              <w:bottom w:val="nil"/>
              <w:right w:val="nil"/>
            </w:tcBorders>
            <w:shd w:val="clear" w:color="auto" w:fill="auto"/>
            <w:noWrap/>
            <w:vAlign w:val="center"/>
            <w:hideMark/>
          </w:tcPr>
          <w:p w:rsidR="002C7C45" w:rsidRPr="00546D84" w:rsidRDefault="002C7C45" w:rsidP="00885E9C">
            <w:pPr>
              <w:tabs>
                <w:tab w:val="clear" w:pos="1260"/>
                <w:tab w:val="clear" w:pos="1980"/>
                <w:tab w:val="clear" w:pos="2700"/>
                <w:tab w:val="clear" w:pos="3420"/>
              </w:tabs>
              <w:jc w:val="right"/>
              <w:rPr>
                <w:rFonts w:cs="Arial"/>
                <w:szCs w:val="22"/>
              </w:rPr>
            </w:pPr>
            <w:r w:rsidRPr="00546D84">
              <w:rPr>
                <w:rFonts w:cs="Arial"/>
                <w:szCs w:val="22"/>
              </w:rPr>
              <w:t>131,340</w:t>
            </w:r>
          </w:p>
        </w:tc>
        <w:tc>
          <w:tcPr>
            <w:tcW w:w="3624" w:type="dxa"/>
            <w:tcBorders>
              <w:top w:val="nil"/>
              <w:left w:val="nil"/>
              <w:bottom w:val="nil"/>
              <w:right w:val="nil"/>
            </w:tcBorders>
            <w:vAlign w:val="center"/>
          </w:tcPr>
          <w:p w:rsidR="002C7C45" w:rsidRPr="00546D84" w:rsidRDefault="00195685" w:rsidP="00A7013D">
            <w:pPr>
              <w:tabs>
                <w:tab w:val="clear" w:pos="1260"/>
                <w:tab w:val="clear" w:pos="1980"/>
                <w:tab w:val="clear" w:pos="2700"/>
                <w:tab w:val="clear" w:pos="3420"/>
              </w:tabs>
              <w:jc w:val="left"/>
              <w:rPr>
                <w:rFonts w:cs="Arial"/>
                <w:szCs w:val="22"/>
              </w:rPr>
            </w:pPr>
            <w:r>
              <w:rPr>
                <w:rFonts w:cs="Arial"/>
                <w:szCs w:val="22"/>
              </w:rPr>
              <w:t>Legal, planning consultancy advice etc</w:t>
            </w:r>
          </w:p>
        </w:tc>
      </w:tr>
      <w:tr w:rsidR="002C7C45" w:rsidRPr="00546D84" w:rsidTr="00C575CD">
        <w:trPr>
          <w:trHeight w:val="360"/>
        </w:trPr>
        <w:tc>
          <w:tcPr>
            <w:tcW w:w="3402" w:type="dxa"/>
            <w:tcBorders>
              <w:top w:val="nil"/>
              <w:left w:val="nil"/>
              <w:bottom w:val="nil"/>
              <w:right w:val="nil"/>
            </w:tcBorders>
            <w:shd w:val="clear" w:color="auto" w:fill="auto"/>
            <w:vAlign w:val="center"/>
            <w:hideMark/>
          </w:tcPr>
          <w:p w:rsidR="002C7C45" w:rsidRPr="00546D84" w:rsidRDefault="002C7C45" w:rsidP="00885E9C">
            <w:pPr>
              <w:tabs>
                <w:tab w:val="clear" w:pos="1260"/>
                <w:tab w:val="clear" w:pos="1980"/>
                <w:tab w:val="clear" w:pos="2700"/>
                <w:tab w:val="clear" w:pos="3420"/>
              </w:tabs>
              <w:jc w:val="left"/>
              <w:rPr>
                <w:rFonts w:cs="Arial"/>
                <w:color w:val="000000"/>
                <w:szCs w:val="22"/>
              </w:rPr>
            </w:pPr>
            <w:r w:rsidRPr="00546D84">
              <w:rPr>
                <w:rFonts w:cs="Arial"/>
                <w:color w:val="000000"/>
                <w:szCs w:val="22"/>
              </w:rPr>
              <w:t>Parking Bays</w:t>
            </w:r>
          </w:p>
        </w:tc>
        <w:tc>
          <w:tcPr>
            <w:tcW w:w="1479" w:type="dxa"/>
            <w:tcBorders>
              <w:top w:val="nil"/>
              <w:left w:val="nil"/>
              <w:bottom w:val="nil"/>
              <w:right w:val="nil"/>
            </w:tcBorders>
            <w:shd w:val="clear" w:color="auto" w:fill="auto"/>
            <w:noWrap/>
            <w:vAlign w:val="center"/>
            <w:hideMark/>
          </w:tcPr>
          <w:p w:rsidR="002C7C45" w:rsidRPr="00546D84" w:rsidRDefault="002C7C45" w:rsidP="00885E9C">
            <w:pPr>
              <w:tabs>
                <w:tab w:val="clear" w:pos="1260"/>
                <w:tab w:val="clear" w:pos="1980"/>
                <w:tab w:val="clear" w:pos="2700"/>
                <w:tab w:val="clear" w:pos="3420"/>
              </w:tabs>
              <w:jc w:val="right"/>
              <w:rPr>
                <w:rFonts w:cs="Arial"/>
                <w:szCs w:val="22"/>
              </w:rPr>
            </w:pPr>
            <w:r w:rsidRPr="00546D84">
              <w:rPr>
                <w:rFonts w:cs="Arial"/>
                <w:szCs w:val="22"/>
              </w:rPr>
              <w:t>32,000</w:t>
            </w:r>
          </w:p>
        </w:tc>
        <w:tc>
          <w:tcPr>
            <w:tcW w:w="3624" w:type="dxa"/>
            <w:tcBorders>
              <w:top w:val="nil"/>
              <w:left w:val="nil"/>
              <w:bottom w:val="nil"/>
              <w:right w:val="nil"/>
            </w:tcBorders>
            <w:vAlign w:val="center"/>
          </w:tcPr>
          <w:p w:rsidR="002C7C45" w:rsidRPr="00546D84" w:rsidRDefault="00195685" w:rsidP="00885E9C">
            <w:pPr>
              <w:tabs>
                <w:tab w:val="clear" w:pos="1260"/>
                <w:tab w:val="clear" w:pos="1980"/>
                <w:tab w:val="clear" w:pos="2700"/>
                <w:tab w:val="clear" w:pos="3420"/>
              </w:tabs>
              <w:jc w:val="left"/>
              <w:rPr>
                <w:rFonts w:cs="Arial"/>
                <w:szCs w:val="22"/>
              </w:rPr>
            </w:pPr>
            <w:r>
              <w:rPr>
                <w:rFonts w:cs="Arial"/>
                <w:szCs w:val="22"/>
              </w:rPr>
              <w:t>Roll out of new parking bays</w:t>
            </w:r>
          </w:p>
        </w:tc>
      </w:tr>
      <w:tr w:rsidR="002C7C45" w:rsidRPr="00546D84" w:rsidTr="00C575CD">
        <w:trPr>
          <w:trHeight w:val="790"/>
        </w:trPr>
        <w:tc>
          <w:tcPr>
            <w:tcW w:w="3402" w:type="dxa"/>
            <w:tcBorders>
              <w:top w:val="nil"/>
              <w:left w:val="nil"/>
              <w:bottom w:val="nil"/>
              <w:right w:val="nil"/>
            </w:tcBorders>
            <w:shd w:val="clear" w:color="auto" w:fill="auto"/>
            <w:vAlign w:val="center"/>
            <w:hideMark/>
          </w:tcPr>
          <w:p w:rsidR="002C7C45" w:rsidRPr="00546D84" w:rsidRDefault="002C7C45" w:rsidP="00C575CD">
            <w:pPr>
              <w:tabs>
                <w:tab w:val="clear" w:pos="1260"/>
                <w:tab w:val="clear" w:pos="1980"/>
                <w:tab w:val="clear" w:pos="2700"/>
                <w:tab w:val="clear" w:pos="3420"/>
              </w:tabs>
              <w:jc w:val="left"/>
              <w:rPr>
                <w:rFonts w:cs="Arial"/>
                <w:color w:val="000000"/>
                <w:szCs w:val="22"/>
              </w:rPr>
            </w:pPr>
            <w:r w:rsidRPr="00546D84">
              <w:rPr>
                <w:rFonts w:cs="Arial"/>
                <w:color w:val="000000"/>
                <w:szCs w:val="22"/>
              </w:rPr>
              <w:t>Disabled Facilities Grants</w:t>
            </w:r>
            <w:r w:rsidR="00C575CD">
              <w:rPr>
                <w:rFonts w:cs="Arial"/>
                <w:color w:val="000000"/>
                <w:szCs w:val="22"/>
              </w:rPr>
              <w:t xml:space="preserve"> (DFG</w:t>
            </w:r>
            <w:r w:rsidR="00A7013D">
              <w:rPr>
                <w:rFonts w:cs="Arial"/>
                <w:color w:val="000000"/>
                <w:szCs w:val="22"/>
              </w:rPr>
              <w:t>)</w:t>
            </w:r>
          </w:p>
        </w:tc>
        <w:tc>
          <w:tcPr>
            <w:tcW w:w="1479" w:type="dxa"/>
            <w:tcBorders>
              <w:top w:val="nil"/>
              <w:left w:val="nil"/>
              <w:bottom w:val="nil"/>
              <w:right w:val="nil"/>
            </w:tcBorders>
            <w:shd w:val="clear" w:color="auto" w:fill="auto"/>
            <w:noWrap/>
            <w:vAlign w:val="center"/>
            <w:hideMark/>
          </w:tcPr>
          <w:p w:rsidR="002C7C45" w:rsidRPr="00546D84" w:rsidRDefault="001556DE" w:rsidP="00885E9C">
            <w:pPr>
              <w:tabs>
                <w:tab w:val="clear" w:pos="1260"/>
                <w:tab w:val="clear" w:pos="1980"/>
                <w:tab w:val="clear" w:pos="2700"/>
                <w:tab w:val="clear" w:pos="3420"/>
              </w:tabs>
              <w:jc w:val="right"/>
              <w:rPr>
                <w:rFonts w:cs="Arial"/>
                <w:szCs w:val="22"/>
              </w:rPr>
            </w:pPr>
            <w:r>
              <w:rPr>
                <w:rFonts w:cs="Arial"/>
                <w:szCs w:val="22"/>
              </w:rPr>
              <w:t>354,640</w:t>
            </w:r>
          </w:p>
        </w:tc>
        <w:tc>
          <w:tcPr>
            <w:tcW w:w="3624" w:type="dxa"/>
            <w:tcBorders>
              <w:top w:val="nil"/>
              <w:left w:val="nil"/>
              <w:bottom w:val="nil"/>
              <w:right w:val="nil"/>
            </w:tcBorders>
            <w:vAlign w:val="center"/>
          </w:tcPr>
          <w:p w:rsidR="002C7C45" w:rsidRPr="00546D84" w:rsidRDefault="00195685" w:rsidP="00885E9C">
            <w:pPr>
              <w:tabs>
                <w:tab w:val="clear" w:pos="1260"/>
                <w:tab w:val="clear" w:pos="1980"/>
                <w:tab w:val="clear" w:pos="2700"/>
                <w:tab w:val="clear" w:pos="3420"/>
              </w:tabs>
              <w:jc w:val="left"/>
              <w:rPr>
                <w:rFonts w:cs="Arial"/>
                <w:szCs w:val="22"/>
              </w:rPr>
            </w:pPr>
            <w:r>
              <w:rPr>
                <w:rFonts w:cs="Arial"/>
                <w:szCs w:val="22"/>
              </w:rPr>
              <w:t xml:space="preserve">This is works committed to and grants awarded, but not yet started </w:t>
            </w:r>
          </w:p>
        </w:tc>
      </w:tr>
      <w:tr w:rsidR="002C7C45" w:rsidRPr="00546D84" w:rsidTr="00C575CD">
        <w:trPr>
          <w:trHeight w:val="701"/>
        </w:trPr>
        <w:tc>
          <w:tcPr>
            <w:tcW w:w="3402" w:type="dxa"/>
            <w:tcBorders>
              <w:top w:val="nil"/>
              <w:left w:val="nil"/>
              <w:bottom w:val="nil"/>
              <w:right w:val="nil"/>
            </w:tcBorders>
            <w:shd w:val="clear" w:color="auto" w:fill="auto"/>
            <w:vAlign w:val="center"/>
            <w:hideMark/>
          </w:tcPr>
          <w:p w:rsidR="002C7C45" w:rsidRPr="00546D84" w:rsidRDefault="002C7C45" w:rsidP="00885E9C">
            <w:pPr>
              <w:tabs>
                <w:tab w:val="clear" w:pos="1260"/>
                <w:tab w:val="clear" w:pos="1980"/>
                <w:tab w:val="clear" w:pos="2700"/>
                <w:tab w:val="clear" w:pos="3420"/>
              </w:tabs>
              <w:jc w:val="left"/>
              <w:rPr>
                <w:rFonts w:cs="Arial"/>
                <w:color w:val="000000"/>
                <w:szCs w:val="22"/>
              </w:rPr>
            </w:pPr>
            <w:r w:rsidRPr="00546D84">
              <w:rPr>
                <w:rFonts w:cs="Arial"/>
                <w:color w:val="000000"/>
                <w:szCs w:val="22"/>
              </w:rPr>
              <w:t>Waste &amp; Recycling Vehicles</w:t>
            </w:r>
          </w:p>
        </w:tc>
        <w:tc>
          <w:tcPr>
            <w:tcW w:w="1479" w:type="dxa"/>
            <w:tcBorders>
              <w:top w:val="nil"/>
              <w:left w:val="nil"/>
              <w:bottom w:val="nil"/>
              <w:right w:val="nil"/>
            </w:tcBorders>
            <w:shd w:val="clear" w:color="auto" w:fill="auto"/>
            <w:noWrap/>
            <w:vAlign w:val="center"/>
            <w:hideMark/>
          </w:tcPr>
          <w:p w:rsidR="002C7C45" w:rsidRPr="00546D84" w:rsidRDefault="002C7C45" w:rsidP="00885E9C">
            <w:pPr>
              <w:tabs>
                <w:tab w:val="clear" w:pos="1260"/>
                <w:tab w:val="clear" w:pos="1980"/>
                <w:tab w:val="clear" w:pos="2700"/>
                <w:tab w:val="clear" w:pos="3420"/>
              </w:tabs>
              <w:jc w:val="right"/>
              <w:rPr>
                <w:rFonts w:cs="Arial"/>
                <w:szCs w:val="22"/>
              </w:rPr>
            </w:pPr>
            <w:r w:rsidRPr="00546D84">
              <w:rPr>
                <w:rFonts w:cs="Arial"/>
                <w:szCs w:val="22"/>
              </w:rPr>
              <w:t>511,990</w:t>
            </w:r>
          </w:p>
        </w:tc>
        <w:tc>
          <w:tcPr>
            <w:tcW w:w="3624" w:type="dxa"/>
            <w:tcBorders>
              <w:top w:val="nil"/>
              <w:left w:val="nil"/>
              <w:bottom w:val="nil"/>
              <w:right w:val="nil"/>
            </w:tcBorders>
            <w:vAlign w:val="center"/>
          </w:tcPr>
          <w:p w:rsidR="002C7C45" w:rsidRPr="00546D84" w:rsidRDefault="00195685" w:rsidP="00885E9C">
            <w:pPr>
              <w:tabs>
                <w:tab w:val="clear" w:pos="1260"/>
                <w:tab w:val="clear" w:pos="1980"/>
                <w:tab w:val="clear" w:pos="2700"/>
                <w:tab w:val="clear" w:pos="3420"/>
              </w:tabs>
              <w:jc w:val="left"/>
              <w:rPr>
                <w:rFonts w:cs="Arial"/>
                <w:szCs w:val="22"/>
              </w:rPr>
            </w:pPr>
            <w:r>
              <w:rPr>
                <w:rFonts w:cs="Arial"/>
                <w:szCs w:val="22"/>
              </w:rPr>
              <w:t>Replacement of refuse freighters – vehicles on order (due Mar</w:t>
            </w:r>
            <w:r w:rsidR="00885E9C">
              <w:rPr>
                <w:rFonts w:cs="Arial"/>
                <w:szCs w:val="22"/>
              </w:rPr>
              <w:t>ch</w:t>
            </w:r>
            <w:r>
              <w:rPr>
                <w:rFonts w:cs="Arial"/>
                <w:szCs w:val="22"/>
              </w:rPr>
              <w:t xml:space="preserve"> 17)</w:t>
            </w:r>
          </w:p>
        </w:tc>
      </w:tr>
      <w:tr w:rsidR="002C7C45" w:rsidRPr="00546D84" w:rsidTr="00C575CD">
        <w:trPr>
          <w:trHeight w:val="360"/>
        </w:trPr>
        <w:tc>
          <w:tcPr>
            <w:tcW w:w="3402" w:type="dxa"/>
            <w:tcBorders>
              <w:top w:val="nil"/>
              <w:left w:val="nil"/>
              <w:bottom w:val="nil"/>
              <w:right w:val="nil"/>
            </w:tcBorders>
            <w:shd w:val="clear" w:color="auto" w:fill="auto"/>
            <w:vAlign w:val="center"/>
            <w:hideMark/>
          </w:tcPr>
          <w:p w:rsidR="002C7C45" w:rsidRPr="00546D84" w:rsidRDefault="002C7C45" w:rsidP="00885E9C">
            <w:pPr>
              <w:tabs>
                <w:tab w:val="clear" w:pos="1260"/>
                <w:tab w:val="clear" w:pos="1980"/>
                <w:tab w:val="clear" w:pos="2700"/>
                <w:tab w:val="clear" w:pos="3420"/>
              </w:tabs>
              <w:jc w:val="left"/>
              <w:rPr>
                <w:rFonts w:cs="Arial"/>
                <w:color w:val="000000"/>
                <w:szCs w:val="22"/>
              </w:rPr>
            </w:pPr>
            <w:r w:rsidRPr="00546D84">
              <w:rPr>
                <w:rFonts w:cs="Arial"/>
                <w:color w:val="000000"/>
                <w:szCs w:val="22"/>
              </w:rPr>
              <w:t>ICT - TRDC - Licence Costs</w:t>
            </w:r>
          </w:p>
        </w:tc>
        <w:tc>
          <w:tcPr>
            <w:tcW w:w="1479" w:type="dxa"/>
            <w:tcBorders>
              <w:top w:val="nil"/>
              <w:left w:val="nil"/>
              <w:bottom w:val="nil"/>
              <w:right w:val="nil"/>
            </w:tcBorders>
            <w:shd w:val="clear" w:color="auto" w:fill="auto"/>
            <w:noWrap/>
            <w:vAlign w:val="center"/>
            <w:hideMark/>
          </w:tcPr>
          <w:p w:rsidR="002C7C45" w:rsidRPr="00546D84" w:rsidRDefault="002C7C45" w:rsidP="00885E9C">
            <w:pPr>
              <w:tabs>
                <w:tab w:val="clear" w:pos="1260"/>
                <w:tab w:val="clear" w:pos="1980"/>
                <w:tab w:val="clear" w:pos="2700"/>
                <w:tab w:val="clear" w:pos="3420"/>
              </w:tabs>
              <w:jc w:val="right"/>
              <w:rPr>
                <w:rFonts w:cs="Arial"/>
                <w:szCs w:val="22"/>
              </w:rPr>
            </w:pPr>
            <w:r w:rsidRPr="00546D84">
              <w:rPr>
                <w:rFonts w:cs="Arial"/>
                <w:szCs w:val="22"/>
              </w:rPr>
              <w:t>136,500</w:t>
            </w:r>
          </w:p>
        </w:tc>
        <w:tc>
          <w:tcPr>
            <w:tcW w:w="3624" w:type="dxa"/>
            <w:tcBorders>
              <w:top w:val="nil"/>
              <w:left w:val="nil"/>
              <w:bottom w:val="nil"/>
              <w:right w:val="nil"/>
            </w:tcBorders>
            <w:vAlign w:val="center"/>
          </w:tcPr>
          <w:p w:rsidR="002C7C45" w:rsidRPr="00546D84" w:rsidRDefault="00195685" w:rsidP="00885E9C">
            <w:pPr>
              <w:tabs>
                <w:tab w:val="clear" w:pos="1260"/>
                <w:tab w:val="clear" w:pos="1980"/>
                <w:tab w:val="clear" w:pos="2700"/>
                <w:tab w:val="clear" w:pos="3420"/>
              </w:tabs>
              <w:jc w:val="left"/>
              <w:rPr>
                <w:rFonts w:cs="Arial"/>
                <w:szCs w:val="22"/>
              </w:rPr>
            </w:pPr>
            <w:r>
              <w:rPr>
                <w:rFonts w:cs="Arial"/>
                <w:szCs w:val="22"/>
              </w:rPr>
              <w:t>Delays due to Capita exit</w:t>
            </w:r>
          </w:p>
        </w:tc>
      </w:tr>
      <w:tr w:rsidR="002C7C45" w:rsidRPr="00546D84" w:rsidTr="00C575CD">
        <w:trPr>
          <w:trHeight w:val="631"/>
        </w:trPr>
        <w:tc>
          <w:tcPr>
            <w:tcW w:w="3402" w:type="dxa"/>
            <w:tcBorders>
              <w:top w:val="nil"/>
              <w:left w:val="nil"/>
              <w:bottom w:val="nil"/>
              <w:right w:val="nil"/>
            </w:tcBorders>
            <w:shd w:val="clear" w:color="auto" w:fill="auto"/>
            <w:vAlign w:val="center"/>
            <w:hideMark/>
          </w:tcPr>
          <w:p w:rsidR="002C7C45" w:rsidRPr="00546D84" w:rsidRDefault="002C7C45" w:rsidP="00885E9C">
            <w:pPr>
              <w:tabs>
                <w:tab w:val="clear" w:pos="1260"/>
                <w:tab w:val="clear" w:pos="1980"/>
                <w:tab w:val="clear" w:pos="2700"/>
                <w:tab w:val="clear" w:pos="3420"/>
              </w:tabs>
              <w:jc w:val="left"/>
              <w:rPr>
                <w:rFonts w:cs="Arial"/>
                <w:color w:val="000000"/>
                <w:szCs w:val="22"/>
              </w:rPr>
            </w:pPr>
            <w:r w:rsidRPr="00546D84">
              <w:rPr>
                <w:rFonts w:cs="Arial"/>
                <w:color w:val="000000"/>
                <w:szCs w:val="22"/>
              </w:rPr>
              <w:t>Customer Contact Programme</w:t>
            </w:r>
          </w:p>
        </w:tc>
        <w:tc>
          <w:tcPr>
            <w:tcW w:w="1479" w:type="dxa"/>
            <w:tcBorders>
              <w:top w:val="nil"/>
              <w:left w:val="nil"/>
              <w:bottom w:val="nil"/>
              <w:right w:val="nil"/>
            </w:tcBorders>
            <w:shd w:val="clear" w:color="auto" w:fill="auto"/>
            <w:noWrap/>
            <w:vAlign w:val="center"/>
            <w:hideMark/>
          </w:tcPr>
          <w:p w:rsidR="002C7C45" w:rsidRPr="00546D84" w:rsidRDefault="002C7C45" w:rsidP="00885E9C">
            <w:pPr>
              <w:tabs>
                <w:tab w:val="clear" w:pos="1260"/>
                <w:tab w:val="clear" w:pos="1980"/>
                <w:tab w:val="clear" w:pos="2700"/>
                <w:tab w:val="clear" w:pos="3420"/>
              </w:tabs>
              <w:jc w:val="right"/>
              <w:rPr>
                <w:rFonts w:cs="Arial"/>
                <w:szCs w:val="22"/>
              </w:rPr>
            </w:pPr>
            <w:r w:rsidRPr="00546D84">
              <w:rPr>
                <w:rFonts w:cs="Arial"/>
                <w:szCs w:val="22"/>
              </w:rPr>
              <w:t>97,500</w:t>
            </w:r>
          </w:p>
        </w:tc>
        <w:tc>
          <w:tcPr>
            <w:tcW w:w="3624" w:type="dxa"/>
            <w:tcBorders>
              <w:top w:val="nil"/>
              <w:left w:val="nil"/>
              <w:bottom w:val="nil"/>
              <w:right w:val="nil"/>
            </w:tcBorders>
            <w:vAlign w:val="center"/>
          </w:tcPr>
          <w:p w:rsidR="002C7C45" w:rsidRPr="00546D84" w:rsidRDefault="00F65288" w:rsidP="00885E9C">
            <w:pPr>
              <w:tabs>
                <w:tab w:val="clear" w:pos="1260"/>
                <w:tab w:val="clear" w:pos="1980"/>
                <w:tab w:val="clear" w:pos="2700"/>
                <w:tab w:val="clear" w:pos="3420"/>
              </w:tabs>
              <w:jc w:val="left"/>
              <w:rPr>
                <w:rFonts w:cs="Arial"/>
                <w:szCs w:val="22"/>
              </w:rPr>
            </w:pPr>
            <w:r>
              <w:rPr>
                <w:rFonts w:cs="Arial"/>
                <w:szCs w:val="22"/>
              </w:rPr>
              <w:t>Introduction of new software in 17/18</w:t>
            </w:r>
          </w:p>
        </w:tc>
      </w:tr>
      <w:tr w:rsidR="002C7C45" w:rsidRPr="00546D84" w:rsidTr="00C575CD">
        <w:trPr>
          <w:trHeight w:val="569"/>
        </w:trPr>
        <w:tc>
          <w:tcPr>
            <w:tcW w:w="3402" w:type="dxa"/>
            <w:tcBorders>
              <w:top w:val="nil"/>
              <w:left w:val="nil"/>
              <w:bottom w:val="nil"/>
              <w:right w:val="nil"/>
            </w:tcBorders>
            <w:shd w:val="clear" w:color="auto" w:fill="auto"/>
            <w:vAlign w:val="center"/>
            <w:hideMark/>
          </w:tcPr>
          <w:p w:rsidR="002C7C45" w:rsidRPr="00546D84" w:rsidRDefault="002C7C45" w:rsidP="00885E9C">
            <w:pPr>
              <w:tabs>
                <w:tab w:val="clear" w:pos="1260"/>
                <w:tab w:val="clear" w:pos="1980"/>
                <w:tab w:val="clear" w:pos="2700"/>
                <w:tab w:val="clear" w:pos="3420"/>
              </w:tabs>
              <w:jc w:val="left"/>
              <w:rPr>
                <w:rFonts w:cs="Arial"/>
                <w:color w:val="000000"/>
                <w:szCs w:val="22"/>
              </w:rPr>
            </w:pPr>
            <w:r w:rsidRPr="00546D84">
              <w:rPr>
                <w:rFonts w:cs="Arial"/>
                <w:color w:val="000000"/>
                <w:szCs w:val="22"/>
              </w:rPr>
              <w:t>T</w:t>
            </w:r>
            <w:r w:rsidR="00AF6AAB">
              <w:rPr>
                <w:rFonts w:cs="Arial"/>
                <w:color w:val="000000"/>
                <w:szCs w:val="22"/>
              </w:rPr>
              <w:t xml:space="preserve">hree </w:t>
            </w:r>
            <w:r w:rsidRPr="00546D84">
              <w:rPr>
                <w:rFonts w:cs="Arial"/>
                <w:color w:val="000000"/>
                <w:szCs w:val="22"/>
              </w:rPr>
              <w:t>R</w:t>
            </w:r>
            <w:r w:rsidR="00AF6AAB">
              <w:rPr>
                <w:rFonts w:cs="Arial"/>
                <w:color w:val="000000"/>
                <w:szCs w:val="22"/>
              </w:rPr>
              <w:t xml:space="preserve">ivers </w:t>
            </w:r>
            <w:r w:rsidRPr="00546D84">
              <w:rPr>
                <w:rFonts w:cs="Arial"/>
                <w:color w:val="000000"/>
                <w:szCs w:val="22"/>
              </w:rPr>
              <w:t>H</w:t>
            </w:r>
            <w:r w:rsidR="00AF6AAB">
              <w:rPr>
                <w:rFonts w:cs="Arial"/>
                <w:color w:val="000000"/>
                <w:szCs w:val="22"/>
              </w:rPr>
              <w:t>ouse</w:t>
            </w:r>
            <w:r w:rsidRPr="00546D84">
              <w:rPr>
                <w:rFonts w:cs="Arial"/>
                <w:color w:val="000000"/>
                <w:szCs w:val="22"/>
              </w:rPr>
              <w:t xml:space="preserve"> Whole Life Costing</w:t>
            </w:r>
          </w:p>
        </w:tc>
        <w:tc>
          <w:tcPr>
            <w:tcW w:w="1479" w:type="dxa"/>
            <w:tcBorders>
              <w:top w:val="nil"/>
              <w:left w:val="nil"/>
              <w:bottom w:val="nil"/>
              <w:right w:val="nil"/>
            </w:tcBorders>
            <w:shd w:val="clear" w:color="auto" w:fill="auto"/>
            <w:noWrap/>
            <w:vAlign w:val="center"/>
            <w:hideMark/>
          </w:tcPr>
          <w:p w:rsidR="002C7C45" w:rsidRPr="00546D84" w:rsidRDefault="002C7C45" w:rsidP="00885E9C">
            <w:pPr>
              <w:tabs>
                <w:tab w:val="clear" w:pos="1260"/>
                <w:tab w:val="clear" w:pos="1980"/>
                <w:tab w:val="clear" w:pos="2700"/>
                <w:tab w:val="clear" w:pos="3420"/>
              </w:tabs>
              <w:jc w:val="right"/>
              <w:rPr>
                <w:rFonts w:cs="Arial"/>
                <w:szCs w:val="22"/>
              </w:rPr>
            </w:pPr>
            <w:r w:rsidRPr="00546D84">
              <w:rPr>
                <w:rFonts w:cs="Arial"/>
                <w:szCs w:val="22"/>
              </w:rPr>
              <w:t>130,000</w:t>
            </w:r>
          </w:p>
        </w:tc>
        <w:tc>
          <w:tcPr>
            <w:tcW w:w="3624" w:type="dxa"/>
            <w:tcBorders>
              <w:top w:val="nil"/>
              <w:left w:val="nil"/>
              <w:bottom w:val="nil"/>
              <w:right w:val="nil"/>
            </w:tcBorders>
            <w:vAlign w:val="center"/>
          </w:tcPr>
          <w:p w:rsidR="002C7C45" w:rsidRPr="00546D84" w:rsidRDefault="00195685" w:rsidP="00885E9C">
            <w:pPr>
              <w:tabs>
                <w:tab w:val="clear" w:pos="1260"/>
                <w:tab w:val="clear" w:pos="1980"/>
                <w:tab w:val="clear" w:pos="2700"/>
                <w:tab w:val="clear" w:pos="3420"/>
              </w:tabs>
              <w:jc w:val="left"/>
              <w:rPr>
                <w:rFonts w:cs="Arial"/>
                <w:szCs w:val="22"/>
              </w:rPr>
            </w:pPr>
            <w:r>
              <w:rPr>
                <w:rFonts w:cs="Arial"/>
                <w:szCs w:val="22"/>
              </w:rPr>
              <w:t>External walls and comfort cooling</w:t>
            </w:r>
          </w:p>
        </w:tc>
      </w:tr>
      <w:tr w:rsidR="002C7C45" w:rsidRPr="00546D84" w:rsidTr="00C575CD">
        <w:trPr>
          <w:trHeight w:val="360"/>
        </w:trPr>
        <w:tc>
          <w:tcPr>
            <w:tcW w:w="3402" w:type="dxa"/>
            <w:tcBorders>
              <w:top w:val="nil"/>
              <w:left w:val="nil"/>
              <w:bottom w:val="nil"/>
              <w:right w:val="nil"/>
            </w:tcBorders>
            <w:shd w:val="clear" w:color="auto" w:fill="auto"/>
            <w:vAlign w:val="center"/>
            <w:hideMark/>
          </w:tcPr>
          <w:p w:rsidR="002C7C45" w:rsidRPr="00546D84" w:rsidRDefault="002C7C45" w:rsidP="00885E9C">
            <w:pPr>
              <w:tabs>
                <w:tab w:val="clear" w:pos="1260"/>
                <w:tab w:val="clear" w:pos="1980"/>
                <w:tab w:val="clear" w:pos="2700"/>
                <w:tab w:val="clear" w:pos="3420"/>
              </w:tabs>
              <w:jc w:val="left"/>
              <w:rPr>
                <w:rFonts w:cs="Arial"/>
                <w:color w:val="000000"/>
                <w:szCs w:val="22"/>
              </w:rPr>
            </w:pPr>
            <w:r w:rsidRPr="00546D84">
              <w:rPr>
                <w:rFonts w:cs="Arial"/>
                <w:color w:val="000000"/>
                <w:szCs w:val="22"/>
              </w:rPr>
              <w:t>ICT Modernisation</w:t>
            </w:r>
          </w:p>
        </w:tc>
        <w:tc>
          <w:tcPr>
            <w:tcW w:w="1479" w:type="dxa"/>
            <w:tcBorders>
              <w:top w:val="nil"/>
              <w:left w:val="nil"/>
              <w:bottom w:val="nil"/>
              <w:right w:val="nil"/>
            </w:tcBorders>
            <w:shd w:val="clear" w:color="auto" w:fill="auto"/>
            <w:noWrap/>
            <w:vAlign w:val="center"/>
            <w:hideMark/>
          </w:tcPr>
          <w:p w:rsidR="002C7C45" w:rsidRPr="00546D84" w:rsidRDefault="001A3E2E" w:rsidP="00885E9C">
            <w:pPr>
              <w:tabs>
                <w:tab w:val="clear" w:pos="1260"/>
                <w:tab w:val="clear" w:pos="1980"/>
                <w:tab w:val="clear" w:pos="2700"/>
                <w:tab w:val="clear" w:pos="3420"/>
              </w:tabs>
              <w:jc w:val="right"/>
              <w:rPr>
                <w:rFonts w:cs="Arial"/>
                <w:szCs w:val="22"/>
              </w:rPr>
            </w:pPr>
            <w:r>
              <w:rPr>
                <w:rFonts w:cs="Arial"/>
                <w:szCs w:val="22"/>
              </w:rPr>
              <w:t>205,420</w:t>
            </w:r>
          </w:p>
        </w:tc>
        <w:tc>
          <w:tcPr>
            <w:tcW w:w="3624" w:type="dxa"/>
            <w:tcBorders>
              <w:top w:val="nil"/>
              <w:left w:val="nil"/>
              <w:bottom w:val="nil"/>
              <w:right w:val="nil"/>
            </w:tcBorders>
            <w:vAlign w:val="center"/>
          </w:tcPr>
          <w:p w:rsidR="002C7C45" w:rsidRPr="00546D84" w:rsidRDefault="00F65288" w:rsidP="00885E9C">
            <w:pPr>
              <w:tabs>
                <w:tab w:val="clear" w:pos="1260"/>
                <w:tab w:val="clear" w:pos="1980"/>
                <w:tab w:val="clear" w:pos="2700"/>
                <w:tab w:val="clear" w:pos="3420"/>
              </w:tabs>
              <w:jc w:val="left"/>
              <w:rPr>
                <w:rFonts w:cs="Arial"/>
                <w:szCs w:val="22"/>
              </w:rPr>
            </w:pPr>
            <w:r>
              <w:rPr>
                <w:rFonts w:cs="Arial"/>
                <w:szCs w:val="22"/>
              </w:rPr>
              <w:t>Delays due to Capita exit</w:t>
            </w:r>
          </w:p>
        </w:tc>
      </w:tr>
    </w:tbl>
    <w:p w:rsidR="005513BF" w:rsidRPr="005513BF" w:rsidRDefault="005513BF" w:rsidP="00075478">
      <w:pPr>
        <w:pStyle w:val="ListParagraph"/>
        <w:ind w:left="1980"/>
        <w:rPr>
          <w:szCs w:val="22"/>
        </w:rPr>
      </w:pPr>
    </w:p>
    <w:p w:rsidR="00E53381" w:rsidRDefault="00353073" w:rsidP="002B03E3">
      <w:pPr>
        <w:ind w:left="1260" w:hanging="1260"/>
        <w:rPr>
          <w:szCs w:val="22"/>
        </w:rPr>
      </w:pPr>
      <w:r w:rsidRPr="00353073">
        <w:rPr>
          <w:szCs w:val="22"/>
        </w:rPr>
        <w:t>2.</w:t>
      </w:r>
      <w:r w:rsidR="00074622">
        <w:rPr>
          <w:szCs w:val="22"/>
        </w:rPr>
        <w:t>9</w:t>
      </w:r>
      <w:r>
        <w:rPr>
          <w:szCs w:val="22"/>
        </w:rPr>
        <w:tab/>
        <w:t>The overspend of £</w:t>
      </w:r>
      <w:r w:rsidR="006124A9">
        <w:rPr>
          <w:szCs w:val="22"/>
        </w:rPr>
        <w:t>0.</w:t>
      </w:r>
      <w:r w:rsidR="0003014A">
        <w:rPr>
          <w:szCs w:val="22"/>
        </w:rPr>
        <w:t>1</w:t>
      </w:r>
      <w:r>
        <w:rPr>
          <w:szCs w:val="22"/>
        </w:rPr>
        <w:t>06</w:t>
      </w:r>
      <w:r w:rsidR="006124A9">
        <w:rPr>
          <w:szCs w:val="22"/>
        </w:rPr>
        <w:t xml:space="preserve"> million </w:t>
      </w:r>
      <w:r>
        <w:rPr>
          <w:szCs w:val="22"/>
        </w:rPr>
        <w:t xml:space="preserve">is mainly due to </w:t>
      </w:r>
      <w:r w:rsidR="00E53381">
        <w:rPr>
          <w:szCs w:val="22"/>
        </w:rPr>
        <w:t>the following projects</w:t>
      </w:r>
    </w:p>
    <w:p w:rsidR="0003014A" w:rsidRDefault="0003014A" w:rsidP="002B03E3">
      <w:pPr>
        <w:ind w:left="1260" w:hanging="1260"/>
        <w:rPr>
          <w:szCs w:val="22"/>
        </w:rPr>
      </w:pPr>
    </w:p>
    <w:tbl>
      <w:tblPr>
        <w:tblStyle w:val="TableGrid"/>
        <w:tblW w:w="6379"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418"/>
      </w:tblGrid>
      <w:tr w:rsidR="00885E9C" w:rsidRPr="00A82462" w:rsidTr="00A82462">
        <w:trPr>
          <w:trHeight w:val="333"/>
        </w:trPr>
        <w:tc>
          <w:tcPr>
            <w:tcW w:w="4961" w:type="dxa"/>
            <w:shd w:val="clear" w:color="auto" w:fill="F2F2F2" w:themeFill="background1" w:themeFillShade="F2"/>
            <w:vAlign w:val="center"/>
          </w:tcPr>
          <w:p w:rsidR="00885E9C" w:rsidRPr="00A82462" w:rsidRDefault="00885E9C" w:rsidP="009A0DE5">
            <w:pPr>
              <w:tabs>
                <w:tab w:val="clear" w:pos="1260"/>
                <w:tab w:val="clear" w:pos="1980"/>
                <w:tab w:val="clear" w:pos="2700"/>
                <w:tab w:val="clear" w:pos="3420"/>
              </w:tabs>
              <w:jc w:val="left"/>
              <w:rPr>
                <w:rFonts w:cs="Arial"/>
                <w:b/>
                <w:color w:val="000000"/>
                <w:szCs w:val="22"/>
                <w:u w:val="single"/>
              </w:rPr>
            </w:pPr>
            <w:r w:rsidRPr="00A82462">
              <w:rPr>
                <w:rFonts w:cs="Arial"/>
                <w:b/>
                <w:color w:val="000000"/>
                <w:szCs w:val="22"/>
                <w:u w:val="single"/>
              </w:rPr>
              <w:t>Scheme</w:t>
            </w:r>
          </w:p>
        </w:tc>
        <w:tc>
          <w:tcPr>
            <w:tcW w:w="1418" w:type="dxa"/>
            <w:shd w:val="clear" w:color="auto" w:fill="F2F2F2" w:themeFill="background1" w:themeFillShade="F2"/>
            <w:vAlign w:val="center"/>
          </w:tcPr>
          <w:p w:rsidR="00885E9C" w:rsidRPr="00A82462" w:rsidRDefault="00885E9C" w:rsidP="00885E9C">
            <w:pPr>
              <w:jc w:val="center"/>
              <w:rPr>
                <w:b/>
                <w:szCs w:val="22"/>
              </w:rPr>
            </w:pPr>
            <w:r w:rsidRPr="00A82462">
              <w:rPr>
                <w:rFonts w:cs="Arial"/>
                <w:b/>
                <w:szCs w:val="22"/>
                <w:u w:val="single"/>
              </w:rPr>
              <w:t>£</w:t>
            </w:r>
          </w:p>
        </w:tc>
      </w:tr>
      <w:tr w:rsidR="00885E9C" w:rsidTr="00885E9C">
        <w:trPr>
          <w:trHeight w:val="333"/>
        </w:trPr>
        <w:tc>
          <w:tcPr>
            <w:tcW w:w="4961" w:type="dxa"/>
            <w:vAlign w:val="center"/>
          </w:tcPr>
          <w:p w:rsidR="00885E9C" w:rsidRDefault="00885E9C" w:rsidP="00885E9C">
            <w:pPr>
              <w:jc w:val="left"/>
              <w:rPr>
                <w:szCs w:val="22"/>
              </w:rPr>
            </w:pPr>
            <w:r w:rsidRPr="0003014A">
              <w:rPr>
                <w:szCs w:val="22"/>
              </w:rPr>
              <w:t>ICT managed project</w:t>
            </w:r>
          </w:p>
        </w:tc>
        <w:tc>
          <w:tcPr>
            <w:tcW w:w="1418" w:type="dxa"/>
            <w:vAlign w:val="center"/>
          </w:tcPr>
          <w:p w:rsidR="00885E9C" w:rsidRDefault="00885E9C" w:rsidP="00626ADC">
            <w:pPr>
              <w:jc w:val="right"/>
              <w:rPr>
                <w:szCs w:val="22"/>
              </w:rPr>
            </w:pPr>
            <w:r w:rsidRPr="005513BF">
              <w:rPr>
                <w:szCs w:val="22"/>
              </w:rPr>
              <w:t>43</w:t>
            </w:r>
            <w:r>
              <w:rPr>
                <w:szCs w:val="22"/>
              </w:rPr>
              <w:t>,</w:t>
            </w:r>
            <w:r w:rsidR="00626ADC">
              <w:rPr>
                <w:szCs w:val="22"/>
              </w:rPr>
              <w:t>400</w:t>
            </w:r>
          </w:p>
        </w:tc>
      </w:tr>
      <w:tr w:rsidR="00885E9C" w:rsidTr="00885E9C">
        <w:trPr>
          <w:trHeight w:val="422"/>
        </w:trPr>
        <w:tc>
          <w:tcPr>
            <w:tcW w:w="4961" w:type="dxa"/>
            <w:vAlign w:val="center"/>
          </w:tcPr>
          <w:p w:rsidR="00885E9C" w:rsidRPr="0003014A" w:rsidRDefault="00885E9C" w:rsidP="00885E9C">
            <w:pPr>
              <w:jc w:val="left"/>
              <w:rPr>
                <w:szCs w:val="22"/>
              </w:rPr>
            </w:pPr>
            <w:r w:rsidRPr="005513BF">
              <w:rPr>
                <w:szCs w:val="22"/>
              </w:rPr>
              <w:t>Temporary accommodation in Rickmanswort</w:t>
            </w:r>
            <w:r>
              <w:rPr>
                <w:szCs w:val="22"/>
              </w:rPr>
              <w:t>h</w:t>
            </w:r>
          </w:p>
        </w:tc>
        <w:tc>
          <w:tcPr>
            <w:tcW w:w="1418" w:type="dxa"/>
            <w:vAlign w:val="center"/>
          </w:tcPr>
          <w:p w:rsidR="00885E9C" w:rsidRDefault="00885E9C" w:rsidP="00626ADC">
            <w:pPr>
              <w:jc w:val="right"/>
              <w:rPr>
                <w:szCs w:val="22"/>
              </w:rPr>
            </w:pPr>
            <w:r w:rsidRPr="0003014A">
              <w:rPr>
                <w:szCs w:val="22"/>
              </w:rPr>
              <w:t>14</w:t>
            </w:r>
            <w:r>
              <w:rPr>
                <w:szCs w:val="22"/>
              </w:rPr>
              <w:t>,</w:t>
            </w:r>
            <w:r w:rsidR="00626ADC">
              <w:rPr>
                <w:szCs w:val="22"/>
              </w:rPr>
              <w:t>27</w:t>
            </w:r>
            <w:r>
              <w:rPr>
                <w:szCs w:val="22"/>
              </w:rPr>
              <w:t>0</w:t>
            </w:r>
          </w:p>
        </w:tc>
      </w:tr>
      <w:tr w:rsidR="00885E9C" w:rsidTr="00885E9C">
        <w:trPr>
          <w:trHeight w:val="414"/>
        </w:trPr>
        <w:tc>
          <w:tcPr>
            <w:tcW w:w="4961" w:type="dxa"/>
            <w:vAlign w:val="center"/>
          </w:tcPr>
          <w:p w:rsidR="00885E9C" w:rsidRDefault="00885E9C" w:rsidP="00885E9C">
            <w:pPr>
              <w:jc w:val="left"/>
              <w:rPr>
                <w:szCs w:val="22"/>
              </w:rPr>
            </w:pPr>
            <w:r w:rsidRPr="0003014A">
              <w:rPr>
                <w:szCs w:val="22"/>
              </w:rPr>
              <w:lastRenderedPageBreak/>
              <w:t>Improvements to play areas</w:t>
            </w:r>
          </w:p>
        </w:tc>
        <w:tc>
          <w:tcPr>
            <w:tcW w:w="1418" w:type="dxa"/>
            <w:vAlign w:val="center"/>
          </w:tcPr>
          <w:p w:rsidR="00885E9C" w:rsidRDefault="00885E9C" w:rsidP="00626ADC">
            <w:pPr>
              <w:jc w:val="right"/>
              <w:rPr>
                <w:szCs w:val="22"/>
              </w:rPr>
            </w:pPr>
            <w:r>
              <w:rPr>
                <w:szCs w:val="22"/>
              </w:rPr>
              <w:t>2</w:t>
            </w:r>
            <w:r w:rsidR="00626ADC">
              <w:rPr>
                <w:szCs w:val="22"/>
              </w:rPr>
              <w:t>8</w:t>
            </w:r>
            <w:r>
              <w:rPr>
                <w:szCs w:val="22"/>
              </w:rPr>
              <w:t>,</w:t>
            </w:r>
            <w:r w:rsidR="00626ADC">
              <w:rPr>
                <w:szCs w:val="22"/>
              </w:rPr>
              <w:t>62</w:t>
            </w:r>
            <w:r>
              <w:rPr>
                <w:szCs w:val="22"/>
              </w:rPr>
              <w:t>0</w:t>
            </w:r>
          </w:p>
        </w:tc>
      </w:tr>
      <w:tr w:rsidR="006124A9" w:rsidTr="00885E9C">
        <w:trPr>
          <w:trHeight w:val="414"/>
        </w:trPr>
        <w:tc>
          <w:tcPr>
            <w:tcW w:w="4961" w:type="dxa"/>
            <w:vAlign w:val="center"/>
          </w:tcPr>
          <w:p w:rsidR="006124A9" w:rsidRPr="0003014A" w:rsidRDefault="006124A9" w:rsidP="006124A9">
            <w:pPr>
              <w:jc w:val="left"/>
              <w:rPr>
                <w:szCs w:val="22"/>
              </w:rPr>
            </w:pPr>
            <w:r>
              <w:rPr>
                <w:szCs w:val="22"/>
              </w:rPr>
              <w:t>Other &gt;£10k overspends</w:t>
            </w:r>
          </w:p>
        </w:tc>
        <w:tc>
          <w:tcPr>
            <w:tcW w:w="1418" w:type="dxa"/>
            <w:vAlign w:val="center"/>
          </w:tcPr>
          <w:p w:rsidR="006124A9" w:rsidRDefault="006124A9" w:rsidP="00626ADC">
            <w:pPr>
              <w:jc w:val="right"/>
              <w:rPr>
                <w:szCs w:val="22"/>
              </w:rPr>
            </w:pPr>
            <w:r>
              <w:rPr>
                <w:szCs w:val="22"/>
              </w:rPr>
              <w:t>19,910</w:t>
            </w:r>
          </w:p>
        </w:tc>
      </w:tr>
    </w:tbl>
    <w:p w:rsidR="00E53381" w:rsidRDefault="00E53381" w:rsidP="00E53381">
      <w:pPr>
        <w:pStyle w:val="ListParagraph"/>
        <w:ind w:left="1980"/>
        <w:rPr>
          <w:szCs w:val="22"/>
        </w:rPr>
      </w:pPr>
    </w:p>
    <w:p w:rsidR="00A53F7B" w:rsidRPr="005513BF" w:rsidRDefault="00A53F7B" w:rsidP="00E53381">
      <w:pPr>
        <w:pStyle w:val="ListParagraph"/>
        <w:ind w:left="1980"/>
        <w:rPr>
          <w:szCs w:val="22"/>
        </w:rPr>
      </w:pPr>
    </w:p>
    <w:p w:rsidR="00353073" w:rsidRPr="00353073" w:rsidRDefault="00E53381" w:rsidP="00E53381">
      <w:pPr>
        <w:ind w:left="1260" w:hanging="1260"/>
        <w:rPr>
          <w:szCs w:val="22"/>
        </w:rPr>
      </w:pPr>
      <w:proofErr w:type="gramStart"/>
      <w:r w:rsidRPr="00E53381">
        <w:rPr>
          <w:szCs w:val="22"/>
        </w:rPr>
        <w:t>2.1</w:t>
      </w:r>
      <w:r w:rsidR="00074622">
        <w:rPr>
          <w:szCs w:val="22"/>
        </w:rPr>
        <w:t>0</w:t>
      </w:r>
      <w:r w:rsidR="007B21D3">
        <w:rPr>
          <w:szCs w:val="22"/>
        </w:rPr>
        <w:tab/>
        <w:t>The o</w:t>
      </w:r>
      <w:r w:rsidR="0003014A">
        <w:rPr>
          <w:szCs w:val="22"/>
        </w:rPr>
        <w:t>verspends</w:t>
      </w:r>
      <w:proofErr w:type="gramEnd"/>
      <w:r w:rsidR="0003014A">
        <w:rPr>
          <w:szCs w:val="22"/>
        </w:rPr>
        <w:t xml:space="preserve"> in </w:t>
      </w:r>
      <w:r w:rsidR="007B21D3">
        <w:rPr>
          <w:szCs w:val="22"/>
        </w:rPr>
        <w:t xml:space="preserve">both </w:t>
      </w:r>
      <w:r w:rsidR="0003014A">
        <w:rPr>
          <w:szCs w:val="22"/>
        </w:rPr>
        <w:t>t</w:t>
      </w:r>
      <w:r w:rsidRPr="00E53381">
        <w:rPr>
          <w:szCs w:val="22"/>
        </w:rPr>
        <w:t xml:space="preserve">emporary accommodation </w:t>
      </w:r>
      <w:r>
        <w:rPr>
          <w:szCs w:val="22"/>
        </w:rPr>
        <w:t>and improve</w:t>
      </w:r>
      <w:r w:rsidR="0003014A">
        <w:rPr>
          <w:szCs w:val="22"/>
        </w:rPr>
        <w:t>ment</w:t>
      </w:r>
      <w:r w:rsidR="007B21D3">
        <w:rPr>
          <w:szCs w:val="22"/>
        </w:rPr>
        <w:t>s</w:t>
      </w:r>
      <w:r w:rsidR="0003014A">
        <w:rPr>
          <w:szCs w:val="22"/>
        </w:rPr>
        <w:t xml:space="preserve"> to play </w:t>
      </w:r>
      <w:r>
        <w:rPr>
          <w:szCs w:val="22"/>
        </w:rPr>
        <w:t xml:space="preserve">areas </w:t>
      </w:r>
      <w:r w:rsidR="0003014A">
        <w:rPr>
          <w:szCs w:val="22"/>
        </w:rPr>
        <w:t xml:space="preserve">were originally </w:t>
      </w:r>
      <w:r>
        <w:rPr>
          <w:szCs w:val="22"/>
        </w:rPr>
        <w:t>scheduled to commence in 2017/18</w:t>
      </w:r>
      <w:r w:rsidR="007B21D3">
        <w:rPr>
          <w:szCs w:val="22"/>
        </w:rPr>
        <w:t>; the Council h</w:t>
      </w:r>
      <w:r w:rsidR="0003014A">
        <w:rPr>
          <w:szCs w:val="22"/>
        </w:rPr>
        <w:t>a</w:t>
      </w:r>
      <w:r w:rsidR="007B21D3">
        <w:rPr>
          <w:szCs w:val="22"/>
        </w:rPr>
        <w:t>s</w:t>
      </w:r>
      <w:r w:rsidR="0003014A">
        <w:rPr>
          <w:szCs w:val="22"/>
        </w:rPr>
        <w:t xml:space="preserve"> spent on these in advance and the 2017/18 budgets will be adjusted accordingly to reflect this.</w:t>
      </w:r>
      <w:r>
        <w:rPr>
          <w:szCs w:val="22"/>
        </w:rPr>
        <w:t xml:space="preserve"> </w:t>
      </w:r>
    </w:p>
    <w:p w:rsidR="00C467C6" w:rsidRPr="00353073" w:rsidRDefault="00C467C6" w:rsidP="002B03E3">
      <w:pPr>
        <w:ind w:left="1260" w:hanging="1260"/>
        <w:rPr>
          <w:szCs w:val="22"/>
        </w:rPr>
      </w:pPr>
    </w:p>
    <w:p w:rsidR="00C467C6" w:rsidRDefault="00353073" w:rsidP="002B03E3">
      <w:pPr>
        <w:ind w:left="1260" w:hanging="1260"/>
        <w:rPr>
          <w:szCs w:val="22"/>
        </w:rPr>
      </w:pPr>
      <w:r w:rsidRPr="00353073">
        <w:rPr>
          <w:szCs w:val="22"/>
        </w:rPr>
        <w:t>2.1</w:t>
      </w:r>
      <w:r w:rsidR="00074622">
        <w:rPr>
          <w:szCs w:val="22"/>
        </w:rPr>
        <w:t>1</w:t>
      </w:r>
      <w:r>
        <w:rPr>
          <w:szCs w:val="22"/>
        </w:rPr>
        <w:tab/>
        <w:t xml:space="preserve">The underspend </w:t>
      </w:r>
      <w:r w:rsidR="00E53381">
        <w:rPr>
          <w:szCs w:val="22"/>
        </w:rPr>
        <w:t>of £0.</w:t>
      </w:r>
      <w:r w:rsidR="00A44AF1">
        <w:rPr>
          <w:szCs w:val="22"/>
        </w:rPr>
        <w:t>114</w:t>
      </w:r>
      <w:r w:rsidR="00E53381">
        <w:rPr>
          <w:szCs w:val="22"/>
        </w:rPr>
        <w:t xml:space="preserve"> million is mainly due</w:t>
      </w:r>
      <w:r w:rsidR="005513BF">
        <w:rPr>
          <w:szCs w:val="22"/>
        </w:rPr>
        <w:t xml:space="preserve"> </w:t>
      </w:r>
      <w:r>
        <w:rPr>
          <w:szCs w:val="22"/>
        </w:rPr>
        <w:t>to the</w:t>
      </w:r>
      <w:r w:rsidR="00E53381">
        <w:rPr>
          <w:szCs w:val="22"/>
        </w:rPr>
        <w:t xml:space="preserve"> </w:t>
      </w:r>
      <w:r w:rsidR="00C467C6">
        <w:rPr>
          <w:szCs w:val="22"/>
        </w:rPr>
        <w:t>following projects:</w:t>
      </w:r>
    </w:p>
    <w:p w:rsidR="00C467C6" w:rsidRDefault="00C467C6" w:rsidP="002B03E3">
      <w:pPr>
        <w:ind w:left="1260" w:hanging="1260"/>
        <w:rPr>
          <w:szCs w:val="22"/>
        </w:rPr>
      </w:pPr>
    </w:p>
    <w:tbl>
      <w:tblPr>
        <w:tblStyle w:val="TableGrid"/>
        <w:tblW w:w="6379"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418"/>
      </w:tblGrid>
      <w:tr w:rsidR="00885E9C" w:rsidTr="00FF2BA7">
        <w:trPr>
          <w:trHeight w:val="495"/>
        </w:trPr>
        <w:tc>
          <w:tcPr>
            <w:tcW w:w="4961" w:type="dxa"/>
            <w:shd w:val="clear" w:color="auto" w:fill="F2F2F2" w:themeFill="background1" w:themeFillShade="F2"/>
            <w:vAlign w:val="center"/>
          </w:tcPr>
          <w:p w:rsidR="00885E9C" w:rsidRPr="00A82462" w:rsidRDefault="00885E9C" w:rsidP="00885E9C">
            <w:pPr>
              <w:jc w:val="left"/>
              <w:rPr>
                <w:b/>
                <w:szCs w:val="22"/>
                <w:u w:val="single"/>
              </w:rPr>
            </w:pPr>
            <w:r w:rsidRPr="00A82462">
              <w:rPr>
                <w:b/>
                <w:szCs w:val="22"/>
                <w:u w:val="single"/>
              </w:rPr>
              <w:t>Scheme</w:t>
            </w:r>
          </w:p>
        </w:tc>
        <w:tc>
          <w:tcPr>
            <w:tcW w:w="1418" w:type="dxa"/>
            <w:shd w:val="clear" w:color="auto" w:fill="F2F2F2" w:themeFill="background1" w:themeFillShade="F2"/>
            <w:vAlign w:val="center"/>
          </w:tcPr>
          <w:p w:rsidR="00885E9C" w:rsidRPr="00A82462" w:rsidRDefault="00885E9C" w:rsidP="00885E9C">
            <w:pPr>
              <w:jc w:val="center"/>
              <w:rPr>
                <w:b/>
                <w:szCs w:val="22"/>
                <w:u w:val="single"/>
              </w:rPr>
            </w:pPr>
            <w:r w:rsidRPr="00A82462">
              <w:rPr>
                <w:b/>
                <w:szCs w:val="22"/>
                <w:u w:val="single"/>
              </w:rPr>
              <w:t>£</w:t>
            </w:r>
          </w:p>
        </w:tc>
      </w:tr>
      <w:tr w:rsidR="00C467C6" w:rsidTr="00FF2BA7">
        <w:trPr>
          <w:trHeight w:val="426"/>
        </w:trPr>
        <w:tc>
          <w:tcPr>
            <w:tcW w:w="4961" w:type="dxa"/>
            <w:vAlign w:val="center"/>
          </w:tcPr>
          <w:p w:rsidR="00C467C6" w:rsidRPr="0003014A" w:rsidRDefault="00C467C6" w:rsidP="00885E9C">
            <w:pPr>
              <w:jc w:val="left"/>
              <w:rPr>
                <w:szCs w:val="22"/>
              </w:rPr>
            </w:pPr>
            <w:r>
              <w:rPr>
                <w:szCs w:val="22"/>
              </w:rPr>
              <w:t>Car park restorations</w:t>
            </w:r>
          </w:p>
        </w:tc>
        <w:tc>
          <w:tcPr>
            <w:tcW w:w="1418" w:type="dxa"/>
            <w:vAlign w:val="center"/>
          </w:tcPr>
          <w:p w:rsidR="00C467C6" w:rsidRDefault="00C467C6" w:rsidP="00626ADC">
            <w:pPr>
              <w:jc w:val="right"/>
              <w:rPr>
                <w:szCs w:val="22"/>
              </w:rPr>
            </w:pPr>
            <w:r w:rsidRPr="0003014A">
              <w:rPr>
                <w:szCs w:val="22"/>
              </w:rPr>
              <w:t>1</w:t>
            </w:r>
            <w:r w:rsidR="00626ADC">
              <w:rPr>
                <w:szCs w:val="22"/>
              </w:rPr>
              <w:t>0</w:t>
            </w:r>
            <w:r>
              <w:rPr>
                <w:szCs w:val="22"/>
              </w:rPr>
              <w:t>,</w:t>
            </w:r>
            <w:r w:rsidR="00626ADC">
              <w:rPr>
                <w:szCs w:val="22"/>
              </w:rPr>
              <w:t>800</w:t>
            </w:r>
            <w:r w:rsidRPr="0003014A">
              <w:rPr>
                <w:szCs w:val="22"/>
              </w:rPr>
              <w:t xml:space="preserve"> </w:t>
            </w:r>
          </w:p>
        </w:tc>
      </w:tr>
      <w:tr w:rsidR="00C467C6" w:rsidTr="00FF2BA7">
        <w:trPr>
          <w:trHeight w:val="432"/>
        </w:trPr>
        <w:tc>
          <w:tcPr>
            <w:tcW w:w="4961" w:type="dxa"/>
            <w:vAlign w:val="center"/>
          </w:tcPr>
          <w:p w:rsidR="00C467C6" w:rsidRDefault="00C467C6" w:rsidP="00885E9C">
            <w:pPr>
              <w:jc w:val="left"/>
              <w:rPr>
                <w:szCs w:val="22"/>
              </w:rPr>
            </w:pPr>
            <w:r>
              <w:rPr>
                <w:szCs w:val="22"/>
              </w:rPr>
              <w:t>Renovation grants</w:t>
            </w:r>
            <w:r w:rsidRPr="0003014A">
              <w:rPr>
                <w:szCs w:val="22"/>
              </w:rPr>
              <w:t xml:space="preserve"> </w:t>
            </w:r>
          </w:p>
        </w:tc>
        <w:tc>
          <w:tcPr>
            <w:tcW w:w="1418" w:type="dxa"/>
            <w:vAlign w:val="center"/>
          </w:tcPr>
          <w:p w:rsidR="00C467C6" w:rsidRDefault="00C467C6" w:rsidP="00626ADC">
            <w:pPr>
              <w:jc w:val="right"/>
              <w:rPr>
                <w:szCs w:val="22"/>
              </w:rPr>
            </w:pPr>
            <w:r>
              <w:rPr>
                <w:szCs w:val="22"/>
              </w:rPr>
              <w:t>10,000</w:t>
            </w:r>
          </w:p>
        </w:tc>
      </w:tr>
      <w:tr w:rsidR="00C467C6" w:rsidTr="00FF2BA7">
        <w:trPr>
          <w:trHeight w:val="425"/>
        </w:trPr>
        <w:tc>
          <w:tcPr>
            <w:tcW w:w="4961" w:type="dxa"/>
            <w:vAlign w:val="center"/>
          </w:tcPr>
          <w:p w:rsidR="00C467C6" w:rsidRDefault="00C467C6" w:rsidP="00885E9C">
            <w:pPr>
              <w:jc w:val="left"/>
              <w:rPr>
                <w:szCs w:val="22"/>
              </w:rPr>
            </w:pPr>
            <w:r>
              <w:rPr>
                <w:szCs w:val="22"/>
              </w:rPr>
              <w:t>ICT elections</w:t>
            </w:r>
          </w:p>
        </w:tc>
        <w:tc>
          <w:tcPr>
            <w:tcW w:w="1418" w:type="dxa"/>
            <w:vAlign w:val="center"/>
          </w:tcPr>
          <w:p w:rsidR="00C467C6" w:rsidRDefault="00626ADC" w:rsidP="00626ADC">
            <w:pPr>
              <w:jc w:val="right"/>
              <w:rPr>
                <w:szCs w:val="22"/>
              </w:rPr>
            </w:pPr>
            <w:r>
              <w:rPr>
                <w:szCs w:val="22"/>
              </w:rPr>
              <w:t>20</w:t>
            </w:r>
            <w:r w:rsidR="00C467C6">
              <w:rPr>
                <w:szCs w:val="22"/>
              </w:rPr>
              <w:t>,</w:t>
            </w:r>
            <w:r>
              <w:rPr>
                <w:szCs w:val="22"/>
              </w:rPr>
              <w:t>71</w:t>
            </w:r>
            <w:r w:rsidR="00C467C6">
              <w:rPr>
                <w:szCs w:val="22"/>
              </w:rPr>
              <w:t>0</w:t>
            </w:r>
          </w:p>
        </w:tc>
      </w:tr>
      <w:tr w:rsidR="00C467C6" w:rsidTr="00FF2BA7">
        <w:trPr>
          <w:trHeight w:val="430"/>
        </w:trPr>
        <w:tc>
          <w:tcPr>
            <w:tcW w:w="4961" w:type="dxa"/>
            <w:vAlign w:val="center"/>
          </w:tcPr>
          <w:p w:rsidR="00C467C6" w:rsidRDefault="00C467C6" w:rsidP="00885E9C">
            <w:pPr>
              <w:jc w:val="left"/>
              <w:rPr>
                <w:szCs w:val="22"/>
              </w:rPr>
            </w:pPr>
            <w:r>
              <w:rPr>
                <w:szCs w:val="22"/>
              </w:rPr>
              <w:t>South Oxhey allotment gardens</w:t>
            </w:r>
          </w:p>
        </w:tc>
        <w:tc>
          <w:tcPr>
            <w:tcW w:w="1418" w:type="dxa"/>
            <w:vAlign w:val="center"/>
          </w:tcPr>
          <w:p w:rsidR="00C467C6" w:rsidRDefault="00C467C6" w:rsidP="00626ADC">
            <w:pPr>
              <w:jc w:val="right"/>
              <w:rPr>
                <w:szCs w:val="22"/>
              </w:rPr>
            </w:pPr>
            <w:r>
              <w:rPr>
                <w:szCs w:val="22"/>
              </w:rPr>
              <w:t>10,000</w:t>
            </w:r>
          </w:p>
        </w:tc>
      </w:tr>
      <w:tr w:rsidR="00C467C6" w:rsidTr="00FF2BA7">
        <w:trPr>
          <w:trHeight w:val="422"/>
        </w:trPr>
        <w:tc>
          <w:tcPr>
            <w:tcW w:w="4961" w:type="dxa"/>
            <w:vAlign w:val="center"/>
          </w:tcPr>
          <w:p w:rsidR="00C467C6" w:rsidRDefault="00C467C6" w:rsidP="00885E9C">
            <w:pPr>
              <w:jc w:val="left"/>
              <w:rPr>
                <w:szCs w:val="22"/>
              </w:rPr>
            </w:pPr>
            <w:r>
              <w:rPr>
                <w:szCs w:val="22"/>
              </w:rPr>
              <w:t>Other &gt;£10k underspends</w:t>
            </w:r>
          </w:p>
        </w:tc>
        <w:tc>
          <w:tcPr>
            <w:tcW w:w="1418" w:type="dxa"/>
            <w:vAlign w:val="center"/>
          </w:tcPr>
          <w:p w:rsidR="00C467C6" w:rsidRDefault="00085ACF" w:rsidP="006124A9">
            <w:pPr>
              <w:jc w:val="right"/>
              <w:rPr>
                <w:szCs w:val="22"/>
              </w:rPr>
            </w:pPr>
            <w:r>
              <w:rPr>
                <w:szCs w:val="22"/>
              </w:rPr>
              <w:t>6</w:t>
            </w:r>
            <w:r w:rsidR="00C467C6">
              <w:rPr>
                <w:szCs w:val="22"/>
              </w:rPr>
              <w:t>2,</w:t>
            </w:r>
            <w:r w:rsidR="006124A9">
              <w:rPr>
                <w:szCs w:val="22"/>
              </w:rPr>
              <w:t>450</w:t>
            </w:r>
          </w:p>
        </w:tc>
      </w:tr>
    </w:tbl>
    <w:p w:rsidR="00C467C6" w:rsidRDefault="00C467C6" w:rsidP="002B03E3">
      <w:pPr>
        <w:ind w:left="1260" w:hanging="1260"/>
        <w:rPr>
          <w:szCs w:val="22"/>
        </w:rPr>
      </w:pPr>
    </w:p>
    <w:p w:rsidR="002B03E3" w:rsidRDefault="00353073" w:rsidP="00353073">
      <w:pPr>
        <w:ind w:left="1260" w:hanging="1260"/>
        <w:rPr>
          <w:rFonts w:cs="Arial"/>
          <w:szCs w:val="22"/>
        </w:rPr>
      </w:pPr>
      <w:r w:rsidRPr="00353073">
        <w:rPr>
          <w:szCs w:val="22"/>
        </w:rPr>
        <w:t>2.1</w:t>
      </w:r>
      <w:r w:rsidR="00A44AF1">
        <w:rPr>
          <w:szCs w:val="22"/>
        </w:rPr>
        <w:t>2</w:t>
      </w:r>
      <w:r>
        <w:rPr>
          <w:sz w:val="20"/>
        </w:rPr>
        <w:tab/>
      </w:r>
      <w:r w:rsidR="002B03E3" w:rsidRPr="002C08E1">
        <w:rPr>
          <w:szCs w:val="22"/>
        </w:rPr>
        <w:t>The capital programme is primarily funded from</w:t>
      </w:r>
      <w:r w:rsidR="002B03E3" w:rsidRPr="002C08E1">
        <w:rPr>
          <w:rFonts w:cs="Arial"/>
          <w:szCs w:val="22"/>
        </w:rPr>
        <w:t xml:space="preserve"> capital receipts and government grant</w:t>
      </w:r>
      <w:r w:rsidR="002B03E3" w:rsidRPr="007940B5">
        <w:rPr>
          <w:rFonts w:cs="Arial"/>
          <w:color w:val="4F81BD" w:themeColor="accent1"/>
          <w:szCs w:val="22"/>
        </w:rPr>
        <w:t>.</w:t>
      </w:r>
      <w:r w:rsidR="0095619D" w:rsidRPr="007940B5">
        <w:rPr>
          <w:rFonts w:cs="Arial"/>
          <w:b/>
          <w:color w:val="4F81BD" w:themeColor="accent1"/>
          <w:szCs w:val="22"/>
        </w:rPr>
        <w:t xml:space="preserve"> </w:t>
      </w:r>
      <w:r w:rsidR="0095619D" w:rsidRPr="009E2688">
        <w:rPr>
          <w:rFonts w:cs="Arial"/>
          <w:b/>
          <w:szCs w:val="22"/>
        </w:rPr>
        <w:t xml:space="preserve">Appendix </w:t>
      </w:r>
      <w:r w:rsidR="00165D26" w:rsidRPr="009E2688">
        <w:rPr>
          <w:rFonts w:cs="Arial"/>
          <w:b/>
          <w:szCs w:val="22"/>
        </w:rPr>
        <w:t>5</w:t>
      </w:r>
      <w:r w:rsidR="0095619D" w:rsidRPr="009E2688">
        <w:rPr>
          <w:rFonts w:cs="Arial"/>
          <w:b/>
          <w:szCs w:val="22"/>
        </w:rPr>
        <w:t xml:space="preserve"> </w:t>
      </w:r>
      <w:r w:rsidR="0095619D" w:rsidRPr="009E2688">
        <w:rPr>
          <w:rFonts w:cs="Arial"/>
          <w:szCs w:val="22"/>
        </w:rPr>
        <w:t>shows the funding of the programme over the medium term.</w:t>
      </w:r>
      <w:r w:rsidR="002B03E3" w:rsidRPr="009E2688">
        <w:rPr>
          <w:rFonts w:cs="Arial"/>
          <w:szCs w:val="22"/>
        </w:rPr>
        <w:t xml:space="preserve"> </w:t>
      </w:r>
      <w:r w:rsidR="00085ACF" w:rsidRPr="009E2688">
        <w:rPr>
          <w:rFonts w:cs="Arial"/>
          <w:szCs w:val="22"/>
        </w:rPr>
        <w:t xml:space="preserve"> </w:t>
      </w:r>
      <w:r w:rsidR="002B03E3" w:rsidRPr="009E2688">
        <w:rPr>
          <w:rFonts w:cs="Arial"/>
          <w:szCs w:val="22"/>
        </w:rPr>
        <w:t>Capital expenditure totalling £</w:t>
      </w:r>
      <w:r w:rsidR="00074622" w:rsidRPr="009E2688">
        <w:rPr>
          <w:rFonts w:cs="Arial"/>
          <w:szCs w:val="22"/>
        </w:rPr>
        <w:t>17</w:t>
      </w:r>
      <w:r w:rsidR="00416FE0">
        <w:rPr>
          <w:rFonts w:cs="Arial"/>
          <w:szCs w:val="22"/>
        </w:rPr>
        <w:t>.1</w:t>
      </w:r>
      <w:r w:rsidR="00085ACF" w:rsidRPr="009E2688">
        <w:rPr>
          <w:rFonts w:cs="Arial"/>
          <w:szCs w:val="22"/>
        </w:rPr>
        <w:t xml:space="preserve"> </w:t>
      </w:r>
      <w:r w:rsidR="00A133A1" w:rsidRPr="009E2688">
        <w:rPr>
          <w:rFonts w:cs="Arial"/>
          <w:szCs w:val="22"/>
        </w:rPr>
        <w:t>m</w:t>
      </w:r>
      <w:r w:rsidR="00085ACF" w:rsidRPr="009E2688">
        <w:rPr>
          <w:rFonts w:cs="Arial"/>
          <w:szCs w:val="22"/>
        </w:rPr>
        <w:t>illion</w:t>
      </w:r>
      <w:r w:rsidR="002B03E3" w:rsidRPr="009E2688">
        <w:rPr>
          <w:rFonts w:cs="Arial"/>
          <w:szCs w:val="22"/>
        </w:rPr>
        <w:t xml:space="preserve"> </w:t>
      </w:r>
      <w:r w:rsidR="002B03E3" w:rsidRPr="002C08E1">
        <w:rPr>
          <w:rFonts w:cs="Arial"/>
          <w:szCs w:val="22"/>
        </w:rPr>
        <w:t xml:space="preserve">is planned for the period </w:t>
      </w:r>
      <w:r w:rsidR="00085ACF">
        <w:rPr>
          <w:rFonts w:cs="Arial"/>
          <w:szCs w:val="22"/>
        </w:rPr>
        <w:t>up to 2019</w:t>
      </w:r>
      <w:r w:rsidR="002C08E1">
        <w:rPr>
          <w:rFonts w:cs="Arial"/>
          <w:szCs w:val="22"/>
        </w:rPr>
        <w:t xml:space="preserve">/20 </w:t>
      </w:r>
      <w:r w:rsidR="002B03E3" w:rsidRPr="002C08E1">
        <w:rPr>
          <w:rFonts w:cs="Arial"/>
          <w:szCs w:val="22"/>
        </w:rPr>
        <w:t xml:space="preserve">and built into the medium term financial </w:t>
      </w:r>
      <w:r w:rsidR="005153C6" w:rsidRPr="002C08E1">
        <w:rPr>
          <w:rFonts w:cs="Arial"/>
          <w:szCs w:val="22"/>
        </w:rPr>
        <w:t>plan</w:t>
      </w:r>
      <w:r w:rsidR="002B03E3" w:rsidRPr="002C08E1">
        <w:rPr>
          <w:rFonts w:cs="Arial"/>
          <w:szCs w:val="22"/>
        </w:rPr>
        <w:t>.</w:t>
      </w:r>
    </w:p>
    <w:p w:rsidR="00085ACF" w:rsidRDefault="00085ACF" w:rsidP="00353073">
      <w:pPr>
        <w:ind w:left="1260" w:hanging="1260"/>
        <w:rPr>
          <w:rFonts w:cs="Arial"/>
          <w:szCs w:val="22"/>
        </w:rPr>
      </w:pPr>
    </w:p>
    <w:p w:rsidR="00085ACF" w:rsidRDefault="00085ACF" w:rsidP="00353073">
      <w:pPr>
        <w:ind w:left="1260" w:hanging="1260"/>
        <w:rPr>
          <w:rFonts w:cs="Arial"/>
          <w:szCs w:val="22"/>
        </w:rPr>
      </w:pPr>
      <w:r>
        <w:rPr>
          <w:rFonts w:cs="Arial"/>
          <w:szCs w:val="22"/>
        </w:rPr>
        <w:t>2.1</w:t>
      </w:r>
      <w:r w:rsidR="00A44AF1">
        <w:rPr>
          <w:rFonts w:cs="Arial"/>
          <w:szCs w:val="22"/>
        </w:rPr>
        <w:t>3</w:t>
      </w:r>
      <w:r>
        <w:rPr>
          <w:rFonts w:cs="Arial"/>
          <w:szCs w:val="22"/>
        </w:rPr>
        <w:tab/>
        <w:t xml:space="preserve">The council has not </w:t>
      </w:r>
      <w:r w:rsidR="007B21D3">
        <w:rPr>
          <w:rFonts w:cs="Arial"/>
          <w:szCs w:val="22"/>
        </w:rPr>
        <w:t xml:space="preserve">needed </w:t>
      </w:r>
      <w:r>
        <w:rPr>
          <w:rFonts w:cs="Arial"/>
          <w:szCs w:val="22"/>
        </w:rPr>
        <w:t>to borrow</w:t>
      </w:r>
      <w:r w:rsidR="007B21D3">
        <w:rPr>
          <w:rFonts w:cs="Arial"/>
          <w:szCs w:val="22"/>
        </w:rPr>
        <w:t xml:space="preserve"> externally</w:t>
      </w:r>
      <w:r>
        <w:rPr>
          <w:rFonts w:cs="Arial"/>
          <w:szCs w:val="22"/>
        </w:rPr>
        <w:t xml:space="preserve"> to support its capital programme</w:t>
      </w:r>
      <w:r w:rsidR="00065DA9">
        <w:rPr>
          <w:rFonts w:cs="Arial"/>
          <w:szCs w:val="22"/>
        </w:rPr>
        <w:t xml:space="preserve"> in the last financial year</w:t>
      </w:r>
      <w:r>
        <w:rPr>
          <w:rFonts w:cs="Arial"/>
          <w:szCs w:val="22"/>
        </w:rPr>
        <w:t>.</w:t>
      </w:r>
    </w:p>
    <w:p w:rsidR="00004661" w:rsidRDefault="00004661" w:rsidP="00353073">
      <w:pPr>
        <w:ind w:left="1260" w:hanging="1260"/>
        <w:rPr>
          <w:rFonts w:cs="Arial"/>
          <w:szCs w:val="22"/>
        </w:rPr>
      </w:pPr>
    </w:p>
    <w:p w:rsidR="00004661" w:rsidRDefault="00004661" w:rsidP="00353073">
      <w:pPr>
        <w:ind w:left="1260" w:hanging="1260"/>
        <w:rPr>
          <w:rFonts w:cs="Arial"/>
          <w:szCs w:val="22"/>
        </w:rPr>
      </w:pPr>
      <w:r>
        <w:rPr>
          <w:rFonts w:cs="Arial"/>
          <w:szCs w:val="22"/>
        </w:rPr>
        <w:t>2.1</w:t>
      </w:r>
      <w:r w:rsidR="00A44AF1">
        <w:rPr>
          <w:rFonts w:cs="Arial"/>
          <w:szCs w:val="22"/>
        </w:rPr>
        <w:t>4</w:t>
      </w:r>
      <w:r>
        <w:rPr>
          <w:rFonts w:cs="Arial"/>
          <w:szCs w:val="22"/>
        </w:rPr>
        <w:tab/>
        <w:t xml:space="preserve">There is </w:t>
      </w:r>
      <w:r w:rsidR="007B21D3">
        <w:rPr>
          <w:rFonts w:cs="Arial"/>
          <w:szCs w:val="22"/>
        </w:rPr>
        <w:t xml:space="preserve">also </w:t>
      </w:r>
      <w:r>
        <w:rPr>
          <w:rFonts w:cs="Arial"/>
          <w:szCs w:val="22"/>
        </w:rPr>
        <w:t>a request to re-phase capital budgets for the South Oxhey Initiative of £511,0</w:t>
      </w:r>
      <w:r w:rsidR="00074622">
        <w:rPr>
          <w:rFonts w:cs="Arial"/>
          <w:szCs w:val="22"/>
        </w:rPr>
        <w:t>4</w:t>
      </w:r>
      <w:r>
        <w:rPr>
          <w:rFonts w:cs="Arial"/>
          <w:szCs w:val="22"/>
        </w:rPr>
        <w:t xml:space="preserve">0 from 2016/17 to 2017/18.  This is to facilitate the continued acquisition of properties to enable the project to reach completion.  </w:t>
      </w:r>
    </w:p>
    <w:p w:rsidR="00085ACF" w:rsidRPr="002C08E1" w:rsidRDefault="00085ACF" w:rsidP="00353073">
      <w:pPr>
        <w:ind w:left="1260" w:hanging="1260"/>
        <w:rPr>
          <w:rFonts w:cs="Arial"/>
          <w:szCs w:val="22"/>
        </w:rPr>
      </w:pPr>
    </w:p>
    <w:p w:rsidR="00F4144B" w:rsidRPr="002C08E1" w:rsidRDefault="00F4144B">
      <w:pPr>
        <w:keepNext/>
        <w:ind w:left="1267" w:hanging="1267"/>
      </w:pPr>
      <w:r w:rsidRPr="002C08E1">
        <w:t>3.</w:t>
      </w:r>
      <w:r w:rsidRPr="002C08E1">
        <w:tab/>
      </w:r>
      <w:r w:rsidRPr="002C08E1">
        <w:rPr>
          <w:b/>
        </w:rPr>
        <w:t>Options/Reasons for Recommendation</w:t>
      </w:r>
    </w:p>
    <w:p w:rsidR="00F4144B" w:rsidRPr="002C08E1" w:rsidRDefault="00F4144B">
      <w:pPr>
        <w:keepNext/>
        <w:ind w:left="1267" w:hanging="1267"/>
      </w:pPr>
    </w:p>
    <w:p w:rsidR="00A6630B" w:rsidRPr="002C08E1" w:rsidRDefault="00CF3D9A" w:rsidP="00CF3D9A">
      <w:pPr>
        <w:ind w:left="1267" w:hanging="1267"/>
      </w:pPr>
      <w:r w:rsidRPr="002C08E1">
        <w:t>3.1</w:t>
      </w:r>
      <w:r w:rsidRPr="002C08E1">
        <w:tab/>
      </w:r>
      <w:r w:rsidR="00F4144B" w:rsidRPr="002C08E1">
        <w:fldChar w:fldCharType="begin"/>
      </w:r>
      <w:r w:rsidR="00F4144B" w:rsidRPr="002C08E1">
        <w:instrText xml:space="preserve">  </w:instrText>
      </w:r>
      <w:r w:rsidR="00F4144B" w:rsidRPr="002C08E1">
        <w:fldChar w:fldCharType="end"/>
      </w:r>
      <w:r w:rsidR="00A6630B" w:rsidRPr="002C08E1">
        <w:t xml:space="preserve">The recommendations below enable the </w:t>
      </w:r>
      <w:r w:rsidR="00BE4FC7" w:rsidRPr="002C08E1">
        <w:t>Committee</w:t>
      </w:r>
      <w:r w:rsidR="00A6630B" w:rsidRPr="002C08E1">
        <w:t xml:space="preserve"> to make recommendations to Council concerning the</w:t>
      </w:r>
      <w:r w:rsidR="00011910" w:rsidRPr="002C08E1">
        <w:t>ir</w:t>
      </w:r>
      <w:r w:rsidR="00A6630B" w:rsidRPr="002C08E1">
        <w:t xml:space="preserve"> budget.</w:t>
      </w:r>
    </w:p>
    <w:p w:rsidR="00F4144B" w:rsidRDefault="00F4144B">
      <w:pPr>
        <w:ind w:left="1267" w:hanging="1267"/>
        <w:rPr>
          <w:color w:val="4F81BD" w:themeColor="accent1"/>
        </w:rPr>
      </w:pPr>
    </w:p>
    <w:p w:rsidR="00F4144B" w:rsidRPr="002C08E1" w:rsidRDefault="00F4144B">
      <w:pPr>
        <w:keepNext/>
        <w:ind w:left="1267" w:hanging="1267"/>
        <w:rPr>
          <w:b/>
        </w:rPr>
      </w:pPr>
      <w:r w:rsidRPr="002C08E1">
        <w:t>4.</w:t>
      </w:r>
      <w:r w:rsidRPr="002C08E1">
        <w:tab/>
      </w:r>
      <w:r w:rsidRPr="002C08E1">
        <w:rPr>
          <w:b/>
        </w:rPr>
        <w:t>Policy</w:t>
      </w:r>
      <w:r w:rsidR="00CF3D9A" w:rsidRPr="002C08E1">
        <w:rPr>
          <w:b/>
        </w:rPr>
        <w:t xml:space="preserve"> </w:t>
      </w:r>
      <w:r w:rsidRPr="002C08E1">
        <w:rPr>
          <w:b/>
        </w:rPr>
        <w:t>/</w:t>
      </w:r>
      <w:r w:rsidR="00CF3D9A" w:rsidRPr="002C08E1">
        <w:rPr>
          <w:b/>
        </w:rPr>
        <w:t xml:space="preserve"> </w:t>
      </w:r>
      <w:r w:rsidRPr="002C08E1">
        <w:rPr>
          <w:b/>
        </w:rPr>
        <w:t>Budget Reference and Implications</w:t>
      </w:r>
    </w:p>
    <w:p w:rsidR="00F62C05" w:rsidRPr="002C08E1" w:rsidRDefault="00F62C05" w:rsidP="00F62C05">
      <w:pPr>
        <w:ind w:left="1267" w:hanging="1267"/>
      </w:pPr>
      <w:r w:rsidRPr="002C08E1">
        <w:tab/>
      </w:r>
    </w:p>
    <w:p w:rsidR="00F62C05" w:rsidRPr="002C08E1" w:rsidRDefault="00F62C05" w:rsidP="00F62C05">
      <w:pPr>
        <w:ind w:left="1267" w:hanging="1267"/>
        <w:rPr>
          <w:b/>
          <w:i/>
        </w:rPr>
      </w:pPr>
      <w:r w:rsidRPr="002C08E1">
        <w:t>4.1</w:t>
      </w:r>
      <w:r w:rsidRPr="002C08E1">
        <w:tab/>
        <w:t>The recommendations in this report are within the Council’s agreed policy</w:t>
      </w:r>
      <w:r w:rsidR="00281E26" w:rsidRPr="002C08E1">
        <w:t xml:space="preserve"> but not within agreed</w:t>
      </w:r>
      <w:r w:rsidRPr="002C08E1">
        <w:t xml:space="preserve"> budgets</w:t>
      </w:r>
      <w:r w:rsidRPr="002C08E1">
        <w:rPr>
          <w:b/>
          <w:i/>
        </w:rPr>
        <w:t>.</w:t>
      </w:r>
      <w:r w:rsidR="00065DA9" w:rsidRPr="00065DA9">
        <w:t xml:space="preserve"> </w:t>
      </w:r>
      <w:r w:rsidR="00065DA9">
        <w:t xml:space="preserve"> </w:t>
      </w:r>
      <w:r w:rsidR="00065DA9" w:rsidRPr="002C08E1">
        <w:t>An</w:t>
      </w:r>
      <w:r w:rsidR="00065DA9">
        <w:t>y</w:t>
      </w:r>
      <w:r w:rsidR="00065DA9" w:rsidRPr="002C08E1">
        <w:t xml:space="preserve"> overall increase in the committees</w:t>
      </w:r>
      <w:r w:rsidR="00065DA9">
        <w:t>’</w:t>
      </w:r>
      <w:r w:rsidR="00065DA9" w:rsidRPr="002C08E1">
        <w:t xml:space="preserve"> budgets requiring the use of the Council’s balances must be approved by Council.</w:t>
      </w:r>
    </w:p>
    <w:p w:rsidR="00F4144B" w:rsidRPr="007940B5" w:rsidRDefault="00011910">
      <w:pPr>
        <w:ind w:left="1267" w:hanging="1267"/>
        <w:rPr>
          <w:color w:val="4F81BD" w:themeColor="accent1"/>
        </w:rPr>
      </w:pPr>
      <w:r w:rsidRPr="007940B5">
        <w:rPr>
          <w:color w:val="4F81BD" w:themeColor="accent1"/>
        </w:rPr>
        <w:tab/>
      </w:r>
    </w:p>
    <w:p w:rsidR="00F4144B" w:rsidRPr="00E478F1" w:rsidRDefault="009E0C43">
      <w:pPr>
        <w:keepNext/>
        <w:ind w:left="1267" w:hanging="1267"/>
      </w:pPr>
      <w:r w:rsidRPr="00E478F1">
        <w:t>5.</w:t>
      </w:r>
      <w:r w:rsidR="00F4144B" w:rsidRPr="00E478F1">
        <w:fldChar w:fldCharType="begin"/>
      </w:r>
      <w:r w:rsidR="00F4144B" w:rsidRPr="00E478F1">
        <w:instrText xml:space="preserve">  </w:instrText>
      </w:r>
      <w:r w:rsidR="00F4144B" w:rsidRPr="00E478F1">
        <w:fldChar w:fldCharType="end"/>
      </w:r>
      <w:r w:rsidR="00F4144B" w:rsidRPr="00E478F1">
        <w:tab/>
      </w:r>
      <w:r w:rsidR="00F4144B" w:rsidRPr="00E478F1">
        <w:rPr>
          <w:b/>
        </w:rPr>
        <w:t>Legal, Equal Opportunities, Staffing, Environmental, Community Safety, Customer Services Centre, Communications &amp; Website, and Health &amp; Safety Implications</w:t>
      </w:r>
    </w:p>
    <w:p w:rsidR="00F4144B" w:rsidRPr="00E478F1" w:rsidRDefault="00F4144B">
      <w:pPr>
        <w:keepNext/>
        <w:ind w:left="1267" w:hanging="1267"/>
      </w:pPr>
    </w:p>
    <w:p w:rsidR="00F4144B" w:rsidRDefault="009E0C43">
      <w:pPr>
        <w:ind w:left="1267" w:hanging="1267"/>
      </w:pPr>
      <w:r w:rsidRPr="00E478F1">
        <w:t>5.1</w:t>
      </w:r>
      <w:r w:rsidR="00F4144B" w:rsidRPr="00E478F1">
        <w:fldChar w:fldCharType="begin"/>
      </w:r>
      <w:r w:rsidR="00F4144B" w:rsidRPr="00E478F1">
        <w:instrText xml:space="preserve">  </w:instrText>
      </w:r>
      <w:r w:rsidR="00F4144B" w:rsidRPr="00E478F1">
        <w:fldChar w:fldCharType="end"/>
      </w:r>
      <w:r w:rsidR="00F4144B" w:rsidRPr="00E478F1">
        <w:tab/>
        <w:t>None specific.</w:t>
      </w:r>
    </w:p>
    <w:p w:rsidR="004C0F74" w:rsidRPr="00E478F1" w:rsidRDefault="004C0F74">
      <w:pPr>
        <w:ind w:left="1267" w:hanging="1267"/>
      </w:pPr>
    </w:p>
    <w:p w:rsidR="00630ACD" w:rsidRPr="007940B5" w:rsidRDefault="00C37CBD" w:rsidP="00AB629E">
      <w:pPr>
        <w:keepNext/>
        <w:ind w:left="1267" w:hanging="1267"/>
        <w:rPr>
          <w:color w:val="4F81BD" w:themeColor="accent1"/>
        </w:rPr>
      </w:pPr>
      <w:r w:rsidRPr="00E478F1">
        <w:t>6.</w:t>
      </w:r>
      <w:r w:rsidRPr="00E478F1">
        <w:tab/>
      </w:r>
      <w:r w:rsidRPr="00E478F1">
        <w:rPr>
          <w:b/>
        </w:rPr>
        <w:t>Financial Implications</w:t>
      </w:r>
      <w:r w:rsidRPr="007940B5">
        <w:rPr>
          <w:color w:val="4F81BD" w:themeColor="accent1"/>
          <w:highlight w:val="yellow"/>
        </w:rPr>
        <w:fldChar w:fldCharType="begin"/>
      </w:r>
      <w:r w:rsidRPr="007940B5">
        <w:rPr>
          <w:color w:val="4F81BD" w:themeColor="accent1"/>
          <w:highlight w:val="yellow"/>
        </w:rPr>
        <w:instrText xml:space="preserve">  </w:instrText>
      </w:r>
      <w:r w:rsidRPr="007940B5">
        <w:rPr>
          <w:color w:val="4F81BD" w:themeColor="accent1"/>
          <w:highlight w:val="yellow"/>
        </w:rPr>
        <w:fldChar w:fldCharType="end"/>
      </w:r>
    </w:p>
    <w:p w:rsidR="00DE76EE" w:rsidRDefault="00DE76EE" w:rsidP="00885E9C">
      <w:pPr>
        <w:tabs>
          <w:tab w:val="clear" w:pos="1260"/>
          <w:tab w:val="left" w:pos="3330"/>
        </w:tabs>
        <w:ind w:left="1267" w:hanging="1267"/>
      </w:pPr>
    </w:p>
    <w:p w:rsidR="00885E9C" w:rsidRDefault="00672E45" w:rsidP="00885E9C">
      <w:pPr>
        <w:tabs>
          <w:tab w:val="clear" w:pos="1260"/>
          <w:tab w:val="left" w:pos="3330"/>
        </w:tabs>
        <w:ind w:left="1267" w:hanging="1267"/>
        <w:rPr>
          <w:b/>
          <w:i/>
        </w:rPr>
      </w:pPr>
      <w:r w:rsidRPr="00E478F1">
        <w:t>6.</w:t>
      </w:r>
      <w:r w:rsidR="00AB629E" w:rsidRPr="00E478F1">
        <w:t>1</w:t>
      </w:r>
      <w:r w:rsidR="00630ACD" w:rsidRPr="00E478F1">
        <w:tab/>
      </w:r>
      <w:r w:rsidR="00630ACD" w:rsidRPr="00E478F1">
        <w:rPr>
          <w:b/>
          <w:i/>
        </w:rPr>
        <w:t>Council Position</w:t>
      </w:r>
      <w:r w:rsidR="005C5E36" w:rsidRPr="00E478F1">
        <w:rPr>
          <w:b/>
          <w:i/>
        </w:rPr>
        <w:t xml:space="preserve"> </w:t>
      </w:r>
      <w:r w:rsidRPr="00E478F1">
        <w:rPr>
          <w:b/>
          <w:i/>
        </w:rPr>
        <w:t>–</w:t>
      </w:r>
      <w:r w:rsidR="005C5E36" w:rsidRPr="00E478F1">
        <w:rPr>
          <w:b/>
          <w:i/>
        </w:rPr>
        <w:t xml:space="preserve"> Revenue</w:t>
      </w:r>
    </w:p>
    <w:p w:rsidR="009B6ED5" w:rsidRDefault="009B6ED5" w:rsidP="00885E9C">
      <w:pPr>
        <w:tabs>
          <w:tab w:val="clear" w:pos="1260"/>
          <w:tab w:val="left" w:pos="3330"/>
        </w:tabs>
        <w:ind w:left="1267" w:hanging="1267"/>
        <w:rPr>
          <w:b/>
          <w:i/>
        </w:rPr>
      </w:pPr>
    </w:p>
    <w:p w:rsidR="00074622" w:rsidRDefault="00672E45" w:rsidP="007517D4">
      <w:pPr>
        <w:keepNext/>
        <w:ind w:left="1267" w:hanging="1267"/>
        <w:rPr>
          <w:i/>
        </w:rPr>
      </w:pPr>
      <w:r w:rsidRPr="00E478F1">
        <w:t>6.</w:t>
      </w:r>
      <w:r w:rsidR="00AB629E" w:rsidRPr="00E478F1">
        <w:t>2</w:t>
      </w:r>
      <w:r w:rsidRPr="007940B5">
        <w:rPr>
          <w:i/>
          <w:color w:val="4F81BD" w:themeColor="accent1"/>
        </w:rPr>
        <w:tab/>
      </w:r>
      <w:r w:rsidR="00317D8B">
        <w:t xml:space="preserve">The </w:t>
      </w:r>
      <w:r w:rsidR="009B6ED5">
        <w:t xml:space="preserve">following </w:t>
      </w:r>
      <w:r w:rsidR="00317D8B">
        <w:t>table</w:t>
      </w:r>
      <w:r w:rsidRPr="00B47E4C">
        <w:t xml:space="preserve"> shows the </w:t>
      </w:r>
      <w:r w:rsidR="005153C6" w:rsidRPr="00B47E4C">
        <w:t xml:space="preserve">total </w:t>
      </w:r>
      <w:r w:rsidRPr="00B47E4C">
        <w:t>change in (</w:t>
      </w:r>
      <w:r w:rsidR="009B6ED5">
        <w:t>s</w:t>
      </w:r>
      <w:r w:rsidRPr="00B47E4C">
        <w:t xml:space="preserve">urplus)/ </w:t>
      </w:r>
      <w:r w:rsidR="009B6ED5">
        <w:t>d</w:t>
      </w:r>
      <w:r w:rsidRPr="00B47E4C">
        <w:t>eficit over the</w:t>
      </w:r>
      <w:r w:rsidR="00AB629E" w:rsidRPr="00B47E4C">
        <w:t xml:space="preserve"> </w:t>
      </w:r>
      <w:r w:rsidR="00317D8B">
        <w:t>year</w:t>
      </w:r>
      <w:r w:rsidR="00E452AC">
        <w:t>.</w:t>
      </w:r>
      <w:r w:rsidR="009B19E2" w:rsidRPr="00B47E4C">
        <w:rPr>
          <w:i/>
        </w:rPr>
        <w:t xml:space="preserve"> </w:t>
      </w:r>
    </w:p>
    <w:p w:rsidR="009B6ED5" w:rsidRDefault="009B6ED5" w:rsidP="007517D4">
      <w:pPr>
        <w:keepNext/>
        <w:ind w:left="1267" w:hanging="1267"/>
      </w:pPr>
    </w:p>
    <w:p w:rsidR="009B6ED5" w:rsidRDefault="009B6ED5" w:rsidP="007517D4">
      <w:pPr>
        <w:keepNext/>
        <w:ind w:left="1267" w:hanging="1267"/>
        <w:sectPr w:rsidR="009B6ED5" w:rsidSect="00132C07">
          <w:footerReference w:type="default" r:id="rId10"/>
          <w:pgSz w:w="11909" w:h="16834" w:code="9"/>
          <w:pgMar w:top="907" w:right="1440" w:bottom="907" w:left="1440" w:header="709" w:footer="709" w:gutter="0"/>
          <w:cols w:space="720"/>
          <w:docGrid w:linePitch="299"/>
        </w:sectPr>
      </w:pPr>
    </w:p>
    <w:p w:rsidR="009B6ED5" w:rsidRDefault="009B6ED5" w:rsidP="007517D4">
      <w:pPr>
        <w:keepNext/>
        <w:ind w:left="1267" w:hanging="1267"/>
      </w:pPr>
    </w:p>
    <w:p w:rsidR="009B6ED5" w:rsidRDefault="009B6ED5" w:rsidP="007517D4">
      <w:pPr>
        <w:keepNext/>
        <w:ind w:left="1267" w:hanging="1267"/>
      </w:pPr>
    </w:p>
    <w:p w:rsidR="009B6ED5" w:rsidRDefault="009B6ED5" w:rsidP="007517D4">
      <w:pPr>
        <w:keepNext/>
        <w:ind w:left="1267" w:hanging="1267"/>
      </w:pPr>
    </w:p>
    <w:tbl>
      <w:tblPr>
        <w:tblW w:w="7064"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1252"/>
      </w:tblGrid>
      <w:tr w:rsidR="002E1C31" w:rsidRPr="009B6ED5" w:rsidTr="00203C20">
        <w:trPr>
          <w:trHeight w:val="648"/>
        </w:trPr>
        <w:tc>
          <w:tcPr>
            <w:tcW w:w="5812" w:type="dxa"/>
            <w:tcBorders>
              <w:bottom w:val="single" w:sz="4" w:space="0" w:color="auto"/>
            </w:tcBorders>
            <w:shd w:val="clear" w:color="auto" w:fill="F2F2F2" w:themeFill="background1" w:themeFillShade="F2"/>
            <w:vAlign w:val="center"/>
          </w:tcPr>
          <w:p w:rsidR="002E1C31" w:rsidRPr="009B6ED5" w:rsidRDefault="00D82FD7" w:rsidP="00E452AC">
            <w:pPr>
              <w:widowControl w:val="0"/>
              <w:jc w:val="left"/>
              <w:rPr>
                <w:b/>
                <w:szCs w:val="22"/>
              </w:rPr>
            </w:pPr>
            <w:r w:rsidRPr="009B6ED5">
              <w:rPr>
                <w:b/>
                <w:color w:val="4F81BD" w:themeColor="accent1"/>
              </w:rPr>
              <w:tab/>
            </w:r>
            <w:r w:rsidR="002E1C31" w:rsidRPr="009B6ED5">
              <w:rPr>
                <w:b/>
                <w:szCs w:val="22"/>
              </w:rPr>
              <w:t xml:space="preserve"> Council Position </w:t>
            </w:r>
          </w:p>
        </w:tc>
        <w:tc>
          <w:tcPr>
            <w:tcW w:w="1252" w:type="dxa"/>
            <w:tcBorders>
              <w:bottom w:val="single" w:sz="4" w:space="0" w:color="auto"/>
            </w:tcBorders>
            <w:shd w:val="clear" w:color="auto" w:fill="F2F2F2" w:themeFill="background1" w:themeFillShade="F2"/>
            <w:vAlign w:val="center"/>
          </w:tcPr>
          <w:p w:rsidR="002E1C31" w:rsidRPr="009B6ED5" w:rsidRDefault="002E1C31" w:rsidP="00A82462">
            <w:pPr>
              <w:widowControl w:val="0"/>
              <w:jc w:val="center"/>
              <w:rPr>
                <w:b/>
                <w:szCs w:val="22"/>
              </w:rPr>
            </w:pPr>
            <w:r w:rsidRPr="009B6ED5">
              <w:rPr>
                <w:b/>
                <w:szCs w:val="22"/>
              </w:rPr>
              <w:t>2016/17</w:t>
            </w:r>
          </w:p>
          <w:p w:rsidR="002E1C31" w:rsidRPr="009B6ED5" w:rsidRDefault="002E1C31" w:rsidP="00A82462">
            <w:pPr>
              <w:widowControl w:val="0"/>
              <w:jc w:val="center"/>
              <w:rPr>
                <w:b/>
                <w:color w:val="4F81BD" w:themeColor="accent1"/>
                <w:szCs w:val="22"/>
              </w:rPr>
            </w:pPr>
            <w:r w:rsidRPr="009B6ED5">
              <w:rPr>
                <w:b/>
                <w:szCs w:val="22"/>
              </w:rPr>
              <w:t>£</w:t>
            </w:r>
          </w:p>
        </w:tc>
      </w:tr>
      <w:tr w:rsidR="002E1C31" w:rsidRPr="0073217E" w:rsidTr="00203C20">
        <w:tc>
          <w:tcPr>
            <w:tcW w:w="5812" w:type="dxa"/>
            <w:tcBorders>
              <w:bottom w:val="nil"/>
            </w:tcBorders>
            <w:vAlign w:val="center"/>
          </w:tcPr>
          <w:p w:rsidR="002E1C31" w:rsidRPr="0073217E" w:rsidRDefault="002E1C31" w:rsidP="00203C20">
            <w:pPr>
              <w:widowControl w:val="0"/>
              <w:spacing w:before="60" w:after="60"/>
              <w:jc w:val="left"/>
              <w:rPr>
                <w:szCs w:val="22"/>
              </w:rPr>
            </w:pPr>
            <w:r w:rsidRPr="0073217E">
              <w:rPr>
                <w:szCs w:val="22"/>
              </w:rPr>
              <w:t xml:space="preserve">Original </w:t>
            </w:r>
            <w:r w:rsidR="007B21D3">
              <w:rPr>
                <w:szCs w:val="22"/>
              </w:rPr>
              <w:t xml:space="preserve">budgeted </w:t>
            </w:r>
            <w:r w:rsidRPr="0073217E">
              <w:rPr>
                <w:szCs w:val="22"/>
              </w:rPr>
              <w:t>(</w:t>
            </w:r>
            <w:r w:rsidR="007B21D3">
              <w:rPr>
                <w:szCs w:val="22"/>
              </w:rPr>
              <w:t>s</w:t>
            </w:r>
            <w:r w:rsidRPr="0073217E">
              <w:rPr>
                <w:szCs w:val="22"/>
              </w:rPr>
              <w:t>urplus)</w:t>
            </w:r>
          </w:p>
        </w:tc>
        <w:tc>
          <w:tcPr>
            <w:tcW w:w="1252" w:type="dxa"/>
            <w:tcBorders>
              <w:bottom w:val="nil"/>
            </w:tcBorders>
            <w:vAlign w:val="center"/>
          </w:tcPr>
          <w:p w:rsidR="002E1C31" w:rsidRPr="000E2982" w:rsidRDefault="002E1C31" w:rsidP="00A82462">
            <w:pPr>
              <w:widowControl w:val="0"/>
              <w:spacing w:before="60" w:after="60"/>
              <w:jc w:val="right"/>
              <w:rPr>
                <w:szCs w:val="22"/>
              </w:rPr>
            </w:pPr>
            <w:r w:rsidRPr="000E2982">
              <w:rPr>
                <w:szCs w:val="22"/>
              </w:rPr>
              <w:t>(4,851)</w:t>
            </w:r>
          </w:p>
        </w:tc>
      </w:tr>
      <w:tr w:rsidR="002E1C31" w:rsidRPr="0073217E" w:rsidTr="00203C20">
        <w:tc>
          <w:tcPr>
            <w:tcW w:w="5812" w:type="dxa"/>
            <w:tcBorders>
              <w:top w:val="nil"/>
              <w:left w:val="single" w:sz="4" w:space="0" w:color="auto"/>
              <w:bottom w:val="nil"/>
              <w:right w:val="single" w:sz="4" w:space="0" w:color="auto"/>
            </w:tcBorders>
            <w:vAlign w:val="center"/>
          </w:tcPr>
          <w:p w:rsidR="002E1C31" w:rsidRPr="0073217E" w:rsidRDefault="00203C20" w:rsidP="00203C20">
            <w:pPr>
              <w:widowControl w:val="0"/>
              <w:spacing w:before="60" w:after="60"/>
              <w:jc w:val="left"/>
              <w:rPr>
                <w:szCs w:val="22"/>
              </w:rPr>
            </w:pPr>
            <w:r>
              <w:rPr>
                <w:szCs w:val="22"/>
              </w:rPr>
              <w:t xml:space="preserve">Budget adjustments </w:t>
            </w:r>
            <w:r w:rsidR="007B21D3">
              <w:rPr>
                <w:szCs w:val="22"/>
              </w:rPr>
              <w:t>p</w:t>
            </w:r>
            <w:r w:rsidR="002E1C31" w:rsidRPr="0073217E">
              <w:rPr>
                <w:szCs w:val="22"/>
              </w:rPr>
              <w:t xml:space="preserve">reviously </w:t>
            </w:r>
            <w:r w:rsidR="007B21D3">
              <w:rPr>
                <w:szCs w:val="22"/>
              </w:rPr>
              <w:t>r</w:t>
            </w:r>
            <w:r w:rsidR="002E1C31" w:rsidRPr="0073217E">
              <w:rPr>
                <w:szCs w:val="22"/>
              </w:rPr>
              <w:t>eported</w:t>
            </w:r>
          </w:p>
        </w:tc>
        <w:tc>
          <w:tcPr>
            <w:tcW w:w="1252" w:type="dxa"/>
            <w:tcBorders>
              <w:top w:val="nil"/>
              <w:left w:val="single" w:sz="4" w:space="0" w:color="auto"/>
              <w:bottom w:val="single" w:sz="4" w:space="0" w:color="auto"/>
              <w:right w:val="single" w:sz="4" w:space="0" w:color="auto"/>
            </w:tcBorders>
            <w:vAlign w:val="center"/>
          </w:tcPr>
          <w:p w:rsidR="002E1C31" w:rsidRPr="000E2982" w:rsidRDefault="002E1C31" w:rsidP="00A82462">
            <w:pPr>
              <w:widowControl w:val="0"/>
              <w:spacing w:before="60" w:after="60"/>
              <w:jc w:val="right"/>
              <w:rPr>
                <w:szCs w:val="22"/>
              </w:rPr>
            </w:pPr>
            <w:r w:rsidRPr="000E2982">
              <w:rPr>
                <w:szCs w:val="22"/>
              </w:rPr>
              <w:t>682,006</w:t>
            </w:r>
          </w:p>
        </w:tc>
      </w:tr>
      <w:tr w:rsidR="002E1C31" w:rsidRPr="0073217E" w:rsidTr="00203C20">
        <w:tc>
          <w:tcPr>
            <w:tcW w:w="5812" w:type="dxa"/>
            <w:tcBorders>
              <w:top w:val="nil"/>
              <w:left w:val="single" w:sz="4" w:space="0" w:color="auto"/>
              <w:bottom w:val="nil"/>
              <w:right w:val="single" w:sz="4" w:space="0" w:color="auto"/>
            </w:tcBorders>
            <w:vAlign w:val="center"/>
          </w:tcPr>
          <w:p w:rsidR="002E1C31" w:rsidRPr="0073217E" w:rsidRDefault="002E1C31" w:rsidP="00203C20">
            <w:pPr>
              <w:widowControl w:val="0"/>
              <w:spacing w:before="60" w:after="60"/>
              <w:jc w:val="left"/>
              <w:rPr>
                <w:szCs w:val="22"/>
                <w:u w:val="single"/>
              </w:rPr>
            </w:pPr>
            <w:r w:rsidRPr="0073217E">
              <w:rPr>
                <w:szCs w:val="22"/>
              </w:rPr>
              <w:t xml:space="preserve">Latest </w:t>
            </w:r>
            <w:r w:rsidR="007B21D3">
              <w:rPr>
                <w:szCs w:val="22"/>
              </w:rPr>
              <w:t>budgeted d</w:t>
            </w:r>
            <w:r w:rsidRPr="0073217E">
              <w:rPr>
                <w:szCs w:val="22"/>
              </w:rPr>
              <w:t>eficit</w:t>
            </w:r>
            <w:r w:rsidR="007B21D3">
              <w:rPr>
                <w:szCs w:val="22"/>
              </w:rPr>
              <w:t xml:space="preserve"> (as at 20 March 2017)</w:t>
            </w:r>
          </w:p>
        </w:tc>
        <w:tc>
          <w:tcPr>
            <w:tcW w:w="1252" w:type="dxa"/>
            <w:tcBorders>
              <w:top w:val="single" w:sz="4" w:space="0" w:color="auto"/>
              <w:left w:val="single" w:sz="4" w:space="0" w:color="auto"/>
              <w:bottom w:val="single" w:sz="4" w:space="0" w:color="auto"/>
              <w:right w:val="single" w:sz="4" w:space="0" w:color="auto"/>
            </w:tcBorders>
            <w:vAlign w:val="center"/>
          </w:tcPr>
          <w:p w:rsidR="002E1C31" w:rsidRPr="00203C20" w:rsidRDefault="002E1C31" w:rsidP="00A82462">
            <w:pPr>
              <w:widowControl w:val="0"/>
              <w:spacing w:before="60" w:after="60"/>
              <w:jc w:val="right"/>
              <w:rPr>
                <w:b/>
                <w:szCs w:val="22"/>
              </w:rPr>
            </w:pPr>
            <w:r w:rsidRPr="00203C20">
              <w:rPr>
                <w:b/>
                <w:szCs w:val="22"/>
              </w:rPr>
              <w:t>677,155</w:t>
            </w:r>
          </w:p>
        </w:tc>
      </w:tr>
      <w:tr w:rsidR="00203C20" w:rsidRPr="0073217E" w:rsidTr="00647C03">
        <w:trPr>
          <w:trHeight w:val="131"/>
        </w:trPr>
        <w:tc>
          <w:tcPr>
            <w:tcW w:w="5812" w:type="dxa"/>
            <w:tcBorders>
              <w:top w:val="nil"/>
              <w:left w:val="single" w:sz="4" w:space="0" w:color="auto"/>
              <w:bottom w:val="nil"/>
              <w:right w:val="single" w:sz="4" w:space="0" w:color="auto"/>
            </w:tcBorders>
            <w:vAlign w:val="center"/>
          </w:tcPr>
          <w:p w:rsidR="00203C20" w:rsidRDefault="00203C20" w:rsidP="00203C20">
            <w:pPr>
              <w:widowControl w:val="0"/>
              <w:spacing w:before="60" w:after="60"/>
              <w:jc w:val="left"/>
              <w:rPr>
                <w:szCs w:val="22"/>
                <w:u w:val="single"/>
              </w:rPr>
            </w:pPr>
          </w:p>
        </w:tc>
        <w:tc>
          <w:tcPr>
            <w:tcW w:w="1252" w:type="dxa"/>
            <w:tcBorders>
              <w:top w:val="single" w:sz="4" w:space="0" w:color="auto"/>
              <w:left w:val="single" w:sz="4" w:space="0" w:color="auto"/>
              <w:bottom w:val="nil"/>
              <w:right w:val="single" w:sz="4" w:space="0" w:color="auto"/>
            </w:tcBorders>
            <w:vAlign w:val="center"/>
          </w:tcPr>
          <w:p w:rsidR="00203C20" w:rsidRPr="0073217E" w:rsidRDefault="00203C20" w:rsidP="00A82462">
            <w:pPr>
              <w:widowControl w:val="0"/>
              <w:spacing w:before="60" w:after="60"/>
              <w:jc w:val="right"/>
              <w:rPr>
                <w:color w:val="4F81BD" w:themeColor="accent1"/>
                <w:szCs w:val="22"/>
              </w:rPr>
            </w:pPr>
          </w:p>
        </w:tc>
      </w:tr>
      <w:tr w:rsidR="002E1C31" w:rsidRPr="0073217E" w:rsidTr="00203C20">
        <w:tc>
          <w:tcPr>
            <w:tcW w:w="5812" w:type="dxa"/>
            <w:tcBorders>
              <w:top w:val="nil"/>
              <w:left w:val="single" w:sz="4" w:space="0" w:color="auto"/>
              <w:bottom w:val="nil"/>
              <w:right w:val="single" w:sz="4" w:space="0" w:color="auto"/>
            </w:tcBorders>
            <w:vAlign w:val="center"/>
          </w:tcPr>
          <w:p w:rsidR="002E1C31" w:rsidRPr="0073217E" w:rsidRDefault="00203C20" w:rsidP="00203C20">
            <w:pPr>
              <w:widowControl w:val="0"/>
              <w:spacing w:before="60" w:after="60"/>
              <w:jc w:val="left"/>
              <w:rPr>
                <w:szCs w:val="22"/>
                <w:u w:val="single"/>
              </w:rPr>
            </w:pPr>
            <w:r>
              <w:rPr>
                <w:szCs w:val="22"/>
                <w:u w:val="single"/>
              </w:rPr>
              <w:t>Net expenditure v</w:t>
            </w:r>
            <w:r w:rsidR="002E1C31" w:rsidRPr="0073217E">
              <w:rPr>
                <w:szCs w:val="22"/>
                <w:u w:val="single"/>
              </w:rPr>
              <w:t xml:space="preserve">ariances at </w:t>
            </w:r>
            <w:r w:rsidR="007B21D3">
              <w:rPr>
                <w:szCs w:val="22"/>
                <w:u w:val="single"/>
              </w:rPr>
              <w:t>y</w:t>
            </w:r>
            <w:r w:rsidR="002E1C31" w:rsidRPr="0073217E">
              <w:rPr>
                <w:szCs w:val="22"/>
                <w:u w:val="single"/>
              </w:rPr>
              <w:t xml:space="preserve">ear </w:t>
            </w:r>
            <w:r w:rsidR="007B21D3">
              <w:rPr>
                <w:szCs w:val="22"/>
                <w:u w:val="single"/>
              </w:rPr>
              <w:t>e</w:t>
            </w:r>
            <w:r w:rsidR="002E1C31" w:rsidRPr="0073217E">
              <w:rPr>
                <w:szCs w:val="22"/>
                <w:u w:val="single"/>
              </w:rPr>
              <w:t>nd</w:t>
            </w:r>
          </w:p>
        </w:tc>
        <w:tc>
          <w:tcPr>
            <w:tcW w:w="1252" w:type="dxa"/>
            <w:tcBorders>
              <w:top w:val="nil"/>
              <w:left w:val="single" w:sz="4" w:space="0" w:color="auto"/>
              <w:bottom w:val="nil"/>
              <w:right w:val="single" w:sz="4" w:space="0" w:color="auto"/>
            </w:tcBorders>
            <w:vAlign w:val="center"/>
          </w:tcPr>
          <w:p w:rsidR="002E1C31" w:rsidRPr="0073217E" w:rsidRDefault="002E1C31" w:rsidP="00A82462">
            <w:pPr>
              <w:widowControl w:val="0"/>
              <w:spacing w:before="60" w:after="60"/>
              <w:jc w:val="right"/>
              <w:rPr>
                <w:color w:val="4F81BD" w:themeColor="accent1"/>
                <w:szCs w:val="22"/>
              </w:rPr>
            </w:pPr>
          </w:p>
        </w:tc>
      </w:tr>
      <w:tr w:rsidR="002E1C31" w:rsidRPr="0073217E" w:rsidTr="00203C20">
        <w:tc>
          <w:tcPr>
            <w:tcW w:w="5812" w:type="dxa"/>
            <w:tcBorders>
              <w:top w:val="nil"/>
              <w:left w:val="single" w:sz="4" w:space="0" w:color="auto"/>
              <w:bottom w:val="nil"/>
              <w:right w:val="single" w:sz="4" w:space="0" w:color="auto"/>
            </w:tcBorders>
            <w:vAlign w:val="center"/>
          </w:tcPr>
          <w:p w:rsidR="002E1C31" w:rsidRPr="0073217E" w:rsidRDefault="002E1C31" w:rsidP="00A82462">
            <w:pPr>
              <w:widowControl w:val="0"/>
              <w:spacing w:before="60" w:after="60"/>
              <w:jc w:val="left"/>
              <w:rPr>
                <w:szCs w:val="22"/>
              </w:rPr>
            </w:pPr>
            <w:r w:rsidRPr="0073217E">
              <w:rPr>
                <w:szCs w:val="22"/>
              </w:rPr>
              <w:t>Net direct costs on services (Appendix1)</w:t>
            </w:r>
          </w:p>
        </w:tc>
        <w:tc>
          <w:tcPr>
            <w:tcW w:w="1252" w:type="dxa"/>
            <w:tcBorders>
              <w:top w:val="nil"/>
              <w:left w:val="single" w:sz="4" w:space="0" w:color="auto"/>
              <w:bottom w:val="nil"/>
              <w:right w:val="single" w:sz="4" w:space="0" w:color="auto"/>
            </w:tcBorders>
            <w:vAlign w:val="center"/>
          </w:tcPr>
          <w:p w:rsidR="002E1C31" w:rsidRPr="00D16472" w:rsidRDefault="00471E11" w:rsidP="00CC590B">
            <w:pPr>
              <w:widowControl w:val="0"/>
              <w:spacing w:before="60" w:after="60"/>
              <w:jc w:val="right"/>
              <w:rPr>
                <w:szCs w:val="22"/>
              </w:rPr>
            </w:pPr>
            <w:r w:rsidRPr="00D16472">
              <w:rPr>
                <w:szCs w:val="22"/>
              </w:rPr>
              <w:t>(</w:t>
            </w:r>
            <w:r w:rsidR="00CC590B">
              <w:rPr>
                <w:szCs w:val="22"/>
              </w:rPr>
              <w:t>95,263</w:t>
            </w:r>
            <w:r w:rsidRPr="00D16472">
              <w:rPr>
                <w:szCs w:val="22"/>
              </w:rPr>
              <w:t>)</w:t>
            </w:r>
          </w:p>
        </w:tc>
      </w:tr>
      <w:tr w:rsidR="002E1C31" w:rsidRPr="0073217E" w:rsidTr="00203C20">
        <w:tc>
          <w:tcPr>
            <w:tcW w:w="5812" w:type="dxa"/>
            <w:tcBorders>
              <w:top w:val="nil"/>
              <w:left w:val="single" w:sz="4" w:space="0" w:color="auto"/>
              <w:bottom w:val="nil"/>
              <w:right w:val="single" w:sz="4" w:space="0" w:color="auto"/>
            </w:tcBorders>
            <w:vAlign w:val="center"/>
          </w:tcPr>
          <w:p w:rsidR="002E1C31" w:rsidRPr="0073217E" w:rsidRDefault="00AE7E04" w:rsidP="007B21D3">
            <w:pPr>
              <w:widowControl w:val="0"/>
              <w:spacing w:before="60" w:after="60"/>
              <w:jc w:val="left"/>
              <w:rPr>
                <w:szCs w:val="22"/>
              </w:rPr>
            </w:pPr>
            <w:r>
              <w:rPr>
                <w:szCs w:val="22"/>
              </w:rPr>
              <w:t xml:space="preserve">Additional </w:t>
            </w:r>
            <w:r w:rsidR="007B21D3">
              <w:rPr>
                <w:szCs w:val="22"/>
              </w:rPr>
              <w:t>f</w:t>
            </w:r>
            <w:r w:rsidR="002E1C31" w:rsidRPr="0073217E">
              <w:rPr>
                <w:szCs w:val="22"/>
              </w:rPr>
              <w:t>unding</w:t>
            </w:r>
            <w:r w:rsidR="007B21D3">
              <w:rPr>
                <w:szCs w:val="22"/>
              </w:rPr>
              <w:t xml:space="preserve"> (direct grants)</w:t>
            </w:r>
            <w:r w:rsidR="002E1C31" w:rsidRPr="0073217E">
              <w:rPr>
                <w:szCs w:val="22"/>
              </w:rPr>
              <w:t xml:space="preserve"> </w:t>
            </w:r>
          </w:p>
        </w:tc>
        <w:tc>
          <w:tcPr>
            <w:tcW w:w="1252" w:type="dxa"/>
            <w:tcBorders>
              <w:top w:val="nil"/>
              <w:left w:val="single" w:sz="4" w:space="0" w:color="auto"/>
              <w:bottom w:val="nil"/>
              <w:right w:val="single" w:sz="4" w:space="0" w:color="auto"/>
            </w:tcBorders>
            <w:vAlign w:val="center"/>
          </w:tcPr>
          <w:p w:rsidR="002E1C31" w:rsidRPr="00D16472" w:rsidRDefault="002E1C31" w:rsidP="00A82462">
            <w:pPr>
              <w:widowControl w:val="0"/>
              <w:spacing w:before="60" w:after="60"/>
              <w:jc w:val="right"/>
              <w:rPr>
                <w:szCs w:val="22"/>
              </w:rPr>
            </w:pPr>
            <w:r w:rsidRPr="00D16472">
              <w:rPr>
                <w:szCs w:val="22"/>
              </w:rPr>
              <w:t>(285,933)</w:t>
            </w:r>
          </w:p>
        </w:tc>
      </w:tr>
      <w:tr w:rsidR="002E1C31" w:rsidRPr="0073217E" w:rsidTr="009B6ED5">
        <w:tc>
          <w:tcPr>
            <w:tcW w:w="5812" w:type="dxa"/>
            <w:tcBorders>
              <w:top w:val="nil"/>
              <w:left w:val="single" w:sz="4" w:space="0" w:color="auto"/>
              <w:bottom w:val="nil"/>
              <w:right w:val="single" w:sz="4" w:space="0" w:color="auto"/>
            </w:tcBorders>
            <w:vAlign w:val="center"/>
          </w:tcPr>
          <w:p w:rsidR="002E1C31" w:rsidRPr="0073217E" w:rsidRDefault="002E1C31" w:rsidP="00A82462">
            <w:pPr>
              <w:widowControl w:val="0"/>
              <w:spacing w:before="60" w:after="60"/>
              <w:jc w:val="left"/>
              <w:rPr>
                <w:szCs w:val="22"/>
              </w:rPr>
            </w:pPr>
            <w:r w:rsidRPr="0073217E">
              <w:rPr>
                <w:szCs w:val="22"/>
              </w:rPr>
              <w:t>Additional interest earned on investments</w:t>
            </w:r>
          </w:p>
        </w:tc>
        <w:tc>
          <w:tcPr>
            <w:tcW w:w="1252" w:type="dxa"/>
            <w:tcBorders>
              <w:top w:val="nil"/>
              <w:left w:val="single" w:sz="4" w:space="0" w:color="auto"/>
              <w:bottom w:val="single" w:sz="4" w:space="0" w:color="auto"/>
              <w:right w:val="single" w:sz="4" w:space="0" w:color="auto"/>
            </w:tcBorders>
            <w:vAlign w:val="center"/>
          </w:tcPr>
          <w:p w:rsidR="002E1C31" w:rsidRPr="00D16472" w:rsidRDefault="002E1C31" w:rsidP="00A82462">
            <w:pPr>
              <w:widowControl w:val="0"/>
              <w:spacing w:before="60" w:after="60"/>
              <w:jc w:val="right"/>
              <w:rPr>
                <w:szCs w:val="22"/>
              </w:rPr>
            </w:pPr>
            <w:r w:rsidRPr="00D16472">
              <w:rPr>
                <w:szCs w:val="22"/>
              </w:rPr>
              <w:t>(21,073)</w:t>
            </w:r>
          </w:p>
        </w:tc>
      </w:tr>
      <w:tr w:rsidR="00203C20" w:rsidRPr="0073217E" w:rsidTr="009B6ED5">
        <w:tc>
          <w:tcPr>
            <w:tcW w:w="5812" w:type="dxa"/>
            <w:tcBorders>
              <w:top w:val="nil"/>
              <w:left w:val="single" w:sz="4" w:space="0" w:color="auto"/>
              <w:bottom w:val="single" w:sz="4" w:space="0" w:color="auto"/>
              <w:right w:val="single" w:sz="4" w:space="0" w:color="auto"/>
            </w:tcBorders>
            <w:vAlign w:val="center"/>
          </w:tcPr>
          <w:p w:rsidR="00203C20" w:rsidRPr="00203C20" w:rsidRDefault="00203C20" w:rsidP="00203C20">
            <w:pPr>
              <w:widowControl w:val="0"/>
              <w:tabs>
                <w:tab w:val="clear" w:pos="1980"/>
                <w:tab w:val="clear" w:pos="2700"/>
                <w:tab w:val="clear" w:pos="3420"/>
                <w:tab w:val="center" w:pos="1805"/>
              </w:tabs>
              <w:spacing w:before="60" w:after="60"/>
              <w:jc w:val="left"/>
              <w:rPr>
                <w:b/>
                <w:szCs w:val="22"/>
              </w:rPr>
            </w:pPr>
            <w:r w:rsidRPr="00203C20">
              <w:rPr>
                <w:b/>
                <w:szCs w:val="22"/>
              </w:rPr>
              <w:t xml:space="preserve">Total variance from </w:t>
            </w:r>
            <w:r w:rsidR="00D751EA">
              <w:rPr>
                <w:b/>
                <w:szCs w:val="22"/>
              </w:rPr>
              <w:t xml:space="preserve">latest </w:t>
            </w:r>
            <w:r w:rsidRPr="00203C20">
              <w:rPr>
                <w:b/>
                <w:szCs w:val="22"/>
              </w:rPr>
              <w:t>budgeted deficit</w:t>
            </w:r>
          </w:p>
        </w:tc>
        <w:tc>
          <w:tcPr>
            <w:tcW w:w="1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3C20" w:rsidRPr="00203C20" w:rsidRDefault="00203C20" w:rsidP="00CC590B">
            <w:pPr>
              <w:widowControl w:val="0"/>
              <w:spacing w:before="60" w:after="60"/>
              <w:jc w:val="right"/>
              <w:rPr>
                <w:b/>
                <w:szCs w:val="22"/>
              </w:rPr>
            </w:pPr>
            <w:r>
              <w:rPr>
                <w:b/>
                <w:szCs w:val="22"/>
              </w:rPr>
              <w:t>(</w:t>
            </w:r>
            <w:r w:rsidRPr="00203C20">
              <w:rPr>
                <w:b/>
                <w:szCs w:val="22"/>
              </w:rPr>
              <w:t>4</w:t>
            </w:r>
            <w:r w:rsidR="00CC590B">
              <w:rPr>
                <w:b/>
                <w:szCs w:val="22"/>
              </w:rPr>
              <w:t>02</w:t>
            </w:r>
            <w:r w:rsidRPr="00203C20">
              <w:rPr>
                <w:b/>
                <w:szCs w:val="22"/>
              </w:rPr>
              <w:t>,</w:t>
            </w:r>
            <w:r w:rsidR="00CC590B">
              <w:rPr>
                <w:b/>
                <w:szCs w:val="22"/>
              </w:rPr>
              <w:t>269</w:t>
            </w:r>
            <w:r>
              <w:rPr>
                <w:b/>
                <w:szCs w:val="22"/>
              </w:rPr>
              <w:t>)</w:t>
            </w:r>
          </w:p>
        </w:tc>
      </w:tr>
    </w:tbl>
    <w:p w:rsidR="00004661" w:rsidRDefault="00004661" w:rsidP="00AB629E">
      <w:pPr>
        <w:keepNext/>
        <w:tabs>
          <w:tab w:val="clear" w:pos="1260"/>
        </w:tabs>
      </w:pPr>
    </w:p>
    <w:p w:rsidR="009E26E9" w:rsidRPr="00E478F1" w:rsidRDefault="00063A57" w:rsidP="00E452AC">
      <w:pPr>
        <w:keepNext/>
        <w:tabs>
          <w:tab w:val="clear" w:pos="1260"/>
          <w:tab w:val="clear" w:pos="1980"/>
          <w:tab w:val="left" w:pos="1276"/>
        </w:tabs>
        <w:rPr>
          <w:b/>
          <w:i/>
        </w:rPr>
      </w:pPr>
      <w:r w:rsidRPr="00E478F1">
        <w:rPr>
          <w:b/>
          <w:i/>
        </w:rPr>
        <w:t xml:space="preserve">          </w:t>
      </w:r>
      <w:r w:rsidR="00E452AC">
        <w:rPr>
          <w:b/>
          <w:i/>
        </w:rPr>
        <w:tab/>
      </w:r>
      <w:r w:rsidR="005C5E36" w:rsidRPr="00E478F1">
        <w:rPr>
          <w:b/>
          <w:i/>
        </w:rPr>
        <w:t>Council Position – Capital</w:t>
      </w:r>
    </w:p>
    <w:p w:rsidR="00AB629E" w:rsidRPr="007940B5" w:rsidRDefault="00AB629E" w:rsidP="00AB629E">
      <w:pPr>
        <w:keepNext/>
        <w:tabs>
          <w:tab w:val="clear" w:pos="1260"/>
        </w:tabs>
        <w:rPr>
          <w:b/>
          <w:i/>
          <w:color w:val="4F81BD" w:themeColor="accent1"/>
        </w:rPr>
      </w:pPr>
    </w:p>
    <w:p w:rsidR="00075478" w:rsidRPr="00165D26" w:rsidRDefault="00317D8B" w:rsidP="00074622">
      <w:pPr>
        <w:pStyle w:val="ListParagraph"/>
        <w:keepNext/>
        <w:numPr>
          <w:ilvl w:val="1"/>
          <w:numId w:val="35"/>
        </w:numPr>
        <w:tabs>
          <w:tab w:val="clear" w:pos="1260"/>
          <w:tab w:val="clear" w:pos="2700"/>
          <w:tab w:val="left" w:pos="1276"/>
        </w:tabs>
        <w:ind w:left="1276" w:hanging="1134"/>
      </w:pPr>
      <w:r>
        <w:t>The t</w:t>
      </w:r>
      <w:r w:rsidR="00C333A7" w:rsidRPr="00E478F1">
        <w:t>able below shows the Council</w:t>
      </w:r>
      <w:r>
        <w:t>’</w:t>
      </w:r>
      <w:r w:rsidR="00C333A7" w:rsidRPr="00E478F1">
        <w:t xml:space="preserve">s total </w:t>
      </w:r>
      <w:r w:rsidR="00AB629E" w:rsidRPr="00E478F1">
        <w:t>capital spend</w:t>
      </w:r>
      <w:r w:rsidR="00C333A7" w:rsidRPr="00E478F1">
        <w:t xml:space="preserve"> over the medium term.</w:t>
      </w:r>
      <w:r w:rsidR="00B66F50" w:rsidRPr="00E478F1">
        <w:t xml:space="preserve"> </w:t>
      </w:r>
      <w:r w:rsidR="00004661">
        <w:t xml:space="preserve"> </w:t>
      </w:r>
      <w:r w:rsidR="00B66F50" w:rsidRPr="00E478F1">
        <w:t>This excludes the South Oxhey Initiative</w:t>
      </w:r>
      <w:r w:rsidR="006C63FA" w:rsidRPr="00E478F1">
        <w:t xml:space="preserve"> (SOI)</w:t>
      </w:r>
      <w:r w:rsidR="00B66F50" w:rsidRPr="00E478F1">
        <w:t xml:space="preserve"> as this is being funded from </w:t>
      </w:r>
      <w:r w:rsidR="006A611B" w:rsidRPr="00E478F1">
        <w:t>internal borrowing.</w:t>
      </w:r>
      <w:r w:rsidR="005F6BD2" w:rsidRPr="00E478F1">
        <w:t xml:space="preserve"> </w:t>
      </w:r>
      <w:r w:rsidR="00004661">
        <w:t xml:space="preserve"> </w:t>
      </w:r>
      <w:r w:rsidR="005F6BD2" w:rsidRPr="00E478F1">
        <w:t xml:space="preserve">The figures </w:t>
      </w:r>
      <w:r w:rsidR="00004661">
        <w:t xml:space="preserve">assume the </w:t>
      </w:r>
      <w:r w:rsidR="005F6BD2" w:rsidRPr="00E478F1">
        <w:t>requested re</w:t>
      </w:r>
      <w:r w:rsidR="00004661">
        <w:t>-</w:t>
      </w:r>
      <w:r w:rsidR="005F6BD2" w:rsidRPr="00E478F1">
        <w:t xml:space="preserve">phasing </w:t>
      </w:r>
      <w:r w:rsidR="005F6BD2" w:rsidRPr="00165D26">
        <w:t>of £</w:t>
      </w:r>
      <w:r w:rsidR="00076B75">
        <w:t>1</w:t>
      </w:r>
      <w:r w:rsidR="005F6BD2" w:rsidRPr="00165D26">
        <w:t>,</w:t>
      </w:r>
      <w:r w:rsidR="00076B75">
        <w:t>985</w:t>
      </w:r>
      <w:r w:rsidR="00834814" w:rsidRPr="00165D26">
        <w:t>,</w:t>
      </w:r>
      <w:r w:rsidR="00076B75">
        <w:t>94</w:t>
      </w:r>
      <w:r w:rsidR="00D630C5">
        <w:t>0</w:t>
      </w:r>
      <w:r w:rsidR="005F6BD2" w:rsidRPr="00165D26">
        <w:t xml:space="preserve"> from </w:t>
      </w:r>
      <w:r w:rsidR="00834814" w:rsidRPr="00165D26">
        <w:t>2016/17 to 2017/18</w:t>
      </w:r>
      <w:r w:rsidR="00004661" w:rsidRPr="00165D26">
        <w:t xml:space="preserve"> is agreed</w:t>
      </w:r>
      <w:r w:rsidR="00B66F50" w:rsidRPr="00165D26">
        <w:t>.</w:t>
      </w:r>
      <w:r w:rsidR="00004661" w:rsidRPr="00165D26">
        <w:t xml:space="preserve"> </w:t>
      </w:r>
      <w:r w:rsidR="00165D26" w:rsidRPr="00165D26">
        <w:t xml:space="preserve"> </w:t>
      </w:r>
      <w:r w:rsidR="00004661" w:rsidRPr="00165D26">
        <w:t>The SOI re-phasing of £511,</w:t>
      </w:r>
      <w:r w:rsidR="00165D26" w:rsidRPr="00165D26">
        <w:t>040</w:t>
      </w:r>
      <w:r w:rsidR="00004661" w:rsidRPr="00165D26">
        <w:t xml:space="preserve"> is shown separately.  </w:t>
      </w:r>
    </w:p>
    <w:p w:rsidR="00075478" w:rsidRDefault="00075478" w:rsidP="00075478">
      <w:pPr>
        <w:keepNext/>
        <w:tabs>
          <w:tab w:val="clear" w:pos="1260"/>
          <w:tab w:val="clear" w:pos="2700"/>
          <w:tab w:val="left" w:pos="1276"/>
        </w:tabs>
        <w:rPr>
          <w:color w:val="4F81BD" w:themeColor="accent1"/>
        </w:rPr>
      </w:pPr>
    </w:p>
    <w:tbl>
      <w:tblPr>
        <w:tblW w:w="8505"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417"/>
        <w:gridCol w:w="1418"/>
        <w:gridCol w:w="1275"/>
        <w:gridCol w:w="1276"/>
      </w:tblGrid>
      <w:tr w:rsidR="00AD0A5D" w:rsidRPr="00834814" w:rsidTr="00E452AC">
        <w:trPr>
          <w:trHeight w:val="574"/>
        </w:trPr>
        <w:tc>
          <w:tcPr>
            <w:tcW w:w="3119" w:type="dxa"/>
            <w:shd w:val="clear" w:color="auto" w:fill="F2F2F2" w:themeFill="background1" w:themeFillShade="F2"/>
            <w:vAlign w:val="center"/>
          </w:tcPr>
          <w:p w:rsidR="00AD0A5D" w:rsidRPr="00A82462" w:rsidRDefault="00AD0A5D" w:rsidP="00E452AC">
            <w:pPr>
              <w:widowControl w:val="0"/>
              <w:jc w:val="center"/>
              <w:rPr>
                <w:b/>
                <w:szCs w:val="22"/>
              </w:rPr>
            </w:pPr>
            <w:r w:rsidRPr="00A82462">
              <w:rPr>
                <w:b/>
                <w:szCs w:val="22"/>
              </w:rPr>
              <w:t>Council Position</w:t>
            </w:r>
          </w:p>
        </w:tc>
        <w:tc>
          <w:tcPr>
            <w:tcW w:w="1417" w:type="dxa"/>
            <w:shd w:val="clear" w:color="auto" w:fill="F2F2F2" w:themeFill="background1" w:themeFillShade="F2"/>
            <w:vAlign w:val="center"/>
          </w:tcPr>
          <w:p w:rsidR="00834814" w:rsidRPr="00A82462" w:rsidRDefault="00834814" w:rsidP="00E452AC">
            <w:pPr>
              <w:widowControl w:val="0"/>
              <w:jc w:val="center"/>
              <w:rPr>
                <w:b/>
                <w:szCs w:val="22"/>
              </w:rPr>
            </w:pPr>
            <w:r w:rsidRPr="00A82462">
              <w:rPr>
                <w:b/>
                <w:szCs w:val="22"/>
              </w:rPr>
              <w:t>2016/17</w:t>
            </w:r>
          </w:p>
          <w:p w:rsidR="00AD0A5D" w:rsidRPr="00A82462" w:rsidRDefault="00834814" w:rsidP="00E452AC">
            <w:pPr>
              <w:widowControl w:val="0"/>
              <w:jc w:val="center"/>
              <w:rPr>
                <w:b/>
                <w:szCs w:val="22"/>
              </w:rPr>
            </w:pPr>
            <w:r w:rsidRPr="00A82462">
              <w:rPr>
                <w:b/>
                <w:szCs w:val="22"/>
              </w:rPr>
              <w:t>£</w:t>
            </w:r>
          </w:p>
        </w:tc>
        <w:tc>
          <w:tcPr>
            <w:tcW w:w="1418" w:type="dxa"/>
            <w:shd w:val="clear" w:color="auto" w:fill="F2F2F2" w:themeFill="background1" w:themeFillShade="F2"/>
            <w:vAlign w:val="center"/>
          </w:tcPr>
          <w:p w:rsidR="00834814" w:rsidRPr="00A82462" w:rsidRDefault="00834814" w:rsidP="00E452AC">
            <w:pPr>
              <w:widowControl w:val="0"/>
              <w:jc w:val="center"/>
              <w:rPr>
                <w:b/>
                <w:szCs w:val="22"/>
              </w:rPr>
            </w:pPr>
            <w:r w:rsidRPr="00A82462">
              <w:rPr>
                <w:b/>
                <w:szCs w:val="22"/>
              </w:rPr>
              <w:t>2017/18</w:t>
            </w:r>
          </w:p>
          <w:p w:rsidR="00AD0A5D" w:rsidRPr="00A82462" w:rsidRDefault="00AD0A5D" w:rsidP="00E452AC">
            <w:pPr>
              <w:widowControl w:val="0"/>
              <w:jc w:val="center"/>
              <w:rPr>
                <w:b/>
                <w:szCs w:val="22"/>
              </w:rPr>
            </w:pPr>
            <w:r w:rsidRPr="00A82462">
              <w:rPr>
                <w:b/>
                <w:szCs w:val="22"/>
              </w:rPr>
              <w:t>£</w:t>
            </w:r>
          </w:p>
        </w:tc>
        <w:tc>
          <w:tcPr>
            <w:tcW w:w="1275" w:type="dxa"/>
            <w:shd w:val="clear" w:color="auto" w:fill="F2F2F2" w:themeFill="background1" w:themeFillShade="F2"/>
            <w:vAlign w:val="center"/>
          </w:tcPr>
          <w:p w:rsidR="00834814" w:rsidRPr="00A82462" w:rsidRDefault="00834814" w:rsidP="00E452AC">
            <w:pPr>
              <w:widowControl w:val="0"/>
              <w:jc w:val="center"/>
              <w:rPr>
                <w:b/>
                <w:szCs w:val="22"/>
              </w:rPr>
            </w:pPr>
            <w:r w:rsidRPr="00A82462">
              <w:rPr>
                <w:b/>
                <w:szCs w:val="22"/>
              </w:rPr>
              <w:t>2018/19</w:t>
            </w:r>
          </w:p>
          <w:p w:rsidR="00AD0A5D" w:rsidRPr="00A82462" w:rsidRDefault="00AD0A5D" w:rsidP="00E452AC">
            <w:pPr>
              <w:widowControl w:val="0"/>
              <w:jc w:val="center"/>
              <w:rPr>
                <w:b/>
                <w:szCs w:val="22"/>
              </w:rPr>
            </w:pPr>
            <w:r w:rsidRPr="00A82462">
              <w:rPr>
                <w:b/>
                <w:szCs w:val="22"/>
              </w:rPr>
              <w:t>£</w:t>
            </w:r>
          </w:p>
        </w:tc>
        <w:tc>
          <w:tcPr>
            <w:tcW w:w="1276" w:type="dxa"/>
            <w:shd w:val="clear" w:color="auto" w:fill="F2F2F2" w:themeFill="background1" w:themeFillShade="F2"/>
            <w:vAlign w:val="center"/>
          </w:tcPr>
          <w:p w:rsidR="00834814" w:rsidRPr="00A82462" w:rsidRDefault="00834814" w:rsidP="00E452AC">
            <w:pPr>
              <w:widowControl w:val="0"/>
              <w:jc w:val="center"/>
              <w:rPr>
                <w:b/>
                <w:szCs w:val="22"/>
              </w:rPr>
            </w:pPr>
            <w:r w:rsidRPr="00A82462">
              <w:rPr>
                <w:b/>
                <w:szCs w:val="22"/>
              </w:rPr>
              <w:t>2019/20</w:t>
            </w:r>
          </w:p>
          <w:p w:rsidR="00AD0A5D" w:rsidRPr="00A82462" w:rsidRDefault="00AD0A5D" w:rsidP="00E452AC">
            <w:pPr>
              <w:widowControl w:val="0"/>
              <w:jc w:val="center"/>
              <w:rPr>
                <w:b/>
                <w:szCs w:val="22"/>
              </w:rPr>
            </w:pPr>
            <w:r w:rsidRPr="00A82462">
              <w:rPr>
                <w:b/>
                <w:szCs w:val="22"/>
              </w:rPr>
              <w:t>£</w:t>
            </w:r>
          </w:p>
        </w:tc>
      </w:tr>
      <w:tr w:rsidR="00087582" w:rsidRPr="00834814" w:rsidTr="00A82B80">
        <w:tc>
          <w:tcPr>
            <w:tcW w:w="3119" w:type="dxa"/>
            <w:tcBorders>
              <w:top w:val="single" w:sz="4" w:space="0" w:color="auto"/>
              <w:left w:val="single" w:sz="4" w:space="0" w:color="auto"/>
              <w:bottom w:val="single" w:sz="4" w:space="0" w:color="auto"/>
              <w:right w:val="single" w:sz="4" w:space="0" w:color="auto"/>
            </w:tcBorders>
          </w:tcPr>
          <w:p w:rsidR="00087582" w:rsidRPr="00087582" w:rsidRDefault="00087582" w:rsidP="00004661">
            <w:pPr>
              <w:widowControl w:val="0"/>
              <w:spacing w:before="60" w:after="60"/>
              <w:jc w:val="left"/>
              <w:rPr>
                <w:szCs w:val="22"/>
              </w:rPr>
            </w:pPr>
            <w:r w:rsidRPr="00087582">
              <w:rPr>
                <w:szCs w:val="22"/>
              </w:rPr>
              <w:t>Latest Budget</w:t>
            </w:r>
            <w:r w:rsidR="00004661">
              <w:rPr>
                <w:szCs w:val="22"/>
              </w:rPr>
              <w:t xml:space="preserve"> (20 Mar 17)</w:t>
            </w:r>
          </w:p>
        </w:tc>
        <w:tc>
          <w:tcPr>
            <w:tcW w:w="1417" w:type="dxa"/>
            <w:tcBorders>
              <w:top w:val="single" w:sz="4" w:space="0" w:color="auto"/>
              <w:left w:val="single" w:sz="4" w:space="0" w:color="auto"/>
              <w:bottom w:val="single" w:sz="4" w:space="0" w:color="auto"/>
              <w:right w:val="single" w:sz="4" w:space="0" w:color="auto"/>
            </w:tcBorders>
          </w:tcPr>
          <w:p w:rsidR="00087582" w:rsidRPr="00087582" w:rsidRDefault="00087582" w:rsidP="00481852">
            <w:pPr>
              <w:widowControl w:val="0"/>
              <w:spacing w:before="60" w:after="60"/>
              <w:jc w:val="right"/>
              <w:rPr>
                <w:szCs w:val="22"/>
              </w:rPr>
            </w:pPr>
            <w:r w:rsidRPr="00087582">
              <w:rPr>
                <w:szCs w:val="22"/>
              </w:rPr>
              <w:t>5,912,311</w:t>
            </w:r>
          </w:p>
        </w:tc>
        <w:tc>
          <w:tcPr>
            <w:tcW w:w="1418" w:type="dxa"/>
            <w:tcBorders>
              <w:top w:val="single" w:sz="4" w:space="0" w:color="auto"/>
              <w:left w:val="single" w:sz="4" w:space="0" w:color="auto"/>
              <w:bottom w:val="single" w:sz="4" w:space="0" w:color="auto"/>
              <w:right w:val="single" w:sz="4" w:space="0" w:color="auto"/>
            </w:tcBorders>
          </w:tcPr>
          <w:p w:rsidR="00087582" w:rsidRPr="00087582" w:rsidRDefault="00087582" w:rsidP="00481852">
            <w:pPr>
              <w:widowControl w:val="0"/>
              <w:spacing w:before="60" w:after="60"/>
              <w:jc w:val="right"/>
              <w:rPr>
                <w:szCs w:val="22"/>
              </w:rPr>
            </w:pPr>
            <w:r>
              <w:rPr>
                <w:szCs w:val="22"/>
              </w:rPr>
              <w:t>8,358,940</w:t>
            </w:r>
          </w:p>
        </w:tc>
        <w:tc>
          <w:tcPr>
            <w:tcW w:w="1275" w:type="dxa"/>
            <w:tcBorders>
              <w:top w:val="single" w:sz="4" w:space="0" w:color="auto"/>
              <w:left w:val="single" w:sz="4" w:space="0" w:color="auto"/>
              <w:bottom w:val="single" w:sz="4" w:space="0" w:color="auto"/>
              <w:right w:val="single" w:sz="4" w:space="0" w:color="auto"/>
            </w:tcBorders>
          </w:tcPr>
          <w:p w:rsidR="00087582" w:rsidRPr="00087582" w:rsidRDefault="00087582" w:rsidP="00B03DB4">
            <w:pPr>
              <w:widowControl w:val="0"/>
              <w:spacing w:before="60" w:after="60"/>
              <w:jc w:val="right"/>
              <w:rPr>
                <w:szCs w:val="22"/>
              </w:rPr>
            </w:pPr>
            <w:r>
              <w:rPr>
                <w:szCs w:val="22"/>
              </w:rPr>
              <w:t>4,241,770</w:t>
            </w:r>
          </w:p>
        </w:tc>
        <w:tc>
          <w:tcPr>
            <w:tcW w:w="1276" w:type="dxa"/>
            <w:tcBorders>
              <w:top w:val="single" w:sz="4" w:space="0" w:color="auto"/>
              <w:left w:val="single" w:sz="4" w:space="0" w:color="auto"/>
              <w:bottom w:val="single" w:sz="4" w:space="0" w:color="auto"/>
              <w:right w:val="single" w:sz="4" w:space="0" w:color="auto"/>
            </w:tcBorders>
          </w:tcPr>
          <w:p w:rsidR="00087582" w:rsidRPr="00087582" w:rsidRDefault="00087582" w:rsidP="00B03DB4">
            <w:pPr>
              <w:widowControl w:val="0"/>
              <w:spacing w:before="60" w:after="60"/>
              <w:jc w:val="right"/>
              <w:rPr>
                <w:szCs w:val="22"/>
              </w:rPr>
            </w:pPr>
            <w:r>
              <w:rPr>
                <w:szCs w:val="22"/>
              </w:rPr>
              <w:t>2,566,650</w:t>
            </w:r>
          </w:p>
        </w:tc>
      </w:tr>
      <w:tr w:rsidR="00F176CA" w:rsidRPr="00834814" w:rsidTr="00145A6D">
        <w:tc>
          <w:tcPr>
            <w:tcW w:w="3119" w:type="dxa"/>
            <w:tcBorders>
              <w:top w:val="single" w:sz="4" w:space="0" w:color="auto"/>
              <w:left w:val="single" w:sz="4" w:space="0" w:color="auto"/>
              <w:bottom w:val="single" w:sz="4" w:space="0" w:color="auto"/>
              <w:right w:val="single" w:sz="4" w:space="0" w:color="auto"/>
            </w:tcBorders>
          </w:tcPr>
          <w:p w:rsidR="00F176CA" w:rsidRPr="00087582" w:rsidRDefault="00F176CA" w:rsidP="00481852">
            <w:pPr>
              <w:widowControl w:val="0"/>
              <w:spacing w:before="60" w:after="60"/>
              <w:jc w:val="left"/>
              <w:rPr>
                <w:szCs w:val="22"/>
              </w:rPr>
            </w:pPr>
            <w:r>
              <w:rPr>
                <w:szCs w:val="22"/>
              </w:rPr>
              <w:t>Spend for year</w:t>
            </w:r>
          </w:p>
        </w:tc>
        <w:tc>
          <w:tcPr>
            <w:tcW w:w="1417" w:type="dxa"/>
            <w:tcBorders>
              <w:top w:val="single" w:sz="4" w:space="0" w:color="auto"/>
              <w:left w:val="single" w:sz="4" w:space="0" w:color="auto"/>
              <w:bottom w:val="single" w:sz="4" w:space="0" w:color="auto"/>
              <w:right w:val="single" w:sz="4" w:space="0" w:color="auto"/>
            </w:tcBorders>
          </w:tcPr>
          <w:p w:rsidR="00F176CA" w:rsidRPr="00087582" w:rsidRDefault="00F176CA" w:rsidP="00076B75">
            <w:pPr>
              <w:widowControl w:val="0"/>
              <w:spacing w:before="60" w:after="60"/>
              <w:jc w:val="right"/>
              <w:rPr>
                <w:szCs w:val="22"/>
              </w:rPr>
            </w:pPr>
            <w:r w:rsidRPr="00087582">
              <w:rPr>
                <w:szCs w:val="22"/>
              </w:rPr>
              <w:t>3,</w:t>
            </w:r>
            <w:r w:rsidR="00076B75">
              <w:rPr>
                <w:szCs w:val="22"/>
              </w:rPr>
              <w:t>918,610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76CA" w:rsidRPr="00145A6D" w:rsidRDefault="00F176CA" w:rsidP="00481852">
            <w:pPr>
              <w:widowControl w:val="0"/>
              <w:spacing w:before="60" w:after="60"/>
              <w:jc w:val="right"/>
              <w:rPr>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76CA" w:rsidRPr="00145A6D" w:rsidRDefault="00F176CA" w:rsidP="00481852">
            <w:pPr>
              <w:widowControl w:val="0"/>
              <w:spacing w:before="60" w:after="60"/>
              <w:jc w:val="right"/>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76CA" w:rsidRPr="00145A6D" w:rsidRDefault="00F176CA" w:rsidP="00481852">
            <w:pPr>
              <w:widowControl w:val="0"/>
              <w:spacing w:before="60" w:after="60"/>
              <w:jc w:val="right"/>
              <w:rPr>
                <w:szCs w:val="22"/>
              </w:rPr>
            </w:pPr>
          </w:p>
        </w:tc>
      </w:tr>
      <w:tr w:rsidR="00174D0B" w:rsidRPr="00834814" w:rsidTr="00145A6D">
        <w:tc>
          <w:tcPr>
            <w:tcW w:w="3119" w:type="dxa"/>
            <w:tcBorders>
              <w:top w:val="single" w:sz="4" w:space="0" w:color="auto"/>
              <w:left w:val="single" w:sz="4" w:space="0" w:color="auto"/>
              <w:bottom w:val="single" w:sz="4" w:space="0" w:color="auto"/>
              <w:right w:val="single" w:sz="4" w:space="0" w:color="auto"/>
            </w:tcBorders>
          </w:tcPr>
          <w:p w:rsidR="00174D0B" w:rsidRPr="00087582" w:rsidRDefault="00F176CA" w:rsidP="00481852">
            <w:pPr>
              <w:widowControl w:val="0"/>
              <w:spacing w:before="60" w:after="60"/>
              <w:jc w:val="left"/>
              <w:rPr>
                <w:szCs w:val="22"/>
              </w:rPr>
            </w:pPr>
            <w:r>
              <w:rPr>
                <w:szCs w:val="22"/>
              </w:rPr>
              <w:t>Variance</w:t>
            </w:r>
            <w:r w:rsidR="00174D0B" w:rsidRPr="00087582">
              <w:rPr>
                <w:szCs w:val="22"/>
              </w:rPr>
              <w:t xml:space="preserve"> at Year End</w:t>
            </w:r>
          </w:p>
        </w:tc>
        <w:tc>
          <w:tcPr>
            <w:tcW w:w="1417" w:type="dxa"/>
            <w:tcBorders>
              <w:top w:val="single" w:sz="4" w:space="0" w:color="auto"/>
              <w:left w:val="single" w:sz="4" w:space="0" w:color="auto"/>
              <w:bottom w:val="single" w:sz="4" w:space="0" w:color="auto"/>
              <w:right w:val="single" w:sz="4" w:space="0" w:color="auto"/>
            </w:tcBorders>
          </w:tcPr>
          <w:p w:rsidR="00174D0B" w:rsidRPr="00087582" w:rsidRDefault="00B66F50" w:rsidP="00127B66">
            <w:pPr>
              <w:widowControl w:val="0"/>
              <w:spacing w:before="60" w:after="60"/>
              <w:jc w:val="right"/>
              <w:rPr>
                <w:szCs w:val="22"/>
              </w:rPr>
            </w:pPr>
            <w:r w:rsidRPr="00087582">
              <w:rPr>
                <w:szCs w:val="22"/>
              </w:rPr>
              <w:t>(</w:t>
            </w:r>
            <w:r w:rsidR="00127B66">
              <w:rPr>
                <w:szCs w:val="22"/>
              </w:rPr>
              <w:t>1,993,701</w:t>
            </w:r>
            <w:r w:rsidRPr="00087582">
              <w:rPr>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4D0B" w:rsidRPr="00145A6D" w:rsidRDefault="00174D0B" w:rsidP="00481852">
            <w:pPr>
              <w:widowControl w:val="0"/>
              <w:spacing w:before="60" w:after="60"/>
              <w:jc w:val="right"/>
              <w:rPr>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4D0B" w:rsidRPr="00145A6D" w:rsidRDefault="00174D0B" w:rsidP="00481852">
            <w:pPr>
              <w:widowControl w:val="0"/>
              <w:spacing w:before="60" w:after="60"/>
              <w:jc w:val="right"/>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4D0B" w:rsidRPr="00145A6D" w:rsidRDefault="00174D0B" w:rsidP="00481852">
            <w:pPr>
              <w:widowControl w:val="0"/>
              <w:spacing w:before="60" w:after="60"/>
              <w:jc w:val="right"/>
              <w:rPr>
                <w:szCs w:val="22"/>
              </w:rPr>
            </w:pPr>
          </w:p>
        </w:tc>
      </w:tr>
      <w:tr w:rsidR="00087582" w:rsidRPr="00834814" w:rsidTr="00145A6D">
        <w:tc>
          <w:tcPr>
            <w:tcW w:w="3119" w:type="dxa"/>
            <w:tcBorders>
              <w:top w:val="single" w:sz="4" w:space="0" w:color="auto"/>
              <w:left w:val="single" w:sz="4" w:space="0" w:color="auto"/>
              <w:bottom w:val="single" w:sz="4" w:space="0" w:color="auto"/>
              <w:right w:val="single" w:sz="4" w:space="0" w:color="auto"/>
            </w:tcBorders>
          </w:tcPr>
          <w:p w:rsidR="00087582" w:rsidRPr="00087582" w:rsidRDefault="00295D88" w:rsidP="00295D88">
            <w:pPr>
              <w:widowControl w:val="0"/>
              <w:tabs>
                <w:tab w:val="clear" w:pos="1980"/>
                <w:tab w:val="clear" w:pos="2700"/>
                <w:tab w:val="clear" w:pos="3420"/>
                <w:tab w:val="center" w:pos="1805"/>
              </w:tabs>
              <w:spacing w:before="60" w:after="60"/>
              <w:jc w:val="left"/>
              <w:rPr>
                <w:szCs w:val="22"/>
              </w:rPr>
            </w:pPr>
            <w:r>
              <w:rPr>
                <w:szCs w:val="22"/>
              </w:rPr>
              <w:t xml:space="preserve">Amounts </w:t>
            </w:r>
            <w:r w:rsidR="00087582">
              <w:rPr>
                <w:szCs w:val="22"/>
              </w:rPr>
              <w:t xml:space="preserve">to </w:t>
            </w:r>
            <w:r>
              <w:rPr>
                <w:szCs w:val="22"/>
              </w:rPr>
              <w:t>r</w:t>
            </w:r>
            <w:r w:rsidR="00087582">
              <w:rPr>
                <w:szCs w:val="22"/>
              </w:rPr>
              <w:t>e</w:t>
            </w:r>
            <w:r>
              <w:rPr>
                <w:szCs w:val="22"/>
              </w:rPr>
              <w:t>-</w:t>
            </w:r>
            <w:r w:rsidR="00087582">
              <w:rPr>
                <w:szCs w:val="22"/>
              </w:rPr>
              <w:t>phase</w:t>
            </w:r>
          </w:p>
        </w:tc>
        <w:tc>
          <w:tcPr>
            <w:tcW w:w="1417" w:type="dxa"/>
            <w:tcBorders>
              <w:top w:val="single" w:sz="4" w:space="0" w:color="auto"/>
              <w:left w:val="single" w:sz="4" w:space="0" w:color="auto"/>
              <w:bottom w:val="single" w:sz="4" w:space="0" w:color="auto"/>
              <w:right w:val="single" w:sz="4" w:space="0" w:color="auto"/>
            </w:tcBorders>
          </w:tcPr>
          <w:p w:rsidR="00087582" w:rsidRPr="00087582" w:rsidRDefault="00087582" w:rsidP="00076B75">
            <w:pPr>
              <w:widowControl w:val="0"/>
              <w:spacing w:before="60" w:after="60"/>
              <w:jc w:val="right"/>
              <w:rPr>
                <w:szCs w:val="22"/>
              </w:rPr>
            </w:pPr>
            <w:r>
              <w:rPr>
                <w:szCs w:val="22"/>
              </w:rPr>
              <w:t>(</w:t>
            </w:r>
            <w:r w:rsidR="00076B75">
              <w:rPr>
                <w:szCs w:val="22"/>
              </w:rPr>
              <w:t>1</w:t>
            </w:r>
            <w:r>
              <w:rPr>
                <w:szCs w:val="22"/>
              </w:rPr>
              <w:t>,</w:t>
            </w:r>
            <w:r w:rsidR="00076B75">
              <w:rPr>
                <w:szCs w:val="22"/>
              </w:rPr>
              <w:t>985,940</w:t>
            </w:r>
            <w:r>
              <w:rPr>
                <w:szCs w:val="22"/>
              </w:rPr>
              <w:t>)</w:t>
            </w:r>
          </w:p>
        </w:tc>
        <w:tc>
          <w:tcPr>
            <w:tcW w:w="1418" w:type="dxa"/>
            <w:tcBorders>
              <w:top w:val="single" w:sz="4" w:space="0" w:color="auto"/>
              <w:left w:val="single" w:sz="4" w:space="0" w:color="auto"/>
              <w:bottom w:val="single" w:sz="4" w:space="0" w:color="auto"/>
              <w:right w:val="single" w:sz="4" w:space="0" w:color="auto"/>
            </w:tcBorders>
          </w:tcPr>
          <w:p w:rsidR="00076B75" w:rsidRPr="00087582" w:rsidRDefault="00076B75" w:rsidP="00076B75">
            <w:pPr>
              <w:widowControl w:val="0"/>
              <w:spacing w:before="60" w:after="60"/>
              <w:jc w:val="right"/>
              <w:rPr>
                <w:szCs w:val="22"/>
              </w:rPr>
            </w:pPr>
            <w:r>
              <w:rPr>
                <w:szCs w:val="22"/>
              </w:rPr>
              <w:t>1,985,940</w:t>
            </w:r>
          </w:p>
        </w:tc>
        <w:tc>
          <w:tcPr>
            <w:tcW w:w="1275" w:type="dxa"/>
            <w:tcBorders>
              <w:top w:val="single" w:sz="4" w:space="0" w:color="auto"/>
              <w:left w:val="single" w:sz="4" w:space="0" w:color="auto"/>
              <w:bottom w:val="single" w:sz="4" w:space="0" w:color="auto"/>
              <w:right w:val="single" w:sz="4" w:space="0" w:color="auto"/>
            </w:tcBorders>
          </w:tcPr>
          <w:p w:rsidR="00087582" w:rsidRPr="00087582" w:rsidRDefault="00F176CA" w:rsidP="00481852">
            <w:pPr>
              <w:widowControl w:val="0"/>
              <w:spacing w:before="60" w:after="60"/>
              <w:jc w:val="right"/>
              <w:rPr>
                <w:szCs w:val="22"/>
              </w:rPr>
            </w:pPr>
            <w:r>
              <w:rPr>
                <w:szCs w:val="22"/>
              </w:rPr>
              <w:t>0</w:t>
            </w:r>
          </w:p>
        </w:tc>
        <w:tc>
          <w:tcPr>
            <w:tcW w:w="1276" w:type="dxa"/>
            <w:tcBorders>
              <w:top w:val="single" w:sz="4" w:space="0" w:color="auto"/>
              <w:left w:val="single" w:sz="4" w:space="0" w:color="auto"/>
              <w:bottom w:val="single" w:sz="4" w:space="0" w:color="auto"/>
              <w:right w:val="single" w:sz="4" w:space="0" w:color="auto"/>
            </w:tcBorders>
          </w:tcPr>
          <w:p w:rsidR="00087582" w:rsidRPr="00087582" w:rsidRDefault="00F176CA" w:rsidP="00481852">
            <w:pPr>
              <w:widowControl w:val="0"/>
              <w:spacing w:before="60" w:after="60"/>
              <w:jc w:val="right"/>
              <w:rPr>
                <w:szCs w:val="22"/>
              </w:rPr>
            </w:pPr>
            <w:r>
              <w:rPr>
                <w:szCs w:val="22"/>
              </w:rPr>
              <w:t>0</w:t>
            </w:r>
          </w:p>
        </w:tc>
      </w:tr>
      <w:tr w:rsidR="00087582" w:rsidRPr="00834814" w:rsidTr="00145A6D">
        <w:tc>
          <w:tcPr>
            <w:tcW w:w="3119" w:type="dxa"/>
            <w:tcBorders>
              <w:top w:val="single" w:sz="4" w:space="0" w:color="auto"/>
              <w:left w:val="single" w:sz="4" w:space="0" w:color="auto"/>
              <w:bottom w:val="single" w:sz="4" w:space="0" w:color="auto"/>
              <w:right w:val="single" w:sz="4" w:space="0" w:color="auto"/>
            </w:tcBorders>
          </w:tcPr>
          <w:p w:rsidR="00087582" w:rsidRDefault="00F176CA" w:rsidP="00481852">
            <w:pPr>
              <w:widowControl w:val="0"/>
              <w:tabs>
                <w:tab w:val="clear" w:pos="1980"/>
                <w:tab w:val="clear" w:pos="2700"/>
                <w:tab w:val="clear" w:pos="3420"/>
                <w:tab w:val="center" w:pos="1805"/>
              </w:tabs>
              <w:spacing w:before="60" w:after="60"/>
              <w:jc w:val="left"/>
              <w:rPr>
                <w:szCs w:val="22"/>
              </w:rPr>
            </w:pPr>
            <w:r>
              <w:rPr>
                <w:szCs w:val="22"/>
              </w:rPr>
              <w:t>Variance</w:t>
            </w:r>
          </w:p>
        </w:tc>
        <w:tc>
          <w:tcPr>
            <w:tcW w:w="1417" w:type="dxa"/>
            <w:tcBorders>
              <w:top w:val="single" w:sz="4" w:space="0" w:color="auto"/>
              <w:left w:val="single" w:sz="4" w:space="0" w:color="auto"/>
              <w:bottom w:val="single" w:sz="4" w:space="0" w:color="auto"/>
              <w:right w:val="single" w:sz="4" w:space="0" w:color="auto"/>
            </w:tcBorders>
          </w:tcPr>
          <w:p w:rsidR="00087582" w:rsidRPr="00087582" w:rsidRDefault="00F176CA" w:rsidP="00076B75">
            <w:pPr>
              <w:widowControl w:val="0"/>
              <w:spacing w:before="60" w:after="60"/>
              <w:jc w:val="right"/>
              <w:rPr>
                <w:szCs w:val="22"/>
              </w:rPr>
            </w:pPr>
            <w:r>
              <w:rPr>
                <w:szCs w:val="22"/>
              </w:rPr>
              <w:t>(</w:t>
            </w:r>
            <w:r w:rsidR="004C0F74">
              <w:rPr>
                <w:szCs w:val="22"/>
              </w:rPr>
              <w:t>7,76</w:t>
            </w:r>
            <w:r w:rsidR="00076B75">
              <w:rPr>
                <w:szCs w:val="22"/>
              </w:rPr>
              <w:t>1</w:t>
            </w:r>
            <w:r>
              <w:rPr>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87582" w:rsidRPr="00087582" w:rsidRDefault="00087582" w:rsidP="00E4507A">
            <w:pPr>
              <w:widowControl w:val="0"/>
              <w:spacing w:before="60" w:after="60"/>
              <w:jc w:val="right"/>
              <w:rPr>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87582" w:rsidRPr="00087582" w:rsidRDefault="00087582" w:rsidP="00481852">
            <w:pPr>
              <w:widowControl w:val="0"/>
              <w:spacing w:before="60" w:after="60"/>
              <w:jc w:val="right"/>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87582" w:rsidRPr="00087582" w:rsidRDefault="00087582" w:rsidP="00481852">
            <w:pPr>
              <w:widowControl w:val="0"/>
              <w:spacing w:before="60" w:after="60"/>
              <w:jc w:val="right"/>
              <w:rPr>
                <w:szCs w:val="22"/>
              </w:rPr>
            </w:pPr>
          </w:p>
        </w:tc>
      </w:tr>
      <w:tr w:rsidR="00E452AC" w:rsidRPr="00834814" w:rsidTr="00647C03">
        <w:tc>
          <w:tcPr>
            <w:tcW w:w="3119" w:type="dxa"/>
            <w:tcBorders>
              <w:top w:val="single" w:sz="4" w:space="0" w:color="auto"/>
              <w:left w:val="single" w:sz="4" w:space="0" w:color="auto"/>
              <w:bottom w:val="single" w:sz="4" w:space="0" w:color="auto"/>
              <w:right w:val="single" w:sz="4" w:space="0" w:color="auto"/>
            </w:tcBorders>
          </w:tcPr>
          <w:p w:rsidR="00E452AC" w:rsidRDefault="00E452AC" w:rsidP="00110096">
            <w:pPr>
              <w:widowControl w:val="0"/>
              <w:tabs>
                <w:tab w:val="clear" w:pos="1980"/>
                <w:tab w:val="clear" w:pos="2700"/>
                <w:tab w:val="clear" w:pos="3420"/>
                <w:tab w:val="center" w:pos="1805"/>
              </w:tabs>
              <w:spacing w:before="60" w:after="60"/>
              <w:jc w:val="left"/>
              <w:rPr>
                <w:szCs w:val="22"/>
              </w:rPr>
            </w:pPr>
            <w:r>
              <w:rPr>
                <w:szCs w:val="22"/>
              </w:rPr>
              <w:t xml:space="preserve">Adjustment to budget for spend </w:t>
            </w:r>
            <w:r w:rsidR="00110096">
              <w:rPr>
                <w:szCs w:val="22"/>
              </w:rPr>
              <w:t xml:space="preserve">in advance </w:t>
            </w:r>
            <w:r>
              <w:rPr>
                <w:szCs w:val="22"/>
              </w:rPr>
              <w:t>(see paragraph 2.10)</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52AC" w:rsidRPr="00F176CA" w:rsidRDefault="00E452AC" w:rsidP="00F176CA">
            <w:pPr>
              <w:widowControl w:val="0"/>
              <w:spacing w:before="60" w:after="60"/>
              <w:jc w:val="center"/>
              <w:rPr>
                <w:szCs w:val="22"/>
                <w:highlight w:val="lightGray"/>
              </w:rPr>
            </w:pPr>
          </w:p>
        </w:tc>
        <w:tc>
          <w:tcPr>
            <w:tcW w:w="1418" w:type="dxa"/>
            <w:tcBorders>
              <w:top w:val="single" w:sz="4" w:space="0" w:color="auto"/>
              <w:left w:val="single" w:sz="4" w:space="0" w:color="auto"/>
              <w:bottom w:val="single" w:sz="4" w:space="0" w:color="auto"/>
              <w:right w:val="single" w:sz="4" w:space="0" w:color="auto"/>
            </w:tcBorders>
            <w:vAlign w:val="center"/>
          </w:tcPr>
          <w:p w:rsidR="00E452AC" w:rsidRDefault="00E452AC" w:rsidP="00647C03">
            <w:pPr>
              <w:widowControl w:val="0"/>
              <w:spacing w:before="60" w:after="60"/>
              <w:jc w:val="right"/>
              <w:rPr>
                <w:szCs w:val="22"/>
              </w:rPr>
            </w:pPr>
            <w:r>
              <w:rPr>
                <w:szCs w:val="22"/>
              </w:rPr>
              <w:t>(42,890)</w:t>
            </w:r>
          </w:p>
        </w:tc>
        <w:tc>
          <w:tcPr>
            <w:tcW w:w="1275" w:type="dxa"/>
            <w:tcBorders>
              <w:top w:val="single" w:sz="4" w:space="0" w:color="auto"/>
              <w:left w:val="single" w:sz="4" w:space="0" w:color="auto"/>
              <w:bottom w:val="single" w:sz="4" w:space="0" w:color="auto"/>
              <w:right w:val="single" w:sz="4" w:space="0" w:color="auto"/>
            </w:tcBorders>
            <w:vAlign w:val="center"/>
          </w:tcPr>
          <w:p w:rsidR="00E452AC" w:rsidRDefault="00E452AC" w:rsidP="00647C03">
            <w:pPr>
              <w:widowControl w:val="0"/>
              <w:spacing w:before="60" w:after="60"/>
              <w:jc w:val="right"/>
              <w:rPr>
                <w:szCs w:val="22"/>
              </w:rPr>
            </w:pPr>
            <w:r>
              <w:rPr>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E452AC" w:rsidRDefault="00E452AC" w:rsidP="00647C03">
            <w:pPr>
              <w:widowControl w:val="0"/>
              <w:spacing w:before="60" w:after="60"/>
              <w:jc w:val="right"/>
              <w:rPr>
                <w:szCs w:val="22"/>
              </w:rPr>
            </w:pPr>
            <w:r>
              <w:rPr>
                <w:szCs w:val="22"/>
              </w:rPr>
              <w:t>0</w:t>
            </w:r>
          </w:p>
        </w:tc>
      </w:tr>
      <w:tr w:rsidR="00F176CA" w:rsidRPr="00834814" w:rsidTr="00145A6D">
        <w:tc>
          <w:tcPr>
            <w:tcW w:w="3119" w:type="dxa"/>
            <w:tcBorders>
              <w:top w:val="single" w:sz="4" w:space="0" w:color="auto"/>
              <w:left w:val="single" w:sz="4" w:space="0" w:color="auto"/>
              <w:bottom w:val="single" w:sz="4" w:space="0" w:color="auto"/>
              <w:right w:val="single" w:sz="4" w:space="0" w:color="auto"/>
            </w:tcBorders>
          </w:tcPr>
          <w:p w:rsidR="00F176CA" w:rsidRDefault="00F176CA" w:rsidP="00481852">
            <w:pPr>
              <w:widowControl w:val="0"/>
              <w:tabs>
                <w:tab w:val="clear" w:pos="1980"/>
                <w:tab w:val="clear" w:pos="2700"/>
                <w:tab w:val="clear" w:pos="3420"/>
                <w:tab w:val="center" w:pos="1805"/>
              </w:tabs>
              <w:spacing w:before="60" w:after="60"/>
              <w:jc w:val="left"/>
              <w:rPr>
                <w:szCs w:val="22"/>
              </w:rPr>
            </w:pPr>
            <w:r>
              <w:rPr>
                <w:szCs w:val="22"/>
              </w:rPr>
              <w:t>Latest budget</w:t>
            </w:r>
            <w:r w:rsidR="00295D88">
              <w:rPr>
                <w:szCs w:val="22"/>
              </w:rPr>
              <w:t xml:space="preserve"> 17/18 – 19/20</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76CA" w:rsidRPr="00F176CA" w:rsidRDefault="00F176CA" w:rsidP="00F176CA">
            <w:pPr>
              <w:widowControl w:val="0"/>
              <w:spacing w:before="60" w:after="60"/>
              <w:jc w:val="center"/>
              <w:rPr>
                <w:szCs w:val="22"/>
                <w:highlight w:val="lightGray"/>
              </w:rPr>
            </w:pPr>
          </w:p>
        </w:tc>
        <w:tc>
          <w:tcPr>
            <w:tcW w:w="1418" w:type="dxa"/>
            <w:tcBorders>
              <w:top w:val="single" w:sz="4" w:space="0" w:color="auto"/>
              <w:left w:val="single" w:sz="4" w:space="0" w:color="auto"/>
              <w:bottom w:val="single" w:sz="4" w:space="0" w:color="auto"/>
              <w:right w:val="single" w:sz="4" w:space="0" w:color="auto"/>
            </w:tcBorders>
          </w:tcPr>
          <w:p w:rsidR="00F176CA" w:rsidRPr="00087582" w:rsidRDefault="00F176CA" w:rsidP="00076B75">
            <w:pPr>
              <w:widowControl w:val="0"/>
              <w:spacing w:before="60" w:after="60"/>
              <w:jc w:val="right"/>
              <w:rPr>
                <w:szCs w:val="22"/>
              </w:rPr>
            </w:pPr>
            <w:r>
              <w:rPr>
                <w:szCs w:val="22"/>
              </w:rPr>
              <w:t>10,</w:t>
            </w:r>
            <w:r w:rsidR="00076B75">
              <w:rPr>
                <w:szCs w:val="22"/>
              </w:rPr>
              <w:t>301,990</w:t>
            </w:r>
          </w:p>
        </w:tc>
        <w:tc>
          <w:tcPr>
            <w:tcW w:w="1275" w:type="dxa"/>
            <w:tcBorders>
              <w:top w:val="single" w:sz="4" w:space="0" w:color="auto"/>
              <w:left w:val="single" w:sz="4" w:space="0" w:color="auto"/>
              <w:bottom w:val="single" w:sz="4" w:space="0" w:color="auto"/>
              <w:right w:val="single" w:sz="4" w:space="0" w:color="auto"/>
            </w:tcBorders>
          </w:tcPr>
          <w:p w:rsidR="00F176CA" w:rsidRPr="00087582" w:rsidRDefault="00F176CA" w:rsidP="00481852">
            <w:pPr>
              <w:widowControl w:val="0"/>
              <w:spacing w:before="60" w:after="60"/>
              <w:jc w:val="right"/>
              <w:rPr>
                <w:szCs w:val="22"/>
              </w:rPr>
            </w:pPr>
            <w:r>
              <w:rPr>
                <w:szCs w:val="22"/>
              </w:rPr>
              <w:t>4,241,770</w:t>
            </w:r>
          </w:p>
        </w:tc>
        <w:tc>
          <w:tcPr>
            <w:tcW w:w="1276" w:type="dxa"/>
            <w:tcBorders>
              <w:top w:val="single" w:sz="4" w:space="0" w:color="auto"/>
              <w:left w:val="single" w:sz="4" w:space="0" w:color="auto"/>
              <w:bottom w:val="single" w:sz="4" w:space="0" w:color="auto"/>
              <w:right w:val="single" w:sz="4" w:space="0" w:color="auto"/>
            </w:tcBorders>
          </w:tcPr>
          <w:p w:rsidR="00F176CA" w:rsidRPr="00087582" w:rsidRDefault="00F176CA" w:rsidP="00481852">
            <w:pPr>
              <w:widowControl w:val="0"/>
              <w:spacing w:before="60" w:after="60"/>
              <w:jc w:val="right"/>
              <w:rPr>
                <w:szCs w:val="22"/>
              </w:rPr>
            </w:pPr>
            <w:r>
              <w:rPr>
                <w:szCs w:val="22"/>
              </w:rPr>
              <w:t>2,566,650</w:t>
            </w:r>
          </w:p>
        </w:tc>
      </w:tr>
    </w:tbl>
    <w:p w:rsidR="00E452AC" w:rsidRDefault="009E26E9" w:rsidP="00630ACD">
      <w:pPr>
        <w:keepNext/>
        <w:tabs>
          <w:tab w:val="clear" w:pos="1260"/>
        </w:tabs>
        <w:rPr>
          <w:color w:val="4F81BD" w:themeColor="accent1"/>
          <w:szCs w:val="22"/>
        </w:rPr>
      </w:pPr>
      <w:r w:rsidRPr="00834814">
        <w:rPr>
          <w:color w:val="4F81BD" w:themeColor="accent1"/>
          <w:szCs w:val="22"/>
        </w:rPr>
        <w:t xml:space="preserve">         </w:t>
      </w:r>
      <w:r w:rsidRPr="00834814">
        <w:rPr>
          <w:color w:val="4F81BD" w:themeColor="accent1"/>
          <w:szCs w:val="22"/>
        </w:rPr>
        <w:tab/>
      </w:r>
    </w:p>
    <w:tbl>
      <w:tblPr>
        <w:tblW w:w="8505"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417"/>
        <w:gridCol w:w="1418"/>
        <w:gridCol w:w="1275"/>
        <w:gridCol w:w="1276"/>
      </w:tblGrid>
      <w:tr w:rsidR="00145A6D" w:rsidRPr="005F1C18" w:rsidTr="00E452AC">
        <w:tc>
          <w:tcPr>
            <w:tcW w:w="3119" w:type="dxa"/>
            <w:shd w:val="clear" w:color="auto" w:fill="F2F2F2" w:themeFill="background1" w:themeFillShade="F2"/>
            <w:vAlign w:val="center"/>
          </w:tcPr>
          <w:p w:rsidR="00145A6D" w:rsidRPr="00A82462" w:rsidRDefault="00145A6D" w:rsidP="00E452AC">
            <w:pPr>
              <w:widowControl w:val="0"/>
              <w:jc w:val="center"/>
              <w:rPr>
                <w:b/>
                <w:szCs w:val="22"/>
              </w:rPr>
            </w:pPr>
            <w:r w:rsidRPr="00A82462">
              <w:rPr>
                <w:b/>
                <w:szCs w:val="22"/>
              </w:rPr>
              <w:t>South Oxhey Initiative</w:t>
            </w:r>
          </w:p>
        </w:tc>
        <w:tc>
          <w:tcPr>
            <w:tcW w:w="1417" w:type="dxa"/>
            <w:shd w:val="clear" w:color="auto" w:fill="F2F2F2" w:themeFill="background1" w:themeFillShade="F2"/>
            <w:vAlign w:val="center"/>
          </w:tcPr>
          <w:p w:rsidR="00145A6D" w:rsidRPr="00A82462" w:rsidRDefault="00145A6D" w:rsidP="00E452AC">
            <w:pPr>
              <w:widowControl w:val="0"/>
              <w:jc w:val="center"/>
              <w:rPr>
                <w:b/>
                <w:szCs w:val="22"/>
              </w:rPr>
            </w:pPr>
            <w:r w:rsidRPr="00A82462">
              <w:rPr>
                <w:b/>
                <w:szCs w:val="22"/>
              </w:rPr>
              <w:t>2016/17</w:t>
            </w:r>
          </w:p>
          <w:p w:rsidR="00145A6D" w:rsidRPr="00A82462" w:rsidRDefault="00145A6D" w:rsidP="00E452AC">
            <w:pPr>
              <w:widowControl w:val="0"/>
              <w:jc w:val="center"/>
              <w:rPr>
                <w:b/>
                <w:szCs w:val="22"/>
              </w:rPr>
            </w:pPr>
            <w:r w:rsidRPr="00A82462">
              <w:rPr>
                <w:b/>
                <w:szCs w:val="22"/>
              </w:rPr>
              <w:t>£</w:t>
            </w:r>
          </w:p>
        </w:tc>
        <w:tc>
          <w:tcPr>
            <w:tcW w:w="1418" w:type="dxa"/>
            <w:shd w:val="clear" w:color="auto" w:fill="F2F2F2" w:themeFill="background1" w:themeFillShade="F2"/>
            <w:vAlign w:val="center"/>
          </w:tcPr>
          <w:p w:rsidR="00145A6D" w:rsidRPr="00A82462" w:rsidRDefault="00145A6D" w:rsidP="00E452AC">
            <w:pPr>
              <w:widowControl w:val="0"/>
              <w:jc w:val="center"/>
              <w:rPr>
                <w:b/>
                <w:szCs w:val="22"/>
              </w:rPr>
            </w:pPr>
            <w:r w:rsidRPr="00A82462">
              <w:rPr>
                <w:b/>
                <w:szCs w:val="22"/>
              </w:rPr>
              <w:t>2017/18</w:t>
            </w:r>
          </w:p>
          <w:p w:rsidR="00145A6D" w:rsidRPr="00A82462" w:rsidRDefault="00145A6D" w:rsidP="00E452AC">
            <w:pPr>
              <w:widowControl w:val="0"/>
              <w:jc w:val="center"/>
              <w:rPr>
                <w:b/>
                <w:szCs w:val="22"/>
              </w:rPr>
            </w:pPr>
            <w:r w:rsidRPr="00A82462">
              <w:rPr>
                <w:b/>
                <w:szCs w:val="22"/>
              </w:rPr>
              <w:t>£</w:t>
            </w:r>
          </w:p>
        </w:tc>
        <w:tc>
          <w:tcPr>
            <w:tcW w:w="1275" w:type="dxa"/>
            <w:shd w:val="clear" w:color="auto" w:fill="F2F2F2" w:themeFill="background1" w:themeFillShade="F2"/>
            <w:vAlign w:val="center"/>
          </w:tcPr>
          <w:p w:rsidR="00145A6D" w:rsidRPr="00A82462" w:rsidRDefault="00145A6D" w:rsidP="00E452AC">
            <w:pPr>
              <w:widowControl w:val="0"/>
              <w:jc w:val="center"/>
              <w:rPr>
                <w:b/>
                <w:szCs w:val="22"/>
              </w:rPr>
            </w:pPr>
            <w:r w:rsidRPr="00A82462">
              <w:rPr>
                <w:b/>
                <w:szCs w:val="22"/>
              </w:rPr>
              <w:t>2018/19</w:t>
            </w:r>
          </w:p>
          <w:p w:rsidR="00145A6D" w:rsidRPr="00A82462" w:rsidRDefault="00145A6D" w:rsidP="00E452AC">
            <w:pPr>
              <w:widowControl w:val="0"/>
              <w:jc w:val="center"/>
              <w:rPr>
                <w:b/>
                <w:szCs w:val="22"/>
              </w:rPr>
            </w:pPr>
            <w:r w:rsidRPr="00A82462">
              <w:rPr>
                <w:b/>
                <w:szCs w:val="22"/>
              </w:rPr>
              <w:t>£</w:t>
            </w:r>
          </w:p>
        </w:tc>
        <w:tc>
          <w:tcPr>
            <w:tcW w:w="1276" w:type="dxa"/>
            <w:shd w:val="clear" w:color="auto" w:fill="F2F2F2" w:themeFill="background1" w:themeFillShade="F2"/>
            <w:vAlign w:val="center"/>
          </w:tcPr>
          <w:p w:rsidR="00145A6D" w:rsidRPr="00A82462" w:rsidRDefault="00145A6D" w:rsidP="00E452AC">
            <w:pPr>
              <w:widowControl w:val="0"/>
              <w:jc w:val="center"/>
              <w:rPr>
                <w:b/>
                <w:szCs w:val="22"/>
              </w:rPr>
            </w:pPr>
            <w:r w:rsidRPr="00A82462">
              <w:rPr>
                <w:b/>
                <w:szCs w:val="22"/>
              </w:rPr>
              <w:t>2019/20</w:t>
            </w:r>
          </w:p>
          <w:p w:rsidR="00145A6D" w:rsidRPr="00A82462" w:rsidRDefault="00145A6D" w:rsidP="00E452AC">
            <w:pPr>
              <w:widowControl w:val="0"/>
              <w:jc w:val="center"/>
              <w:rPr>
                <w:b/>
                <w:szCs w:val="22"/>
              </w:rPr>
            </w:pPr>
            <w:r w:rsidRPr="00A82462">
              <w:rPr>
                <w:b/>
                <w:szCs w:val="22"/>
              </w:rPr>
              <w:t>£</w:t>
            </w:r>
          </w:p>
        </w:tc>
      </w:tr>
      <w:tr w:rsidR="00145A6D" w:rsidRPr="00087582" w:rsidTr="00145A6D">
        <w:tc>
          <w:tcPr>
            <w:tcW w:w="3119" w:type="dxa"/>
            <w:tcBorders>
              <w:top w:val="single" w:sz="4" w:space="0" w:color="auto"/>
              <w:left w:val="single" w:sz="4" w:space="0" w:color="auto"/>
              <w:bottom w:val="single" w:sz="4" w:space="0" w:color="auto"/>
              <w:right w:val="single" w:sz="4" w:space="0" w:color="auto"/>
            </w:tcBorders>
          </w:tcPr>
          <w:p w:rsidR="00145A6D" w:rsidRPr="00087582" w:rsidRDefault="00145A6D" w:rsidP="00145A6D">
            <w:pPr>
              <w:widowControl w:val="0"/>
              <w:spacing w:before="60" w:after="60"/>
              <w:jc w:val="left"/>
              <w:rPr>
                <w:szCs w:val="22"/>
              </w:rPr>
            </w:pPr>
            <w:r w:rsidRPr="00087582">
              <w:rPr>
                <w:szCs w:val="22"/>
              </w:rPr>
              <w:t>Latest Budget</w:t>
            </w:r>
            <w:r>
              <w:rPr>
                <w:szCs w:val="22"/>
              </w:rPr>
              <w:t xml:space="preserve"> (</w:t>
            </w:r>
            <w:r w:rsidRPr="00145A6D">
              <w:rPr>
                <w:szCs w:val="22"/>
              </w:rPr>
              <w:t>21 Feb 17</w:t>
            </w:r>
            <w:r>
              <w:rPr>
                <w:szCs w:val="22"/>
              </w:rPr>
              <w:t>)</w:t>
            </w:r>
          </w:p>
        </w:tc>
        <w:tc>
          <w:tcPr>
            <w:tcW w:w="1417" w:type="dxa"/>
            <w:tcBorders>
              <w:top w:val="single" w:sz="4" w:space="0" w:color="auto"/>
              <w:left w:val="single" w:sz="4" w:space="0" w:color="auto"/>
              <w:bottom w:val="single" w:sz="4" w:space="0" w:color="auto"/>
              <w:right w:val="single" w:sz="4" w:space="0" w:color="auto"/>
            </w:tcBorders>
          </w:tcPr>
          <w:p w:rsidR="00145A6D" w:rsidRPr="00087582" w:rsidRDefault="00145A6D" w:rsidP="00145A6D">
            <w:pPr>
              <w:widowControl w:val="0"/>
              <w:spacing w:before="60" w:after="60"/>
              <w:jc w:val="right"/>
              <w:rPr>
                <w:szCs w:val="22"/>
              </w:rPr>
            </w:pPr>
            <w:r>
              <w:rPr>
                <w:szCs w:val="22"/>
              </w:rPr>
              <w:t>4,514,710</w:t>
            </w:r>
          </w:p>
        </w:tc>
        <w:tc>
          <w:tcPr>
            <w:tcW w:w="1418" w:type="dxa"/>
            <w:tcBorders>
              <w:top w:val="single" w:sz="4" w:space="0" w:color="auto"/>
              <w:left w:val="single" w:sz="4" w:space="0" w:color="auto"/>
              <w:bottom w:val="single" w:sz="4" w:space="0" w:color="auto"/>
              <w:right w:val="single" w:sz="4" w:space="0" w:color="auto"/>
            </w:tcBorders>
          </w:tcPr>
          <w:p w:rsidR="00145A6D" w:rsidRPr="00087582" w:rsidRDefault="00145A6D" w:rsidP="00145A6D">
            <w:pPr>
              <w:widowControl w:val="0"/>
              <w:spacing w:before="60" w:after="60"/>
              <w:jc w:val="right"/>
              <w:rPr>
                <w:szCs w:val="22"/>
              </w:rPr>
            </w:pPr>
            <w:r>
              <w:rPr>
                <w:szCs w:val="22"/>
              </w:rPr>
              <w:t>10,766,000</w:t>
            </w:r>
          </w:p>
        </w:tc>
        <w:tc>
          <w:tcPr>
            <w:tcW w:w="1275" w:type="dxa"/>
            <w:tcBorders>
              <w:top w:val="single" w:sz="4" w:space="0" w:color="auto"/>
              <w:left w:val="single" w:sz="4" w:space="0" w:color="auto"/>
              <w:bottom w:val="single" w:sz="4" w:space="0" w:color="auto"/>
              <w:right w:val="single" w:sz="4" w:space="0" w:color="auto"/>
            </w:tcBorders>
          </w:tcPr>
          <w:p w:rsidR="00145A6D" w:rsidRPr="00087582" w:rsidRDefault="00145A6D" w:rsidP="00145A6D">
            <w:pPr>
              <w:widowControl w:val="0"/>
              <w:spacing w:before="60" w:after="60"/>
              <w:jc w:val="right"/>
              <w:rPr>
                <w:szCs w:val="22"/>
              </w:rPr>
            </w:pPr>
            <w:r>
              <w:rPr>
                <w:szCs w:val="22"/>
              </w:rPr>
              <w:t>3,171,776</w:t>
            </w:r>
          </w:p>
        </w:tc>
        <w:tc>
          <w:tcPr>
            <w:tcW w:w="1276" w:type="dxa"/>
            <w:tcBorders>
              <w:top w:val="single" w:sz="4" w:space="0" w:color="auto"/>
              <w:left w:val="single" w:sz="4" w:space="0" w:color="auto"/>
              <w:bottom w:val="single" w:sz="4" w:space="0" w:color="auto"/>
              <w:right w:val="single" w:sz="4" w:space="0" w:color="auto"/>
            </w:tcBorders>
          </w:tcPr>
          <w:p w:rsidR="00145A6D" w:rsidRPr="00087582" w:rsidRDefault="00145A6D" w:rsidP="00145A6D">
            <w:pPr>
              <w:widowControl w:val="0"/>
              <w:spacing w:before="60" w:after="60"/>
              <w:jc w:val="right"/>
              <w:rPr>
                <w:szCs w:val="22"/>
              </w:rPr>
            </w:pPr>
            <w:r>
              <w:rPr>
                <w:szCs w:val="22"/>
              </w:rPr>
              <w:t>0</w:t>
            </w:r>
          </w:p>
        </w:tc>
      </w:tr>
      <w:tr w:rsidR="00145A6D" w:rsidRPr="00087582" w:rsidTr="00145A6D">
        <w:tc>
          <w:tcPr>
            <w:tcW w:w="3119" w:type="dxa"/>
            <w:tcBorders>
              <w:top w:val="single" w:sz="4" w:space="0" w:color="auto"/>
              <w:left w:val="single" w:sz="4" w:space="0" w:color="auto"/>
              <w:bottom w:val="single" w:sz="4" w:space="0" w:color="auto"/>
              <w:right w:val="single" w:sz="4" w:space="0" w:color="auto"/>
            </w:tcBorders>
          </w:tcPr>
          <w:p w:rsidR="00145A6D" w:rsidRPr="00087582" w:rsidRDefault="00145A6D" w:rsidP="00145A6D">
            <w:pPr>
              <w:widowControl w:val="0"/>
              <w:spacing w:before="60" w:after="60"/>
              <w:jc w:val="left"/>
              <w:rPr>
                <w:szCs w:val="22"/>
              </w:rPr>
            </w:pPr>
            <w:r>
              <w:rPr>
                <w:szCs w:val="22"/>
              </w:rPr>
              <w:t>Spend for year</w:t>
            </w:r>
          </w:p>
        </w:tc>
        <w:tc>
          <w:tcPr>
            <w:tcW w:w="1417" w:type="dxa"/>
            <w:tcBorders>
              <w:top w:val="single" w:sz="4" w:space="0" w:color="auto"/>
              <w:left w:val="single" w:sz="4" w:space="0" w:color="auto"/>
              <w:bottom w:val="single" w:sz="4" w:space="0" w:color="auto"/>
              <w:right w:val="single" w:sz="4" w:space="0" w:color="auto"/>
            </w:tcBorders>
          </w:tcPr>
          <w:p w:rsidR="00145A6D" w:rsidRPr="00087582" w:rsidRDefault="00145A6D" w:rsidP="00145A6D">
            <w:pPr>
              <w:widowControl w:val="0"/>
              <w:spacing w:before="60" w:after="60"/>
              <w:jc w:val="right"/>
              <w:rPr>
                <w:szCs w:val="22"/>
              </w:rPr>
            </w:pPr>
            <w:r>
              <w:rPr>
                <w:szCs w:val="22"/>
              </w:rPr>
              <w:t>4</w:t>
            </w:r>
            <w:r w:rsidRPr="00087582">
              <w:rPr>
                <w:szCs w:val="22"/>
              </w:rPr>
              <w:t>,</w:t>
            </w:r>
            <w:r>
              <w:rPr>
                <w:szCs w:val="22"/>
              </w:rPr>
              <w:t>003,666</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5A6D" w:rsidRPr="00087582" w:rsidRDefault="00145A6D" w:rsidP="00145A6D">
            <w:pPr>
              <w:widowControl w:val="0"/>
              <w:spacing w:before="60" w:after="60"/>
              <w:jc w:val="right"/>
              <w:rPr>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5A6D" w:rsidRPr="00087582" w:rsidRDefault="00145A6D" w:rsidP="00145A6D">
            <w:pPr>
              <w:widowControl w:val="0"/>
              <w:spacing w:before="60" w:after="60"/>
              <w:jc w:val="right"/>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5A6D" w:rsidRPr="00087582" w:rsidRDefault="00145A6D" w:rsidP="00145A6D">
            <w:pPr>
              <w:widowControl w:val="0"/>
              <w:spacing w:before="60" w:after="60"/>
              <w:jc w:val="right"/>
              <w:rPr>
                <w:szCs w:val="22"/>
              </w:rPr>
            </w:pPr>
          </w:p>
        </w:tc>
      </w:tr>
      <w:tr w:rsidR="00145A6D" w:rsidRPr="00087582" w:rsidTr="00145A6D">
        <w:tc>
          <w:tcPr>
            <w:tcW w:w="3119" w:type="dxa"/>
            <w:tcBorders>
              <w:top w:val="single" w:sz="4" w:space="0" w:color="auto"/>
              <w:left w:val="single" w:sz="4" w:space="0" w:color="auto"/>
              <w:bottom w:val="single" w:sz="4" w:space="0" w:color="auto"/>
              <w:right w:val="single" w:sz="4" w:space="0" w:color="auto"/>
            </w:tcBorders>
          </w:tcPr>
          <w:p w:rsidR="00145A6D" w:rsidRPr="00087582" w:rsidRDefault="00145A6D" w:rsidP="00145A6D">
            <w:pPr>
              <w:widowControl w:val="0"/>
              <w:spacing w:before="60" w:after="60"/>
              <w:jc w:val="left"/>
              <w:rPr>
                <w:szCs w:val="22"/>
              </w:rPr>
            </w:pPr>
            <w:r>
              <w:rPr>
                <w:szCs w:val="22"/>
              </w:rPr>
              <w:t>Variance</w:t>
            </w:r>
            <w:r w:rsidRPr="00087582">
              <w:rPr>
                <w:szCs w:val="22"/>
              </w:rPr>
              <w:t xml:space="preserve"> at Year End</w:t>
            </w:r>
          </w:p>
        </w:tc>
        <w:tc>
          <w:tcPr>
            <w:tcW w:w="1417" w:type="dxa"/>
            <w:tcBorders>
              <w:top w:val="single" w:sz="4" w:space="0" w:color="auto"/>
              <w:left w:val="single" w:sz="4" w:space="0" w:color="auto"/>
              <w:bottom w:val="single" w:sz="4" w:space="0" w:color="auto"/>
              <w:right w:val="single" w:sz="4" w:space="0" w:color="auto"/>
            </w:tcBorders>
          </w:tcPr>
          <w:p w:rsidR="00145A6D" w:rsidRPr="00087582" w:rsidRDefault="00145A6D" w:rsidP="00145A6D">
            <w:pPr>
              <w:widowControl w:val="0"/>
              <w:spacing w:before="60" w:after="60"/>
              <w:jc w:val="right"/>
              <w:rPr>
                <w:szCs w:val="22"/>
              </w:rPr>
            </w:pPr>
            <w:r w:rsidRPr="00087582">
              <w:rPr>
                <w:szCs w:val="22"/>
              </w:rPr>
              <w:t>(</w:t>
            </w:r>
            <w:r>
              <w:rPr>
                <w:szCs w:val="22"/>
              </w:rPr>
              <w:t>511</w:t>
            </w:r>
            <w:r w:rsidRPr="00087582">
              <w:rPr>
                <w:szCs w:val="22"/>
              </w:rPr>
              <w:t>,</w:t>
            </w:r>
            <w:r>
              <w:rPr>
                <w:szCs w:val="22"/>
              </w:rPr>
              <w:t>044</w:t>
            </w:r>
            <w:r w:rsidRPr="00087582">
              <w:rPr>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5A6D" w:rsidRPr="00087582" w:rsidRDefault="00145A6D" w:rsidP="00145A6D">
            <w:pPr>
              <w:widowControl w:val="0"/>
              <w:spacing w:before="60" w:after="60"/>
              <w:jc w:val="right"/>
              <w:rPr>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5A6D" w:rsidRPr="00087582" w:rsidRDefault="00145A6D" w:rsidP="00145A6D">
            <w:pPr>
              <w:widowControl w:val="0"/>
              <w:spacing w:before="60" w:after="60"/>
              <w:jc w:val="right"/>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5A6D" w:rsidRPr="00087582" w:rsidRDefault="00145A6D" w:rsidP="00145A6D">
            <w:pPr>
              <w:widowControl w:val="0"/>
              <w:spacing w:before="60" w:after="60"/>
              <w:jc w:val="right"/>
              <w:rPr>
                <w:szCs w:val="22"/>
              </w:rPr>
            </w:pPr>
          </w:p>
        </w:tc>
      </w:tr>
      <w:tr w:rsidR="00145A6D" w:rsidRPr="00087582" w:rsidTr="00145A6D">
        <w:tc>
          <w:tcPr>
            <w:tcW w:w="3119" w:type="dxa"/>
            <w:tcBorders>
              <w:top w:val="single" w:sz="4" w:space="0" w:color="auto"/>
              <w:left w:val="single" w:sz="4" w:space="0" w:color="auto"/>
              <w:bottom w:val="single" w:sz="4" w:space="0" w:color="auto"/>
              <w:right w:val="single" w:sz="4" w:space="0" w:color="auto"/>
            </w:tcBorders>
          </w:tcPr>
          <w:p w:rsidR="00145A6D" w:rsidRPr="00087582" w:rsidRDefault="00145A6D" w:rsidP="00145A6D">
            <w:pPr>
              <w:widowControl w:val="0"/>
              <w:tabs>
                <w:tab w:val="clear" w:pos="1980"/>
                <w:tab w:val="clear" w:pos="2700"/>
                <w:tab w:val="clear" w:pos="3420"/>
                <w:tab w:val="center" w:pos="1805"/>
              </w:tabs>
              <w:spacing w:before="60" w:after="60"/>
              <w:jc w:val="left"/>
              <w:rPr>
                <w:szCs w:val="22"/>
              </w:rPr>
            </w:pPr>
            <w:r>
              <w:rPr>
                <w:szCs w:val="22"/>
              </w:rPr>
              <w:t>Amounts to re-phase</w:t>
            </w:r>
          </w:p>
        </w:tc>
        <w:tc>
          <w:tcPr>
            <w:tcW w:w="1417" w:type="dxa"/>
            <w:tcBorders>
              <w:top w:val="single" w:sz="4" w:space="0" w:color="auto"/>
              <w:left w:val="single" w:sz="4" w:space="0" w:color="auto"/>
              <w:bottom w:val="single" w:sz="4" w:space="0" w:color="auto"/>
              <w:right w:val="single" w:sz="4" w:space="0" w:color="auto"/>
            </w:tcBorders>
          </w:tcPr>
          <w:p w:rsidR="00145A6D" w:rsidRPr="00087582" w:rsidRDefault="00145A6D" w:rsidP="00145A6D">
            <w:pPr>
              <w:widowControl w:val="0"/>
              <w:spacing w:before="60" w:after="60"/>
              <w:jc w:val="right"/>
              <w:rPr>
                <w:szCs w:val="22"/>
              </w:rPr>
            </w:pPr>
            <w:r>
              <w:rPr>
                <w:szCs w:val="22"/>
              </w:rPr>
              <w:t>(511,040)</w:t>
            </w:r>
          </w:p>
        </w:tc>
        <w:tc>
          <w:tcPr>
            <w:tcW w:w="1418" w:type="dxa"/>
            <w:tcBorders>
              <w:top w:val="single" w:sz="4" w:space="0" w:color="auto"/>
              <w:left w:val="single" w:sz="4" w:space="0" w:color="auto"/>
              <w:bottom w:val="single" w:sz="4" w:space="0" w:color="auto"/>
              <w:right w:val="single" w:sz="4" w:space="0" w:color="auto"/>
            </w:tcBorders>
          </w:tcPr>
          <w:p w:rsidR="00145A6D" w:rsidRPr="00087582" w:rsidRDefault="00145A6D" w:rsidP="00145A6D">
            <w:pPr>
              <w:widowControl w:val="0"/>
              <w:spacing w:before="60" w:after="60"/>
              <w:jc w:val="right"/>
              <w:rPr>
                <w:szCs w:val="22"/>
              </w:rPr>
            </w:pPr>
            <w:r>
              <w:rPr>
                <w:szCs w:val="22"/>
              </w:rPr>
              <w:t>511,040</w:t>
            </w:r>
          </w:p>
        </w:tc>
        <w:tc>
          <w:tcPr>
            <w:tcW w:w="1275" w:type="dxa"/>
            <w:tcBorders>
              <w:top w:val="single" w:sz="4" w:space="0" w:color="auto"/>
              <w:left w:val="single" w:sz="4" w:space="0" w:color="auto"/>
              <w:bottom w:val="single" w:sz="4" w:space="0" w:color="auto"/>
              <w:right w:val="single" w:sz="4" w:space="0" w:color="auto"/>
            </w:tcBorders>
          </w:tcPr>
          <w:p w:rsidR="00145A6D" w:rsidRPr="00087582" w:rsidRDefault="00145A6D" w:rsidP="00145A6D">
            <w:pPr>
              <w:widowControl w:val="0"/>
              <w:spacing w:before="60" w:after="60"/>
              <w:jc w:val="right"/>
              <w:rPr>
                <w:szCs w:val="22"/>
              </w:rPr>
            </w:pPr>
            <w:r>
              <w:rPr>
                <w:szCs w:val="22"/>
              </w:rPr>
              <w:t>0</w:t>
            </w:r>
          </w:p>
        </w:tc>
        <w:tc>
          <w:tcPr>
            <w:tcW w:w="1276" w:type="dxa"/>
            <w:tcBorders>
              <w:top w:val="single" w:sz="4" w:space="0" w:color="auto"/>
              <w:left w:val="single" w:sz="4" w:space="0" w:color="auto"/>
              <w:bottom w:val="single" w:sz="4" w:space="0" w:color="auto"/>
              <w:right w:val="single" w:sz="4" w:space="0" w:color="auto"/>
            </w:tcBorders>
          </w:tcPr>
          <w:p w:rsidR="00145A6D" w:rsidRPr="00087582" w:rsidRDefault="00145A6D" w:rsidP="00145A6D">
            <w:pPr>
              <w:widowControl w:val="0"/>
              <w:spacing w:before="60" w:after="60"/>
              <w:jc w:val="right"/>
              <w:rPr>
                <w:szCs w:val="22"/>
              </w:rPr>
            </w:pPr>
            <w:r>
              <w:rPr>
                <w:szCs w:val="22"/>
              </w:rPr>
              <w:t>0</w:t>
            </w:r>
          </w:p>
        </w:tc>
      </w:tr>
      <w:tr w:rsidR="00145A6D" w:rsidRPr="00087582" w:rsidTr="00145A6D">
        <w:tc>
          <w:tcPr>
            <w:tcW w:w="3119" w:type="dxa"/>
            <w:tcBorders>
              <w:top w:val="single" w:sz="4" w:space="0" w:color="auto"/>
              <w:left w:val="single" w:sz="4" w:space="0" w:color="auto"/>
              <w:bottom w:val="single" w:sz="4" w:space="0" w:color="auto"/>
              <w:right w:val="single" w:sz="4" w:space="0" w:color="auto"/>
            </w:tcBorders>
          </w:tcPr>
          <w:p w:rsidR="00145A6D" w:rsidRDefault="00145A6D" w:rsidP="00145A6D">
            <w:pPr>
              <w:widowControl w:val="0"/>
              <w:tabs>
                <w:tab w:val="clear" w:pos="1980"/>
                <w:tab w:val="clear" w:pos="2700"/>
                <w:tab w:val="clear" w:pos="3420"/>
                <w:tab w:val="center" w:pos="1805"/>
              </w:tabs>
              <w:spacing w:before="60" w:after="60"/>
              <w:jc w:val="left"/>
              <w:rPr>
                <w:szCs w:val="22"/>
              </w:rPr>
            </w:pPr>
            <w:r>
              <w:rPr>
                <w:szCs w:val="22"/>
              </w:rPr>
              <w:t>Variance</w:t>
            </w:r>
          </w:p>
        </w:tc>
        <w:tc>
          <w:tcPr>
            <w:tcW w:w="1417" w:type="dxa"/>
            <w:tcBorders>
              <w:top w:val="single" w:sz="4" w:space="0" w:color="auto"/>
              <w:left w:val="single" w:sz="4" w:space="0" w:color="auto"/>
              <w:bottom w:val="single" w:sz="4" w:space="0" w:color="auto"/>
              <w:right w:val="single" w:sz="4" w:space="0" w:color="auto"/>
            </w:tcBorders>
          </w:tcPr>
          <w:p w:rsidR="00145A6D" w:rsidRPr="00087582" w:rsidRDefault="00145A6D" w:rsidP="00145A6D">
            <w:pPr>
              <w:widowControl w:val="0"/>
              <w:spacing w:before="60" w:after="60"/>
              <w:jc w:val="right"/>
              <w:rPr>
                <w:szCs w:val="22"/>
              </w:rPr>
            </w:pPr>
            <w:r>
              <w:rPr>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5A6D" w:rsidRPr="00087582" w:rsidRDefault="00145A6D" w:rsidP="00145A6D">
            <w:pPr>
              <w:widowControl w:val="0"/>
              <w:spacing w:before="60" w:after="60"/>
              <w:jc w:val="right"/>
              <w:rPr>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5A6D" w:rsidRPr="00087582" w:rsidRDefault="00145A6D" w:rsidP="00145A6D">
            <w:pPr>
              <w:widowControl w:val="0"/>
              <w:spacing w:before="60" w:after="60"/>
              <w:jc w:val="right"/>
              <w:rPr>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5A6D" w:rsidRPr="00087582" w:rsidRDefault="00145A6D" w:rsidP="00145A6D">
            <w:pPr>
              <w:widowControl w:val="0"/>
              <w:spacing w:before="60" w:after="60"/>
              <w:jc w:val="right"/>
              <w:rPr>
                <w:szCs w:val="22"/>
              </w:rPr>
            </w:pPr>
          </w:p>
        </w:tc>
      </w:tr>
      <w:tr w:rsidR="00145A6D" w:rsidRPr="00087582" w:rsidTr="00145A6D">
        <w:tc>
          <w:tcPr>
            <w:tcW w:w="3119" w:type="dxa"/>
            <w:tcBorders>
              <w:top w:val="single" w:sz="4" w:space="0" w:color="auto"/>
              <w:left w:val="single" w:sz="4" w:space="0" w:color="auto"/>
              <w:bottom w:val="single" w:sz="4" w:space="0" w:color="auto"/>
              <w:right w:val="single" w:sz="4" w:space="0" w:color="auto"/>
            </w:tcBorders>
          </w:tcPr>
          <w:p w:rsidR="00145A6D" w:rsidRDefault="00145A6D" w:rsidP="00145A6D">
            <w:pPr>
              <w:widowControl w:val="0"/>
              <w:tabs>
                <w:tab w:val="clear" w:pos="1980"/>
                <w:tab w:val="clear" w:pos="2700"/>
                <w:tab w:val="clear" w:pos="3420"/>
                <w:tab w:val="center" w:pos="1805"/>
              </w:tabs>
              <w:spacing w:before="60" w:after="60"/>
              <w:jc w:val="left"/>
              <w:rPr>
                <w:szCs w:val="22"/>
              </w:rPr>
            </w:pPr>
            <w:r>
              <w:rPr>
                <w:szCs w:val="22"/>
              </w:rPr>
              <w:t>Latest budget 17/18 – 19/20</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5A6D" w:rsidRPr="00F176CA" w:rsidRDefault="00145A6D" w:rsidP="00145A6D">
            <w:pPr>
              <w:widowControl w:val="0"/>
              <w:spacing w:before="60" w:after="60"/>
              <w:jc w:val="center"/>
              <w:rPr>
                <w:szCs w:val="22"/>
                <w:highlight w:val="lightGray"/>
              </w:rPr>
            </w:pPr>
          </w:p>
        </w:tc>
        <w:tc>
          <w:tcPr>
            <w:tcW w:w="1418" w:type="dxa"/>
            <w:tcBorders>
              <w:top w:val="single" w:sz="4" w:space="0" w:color="auto"/>
              <w:left w:val="single" w:sz="4" w:space="0" w:color="auto"/>
              <w:bottom w:val="single" w:sz="4" w:space="0" w:color="auto"/>
              <w:right w:val="single" w:sz="4" w:space="0" w:color="auto"/>
            </w:tcBorders>
          </w:tcPr>
          <w:p w:rsidR="00145A6D" w:rsidRPr="00087582" w:rsidRDefault="00145A6D" w:rsidP="00145A6D">
            <w:pPr>
              <w:widowControl w:val="0"/>
              <w:spacing w:before="60" w:after="60"/>
              <w:jc w:val="right"/>
              <w:rPr>
                <w:szCs w:val="22"/>
              </w:rPr>
            </w:pPr>
            <w:r>
              <w:rPr>
                <w:szCs w:val="22"/>
              </w:rPr>
              <w:t>11,277,040</w:t>
            </w:r>
          </w:p>
        </w:tc>
        <w:tc>
          <w:tcPr>
            <w:tcW w:w="1275" w:type="dxa"/>
            <w:tcBorders>
              <w:top w:val="single" w:sz="4" w:space="0" w:color="auto"/>
              <w:left w:val="single" w:sz="4" w:space="0" w:color="auto"/>
              <w:bottom w:val="single" w:sz="4" w:space="0" w:color="auto"/>
              <w:right w:val="single" w:sz="4" w:space="0" w:color="auto"/>
            </w:tcBorders>
          </w:tcPr>
          <w:p w:rsidR="00145A6D" w:rsidRPr="00087582" w:rsidRDefault="00145A6D" w:rsidP="00145A6D">
            <w:pPr>
              <w:widowControl w:val="0"/>
              <w:spacing w:before="60" w:after="60"/>
              <w:jc w:val="right"/>
              <w:rPr>
                <w:szCs w:val="22"/>
              </w:rPr>
            </w:pPr>
            <w:r>
              <w:rPr>
                <w:szCs w:val="22"/>
              </w:rPr>
              <w:t>3,171,776</w:t>
            </w:r>
          </w:p>
        </w:tc>
        <w:tc>
          <w:tcPr>
            <w:tcW w:w="1276" w:type="dxa"/>
            <w:tcBorders>
              <w:top w:val="single" w:sz="4" w:space="0" w:color="auto"/>
              <w:left w:val="single" w:sz="4" w:space="0" w:color="auto"/>
              <w:bottom w:val="single" w:sz="4" w:space="0" w:color="auto"/>
              <w:right w:val="single" w:sz="4" w:space="0" w:color="auto"/>
            </w:tcBorders>
          </w:tcPr>
          <w:p w:rsidR="00145A6D" w:rsidRPr="00087582" w:rsidRDefault="00E452AC" w:rsidP="00145A6D">
            <w:pPr>
              <w:widowControl w:val="0"/>
              <w:spacing w:before="60" w:after="60"/>
              <w:jc w:val="right"/>
              <w:rPr>
                <w:szCs w:val="22"/>
              </w:rPr>
            </w:pPr>
            <w:r>
              <w:rPr>
                <w:szCs w:val="22"/>
              </w:rPr>
              <w:t>0</w:t>
            </w:r>
          </w:p>
        </w:tc>
      </w:tr>
    </w:tbl>
    <w:p w:rsidR="00145A6D" w:rsidRDefault="00145A6D" w:rsidP="00630ACD">
      <w:pPr>
        <w:keepNext/>
        <w:tabs>
          <w:tab w:val="clear" w:pos="1260"/>
        </w:tabs>
        <w:rPr>
          <w:color w:val="4F81BD" w:themeColor="accent1"/>
          <w:szCs w:val="22"/>
        </w:rPr>
      </w:pPr>
    </w:p>
    <w:p w:rsidR="00C37CBD" w:rsidRPr="00D41E7E" w:rsidRDefault="005A3853" w:rsidP="00E01F01">
      <w:pPr>
        <w:keepNext/>
        <w:tabs>
          <w:tab w:val="clear" w:pos="1260"/>
        </w:tabs>
        <w:rPr>
          <w:b/>
        </w:rPr>
      </w:pPr>
      <w:r w:rsidRPr="00D41E7E">
        <w:t>7</w:t>
      </w:r>
      <w:r w:rsidR="00AB629E" w:rsidRPr="00D41E7E">
        <w:t>.</w:t>
      </w:r>
      <w:r w:rsidR="00E01F01" w:rsidRPr="00D41E7E">
        <w:rPr>
          <w:b/>
        </w:rPr>
        <w:t xml:space="preserve">                   </w:t>
      </w:r>
      <w:r w:rsidR="00C37CBD" w:rsidRPr="00D41E7E">
        <w:rPr>
          <w:b/>
        </w:rPr>
        <w:t>Risk Management Implications</w:t>
      </w:r>
    </w:p>
    <w:p w:rsidR="00D41E7E" w:rsidRDefault="00D41E7E" w:rsidP="00E01F01">
      <w:pPr>
        <w:keepNext/>
        <w:tabs>
          <w:tab w:val="clear" w:pos="1260"/>
        </w:tabs>
        <w:rPr>
          <w:b/>
          <w:color w:val="4F81BD" w:themeColor="accent1"/>
        </w:rPr>
      </w:pPr>
    </w:p>
    <w:p w:rsidR="00D41E7E" w:rsidRPr="00D41E7E" w:rsidRDefault="00D41E7E" w:rsidP="00D41E7E">
      <w:pPr>
        <w:ind w:left="1276" w:hanging="1276"/>
      </w:pPr>
      <w:r w:rsidRPr="00D41E7E">
        <w:t>7.1</w:t>
      </w:r>
      <w:r w:rsidRPr="00D41E7E">
        <w:tab/>
        <w:t>There are no risks to the Council in agreeing the recommendations.</w:t>
      </w:r>
    </w:p>
    <w:p w:rsidR="00D41E7E" w:rsidRPr="00D41E7E" w:rsidRDefault="00D41E7E" w:rsidP="00D41E7E"/>
    <w:p w:rsidR="00D41E7E" w:rsidRDefault="00D41E7E" w:rsidP="00D41E7E">
      <w:pPr>
        <w:ind w:left="1260" w:hanging="1260"/>
        <w:rPr>
          <w:i/>
        </w:rPr>
      </w:pPr>
      <w:r w:rsidRPr="00D41E7E">
        <w:t>7.2</w:t>
      </w:r>
      <w:r w:rsidRPr="00D41E7E">
        <w:tab/>
        <w:t>The following table gives the risks if the recommendations are rejected, together with a scored assessment of their impact and likelihood:</w:t>
      </w:r>
      <w:r w:rsidRPr="00D41E7E">
        <w:rPr>
          <w:i/>
        </w:rPr>
        <w:t xml:space="preserve"> </w:t>
      </w:r>
    </w:p>
    <w:p w:rsidR="00074622" w:rsidRPr="00D41E7E" w:rsidRDefault="00074622" w:rsidP="00D41E7E">
      <w:pPr>
        <w:ind w:left="1260" w:hanging="1260"/>
        <w:rPr>
          <w:i/>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5056"/>
        <w:gridCol w:w="1170"/>
        <w:gridCol w:w="1350"/>
      </w:tblGrid>
      <w:tr w:rsidR="00D41E7E" w:rsidRPr="00D41E7E" w:rsidTr="00EB707B">
        <w:tc>
          <w:tcPr>
            <w:tcW w:w="5384" w:type="dxa"/>
            <w:gridSpan w:val="2"/>
          </w:tcPr>
          <w:p w:rsidR="00D41E7E" w:rsidRPr="00D41E7E" w:rsidRDefault="00D41E7E" w:rsidP="00D41E7E">
            <w:pPr>
              <w:jc w:val="center"/>
              <w:rPr>
                <w:i/>
                <w:sz w:val="20"/>
              </w:rPr>
            </w:pPr>
            <w:r w:rsidRPr="00D41E7E">
              <w:rPr>
                <w:i/>
                <w:sz w:val="20"/>
              </w:rPr>
              <w:t>Description of Risk</w:t>
            </w:r>
          </w:p>
        </w:tc>
        <w:tc>
          <w:tcPr>
            <w:tcW w:w="1170" w:type="dxa"/>
          </w:tcPr>
          <w:p w:rsidR="00D41E7E" w:rsidRPr="00D41E7E" w:rsidRDefault="00D41E7E" w:rsidP="00D41E7E">
            <w:pPr>
              <w:jc w:val="center"/>
              <w:rPr>
                <w:i/>
                <w:sz w:val="20"/>
              </w:rPr>
            </w:pPr>
            <w:r w:rsidRPr="00D41E7E">
              <w:rPr>
                <w:i/>
                <w:sz w:val="20"/>
              </w:rPr>
              <w:t>Impact</w:t>
            </w:r>
          </w:p>
        </w:tc>
        <w:tc>
          <w:tcPr>
            <w:tcW w:w="1350" w:type="dxa"/>
          </w:tcPr>
          <w:p w:rsidR="00D41E7E" w:rsidRPr="00D41E7E" w:rsidRDefault="00D41E7E" w:rsidP="00D41E7E">
            <w:pPr>
              <w:ind w:left="34"/>
              <w:jc w:val="center"/>
              <w:rPr>
                <w:i/>
                <w:sz w:val="20"/>
              </w:rPr>
            </w:pPr>
            <w:r w:rsidRPr="00D41E7E">
              <w:rPr>
                <w:i/>
                <w:sz w:val="20"/>
              </w:rPr>
              <w:t>Likelihood</w:t>
            </w:r>
          </w:p>
        </w:tc>
      </w:tr>
      <w:tr w:rsidR="00D41E7E" w:rsidRPr="00D41E7E" w:rsidTr="00EB707B">
        <w:tc>
          <w:tcPr>
            <w:tcW w:w="328" w:type="dxa"/>
          </w:tcPr>
          <w:p w:rsidR="00D41E7E" w:rsidRPr="00D41E7E" w:rsidRDefault="00D41E7E" w:rsidP="00D41E7E">
            <w:pPr>
              <w:jc w:val="left"/>
              <w:rPr>
                <w:i/>
                <w:sz w:val="20"/>
              </w:rPr>
            </w:pPr>
            <w:r w:rsidRPr="00D41E7E">
              <w:rPr>
                <w:i/>
                <w:sz w:val="20"/>
              </w:rPr>
              <w:t>1</w:t>
            </w:r>
          </w:p>
        </w:tc>
        <w:tc>
          <w:tcPr>
            <w:tcW w:w="5056" w:type="dxa"/>
          </w:tcPr>
          <w:p w:rsidR="00D41E7E" w:rsidRPr="00074622" w:rsidRDefault="00C215E6" w:rsidP="00C215E6">
            <w:pPr>
              <w:jc w:val="left"/>
              <w:rPr>
                <w:i/>
                <w:sz w:val="20"/>
              </w:rPr>
            </w:pPr>
            <w:r w:rsidRPr="00074622">
              <w:rPr>
                <w:i/>
                <w:sz w:val="20"/>
              </w:rPr>
              <w:t>Completion of various projects are dependent on the revenue carry-forwards and re-phasings in capital being approved.  If these are not approved, then it is likely that these projects would be shelved</w:t>
            </w:r>
          </w:p>
        </w:tc>
        <w:tc>
          <w:tcPr>
            <w:tcW w:w="1170" w:type="dxa"/>
          </w:tcPr>
          <w:p w:rsidR="00D41E7E" w:rsidRPr="00D41E7E" w:rsidRDefault="00D41E7E" w:rsidP="00D41E7E">
            <w:pPr>
              <w:jc w:val="center"/>
              <w:rPr>
                <w:i/>
                <w:sz w:val="20"/>
              </w:rPr>
            </w:pPr>
          </w:p>
          <w:p w:rsidR="00D41E7E" w:rsidRPr="00D41E7E" w:rsidRDefault="00D41E7E" w:rsidP="00C215E6">
            <w:pPr>
              <w:jc w:val="center"/>
              <w:rPr>
                <w:i/>
                <w:sz w:val="20"/>
              </w:rPr>
            </w:pPr>
            <w:r w:rsidRPr="00D41E7E">
              <w:rPr>
                <w:i/>
                <w:sz w:val="20"/>
              </w:rPr>
              <w:t>I</w:t>
            </w:r>
            <w:r w:rsidR="00C215E6">
              <w:rPr>
                <w:i/>
                <w:sz w:val="20"/>
              </w:rPr>
              <w:t>V</w:t>
            </w:r>
          </w:p>
        </w:tc>
        <w:tc>
          <w:tcPr>
            <w:tcW w:w="1350" w:type="dxa"/>
          </w:tcPr>
          <w:p w:rsidR="00D41E7E" w:rsidRPr="00D41E7E" w:rsidRDefault="00D41E7E" w:rsidP="00D41E7E">
            <w:pPr>
              <w:jc w:val="center"/>
              <w:rPr>
                <w:i/>
                <w:sz w:val="20"/>
              </w:rPr>
            </w:pPr>
          </w:p>
          <w:p w:rsidR="00D41E7E" w:rsidRPr="00D41E7E" w:rsidRDefault="00C215E6" w:rsidP="00D41E7E">
            <w:pPr>
              <w:jc w:val="center"/>
              <w:rPr>
                <w:i/>
                <w:sz w:val="20"/>
              </w:rPr>
            </w:pPr>
            <w:r>
              <w:rPr>
                <w:i/>
                <w:sz w:val="20"/>
              </w:rPr>
              <w:t>E</w:t>
            </w:r>
          </w:p>
        </w:tc>
      </w:tr>
    </w:tbl>
    <w:p w:rsidR="00D41E7E" w:rsidRPr="00D41E7E" w:rsidRDefault="00D41E7E" w:rsidP="00D41E7E"/>
    <w:p w:rsidR="00D41E7E" w:rsidRPr="00D41E7E" w:rsidRDefault="00D41E7E" w:rsidP="00D41E7E">
      <w:pPr>
        <w:ind w:left="1276" w:hanging="1276"/>
      </w:pPr>
      <w:r w:rsidRPr="00D41E7E">
        <w:t>7.3</w:t>
      </w:r>
      <w:r w:rsidRPr="00D41E7E">
        <w:tab/>
        <w:t xml:space="preserve">The Council has determined its aversion to risk and is prepared to tolerate risks where the combination of impact and likelihood are plotted in the shaded area of the matrix. The remaining risks require a treatment plan. </w:t>
      </w:r>
      <w:r w:rsidR="00C215E6">
        <w:t>If the risk materialises then the projects will have to be terminated.</w:t>
      </w:r>
    </w:p>
    <w:p w:rsidR="00D41E7E" w:rsidRPr="00D41E7E" w:rsidRDefault="00D41E7E" w:rsidP="00D41E7E">
      <w:pPr>
        <w:ind w:left="1276" w:hanging="1276"/>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2"/>
        <w:gridCol w:w="723"/>
        <w:gridCol w:w="723"/>
        <w:gridCol w:w="724"/>
        <w:gridCol w:w="723"/>
        <w:gridCol w:w="724"/>
        <w:gridCol w:w="1508"/>
        <w:gridCol w:w="1608"/>
      </w:tblGrid>
      <w:tr w:rsidR="00D41E7E" w:rsidRPr="00D41E7E" w:rsidTr="00EB707B">
        <w:trPr>
          <w:cantSplit/>
        </w:trPr>
        <w:tc>
          <w:tcPr>
            <w:tcW w:w="645" w:type="dxa"/>
            <w:vMerge w:val="restart"/>
            <w:tcBorders>
              <w:top w:val="single" w:sz="4" w:space="0" w:color="auto"/>
              <w:left w:val="single" w:sz="4" w:space="0" w:color="auto"/>
              <w:bottom w:val="single" w:sz="4" w:space="0" w:color="auto"/>
              <w:right w:val="single" w:sz="4" w:space="0" w:color="auto"/>
            </w:tcBorders>
            <w:textDirection w:val="btLr"/>
          </w:tcPr>
          <w:p w:rsidR="00D41E7E" w:rsidRPr="00D41E7E" w:rsidRDefault="00D41E7E" w:rsidP="00D41E7E">
            <w:pPr>
              <w:keepNext/>
              <w:keepLines/>
              <w:ind w:left="113" w:right="113"/>
              <w:jc w:val="center"/>
              <w:rPr>
                <w:b/>
                <w:szCs w:val="22"/>
              </w:rPr>
            </w:pPr>
            <w:r w:rsidRPr="00D41E7E">
              <w:rPr>
                <w:b/>
                <w:noProof/>
                <w:szCs w:val="22"/>
              </w:rPr>
              <mc:AlternateContent>
                <mc:Choice Requires="wps">
                  <w:drawing>
                    <wp:anchor distT="0" distB="0" distL="114300" distR="114300" simplePos="0" relativeHeight="251660288" behindDoc="0" locked="0" layoutInCell="0" allowOverlap="1" wp14:anchorId="32D5088A" wp14:editId="31B55D3E">
                      <wp:simplePos x="0" y="0"/>
                      <wp:positionH relativeFrom="column">
                        <wp:posOffset>1115695</wp:posOffset>
                      </wp:positionH>
                      <wp:positionV relativeFrom="paragraph">
                        <wp:posOffset>107950</wp:posOffset>
                      </wp:positionV>
                      <wp:extent cx="0" cy="1296670"/>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6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8.5pt" to="87.85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" o:allowincell="f">
                      <v:stroke endarrow="block"/>
                    </v:line>
                  </w:pict>
                </mc:Fallback>
              </mc:AlternateContent>
            </w:r>
            <w:r w:rsidRPr="00D41E7E">
              <w:rPr>
                <w:noProof/>
                <w:szCs w:val="22"/>
              </w:rPr>
              <mc:AlternateContent>
                <mc:Choice Requires="wps">
                  <w:drawing>
                    <wp:anchor distT="0" distB="0" distL="114300" distR="114300" simplePos="0" relativeHeight="251661312" behindDoc="0" locked="0" layoutInCell="0" allowOverlap="1" wp14:anchorId="15C6D577" wp14:editId="07F7E3B7">
                      <wp:simplePos x="0" y="0"/>
                      <wp:positionH relativeFrom="column">
                        <wp:posOffset>1298575</wp:posOffset>
                      </wp:positionH>
                      <wp:positionV relativeFrom="paragraph">
                        <wp:posOffset>1388110</wp:posOffset>
                      </wp:positionV>
                      <wp:extent cx="2286000" cy="0"/>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109.3pt" to="282.2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95A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" o:allowincell="f">
                      <v:stroke endarrow="block"/>
                    </v:line>
                  </w:pict>
                </mc:Fallback>
              </mc:AlternateContent>
            </w:r>
            <w:r w:rsidRPr="00D41E7E">
              <w:rPr>
                <w:b/>
                <w:szCs w:val="22"/>
              </w:rPr>
              <w:t>Likelihood</w:t>
            </w:r>
          </w:p>
        </w:tc>
        <w:tc>
          <w:tcPr>
            <w:tcW w:w="452" w:type="dxa"/>
            <w:tcBorders>
              <w:top w:val="single" w:sz="4" w:space="0" w:color="auto"/>
              <w:left w:val="single" w:sz="4" w:space="0" w:color="auto"/>
            </w:tcBorders>
          </w:tcPr>
          <w:p w:rsidR="00D41E7E" w:rsidRPr="00D41E7E" w:rsidRDefault="00D41E7E" w:rsidP="00D41E7E">
            <w:pPr>
              <w:keepNext/>
              <w:keepLines/>
            </w:pPr>
            <w:r w:rsidRPr="00D41E7E">
              <w:t>A</w:t>
            </w:r>
          </w:p>
        </w:tc>
        <w:tc>
          <w:tcPr>
            <w:tcW w:w="723" w:type="dxa"/>
            <w:tcBorders>
              <w:top w:val="single" w:sz="4" w:space="0" w:color="auto"/>
            </w:tcBorders>
            <w:shd w:val="pct15" w:color="auto" w:fill="FFFFFF"/>
          </w:tcPr>
          <w:p w:rsidR="00D41E7E" w:rsidRPr="00D41E7E" w:rsidRDefault="00D41E7E" w:rsidP="00D41E7E">
            <w:pPr>
              <w:keepNext/>
              <w:keepLines/>
            </w:pPr>
          </w:p>
        </w:tc>
        <w:tc>
          <w:tcPr>
            <w:tcW w:w="723" w:type="dxa"/>
            <w:tcBorders>
              <w:top w:val="single" w:sz="4" w:space="0" w:color="auto"/>
            </w:tcBorders>
          </w:tcPr>
          <w:p w:rsidR="00D41E7E" w:rsidRPr="00D41E7E" w:rsidRDefault="00D41E7E" w:rsidP="00D41E7E">
            <w:pPr>
              <w:keepNext/>
              <w:keepLines/>
            </w:pPr>
          </w:p>
        </w:tc>
        <w:tc>
          <w:tcPr>
            <w:tcW w:w="724" w:type="dxa"/>
            <w:tcBorders>
              <w:top w:val="single" w:sz="4" w:space="0" w:color="auto"/>
              <w:bottom w:val="single" w:sz="4" w:space="0" w:color="auto"/>
            </w:tcBorders>
          </w:tcPr>
          <w:p w:rsidR="00D41E7E" w:rsidRPr="00D41E7E" w:rsidRDefault="00D41E7E" w:rsidP="00D41E7E">
            <w:pPr>
              <w:keepNext/>
              <w:keepLines/>
            </w:pPr>
          </w:p>
        </w:tc>
        <w:tc>
          <w:tcPr>
            <w:tcW w:w="723" w:type="dxa"/>
            <w:tcBorders>
              <w:top w:val="single" w:sz="4" w:space="0" w:color="auto"/>
              <w:bottom w:val="single" w:sz="4" w:space="0" w:color="auto"/>
              <w:right w:val="single" w:sz="4" w:space="0" w:color="auto"/>
            </w:tcBorders>
          </w:tcPr>
          <w:p w:rsidR="00D41E7E" w:rsidRPr="00D41E7E" w:rsidRDefault="00D41E7E" w:rsidP="00D41E7E">
            <w:pPr>
              <w:keepNext/>
              <w:keepLines/>
              <w:jc w:val="center"/>
            </w:pPr>
          </w:p>
        </w:tc>
        <w:tc>
          <w:tcPr>
            <w:tcW w:w="724" w:type="dxa"/>
            <w:tcBorders>
              <w:top w:val="single" w:sz="4" w:space="0" w:color="auto"/>
              <w:bottom w:val="single" w:sz="4" w:space="0" w:color="auto"/>
              <w:right w:val="single" w:sz="4" w:space="0" w:color="auto"/>
            </w:tcBorders>
          </w:tcPr>
          <w:p w:rsidR="00D41E7E" w:rsidRPr="00D41E7E" w:rsidRDefault="00D41E7E" w:rsidP="00D41E7E">
            <w:pPr>
              <w:keepNext/>
              <w:keepLines/>
              <w:jc w:val="center"/>
            </w:pPr>
          </w:p>
        </w:tc>
        <w:tc>
          <w:tcPr>
            <w:tcW w:w="1508" w:type="dxa"/>
            <w:tcBorders>
              <w:top w:val="nil"/>
              <w:left w:val="single" w:sz="4" w:space="0" w:color="auto"/>
              <w:bottom w:val="nil"/>
              <w:right w:val="nil"/>
            </w:tcBorders>
          </w:tcPr>
          <w:p w:rsidR="00D41E7E" w:rsidRPr="00D41E7E" w:rsidRDefault="00D41E7E" w:rsidP="00D41E7E">
            <w:pPr>
              <w:keepNext/>
              <w:keepLines/>
              <w:rPr>
                <w:sz w:val="16"/>
              </w:rPr>
            </w:pPr>
            <w:r w:rsidRPr="00D41E7E">
              <w:rPr>
                <w:sz w:val="16"/>
              </w:rPr>
              <w:t>Impact</w:t>
            </w:r>
          </w:p>
        </w:tc>
        <w:tc>
          <w:tcPr>
            <w:tcW w:w="1608" w:type="dxa"/>
            <w:tcBorders>
              <w:top w:val="nil"/>
              <w:left w:val="nil"/>
              <w:bottom w:val="nil"/>
              <w:right w:val="nil"/>
            </w:tcBorders>
          </w:tcPr>
          <w:p w:rsidR="00D41E7E" w:rsidRPr="00D41E7E" w:rsidRDefault="00D41E7E" w:rsidP="00D41E7E">
            <w:pPr>
              <w:keepNext/>
              <w:keepLines/>
              <w:rPr>
                <w:sz w:val="16"/>
              </w:rPr>
            </w:pPr>
            <w:r w:rsidRPr="00D41E7E">
              <w:rPr>
                <w:sz w:val="16"/>
              </w:rPr>
              <w:t>Likelihood</w:t>
            </w:r>
          </w:p>
        </w:tc>
      </w:tr>
      <w:tr w:rsidR="00D41E7E" w:rsidRPr="00D41E7E" w:rsidTr="00EB707B">
        <w:trPr>
          <w:cantSplit/>
        </w:trPr>
        <w:tc>
          <w:tcPr>
            <w:tcW w:w="645" w:type="dxa"/>
            <w:vMerge/>
            <w:tcBorders>
              <w:left w:val="single" w:sz="4" w:space="0" w:color="auto"/>
              <w:bottom w:val="single" w:sz="4" w:space="0" w:color="auto"/>
              <w:right w:val="single" w:sz="4" w:space="0" w:color="auto"/>
            </w:tcBorders>
          </w:tcPr>
          <w:p w:rsidR="00D41E7E" w:rsidRPr="00D41E7E" w:rsidRDefault="00D41E7E" w:rsidP="00D41E7E">
            <w:pPr>
              <w:keepNext/>
              <w:keepLines/>
            </w:pPr>
          </w:p>
        </w:tc>
        <w:tc>
          <w:tcPr>
            <w:tcW w:w="452" w:type="dxa"/>
            <w:tcBorders>
              <w:left w:val="single" w:sz="4" w:space="0" w:color="auto"/>
            </w:tcBorders>
          </w:tcPr>
          <w:p w:rsidR="00D41E7E" w:rsidRPr="00D41E7E" w:rsidRDefault="00D41E7E" w:rsidP="00D41E7E">
            <w:pPr>
              <w:keepNext/>
              <w:keepLines/>
            </w:pPr>
            <w:r w:rsidRPr="00D41E7E">
              <w:t>B</w:t>
            </w:r>
          </w:p>
        </w:tc>
        <w:tc>
          <w:tcPr>
            <w:tcW w:w="723" w:type="dxa"/>
            <w:shd w:val="pct15" w:color="auto" w:fill="FFFFFF"/>
          </w:tcPr>
          <w:p w:rsidR="00D41E7E" w:rsidRPr="00D41E7E" w:rsidRDefault="00D41E7E" w:rsidP="00D41E7E">
            <w:pPr>
              <w:keepNext/>
              <w:keepLines/>
            </w:pPr>
          </w:p>
        </w:tc>
        <w:tc>
          <w:tcPr>
            <w:tcW w:w="723" w:type="dxa"/>
          </w:tcPr>
          <w:p w:rsidR="00D41E7E" w:rsidRPr="00D41E7E" w:rsidRDefault="00D41E7E" w:rsidP="00D41E7E">
            <w:pPr>
              <w:keepNext/>
              <w:keepLines/>
            </w:pPr>
          </w:p>
        </w:tc>
        <w:tc>
          <w:tcPr>
            <w:tcW w:w="724" w:type="dxa"/>
            <w:tcBorders>
              <w:bottom w:val="single" w:sz="4" w:space="0" w:color="auto"/>
            </w:tcBorders>
          </w:tcPr>
          <w:p w:rsidR="00D41E7E" w:rsidRPr="00D41E7E" w:rsidRDefault="00D41E7E" w:rsidP="00D41E7E">
            <w:pPr>
              <w:keepNext/>
              <w:keepLines/>
            </w:pPr>
          </w:p>
        </w:tc>
        <w:tc>
          <w:tcPr>
            <w:tcW w:w="723" w:type="dxa"/>
            <w:tcBorders>
              <w:right w:val="single" w:sz="4" w:space="0" w:color="auto"/>
            </w:tcBorders>
          </w:tcPr>
          <w:p w:rsidR="00D41E7E" w:rsidRPr="00D41E7E" w:rsidRDefault="00D41E7E" w:rsidP="00D41E7E">
            <w:pPr>
              <w:keepNext/>
              <w:keepLines/>
              <w:jc w:val="center"/>
            </w:pPr>
          </w:p>
        </w:tc>
        <w:tc>
          <w:tcPr>
            <w:tcW w:w="724" w:type="dxa"/>
            <w:tcBorders>
              <w:right w:val="single" w:sz="4" w:space="0" w:color="auto"/>
            </w:tcBorders>
          </w:tcPr>
          <w:p w:rsidR="00D41E7E" w:rsidRPr="00D41E7E" w:rsidRDefault="00D41E7E" w:rsidP="00D41E7E">
            <w:pPr>
              <w:keepNext/>
              <w:keepLines/>
              <w:jc w:val="center"/>
            </w:pPr>
          </w:p>
        </w:tc>
        <w:tc>
          <w:tcPr>
            <w:tcW w:w="1508" w:type="dxa"/>
            <w:tcBorders>
              <w:top w:val="nil"/>
              <w:left w:val="single" w:sz="4" w:space="0" w:color="auto"/>
              <w:bottom w:val="nil"/>
              <w:right w:val="nil"/>
            </w:tcBorders>
          </w:tcPr>
          <w:p w:rsidR="00D41E7E" w:rsidRPr="00D41E7E" w:rsidRDefault="00D41E7E" w:rsidP="00D41E7E">
            <w:pPr>
              <w:keepNext/>
              <w:keepLines/>
              <w:rPr>
                <w:sz w:val="16"/>
              </w:rPr>
            </w:pPr>
            <w:r w:rsidRPr="00D41E7E">
              <w:rPr>
                <w:sz w:val="16"/>
              </w:rPr>
              <w:t>V = Catastrophic</w:t>
            </w:r>
          </w:p>
        </w:tc>
        <w:tc>
          <w:tcPr>
            <w:tcW w:w="1608" w:type="dxa"/>
            <w:tcBorders>
              <w:top w:val="nil"/>
              <w:left w:val="nil"/>
              <w:bottom w:val="nil"/>
              <w:right w:val="nil"/>
            </w:tcBorders>
          </w:tcPr>
          <w:p w:rsidR="00D41E7E" w:rsidRPr="00D41E7E" w:rsidRDefault="00D41E7E" w:rsidP="00D41E7E">
            <w:pPr>
              <w:keepNext/>
              <w:keepLines/>
              <w:rPr>
                <w:sz w:val="16"/>
              </w:rPr>
            </w:pPr>
            <w:r w:rsidRPr="00D41E7E">
              <w:rPr>
                <w:sz w:val="16"/>
              </w:rPr>
              <w:t>A = &gt;98%</w:t>
            </w:r>
          </w:p>
        </w:tc>
      </w:tr>
      <w:tr w:rsidR="00D41E7E" w:rsidRPr="00D41E7E" w:rsidTr="00EB707B">
        <w:trPr>
          <w:cantSplit/>
        </w:trPr>
        <w:tc>
          <w:tcPr>
            <w:tcW w:w="645" w:type="dxa"/>
            <w:vMerge/>
            <w:tcBorders>
              <w:left w:val="single" w:sz="4" w:space="0" w:color="auto"/>
              <w:bottom w:val="single" w:sz="4" w:space="0" w:color="auto"/>
              <w:right w:val="single" w:sz="4" w:space="0" w:color="auto"/>
            </w:tcBorders>
          </w:tcPr>
          <w:p w:rsidR="00D41E7E" w:rsidRPr="00D41E7E" w:rsidRDefault="00D41E7E" w:rsidP="00D41E7E">
            <w:pPr>
              <w:keepNext/>
              <w:keepLines/>
            </w:pPr>
          </w:p>
        </w:tc>
        <w:tc>
          <w:tcPr>
            <w:tcW w:w="452" w:type="dxa"/>
            <w:tcBorders>
              <w:left w:val="single" w:sz="4" w:space="0" w:color="auto"/>
            </w:tcBorders>
          </w:tcPr>
          <w:p w:rsidR="00D41E7E" w:rsidRPr="00D41E7E" w:rsidRDefault="00D41E7E" w:rsidP="00D41E7E">
            <w:pPr>
              <w:keepNext/>
              <w:keepLines/>
            </w:pPr>
            <w:r w:rsidRPr="00D41E7E">
              <w:t>C</w:t>
            </w:r>
          </w:p>
        </w:tc>
        <w:tc>
          <w:tcPr>
            <w:tcW w:w="723" w:type="dxa"/>
            <w:shd w:val="pct15" w:color="auto" w:fill="FFFFFF"/>
          </w:tcPr>
          <w:p w:rsidR="00D41E7E" w:rsidRPr="00D41E7E" w:rsidRDefault="00D41E7E" w:rsidP="00D41E7E">
            <w:pPr>
              <w:keepNext/>
              <w:keepLines/>
            </w:pPr>
          </w:p>
        </w:tc>
        <w:tc>
          <w:tcPr>
            <w:tcW w:w="723" w:type="dxa"/>
            <w:tcBorders>
              <w:top w:val="single" w:sz="4" w:space="0" w:color="auto"/>
              <w:bottom w:val="single" w:sz="4" w:space="0" w:color="auto"/>
            </w:tcBorders>
          </w:tcPr>
          <w:p w:rsidR="00D41E7E" w:rsidRPr="00D41E7E" w:rsidRDefault="00D41E7E" w:rsidP="00D41E7E">
            <w:pPr>
              <w:keepNext/>
              <w:keepLines/>
            </w:pPr>
          </w:p>
        </w:tc>
        <w:tc>
          <w:tcPr>
            <w:tcW w:w="724" w:type="dxa"/>
            <w:tcBorders>
              <w:top w:val="single" w:sz="4" w:space="0" w:color="auto"/>
              <w:bottom w:val="single" w:sz="4" w:space="0" w:color="auto"/>
            </w:tcBorders>
          </w:tcPr>
          <w:p w:rsidR="00D41E7E" w:rsidRPr="00D41E7E" w:rsidRDefault="00D41E7E" w:rsidP="00D41E7E">
            <w:pPr>
              <w:keepNext/>
              <w:keepLines/>
            </w:pPr>
          </w:p>
        </w:tc>
        <w:tc>
          <w:tcPr>
            <w:tcW w:w="723" w:type="dxa"/>
            <w:tcBorders>
              <w:top w:val="single" w:sz="4" w:space="0" w:color="auto"/>
              <w:bottom w:val="single" w:sz="4" w:space="0" w:color="auto"/>
              <w:right w:val="single" w:sz="4" w:space="0" w:color="auto"/>
            </w:tcBorders>
          </w:tcPr>
          <w:p w:rsidR="00D41E7E" w:rsidRPr="00D41E7E" w:rsidRDefault="00D41E7E" w:rsidP="00D41E7E">
            <w:pPr>
              <w:keepNext/>
              <w:keepLines/>
              <w:jc w:val="center"/>
            </w:pPr>
          </w:p>
        </w:tc>
        <w:tc>
          <w:tcPr>
            <w:tcW w:w="724" w:type="dxa"/>
            <w:tcBorders>
              <w:right w:val="single" w:sz="4" w:space="0" w:color="auto"/>
            </w:tcBorders>
          </w:tcPr>
          <w:p w:rsidR="00D41E7E" w:rsidRPr="00D41E7E" w:rsidRDefault="00D41E7E" w:rsidP="00D41E7E">
            <w:pPr>
              <w:keepNext/>
              <w:keepLines/>
              <w:jc w:val="center"/>
            </w:pPr>
          </w:p>
        </w:tc>
        <w:tc>
          <w:tcPr>
            <w:tcW w:w="1508" w:type="dxa"/>
            <w:tcBorders>
              <w:top w:val="nil"/>
              <w:left w:val="single" w:sz="4" w:space="0" w:color="auto"/>
              <w:bottom w:val="nil"/>
              <w:right w:val="nil"/>
            </w:tcBorders>
          </w:tcPr>
          <w:p w:rsidR="00D41E7E" w:rsidRPr="00D41E7E" w:rsidRDefault="00D41E7E" w:rsidP="00D41E7E">
            <w:pPr>
              <w:keepNext/>
              <w:keepLines/>
              <w:rPr>
                <w:sz w:val="16"/>
              </w:rPr>
            </w:pPr>
            <w:r w:rsidRPr="00D41E7E">
              <w:rPr>
                <w:sz w:val="16"/>
              </w:rPr>
              <w:t>IV = Critical</w:t>
            </w:r>
          </w:p>
        </w:tc>
        <w:tc>
          <w:tcPr>
            <w:tcW w:w="1608" w:type="dxa"/>
            <w:tcBorders>
              <w:top w:val="nil"/>
              <w:left w:val="nil"/>
              <w:bottom w:val="nil"/>
              <w:right w:val="nil"/>
            </w:tcBorders>
          </w:tcPr>
          <w:p w:rsidR="00D41E7E" w:rsidRPr="00D41E7E" w:rsidRDefault="00D41E7E" w:rsidP="00D41E7E">
            <w:pPr>
              <w:keepNext/>
              <w:keepLines/>
              <w:rPr>
                <w:sz w:val="16"/>
              </w:rPr>
            </w:pPr>
            <w:r w:rsidRPr="00D41E7E">
              <w:rPr>
                <w:sz w:val="16"/>
              </w:rPr>
              <w:t>B = 75% - 97%</w:t>
            </w:r>
          </w:p>
        </w:tc>
      </w:tr>
      <w:tr w:rsidR="00D41E7E" w:rsidRPr="00D41E7E" w:rsidTr="00EB707B">
        <w:trPr>
          <w:cantSplit/>
        </w:trPr>
        <w:tc>
          <w:tcPr>
            <w:tcW w:w="645" w:type="dxa"/>
            <w:vMerge/>
            <w:tcBorders>
              <w:left w:val="single" w:sz="4" w:space="0" w:color="auto"/>
              <w:bottom w:val="single" w:sz="4" w:space="0" w:color="auto"/>
              <w:right w:val="single" w:sz="4" w:space="0" w:color="auto"/>
            </w:tcBorders>
          </w:tcPr>
          <w:p w:rsidR="00D41E7E" w:rsidRPr="00D41E7E" w:rsidRDefault="00D41E7E" w:rsidP="00D41E7E">
            <w:pPr>
              <w:keepNext/>
              <w:keepLines/>
            </w:pPr>
          </w:p>
        </w:tc>
        <w:tc>
          <w:tcPr>
            <w:tcW w:w="452" w:type="dxa"/>
            <w:tcBorders>
              <w:left w:val="single" w:sz="4" w:space="0" w:color="auto"/>
            </w:tcBorders>
          </w:tcPr>
          <w:p w:rsidR="00D41E7E" w:rsidRPr="00D41E7E" w:rsidRDefault="00D41E7E" w:rsidP="00D41E7E">
            <w:pPr>
              <w:keepNext/>
              <w:keepLines/>
            </w:pPr>
            <w:r w:rsidRPr="00D41E7E">
              <w:t>D</w:t>
            </w:r>
          </w:p>
        </w:tc>
        <w:tc>
          <w:tcPr>
            <w:tcW w:w="723" w:type="dxa"/>
            <w:tcBorders>
              <w:bottom w:val="single" w:sz="4" w:space="0" w:color="auto"/>
            </w:tcBorders>
            <w:shd w:val="pct15" w:color="auto" w:fill="FFFFFF"/>
          </w:tcPr>
          <w:p w:rsidR="00D41E7E" w:rsidRPr="00D41E7E" w:rsidRDefault="00D41E7E" w:rsidP="00D41E7E">
            <w:pPr>
              <w:keepNext/>
              <w:keepLines/>
            </w:pPr>
          </w:p>
        </w:tc>
        <w:tc>
          <w:tcPr>
            <w:tcW w:w="723" w:type="dxa"/>
            <w:tcBorders>
              <w:top w:val="single" w:sz="4" w:space="0" w:color="auto"/>
            </w:tcBorders>
            <w:shd w:val="pct15" w:color="auto" w:fill="FFFFFF"/>
          </w:tcPr>
          <w:p w:rsidR="00D41E7E" w:rsidRPr="00D41E7E" w:rsidRDefault="00D41E7E" w:rsidP="00D41E7E">
            <w:pPr>
              <w:keepNext/>
              <w:keepLines/>
            </w:pPr>
          </w:p>
        </w:tc>
        <w:tc>
          <w:tcPr>
            <w:tcW w:w="724" w:type="dxa"/>
            <w:tcBorders>
              <w:top w:val="single" w:sz="4" w:space="0" w:color="auto"/>
              <w:bottom w:val="single" w:sz="4" w:space="0" w:color="auto"/>
            </w:tcBorders>
          </w:tcPr>
          <w:p w:rsidR="00D41E7E" w:rsidRPr="00D41E7E" w:rsidRDefault="00D41E7E" w:rsidP="00D41E7E">
            <w:pPr>
              <w:keepNext/>
              <w:keepLines/>
            </w:pPr>
          </w:p>
        </w:tc>
        <w:tc>
          <w:tcPr>
            <w:tcW w:w="723" w:type="dxa"/>
            <w:tcBorders>
              <w:top w:val="single" w:sz="4" w:space="0" w:color="auto"/>
              <w:bottom w:val="single" w:sz="4" w:space="0" w:color="auto"/>
              <w:right w:val="single" w:sz="4" w:space="0" w:color="auto"/>
            </w:tcBorders>
          </w:tcPr>
          <w:p w:rsidR="00D41E7E" w:rsidRPr="00D41E7E" w:rsidRDefault="00D41E7E" w:rsidP="00D41E7E">
            <w:pPr>
              <w:keepNext/>
              <w:keepLines/>
              <w:jc w:val="center"/>
            </w:pPr>
          </w:p>
        </w:tc>
        <w:tc>
          <w:tcPr>
            <w:tcW w:w="724" w:type="dxa"/>
            <w:tcBorders>
              <w:right w:val="single" w:sz="4" w:space="0" w:color="auto"/>
            </w:tcBorders>
          </w:tcPr>
          <w:p w:rsidR="00D41E7E" w:rsidRPr="00D41E7E" w:rsidRDefault="00D41E7E" w:rsidP="00D41E7E">
            <w:pPr>
              <w:keepNext/>
              <w:keepLines/>
              <w:jc w:val="center"/>
            </w:pPr>
          </w:p>
        </w:tc>
        <w:tc>
          <w:tcPr>
            <w:tcW w:w="1508" w:type="dxa"/>
            <w:tcBorders>
              <w:top w:val="nil"/>
              <w:left w:val="single" w:sz="4" w:space="0" w:color="auto"/>
              <w:bottom w:val="nil"/>
              <w:right w:val="nil"/>
            </w:tcBorders>
          </w:tcPr>
          <w:p w:rsidR="00D41E7E" w:rsidRPr="00D41E7E" w:rsidRDefault="00D41E7E" w:rsidP="00D41E7E">
            <w:pPr>
              <w:keepNext/>
              <w:keepLines/>
              <w:rPr>
                <w:sz w:val="16"/>
              </w:rPr>
            </w:pPr>
            <w:r w:rsidRPr="00D41E7E">
              <w:rPr>
                <w:sz w:val="16"/>
              </w:rPr>
              <w:t>III = Significant</w:t>
            </w:r>
          </w:p>
        </w:tc>
        <w:tc>
          <w:tcPr>
            <w:tcW w:w="1608" w:type="dxa"/>
            <w:tcBorders>
              <w:top w:val="nil"/>
              <w:left w:val="nil"/>
              <w:bottom w:val="nil"/>
              <w:right w:val="nil"/>
            </w:tcBorders>
          </w:tcPr>
          <w:p w:rsidR="00D41E7E" w:rsidRPr="00D41E7E" w:rsidRDefault="00D41E7E" w:rsidP="00D41E7E">
            <w:pPr>
              <w:keepNext/>
              <w:keepLines/>
              <w:rPr>
                <w:sz w:val="16"/>
              </w:rPr>
            </w:pPr>
            <w:r w:rsidRPr="00D41E7E">
              <w:rPr>
                <w:sz w:val="16"/>
              </w:rPr>
              <w:t>C = 50% - 74%</w:t>
            </w:r>
          </w:p>
        </w:tc>
      </w:tr>
      <w:tr w:rsidR="00D41E7E" w:rsidRPr="00D41E7E" w:rsidTr="00EB707B">
        <w:trPr>
          <w:cantSplit/>
        </w:trPr>
        <w:tc>
          <w:tcPr>
            <w:tcW w:w="645" w:type="dxa"/>
            <w:vMerge/>
            <w:tcBorders>
              <w:left w:val="single" w:sz="4" w:space="0" w:color="auto"/>
              <w:bottom w:val="single" w:sz="4" w:space="0" w:color="auto"/>
              <w:right w:val="single" w:sz="4" w:space="0" w:color="auto"/>
            </w:tcBorders>
          </w:tcPr>
          <w:p w:rsidR="00D41E7E" w:rsidRPr="00D41E7E" w:rsidRDefault="00D41E7E" w:rsidP="00D41E7E">
            <w:pPr>
              <w:keepNext/>
              <w:keepLines/>
            </w:pPr>
          </w:p>
        </w:tc>
        <w:tc>
          <w:tcPr>
            <w:tcW w:w="452" w:type="dxa"/>
            <w:tcBorders>
              <w:left w:val="single" w:sz="4" w:space="0" w:color="auto"/>
            </w:tcBorders>
          </w:tcPr>
          <w:p w:rsidR="00D41E7E" w:rsidRPr="00D41E7E" w:rsidRDefault="00D41E7E" w:rsidP="00D41E7E">
            <w:pPr>
              <w:keepNext/>
              <w:keepLines/>
            </w:pPr>
            <w:r w:rsidRPr="00D41E7E">
              <w:t>E</w:t>
            </w:r>
          </w:p>
        </w:tc>
        <w:tc>
          <w:tcPr>
            <w:tcW w:w="723" w:type="dxa"/>
            <w:tcBorders>
              <w:bottom w:val="single" w:sz="4" w:space="0" w:color="auto"/>
            </w:tcBorders>
            <w:shd w:val="pct15" w:color="auto" w:fill="FFFFFF"/>
          </w:tcPr>
          <w:p w:rsidR="00D41E7E" w:rsidRPr="00D41E7E" w:rsidRDefault="00D41E7E" w:rsidP="00D41E7E">
            <w:pPr>
              <w:keepNext/>
              <w:keepLines/>
            </w:pPr>
          </w:p>
        </w:tc>
        <w:tc>
          <w:tcPr>
            <w:tcW w:w="723" w:type="dxa"/>
            <w:shd w:val="pct15" w:color="auto" w:fill="FFFFFF"/>
          </w:tcPr>
          <w:p w:rsidR="00D41E7E" w:rsidRPr="00D41E7E" w:rsidRDefault="00D41E7E" w:rsidP="00D41E7E">
            <w:pPr>
              <w:keepNext/>
              <w:keepLines/>
            </w:pPr>
          </w:p>
        </w:tc>
        <w:tc>
          <w:tcPr>
            <w:tcW w:w="724" w:type="dxa"/>
            <w:tcBorders>
              <w:bottom w:val="single" w:sz="4" w:space="0" w:color="auto"/>
            </w:tcBorders>
          </w:tcPr>
          <w:p w:rsidR="00D41E7E" w:rsidRPr="00D41E7E" w:rsidRDefault="00D41E7E" w:rsidP="00D41E7E">
            <w:pPr>
              <w:keepNext/>
              <w:keepLines/>
            </w:pPr>
          </w:p>
        </w:tc>
        <w:tc>
          <w:tcPr>
            <w:tcW w:w="723" w:type="dxa"/>
            <w:tcBorders>
              <w:top w:val="single" w:sz="4" w:space="0" w:color="auto"/>
              <w:right w:val="single" w:sz="4" w:space="0" w:color="auto"/>
            </w:tcBorders>
          </w:tcPr>
          <w:p w:rsidR="00D41E7E" w:rsidRPr="00D41E7E" w:rsidRDefault="00C215E6" w:rsidP="00D41E7E">
            <w:pPr>
              <w:keepNext/>
              <w:keepLines/>
              <w:jc w:val="center"/>
            </w:pPr>
            <w:r>
              <w:t>1</w:t>
            </w:r>
          </w:p>
        </w:tc>
        <w:tc>
          <w:tcPr>
            <w:tcW w:w="724" w:type="dxa"/>
            <w:tcBorders>
              <w:top w:val="single" w:sz="4" w:space="0" w:color="auto"/>
              <w:bottom w:val="single" w:sz="4" w:space="0" w:color="auto"/>
              <w:right w:val="single" w:sz="4" w:space="0" w:color="auto"/>
            </w:tcBorders>
          </w:tcPr>
          <w:p w:rsidR="00D41E7E" w:rsidRPr="00D41E7E" w:rsidRDefault="00D41E7E" w:rsidP="00D41E7E">
            <w:pPr>
              <w:keepNext/>
              <w:keepLines/>
              <w:jc w:val="center"/>
            </w:pPr>
          </w:p>
        </w:tc>
        <w:tc>
          <w:tcPr>
            <w:tcW w:w="1508" w:type="dxa"/>
            <w:tcBorders>
              <w:top w:val="nil"/>
              <w:left w:val="single" w:sz="4" w:space="0" w:color="auto"/>
              <w:bottom w:val="nil"/>
              <w:right w:val="nil"/>
            </w:tcBorders>
          </w:tcPr>
          <w:p w:rsidR="00D41E7E" w:rsidRPr="00D41E7E" w:rsidRDefault="00D41E7E" w:rsidP="00D41E7E">
            <w:pPr>
              <w:keepNext/>
              <w:keepLines/>
              <w:rPr>
                <w:sz w:val="16"/>
              </w:rPr>
            </w:pPr>
            <w:r w:rsidRPr="00D41E7E">
              <w:rPr>
                <w:sz w:val="16"/>
              </w:rPr>
              <w:t>II = Marginal</w:t>
            </w:r>
          </w:p>
        </w:tc>
        <w:tc>
          <w:tcPr>
            <w:tcW w:w="1608" w:type="dxa"/>
            <w:tcBorders>
              <w:top w:val="nil"/>
              <w:left w:val="nil"/>
              <w:bottom w:val="nil"/>
              <w:right w:val="nil"/>
            </w:tcBorders>
          </w:tcPr>
          <w:p w:rsidR="00D41E7E" w:rsidRPr="00D41E7E" w:rsidRDefault="00D41E7E" w:rsidP="00D41E7E">
            <w:pPr>
              <w:keepNext/>
              <w:keepLines/>
              <w:rPr>
                <w:sz w:val="16"/>
              </w:rPr>
            </w:pPr>
            <w:r w:rsidRPr="00D41E7E">
              <w:rPr>
                <w:sz w:val="16"/>
              </w:rPr>
              <w:t>D = 25% - 49%</w:t>
            </w:r>
          </w:p>
        </w:tc>
      </w:tr>
      <w:tr w:rsidR="00D41E7E" w:rsidRPr="00D41E7E" w:rsidTr="00EB707B">
        <w:trPr>
          <w:cantSplit/>
        </w:trPr>
        <w:tc>
          <w:tcPr>
            <w:tcW w:w="645" w:type="dxa"/>
            <w:vMerge/>
            <w:tcBorders>
              <w:left w:val="single" w:sz="4" w:space="0" w:color="auto"/>
              <w:bottom w:val="single" w:sz="4" w:space="0" w:color="auto"/>
              <w:right w:val="single" w:sz="4" w:space="0" w:color="auto"/>
            </w:tcBorders>
          </w:tcPr>
          <w:p w:rsidR="00D41E7E" w:rsidRPr="00D41E7E" w:rsidRDefault="00D41E7E" w:rsidP="00D41E7E">
            <w:pPr>
              <w:keepNext/>
              <w:keepLines/>
            </w:pPr>
          </w:p>
        </w:tc>
        <w:tc>
          <w:tcPr>
            <w:tcW w:w="452" w:type="dxa"/>
            <w:tcBorders>
              <w:left w:val="single" w:sz="4" w:space="0" w:color="auto"/>
            </w:tcBorders>
          </w:tcPr>
          <w:p w:rsidR="00D41E7E" w:rsidRPr="00D41E7E" w:rsidRDefault="00D41E7E" w:rsidP="00D41E7E">
            <w:pPr>
              <w:keepNext/>
              <w:keepLines/>
            </w:pPr>
            <w:r w:rsidRPr="00D41E7E">
              <w:t>F</w:t>
            </w:r>
          </w:p>
        </w:tc>
        <w:tc>
          <w:tcPr>
            <w:tcW w:w="723" w:type="dxa"/>
            <w:shd w:val="pct15" w:color="auto" w:fill="FFFFFF"/>
          </w:tcPr>
          <w:p w:rsidR="00D41E7E" w:rsidRPr="00D41E7E" w:rsidRDefault="00D41E7E" w:rsidP="00D41E7E">
            <w:pPr>
              <w:keepNext/>
              <w:keepLines/>
            </w:pPr>
          </w:p>
        </w:tc>
        <w:tc>
          <w:tcPr>
            <w:tcW w:w="723" w:type="dxa"/>
            <w:shd w:val="pct15" w:color="auto" w:fill="FFFFFF"/>
          </w:tcPr>
          <w:p w:rsidR="00D41E7E" w:rsidRPr="00D41E7E" w:rsidRDefault="00D41E7E" w:rsidP="00D41E7E">
            <w:pPr>
              <w:keepNext/>
              <w:keepLines/>
            </w:pPr>
          </w:p>
        </w:tc>
        <w:tc>
          <w:tcPr>
            <w:tcW w:w="724" w:type="dxa"/>
            <w:tcBorders>
              <w:top w:val="single" w:sz="4" w:space="0" w:color="auto"/>
            </w:tcBorders>
            <w:shd w:val="pct15" w:color="auto" w:fill="FFFFFF"/>
          </w:tcPr>
          <w:p w:rsidR="00D41E7E" w:rsidRPr="00D41E7E" w:rsidRDefault="00D41E7E" w:rsidP="00D41E7E">
            <w:pPr>
              <w:keepNext/>
              <w:keepLines/>
            </w:pPr>
          </w:p>
        </w:tc>
        <w:tc>
          <w:tcPr>
            <w:tcW w:w="723" w:type="dxa"/>
            <w:tcBorders>
              <w:right w:val="single" w:sz="4" w:space="0" w:color="auto"/>
            </w:tcBorders>
          </w:tcPr>
          <w:p w:rsidR="00D41E7E" w:rsidRPr="00D41E7E" w:rsidRDefault="00D41E7E" w:rsidP="00D41E7E">
            <w:pPr>
              <w:keepNext/>
              <w:keepLines/>
              <w:jc w:val="center"/>
            </w:pPr>
          </w:p>
        </w:tc>
        <w:tc>
          <w:tcPr>
            <w:tcW w:w="724" w:type="dxa"/>
            <w:tcBorders>
              <w:right w:val="single" w:sz="4" w:space="0" w:color="auto"/>
            </w:tcBorders>
          </w:tcPr>
          <w:p w:rsidR="00D41E7E" w:rsidRPr="00D41E7E" w:rsidRDefault="00D41E7E" w:rsidP="00D41E7E">
            <w:pPr>
              <w:keepNext/>
              <w:keepLines/>
              <w:jc w:val="center"/>
            </w:pPr>
          </w:p>
        </w:tc>
        <w:tc>
          <w:tcPr>
            <w:tcW w:w="1508" w:type="dxa"/>
            <w:tcBorders>
              <w:top w:val="nil"/>
              <w:left w:val="single" w:sz="4" w:space="0" w:color="auto"/>
              <w:bottom w:val="nil"/>
              <w:right w:val="nil"/>
            </w:tcBorders>
          </w:tcPr>
          <w:p w:rsidR="00D41E7E" w:rsidRPr="00D41E7E" w:rsidRDefault="00D41E7E" w:rsidP="00D41E7E">
            <w:pPr>
              <w:keepNext/>
              <w:keepLines/>
              <w:rPr>
                <w:sz w:val="16"/>
              </w:rPr>
            </w:pPr>
            <w:r w:rsidRPr="00D41E7E">
              <w:rPr>
                <w:sz w:val="16"/>
              </w:rPr>
              <w:t>I = Negligible</w:t>
            </w:r>
          </w:p>
        </w:tc>
        <w:tc>
          <w:tcPr>
            <w:tcW w:w="1608" w:type="dxa"/>
            <w:tcBorders>
              <w:top w:val="nil"/>
              <w:left w:val="nil"/>
              <w:bottom w:val="nil"/>
              <w:right w:val="nil"/>
            </w:tcBorders>
          </w:tcPr>
          <w:p w:rsidR="00D41E7E" w:rsidRPr="00D41E7E" w:rsidRDefault="00D41E7E" w:rsidP="00D41E7E">
            <w:pPr>
              <w:keepNext/>
              <w:keepLines/>
              <w:rPr>
                <w:sz w:val="16"/>
              </w:rPr>
            </w:pPr>
            <w:r w:rsidRPr="00D41E7E">
              <w:rPr>
                <w:sz w:val="16"/>
              </w:rPr>
              <w:t>E = 3% - 24%</w:t>
            </w:r>
          </w:p>
        </w:tc>
      </w:tr>
      <w:tr w:rsidR="00D41E7E" w:rsidRPr="00D41E7E" w:rsidTr="00EB707B">
        <w:trPr>
          <w:cantSplit/>
        </w:trPr>
        <w:tc>
          <w:tcPr>
            <w:tcW w:w="645" w:type="dxa"/>
            <w:vMerge/>
            <w:tcBorders>
              <w:left w:val="single" w:sz="4" w:space="0" w:color="auto"/>
              <w:bottom w:val="single" w:sz="4" w:space="0" w:color="auto"/>
              <w:right w:val="single" w:sz="4" w:space="0" w:color="auto"/>
            </w:tcBorders>
          </w:tcPr>
          <w:p w:rsidR="00D41E7E" w:rsidRPr="00D41E7E" w:rsidRDefault="00D41E7E" w:rsidP="00D41E7E">
            <w:pPr>
              <w:keepNext/>
              <w:keepLines/>
            </w:pPr>
          </w:p>
        </w:tc>
        <w:tc>
          <w:tcPr>
            <w:tcW w:w="452" w:type="dxa"/>
            <w:tcBorders>
              <w:left w:val="single" w:sz="4" w:space="0" w:color="auto"/>
              <w:bottom w:val="single" w:sz="4" w:space="0" w:color="auto"/>
            </w:tcBorders>
          </w:tcPr>
          <w:p w:rsidR="00D41E7E" w:rsidRPr="00D41E7E" w:rsidRDefault="00D41E7E" w:rsidP="00D41E7E">
            <w:pPr>
              <w:keepNext/>
              <w:keepLines/>
            </w:pPr>
          </w:p>
        </w:tc>
        <w:tc>
          <w:tcPr>
            <w:tcW w:w="723" w:type="dxa"/>
            <w:tcBorders>
              <w:bottom w:val="single" w:sz="4" w:space="0" w:color="auto"/>
            </w:tcBorders>
          </w:tcPr>
          <w:p w:rsidR="00D41E7E" w:rsidRPr="00D41E7E" w:rsidRDefault="00D41E7E" w:rsidP="00D41E7E">
            <w:pPr>
              <w:keepNext/>
              <w:keepLines/>
              <w:jc w:val="center"/>
            </w:pPr>
            <w:r w:rsidRPr="00D41E7E">
              <w:t>I</w:t>
            </w:r>
          </w:p>
        </w:tc>
        <w:tc>
          <w:tcPr>
            <w:tcW w:w="723" w:type="dxa"/>
            <w:tcBorders>
              <w:bottom w:val="single" w:sz="4" w:space="0" w:color="auto"/>
            </w:tcBorders>
          </w:tcPr>
          <w:p w:rsidR="00D41E7E" w:rsidRPr="00D41E7E" w:rsidRDefault="00D41E7E" w:rsidP="00D41E7E">
            <w:pPr>
              <w:keepNext/>
              <w:keepLines/>
              <w:jc w:val="center"/>
            </w:pPr>
            <w:r w:rsidRPr="00D41E7E">
              <w:t>II</w:t>
            </w:r>
          </w:p>
        </w:tc>
        <w:tc>
          <w:tcPr>
            <w:tcW w:w="724" w:type="dxa"/>
            <w:tcBorders>
              <w:bottom w:val="single" w:sz="4" w:space="0" w:color="auto"/>
            </w:tcBorders>
          </w:tcPr>
          <w:p w:rsidR="00D41E7E" w:rsidRPr="00D41E7E" w:rsidRDefault="00D41E7E" w:rsidP="00D41E7E">
            <w:pPr>
              <w:keepNext/>
              <w:keepLines/>
              <w:jc w:val="center"/>
            </w:pPr>
            <w:r w:rsidRPr="00D41E7E">
              <w:t>III</w:t>
            </w:r>
          </w:p>
        </w:tc>
        <w:tc>
          <w:tcPr>
            <w:tcW w:w="723" w:type="dxa"/>
            <w:tcBorders>
              <w:bottom w:val="single" w:sz="4" w:space="0" w:color="auto"/>
              <w:right w:val="single" w:sz="4" w:space="0" w:color="auto"/>
            </w:tcBorders>
          </w:tcPr>
          <w:p w:rsidR="00D41E7E" w:rsidRPr="00D41E7E" w:rsidRDefault="00D41E7E" w:rsidP="00D41E7E">
            <w:pPr>
              <w:keepNext/>
              <w:keepLines/>
              <w:jc w:val="center"/>
            </w:pPr>
            <w:r w:rsidRPr="00D41E7E">
              <w:t>IV</w:t>
            </w:r>
          </w:p>
        </w:tc>
        <w:tc>
          <w:tcPr>
            <w:tcW w:w="724" w:type="dxa"/>
            <w:tcBorders>
              <w:bottom w:val="single" w:sz="4" w:space="0" w:color="auto"/>
              <w:right w:val="single" w:sz="4" w:space="0" w:color="auto"/>
            </w:tcBorders>
          </w:tcPr>
          <w:p w:rsidR="00D41E7E" w:rsidRPr="00D41E7E" w:rsidRDefault="00D41E7E" w:rsidP="00D41E7E">
            <w:pPr>
              <w:keepNext/>
              <w:keepLines/>
              <w:jc w:val="center"/>
            </w:pPr>
            <w:r w:rsidRPr="00D41E7E">
              <w:t>V</w:t>
            </w:r>
          </w:p>
        </w:tc>
        <w:tc>
          <w:tcPr>
            <w:tcW w:w="1508" w:type="dxa"/>
            <w:tcBorders>
              <w:top w:val="nil"/>
              <w:left w:val="single" w:sz="4" w:space="0" w:color="auto"/>
              <w:bottom w:val="nil"/>
              <w:right w:val="nil"/>
            </w:tcBorders>
          </w:tcPr>
          <w:p w:rsidR="00D41E7E" w:rsidRPr="00D41E7E" w:rsidRDefault="00D41E7E" w:rsidP="00D41E7E">
            <w:pPr>
              <w:keepNext/>
              <w:keepLines/>
            </w:pPr>
          </w:p>
        </w:tc>
        <w:tc>
          <w:tcPr>
            <w:tcW w:w="1608" w:type="dxa"/>
            <w:tcBorders>
              <w:top w:val="nil"/>
              <w:left w:val="nil"/>
              <w:bottom w:val="nil"/>
              <w:right w:val="nil"/>
            </w:tcBorders>
          </w:tcPr>
          <w:p w:rsidR="00D41E7E" w:rsidRPr="00D41E7E" w:rsidRDefault="00D41E7E" w:rsidP="00D41E7E">
            <w:pPr>
              <w:keepNext/>
              <w:keepLines/>
              <w:rPr>
                <w:sz w:val="16"/>
              </w:rPr>
            </w:pPr>
            <w:r w:rsidRPr="00D41E7E">
              <w:rPr>
                <w:sz w:val="16"/>
              </w:rPr>
              <w:t xml:space="preserve">F = </w:t>
            </w:r>
            <w:r w:rsidRPr="00D41E7E">
              <w:rPr>
                <w:spacing w:val="-8"/>
                <w:sz w:val="16"/>
              </w:rPr>
              <w:t xml:space="preserve"> &lt;2%</w:t>
            </w:r>
          </w:p>
        </w:tc>
      </w:tr>
      <w:tr w:rsidR="00D41E7E" w:rsidRPr="00D41E7E" w:rsidTr="00EB707B">
        <w:trPr>
          <w:cantSplit/>
          <w:trHeight w:val="420"/>
        </w:trPr>
        <w:tc>
          <w:tcPr>
            <w:tcW w:w="645" w:type="dxa"/>
            <w:vMerge/>
            <w:tcBorders>
              <w:left w:val="single" w:sz="4" w:space="0" w:color="auto"/>
              <w:bottom w:val="single" w:sz="4" w:space="0" w:color="auto"/>
              <w:right w:val="single" w:sz="4" w:space="0" w:color="auto"/>
            </w:tcBorders>
          </w:tcPr>
          <w:p w:rsidR="00D41E7E" w:rsidRPr="00D41E7E" w:rsidRDefault="00D41E7E" w:rsidP="00D41E7E">
            <w:pPr>
              <w:keepNext/>
              <w:keepLines/>
            </w:pPr>
          </w:p>
        </w:tc>
        <w:tc>
          <w:tcPr>
            <w:tcW w:w="4069" w:type="dxa"/>
            <w:gridSpan w:val="6"/>
            <w:tcBorders>
              <w:left w:val="single" w:sz="4" w:space="0" w:color="auto"/>
              <w:bottom w:val="single" w:sz="4" w:space="0" w:color="auto"/>
              <w:right w:val="single" w:sz="4" w:space="0" w:color="auto"/>
            </w:tcBorders>
          </w:tcPr>
          <w:p w:rsidR="00D41E7E" w:rsidRPr="00D41E7E" w:rsidRDefault="00D41E7E" w:rsidP="00D41E7E">
            <w:pPr>
              <w:keepNext/>
              <w:keepLines/>
              <w:spacing w:before="40"/>
              <w:jc w:val="center"/>
              <w:rPr>
                <w:b/>
                <w:szCs w:val="22"/>
              </w:rPr>
            </w:pPr>
            <w:r w:rsidRPr="00D41E7E">
              <w:rPr>
                <w:b/>
                <w:szCs w:val="22"/>
              </w:rPr>
              <w:t>Impact</w:t>
            </w:r>
          </w:p>
          <w:p w:rsidR="00D41E7E" w:rsidRPr="00D41E7E" w:rsidRDefault="00D41E7E" w:rsidP="00D41E7E">
            <w:pPr>
              <w:keepNext/>
              <w:keepLines/>
              <w:rPr>
                <w:b/>
                <w:sz w:val="20"/>
              </w:rPr>
            </w:pPr>
          </w:p>
        </w:tc>
        <w:tc>
          <w:tcPr>
            <w:tcW w:w="1508" w:type="dxa"/>
            <w:tcBorders>
              <w:top w:val="nil"/>
              <w:left w:val="single" w:sz="4" w:space="0" w:color="auto"/>
              <w:bottom w:val="nil"/>
              <w:right w:val="nil"/>
            </w:tcBorders>
          </w:tcPr>
          <w:p w:rsidR="00D41E7E" w:rsidRPr="00D41E7E" w:rsidRDefault="00D41E7E" w:rsidP="00D41E7E">
            <w:pPr>
              <w:keepNext/>
              <w:keepLines/>
            </w:pPr>
          </w:p>
        </w:tc>
        <w:tc>
          <w:tcPr>
            <w:tcW w:w="1608" w:type="dxa"/>
            <w:tcBorders>
              <w:top w:val="nil"/>
              <w:left w:val="nil"/>
              <w:bottom w:val="nil"/>
              <w:right w:val="nil"/>
            </w:tcBorders>
          </w:tcPr>
          <w:p w:rsidR="00D41E7E" w:rsidRPr="00D41E7E" w:rsidRDefault="00D41E7E" w:rsidP="00D41E7E">
            <w:pPr>
              <w:keepNext/>
              <w:keepLines/>
            </w:pPr>
          </w:p>
        </w:tc>
      </w:tr>
    </w:tbl>
    <w:p w:rsidR="00D41E7E" w:rsidRPr="00D41E7E" w:rsidRDefault="00D41E7E" w:rsidP="00D41E7E">
      <w:pPr>
        <w:rPr>
          <w:color w:val="365F91" w:themeColor="accent1" w:themeShade="BF"/>
        </w:rPr>
      </w:pPr>
    </w:p>
    <w:p w:rsidR="00C37CBD" w:rsidRPr="00D41E7E" w:rsidRDefault="005A3853" w:rsidP="00C37CBD">
      <w:pPr>
        <w:keepNext/>
        <w:ind w:left="1267" w:hanging="1267"/>
      </w:pPr>
      <w:r w:rsidRPr="00D41E7E">
        <w:t>8</w:t>
      </w:r>
      <w:r w:rsidR="00C37CBD" w:rsidRPr="00D41E7E">
        <w:t>.</w:t>
      </w:r>
      <w:r w:rsidR="00C37CBD" w:rsidRPr="00D41E7E">
        <w:fldChar w:fldCharType="begin"/>
      </w:r>
      <w:r w:rsidR="00C37CBD" w:rsidRPr="00D41E7E">
        <w:instrText xml:space="preserve">  </w:instrText>
      </w:r>
      <w:r w:rsidR="00C37CBD" w:rsidRPr="00D41E7E">
        <w:fldChar w:fldCharType="end"/>
      </w:r>
      <w:r w:rsidR="00C37CBD" w:rsidRPr="00D41E7E">
        <w:tab/>
      </w:r>
      <w:r w:rsidR="00C37CBD" w:rsidRPr="00D41E7E">
        <w:rPr>
          <w:b/>
        </w:rPr>
        <w:t>Recommendation</w:t>
      </w:r>
    </w:p>
    <w:p w:rsidR="00C37CBD" w:rsidRPr="00D41E7E" w:rsidRDefault="00C37CBD" w:rsidP="00C37CBD">
      <w:pPr>
        <w:keepNext/>
        <w:ind w:left="1267" w:hanging="1267"/>
      </w:pPr>
      <w:r w:rsidRPr="00D41E7E">
        <w:tab/>
      </w:r>
      <w:r w:rsidRPr="00D41E7E">
        <w:tab/>
      </w:r>
    </w:p>
    <w:p w:rsidR="00C37CBD" w:rsidRPr="00D41E7E" w:rsidRDefault="00C37CBD" w:rsidP="00C37CBD">
      <w:pPr>
        <w:keepNext/>
        <w:ind w:left="1267" w:hanging="1267"/>
      </w:pPr>
      <w:r w:rsidRPr="00D41E7E">
        <w:tab/>
      </w:r>
      <w:r w:rsidR="002D3E24" w:rsidRPr="00D41E7E">
        <w:t>The Policy and Resources Committee recommend to</w:t>
      </w:r>
      <w:r w:rsidRPr="00D41E7E">
        <w:t xml:space="preserve"> Council:</w:t>
      </w:r>
    </w:p>
    <w:p w:rsidR="00C37CBD" w:rsidRPr="007940B5" w:rsidRDefault="00C37CBD" w:rsidP="00C37CBD">
      <w:pPr>
        <w:keepNext/>
        <w:ind w:left="1267" w:hanging="1267"/>
        <w:rPr>
          <w:color w:val="4F81BD" w:themeColor="accent1"/>
        </w:rPr>
      </w:pPr>
    </w:p>
    <w:p w:rsidR="002B03E3" w:rsidRPr="00165D26" w:rsidRDefault="005A3853" w:rsidP="003E6AC9">
      <w:pPr>
        <w:ind w:left="1260" w:hanging="1260"/>
        <w:jc w:val="left"/>
        <w:rPr>
          <w:rFonts w:cs="Arial"/>
          <w:szCs w:val="22"/>
        </w:rPr>
      </w:pPr>
      <w:r w:rsidRPr="00074622">
        <w:t>8</w:t>
      </w:r>
      <w:r w:rsidR="00C37CBD" w:rsidRPr="00074622">
        <w:t xml:space="preserve">.1  </w:t>
      </w:r>
      <w:r w:rsidR="00C37CBD" w:rsidRPr="007940B5">
        <w:rPr>
          <w:color w:val="4F81BD" w:themeColor="accent1"/>
        </w:rPr>
        <w:tab/>
      </w:r>
      <w:r w:rsidR="002D3E24" w:rsidRPr="00165D26">
        <w:t>That</w:t>
      </w:r>
      <w:r w:rsidR="002B03E3" w:rsidRPr="00165D26">
        <w:rPr>
          <w:rFonts w:cs="Arial"/>
          <w:szCs w:val="22"/>
        </w:rPr>
        <w:t xml:space="preserve"> the </w:t>
      </w:r>
      <w:r w:rsidR="00471E11" w:rsidRPr="00165D26">
        <w:rPr>
          <w:rFonts w:cs="Arial"/>
          <w:szCs w:val="22"/>
        </w:rPr>
        <w:t>favourable</w:t>
      </w:r>
      <w:r w:rsidR="00004661" w:rsidRPr="00165D26">
        <w:rPr>
          <w:rFonts w:cs="Arial"/>
          <w:szCs w:val="22"/>
        </w:rPr>
        <w:t xml:space="preserve"> </w:t>
      </w:r>
      <w:r w:rsidR="00E629C6" w:rsidRPr="00165D26">
        <w:rPr>
          <w:rFonts w:cs="Arial"/>
          <w:szCs w:val="22"/>
        </w:rPr>
        <w:t xml:space="preserve">revenue outturn </w:t>
      </w:r>
      <w:r w:rsidR="003E6AC9" w:rsidRPr="00165D26">
        <w:rPr>
          <w:rFonts w:cs="Arial"/>
          <w:szCs w:val="22"/>
        </w:rPr>
        <w:t>variance</w:t>
      </w:r>
      <w:r w:rsidR="00E629C6" w:rsidRPr="00165D26">
        <w:rPr>
          <w:rFonts w:cs="Arial"/>
          <w:szCs w:val="22"/>
        </w:rPr>
        <w:t xml:space="preserve"> of </w:t>
      </w:r>
      <w:r w:rsidR="00E629C6" w:rsidRPr="00165D26">
        <w:rPr>
          <w:rFonts w:cs="Arial"/>
          <w:b/>
          <w:szCs w:val="22"/>
        </w:rPr>
        <w:t>£</w:t>
      </w:r>
      <w:r w:rsidR="00165D26" w:rsidRPr="00165D26">
        <w:rPr>
          <w:rFonts w:cs="Arial"/>
          <w:b/>
          <w:szCs w:val="22"/>
        </w:rPr>
        <w:t>4</w:t>
      </w:r>
      <w:r w:rsidR="00CC590B">
        <w:rPr>
          <w:rFonts w:cs="Arial"/>
          <w:b/>
          <w:szCs w:val="22"/>
        </w:rPr>
        <w:t>02</w:t>
      </w:r>
      <w:r w:rsidR="00E629C6" w:rsidRPr="00165D26">
        <w:rPr>
          <w:rFonts w:cs="Arial"/>
          <w:b/>
          <w:szCs w:val="22"/>
        </w:rPr>
        <w:t>,</w:t>
      </w:r>
      <w:r w:rsidR="00CC590B">
        <w:rPr>
          <w:rFonts w:cs="Arial"/>
          <w:b/>
          <w:szCs w:val="22"/>
        </w:rPr>
        <w:t>269</w:t>
      </w:r>
      <w:r w:rsidR="002B03E3" w:rsidRPr="00165D26">
        <w:rPr>
          <w:rFonts w:cs="Arial"/>
          <w:szCs w:val="22"/>
        </w:rPr>
        <w:t xml:space="preserve"> </w:t>
      </w:r>
      <w:r w:rsidR="002D3E24" w:rsidRPr="00165D26">
        <w:rPr>
          <w:rFonts w:cs="Arial"/>
          <w:szCs w:val="22"/>
        </w:rPr>
        <w:t>be noted</w:t>
      </w:r>
      <w:r w:rsidR="0095619D" w:rsidRPr="00165D26">
        <w:rPr>
          <w:rFonts w:cs="Arial"/>
          <w:szCs w:val="22"/>
        </w:rPr>
        <w:t>.</w:t>
      </w:r>
    </w:p>
    <w:p w:rsidR="002B03E3" w:rsidRPr="00165D26" w:rsidRDefault="002B03E3" w:rsidP="003E6AC9">
      <w:pPr>
        <w:ind w:left="1260" w:hanging="1260"/>
        <w:jc w:val="left"/>
        <w:rPr>
          <w:rFonts w:cs="Arial"/>
          <w:szCs w:val="22"/>
        </w:rPr>
      </w:pPr>
    </w:p>
    <w:p w:rsidR="00C37CBD" w:rsidRPr="00165D26" w:rsidRDefault="005A3853" w:rsidP="002B03E3">
      <w:pPr>
        <w:pStyle w:val="Header"/>
        <w:widowControl w:val="0"/>
        <w:tabs>
          <w:tab w:val="clear" w:pos="4153"/>
          <w:tab w:val="clear" w:pos="8306"/>
          <w:tab w:val="left" w:pos="709"/>
          <w:tab w:val="left" w:pos="1980"/>
          <w:tab w:val="left" w:pos="2700"/>
          <w:tab w:val="left" w:pos="3420"/>
        </w:tabs>
        <w:ind w:left="1260" w:right="-52" w:hanging="1260"/>
        <w:outlineLvl w:val="0"/>
        <w:rPr>
          <w:rFonts w:cs="Arial"/>
          <w:szCs w:val="22"/>
        </w:rPr>
      </w:pPr>
      <w:r w:rsidRPr="00165D26">
        <w:t>8</w:t>
      </w:r>
      <w:r w:rsidR="00C37CBD" w:rsidRPr="00165D26">
        <w:t>.2</w:t>
      </w:r>
      <w:r w:rsidR="00C37CBD" w:rsidRPr="00165D26">
        <w:tab/>
      </w:r>
      <w:r w:rsidR="002B03E3" w:rsidRPr="00165D26">
        <w:tab/>
      </w:r>
      <w:r w:rsidR="002D3E24" w:rsidRPr="00165D26">
        <w:t>That the</w:t>
      </w:r>
      <w:r w:rsidR="002D3E24" w:rsidRPr="00165D26">
        <w:rPr>
          <w:rFonts w:cs="Arial"/>
          <w:szCs w:val="22"/>
        </w:rPr>
        <w:t xml:space="preserve"> capital outturn as summarised in </w:t>
      </w:r>
      <w:r w:rsidR="00004661" w:rsidRPr="00165D26">
        <w:rPr>
          <w:rFonts w:cs="Arial"/>
          <w:szCs w:val="22"/>
        </w:rPr>
        <w:t>para</w:t>
      </w:r>
      <w:r w:rsidR="00471E11" w:rsidRPr="00165D26">
        <w:rPr>
          <w:rFonts w:cs="Arial"/>
          <w:szCs w:val="22"/>
        </w:rPr>
        <w:t>graph</w:t>
      </w:r>
      <w:r w:rsidR="00004661" w:rsidRPr="00165D26">
        <w:rPr>
          <w:rFonts w:cs="Arial"/>
          <w:szCs w:val="22"/>
        </w:rPr>
        <w:t xml:space="preserve"> </w:t>
      </w:r>
      <w:r w:rsidR="00076B75">
        <w:rPr>
          <w:rFonts w:cs="Arial"/>
          <w:szCs w:val="22"/>
        </w:rPr>
        <w:t>2.6</w:t>
      </w:r>
      <w:r w:rsidR="00004661" w:rsidRPr="00165D26">
        <w:rPr>
          <w:rFonts w:cs="Arial"/>
          <w:szCs w:val="22"/>
        </w:rPr>
        <w:t xml:space="preserve"> and </w:t>
      </w:r>
      <w:r w:rsidR="002D3E24" w:rsidRPr="00165D26">
        <w:rPr>
          <w:rFonts w:cs="Arial"/>
          <w:szCs w:val="22"/>
        </w:rPr>
        <w:t xml:space="preserve">Appendix </w:t>
      </w:r>
      <w:r w:rsidR="00471E11" w:rsidRPr="00165D26">
        <w:rPr>
          <w:rFonts w:cs="Arial"/>
          <w:szCs w:val="22"/>
        </w:rPr>
        <w:t>3</w:t>
      </w:r>
      <w:r w:rsidR="002D3E24" w:rsidRPr="00165D26">
        <w:rPr>
          <w:rFonts w:cs="Arial"/>
          <w:szCs w:val="22"/>
        </w:rPr>
        <w:t xml:space="preserve"> be noted.</w:t>
      </w:r>
    </w:p>
    <w:p w:rsidR="00B776F8" w:rsidRPr="00165D26" w:rsidRDefault="00B776F8" w:rsidP="002B03E3">
      <w:pPr>
        <w:pStyle w:val="Header"/>
        <w:widowControl w:val="0"/>
        <w:tabs>
          <w:tab w:val="clear" w:pos="4153"/>
          <w:tab w:val="clear" w:pos="8306"/>
          <w:tab w:val="left" w:pos="709"/>
          <w:tab w:val="left" w:pos="1980"/>
          <w:tab w:val="left" w:pos="2700"/>
          <w:tab w:val="left" w:pos="3420"/>
        </w:tabs>
        <w:ind w:left="1260" w:right="-52" w:hanging="1260"/>
        <w:outlineLvl w:val="0"/>
      </w:pPr>
    </w:p>
    <w:p w:rsidR="002D3E24" w:rsidRPr="00165D26" w:rsidRDefault="00B776F8" w:rsidP="00C70449">
      <w:pPr>
        <w:ind w:left="1260" w:hanging="1260"/>
        <w:jc w:val="left"/>
      </w:pPr>
      <w:r w:rsidRPr="00165D26">
        <w:t>8.3</w:t>
      </w:r>
      <w:r w:rsidRPr="00165D26">
        <w:tab/>
      </w:r>
      <w:r w:rsidR="002D3E24" w:rsidRPr="00165D26">
        <w:t>A</w:t>
      </w:r>
      <w:r w:rsidR="002D3E24" w:rsidRPr="00165D26">
        <w:rPr>
          <w:rFonts w:cs="Arial"/>
          <w:szCs w:val="22"/>
        </w:rPr>
        <w:t xml:space="preserve">pproves to carry forward the unspent service budgets from </w:t>
      </w:r>
      <w:r w:rsidR="00E629C6" w:rsidRPr="00165D26">
        <w:rPr>
          <w:rFonts w:cs="Arial"/>
          <w:szCs w:val="22"/>
        </w:rPr>
        <w:t>2016/17</w:t>
      </w:r>
      <w:r w:rsidR="002D3E24" w:rsidRPr="00165D26">
        <w:rPr>
          <w:rFonts w:cs="Arial"/>
          <w:szCs w:val="22"/>
        </w:rPr>
        <w:t xml:space="preserve"> to </w:t>
      </w:r>
      <w:r w:rsidR="00E629C6" w:rsidRPr="00165D26">
        <w:rPr>
          <w:rFonts w:cs="Arial"/>
          <w:szCs w:val="22"/>
        </w:rPr>
        <w:t>2017/18</w:t>
      </w:r>
      <w:r w:rsidR="002D3E24" w:rsidRPr="00165D26">
        <w:rPr>
          <w:rFonts w:cs="Arial"/>
          <w:szCs w:val="22"/>
        </w:rPr>
        <w:t xml:space="preserve"> which total </w:t>
      </w:r>
      <w:r w:rsidR="002D3E24" w:rsidRPr="00165D26">
        <w:rPr>
          <w:rFonts w:cs="Arial"/>
          <w:b/>
          <w:szCs w:val="22"/>
        </w:rPr>
        <w:t>£</w:t>
      </w:r>
      <w:r w:rsidR="00E629C6" w:rsidRPr="00165D26">
        <w:rPr>
          <w:rFonts w:cs="Arial"/>
          <w:b/>
          <w:szCs w:val="22"/>
        </w:rPr>
        <w:t>28</w:t>
      </w:r>
      <w:r w:rsidR="00165D26">
        <w:rPr>
          <w:rFonts w:cs="Arial"/>
          <w:b/>
          <w:szCs w:val="22"/>
        </w:rPr>
        <w:t>8</w:t>
      </w:r>
      <w:r w:rsidR="00E629C6" w:rsidRPr="00165D26">
        <w:rPr>
          <w:rFonts w:cs="Arial"/>
          <w:b/>
          <w:szCs w:val="22"/>
        </w:rPr>
        <w:t>,890</w:t>
      </w:r>
      <w:r w:rsidR="002D3E24" w:rsidRPr="00165D26">
        <w:rPr>
          <w:rFonts w:cs="Arial"/>
          <w:szCs w:val="22"/>
        </w:rPr>
        <w:t xml:space="preserve"> as detailed at Appendix </w:t>
      </w:r>
      <w:r w:rsidR="00471E11" w:rsidRPr="00165D26">
        <w:rPr>
          <w:rFonts w:cs="Arial"/>
          <w:szCs w:val="22"/>
        </w:rPr>
        <w:t>2</w:t>
      </w:r>
    </w:p>
    <w:p w:rsidR="00B776F8" w:rsidRPr="00165D26" w:rsidRDefault="00B776F8" w:rsidP="00B776F8">
      <w:pPr>
        <w:ind w:left="1260" w:hanging="1260"/>
        <w:rPr>
          <w:rFonts w:cs="Arial"/>
          <w:szCs w:val="22"/>
        </w:rPr>
      </w:pPr>
    </w:p>
    <w:p w:rsidR="002B03E3" w:rsidRPr="00165D26" w:rsidRDefault="00B776F8" w:rsidP="00C70449">
      <w:pPr>
        <w:ind w:left="1260" w:hanging="1260"/>
        <w:jc w:val="left"/>
      </w:pPr>
      <w:r w:rsidRPr="00165D26">
        <w:t>8.4</w:t>
      </w:r>
      <w:r w:rsidRPr="00165D26">
        <w:tab/>
        <w:t>A</w:t>
      </w:r>
      <w:r w:rsidRPr="00165D26">
        <w:rPr>
          <w:rFonts w:cs="Arial"/>
          <w:szCs w:val="22"/>
        </w:rPr>
        <w:t xml:space="preserve">pproves the rephasing on capital projects from </w:t>
      </w:r>
      <w:r w:rsidR="00834814" w:rsidRPr="00165D26">
        <w:rPr>
          <w:rFonts w:cs="Arial"/>
          <w:szCs w:val="22"/>
        </w:rPr>
        <w:t>2016/17 to 2017/18</w:t>
      </w:r>
      <w:r w:rsidR="00AB629E" w:rsidRPr="00165D26">
        <w:rPr>
          <w:rFonts w:cs="Arial"/>
          <w:szCs w:val="22"/>
        </w:rPr>
        <w:t xml:space="preserve"> which total </w:t>
      </w:r>
      <w:r w:rsidR="00AB629E" w:rsidRPr="00165D26">
        <w:rPr>
          <w:rFonts w:cs="Arial"/>
          <w:b/>
          <w:szCs w:val="22"/>
        </w:rPr>
        <w:t>£</w:t>
      </w:r>
      <w:r w:rsidR="00076B75">
        <w:rPr>
          <w:rFonts w:cs="Arial"/>
          <w:b/>
          <w:szCs w:val="22"/>
        </w:rPr>
        <w:t>2,496,980</w:t>
      </w:r>
      <w:r w:rsidR="00DF6298" w:rsidRPr="00165D26">
        <w:rPr>
          <w:rFonts w:cs="Arial"/>
          <w:szCs w:val="22"/>
        </w:rPr>
        <w:t xml:space="preserve"> </w:t>
      </w:r>
      <w:r w:rsidRPr="00165D26">
        <w:rPr>
          <w:rFonts w:cs="Arial"/>
          <w:szCs w:val="22"/>
        </w:rPr>
        <w:t xml:space="preserve">as detailed at Appendix </w:t>
      </w:r>
      <w:r w:rsidR="00471E11" w:rsidRPr="00165D26">
        <w:rPr>
          <w:rFonts w:cs="Arial"/>
          <w:szCs w:val="22"/>
        </w:rPr>
        <w:t>4</w:t>
      </w:r>
      <w:r w:rsidR="00C70449" w:rsidRPr="00165D26">
        <w:rPr>
          <w:rFonts w:cs="Arial"/>
          <w:szCs w:val="22"/>
        </w:rPr>
        <w:t>.</w:t>
      </w:r>
      <w:r w:rsidR="00C37CBD" w:rsidRPr="00165D26">
        <w:tab/>
      </w:r>
    </w:p>
    <w:p w:rsidR="00BF43A7" w:rsidRPr="007940B5" w:rsidRDefault="002B03E3" w:rsidP="00C37CBD">
      <w:pPr>
        <w:rPr>
          <w:color w:val="4F81BD" w:themeColor="accent1"/>
        </w:rPr>
      </w:pPr>
      <w:r w:rsidRPr="007940B5">
        <w:rPr>
          <w:color w:val="4F81BD" w:themeColor="accent1"/>
        </w:rPr>
        <w:tab/>
      </w:r>
    </w:p>
    <w:p w:rsidR="00C37CBD" w:rsidRPr="007940B5" w:rsidRDefault="00D41E7E" w:rsidP="00C37CBD">
      <w:pPr>
        <w:rPr>
          <w:color w:val="4F81BD" w:themeColor="accent1"/>
        </w:rPr>
      </w:pPr>
      <w:r>
        <w:tab/>
      </w:r>
      <w:r w:rsidR="00C37CBD" w:rsidRPr="00D41E7E">
        <w:t>Report prepared by:</w:t>
      </w:r>
      <w:r w:rsidR="00C37CBD" w:rsidRPr="00D41E7E">
        <w:tab/>
      </w:r>
      <w:r w:rsidRPr="00D41E7E">
        <w:t>Nigel Pollard Section</w:t>
      </w:r>
      <w:r>
        <w:t xml:space="preserve"> </w:t>
      </w:r>
      <w:r w:rsidRPr="00D41E7E">
        <w:t>Head</w:t>
      </w:r>
      <w:r w:rsidR="00BF43A7" w:rsidRPr="00D41E7E">
        <w:t xml:space="preserve"> (Financial Planning and Analysis)</w:t>
      </w:r>
      <w:r w:rsidR="00C37CBD" w:rsidRPr="007940B5">
        <w:rPr>
          <w:color w:val="4F81BD" w:themeColor="accent1"/>
        </w:rPr>
        <w:t xml:space="preserve"> </w:t>
      </w:r>
      <w:r w:rsidR="00C37CBD" w:rsidRPr="007940B5">
        <w:rPr>
          <w:color w:val="4F81BD" w:themeColor="accent1"/>
        </w:rPr>
        <w:fldChar w:fldCharType="begin"/>
      </w:r>
      <w:r w:rsidR="00C37CBD" w:rsidRPr="007940B5">
        <w:rPr>
          <w:color w:val="4F81BD" w:themeColor="accent1"/>
        </w:rPr>
        <w:instrText xml:space="preserve"> ASK   \* MERGEFORMAT </w:instrText>
      </w:r>
      <w:r w:rsidR="00C37CBD" w:rsidRPr="007940B5">
        <w:rPr>
          <w:color w:val="4F81BD" w:themeColor="accent1"/>
        </w:rPr>
        <w:fldChar w:fldCharType="end"/>
      </w:r>
    </w:p>
    <w:p w:rsidR="00C37CBD" w:rsidRPr="007940B5" w:rsidRDefault="00C37CBD" w:rsidP="001A7F09">
      <w:pPr>
        <w:rPr>
          <w:color w:val="4F81BD" w:themeColor="accent1"/>
        </w:rPr>
      </w:pPr>
      <w:r w:rsidRPr="007940B5">
        <w:rPr>
          <w:color w:val="4F81BD" w:themeColor="accent1"/>
        </w:rPr>
        <w:tab/>
      </w:r>
      <w:r w:rsidRPr="007940B5">
        <w:rPr>
          <w:color w:val="4F81BD" w:themeColor="accent1"/>
        </w:rPr>
        <w:fldChar w:fldCharType="begin"/>
      </w:r>
      <w:r w:rsidRPr="007940B5">
        <w:rPr>
          <w:color w:val="4F81BD" w:themeColor="accent1"/>
        </w:rPr>
        <w:instrText xml:space="preserve">  </w:instrText>
      </w:r>
      <w:r w:rsidRPr="007940B5">
        <w:rPr>
          <w:color w:val="4F81BD" w:themeColor="accent1"/>
        </w:rPr>
        <w:fldChar w:fldCharType="end"/>
      </w:r>
      <w:r w:rsidRPr="007940B5">
        <w:rPr>
          <w:color w:val="4F81BD" w:themeColor="accent1"/>
        </w:rPr>
        <w:tab/>
      </w:r>
    </w:p>
    <w:p w:rsidR="00C37CBD" w:rsidRPr="00D41E7E" w:rsidRDefault="00C37CBD" w:rsidP="00C37CBD">
      <w:pPr>
        <w:keepNext/>
        <w:ind w:left="1267" w:hanging="1267"/>
        <w:rPr>
          <w:b/>
        </w:rPr>
      </w:pPr>
      <w:r w:rsidRPr="007940B5">
        <w:rPr>
          <w:color w:val="4F81BD" w:themeColor="accent1"/>
        </w:rPr>
        <w:tab/>
      </w:r>
      <w:r w:rsidRPr="00D41E7E">
        <w:rPr>
          <w:b/>
        </w:rPr>
        <w:t>Background Papers</w:t>
      </w:r>
    </w:p>
    <w:p w:rsidR="00D41E7E" w:rsidRPr="00D41E7E" w:rsidRDefault="00D41E7E" w:rsidP="00D41E7E">
      <w:pPr>
        <w:ind w:left="1260" w:firstLine="16"/>
      </w:pPr>
      <w:r w:rsidRPr="00D41E7E">
        <w:t>Financial Planning report 23 January 2017</w:t>
      </w:r>
    </w:p>
    <w:p w:rsidR="00D41E7E" w:rsidRDefault="00D41E7E" w:rsidP="00D41E7E">
      <w:pPr>
        <w:ind w:left="1260" w:hanging="1260"/>
      </w:pPr>
      <w:r>
        <w:tab/>
      </w:r>
      <w:r w:rsidRPr="00D41E7E">
        <w:t>Liberal Democrat budget proposal and recommendations 21 February 2017</w:t>
      </w:r>
    </w:p>
    <w:p w:rsidR="00D41E7E" w:rsidRPr="00D41E7E" w:rsidRDefault="00D41E7E" w:rsidP="00D41E7E">
      <w:pPr>
        <w:ind w:left="1260" w:firstLine="16"/>
      </w:pPr>
      <w:r w:rsidRPr="00D41E7E">
        <w:t xml:space="preserve">2016/17 Budget Monitoring Period </w:t>
      </w:r>
      <w:r>
        <w:t>10</w:t>
      </w:r>
      <w:r w:rsidRPr="00D41E7E">
        <w:t xml:space="preserve"> (</w:t>
      </w:r>
      <w:r>
        <w:t>January</w:t>
      </w:r>
      <w:r w:rsidRPr="00D41E7E">
        <w:t>) report</w:t>
      </w:r>
    </w:p>
    <w:p w:rsidR="00385ADF" w:rsidRPr="007940B5" w:rsidRDefault="00C37CBD" w:rsidP="00C37CBD">
      <w:pPr>
        <w:ind w:left="1260" w:hanging="1260"/>
        <w:rPr>
          <w:b/>
          <w:i/>
          <w:color w:val="4F81BD" w:themeColor="accent1"/>
          <w:sz w:val="26"/>
        </w:rPr>
      </w:pPr>
      <w:r w:rsidRPr="007940B5">
        <w:rPr>
          <w:b/>
          <w:i/>
          <w:color w:val="4F81BD" w:themeColor="accent1"/>
          <w:sz w:val="26"/>
        </w:rPr>
        <w:tab/>
      </w:r>
    </w:p>
    <w:p w:rsidR="002B03E3" w:rsidRPr="007940B5" w:rsidRDefault="00385ADF" w:rsidP="00C37CBD">
      <w:pPr>
        <w:ind w:left="1260" w:hanging="1260"/>
        <w:rPr>
          <w:b/>
          <w:color w:val="4F81BD" w:themeColor="accent1"/>
        </w:rPr>
      </w:pPr>
      <w:r w:rsidRPr="007940B5">
        <w:rPr>
          <w:b/>
          <w:i/>
          <w:color w:val="4F81BD" w:themeColor="accent1"/>
          <w:sz w:val="26"/>
        </w:rPr>
        <w:tab/>
      </w:r>
      <w:r w:rsidR="00C37CBD" w:rsidRPr="00E7011C">
        <w:rPr>
          <w:b/>
        </w:rPr>
        <w:t xml:space="preserve">APPENDICES </w:t>
      </w:r>
    </w:p>
    <w:p w:rsidR="003E6AC9" w:rsidRPr="00471E11" w:rsidRDefault="002B03E3" w:rsidP="003E6AC9">
      <w:pPr>
        <w:tabs>
          <w:tab w:val="left" w:pos="2552"/>
        </w:tabs>
        <w:rPr>
          <w:rFonts w:cs="Arial"/>
          <w:szCs w:val="22"/>
        </w:rPr>
      </w:pPr>
      <w:r w:rsidRPr="007940B5">
        <w:rPr>
          <w:rFonts w:cs="Arial"/>
          <w:color w:val="4F81BD" w:themeColor="accent1"/>
          <w:szCs w:val="22"/>
        </w:rPr>
        <w:tab/>
      </w:r>
      <w:r w:rsidR="003E6AC9" w:rsidRPr="00471E11">
        <w:rPr>
          <w:rFonts w:cs="Arial"/>
          <w:szCs w:val="22"/>
        </w:rPr>
        <w:t>Appendix 1</w:t>
      </w:r>
      <w:r w:rsidR="003E6AC9" w:rsidRPr="00471E11">
        <w:rPr>
          <w:rFonts w:cs="Arial"/>
          <w:szCs w:val="22"/>
        </w:rPr>
        <w:tab/>
      </w:r>
      <w:r w:rsidR="00DF6298" w:rsidRPr="00471E11">
        <w:rPr>
          <w:rFonts w:cs="Arial"/>
          <w:szCs w:val="22"/>
        </w:rPr>
        <w:t xml:space="preserve">Significant Service Variances - Outturn to Latest Budget </w:t>
      </w:r>
      <w:r w:rsidR="0001383E" w:rsidRPr="00471E11">
        <w:rPr>
          <w:rFonts w:cs="Arial"/>
          <w:szCs w:val="22"/>
        </w:rPr>
        <w:t>2016/17</w:t>
      </w:r>
    </w:p>
    <w:p w:rsidR="002B03E3" w:rsidRPr="00471E11" w:rsidRDefault="003E6AC9" w:rsidP="001A7F09">
      <w:pPr>
        <w:tabs>
          <w:tab w:val="left" w:pos="2552"/>
        </w:tabs>
        <w:rPr>
          <w:rFonts w:cs="Arial"/>
          <w:szCs w:val="22"/>
        </w:rPr>
      </w:pPr>
      <w:r w:rsidRPr="00471E11">
        <w:rPr>
          <w:rFonts w:cs="Arial"/>
          <w:szCs w:val="22"/>
        </w:rPr>
        <w:tab/>
      </w:r>
      <w:r w:rsidR="002B03E3" w:rsidRPr="00471E11">
        <w:rPr>
          <w:rFonts w:cs="Arial"/>
          <w:szCs w:val="22"/>
        </w:rPr>
        <w:t xml:space="preserve">Appendix </w:t>
      </w:r>
      <w:r w:rsidR="001A7F09" w:rsidRPr="00471E11">
        <w:rPr>
          <w:rFonts w:cs="Arial"/>
          <w:szCs w:val="22"/>
        </w:rPr>
        <w:t>2</w:t>
      </w:r>
      <w:r w:rsidR="002B03E3" w:rsidRPr="00471E11">
        <w:rPr>
          <w:rFonts w:cs="Arial"/>
          <w:szCs w:val="22"/>
        </w:rPr>
        <w:t xml:space="preserve"> </w:t>
      </w:r>
      <w:r w:rsidR="0095619D" w:rsidRPr="00471E11">
        <w:rPr>
          <w:rFonts w:cs="Arial"/>
          <w:szCs w:val="22"/>
        </w:rPr>
        <w:t xml:space="preserve"> </w:t>
      </w:r>
      <w:r w:rsidR="002B03E3" w:rsidRPr="00471E11">
        <w:rPr>
          <w:rFonts w:cs="Arial"/>
          <w:szCs w:val="22"/>
        </w:rPr>
        <w:t xml:space="preserve"> Carry </w:t>
      </w:r>
      <w:r w:rsidR="00614D62" w:rsidRPr="00471E11">
        <w:rPr>
          <w:rFonts w:cs="Arial"/>
          <w:szCs w:val="22"/>
        </w:rPr>
        <w:t>forward</w:t>
      </w:r>
      <w:r w:rsidR="002B03E3" w:rsidRPr="00471E11">
        <w:rPr>
          <w:rFonts w:cs="Arial"/>
          <w:szCs w:val="22"/>
        </w:rPr>
        <w:t xml:space="preserve"> requests into </w:t>
      </w:r>
      <w:r w:rsidR="0001383E" w:rsidRPr="00471E11">
        <w:rPr>
          <w:rFonts w:cs="Arial"/>
          <w:szCs w:val="22"/>
        </w:rPr>
        <w:t>2017/18</w:t>
      </w:r>
    </w:p>
    <w:p w:rsidR="008A2C7B" w:rsidRDefault="00471E11" w:rsidP="001A7F09">
      <w:pPr>
        <w:tabs>
          <w:tab w:val="left" w:pos="2552"/>
        </w:tabs>
        <w:rPr>
          <w:rFonts w:cs="Arial"/>
          <w:szCs w:val="22"/>
        </w:rPr>
      </w:pPr>
      <w:r w:rsidRPr="00471E11">
        <w:rPr>
          <w:rFonts w:cs="Arial"/>
          <w:szCs w:val="22"/>
        </w:rPr>
        <w:tab/>
        <w:t xml:space="preserve">Appendix 3   </w:t>
      </w:r>
      <w:r w:rsidR="008A2C7B" w:rsidRPr="00471E11">
        <w:rPr>
          <w:rFonts w:cs="Arial"/>
          <w:szCs w:val="22"/>
        </w:rPr>
        <w:t>Capital Programme 2016/17-2019/20</w:t>
      </w:r>
    </w:p>
    <w:p w:rsidR="002B03E3" w:rsidRPr="00471E11" w:rsidRDefault="00471E11" w:rsidP="008A2C7B">
      <w:pPr>
        <w:tabs>
          <w:tab w:val="left" w:pos="2552"/>
        </w:tabs>
        <w:rPr>
          <w:rFonts w:cs="Arial"/>
          <w:szCs w:val="22"/>
        </w:rPr>
      </w:pPr>
      <w:r w:rsidRPr="00471E11">
        <w:rPr>
          <w:rFonts w:cs="Arial"/>
          <w:szCs w:val="22"/>
        </w:rPr>
        <w:t xml:space="preserve"> </w:t>
      </w:r>
      <w:r w:rsidR="002B03E3" w:rsidRPr="00471E11">
        <w:rPr>
          <w:rFonts w:cs="Arial"/>
          <w:szCs w:val="22"/>
        </w:rPr>
        <w:tab/>
        <w:t xml:space="preserve">Appendix </w:t>
      </w:r>
      <w:r w:rsidRPr="00471E11">
        <w:rPr>
          <w:rFonts w:cs="Arial"/>
          <w:szCs w:val="22"/>
        </w:rPr>
        <w:t>4</w:t>
      </w:r>
      <w:r w:rsidR="002B03E3" w:rsidRPr="00471E11">
        <w:rPr>
          <w:rFonts w:cs="Arial"/>
          <w:szCs w:val="22"/>
        </w:rPr>
        <w:t xml:space="preserve">   </w:t>
      </w:r>
      <w:r w:rsidR="008A2C7B" w:rsidRPr="00471E11">
        <w:rPr>
          <w:rFonts w:cs="Arial"/>
          <w:szCs w:val="22"/>
        </w:rPr>
        <w:t>List of capital schemes to be rephased to 2017/18</w:t>
      </w:r>
    </w:p>
    <w:p w:rsidR="002C7C45" w:rsidRDefault="00C70449" w:rsidP="00F057AE">
      <w:pPr>
        <w:jc w:val="left"/>
        <w:rPr>
          <w:rFonts w:cs="Arial"/>
          <w:color w:val="4F81BD" w:themeColor="accent1"/>
          <w:szCs w:val="22"/>
        </w:rPr>
      </w:pPr>
      <w:r w:rsidRPr="00471E11">
        <w:rPr>
          <w:rFonts w:cs="Arial"/>
          <w:szCs w:val="22"/>
        </w:rPr>
        <w:tab/>
        <w:t xml:space="preserve">Appendix </w:t>
      </w:r>
      <w:r w:rsidR="00471E11" w:rsidRPr="00471E11">
        <w:rPr>
          <w:rFonts w:cs="Arial"/>
          <w:szCs w:val="22"/>
        </w:rPr>
        <w:t>5</w:t>
      </w:r>
      <w:r w:rsidR="001A7F09" w:rsidRPr="00471E11">
        <w:rPr>
          <w:rFonts w:cs="Arial"/>
          <w:szCs w:val="22"/>
        </w:rPr>
        <w:t xml:space="preserve"> </w:t>
      </w:r>
      <w:r w:rsidR="0095619D" w:rsidRPr="00471E11">
        <w:rPr>
          <w:rFonts w:cs="Arial"/>
          <w:szCs w:val="22"/>
        </w:rPr>
        <w:t xml:space="preserve"> </w:t>
      </w:r>
      <w:r w:rsidR="00F057AE" w:rsidRPr="00471E11">
        <w:rPr>
          <w:rFonts w:cs="Arial"/>
          <w:szCs w:val="22"/>
        </w:rPr>
        <w:t xml:space="preserve"> </w:t>
      </w:r>
      <w:r w:rsidR="0095619D" w:rsidRPr="00471E11">
        <w:rPr>
          <w:rFonts w:cs="Arial"/>
          <w:szCs w:val="22"/>
        </w:rPr>
        <w:t>Capital Funding</w:t>
      </w:r>
      <w:r w:rsidR="001E0A07" w:rsidRPr="00471E11">
        <w:rPr>
          <w:rFonts w:cs="Arial"/>
          <w:szCs w:val="22"/>
        </w:rPr>
        <w:t xml:space="preserve"> </w:t>
      </w:r>
      <w:r w:rsidR="00F057AE" w:rsidRPr="00471E11">
        <w:rPr>
          <w:rFonts w:cs="Arial"/>
          <w:szCs w:val="22"/>
        </w:rPr>
        <w:t>2016/17 – 2019/20</w:t>
      </w:r>
    </w:p>
    <w:p w:rsidR="002C7C45" w:rsidRDefault="002C7C45" w:rsidP="00F057AE">
      <w:pPr>
        <w:jc w:val="left"/>
        <w:rPr>
          <w:rFonts w:cs="Arial"/>
          <w:color w:val="4F81BD" w:themeColor="accent1"/>
          <w:szCs w:val="22"/>
        </w:rPr>
        <w:sectPr w:rsidR="002C7C45" w:rsidSect="009B6ED5">
          <w:pgSz w:w="11909" w:h="16834" w:code="9"/>
          <w:pgMar w:top="57" w:right="1077" w:bottom="426" w:left="1077" w:header="709" w:footer="709" w:gutter="0"/>
          <w:cols w:space="720"/>
          <w:docGrid w:linePitch="299"/>
        </w:sectPr>
      </w:pPr>
    </w:p>
    <w:p w:rsidR="00385ADF" w:rsidRDefault="00385ADF" w:rsidP="00385ADF">
      <w:pPr>
        <w:keepNext/>
        <w:tabs>
          <w:tab w:val="clear" w:pos="1260"/>
          <w:tab w:val="left" w:pos="1701"/>
        </w:tabs>
        <w:ind w:left="1259" w:firstLine="442"/>
        <w:jc w:val="right"/>
        <w:rPr>
          <w:b/>
          <w:sz w:val="24"/>
          <w:szCs w:val="24"/>
        </w:rPr>
      </w:pPr>
      <w:r w:rsidRPr="00822280">
        <w:rPr>
          <w:b/>
          <w:sz w:val="24"/>
          <w:szCs w:val="24"/>
        </w:rPr>
        <w:lastRenderedPageBreak/>
        <w:t xml:space="preserve">APPENDIX </w:t>
      </w:r>
      <w:r w:rsidR="00BF4AF2" w:rsidRPr="00822280">
        <w:rPr>
          <w:b/>
          <w:sz w:val="24"/>
          <w:szCs w:val="24"/>
        </w:rPr>
        <w:t>1</w:t>
      </w:r>
    </w:p>
    <w:p w:rsidR="00180C7E" w:rsidRDefault="00180C7E" w:rsidP="00180C7E">
      <w:pPr>
        <w:keepNext/>
        <w:tabs>
          <w:tab w:val="clear" w:pos="1260"/>
          <w:tab w:val="left" w:pos="1701"/>
        </w:tabs>
        <w:jc w:val="left"/>
        <w:rPr>
          <w:b/>
          <w:sz w:val="24"/>
          <w:szCs w:val="24"/>
          <w:u w:val="single"/>
        </w:rPr>
      </w:pPr>
      <w:r w:rsidRPr="00180C7E">
        <w:rPr>
          <w:b/>
          <w:sz w:val="24"/>
          <w:szCs w:val="24"/>
          <w:u w:val="single"/>
        </w:rPr>
        <w:t>Variances by Committee – Outturn to Latest Budget 2016/17</w:t>
      </w:r>
    </w:p>
    <w:p w:rsidR="00203B89" w:rsidRPr="00180C7E" w:rsidRDefault="00203B89" w:rsidP="00180C7E">
      <w:pPr>
        <w:keepNext/>
        <w:tabs>
          <w:tab w:val="clear" w:pos="1260"/>
          <w:tab w:val="left" w:pos="1701"/>
        </w:tabs>
        <w:jc w:val="left"/>
        <w:rPr>
          <w:b/>
          <w:sz w:val="24"/>
          <w:szCs w:val="24"/>
          <w:u w:val="single"/>
        </w:rPr>
      </w:pPr>
    </w:p>
    <w:p w:rsidR="00822280" w:rsidRDefault="00E05D0D" w:rsidP="002B31E8">
      <w:pPr>
        <w:keepNext/>
        <w:tabs>
          <w:tab w:val="clear" w:pos="1260"/>
          <w:tab w:val="left" w:pos="1701"/>
        </w:tabs>
        <w:ind w:left="1259" w:right="-310" w:hanging="1259"/>
        <w:jc w:val="left"/>
        <w:rPr>
          <w:color w:val="4F81BD" w:themeColor="accent1"/>
        </w:rPr>
      </w:pPr>
      <w:r w:rsidRPr="00E05D0D">
        <w:rPr>
          <w:noProof/>
        </w:rPr>
        <w:drawing>
          <wp:inline distT="0" distB="0" distL="0" distR="0" wp14:anchorId="032CB25E" wp14:editId="64C372F3">
            <wp:extent cx="6194425" cy="858585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4425" cy="8585856"/>
                    </a:xfrm>
                    <a:prstGeom prst="rect">
                      <a:avLst/>
                    </a:prstGeom>
                    <a:noFill/>
                    <a:ln>
                      <a:noFill/>
                    </a:ln>
                  </pic:spPr>
                </pic:pic>
              </a:graphicData>
            </a:graphic>
          </wp:inline>
        </w:drawing>
      </w:r>
    </w:p>
    <w:p w:rsidR="00822280" w:rsidRDefault="00822280" w:rsidP="002B31E8">
      <w:pPr>
        <w:keepNext/>
        <w:tabs>
          <w:tab w:val="clear" w:pos="1260"/>
          <w:tab w:val="left" w:pos="1701"/>
        </w:tabs>
        <w:ind w:left="1259" w:right="-310" w:hanging="1259"/>
        <w:jc w:val="left"/>
        <w:rPr>
          <w:color w:val="4F81BD" w:themeColor="accent1"/>
        </w:rPr>
      </w:pPr>
    </w:p>
    <w:p w:rsidR="007F000D" w:rsidRDefault="009257E6" w:rsidP="002B31E8">
      <w:pPr>
        <w:keepNext/>
        <w:tabs>
          <w:tab w:val="clear" w:pos="1260"/>
          <w:tab w:val="left" w:pos="1701"/>
        </w:tabs>
        <w:ind w:left="1259" w:right="-310" w:hanging="1259"/>
        <w:jc w:val="left"/>
      </w:pPr>
      <w:r w:rsidRPr="009257E6">
        <w:rPr>
          <w:noProof/>
        </w:rPr>
        <w:lastRenderedPageBreak/>
        <w:drawing>
          <wp:inline distT="0" distB="0" distL="0" distR="0" wp14:anchorId="6F3A651E" wp14:editId="2E4632E0">
            <wp:extent cx="6194425" cy="8154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4425" cy="8154655"/>
                    </a:xfrm>
                    <a:prstGeom prst="rect">
                      <a:avLst/>
                    </a:prstGeom>
                    <a:noFill/>
                    <a:ln>
                      <a:noFill/>
                    </a:ln>
                  </pic:spPr>
                </pic:pic>
              </a:graphicData>
            </a:graphic>
          </wp:inline>
        </w:drawing>
      </w:r>
    </w:p>
    <w:p w:rsidR="007F000D" w:rsidRDefault="007F000D" w:rsidP="002B31E8">
      <w:pPr>
        <w:keepNext/>
        <w:tabs>
          <w:tab w:val="clear" w:pos="1260"/>
          <w:tab w:val="left" w:pos="1701"/>
        </w:tabs>
        <w:ind w:left="1259" w:right="-310" w:hanging="1259"/>
        <w:jc w:val="left"/>
      </w:pPr>
    </w:p>
    <w:p w:rsidR="007F000D" w:rsidRDefault="007F000D" w:rsidP="002B31E8">
      <w:pPr>
        <w:keepNext/>
        <w:tabs>
          <w:tab w:val="clear" w:pos="1260"/>
          <w:tab w:val="left" w:pos="1701"/>
        </w:tabs>
        <w:ind w:left="1259" w:right="-310" w:hanging="1259"/>
        <w:jc w:val="left"/>
      </w:pPr>
    </w:p>
    <w:p w:rsidR="007F000D" w:rsidRDefault="007F000D" w:rsidP="002B31E8">
      <w:pPr>
        <w:keepNext/>
        <w:tabs>
          <w:tab w:val="clear" w:pos="1260"/>
          <w:tab w:val="left" w:pos="1701"/>
        </w:tabs>
        <w:ind w:left="1259" w:right="-310" w:hanging="1259"/>
        <w:jc w:val="left"/>
        <w:rPr>
          <w:color w:val="4F81BD" w:themeColor="accent1"/>
        </w:rPr>
      </w:pPr>
    </w:p>
    <w:p w:rsidR="00822280" w:rsidRDefault="00822280" w:rsidP="002B31E8">
      <w:pPr>
        <w:keepNext/>
        <w:tabs>
          <w:tab w:val="clear" w:pos="1260"/>
          <w:tab w:val="left" w:pos="1701"/>
        </w:tabs>
        <w:ind w:left="1259" w:right="-310" w:hanging="1259"/>
        <w:jc w:val="left"/>
        <w:rPr>
          <w:color w:val="4F81BD" w:themeColor="accent1"/>
        </w:rPr>
      </w:pPr>
    </w:p>
    <w:p w:rsidR="00822280" w:rsidRDefault="00822280" w:rsidP="002B31E8">
      <w:pPr>
        <w:keepNext/>
        <w:tabs>
          <w:tab w:val="clear" w:pos="1260"/>
          <w:tab w:val="left" w:pos="1701"/>
        </w:tabs>
        <w:ind w:left="1259" w:right="-310" w:hanging="1259"/>
        <w:jc w:val="left"/>
        <w:rPr>
          <w:color w:val="4F81BD" w:themeColor="accent1"/>
        </w:rPr>
      </w:pPr>
    </w:p>
    <w:p w:rsidR="00822280" w:rsidRDefault="00822280" w:rsidP="002B31E8">
      <w:pPr>
        <w:keepNext/>
        <w:tabs>
          <w:tab w:val="clear" w:pos="1260"/>
          <w:tab w:val="left" w:pos="1701"/>
        </w:tabs>
        <w:ind w:left="1259" w:right="-310" w:hanging="1259"/>
        <w:jc w:val="left"/>
        <w:rPr>
          <w:color w:val="4F81BD" w:themeColor="accent1"/>
        </w:rPr>
      </w:pPr>
    </w:p>
    <w:p w:rsidR="00822280" w:rsidRDefault="00822280" w:rsidP="002B31E8">
      <w:pPr>
        <w:keepNext/>
        <w:tabs>
          <w:tab w:val="clear" w:pos="1260"/>
          <w:tab w:val="left" w:pos="1701"/>
        </w:tabs>
        <w:ind w:left="1259" w:right="-310" w:hanging="1259"/>
        <w:jc w:val="left"/>
        <w:rPr>
          <w:color w:val="4F81BD" w:themeColor="accent1"/>
        </w:rPr>
      </w:pPr>
    </w:p>
    <w:p w:rsidR="00822280" w:rsidRDefault="009257E6" w:rsidP="002B31E8">
      <w:pPr>
        <w:keepNext/>
        <w:tabs>
          <w:tab w:val="clear" w:pos="1260"/>
          <w:tab w:val="left" w:pos="1701"/>
        </w:tabs>
        <w:ind w:left="1259" w:right="-310" w:hanging="1259"/>
        <w:jc w:val="left"/>
        <w:rPr>
          <w:color w:val="4F81BD" w:themeColor="accent1"/>
        </w:rPr>
      </w:pPr>
      <w:r w:rsidRPr="009257E6">
        <w:rPr>
          <w:noProof/>
        </w:rPr>
        <w:lastRenderedPageBreak/>
        <w:drawing>
          <wp:inline distT="0" distB="0" distL="0" distR="0" wp14:anchorId="05628D2A" wp14:editId="30CE4419">
            <wp:extent cx="6194425" cy="291333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4425" cy="2913333"/>
                    </a:xfrm>
                    <a:prstGeom prst="rect">
                      <a:avLst/>
                    </a:prstGeom>
                    <a:noFill/>
                    <a:ln>
                      <a:noFill/>
                    </a:ln>
                  </pic:spPr>
                </pic:pic>
              </a:graphicData>
            </a:graphic>
          </wp:inline>
        </w:drawing>
      </w:r>
    </w:p>
    <w:p w:rsidR="00822280" w:rsidRDefault="00822280" w:rsidP="002B31E8">
      <w:pPr>
        <w:keepNext/>
        <w:tabs>
          <w:tab w:val="clear" w:pos="1260"/>
          <w:tab w:val="left" w:pos="1701"/>
        </w:tabs>
        <w:ind w:left="1259" w:right="-310" w:hanging="1259"/>
        <w:jc w:val="left"/>
        <w:rPr>
          <w:color w:val="4F81BD" w:themeColor="accent1"/>
        </w:rPr>
      </w:pPr>
    </w:p>
    <w:p w:rsidR="00822280" w:rsidRDefault="00822280" w:rsidP="002B31E8">
      <w:pPr>
        <w:keepNext/>
        <w:tabs>
          <w:tab w:val="clear" w:pos="1260"/>
          <w:tab w:val="left" w:pos="1701"/>
        </w:tabs>
        <w:ind w:left="1259" w:right="-310" w:hanging="1259"/>
        <w:jc w:val="left"/>
        <w:rPr>
          <w:color w:val="4F81BD" w:themeColor="accent1"/>
        </w:rPr>
      </w:pPr>
    </w:p>
    <w:p w:rsidR="00822280" w:rsidRDefault="00822280" w:rsidP="002B31E8">
      <w:pPr>
        <w:keepNext/>
        <w:tabs>
          <w:tab w:val="clear" w:pos="1260"/>
          <w:tab w:val="left" w:pos="1701"/>
        </w:tabs>
        <w:ind w:left="1259" w:right="-310" w:hanging="1259"/>
        <w:jc w:val="left"/>
        <w:rPr>
          <w:color w:val="4F81BD" w:themeColor="accent1"/>
        </w:rPr>
      </w:pPr>
    </w:p>
    <w:p w:rsidR="00822280" w:rsidRDefault="00822280" w:rsidP="002B31E8">
      <w:pPr>
        <w:keepNext/>
        <w:tabs>
          <w:tab w:val="clear" w:pos="1260"/>
          <w:tab w:val="left" w:pos="1701"/>
        </w:tabs>
        <w:ind w:left="1259" w:right="-310" w:hanging="1259"/>
        <w:jc w:val="left"/>
        <w:rPr>
          <w:color w:val="4F81BD" w:themeColor="accent1"/>
        </w:rPr>
      </w:pPr>
    </w:p>
    <w:p w:rsidR="00822280" w:rsidRDefault="00822280" w:rsidP="002B31E8">
      <w:pPr>
        <w:keepNext/>
        <w:tabs>
          <w:tab w:val="clear" w:pos="1260"/>
          <w:tab w:val="left" w:pos="1701"/>
        </w:tabs>
        <w:ind w:left="1259" w:right="-310" w:hanging="1259"/>
        <w:jc w:val="left"/>
        <w:rPr>
          <w:color w:val="4F81BD" w:themeColor="accent1"/>
        </w:rPr>
      </w:pPr>
    </w:p>
    <w:p w:rsidR="00822280" w:rsidRDefault="00822280" w:rsidP="002B31E8">
      <w:pPr>
        <w:keepNext/>
        <w:tabs>
          <w:tab w:val="clear" w:pos="1260"/>
          <w:tab w:val="left" w:pos="1701"/>
        </w:tabs>
        <w:ind w:left="1259" w:right="-310" w:hanging="1259"/>
        <w:jc w:val="left"/>
        <w:rPr>
          <w:color w:val="4F81BD" w:themeColor="accent1"/>
        </w:rPr>
      </w:pPr>
    </w:p>
    <w:p w:rsidR="00822280" w:rsidRDefault="00822280" w:rsidP="002B31E8">
      <w:pPr>
        <w:keepNext/>
        <w:tabs>
          <w:tab w:val="clear" w:pos="1260"/>
          <w:tab w:val="left" w:pos="1701"/>
        </w:tabs>
        <w:ind w:left="1259" w:right="-310" w:hanging="1259"/>
        <w:jc w:val="left"/>
        <w:rPr>
          <w:color w:val="4F81BD" w:themeColor="accent1"/>
        </w:rPr>
      </w:pPr>
    </w:p>
    <w:p w:rsidR="00822280" w:rsidRDefault="00822280" w:rsidP="002B31E8">
      <w:pPr>
        <w:keepNext/>
        <w:tabs>
          <w:tab w:val="clear" w:pos="1260"/>
          <w:tab w:val="left" w:pos="1701"/>
        </w:tabs>
        <w:ind w:left="1259" w:right="-310" w:hanging="1259"/>
        <w:jc w:val="left"/>
        <w:rPr>
          <w:color w:val="4F81BD" w:themeColor="accent1"/>
        </w:rPr>
      </w:pPr>
    </w:p>
    <w:p w:rsidR="00822280" w:rsidRDefault="00822280" w:rsidP="002B31E8">
      <w:pPr>
        <w:keepNext/>
        <w:tabs>
          <w:tab w:val="clear" w:pos="1260"/>
          <w:tab w:val="left" w:pos="1701"/>
        </w:tabs>
        <w:ind w:left="1259" w:right="-310" w:hanging="1259"/>
        <w:jc w:val="left"/>
        <w:rPr>
          <w:color w:val="4F81BD" w:themeColor="accent1"/>
        </w:rPr>
        <w:sectPr w:rsidR="00822280" w:rsidSect="00F057AE">
          <w:pgSz w:w="11909" w:h="16834" w:code="9"/>
          <w:pgMar w:top="624" w:right="1077" w:bottom="1418" w:left="1077" w:header="709" w:footer="709" w:gutter="0"/>
          <w:cols w:space="720"/>
          <w:docGrid w:linePitch="299"/>
        </w:sectPr>
      </w:pPr>
    </w:p>
    <w:p w:rsidR="00822280" w:rsidRPr="002A55C4" w:rsidRDefault="00822280" w:rsidP="00373A20">
      <w:pPr>
        <w:keepNext/>
        <w:tabs>
          <w:tab w:val="clear" w:pos="1260"/>
          <w:tab w:val="left" w:pos="1701"/>
        </w:tabs>
        <w:ind w:right="50"/>
        <w:jc w:val="right"/>
      </w:pPr>
      <w:r w:rsidRPr="002A55C4">
        <w:rPr>
          <w:rFonts w:cs="Arial"/>
          <w:b/>
          <w:bCs/>
          <w:sz w:val="24"/>
          <w:szCs w:val="24"/>
        </w:rPr>
        <w:lastRenderedPageBreak/>
        <w:t>APPENDIX 2</w:t>
      </w:r>
    </w:p>
    <w:p w:rsidR="00822280" w:rsidRPr="00180C7E" w:rsidRDefault="00180C7E" w:rsidP="002B31E8">
      <w:pPr>
        <w:keepNext/>
        <w:tabs>
          <w:tab w:val="clear" w:pos="1260"/>
          <w:tab w:val="left" w:pos="1701"/>
        </w:tabs>
        <w:ind w:left="1259" w:right="-310" w:hanging="1259"/>
        <w:jc w:val="left"/>
        <w:rPr>
          <w:b/>
          <w:u w:val="single"/>
        </w:rPr>
      </w:pPr>
      <w:r w:rsidRPr="00180C7E">
        <w:rPr>
          <w:b/>
          <w:u w:val="single"/>
        </w:rPr>
        <w:t>Carry Forward Requests – Underspends in 2016/17</w:t>
      </w:r>
    </w:p>
    <w:p w:rsidR="00822280" w:rsidRDefault="00822280" w:rsidP="002B31E8">
      <w:pPr>
        <w:keepNext/>
        <w:tabs>
          <w:tab w:val="clear" w:pos="1260"/>
          <w:tab w:val="left" w:pos="1701"/>
        </w:tabs>
        <w:ind w:left="1259" w:right="-310" w:hanging="1259"/>
        <w:jc w:val="left"/>
        <w:rPr>
          <w:noProof/>
        </w:rPr>
      </w:pPr>
    </w:p>
    <w:p w:rsidR="00180C7E" w:rsidRDefault="00180C7E" w:rsidP="002B31E8">
      <w:pPr>
        <w:keepNext/>
        <w:tabs>
          <w:tab w:val="clear" w:pos="1260"/>
          <w:tab w:val="left" w:pos="1701"/>
        </w:tabs>
        <w:ind w:left="1259" w:right="-310" w:hanging="1259"/>
        <w:jc w:val="left"/>
        <w:rPr>
          <w:noProof/>
        </w:rPr>
      </w:pPr>
    </w:p>
    <w:p w:rsidR="00180C7E" w:rsidRDefault="009257E6" w:rsidP="002B31E8">
      <w:pPr>
        <w:keepNext/>
        <w:tabs>
          <w:tab w:val="clear" w:pos="1260"/>
          <w:tab w:val="left" w:pos="1701"/>
        </w:tabs>
        <w:ind w:left="1259" w:right="-310" w:hanging="1259"/>
        <w:jc w:val="left"/>
        <w:rPr>
          <w:color w:val="4F81BD" w:themeColor="accent1"/>
        </w:rPr>
        <w:sectPr w:rsidR="00180C7E" w:rsidSect="00822280">
          <w:pgSz w:w="16834" w:h="11909" w:orient="landscape" w:code="9"/>
          <w:pgMar w:top="1077" w:right="624" w:bottom="1077" w:left="1418" w:header="709" w:footer="709" w:gutter="0"/>
          <w:cols w:space="720"/>
          <w:docGrid w:linePitch="299"/>
        </w:sectPr>
      </w:pPr>
      <w:r w:rsidRPr="009257E6">
        <w:rPr>
          <w:noProof/>
        </w:rPr>
        <w:drawing>
          <wp:inline distT="0" distB="0" distL="0" distR="0">
            <wp:extent cx="8277225" cy="531558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77225" cy="5315585"/>
                    </a:xfrm>
                    <a:prstGeom prst="rect">
                      <a:avLst/>
                    </a:prstGeom>
                    <a:noFill/>
                    <a:ln>
                      <a:noFill/>
                    </a:ln>
                  </pic:spPr>
                </pic:pic>
              </a:graphicData>
            </a:graphic>
          </wp:inline>
        </w:drawing>
      </w:r>
    </w:p>
    <w:p w:rsidR="00735929" w:rsidRPr="002A55C4" w:rsidRDefault="00E6242E" w:rsidP="00E6242E">
      <w:pPr>
        <w:keepNext/>
        <w:tabs>
          <w:tab w:val="clear" w:pos="1260"/>
          <w:tab w:val="left" w:pos="1276"/>
        </w:tabs>
        <w:ind w:left="1259" w:hanging="1259"/>
        <w:jc w:val="right"/>
        <w:rPr>
          <w:rFonts w:cs="Arial"/>
          <w:b/>
          <w:bCs/>
          <w:sz w:val="24"/>
          <w:szCs w:val="24"/>
        </w:rPr>
      </w:pPr>
      <w:r w:rsidRPr="002A55C4">
        <w:rPr>
          <w:rFonts w:cs="Arial"/>
          <w:b/>
          <w:bCs/>
          <w:sz w:val="24"/>
          <w:szCs w:val="24"/>
        </w:rPr>
        <w:lastRenderedPageBreak/>
        <w:t xml:space="preserve">APPENDIX </w:t>
      </w:r>
      <w:r w:rsidR="00822280" w:rsidRPr="002A55C4">
        <w:rPr>
          <w:rFonts w:cs="Arial"/>
          <w:b/>
          <w:bCs/>
          <w:sz w:val="24"/>
          <w:szCs w:val="24"/>
        </w:rPr>
        <w:t>3</w:t>
      </w:r>
    </w:p>
    <w:p w:rsidR="002E0C16" w:rsidRPr="00DE6153" w:rsidRDefault="002E0C16" w:rsidP="002E0C16">
      <w:pPr>
        <w:keepNext/>
        <w:tabs>
          <w:tab w:val="clear" w:pos="1260"/>
          <w:tab w:val="left" w:pos="1276"/>
        </w:tabs>
        <w:ind w:left="1259" w:hanging="1259"/>
        <w:jc w:val="left"/>
        <w:rPr>
          <w:rFonts w:cs="Arial"/>
          <w:b/>
          <w:bCs/>
          <w:sz w:val="24"/>
          <w:szCs w:val="24"/>
          <w:u w:val="single"/>
        </w:rPr>
      </w:pPr>
      <w:r w:rsidRPr="00DE6153">
        <w:rPr>
          <w:rFonts w:cs="Arial"/>
          <w:b/>
          <w:bCs/>
          <w:sz w:val="24"/>
          <w:szCs w:val="24"/>
          <w:u w:val="single"/>
        </w:rPr>
        <w:t xml:space="preserve">Capital Programme </w:t>
      </w:r>
      <w:r w:rsidR="00DE6153">
        <w:rPr>
          <w:rFonts w:cs="Arial"/>
          <w:b/>
          <w:bCs/>
          <w:sz w:val="24"/>
          <w:szCs w:val="24"/>
          <w:u w:val="single"/>
        </w:rPr>
        <w:t>2016/17</w:t>
      </w:r>
      <w:r w:rsidRPr="00DE6153">
        <w:rPr>
          <w:rFonts w:cs="Arial"/>
          <w:b/>
          <w:bCs/>
          <w:sz w:val="24"/>
          <w:szCs w:val="24"/>
          <w:u w:val="single"/>
        </w:rPr>
        <w:t xml:space="preserve">- </w:t>
      </w:r>
      <w:r w:rsidR="00DE6153">
        <w:rPr>
          <w:rFonts w:cs="Arial"/>
          <w:b/>
          <w:bCs/>
          <w:sz w:val="24"/>
          <w:szCs w:val="24"/>
          <w:u w:val="single"/>
        </w:rPr>
        <w:t>2019/20</w:t>
      </w:r>
    </w:p>
    <w:p w:rsidR="003C1994" w:rsidRPr="007940B5" w:rsidRDefault="003C1994" w:rsidP="00E6242E">
      <w:pPr>
        <w:keepNext/>
        <w:tabs>
          <w:tab w:val="clear" w:pos="1260"/>
          <w:tab w:val="left" w:pos="1276"/>
        </w:tabs>
        <w:ind w:left="1259" w:hanging="1259"/>
        <w:jc w:val="right"/>
        <w:rPr>
          <w:rFonts w:cs="Arial"/>
          <w:b/>
          <w:bCs/>
          <w:color w:val="4F81BD" w:themeColor="accent1"/>
          <w:sz w:val="24"/>
          <w:szCs w:val="24"/>
        </w:rPr>
      </w:pPr>
    </w:p>
    <w:p w:rsidR="00E6242E" w:rsidRPr="007940B5" w:rsidRDefault="009D4BCB" w:rsidP="00E6242E">
      <w:pPr>
        <w:keepNext/>
        <w:tabs>
          <w:tab w:val="clear" w:pos="1260"/>
          <w:tab w:val="left" w:pos="1276"/>
        </w:tabs>
        <w:ind w:left="1259" w:hanging="1259"/>
        <w:jc w:val="right"/>
        <w:rPr>
          <w:rFonts w:cs="Arial"/>
          <w:b/>
          <w:bCs/>
          <w:color w:val="4F81BD" w:themeColor="accent1"/>
          <w:sz w:val="24"/>
          <w:szCs w:val="24"/>
        </w:rPr>
      </w:pPr>
      <w:r w:rsidRPr="009D4BCB">
        <w:rPr>
          <w:noProof/>
        </w:rPr>
        <w:drawing>
          <wp:inline distT="0" distB="0" distL="0" distR="0" wp14:anchorId="6EEB72AE" wp14:editId="599B6BE1">
            <wp:extent cx="9381483" cy="53435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92920" cy="5350039"/>
                    </a:xfrm>
                    <a:prstGeom prst="rect">
                      <a:avLst/>
                    </a:prstGeom>
                    <a:noFill/>
                    <a:ln>
                      <a:noFill/>
                    </a:ln>
                  </pic:spPr>
                </pic:pic>
              </a:graphicData>
            </a:graphic>
          </wp:inline>
        </w:drawing>
      </w:r>
    </w:p>
    <w:p w:rsidR="00E6242E" w:rsidRPr="007940B5" w:rsidRDefault="00E6242E" w:rsidP="00E6242E">
      <w:pPr>
        <w:keepNext/>
        <w:tabs>
          <w:tab w:val="clear" w:pos="1260"/>
          <w:tab w:val="left" w:pos="1276"/>
        </w:tabs>
        <w:ind w:left="1259" w:hanging="1259"/>
        <w:jc w:val="right"/>
        <w:rPr>
          <w:rFonts w:cs="Arial"/>
          <w:b/>
          <w:bCs/>
          <w:color w:val="4F81BD" w:themeColor="accent1"/>
          <w:sz w:val="24"/>
          <w:szCs w:val="24"/>
        </w:rPr>
      </w:pPr>
    </w:p>
    <w:p w:rsidR="00E6242E" w:rsidRPr="007940B5" w:rsidRDefault="00E6242E" w:rsidP="00E6242E">
      <w:pPr>
        <w:keepNext/>
        <w:tabs>
          <w:tab w:val="clear" w:pos="1260"/>
          <w:tab w:val="left" w:pos="1276"/>
        </w:tabs>
        <w:ind w:left="1259" w:hanging="1259"/>
        <w:jc w:val="right"/>
        <w:rPr>
          <w:rFonts w:cs="Arial"/>
          <w:b/>
          <w:bCs/>
          <w:color w:val="4F81BD" w:themeColor="accent1"/>
          <w:sz w:val="24"/>
          <w:szCs w:val="24"/>
        </w:rPr>
      </w:pPr>
    </w:p>
    <w:p w:rsidR="00E6242E" w:rsidRPr="007940B5" w:rsidRDefault="009D4BCB" w:rsidP="00E6242E">
      <w:pPr>
        <w:keepNext/>
        <w:tabs>
          <w:tab w:val="clear" w:pos="1260"/>
          <w:tab w:val="left" w:pos="1276"/>
        </w:tabs>
        <w:ind w:left="1259" w:hanging="1259"/>
        <w:jc w:val="right"/>
        <w:rPr>
          <w:rFonts w:cs="Arial"/>
          <w:b/>
          <w:bCs/>
          <w:color w:val="4F81BD" w:themeColor="accent1"/>
          <w:sz w:val="24"/>
          <w:szCs w:val="24"/>
        </w:rPr>
      </w:pPr>
      <w:r w:rsidRPr="009D4BCB">
        <w:rPr>
          <w:noProof/>
        </w:rPr>
        <w:drawing>
          <wp:inline distT="0" distB="0" distL="0" distR="0" wp14:anchorId="4151CA6D" wp14:editId="79CF964E">
            <wp:extent cx="9391649" cy="5943600"/>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92920" cy="5944404"/>
                    </a:xfrm>
                    <a:prstGeom prst="rect">
                      <a:avLst/>
                    </a:prstGeom>
                    <a:noFill/>
                    <a:ln>
                      <a:noFill/>
                    </a:ln>
                  </pic:spPr>
                </pic:pic>
              </a:graphicData>
            </a:graphic>
          </wp:inline>
        </w:drawing>
      </w:r>
    </w:p>
    <w:p w:rsidR="00E6242E" w:rsidRPr="007940B5" w:rsidRDefault="000521BD" w:rsidP="00E6242E">
      <w:pPr>
        <w:keepNext/>
        <w:tabs>
          <w:tab w:val="clear" w:pos="1260"/>
          <w:tab w:val="left" w:pos="1276"/>
        </w:tabs>
        <w:ind w:left="1259" w:hanging="1259"/>
        <w:jc w:val="right"/>
        <w:rPr>
          <w:rFonts w:cs="Arial"/>
          <w:b/>
          <w:bCs/>
          <w:color w:val="4F81BD" w:themeColor="accent1"/>
          <w:sz w:val="24"/>
          <w:szCs w:val="24"/>
        </w:rPr>
      </w:pPr>
      <w:r w:rsidRPr="000521BD">
        <w:rPr>
          <w:noProof/>
        </w:rPr>
        <w:lastRenderedPageBreak/>
        <w:drawing>
          <wp:inline distT="0" distB="0" distL="0" distR="0" wp14:anchorId="447C2B76" wp14:editId="6A9C1E90">
            <wp:extent cx="9389659" cy="6059606"/>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92920" cy="6061710"/>
                    </a:xfrm>
                    <a:prstGeom prst="rect">
                      <a:avLst/>
                    </a:prstGeom>
                    <a:noFill/>
                    <a:ln>
                      <a:noFill/>
                    </a:ln>
                  </pic:spPr>
                </pic:pic>
              </a:graphicData>
            </a:graphic>
          </wp:inline>
        </w:drawing>
      </w:r>
    </w:p>
    <w:p w:rsidR="00E6242E" w:rsidRPr="007940B5" w:rsidRDefault="00E6242E" w:rsidP="00E6242E">
      <w:pPr>
        <w:keepNext/>
        <w:tabs>
          <w:tab w:val="clear" w:pos="1260"/>
          <w:tab w:val="left" w:pos="1276"/>
        </w:tabs>
        <w:ind w:left="1259" w:hanging="1259"/>
        <w:jc w:val="right"/>
        <w:rPr>
          <w:rFonts w:cs="Arial"/>
          <w:b/>
          <w:bCs/>
          <w:color w:val="4F81BD" w:themeColor="accent1"/>
          <w:sz w:val="24"/>
          <w:szCs w:val="24"/>
        </w:rPr>
      </w:pPr>
    </w:p>
    <w:p w:rsidR="00B87010" w:rsidRPr="007940B5" w:rsidRDefault="00B87010" w:rsidP="00E6242E">
      <w:pPr>
        <w:keepNext/>
        <w:tabs>
          <w:tab w:val="clear" w:pos="1260"/>
          <w:tab w:val="left" w:pos="1276"/>
        </w:tabs>
        <w:ind w:left="1259" w:hanging="1259"/>
        <w:jc w:val="right"/>
        <w:rPr>
          <w:rFonts w:cs="Arial"/>
          <w:b/>
          <w:bCs/>
          <w:color w:val="4F81BD" w:themeColor="accent1"/>
          <w:sz w:val="24"/>
          <w:szCs w:val="24"/>
        </w:rPr>
      </w:pPr>
    </w:p>
    <w:p w:rsidR="00B87010" w:rsidRPr="007940B5" w:rsidRDefault="009D4BCB" w:rsidP="00E6242E">
      <w:pPr>
        <w:keepNext/>
        <w:tabs>
          <w:tab w:val="clear" w:pos="1260"/>
          <w:tab w:val="left" w:pos="1276"/>
        </w:tabs>
        <w:ind w:left="1259" w:hanging="1259"/>
        <w:jc w:val="right"/>
        <w:rPr>
          <w:rFonts w:cs="Arial"/>
          <w:b/>
          <w:bCs/>
          <w:color w:val="4F81BD" w:themeColor="accent1"/>
          <w:sz w:val="24"/>
          <w:szCs w:val="24"/>
        </w:rPr>
      </w:pPr>
      <w:r w:rsidRPr="009D4BCB">
        <w:rPr>
          <w:noProof/>
        </w:rPr>
        <w:drawing>
          <wp:inline distT="0" distB="0" distL="0" distR="0" wp14:anchorId="575BCF48" wp14:editId="782BD54E">
            <wp:extent cx="9391650" cy="3057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92920" cy="3057938"/>
                    </a:xfrm>
                    <a:prstGeom prst="rect">
                      <a:avLst/>
                    </a:prstGeom>
                    <a:noFill/>
                    <a:ln>
                      <a:noFill/>
                    </a:ln>
                  </pic:spPr>
                </pic:pic>
              </a:graphicData>
            </a:graphic>
          </wp:inline>
        </w:drawing>
      </w:r>
    </w:p>
    <w:p w:rsidR="00B87010" w:rsidRDefault="00B87010" w:rsidP="00E6242E">
      <w:pPr>
        <w:keepNext/>
        <w:tabs>
          <w:tab w:val="clear" w:pos="1260"/>
          <w:tab w:val="left" w:pos="1276"/>
        </w:tabs>
        <w:ind w:left="1259" w:hanging="1259"/>
        <w:jc w:val="right"/>
        <w:rPr>
          <w:rFonts w:cs="Arial"/>
          <w:b/>
          <w:bCs/>
          <w:color w:val="4F81BD" w:themeColor="accent1"/>
          <w:sz w:val="24"/>
          <w:szCs w:val="24"/>
        </w:rPr>
      </w:pPr>
    </w:p>
    <w:p w:rsidR="00DE6153" w:rsidRDefault="00DE6153" w:rsidP="00E6242E">
      <w:pPr>
        <w:keepNext/>
        <w:tabs>
          <w:tab w:val="clear" w:pos="1260"/>
          <w:tab w:val="left" w:pos="1276"/>
        </w:tabs>
        <w:ind w:left="1259" w:hanging="1259"/>
        <w:jc w:val="right"/>
        <w:rPr>
          <w:rFonts w:cs="Arial"/>
          <w:b/>
          <w:bCs/>
          <w:color w:val="4F81BD" w:themeColor="accent1"/>
          <w:sz w:val="24"/>
          <w:szCs w:val="24"/>
        </w:rPr>
      </w:pPr>
    </w:p>
    <w:p w:rsidR="00DE6153" w:rsidRDefault="00DE6153" w:rsidP="00E6242E">
      <w:pPr>
        <w:keepNext/>
        <w:tabs>
          <w:tab w:val="clear" w:pos="1260"/>
          <w:tab w:val="left" w:pos="1276"/>
        </w:tabs>
        <w:ind w:left="1259" w:hanging="1259"/>
        <w:jc w:val="right"/>
        <w:rPr>
          <w:rFonts w:cs="Arial"/>
          <w:b/>
          <w:bCs/>
          <w:color w:val="4F81BD" w:themeColor="accent1"/>
          <w:sz w:val="24"/>
          <w:szCs w:val="24"/>
        </w:rPr>
      </w:pPr>
    </w:p>
    <w:p w:rsidR="00DE6153" w:rsidRDefault="00DE6153" w:rsidP="00E6242E">
      <w:pPr>
        <w:keepNext/>
        <w:tabs>
          <w:tab w:val="clear" w:pos="1260"/>
          <w:tab w:val="left" w:pos="1276"/>
        </w:tabs>
        <w:ind w:left="1259" w:hanging="1259"/>
        <w:jc w:val="right"/>
        <w:rPr>
          <w:rFonts w:cs="Arial"/>
          <w:b/>
          <w:bCs/>
          <w:color w:val="4F81BD" w:themeColor="accent1"/>
          <w:sz w:val="24"/>
          <w:szCs w:val="24"/>
        </w:rPr>
      </w:pPr>
    </w:p>
    <w:p w:rsidR="00DE6153" w:rsidRDefault="00DE6153" w:rsidP="00E6242E">
      <w:pPr>
        <w:keepNext/>
        <w:tabs>
          <w:tab w:val="clear" w:pos="1260"/>
          <w:tab w:val="left" w:pos="1276"/>
        </w:tabs>
        <w:ind w:left="1259" w:hanging="1259"/>
        <w:jc w:val="right"/>
        <w:rPr>
          <w:rFonts w:cs="Arial"/>
          <w:b/>
          <w:bCs/>
          <w:color w:val="4F81BD" w:themeColor="accent1"/>
          <w:sz w:val="24"/>
          <w:szCs w:val="24"/>
        </w:rPr>
      </w:pPr>
    </w:p>
    <w:p w:rsidR="00DE6153" w:rsidRDefault="00DE6153" w:rsidP="00E6242E">
      <w:pPr>
        <w:keepNext/>
        <w:tabs>
          <w:tab w:val="clear" w:pos="1260"/>
          <w:tab w:val="left" w:pos="1276"/>
        </w:tabs>
        <w:ind w:left="1259" w:hanging="1259"/>
        <w:jc w:val="right"/>
        <w:rPr>
          <w:rFonts w:cs="Arial"/>
          <w:b/>
          <w:bCs/>
          <w:color w:val="4F81BD" w:themeColor="accent1"/>
          <w:sz w:val="24"/>
          <w:szCs w:val="24"/>
        </w:rPr>
      </w:pPr>
    </w:p>
    <w:p w:rsidR="00DE6153" w:rsidRDefault="00DE6153" w:rsidP="00E6242E">
      <w:pPr>
        <w:keepNext/>
        <w:tabs>
          <w:tab w:val="clear" w:pos="1260"/>
          <w:tab w:val="left" w:pos="1276"/>
        </w:tabs>
        <w:ind w:left="1259" w:hanging="1259"/>
        <w:jc w:val="right"/>
        <w:rPr>
          <w:rFonts w:cs="Arial"/>
          <w:b/>
          <w:bCs/>
          <w:color w:val="4F81BD" w:themeColor="accent1"/>
          <w:sz w:val="24"/>
          <w:szCs w:val="24"/>
        </w:rPr>
      </w:pPr>
    </w:p>
    <w:p w:rsidR="00DE6153" w:rsidRDefault="00DE6153" w:rsidP="00E6242E">
      <w:pPr>
        <w:keepNext/>
        <w:tabs>
          <w:tab w:val="clear" w:pos="1260"/>
          <w:tab w:val="left" w:pos="1276"/>
        </w:tabs>
        <w:ind w:left="1259" w:hanging="1259"/>
        <w:jc w:val="right"/>
        <w:rPr>
          <w:rFonts w:cs="Arial"/>
          <w:b/>
          <w:bCs/>
          <w:color w:val="4F81BD" w:themeColor="accent1"/>
          <w:sz w:val="24"/>
          <w:szCs w:val="24"/>
        </w:rPr>
      </w:pPr>
    </w:p>
    <w:p w:rsidR="009D4BCB" w:rsidRDefault="009D4BCB" w:rsidP="00E6242E">
      <w:pPr>
        <w:keepNext/>
        <w:tabs>
          <w:tab w:val="clear" w:pos="1260"/>
          <w:tab w:val="left" w:pos="1276"/>
        </w:tabs>
        <w:ind w:left="1259" w:hanging="1259"/>
        <w:jc w:val="right"/>
        <w:rPr>
          <w:rFonts w:cs="Arial"/>
          <w:b/>
          <w:bCs/>
          <w:color w:val="4F81BD" w:themeColor="accent1"/>
          <w:sz w:val="24"/>
          <w:szCs w:val="24"/>
        </w:rPr>
      </w:pPr>
    </w:p>
    <w:p w:rsidR="009D4BCB" w:rsidRDefault="009D4BCB" w:rsidP="00E6242E">
      <w:pPr>
        <w:keepNext/>
        <w:tabs>
          <w:tab w:val="clear" w:pos="1260"/>
          <w:tab w:val="left" w:pos="1276"/>
        </w:tabs>
        <w:ind w:left="1259" w:hanging="1259"/>
        <w:jc w:val="right"/>
        <w:rPr>
          <w:rFonts w:cs="Arial"/>
          <w:b/>
          <w:bCs/>
          <w:color w:val="4F81BD" w:themeColor="accent1"/>
          <w:sz w:val="24"/>
          <w:szCs w:val="24"/>
        </w:rPr>
      </w:pPr>
    </w:p>
    <w:p w:rsidR="009D4BCB" w:rsidRDefault="009D4BCB" w:rsidP="00E6242E">
      <w:pPr>
        <w:keepNext/>
        <w:tabs>
          <w:tab w:val="clear" w:pos="1260"/>
          <w:tab w:val="left" w:pos="1276"/>
        </w:tabs>
        <w:ind w:left="1259" w:hanging="1259"/>
        <w:jc w:val="right"/>
        <w:rPr>
          <w:rFonts w:cs="Arial"/>
          <w:b/>
          <w:bCs/>
          <w:color w:val="4F81BD" w:themeColor="accent1"/>
          <w:sz w:val="24"/>
          <w:szCs w:val="24"/>
        </w:rPr>
      </w:pPr>
    </w:p>
    <w:p w:rsidR="009D4BCB" w:rsidRDefault="009D4BCB" w:rsidP="00E6242E">
      <w:pPr>
        <w:keepNext/>
        <w:tabs>
          <w:tab w:val="clear" w:pos="1260"/>
          <w:tab w:val="left" w:pos="1276"/>
        </w:tabs>
        <w:ind w:left="1259" w:hanging="1259"/>
        <w:jc w:val="right"/>
        <w:rPr>
          <w:rFonts w:cs="Arial"/>
          <w:b/>
          <w:bCs/>
          <w:color w:val="4F81BD" w:themeColor="accent1"/>
          <w:sz w:val="24"/>
          <w:szCs w:val="24"/>
        </w:rPr>
      </w:pPr>
    </w:p>
    <w:p w:rsidR="009D4BCB" w:rsidRDefault="009D4BCB" w:rsidP="00E6242E">
      <w:pPr>
        <w:keepNext/>
        <w:tabs>
          <w:tab w:val="clear" w:pos="1260"/>
          <w:tab w:val="left" w:pos="1276"/>
        </w:tabs>
        <w:ind w:left="1259" w:hanging="1259"/>
        <w:jc w:val="right"/>
        <w:rPr>
          <w:rFonts w:cs="Arial"/>
          <w:b/>
          <w:bCs/>
          <w:color w:val="4F81BD" w:themeColor="accent1"/>
          <w:sz w:val="24"/>
          <w:szCs w:val="24"/>
        </w:rPr>
      </w:pPr>
    </w:p>
    <w:p w:rsidR="009D4BCB" w:rsidRDefault="009D4BCB" w:rsidP="00E6242E">
      <w:pPr>
        <w:keepNext/>
        <w:tabs>
          <w:tab w:val="clear" w:pos="1260"/>
          <w:tab w:val="left" w:pos="1276"/>
        </w:tabs>
        <w:ind w:left="1259" w:hanging="1259"/>
        <w:jc w:val="right"/>
        <w:rPr>
          <w:rFonts w:cs="Arial"/>
          <w:b/>
          <w:bCs/>
          <w:color w:val="4F81BD" w:themeColor="accent1"/>
          <w:sz w:val="24"/>
          <w:szCs w:val="24"/>
        </w:rPr>
      </w:pPr>
    </w:p>
    <w:p w:rsidR="009D4BCB" w:rsidRDefault="009D4BCB" w:rsidP="00E6242E">
      <w:pPr>
        <w:keepNext/>
        <w:tabs>
          <w:tab w:val="clear" w:pos="1260"/>
          <w:tab w:val="left" w:pos="1276"/>
        </w:tabs>
        <w:ind w:left="1259" w:hanging="1259"/>
        <w:jc w:val="right"/>
        <w:rPr>
          <w:rFonts w:cs="Arial"/>
          <w:b/>
          <w:bCs/>
          <w:color w:val="4F81BD" w:themeColor="accent1"/>
          <w:sz w:val="24"/>
          <w:szCs w:val="24"/>
        </w:rPr>
      </w:pPr>
    </w:p>
    <w:p w:rsidR="009D4BCB" w:rsidRDefault="009D4BCB" w:rsidP="00E6242E">
      <w:pPr>
        <w:keepNext/>
        <w:tabs>
          <w:tab w:val="clear" w:pos="1260"/>
          <w:tab w:val="left" w:pos="1276"/>
        </w:tabs>
        <w:ind w:left="1259" w:hanging="1259"/>
        <w:jc w:val="right"/>
        <w:rPr>
          <w:rFonts w:cs="Arial"/>
          <w:b/>
          <w:bCs/>
          <w:color w:val="4F81BD" w:themeColor="accent1"/>
          <w:sz w:val="24"/>
          <w:szCs w:val="24"/>
        </w:rPr>
      </w:pPr>
    </w:p>
    <w:p w:rsidR="009D4BCB" w:rsidRDefault="001A3E2E" w:rsidP="00E6242E">
      <w:pPr>
        <w:keepNext/>
        <w:tabs>
          <w:tab w:val="clear" w:pos="1260"/>
          <w:tab w:val="left" w:pos="1276"/>
        </w:tabs>
        <w:ind w:left="1259" w:hanging="1259"/>
        <w:jc w:val="right"/>
        <w:rPr>
          <w:rFonts w:cs="Arial"/>
          <w:b/>
          <w:bCs/>
          <w:color w:val="4F81BD" w:themeColor="accent1"/>
          <w:sz w:val="24"/>
          <w:szCs w:val="24"/>
        </w:rPr>
      </w:pPr>
      <w:r w:rsidRPr="001A3E2E">
        <w:rPr>
          <w:noProof/>
        </w:rPr>
        <w:drawing>
          <wp:inline distT="0" distB="0" distL="0" distR="0" wp14:anchorId="22BE6478" wp14:editId="7D2109A9">
            <wp:extent cx="9389659" cy="579347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92920" cy="5795487"/>
                    </a:xfrm>
                    <a:prstGeom prst="rect">
                      <a:avLst/>
                    </a:prstGeom>
                    <a:noFill/>
                    <a:ln>
                      <a:noFill/>
                    </a:ln>
                  </pic:spPr>
                </pic:pic>
              </a:graphicData>
            </a:graphic>
          </wp:inline>
        </w:drawing>
      </w:r>
    </w:p>
    <w:p w:rsidR="00F17F5E" w:rsidRPr="007940B5" w:rsidRDefault="00F17F5E" w:rsidP="00E6242E">
      <w:pPr>
        <w:keepNext/>
        <w:tabs>
          <w:tab w:val="clear" w:pos="1260"/>
          <w:tab w:val="left" w:pos="1276"/>
        </w:tabs>
        <w:ind w:left="1259" w:hanging="1259"/>
        <w:jc w:val="right"/>
        <w:rPr>
          <w:color w:val="4F81BD" w:themeColor="accent1"/>
        </w:rPr>
        <w:sectPr w:rsidR="00F17F5E" w:rsidRPr="007940B5" w:rsidSect="00822280">
          <w:pgSz w:w="16834" w:h="11909" w:orient="landscape" w:code="9"/>
          <w:pgMar w:top="1077" w:right="624" w:bottom="1077" w:left="1418" w:header="709" w:footer="709" w:gutter="0"/>
          <w:cols w:space="720"/>
          <w:docGrid w:linePitch="299"/>
        </w:sectPr>
      </w:pPr>
    </w:p>
    <w:p w:rsidR="007871DF" w:rsidRPr="007940B5" w:rsidRDefault="00E6242E" w:rsidP="00E6242E">
      <w:pPr>
        <w:keepNext/>
        <w:tabs>
          <w:tab w:val="clear" w:pos="1260"/>
          <w:tab w:val="left" w:pos="1276"/>
        </w:tabs>
        <w:ind w:left="1259" w:hanging="1259"/>
        <w:jc w:val="right"/>
        <w:rPr>
          <w:rFonts w:cs="Arial"/>
          <w:b/>
          <w:bCs/>
          <w:color w:val="4F81BD" w:themeColor="accent1"/>
          <w:sz w:val="24"/>
          <w:szCs w:val="24"/>
        </w:rPr>
      </w:pPr>
      <w:r w:rsidRPr="002A55C4">
        <w:rPr>
          <w:rFonts w:cs="Arial"/>
          <w:b/>
          <w:bCs/>
          <w:sz w:val="24"/>
          <w:szCs w:val="24"/>
        </w:rPr>
        <w:lastRenderedPageBreak/>
        <w:t xml:space="preserve">APPENDIX </w:t>
      </w:r>
      <w:r w:rsidR="00822280" w:rsidRPr="002A55C4">
        <w:rPr>
          <w:rFonts w:cs="Arial"/>
          <w:b/>
          <w:bCs/>
          <w:sz w:val="24"/>
          <w:szCs w:val="24"/>
        </w:rPr>
        <w:t>4</w:t>
      </w:r>
    </w:p>
    <w:p w:rsidR="00D60935" w:rsidRDefault="008A1473" w:rsidP="00D60935">
      <w:pPr>
        <w:keepNext/>
        <w:tabs>
          <w:tab w:val="clear" w:pos="1260"/>
          <w:tab w:val="left" w:pos="1276"/>
        </w:tabs>
        <w:ind w:left="1259" w:hanging="1259"/>
        <w:jc w:val="left"/>
        <w:rPr>
          <w:rFonts w:cs="Arial"/>
          <w:b/>
          <w:bCs/>
          <w:sz w:val="24"/>
          <w:szCs w:val="24"/>
          <w:u w:val="single"/>
        </w:rPr>
      </w:pPr>
      <w:r>
        <w:rPr>
          <w:rFonts w:cs="Arial"/>
          <w:b/>
          <w:bCs/>
          <w:sz w:val="24"/>
          <w:szCs w:val="24"/>
          <w:u w:val="single"/>
        </w:rPr>
        <w:t>Rephasing of capital schemes to 2017/18</w:t>
      </w:r>
      <w:r w:rsidR="007871DF" w:rsidRPr="00DE6153">
        <w:rPr>
          <w:rFonts w:cs="Arial"/>
          <w:b/>
          <w:bCs/>
          <w:sz w:val="24"/>
          <w:szCs w:val="24"/>
          <w:u w:val="single"/>
        </w:rPr>
        <w:t xml:space="preserve"> </w:t>
      </w:r>
    </w:p>
    <w:p w:rsidR="009D4BCB" w:rsidRDefault="009D4BCB" w:rsidP="00D60935">
      <w:pPr>
        <w:keepNext/>
        <w:tabs>
          <w:tab w:val="clear" w:pos="1260"/>
          <w:tab w:val="left" w:pos="1276"/>
        </w:tabs>
        <w:ind w:left="1259" w:hanging="1259"/>
        <w:jc w:val="left"/>
        <w:rPr>
          <w:rFonts w:cs="Arial"/>
          <w:b/>
          <w:bCs/>
          <w:sz w:val="24"/>
          <w:szCs w:val="24"/>
        </w:rPr>
      </w:pPr>
    </w:p>
    <w:p w:rsidR="00D60935" w:rsidRDefault="00E20222" w:rsidP="008A1473">
      <w:pPr>
        <w:keepNext/>
        <w:tabs>
          <w:tab w:val="clear" w:pos="1260"/>
          <w:tab w:val="left" w:pos="1276"/>
        </w:tabs>
        <w:ind w:left="1259" w:hanging="1259"/>
        <w:jc w:val="right"/>
        <w:rPr>
          <w:rFonts w:cs="Arial"/>
          <w:b/>
          <w:bCs/>
          <w:sz w:val="24"/>
          <w:szCs w:val="24"/>
        </w:rPr>
      </w:pPr>
      <w:r w:rsidRPr="00E20222">
        <w:rPr>
          <w:noProof/>
        </w:rPr>
        <w:drawing>
          <wp:inline distT="0" distB="0" distL="0" distR="0" wp14:anchorId="184F980D" wp14:editId="4088D7D4">
            <wp:extent cx="9423779" cy="5506872"/>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29750" cy="5510361"/>
                    </a:xfrm>
                    <a:prstGeom prst="rect">
                      <a:avLst/>
                    </a:prstGeom>
                    <a:noFill/>
                    <a:ln>
                      <a:noFill/>
                    </a:ln>
                  </pic:spPr>
                </pic:pic>
              </a:graphicData>
            </a:graphic>
          </wp:inline>
        </w:drawing>
      </w:r>
    </w:p>
    <w:p w:rsidR="00D60935" w:rsidRDefault="00D60935" w:rsidP="008A1473">
      <w:pPr>
        <w:keepNext/>
        <w:tabs>
          <w:tab w:val="clear" w:pos="1260"/>
          <w:tab w:val="left" w:pos="1276"/>
        </w:tabs>
        <w:ind w:left="1259" w:hanging="1259"/>
        <w:jc w:val="right"/>
        <w:rPr>
          <w:rFonts w:cs="Arial"/>
          <w:b/>
          <w:bCs/>
          <w:sz w:val="24"/>
          <w:szCs w:val="24"/>
        </w:rPr>
        <w:sectPr w:rsidR="00D60935" w:rsidSect="00767560">
          <w:pgSz w:w="16834" w:h="11909" w:orient="landscape" w:code="9"/>
          <w:pgMar w:top="1077" w:right="425" w:bottom="1077" w:left="1559" w:header="709" w:footer="709" w:gutter="0"/>
          <w:cols w:space="720"/>
          <w:docGrid w:linePitch="299"/>
        </w:sectPr>
      </w:pPr>
    </w:p>
    <w:p w:rsidR="008A1473" w:rsidRPr="002A55C4" w:rsidRDefault="008A1473" w:rsidP="008A1473">
      <w:pPr>
        <w:keepNext/>
        <w:tabs>
          <w:tab w:val="clear" w:pos="1260"/>
          <w:tab w:val="left" w:pos="1276"/>
        </w:tabs>
        <w:ind w:left="1259" w:hanging="1259"/>
        <w:jc w:val="right"/>
        <w:rPr>
          <w:rFonts w:cs="Arial"/>
          <w:b/>
          <w:bCs/>
          <w:sz w:val="24"/>
          <w:szCs w:val="24"/>
        </w:rPr>
      </w:pPr>
      <w:r w:rsidRPr="002A55C4">
        <w:rPr>
          <w:rFonts w:cs="Arial"/>
          <w:b/>
          <w:bCs/>
          <w:sz w:val="24"/>
          <w:szCs w:val="24"/>
        </w:rPr>
        <w:lastRenderedPageBreak/>
        <w:t xml:space="preserve">APPENDIX </w:t>
      </w:r>
      <w:r>
        <w:rPr>
          <w:rFonts w:cs="Arial"/>
          <w:b/>
          <w:bCs/>
          <w:sz w:val="24"/>
          <w:szCs w:val="24"/>
        </w:rPr>
        <w:t>5</w:t>
      </w:r>
    </w:p>
    <w:p w:rsidR="00767560" w:rsidRDefault="008A1473" w:rsidP="008A1473">
      <w:pPr>
        <w:keepNext/>
        <w:tabs>
          <w:tab w:val="clear" w:pos="1260"/>
          <w:tab w:val="left" w:pos="1276"/>
        </w:tabs>
        <w:ind w:left="1259" w:hanging="1259"/>
        <w:jc w:val="left"/>
        <w:rPr>
          <w:rFonts w:cs="Arial"/>
          <w:b/>
          <w:bCs/>
          <w:sz w:val="24"/>
          <w:szCs w:val="24"/>
          <w:u w:val="single"/>
        </w:rPr>
      </w:pPr>
      <w:r w:rsidRPr="00DE6153">
        <w:rPr>
          <w:rFonts w:cs="Arial"/>
          <w:b/>
          <w:bCs/>
          <w:sz w:val="24"/>
          <w:szCs w:val="24"/>
          <w:u w:val="single"/>
        </w:rPr>
        <w:t>Capital Funding 2016/17 – 2019/20</w:t>
      </w:r>
    </w:p>
    <w:p w:rsidR="00A31F1C" w:rsidRDefault="00A31F1C" w:rsidP="008A1473">
      <w:pPr>
        <w:keepNext/>
        <w:tabs>
          <w:tab w:val="clear" w:pos="1260"/>
          <w:tab w:val="left" w:pos="1276"/>
        </w:tabs>
        <w:ind w:left="1259" w:hanging="1259"/>
        <w:jc w:val="left"/>
        <w:rPr>
          <w:rFonts w:cs="Arial"/>
          <w:b/>
          <w:bCs/>
          <w:sz w:val="24"/>
          <w:szCs w:val="24"/>
          <w:u w:val="single"/>
        </w:rPr>
      </w:pPr>
    </w:p>
    <w:p w:rsidR="00767560" w:rsidRPr="00DE6153" w:rsidRDefault="001A3E2E" w:rsidP="008A1473">
      <w:pPr>
        <w:keepNext/>
        <w:tabs>
          <w:tab w:val="clear" w:pos="1260"/>
          <w:tab w:val="left" w:pos="1276"/>
        </w:tabs>
        <w:ind w:left="1259" w:hanging="1259"/>
        <w:jc w:val="left"/>
        <w:rPr>
          <w:rFonts w:cs="Arial"/>
          <w:b/>
          <w:bCs/>
          <w:sz w:val="24"/>
          <w:szCs w:val="24"/>
          <w:u w:val="single"/>
        </w:rPr>
      </w:pPr>
      <w:r w:rsidRPr="001A3E2E">
        <w:rPr>
          <w:noProof/>
        </w:rPr>
        <w:drawing>
          <wp:inline distT="0" distB="0" distL="0" distR="0" wp14:anchorId="604096AE" wp14:editId="28E18008">
            <wp:extent cx="6195260" cy="8871045"/>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4425" cy="8869850"/>
                    </a:xfrm>
                    <a:prstGeom prst="rect">
                      <a:avLst/>
                    </a:prstGeom>
                    <a:noFill/>
                    <a:ln>
                      <a:noFill/>
                    </a:ln>
                  </pic:spPr>
                </pic:pic>
              </a:graphicData>
            </a:graphic>
          </wp:inline>
        </w:drawing>
      </w:r>
    </w:p>
    <w:sectPr w:rsidR="00767560" w:rsidRPr="00DE6153" w:rsidSect="00D60935">
      <w:pgSz w:w="11909" w:h="16834" w:code="9"/>
      <w:pgMar w:top="425" w:right="1077" w:bottom="1559" w:left="107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FFB" w:rsidRDefault="001C3FFB">
      <w:r>
        <w:separator/>
      </w:r>
    </w:p>
  </w:endnote>
  <w:endnote w:type="continuationSeparator" w:id="0">
    <w:p w:rsidR="001C3FFB" w:rsidRDefault="001C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ED5" w:rsidRDefault="009B6ED5">
    <w:pPr>
      <w:pStyle w:val="Footer"/>
      <w:tabs>
        <w:tab w:val="clear" w:pos="4153"/>
        <w:tab w:val="clear" w:pos="8306"/>
        <w:tab w:val="center" w:pos="4680"/>
        <w:tab w:val="right" w:pos="9090"/>
      </w:tabs>
      <w:rPr>
        <w:sz w:val="16"/>
      </w:rPr>
    </w:pPr>
  </w:p>
  <w:p w:rsidR="009B6ED5" w:rsidRDefault="009B6ED5">
    <w:pPr>
      <w:pStyle w:val="Footer"/>
      <w:tabs>
        <w:tab w:val="clear" w:pos="4153"/>
        <w:tab w:val="clear" w:pos="8306"/>
        <w:tab w:val="center" w:pos="4680"/>
        <w:tab w:val="right" w:pos="9090"/>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FFB" w:rsidRDefault="001C3FFB">
      <w:r>
        <w:separator/>
      </w:r>
    </w:p>
  </w:footnote>
  <w:footnote w:type="continuationSeparator" w:id="0">
    <w:p w:rsidR="001C3FFB" w:rsidRDefault="001C3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3727"/>
    <w:multiLevelType w:val="multilevel"/>
    <w:tmpl w:val="02223EF8"/>
    <w:lvl w:ilvl="0">
      <w:start w:val="3"/>
      <w:numFmt w:val="decimal"/>
      <w:lvlText w:val="%1"/>
      <w:lvlJc w:val="left"/>
      <w:pPr>
        <w:tabs>
          <w:tab w:val="num" w:pos="1230"/>
        </w:tabs>
        <w:ind w:left="1230" w:hanging="1230"/>
      </w:pPr>
      <w:rPr>
        <w:rFonts w:hint="default"/>
      </w:rPr>
    </w:lvl>
    <w:lvl w:ilvl="1">
      <w:start w:val="1"/>
      <w:numFmt w:val="decimal"/>
      <w:lvlText w:val="%1.%2"/>
      <w:lvlJc w:val="left"/>
      <w:pPr>
        <w:tabs>
          <w:tab w:val="num" w:pos="1230"/>
        </w:tabs>
        <w:ind w:left="1230" w:hanging="1230"/>
      </w:pPr>
      <w:rPr>
        <w:rFonts w:hint="default"/>
      </w:rPr>
    </w:lvl>
    <w:lvl w:ilvl="2">
      <w:start w:val="1"/>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1CE3201"/>
    <w:multiLevelType w:val="multilevel"/>
    <w:tmpl w:val="6F6E454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5035834"/>
    <w:multiLevelType w:val="multilevel"/>
    <w:tmpl w:val="30AEE7A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44"/>
        </w:tabs>
        <w:ind w:left="644" w:hanging="36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749732A"/>
    <w:multiLevelType w:val="multilevel"/>
    <w:tmpl w:val="AB705266"/>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85F1920"/>
    <w:multiLevelType w:val="multilevel"/>
    <w:tmpl w:val="095C5F14"/>
    <w:lvl w:ilvl="0">
      <w:start w:val="4"/>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31D5B66"/>
    <w:multiLevelType w:val="multilevel"/>
    <w:tmpl w:val="5094A83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39C525C"/>
    <w:multiLevelType w:val="hybridMultilevel"/>
    <w:tmpl w:val="D0CA7D64"/>
    <w:lvl w:ilvl="0" w:tplc="8DA453F2">
      <w:start w:val="7"/>
      <w:numFmt w:val="decimal"/>
      <w:lvlText w:val="%1."/>
      <w:lvlJc w:val="left"/>
      <w:pPr>
        <w:tabs>
          <w:tab w:val="num" w:pos="1260"/>
        </w:tabs>
        <w:ind w:left="1260" w:hanging="1260"/>
      </w:pPr>
      <w:rPr>
        <w:rFonts w:hint="default"/>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7">
    <w:nsid w:val="251D7CC9"/>
    <w:multiLevelType w:val="hybridMultilevel"/>
    <w:tmpl w:val="0E542724"/>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8">
    <w:nsid w:val="25C65BD8"/>
    <w:multiLevelType w:val="multilevel"/>
    <w:tmpl w:val="64522A4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ECF0530"/>
    <w:multiLevelType w:val="hybridMultilevel"/>
    <w:tmpl w:val="351A9C6C"/>
    <w:lvl w:ilvl="0" w:tplc="A0A2FE6E">
      <w:start w:val="4"/>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F3134F7"/>
    <w:multiLevelType w:val="multilevel"/>
    <w:tmpl w:val="5A54BFEE"/>
    <w:lvl w:ilvl="0">
      <w:start w:val="4"/>
      <w:numFmt w:val="decimal"/>
      <w:lvlText w:val="%1"/>
      <w:lvlJc w:val="left"/>
      <w:pPr>
        <w:tabs>
          <w:tab w:val="num" w:pos="1260"/>
        </w:tabs>
        <w:ind w:left="1260" w:hanging="1260"/>
      </w:pPr>
      <w:rPr>
        <w:rFonts w:hint="default"/>
      </w:rPr>
    </w:lvl>
    <w:lvl w:ilvl="1">
      <w:start w:val="2"/>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4195B16"/>
    <w:multiLevelType w:val="multilevel"/>
    <w:tmpl w:val="3BCC8C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5500465"/>
    <w:multiLevelType w:val="hybridMultilevel"/>
    <w:tmpl w:val="A9F6EB7C"/>
    <w:lvl w:ilvl="0" w:tplc="08090001">
      <w:start w:val="1"/>
      <w:numFmt w:val="bullet"/>
      <w:lvlText w:val=""/>
      <w:lvlJc w:val="left"/>
      <w:pPr>
        <w:ind w:left="2040" w:hanging="360"/>
      </w:pPr>
      <w:rPr>
        <w:rFonts w:ascii="Symbol" w:hAnsi="Symbol" w:hint="default"/>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3">
    <w:nsid w:val="37B7235C"/>
    <w:multiLevelType w:val="multilevel"/>
    <w:tmpl w:val="8D347F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2696A0C"/>
    <w:multiLevelType w:val="multilevel"/>
    <w:tmpl w:val="386AB732"/>
    <w:lvl w:ilvl="0">
      <w:start w:val="2"/>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454E0F24"/>
    <w:multiLevelType w:val="multilevel"/>
    <w:tmpl w:val="15DE6374"/>
    <w:lvl w:ilvl="0">
      <w:start w:val="6"/>
      <w:numFmt w:val="decimal"/>
      <w:lvlText w:val="%1"/>
      <w:lvlJc w:val="left"/>
      <w:pPr>
        <w:tabs>
          <w:tab w:val="num" w:pos="1290"/>
        </w:tabs>
        <w:ind w:left="1290" w:hanging="1290"/>
      </w:pPr>
      <w:rPr>
        <w:rFonts w:hint="default"/>
        <w:b w:val="0"/>
        <w:i w:val="0"/>
      </w:rPr>
    </w:lvl>
    <w:lvl w:ilvl="1">
      <w:start w:val="4"/>
      <w:numFmt w:val="decimal"/>
      <w:lvlText w:val="%1.%2"/>
      <w:lvlJc w:val="left"/>
      <w:pPr>
        <w:tabs>
          <w:tab w:val="num" w:pos="1290"/>
        </w:tabs>
        <w:ind w:left="1290" w:hanging="1290"/>
      </w:pPr>
      <w:rPr>
        <w:rFonts w:hint="default"/>
        <w:b w:val="0"/>
        <w:i w:val="0"/>
      </w:rPr>
    </w:lvl>
    <w:lvl w:ilvl="2">
      <w:start w:val="1"/>
      <w:numFmt w:val="decimal"/>
      <w:lvlText w:val="%1.%2.%3"/>
      <w:lvlJc w:val="left"/>
      <w:pPr>
        <w:tabs>
          <w:tab w:val="num" w:pos="1290"/>
        </w:tabs>
        <w:ind w:left="1290" w:hanging="1290"/>
      </w:pPr>
      <w:rPr>
        <w:rFonts w:hint="default"/>
        <w:b w:val="0"/>
        <w:i w:val="0"/>
      </w:rPr>
    </w:lvl>
    <w:lvl w:ilvl="3">
      <w:start w:val="1"/>
      <w:numFmt w:val="decimal"/>
      <w:lvlText w:val="%1.%2.%3.%4"/>
      <w:lvlJc w:val="left"/>
      <w:pPr>
        <w:tabs>
          <w:tab w:val="num" w:pos="1290"/>
        </w:tabs>
        <w:ind w:left="1290" w:hanging="1290"/>
      </w:pPr>
      <w:rPr>
        <w:rFonts w:hint="default"/>
        <w:b w:val="0"/>
        <w:i w:val="0"/>
      </w:rPr>
    </w:lvl>
    <w:lvl w:ilvl="4">
      <w:start w:val="1"/>
      <w:numFmt w:val="decimal"/>
      <w:lvlText w:val="%1.%2.%3.%4.%5"/>
      <w:lvlJc w:val="left"/>
      <w:pPr>
        <w:tabs>
          <w:tab w:val="num" w:pos="1290"/>
        </w:tabs>
        <w:ind w:left="1290" w:hanging="1290"/>
      </w:pPr>
      <w:rPr>
        <w:rFonts w:hint="default"/>
        <w:b w:val="0"/>
        <w:i w:val="0"/>
      </w:rPr>
    </w:lvl>
    <w:lvl w:ilvl="5">
      <w:start w:val="1"/>
      <w:numFmt w:val="decimal"/>
      <w:lvlText w:val="%1.%2.%3.%4.%5.%6"/>
      <w:lvlJc w:val="left"/>
      <w:pPr>
        <w:tabs>
          <w:tab w:val="num" w:pos="1290"/>
        </w:tabs>
        <w:ind w:left="1290" w:hanging="129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6">
    <w:nsid w:val="47BC2E81"/>
    <w:multiLevelType w:val="multilevel"/>
    <w:tmpl w:val="781E781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00D3CA1"/>
    <w:multiLevelType w:val="hybridMultilevel"/>
    <w:tmpl w:val="3A0C28FE"/>
    <w:lvl w:ilvl="0" w:tplc="08090005">
      <w:start w:val="1"/>
      <w:numFmt w:val="bullet"/>
      <w:lvlText w:val=""/>
      <w:lvlJc w:val="left"/>
      <w:pPr>
        <w:tabs>
          <w:tab w:val="num" w:pos="1980"/>
        </w:tabs>
        <w:ind w:left="1980" w:hanging="360"/>
      </w:pPr>
      <w:rPr>
        <w:rFonts w:ascii="Wingdings" w:hAnsi="Wingdings"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8">
    <w:nsid w:val="52A2574D"/>
    <w:multiLevelType w:val="multilevel"/>
    <w:tmpl w:val="353E0F8A"/>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3912103"/>
    <w:multiLevelType w:val="multilevel"/>
    <w:tmpl w:val="25F6C982"/>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6A19C6"/>
    <w:multiLevelType w:val="hybridMultilevel"/>
    <w:tmpl w:val="0A3274F2"/>
    <w:lvl w:ilvl="0" w:tplc="0809000F">
      <w:start w:val="1"/>
      <w:numFmt w:val="decimal"/>
      <w:lvlText w:val="%1."/>
      <w:lvlJc w:val="left"/>
      <w:pPr>
        <w:ind w:left="9858" w:hanging="360"/>
      </w:pPr>
    </w:lvl>
    <w:lvl w:ilvl="1" w:tplc="08090019" w:tentative="1">
      <w:start w:val="1"/>
      <w:numFmt w:val="lowerLetter"/>
      <w:lvlText w:val="%2."/>
      <w:lvlJc w:val="left"/>
      <w:pPr>
        <w:ind w:left="10578" w:hanging="360"/>
      </w:pPr>
    </w:lvl>
    <w:lvl w:ilvl="2" w:tplc="0809001B" w:tentative="1">
      <w:start w:val="1"/>
      <w:numFmt w:val="lowerRoman"/>
      <w:lvlText w:val="%3."/>
      <w:lvlJc w:val="right"/>
      <w:pPr>
        <w:ind w:left="11298" w:hanging="180"/>
      </w:pPr>
    </w:lvl>
    <w:lvl w:ilvl="3" w:tplc="0809000F" w:tentative="1">
      <w:start w:val="1"/>
      <w:numFmt w:val="decimal"/>
      <w:lvlText w:val="%4."/>
      <w:lvlJc w:val="left"/>
      <w:pPr>
        <w:ind w:left="12018" w:hanging="360"/>
      </w:pPr>
    </w:lvl>
    <w:lvl w:ilvl="4" w:tplc="08090019" w:tentative="1">
      <w:start w:val="1"/>
      <w:numFmt w:val="lowerLetter"/>
      <w:lvlText w:val="%5."/>
      <w:lvlJc w:val="left"/>
      <w:pPr>
        <w:ind w:left="12738" w:hanging="360"/>
      </w:pPr>
    </w:lvl>
    <w:lvl w:ilvl="5" w:tplc="0809001B" w:tentative="1">
      <w:start w:val="1"/>
      <w:numFmt w:val="lowerRoman"/>
      <w:lvlText w:val="%6."/>
      <w:lvlJc w:val="right"/>
      <w:pPr>
        <w:ind w:left="13458" w:hanging="180"/>
      </w:pPr>
    </w:lvl>
    <w:lvl w:ilvl="6" w:tplc="0809000F" w:tentative="1">
      <w:start w:val="1"/>
      <w:numFmt w:val="decimal"/>
      <w:lvlText w:val="%7."/>
      <w:lvlJc w:val="left"/>
      <w:pPr>
        <w:ind w:left="14178" w:hanging="360"/>
      </w:pPr>
    </w:lvl>
    <w:lvl w:ilvl="7" w:tplc="08090019" w:tentative="1">
      <w:start w:val="1"/>
      <w:numFmt w:val="lowerLetter"/>
      <w:lvlText w:val="%8."/>
      <w:lvlJc w:val="left"/>
      <w:pPr>
        <w:ind w:left="14898" w:hanging="360"/>
      </w:pPr>
    </w:lvl>
    <w:lvl w:ilvl="8" w:tplc="0809001B" w:tentative="1">
      <w:start w:val="1"/>
      <w:numFmt w:val="lowerRoman"/>
      <w:lvlText w:val="%9."/>
      <w:lvlJc w:val="right"/>
      <w:pPr>
        <w:ind w:left="15618" w:hanging="180"/>
      </w:pPr>
    </w:lvl>
  </w:abstractNum>
  <w:abstractNum w:abstractNumId="21">
    <w:nsid w:val="5824306E"/>
    <w:multiLevelType w:val="multilevel"/>
    <w:tmpl w:val="6D64F74E"/>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9CB028D"/>
    <w:multiLevelType w:val="multilevel"/>
    <w:tmpl w:val="3162064E"/>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B2854FD"/>
    <w:multiLevelType w:val="hybridMultilevel"/>
    <w:tmpl w:val="97866714"/>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465"/>
        </w:tabs>
        <w:ind w:left="2465" w:hanging="360"/>
      </w:pPr>
      <w:rPr>
        <w:rFonts w:ascii="Courier New" w:hAnsi="Courier New" w:cs="Courier New" w:hint="default"/>
      </w:rPr>
    </w:lvl>
    <w:lvl w:ilvl="2" w:tplc="08090005" w:tentative="1">
      <w:start w:val="1"/>
      <w:numFmt w:val="bullet"/>
      <w:lvlText w:val=""/>
      <w:lvlJc w:val="left"/>
      <w:pPr>
        <w:tabs>
          <w:tab w:val="num" w:pos="3185"/>
        </w:tabs>
        <w:ind w:left="3185" w:hanging="360"/>
      </w:pPr>
      <w:rPr>
        <w:rFonts w:ascii="Wingdings" w:hAnsi="Wingdings" w:hint="default"/>
      </w:rPr>
    </w:lvl>
    <w:lvl w:ilvl="3" w:tplc="08090001" w:tentative="1">
      <w:start w:val="1"/>
      <w:numFmt w:val="bullet"/>
      <w:lvlText w:val=""/>
      <w:lvlJc w:val="left"/>
      <w:pPr>
        <w:tabs>
          <w:tab w:val="num" w:pos="3905"/>
        </w:tabs>
        <w:ind w:left="3905" w:hanging="360"/>
      </w:pPr>
      <w:rPr>
        <w:rFonts w:ascii="Symbol" w:hAnsi="Symbol" w:hint="default"/>
      </w:rPr>
    </w:lvl>
    <w:lvl w:ilvl="4" w:tplc="08090003" w:tentative="1">
      <w:start w:val="1"/>
      <w:numFmt w:val="bullet"/>
      <w:lvlText w:val="o"/>
      <w:lvlJc w:val="left"/>
      <w:pPr>
        <w:tabs>
          <w:tab w:val="num" w:pos="4625"/>
        </w:tabs>
        <w:ind w:left="4625" w:hanging="360"/>
      </w:pPr>
      <w:rPr>
        <w:rFonts w:ascii="Courier New" w:hAnsi="Courier New" w:cs="Courier New" w:hint="default"/>
      </w:rPr>
    </w:lvl>
    <w:lvl w:ilvl="5" w:tplc="08090005" w:tentative="1">
      <w:start w:val="1"/>
      <w:numFmt w:val="bullet"/>
      <w:lvlText w:val=""/>
      <w:lvlJc w:val="left"/>
      <w:pPr>
        <w:tabs>
          <w:tab w:val="num" w:pos="5345"/>
        </w:tabs>
        <w:ind w:left="5345" w:hanging="360"/>
      </w:pPr>
      <w:rPr>
        <w:rFonts w:ascii="Wingdings" w:hAnsi="Wingdings" w:hint="default"/>
      </w:rPr>
    </w:lvl>
    <w:lvl w:ilvl="6" w:tplc="08090001" w:tentative="1">
      <w:start w:val="1"/>
      <w:numFmt w:val="bullet"/>
      <w:lvlText w:val=""/>
      <w:lvlJc w:val="left"/>
      <w:pPr>
        <w:tabs>
          <w:tab w:val="num" w:pos="6065"/>
        </w:tabs>
        <w:ind w:left="6065" w:hanging="360"/>
      </w:pPr>
      <w:rPr>
        <w:rFonts w:ascii="Symbol" w:hAnsi="Symbol" w:hint="default"/>
      </w:rPr>
    </w:lvl>
    <w:lvl w:ilvl="7" w:tplc="08090003" w:tentative="1">
      <w:start w:val="1"/>
      <w:numFmt w:val="bullet"/>
      <w:lvlText w:val="o"/>
      <w:lvlJc w:val="left"/>
      <w:pPr>
        <w:tabs>
          <w:tab w:val="num" w:pos="6785"/>
        </w:tabs>
        <w:ind w:left="6785" w:hanging="360"/>
      </w:pPr>
      <w:rPr>
        <w:rFonts w:ascii="Courier New" w:hAnsi="Courier New" w:cs="Courier New" w:hint="default"/>
      </w:rPr>
    </w:lvl>
    <w:lvl w:ilvl="8" w:tplc="08090005" w:tentative="1">
      <w:start w:val="1"/>
      <w:numFmt w:val="bullet"/>
      <w:lvlText w:val=""/>
      <w:lvlJc w:val="left"/>
      <w:pPr>
        <w:tabs>
          <w:tab w:val="num" w:pos="7505"/>
        </w:tabs>
        <w:ind w:left="7505" w:hanging="360"/>
      </w:pPr>
      <w:rPr>
        <w:rFonts w:ascii="Wingdings" w:hAnsi="Wingdings" w:hint="default"/>
      </w:rPr>
    </w:lvl>
  </w:abstractNum>
  <w:abstractNum w:abstractNumId="24">
    <w:nsid w:val="61804216"/>
    <w:multiLevelType w:val="hybridMultilevel"/>
    <w:tmpl w:val="0E5C626C"/>
    <w:lvl w:ilvl="0" w:tplc="08090005">
      <w:start w:val="1"/>
      <w:numFmt w:val="bullet"/>
      <w:lvlText w:val=""/>
      <w:lvlJc w:val="left"/>
      <w:pPr>
        <w:tabs>
          <w:tab w:val="num" w:pos="1980"/>
        </w:tabs>
        <w:ind w:left="1980" w:hanging="360"/>
      </w:pPr>
      <w:rPr>
        <w:rFonts w:ascii="Wingdings" w:hAnsi="Wingdings"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5">
    <w:nsid w:val="64BC58EE"/>
    <w:multiLevelType w:val="multilevel"/>
    <w:tmpl w:val="E8128488"/>
    <w:lvl w:ilvl="0">
      <w:start w:val="6"/>
      <w:numFmt w:val="decimal"/>
      <w:lvlText w:val="%1"/>
      <w:lvlJc w:val="left"/>
      <w:pPr>
        <w:tabs>
          <w:tab w:val="num" w:pos="1260"/>
        </w:tabs>
        <w:ind w:left="1260" w:hanging="1260"/>
      </w:pPr>
      <w:rPr>
        <w:rFonts w:hint="default"/>
      </w:rPr>
    </w:lvl>
    <w:lvl w:ilvl="1">
      <w:start w:val="2"/>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6D30864"/>
    <w:multiLevelType w:val="multilevel"/>
    <w:tmpl w:val="353E0F8A"/>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76561AB"/>
    <w:multiLevelType w:val="hybridMultilevel"/>
    <w:tmpl w:val="35520482"/>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8">
    <w:nsid w:val="694F3F7B"/>
    <w:multiLevelType w:val="multilevel"/>
    <w:tmpl w:val="86CA8F84"/>
    <w:lvl w:ilvl="0">
      <w:start w:val="2"/>
      <w:numFmt w:val="decimal"/>
      <w:lvlText w:val="%1."/>
      <w:lvlJc w:val="left"/>
      <w:pPr>
        <w:tabs>
          <w:tab w:val="num" w:pos="1260"/>
        </w:tabs>
        <w:ind w:left="1260" w:hanging="1260"/>
      </w:pPr>
      <w:rPr>
        <w:rFonts w:hint="default"/>
        <w:b w:val="0"/>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9">
    <w:nsid w:val="6F8F21D7"/>
    <w:multiLevelType w:val="hybridMultilevel"/>
    <w:tmpl w:val="DAA0BE0C"/>
    <w:lvl w:ilvl="0" w:tplc="0F523B72">
      <w:start w:val="9"/>
      <w:numFmt w:val="decimal"/>
      <w:lvlText w:val="%1"/>
      <w:lvlJc w:val="left"/>
      <w:pPr>
        <w:tabs>
          <w:tab w:val="num" w:pos="1620"/>
        </w:tabs>
        <w:ind w:left="1620" w:hanging="12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0605DFB"/>
    <w:multiLevelType w:val="multilevel"/>
    <w:tmpl w:val="4A0AC298"/>
    <w:lvl w:ilvl="0">
      <w:start w:val="6"/>
      <w:numFmt w:val="decimal"/>
      <w:lvlText w:val="%1"/>
      <w:lvlJc w:val="left"/>
      <w:pPr>
        <w:tabs>
          <w:tab w:val="num" w:pos="1335"/>
        </w:tabs>
        <w:ind w:left="1335" w:hanging="1335"/>
      </w:pPr>
      <w:rPr>
        <w:rFonts w:hint="default"/>
      </w:rPr>
    </w:lvl>
    <w:lvl w:ilvl="1">
      <w:start w:val="4"/>
      <w:numFmt w:val="decimal"/>
      <w:lvlText w:val="%1.%2"/>
      <w:lvlJc w:val="left"/>
      <w:pPr>
        <w:tabs>
          <w:tab w:val="num" w:pos="1335"/>
        </w:tabs>
        <w:ind w:left="1335" w:hanging="1335"/>
      </w:pPr>
      <w:rPr>
        <w:rFonts w:hint="default"/>
      </w:rPr>
    </w:lvl>
    <w:lvl w:ilvl="2">
      <w:start w:val="1"/>
      <w:numFmt w:val="decimal"/>
      <w:lvlText w:val="%1.%2.%3"/>
      <w:lvlJc w:val="left"/>
      <w:pPr>
        <w:tabs>
          <w:tab w:val="num" w:pos="1335"/>
        </w:tabs>
        <w:ind w:left="1335" w:hanging="1335"/>
      </w:pPr>
      <w:rPr>
        <w:rFonts w:hint="default"/>
      </w:rPr>
    </w:lvl>
    <w:lvl w:ilvl="3">
      <w:start w:val="1"/>
      <w:numFmt w:val="decimal"/>
      <w:lvlText w:val="%1.%2.%3.%4"/>
      <w:lvlJc w:val="left"/>
      <w:pPr>
        <w:tabs>
          <w:tab w:val="num" w:pos="1335"/>
        </w:tabs>
        <w:ind w:left="1335" w:hanging="1335"/>
      </w:pPr>
      <w:rPr>
        <w:rFonts w:hint="default"/>
      </w:rPr>
    </w:lvl>
    <w:lvl w:ilvl="4">
      <w:start w:val="1"/>
      <w:numFmt w:val="decimal"/>
      <w:lvlText w:val="%1.%2.%3.%4.%5"/>
      <w:lvlJc w:val="left"/>
      <w:pPr>
        <w:tabs>
          <w:tab w:val="num" w:pos="1335"/>
        </w:tabs>
        <w:ind w:left="1335" w:hanging="1335"/>
      </w:pPr>
      <w:rPr>
        <w:rFonts w:hint="default"/>
      </w:rPr>
    </w:lvl>
    <w:lvl w:ilvl="5">
      <w:start w:val="1"/>
      <w:numFmt w:val="decimal"/>
      <w:lvlText w:val="%1.%2.%3.%4.%5.%6"/>
      <w:lvlJc w:val="left"/>
      <w:pPr>
        <w:tabs>
          <w:tab w:val="num" w:pos="1335"/>
        </w:tabs>
        <w:ind w:left="1335" w:hanging="133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1EE786A"/>
    <w:multiLevelType w:val="hybridMultilevel"/>
    <w:tmpl w:val="7CC64008"/>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32">
    <w:nsid w:val="75D3752B"/>
    <w:multiLevelType w:val="multilevel"/>
    <w:tmpl w:val="0FDE124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9FC0AFA"/>
    <w:multiLevelType w:val="hybridMultilevel"/>
    <w:tmpl w:val="B7EA3520"/>
    <w:lvl w:ilvl="0" w:tplc="08090005">
      <w:start w:val="1"/>
      <w:numFmt w:val="bullet"/>
      <w:lvlText w:val=""/>
      <w:lvlJc w:val="left"/>
      <w:pPr>
        <w:tabs>
          <w:tab w:val="num" w:pos="1620"/>
        </w:tabs>
        <w:ind w:left="1620" w:hanging="360"/>
      </w:pPr>
      <w:rPr>
        <w:rFonts w:ascii="Wingdings" w:hAnsi="Wingdings"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4">
    <w:nsid w:val="7FA76F81"/>
    <w:multiLevelType w:val="multilevel"/>
    <w:tmpl w:val="F59C02F4"/>
    <w:lvl w:ilvl="0">
      <w:start w:val="2"/>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0"/>
  </w:num>
  <w:num w:numId="3">
    <w:abstractNumId w:val="10"/>
  </w:num>
  <w:num w:numId="4">
    <w:abstractNumId w:val="22"/>
  </w:num>
  <w:num w:numId="5">
    <w:abstractNumId w:val="25"/>
  </w:num>
  <w:num w:numId="6">
    <w:abstractNumId w:val="7"/>
  </w:num>
  <w:num w:numId="7">
    <w:abstractNumId w:val="31"/>
  </w:num>
  <w:num w:numId="8">
    <w:abstractNumId w:val="23"/>
  </w:num>
  <w:num w:numId="9">
    <w:abstractNumId w:val="4"/>
  </w:num>
  <w:num w:numId="10">
    <w:abstractNumId w:val="29"/>
  </w:num>
  <w:num w:numId="11">
    <w:abstractNumId w:val="6"/>
  </w:num>
  <w:num w:numId="12">
    <w:abstractNumId w:val="18"/>
  </w:num>
  <w:num w:numId="13">
    <w:abstractNumId w:val="26"/>
  </w:num>
  <w:num w:numId="14">
    <w:abstractNumId w:val="5"/>
  </w:num>
  <w:num w:numId="15">
    <w:abstractNumId w:val="28"/>
  </w:num>
  <w:num w:numId="16">
    <w:abstractNumId w:val="15"/>
  </w:num>
  <w:num w:numId="17">
    <w:abstractNumId w:val="19"/>
  </w:num>
  <w:num w:numId="18">
    <w:abstractNumId w:val="1"/>
  </w:num>
  <w:num w:numId="19">
    <w:abstractNumId w:val="13"/>
  </w:num>
  <w:num w:numId="20">
    <w:abstractNumId w:val="24"/>
  </w:num>
  <w:num w:numId="21">
    <w:abstractNumId w:val="3"/>
  </w:num>
  <w:num w:numId="22">
    <w:abstractNumId w:val="17"/>
  </w:num>
  <w:num w:numId="23">
    <w:abstractNumId w:val="9"/>
  </w:num>
  <w:num w:numId="24">
    <w:abstractNumId w:val="33"/>
  </w:num>
  <w:num w:numId="25">
    <w:abstractNumId w:val="14"/>
  </w:num>
  <w:num w:numId="26">
    <w:abstractNumId w:val="21"/>
  </w:num>
  <w:num w:numId="27">
    <w:abstractNumId w:val="30"/>
  </w:num>
  <w:num w:numId="28">
    <w:abstractNumId w:val="34"/>
  </w:num>
  <w:num w:numId="29">
    <w:abstractNumId w:val="2"/>
  </w:num>
  <w:num w:numId="30">
    <w:abstractNumId w:val="32"/>
  </w:num>
  <w:num w:numId="31">
    <w:abstractNumId w:val="12"/>
  </w:num>
  <w:num w:numId="32">
    <w:abstractNumId w:val="27"/>
  </w:num>
  <w:num w:numId="33">
    <w:abstractNumId w:val="20"/>
  </w:num>
  <w:num w:numId="34">
    <w:abstractNumId w:val="1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30B"/>
    <w:rsid w:val="00003045"/>
    <w:rsid w:val="00004661"/>
    <w:rsid w:val="0000715D"/>
    <w:rsid w:val="000076E6"/>
    <w:rsid w:val="000101DE"/>
    <w:rsid w:val="0001110D"/>
    <w:rsid w:val="00011910"/>
    <w:rsid w:val="00012B4D"/>
    <w:rsid w:val="0001383E"/>
    <w:rsid w:val="0002592D"/>
    <w:rsid w:val="0003014A"/>
    <w:rsid w:val="000303BC"/>
    <w:rsid w:val="0003152A"/>
    <w:rsid w:val="00043BB1"/>
    <w:rsid w:val="000503BE"/>
    <w:rsid w:val="000521BD"/>
    <w:rsid w:val="00057939"/>
    <w:rsid w:val="00063A57"/>
    <w:rsid w:val="0006506B"/>
    <w:rsid w:val="00065DA9"/>
    <w:rsid w:val="00066FBC"/>
    <w:rsid w:val="00071A3A"/>
    <w:rsid w:val="00074622"/>
    <w:rsid w:val="0007504B"/>
    <w:rsid w:val="00075478"/>
    <w:rsid w:val="00076B75"/>
    <w:rsid w:val="00082385"/>
    <w:rsid w:val="00082A39"/>
    <w:rsid w:val="00084E41"/>
    <w:rsid w:val="00085ACF"/>
    <w:rsid w:val="00087582"/>
    <w:rsid w:val="00090943"/>
    <w:rsid w:val="00094FAF"/>
    <w:rsid w:val="00097C35"/>
    <w:rsid w:val="000A03A7"/>
    <w:rsid w:val="000A068B"/>
    <w:rsid w:val="000A4F6F"/>
    <w:rsid w:val="000A51A2"/>
    <w:rsid w:val="000C31DE"/>
    <w:rsid w:val="000C3A9F"/>
    <w:rsid w:val="000E2982"/>
    <w:rsid w:val="000E7A74"/>
    <w:rsid w:val="000E7EDD"/>
    <w:rsid w:val="000F0C40"/>
    <w:rsid w:val="000F1D74"/>
    <w:rsid w:val="000F256E"/>
    <w:rsid w:val="00101E43"/>
    <w:rsid w:val="00102FC6"/>
    <w:rsid w:val="00110096"/>
    <w:rsid w:val="00114637"/>
    <w:rsid w:val="00123374"/>
    <w:rsid w:val="00126352"/>
    <w:rsid w:val="00127B66"/>
    <w:rsid w:val="00132C07"/>
    <w:rsid w:val="001402B6"/>
    <w:rsid w:val="00145145"/>
    <w:rsid w:val="00145984"/>
    <w:rsid w:val="00145A6D"/>
    <w:rsid w:val="0014717E"/>
    <w:rsid w:val="001556DE"/>
    <w:rsid w:val="0016063E"/>
    <w:rsid w:val="00165D26"/>
    <w:rsid w:val="00174D0B"/>
    <w:rsid w:val="00175D6A"/>
    <w:rsid w:val="00180711"/>
    <w:rsid w:val="00180C7E"/>
    <w:rsid w:val="001810A9"/>
    <w:rsid w:val="00185A50"/>
    <w:rsid w:val="00195685"/>
    <w:rsid w:val="00196D8F"/>
    <w:rsid w:val="001A3E2E"/>
    <w:rsid w:val="001A7F09"/>
    <w:rsid w:val="001B7AF5"/>
    <w:rsid w:val="001C3557"/>
    <w:rsid w:val="001C3905"/>
    <w:rsid w:val="001C3FFB"/>
    <w:rsid w:val="001C7314"/>
    <w:rsid w:val="001E0A07"/>
    <w:rsid w:val="001E0FF6"/>
    <w:rsid w:val="001E23B7"/>
    <w:rsid w:val="001E267B"/>
    <w:rsid w:val="001E3D9E"/>
    <w:rsid w:val="001F2DCD"/>
    <w:rsid w:val="00201E01"/>
    <w:rsid w:val="00203B89"/>
    <w:rsid w:val="00203C20"/>
    <w:rsid w:val="00211467"/>
    <w:rsid w:val="00215DD2"/>
    <w:rsid w:val="00221ADD"/>
    <w:rsid w:val="002239A3"/>
    <w:rsid w:val="00223DAB"/>
    <w:rsid w:val="00224088"/>
    <w:rsid w:val="00230110"/>
    <w:rsid w:val="002366EB"/>
    <w:rsid w:val="002401C9"/>
    <w:rsid w:val="002407C7"/>
    <w:rsid w:val="00241330"/>
    <w:rsid w:val="00242CB6"/>
    <w:rsid w:val="0024760A"/>
    <w:rsid w:val="00247A57"/>
    <w:rsid w:val="00253E52"/>
    <w:rsid w:val="00254811"/>
    <w:rsid w:val="002549FA"/>
    <w:rsid w:val="002569C7"/>
    <w:rsid w:val="00270B0E"/>
    <w:rsid w:val="00274C92"/>
    <w:rsid w:val="0028175A"/>
    <w:rsid w:val="00281E26"/>
    <w:rsid w:val="002910E3"/>
    <w:rsid w:val="00291B05"/>
    <w:rsid w:val="00294A2F"/>
    <w:rsid w:val="00295D88"/>
    <w:rsid w:val="002A0E77"/>
    <w:rsid w:val="002A3958"/>
    <w:rsid w:val="002A5005"/>
    <w:rsid w:val="002A55C4"/>
    <w:rsid w:val="002A7D4F"/>
    <w:rsid w:val="002B03E3"/>
    <w:rsid w:val="002B31E8"/>
    <w:rsid w:val="002C08E1"/>
    <w:rsid w:val="002C18DB"/>
    <w:rsid w:val="002C63AD"/>
    <w:rsid w:val="002C7C45"/>
    <w:rsid w:val="002D0A63"/>
    <w:rsid w:val="002D3E24"/>
    <w:rsid w:val="002E0C16"/>
    <w:rsid w:val="002E1C31"/>
    <w:rsid w:val="002E2E3E"/>
    <w:rsid w:val="002E3C59"/>
    <w:rsid w:val="002E6149"/>
    <w:rsid w:val="002F4EB2"/>
    <w:rsid w:val="002F5AE2"/>
    <w:rsid w:val="003012EC"/>
    <w:rsid w:val="00302A53"/>
    <w:rsid w:val="00317D8B"/>
    <w:rsid w:val="0033559B"/>
    <w:rsid w:val="00345350"/>
    <w:rsid w:val="003479CD"/>
    <w:rsid w:val="00347B82"/>
    <w:rsid w:val="00347DAE"/>
    <w:rsid w:val="00353073"/>
    <w:rsid w:val="00355B4F"/>
    <w:rsid w:val="00360791"/>
    <w:rsid w:val="00361612"/>
    <w:rsid w:val="003722F0"/>
    <w:rsid w:val="003739D3"/>
    <w:rsid w:val="00373A20"/>
    <w:rsid w:val="00385ADF"/>
    <w:rsid w:val="003872DF"/>
    <w:rsid w:val="003900B1"/>
    <w:rsid w:val="00397182"/>
    <w:rsid w:val="003A0093"/>
    <w:rsid w:val="003A4354"/>
    <w:rsid w:val="003A6D76"/>
    <w:rsid w:val="003B12B7"/>
    <w:rsid w:val="003B2191"/>
    <w:rsid w:val="003B23F3"/>
    <w:rsid w:val="003B3D07"/>
    <w:rsid w:val="003B4226"/>
    <w:rsid w:val="003B7108"/>
    <w:rsid w:val="003C1994"/>
    <w:rsid w:val="003C770B"/>
    <w:rsid w:val="003D5D0F"/>
    <w:rsid w:val="003D6D10"/>
    <w:rsid w:val="003E3B1F"/>
    <w:rsid w:val="003E467B"/>
    <w:rsid w:val="003E6AC9"/>
    <w:rsid w:val="003E7878"/>
    <w:rsid w:val="003F25C0"/>
    <w:rsid w:val="003F2F8C"/>
    <w:rsid w:val="003F3375"/>
    <w:rsid w:val="003F4EF7"/>
    <w:rsid w:val="003F7DCB"/>
    <w:rsid w:val="004079BD"/>
    <w:rsid w:val="0041439F"/>
    <w:rsid w:val="00416FE0"/>
    <w:rsid w:val="00422721"/>
    <w:rsid w:val="00422D7C"/>
    <w:rsid w:val="00423EFE"/>
    <w:rsid w:val="00430BA1"/>
    <w:rsid w:val="004420EB"/>
    <w:rsid w:val="004438D1"/>
    <w:rsid w:val="0045177A"/>
    <w:rsid w:val="00460B64"/>
    <w:rsid w:val="0046238C"/>
    <w:rsid w:val="0047077A"/>
    <w:rsid w:val="00471E11"/>
    <w:rsid w:val="0047247F"/>
    <w:rsid w:val="004763C3"/>
    <w:rsid w:val="00476939"/>
    <w:rsid w:val="00480799"/>
    <w:rsid w:val="00481852"/>
    <w:rsid w:val="004A049C"/>
    <w:rsid w:val="004A084D"/>
    <w:rsid w:val="004B3DCC"/>
    <w:rsid w:val="004B6BDD"/>
    <w:rsid w:val="004C0913"/>
    <w:rsid w:val="004C0F74"/>
    <w:rsid w:val="004E0CF7"/>
    <w:rsid w:val="004E28C7"/>
    <w:rsid w:val="004E31E6"/>
    <w:rsid w:val="004E3356"/>
    <w:rsid w:val="004E780F"/>
    <w:rsid w:val="004F170A"/>
    <w:rsid w:val="004F43EC"/>
    <w:rsid w:val="00502700"/>
    <w:rsid w:val="00504773"/>
    <w:rsid w:val="0050624E"/>
    <w:rsid w:val="00512507"/>
    <w:rsid w:val="005125C7"/>
    <w:rsid w:val="005153C6"/>
    <w:rsid w:val="00533F4B"/>
    <w:rsid w:val="00546D84"/>
    <w:rsid w:val="005513BF"/>
    <w:rsid w:val="0055396E"/>
    <w:rsid w:val="005624BC"/>
    <w:rsid w:val="00562EAF"/>
    <w:rsid w:val="00576961"/>
    <w:rsid w:val="0058112B"/>
    <w:rsid w:val="0059031D"/>
    <w:rsid w:val="0059687A"/>
    <w:rsid w:val="005970DB"/>
    <w:rsid w:val="005A28AC"/>
    <w:rsid w:val="005A3853"/>
    <w:rsid w:val="005A5EEE"/>
    <w:rsid w:val="005A6E91"/>
    <w:rsid w:val="005A72BE"/>
    <w:rsid w:val="005B29E2"/>
    <w:rsid w:val="005C12F9"/>
    <w:rsid w:val="005C4D71"/>
    <w:rsid w:val="005C50CD"/>
    <w:rsid w:val="005C5E36"/>
    <w:rsid w:val="005F1C18"/>
    <w:rsid w:val="005F6BD2"/>
    <w:rsid w:val="006009BC"/>
    <w:rsid w:val="00607FB6"/>
    <w:rsid w:val="006124A9"/>
    <w:rsid w:val="00614D62"/>
    <w:rsid w:val="00617682"/>
    <w:rsid w:val="00621DFF"/>
    <w:rsid w:val="00626ADC"/>
    <w:rsid w:val="006302B0"/>
    <w:rsid w:val="00630ACD"/>
    <w:rsid w:val="00632523"/>
    <w:rsid w:val="00632B5A"/>
    <w:rsid w:val="00635316"/>
    <w:rsid w:val="00635EF0"/>
    <w:rsid w:val="0064113D"/>
    <w:rsid w:val="00647C03"/>
    <w:rsid w:val="00654EF3"/>
    <w:rsid w:val="00655575"/>
    <w:rsid w:val="00670047"/>
    <w:rsid w:val="0067012B"/>
    <w:rsid w:val="00672056"/>
    <w:rsid w:val="00672E45"/>
    <w:rsid w:val="00675588"/>
    <w:rsid w:val="00681A92"/>
    <w:rsid w:val="0068645D"/>
    <w:rsid w:val="006934E8"/>
    <w:rsid w:val="006A527B"/>
    <w:rsid w:val="006A611B"/>
    <w:rsid w:val="006B1E3C"/>
    <w:rsid w:val="006B2BAC"/>
    <w:rsid w:val="006B3AE2"/>
    <w:rsid w:val="006B4297"/>
    <w:rsid w:val="006B540F"/>
    <w:rsid w:val="006C56FB"/>
    <w:rsid w:val="006C63FA"/>
    <w:rsid w:val="006C65C5"/>
    <w:rsid w:val="006D6DF1"/>
    <w:rsid w:val="006E0B26"/>
    <w:rsid w:val="006E177E"/>
    <w:rsid w:val="006E5E47"/>
    <w:rsid w:val="006E7D41"/>
    <w:rsid w:val="006F11CA"/>
    <w:rsid w:val="006F16CA"/>
    <w:rsid w:val="006F1EED"/>
    <w:rsid w:val="0070178D"/>
    <w:rsid w:val="00702B39"/>
    <w:rsid w:val="007049B8"/>
    <w:rsid w:val="00716ED3"/>
    <w:rsid w:val="007200AD"/>
    <w:rsid w:val="00720384"/>
    <w:rsid w:val="00723156"/>
    <w:rsid w:val="0073217E"/>
    <w:rsid w:val="00735929"/>
    <w:rsid w:val="00735FB1"/>
    <w:rsid w:val="00746FCD"/>
    <w:rsid w:val="007517D4"/>
    <w:rsid w:val="00756903"/>
    <w:rsid w:val="0076118C"/>
    <w:rsid w:val="00763ADE"/>
    <w:rsid w:val="00767560"/>
    <w:rsid w:val="00767AC9"/>
    <w:rsid w:val="00785B9B"/>
    <w:rsid w:val="007871DF"/>
    <w:rsid w:val="00787626"/>
    <w:rsid w:val="0079114D"/>
    <w:rsid w:val="00791E82"/>
    <w:rsid w:val="00792ED7"/>
    <w:rsid w:val="007940B5"/>
    <w:rsid w:val="00795002"/>
    <w:rsid w:val="007A620E"/>
    <w:rsid w:val="007A6308"/>
    <w:rsid w:val="007A73BD"/>
    <w:rsid w:val="007B21D3"/>
    <w:rsid w:val="007B304F"/>
    <w:rsid w:val="007B5569"/>
    <w:rsid w:val="007B5C45"/>
    <w:rsid w:val="007C3815"/>
    <w:rsid w:val="007C6399"/>
    <w:rsid w:val="007C6FF1"/>
    <w:rsid w:val="007D722E"/>
    <w:rsid w:val="007E2118"/>
    <w:rsid w:val="007F000D"/>
    <w:rsid w:val="007F2FA5"/>
    <w:rsid w:val="00801181"/>
    <w:rsid w:val="00805D0F"/>
    <w:rsid w:val="00805E25"/>
    <w:rsid w:val="0081190F"/>
    <w:rsid w:val="00815E08"/>
    <w:rsid w:val="00817073"/>
    <w:rsid w:val="0082055F"/>
    <w:rsid w:val="00821BA0"/>
    <w:rsid w:val="00822280"/>
    <w:rsid w:val="00822AB3"/>
    <w:rsid w:val="008267F1"/>
    <w:rsid w:val="00830031"/>
    <w:rsid w:val="00834814"/>
    <w:rsid w:val="00840E53"/>
    <w:rsid w:val="00845C3A"/>
    <w:rsid w:val="0084617F"/>
    <w:rsid w:val="00855830"/>
    <w:rsid w:val="00863115"/>
    <w:rsid w:val="00870FA7"/>
    <w:rsid w:val="00875A1A"/>
    <w:rsid w:val="00876667"/>
    <w:rsid w:val="00876E9D"/>
    <w:rsid w:val="00877DA6"/>
    <w:rsid w:val="00883E7B"/>
    <w:rsid w:val="00884024"/>
    <w:rsid w:val="00885C90"/>
    <w:rsid w:val="00885E9C"/>
    <w:rsid w:val="008A1473"/>
    <w:rsid w:val="008A256E"/>
    <w:rsid w:val="008A2C7B"/>
    <w:rsid w:val="008C34B4"/>
    <w:rsid w:val="008C36E6"/>
    <w:rsid w:val="008C7227"/>
    <w:rsid w:val="008D28A6"/>
    <w:rsid w:val="008D5843"/>
    <w:rsid w:val="008E3563"/>
    <w:rsid w:val="008E7DD4"/>
    <w:rsid w:val="008F0EA1"/>
    <w:rsid w:val="008F2659"/>
    <w:rsid w:val="008F27DE"/>
    <w:rsid w:val="008F556A"/>
    <w:rsid w:val="008F6E38"/>
    <w:rsid w:val="00900B79"/>
    <w:rsid w:val="00900F18"/>
    <w:rsid w:val="009017AE"/>
    <w:rsid w:val="00916ABC"/>
    <w:rsid w:val="009257E6"/>
    <w:rsid w:val="0093028D"/>
    <w:rsid w:val="009343E5"/>
    <w:rsid w:val="00944077"/>
    <w:rsid w:val="00946FD5"/>
    <w:rsid w:val="0095170B"/>
    <w:rsid w:val="0095619D"/>
    <w:rsid w:val="00957054"/>
    <w:rsid w:val="00957B8D"/>
    <w:rsid w:val="00965B9D"/>
    <w:rsid w:val="00967D4A"/>
    <w:rsid w:val="00973A82"/>
    <w:rsid w:val="00973CDB"/>
    <w:rsid w:val="009777F3"/>
    <w:rsid w:val="00984D78"/>
    <w:rsid w:val="00997B0D"/>
    <w:rsid w:val="009A0DE5"/>
    <w:rsid w:val="009A24C3"/>
    <w:rsid w:val="009B19E2"/>
    <w:rsid w:val="009B30AD"/>
    <w:rsid w:val="009B6ED5"/>
    <w:rsid w:val="009D17AD"/>
    <w:rsid w:val="009D4BCB"/>
    <w:rsid w:val="009D73E0"/>
    <w:rsid w:val="009E0C43"/>
    <w:rsid w:val="009E2688"/>
    <w:rsid w:val="009E26E9"/>
    <w:rsid w:val="009E2FE3"/>
    <w:rsid w:val="009E46F1"/>
    <w:rsid w:val="009E562E"/>
    <w:rsid w:val="009E6E9F"/>
    <w:rsid w:val="009F103D"/>
    <w:rsid w:val="009F7DD0"/>
    <w:rsid w:val="00A10843"/>
    <w:rsid w:val="00A11C53"/>
    <w:rsid w:val="00A133A1"/>
    <w:rsid w:val="00A21DC3"/>
    <w:rsid w:val="00A23278"/>
    <w:rsid w:val="00A31F1C"/>
    <w:rsid w:val="00A36804"/>
    <w:rsid w:val="00A42B74"/>
    <w:rsid w:val="00A44AF1"/>
    <w:rsid w:val="00A53F7B"/>
    <w:rsid w:val="00A57204"/>
    <w:rsid w:val="00A621A6"/>
    <w:rsid w:val="00A6552D"/>
    <w:rsid w:val="00A661D6"/>
    <w:rsid w:val="00A6630B"/>
    <w:rsid w:val="00A7013D"/>
    <w:rsid w:val="00A71B45"/>
    <w:rsid w:val="00A82462"/>
    <w:rsid w:val="00A82B80"/>
    <w:rsid w:val="00A83A63"/>
    <w:rsid w:val="00A84C7A"/>
    <w:rsid w:val="00A86E60"/>
    <w:rsid w:val="00A87865"/>
    <w:rsid w:val="00A90948"/>
    <w:rsid w:val="00A916C6"/>
    <w:rsid w:val="00AA26CB"/>
    <w:rsid w:val="00AA2E1F"/>
    <w:rsid w:val="00AA50C0"/>
    <w:rsid w:val="00AB3176"/>
    <w:rsid w:val="00AB629E"/>
    <w:rsid w:val="00AC06BE"/>
    <w:rsid w:val="00AC4831"/>
    <w:rsid w:val="00AC6D43"/>
    <w:rsid w:val="00AD0A5D"/>
    <w:rsid w:val="00AE594E"/>
    <w:rsid w:val="00AE7E04"/>
    <w:rsid w:val="00AF6AAB"/>
    <w:rsid w:val="00B00059"/>
    <w:rsid w:val="00B00F86"/>
    <w:rsid w:val="00B03DB4"/>
    <w:rsid w:val="00B05CFC"/>
    <w:rsid w:val="00B06D90"/>
    <w:rsid w:val="00B1037A"/>
    <w:rsid w:val="00B247C3"/>
    <w:rsid w:val="00B25D9A"/>
    <w:rsid w:val="00B35C27"/>
    <w:rsid w:val="00B362EA"/>
    <w:rsid w:val="00B4415F"/>
    <w:rsid w:val="00B47E4C"/>
    <w:rsid w:val="00B47E54"/>
    <w:rsid w:val="00B54EDF"/>
    <w:rsid w:val="00B561BD"/>
    <w:rsid w:val="00B57823"/>
    <w:rsid w:val="00B64B20"/>
    <w:rsid w:val="00B66F50"/>
    <w:rsid w:val="00B672B5"/>
    <w:rsid w:val="00B676C3"/>
    <w:rsid w:val="00B67C8B"/>
    <w:rsid w:val="00B7181D"/>
    <w:rsid w:val="00B722A6"/>
    <w:rsid w:val="00B75474"/>
    <w:rsid w:val="00B76515"/>
    <w:rsid w:val="00B776F8"/>
    <w:rsid w:val="00B779BB"/>
    <w:rsid w:val="00B81DBB"/>
    <w:rsid w:val="00B87010"/>
    <w:rsid w:val="00B9156F"/>
    <w:rsid w:val="00BA1446"/>
    <w:rsid w:val="00BA4950"/>
    <w:rsid w:val="00BA4C17"/>
    <w:rsid w:val="00BB31A6"/>
    <w:rsid w:val="00BB5D1B"/>
    <w:rsid w:val="00BC5BFF"/>
    <w:rsid w:val="00BD0950"/>
    <w:rsid w:val="00BD36CD"/>
    <w:rsid w:val="00BE056D"/>
    <w:rsid w:val="00BE06B5"/>
    <w:rsid w:val="00BE0D07"/>
    <w:rsid w:val="00BE4FC7"/>
    <w:rsid w:val="00BE6A07"/>
    <w:rsid w:val="00BE72AD"/>
    <w:rsid w:val="00BE7450"/>
    <w:rsid w:val="00BF0ED5"/>
    <w:rsid w:val="00BF43A7"/>
    <w:rsid w:val="00BF4AF2"/>
    <w:rsid w:val="00C03279"/>
    <w:rsid w:val="00C0546D"/>
    <w:rsid w:val="00C11983"/>
    <w:rsid w:val="00C215E6"/>
    <w:rsid w:val="00C24EAF"/>
    <w:rsid w:val="00C257E9"/>
    <w:rsid w:val="00C31E8A"/>
    <w:rsid w:val="00C333A7"/>
    <w:rsid w:val="00C34151"/>
    <w:rsid w:val="00C35F8B"/>
    <w:rsid w:val="00C37CBD"/>
    <w:rsid w:val="00C467C6"/>
    <w:rsid w:val="00C47004"/>
    <w:rsid w:val="00C536F0"/>
    <w:rsid w:val="00C567D1"/>
    <w:rsid w:val="00C575CD"/>
    <w:rsid w:val="00C63202"/>
    <w:rsid w:val="00C70449"/>
    <w:rsid w:val="00C74AF3"/>
    <w:rsid w:val="00C80923"/>
    <w:rsid w:val="00C952A6"/>
    <w:rsid w:val="00CA59C1"/>
    <w:rsid w:val="00CA5AF0"/>
    <w:rsid w:val="00CB1A5B"/>
    <w:rsid w:val="00CB1AB7"/>
    <w:rsid w:val="00CC0477"/>
    <w:rsid w:val="00CC590B"/>
    <w:rsid w:val="00CD2200"/>
    <w:rsid w:val="00CD6865"/>
    <w:rsid w:val="00CE2D77"/>
    <w:rsid w:val="00CE2EF7"/>
    <w:rsid w:val="00CF0EAD"/>
    <w:rsid w:val="00CF1033"/>
    <w:rsid w:val="00CF2935"/>
    <w:rsid w:val="00CF344B"/>
    <w:rsid w:val="00CF3D9A"/>
    <w:rsid w:val="00CF6024"/>
    <w:rsid w:val="00D10432"/>
    <w:rsid w:val="00D10B16"/>
    <w:rsid w:val="00D16472"/>
    <w:rsid w:val="00D179A8"/>
    <w:rsid w:val="00D2402D"/>
    <w:rsid w:val="00D30DF4"/>
    <w:rsid w:val="00D3441B"/>
    <w:rsid w:val="00D34427"/>
    <w:rsid w:val="00D366B7"/>
    <w:rsid w:val="00D41E7E"/>
    <w:rsid w:val="00D51062"/>
    <w:rsid w:val="00D60935"/>
    <w:rsid w:val="00D630C5"/>
    <w:rsid w:val="00D66D72"/>
    <w:rsid w:val="00D740F8"/>
    <w:rsid w:val="00D751EA"/>
    <w:rsid w:val="00D80395"/>
    <w:rsid w:val="00D81D14"/>
    <w:rsid w:val="00D82603"/>
    <w:rsid w:val="00D82FD7"/>
    <w:rsid w:val="00D850BD"/>
    <w:rsid w:val="00D90EB7"/>
    <w:rsid w:val="00D93C83"/>
    <w:rsid w:val="00D949C0"/>
    <w:rsid w:val="00DA642C"/>
    <w:rsid w:val="00DA68C3"/>
    <w:rsid w:val="00DB2676"/>
    <w:rsid w:val="00DB35CA"/>
    <w:rsid w:val="00DC1332"/>
    <w:rsid w:val="00DC3042"/>
    <w:rsid w:val="00DC424F"/>
    <w:rsid w:val="00DD10F7"/>
    <w:rsid w:val="00DD7EC0"/>
    <w:rsid w:val="00DE4080"/>
    <w:rsid w:val="00DE54D9"/>
    <w:rsid w:val="00DE6153"/>
    <w:rsid w:val="00DE76EE"/>
    <w:rsid w:val="00DF5EBD"/>
    <w:rsid w:val="00DF6298"/>
    <w:rsid w:val="00E01F01"/>
    <w:rsid w:val="00E028F9"/>
    <w:rsid w:val="00E05D0D"/>
    <w:rsid w:val="00E1056D"/>
    <w:rsid w:val="00E16AE9"/>
    <w:rsid w:val="00E20222"/>
    <w:rsid w:val="00E2344D"/>
    <w:rsid w:val="00E255D7"/>
    <w:rsid w:val="00E30AA8"/>
    <w:rsid w:val="00E310F4"/>
    <w:rsid w:val="00E31DD2"/>
    <w:rsid w:val="00E31FD4"/>
    <w:rsid w:val="00E32A86"/>
    <w:rsid w:val="00E33588"/>
    <w:rsid w:val="00E34AFC"/>
    <w:rsid w:val="00E4507A"/>
    <w:rsid w:val="00E452AC"/>
    <w:rsid w:val="00E45576"/>
    <w:rsid w:val="00E462B2"/>
    <w:rsid w:val="00E478F1"/>
    <w:rsid w:val="00E53381"/>
    <w:rsid w:val="00E54A3A"/>
    <w:rsid w:val="00E5712E"/>
    <w:rsid w:val="00E57855"/>
    <w:rsid w:val="00E61F3F"/>
    <w:rsid w:val="00E6242E"/>
    <w:rsid w:val="00E624AA"/>
    <w:rsid w:val="00E629C6"/>
    <w:rsid w:val="00E65462"/>
    <w:rsid w:val="00E7011C"/>
    <w:rsid w:val="00E70D39"/>
    <w:rsid w:val="00E77E35"/>
    <w:rsid w:val="00E828E7"/>
    <w:rsid w:val="00E9688B"/>
    <w:rsid w:val="00EA1457"/>
    <w:rsid w:val="00EB5091"/>
    <w:rsid w:val="00EB66D3"/>
    <w:rsid w:val="00EB707B"/>
    <w:rsid w:val="00EC4A4F"/>
    <w:rsid w:val="00ED1903"/>
    <w:rsid w:val="00ED28B4"/>
    <w:rsid w:val="00ED53FA"/>
    <w:rsid w:val="00ED5837"/>
    <w:rsid w:val="00EE151E"/>
    <w:rsid w:val="00EE72F8"/>
    <w:rsid w:val="00EF6D27"/>
    <w:rsid w:val="00F02DCA"/>
    <w:rsid w:val="00F0377C"/>
    <w:rsid w:val="00F057AE"/>
    <w:rsid w:val="00F075B3"/>
    <w:rsid w:val="00F12C1E"/>
    <w:rsid w:val="00F174C1"/>
    <w:rsid w:val="00F176CA"/>
    <w:rsid w:val="00F17F5E"/>
    <w:rsid w:val="00F20195"/>
    <w:rsid w:val="00F2044E"/>
    <w:rsid w:val="00F241B8"/>
    <w:rsid w:val="00F3256B"/>
    <w:rsid w:val="00F33A9D"/>
    <w:rsid w:val="00F366C1"/>
    <w:rsid w:val="00F4144B"/>
    <w:rsid w:val="00F425AD"/>
    <w:rsid w:val="00F42EAC"/>
    <w:rsid w:val="00F62956"/>
    <w:rsid w:val="00F62C05"/>
    <w:rsid w:val="00F636C2"/>
    <w:rsid w:val="00F65288"/>
    <w:rsid w:val="00F751D9"/>
    <w:rsid w:val="00F80B47"/>
    <w:rsid w:val="00F85C79"/>
    <w:rsid w:val="00F8673D"/>
    <w:rsid w:val="00F90ED4"/>
    <w:rsid w:val="00F9393D"/>
    <w:rsid w:val="00F93D21"/>
    <w:rsid w:val="00FA096C"/>
    <w:rsid w:val="00FA301C"/>
    <w:rsid w:val="00FA3202"/>
    <w:rsid w:val="00FA699C"/>
    <w:rsid w:val="00FB1318"/>
    <w:rsid w:val="00FB41E9"/>
    <w:rsid w:val="00FC3B05"/>
    <w:rsid w:val="00FD020F"/>
    <w:rsid w:val="00FD48B6"/>
    <w:rsid w:val="00FF2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D9A"/>
    <w:rPr>
      <w:color w:val="0000FF"/>
      <w:u w:val="single"/>
    </w:rPr>
  </w:style>
  <w:style w:type="character" w:styleId="FollowedHyperlink">
    <w:name w:val="FollowedHyperlink"/>
    <w:rsid w:val="00F3256B"/>
    <w:rPr>
      <w:color w:val="0000FF"/>
      <w:u w:val="single"/>
    </w:rPr>
  </w:style>
  <w:style w:type="paragraph" w:customStyle="1" w:styleId="paragraphstyle3">
    <w:name w:val="paragraph_style_3"/>
    <w:basedOn w:val="Normal"/>
    <w:rsid w:val="00CE2EF7"/>
    <w:pPr>
      <w:tabs>
        <w:tab w:val="clear" w:pos="1260"/>
        <w:tab w:val="clear" w:pos="1980"/>
        <w:tab w:val="clear" w:pos="2700"/>
        <w:tab w:val="clear" w:pos="3420"/>
      </w:tabs>
      <w:spacing w:line="240" w:lineRule="atLeast"/>
    </w:pPr>
    <w:rPr>
      <w:rFonts w:ascii="Times New Roman" w:hAnsi="Times New Roman"/>
      <w:color w:val="000000"/>
      <w:sz w:val="21"/>
      <w:szCs w:val="21"/>
    </w:rPr>
  </w:style>
  <w:style w:type="paragraph" w:styleId="ListParagraph">
    <w:name w:val="List Paragraph"/>
    <w:basedOn w:val="Normal"/>
    <w:uiPriority w:val="34"/>
    <w:qFormat/>
    <w:rsid w:val="00353073"/>
    <w:pPr>
      <w:ind w:left="720"/>
      <w:contextualSpacing/>
    </w:pPr>
  </w:style>
  <w:style w:type="character" w:styleId="CommentReference">
    <w:name w:val="annotation reference"/>
    <w:basedOn w:val="DefaultParagraphFont"/>
    <w:rsid w:val="00C74AF3"/>
    <w:rPr>
      <w:sz w:val="16"/>
      <w:szCs w:val="16"/>
    </w:rPr>
  </w:style>
  <w:style w:type="paragraph" w:styleId="CommentText">
    <w:name w:val="annotation text"/>
    <w:basedOn w:val="Normal"/>
    <w:link w:val="CommentTextChar"/>
    <w:rsid w:val="00C74AF3"/>
    <w:rPr>
      <w:sz w:val="20"/>
    </w:rPr>
  </w:style>
  <w:style w:type="character" w:customStyle="1" w:styleId="CommentTextChar">
    <w:name w:val="Comment Text Char"/>
    <w:basedOn w:val="DefaultParagraphFont"/>
    <w:link w:val="CommentText"/>
    <w:rsid w:val="00C74AF3"/>
    <w:rPr>
      <w:rFonts w:ascii="Arial" w:hAnsi="Arial"/>
    </w:rPr>
  </w:style>
  <w:style w:type="paragraph" w:styleId="CommentSubject">
    <w:name w:val="annotation subject"/>
    <w:basedOn w:val="CommentText"/>
    <w:next w:val="CommentText"/>
    <w:link w:val="CommentSubjectChar"/>
    <w:rsid w:val="00C74AF3"/>
    <w:rPr>
      <w:b/>
      <w:bCs/>
    </w:rPr>
  </w:style>
  <w:style w:type="character" w:customStyle="1" w:styleId="CommentSubjectChar">
    <w:name w:val="Comment Subject Char"/>
    <w:basedOn w:val="CommentTextChar"/>
    <w:link w:val="CommentSubject"/>
    <w:rsid w:val="00C74AF3"/>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D9A"/>
    <w:rPr>
      <w:color w:val="0000FF"/>
      <w:u w:val="single"/>
    </w:rPr>
  </w:style>
  <w:style w:type="character" w:styleId="FollowedHyperlink">
    <w:name w:val="FollowedHyperlink"/>
    <w:rsid w:val="00F3256B"/>
    <w:rPr>
      <w:color w:val="0000FF"/>
      <w:u w:val="single"/>
    </w:rPr>
  </w:style>
  <w:style w:type="paragraph" w:customStyle="1" w:styleId="paragraphstyle3">
    <w:name w:val="paragraph_style_3"/>
    <w:basedOn w:val="Normal"/>
    <w:rsid w:val="00CE2EF7"/>
    <w:pPr>
      <w:tabs>
        <w:tab w:val="clear" w:pos="1260"/>
        <w:tab w:val="clear" w:pos="1980"/>
        <w:tab w:val="clear" w:pos="2700"/>
        <w:tab w:val="clear" w:pos="3420"/>
      </w:tabs>
      <w:spacing w:line="240" w:lineRule="atLeast"/>
    </w:pPr>
    <w:rPr>
      <w:rFonts w:ascii="Times New Roman" w:hAnsi="Times New Roman"/>
      <w:color w:val="000000"/>
      <w:sz w:val="21"/>
      <w:szCs w:val="21"/>
    </w:rPr>
  </w:style>
  <w:style w:type="paragraph" w:styleId="ListParagraph">
    <w:name w:val="List Paragraph"/>
    <w:basedOn w:val="Normal"/>
    <w:uiPriority w:val="34"/>
    <w:qFormat/>
    <w:rsid w:val="00353073"/>
    <w:pPr>
      <w:ind w:left="720"/>
      <w:contextualSpacing/>
    </w:pPr>
  </w:style>
  <w:style w:type="character" w:styleId="CommentReference">
    <w:name w:val="annotation reference"/>
    <w:basedOn w:val="DefaultParagraphFont"/>
    <w:rsid w:val="00C74AF3"/>
    <w:rPr>
      <w:sz w:val="16"/>
      <w:szCs w:val="16"/>
    </w:rPr>
  </w:style>
  <w:style w:type="paragraph" w:styleId="CommentText">
    <w:name w:val="annotation text"/>
    <w:basedOn w:val="Normal"/>
    <w:link w:val="CommentTextChar"/>
    <w:rsid w:val="00C74AF3"/>
    <w:rPr>
      <w:sz w:val="20"/>
    </w:rPr>
  </w:style>
  <w:style w:type="character" w:customStyle="1" w:styleId="CommentTextChar">
    <w:name w:val="Comment Text Char"/>
    <w:basedOn w:val="DefaultParagraphFont"/>
    <w:link w:val="CommentText"/>
    <w:rsid w:val="00C74AF3"/>
    <w:rPr>
      <w:rFonts w:ascii="Arial" w:hAnsi="Arial"/>
    </w:rPr>
  </w:style>
  <w:style w:type="paragraph" w:styleId="CommentSubject">
    <w:name w:val="annotation subject"/>
    <w:basedOn w:val="CommentText"/>
    <w:next w:val="CommentText"/>
    <w:link w:val="CommentSubjectChar"/>
    <w:rsid w:val="00C74AF3"/>
    <w:rPr>
      <w:b/>
      <w:bCs/>
    </w:rPr>
  </w:style>
  <w:style w:type="character" w:customStyle="1" w:styleId="CommentSubjectChar">
    <w:name w:val="Comment Subject Char"/>
    <w:basedOn w:val="CommentTextChar"/>
    <w:link w:val="CommentSubject"/>
    <w:rsid w:val="00C74AF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3086">
      <w:bodyDiv w:val="1"/>
      <w:marLeft w:val="0"/>
      <w:marRight w:val="0"/>
      <w:marTop w:val="0"/>
      <w:marBottom w:val="0"/>
      <w:divBdr>
        <w:top w:val="none" w:sz="0" w:space="0" w:color="auto"/>
        <w:left w:val="none" w:sz="0" w:space="0" w:color="auto"/>
        <w:bottom w:val="none" w:sz="0" w:space="0" w:color="auto"/>
        <w:right w:val="none" w:sz="0" w:space="0" w:color="auto"/>
      </w:divBdr>
    </w:div>
    <w:div w:id="123281740">
      <w:bodyDiv w:val="1"/>
      <w:marLeft w:val="0"/>
      <w:marRight w:val="0"/>
      <w:marTop w:val="0"/>
      <w:marBottom w:val="0"/>
      <w:divBdr>
        <w:top w:val="none" w:sz="0" w:space="0" w:color="auto"/>
        <w:left w:val="none" w:sz="0" w:space="0" w:color="auto"/>
        <w:bottom w:val="none" w:sz="0" w:space="0" w:color="auto"/>
        <w:right w:val="none" w:sz="0" w:space="0" w:color="auto"/>
      </w:divBdr>
    </w:div>
    <w:div w:id="187303049">
      <w:bodyDiv w:val="1"/>
      <w:marLeft w:val="0"/>
      <w:marRight w:val="0"/>
      <w:marTop w:val="0"/>
      <w:marBottom w:val="0"/>
      <w:divBdr>
        <w:top w:val="none" w:sz="0" w:space="0" w:color="auto"/>
        <w:left w:val="none" w:sz="0" w:space="0" w:color="auto"/>
        <w:bottom w:val="none" w:sz="0" w:space="0" w:color="auto"/>
        <w:right w:val="none" w:sz="0" w:space="0" w:color="auto"/>
      </w:divBdr>
    </w:div>
    <w:div w:id="325479779">
      <w:bodyDiv w:val="1"/>
      <w:marLeft w:val="0"/>
      <w:marRight w:val="0"/>
      <w:marTop w:val="0"/>
      <w:marBottom w:val="0"/>
      <w:divBdr>
        <w:top w:val="none" w:sz="0" w:space="0" w:color="auto"/>
        <w:left w:val="none" w:sz="0" w:space="0" w:color="auto"/>
        <w:bottom w:val="none" w:sz="0" w:space="0" w:color="auto"/>
        <w:right w:val="none" w:sz="0" w:space="0" w:color="auto"/>
      </w:divBdr>
    </w:div>
    <w:div w:id="489296435">
      <w:bodyDiv w:val="1"/>
      <w:marLeft w:val="0"/>
      <w:marRight w:val="0"/>
      <w:marTop w:val="0"/>
      <w:marBottom w:val="0"/>
      <w:divBdr>
        <w:top w:val="none" w:sz="0" w:space="0" w:color="auto"/>
        <w:left w:val="none" w:sz="0" w:space="0" w:color="auto"/>
        <w:bottom w:val="none" w:sz="0" w:space="0" w:color="auto"/>
        <w:right w:val="none" w:sz="0" w:space="0" w:color="auto"/>
      </w:divBdr>
    </w:div>
    <w:div w:id="601306199">
      <w:bodyDiv w:val="1"/>
      <w:marLeft w:val="0"/>
      <w:marRight w:val="0"/>
      <w:marTop w:val="0"/>
      <w:marBottom w:val="0"/>
      <w:divBdr>
        <w:top w:val="none" w:sz="0" w:space="0" w:color="auto"/>
        <w:left w:val="none" w:sz="0" w:space="0" w:color="auto"/>
        <w:bottom w:val="none" w:sz="0" w:space="0" w:color="auto"/>
        <w:right w:val="none" w:sz="0" w:space="0" w:color="auto"/>
      </w:divBdr>
    </w:div>
    <w:div w:id="654183453">
      <w:bodyDiv w:val="1"/>
      <w:marLeft w:val="0"/>
      <w:marRight w:val="0"/>
      <w:marTop w:val="0"/>
      <w:marBottom w:val="0"/>
      <w:divBdr>
        <w:top w:val="none" w:sz="0" w:space="0" w:color="auto"/>
        <w:left w:val="none" w:sz="0" w:space="0" w:color="auto"/>
        <w:bottom w:val="none" w:sz="0" w:space="0" w:color="auto"/>
        <w:right w:val="none" w:sz="0" w:space="0" w:color="auto"/>
      </w:divBdr>
    </w:div>
    <w:div w:id="674963945">
      <w:bodyDiv w:val="1"/>
      <w:marLeft w:val="0"/>
      <w:marRight w:val="0"/>
      <w:marTop w:val="0"/>
      <w:marBottom w:val="0"/>
      <w:divBdr>
        <w:top w:val="none" w:sz="0" w:space="0" w:color="auto"/>
        <w:left w:val="none" w:sz="0" w:space="0" w:color="auto"/>
        <w:bottom w:val="none" w:sz="0" w:space="0" w:color="auto"/>
        <w:right w:val="none" w:sz="0" w:space="0" w:color="auto"/>
      </w:divBdr>
    </w:div>
    <w:div w:id="702444374">
      <w:bodyDiv w:val="1"/>
      <w:marLeft w:val="0"/>
      <w:marRight w:val="0"/>
      <w:marTop w:val="0"/>
      <w:marBottom w:val="0"/>
      <w:divBdr>
        <w:top w:val="none" w:sz="0" w:space="0" w:color="auto"/>
        <w:left w:val="none" w:sz="0" w:space="0" w:color="auto"/>
        <w:bottom w:val="none" w:sz="0" w:space="0" w:color="auto"/>
        <w:right w:val="none" w:sz="0" w:space="0" w:color="auto"/>
      </w:divBdr>
    </w:div>
    <w:div w:id="709113037">
      <w:bodyDiv w:val="1"/>
      <w:marLeft w:val="0"/>
      <w:marRight w:val="0"/>
      <w:marTop w:val="0"/>
      <w:marBottom w:val="0"/>
      <w:divBdr>
        <w:top w:val="none" w:sz="0" w:space="0" w:color="auto"/>
        <w:left w:val="none" w:sz="0" w:space="0" w:color="auto"/>
        <w:bottom w:val="none" w:sz="0" w:space="0" w:color="auto"/>
        <w:right w:val="none" w:sz="0" w:space="0" w:color="auto"/>
      </w:divBdr>
    </w:div>
    <w:div w:id="719597349">
      <w:bodyDiv w:val="1"/>
      <w:marLeft w:val="0"/>
      <w:marRight w:val="0"/>
      <w:marTop w:val="0"/>
      <w:marBottom w:val="0"/>
      <w:divBdr>
        <w:top w:val="none" w:sz="0" w:space="0" w:color="auto"/>
        <w:left w:val="none" w:sz="0" w:space="0" w:color="auto"/>
        <w:bottom w:val="none" w:sz="0" w:space="0" w:color="auto"/>
        <w:right w:val="none" w:sz="0" w:space="0" w:color="auto"/>
      </w:divBdr>
    </w:div>
    <w:div w:id="727071821">
      <w:bodyDiv w:val="1"/>
      <w:marLeft w:val="0"/>
      <w:marRight w:val="0"/>
      <w:marTop w:val="0"/>
      <w:marBottom w:val="0"/>
      <w:divBdr>
        <w:top w:val="none" w:sz="0" w:space="0" w:color="auto"/>
        <w:left w:val="none" w:sz="0" w:space="0" w:color="auto"/>
        <w:bottom w:val="none" w:sz="0" w:space="0" w:color="auto"/>
        <w:right w:val="none" w:sz="0" w:space="0" w:color="auto"/>
      </w:divBdr>
    </w:div>
    <w:div w:id="1031078788">
      <w:bodyDiv w:val="1"/>
      <w:marLeft w:val="0"/>
      <w:marRight w:val="0"/>
      <w:marTop w:val="0"/>
      <w:marBottom w:val="0"/>
      <w:divBdr>
        <w:top w:val="none" w:sz="0" w:space="0" w:color="auto"/>
        <w:left w:val="none" w:sz="0" w:space="0" w:color="auto"/>
        <w:bottom w:val="none" w:sz="0" w:space="0" w:color="auto"/>
        <w:right w:val="none" w:sz="0" w:space="0" w:color="auto"/>
      </w:divBdr>
    </w:div>
    <w:div w:id="1136530082">
      <w:bodyDiv w:val="1"/>
      <w:marLeft w:val="0"/>
      <w:marRight w:val="0"/>
      <w:marTop w:val="0"/>
      <w:marBottom w:val="0"/>
      <w:divBdr>
        <w:top w:val="none" w:sz="0" w:space="0" w:color="auto"/>
        <w:left w:val="none" w:sz="0" w:space="0" w:color="auto"/>
        <w:bottom w:val="none" w:sz="0" w:space="0" w:color="auto"/>
        <w:right w:val="none" w:sz="0" w:space="0" w:color="auto"/>
      </w:divBdr>
    </w:div>
    <w:div w:id="1248344089">
      <w:bodyDiv w:val="1"/>
      <w:marLeft w:val="0"/>
      <w:marRight w:val="0"/>
      <w:marTop w:val="0"/>
      <w:marBottom w:val="0"/>
      <w:divBdr>
        <w:top w:val="none" w:sz="0" w:space="0" w:color="auto"/>
        <w:left w:val="none" w:sz="0" w:space="0" w:color="auto"/>
        <w:bottom w:val="none" w:sz="0" w:space="0" w:color="auto"/>
        <w:right w:val="none" w:sz="0" w:space="0" w:color="auto"/>
      </w:divBdr>
    </w:div>
    <w:div w:id="1338194276">
      <w:bodyDiv w:val="1"/>
      <w:marLeft w:val="0"/>
      <w:marRight w:val="0"/>
      <w:marTop w:val="0"/>
      <w:marBottom w:val="0"/>
      <w:divBdr>
        <w:top w:val="none" w:sz="0" w:space="0" w:color="auto"/>
        <w:left w:val="none" w:sz="0" w:space="0" w:color="auto"/>
        <w:bottom w:val="none" w:sz="0" w:space="0" w:color="auto"/>
        <w:right w:val="none" w:sz="0" w:space="0" w:color="auto"/>
      </w:divBdr>
    </w:div>
    <w:div w:id="1395736273">
      <w:bodyDiv w:val="1"/>
      <w:marLeft w:val="0"/>
      <w:marRight w:val="0"/>
      <w:marTop w:val="0"/>
      <w:marBottom w:val="0"/>
      <w:divBdr>
        <w:top w:val="none" w:sz="0" w:space="0" w:color="auto"/>
        <w:left w:val="none" w:sz="0" w:space="0" w:color="auto"/>
        <w:bottom w:val="none" w:sz="0" w:space="0" w:color="auto"/>
        <w:right w:val="none" w:sz="0" w:space="0" w:color="auto"/>
      </w:divBdr>
    </w:div>
    <w:div w:id="1426924089">
      <w:bodyDiv w:val="1"/>
      <w:marLeft w:val="0"/>
      <w:marRight w:val="0"/>
      <w:marTop w:val="0"/>
      <w:marBottom w:val="0"/>
      <w:divBdr>
        <w:top w:val="none" w:sz="0" w:space="0" w:color="auto"/>
        <w:left w:val="none" w:sz="0" w:space="0" w:color="auto"/>
        <w:bottom w:val="none" w:sz="0" w:space="0" w:color="auto"/>
        <w:right w:val="none" w:sz="0" w:space="0" w:color="auto"/>
      </w:divBdr>
    </w:div>
    <w:div w:id="15037441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3433598">
          <w:marLeft w:val="0"/>
          <w:marRight w:val="0"/>
          <w:marTop w:val="0"/>
          <w:marBottom w:val="0"/>
          <w:divBdr>
            <w:top w:val="none" w:sz="0" w:space="0" w:color="auto"/>
            <w:left w:val="none" w:sz="0" w:space="0" w:color="auto"/>
            <w:bottom w:val="none" w:sz="0" w:space="0" w:color="auto"/>
            <w:right w:val="none" w:sz="0" w:space="0" w:color="auto"/>
          </w:divBdr>
          <w:divsChild>
            <w:div w:id="1997343730">
              <w:marLeft w:val="0"/>
              <w:marRight w:val="0"/>
              <w:marTop w:val="0"/>
              <w:marBottom w:val="0"/>
              <w:divBdr>
                <w:top w:val="none" w:sz="0" w:space="0" w:color="auto"/>
                <w:left w:val="none" w:sz="0" w:space="0" w:color="auto"/>
                <w:bottom w:val="none" w:sz="0" w:space="0" w:color="auto"/>
                <w:right w:val="none" w:sz="0" w:space="0" w:color="auto"/>
              </w:divBdr>
              <w:divsChild>
                <w:div w:id="1276710783">
                  <w:marLeft w:val="0"/>
                  <w:marRight w:val="0"/>
                  <w:marTop w:val="0"/>
                  <w:marBottom w:val="0"/>
                  <w:divBdr>
                    <w:top w:val="none" w:sz="0" w:space="0" w:color="auto"/>
                    <w:left w:val="none" w:sz="0" w:space="0" w:color="auto"/>
                    <w:bottom w:val="none" w:sz="0" w:space="0" w:color="auto"/>
                    <w:right w:val="none" w:sz="0" w:space="0" w:color="auto"/>
                  </w:divBdr>
                  <w:divsChild>
                    <w:div w:id="239293925">
                      <w:marLeft w:val="0"/>
                      <w:marRight w:val="0"/>
                      <w:marTop w:val="0"/>
                      <w:marBottom w:val="0"/>
                      <w:divBdr>
                        <w:top w:val="none" w:sz="0" w:space="0" w:color="auto"/>
                        <w:left w:val="none" w:sz="0" w:space="0" w:color="auto"/>
                        <w:bottom w:val="none" w:sz="0" w:space="0" w:color="auto"/>
                        <w:right w:val="none" w:sz="0" w:space="0" w:color="auto"/>
                      </w:divBdr>
                      <w:divsChild>
                        <w:div w:id="1695568075">
                          <w:marLeft w:val="0"/>
                          <w:marRight w:val="0"/>
                          <w:marTop w:val="0"/>
                          <w:marBottom w:val="150"/>
                          <w:divBdr>
                            <w:top w:val="none" w:sz="0" w:space="0" w:color="auto"/>
                            <w:left w:val="none" w:sz="0" w:space="0" w:color="auto"/>
                            <w:bottom w:val="none" w:sz="0" w:space="0" w:color="auto"/>
                            <w:right w:val="none" w:sz="0" w:space="0" w:color="auto"/>
                          </w:divBdr>
                          <w:divsChild>
                            <w:div w:id="2066296704">
                              <w:marLeft w:val="0"/>
                              <w:marRight w:val="0"/>
                              <w:marTop w:val="0"/>
                              <w:marBottom w:val="30"/>
                              <w:divBdr>
                                <w:top w:val="none" w:sz="0" w:space="0" w:color="auto"/>
                                <w:left w:val="none" w:sz="0" w:space="0" w:color="auto"/>
                                <w:bottom w:val="dotted" w:sz="6" w:space="2" w:color="999999"/>
                                <w:right w:val="none" w:sz="0" w:space="0" w:color="auto"/>
                              </w:divBdr>
                              <w:divsChild>
                                <w:div w:id="2286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032446">
      <w:bodyDiv w:val="1"/>
      <w:marLeft w:val="0"/>
      <w:marRight w:val="0"/>
      <w:marTop w:val="0"/>
      <w:marBottom w:val="0"/>
      <w:divBdr>
        <w:top w:val="none" w:sz="0" w:space="0" w:color="auto"/>
        <w:left w:val="none" w:sz="0" w:space="0" w:color="auto"/>
        <w:bottom w:val="none" w:sz="0" w:space="0" w:color="auto"/>
        <w:right w:val="none" w:sz="0" w:space="0" w:color="auto"/>
      </w:divBdr>
    </w:div>
    <w:div w:id="1811709541">
      <w:bodyDiv w:val="1"/>
      <w:marLeft w:val="0"/>
      <w:marRight w:val="0"/>
      <w:marTop w:val="0"/>
      <w:marBottom w:val="0"/>
      <w:divBdr>
        <w:top w:val="none" w:sz="0" w:space="0" w:color="auto"/>
        <w:left w:val="none" w:sz="0" w:space="0" w:color="auto"/>
        <w:bottom w:val="none" w:sz="0" w:space="0" w:color="auto"/>
        <w:right w:val="none" w:sz="0" w:space="0" w:color="auto"/>
      </w:divBdr>
    </w:div>
    <w:div w:id="1881092780">
      <w:bodyDiv w:val="1"/>
      <w:marLeft w:val="0"/>
      <w:marRight w:val="0"/>
      <w:marTop w:val="0"/>
      <w:marBottom w:val="0"/>
      <w:divBdr>
        <w:top w:val="none" w:sz="0" w:space="0" w:color="auto"/>
        <w:left w:val="none" w:sz="0" w:space="0" w:color="auto"/>
        <w:bottom w:val="none" w:sz="0" w:space="0" w:color="auto"/>
        <w:right w:val="none" w:sz="0" w:space="0" w:color="auto"/>
      </w:divBdr>
    </w:div>
    <w:div w:id="1906066564">
      <w:bodyDiv w:val="1"/>
      <w:marLeft w:val="0"/>
      <w:marRight w:val="0"/>
      <w:marTop w:val="0"/>
      <w:marBottom w:val="0"/>
      <w:divBdr>
        <w:top w:val="none" w:sz="0" w:space="0" w:color="auto"/>
        <w:left w:val="none" w:sz="0" w:space="0" w:color="auto"/>
        <w:bottom w:val="none" w:sz="0" w:space="0" w:color="auto"/>
        <w:right w:val="none" w:sz="0" w:space="0" w:color="auto"/>
      </w:divBdr>
    </w:div>
    <w:div w:id="2028942847">
      <w:bodyDiv w:val="1"/>
      <w:marLeft w:val="0"/>
      <w:marRight w:val="0"/>
      <w:marTop w:val="0"/>
      <w:marBottom w:val="0"/>
      <w:divBdr>
        <w:top w:val="none" w:sz="0" w:space="0" w:color="auto"/>
        <w:left w:val="none" w:sz="0" w:space="0" w:color="auto"/>
        <w:bottom w:val="none" w:sz="0" w:space="0" w:color="auto"/>
        <w:right w:val="none" w:sz="0" w:space="0" w:color="auto"/>
      </w:divBdr>
    </w:div>
    <w:div w:id="2126844441">
      <w:bodyDiv w:val="1"/>
      <w:marLeft w:val="0"/>
      <w:marRight w:val="0"/>
      <w:marTop w:val="0"/>
      <w:marBottom w:val="0"/>
      <w:divBdr>
        <w:top w:val="none" w:sz="0" w:space="0" w:color="auto"/>
        <w:left w:val="none" w:sz="0" w:space="0" w:color="auto"/>
        <w:bottom w:val="none" w:sz="0" w:space="0" w:color="auto"/>
        <w:right w:val="none" w:sz="0" w:space="0" w:color="auto"/>
      </w:divBdr>
    </w:div>
    <w:div w:id="213208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4.e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620039105850025"/>
          <c:y val="4.8604898828541E-2"/>
          <c:w val="0.78190174214800334"/>
          <c:h val="0.58694003505152914"/>
        </c:manualLayout>
      </c:layout>
      <c:barChart>
        <c:barDir val="col"/>
        <c:grouping val="clustered"/>
        <c:varyColors val="0"/>
        <c:ser>
          <c:idx val="0"/>
          <c:order val="0"/>
          <c:tx>
            <c:strRef>
              <c:f>Sheet1!$B$1</c:f>
              <c:strCache>
                <c:ptCount val="1"/>
                <c:pt idx="0">
                  <c:v>Latest Budget</c:v>
                </c:pt>
              </c:strCache>
            </c:strRef>
          </c:tx>
          <c:invertIfNegative val="0"/>
          <c:cat>
            <c:strRef>
              <c:f>Sheet1!$A$2:$A$5</c:f>
              <c:strCache>
                <c:ptCount val="4"/>
                <c:pt idx="0">
                  <c:v>Leisure, Wellbeing &amp; Health</c:v>
                </c:pt>
                <c:pt idx="1">
                  <c:v>Sustainable Development, Planning &amp; Transport</c:v>
                </c:pt>
                <c:pt idx="2">
                  <c:v>General Public Services &amp; Community safety</c:v>
                </c:pt>
                <c:pt idx="3">
                  <c:v>Policy &amp; Resources</c:v>
                </c:pt>
              </c:strCache>
            </c:strRef>
          </c:cat>
          <c:val>
            <c:numRef>
              <c:f>Sheet1!$B$2:$B$5</c:f>
              <c:numCache>
                <c:formatCode>#,##0</c:formatCode>
                <c:ptCount val="4"/>
                <c:pt idx="0">
                  <c:v>2217000</c:v>
                </c:pt>
                <c:pt idx="1">
                  <c:v>1944000</c:v>
                </c:pt>
                <c:pt idx="2">
                  <c:v>2055000</c:v>
                </c:pt>
                <c:pt idx="3">
                  <c:v>5396000</c:v>
                </c:pt>
              </c:numCache>
            </c:numRef>
          </c:val>
        </c:ser>
        <c:ser>
          <c:idx val="1"/>
          <c:order val="1"/>
          <c:tx>
            <c:strRef>
              <c:f>Sheet1!$C$1</c:f>
              <c:strCache>
                <c:ptCount val="1"/>
                <c:pt idx="0">
                  <c:v>Actual</c:v>
                </c:pt>
              </c:strCache>
            </c:strRef>
          </c:tx>
          <c:invertIfNegative val="0"/>
          <c:cat>
            <c:strRef>
              <c:f>Sheet1!$A$2:$A$5</c:f>
              <c:strCache>
                <c:ptCount val="4"/>
                <c:pt idx="0">
                  <c:v>Leisure, Wellbeing &amp; Health</c:v>
                </c:pt>
                <c:pt idx="1">
                  <c:v>Sustainable Development, Planning &amp; Transport</c:v>
                </c:pt>
                <c:pt idx="2">
                  <c:v>General Public Services &amp; Community safety</c:v>
                </c:pt>
                <c:pt idx="3">
                  <c:v>Policy &amp; Resources</c:v>
                </c:pt>
              </c:strCache>
            </c:strRef>
          </c:cat>
          <c:val>
            <c:numRef>
              <c:f>Sheet1!$C$2:$C$5</c:f>
              <c:numCache>
                <c:formatCode>#,##0</c:formatCode>
                <c:ptCount val="4"/>
                <c:pt idx="0">
                  <c:v>2292000</c:v>
                </c:pt>
                <c:pt idx="1">
                  <c:v>1692000</c:v>
                </c:pt>
                <c:pt idx="2">
                  <c:v>1943000</c:v>
                </c:pt>
                <c:pt idx="3">
                  <c:v>5590000</c:v>
                </c:pt>
              </c:numCache>
            </c:numRef>
          </c:val>
        </c:ser>
        <c:dLbls>
          <c:showLegendKey val="0"/>
          <c:showVal val="0"/>
          <c:showCatName val="0"/>
          <c:showSerName val="0"/>
          <c:showPercent val="0"/>
          <c:showBubbleSize val="0"/>
        </c:dLbls>
        <c:gapWidth val="150"/>
        <c:axId val="119188480"/>
        <c:axId val="119473856"/>
      </c:barChart>
      <c:catAx>
        <c:axId val="119188480"/>
        <c:scaling>
          <c:orientation val="minMax"/>
        </c:scaling>
        <c:delete val="0"/>
        <c:axPos val="b"/>
        <c:majorTickMark val="out"/>
        <c:minorTickMark val="none"/>
        <c:tickLblPos val="nextTo"/>
        <c:crossAx val="119473856"/>
        <c:crosses val="autoZero"/>
        <c:auto val="1"/>
        <c:lblAlgn val="ctr"/>
        <c:lblOffset val="100"/>
        <c:noMultiLvlLbl val="0"/>
      </c:catAx>
      <c:valAx>
        <c:axId val="119473856"/>
        <c:scaling>
          <c:orientation val="minMax"/>
        </c:scaling>
        <c:delete val="0"/>
        <c:axPos val="l"/>
        <c:majorGridlines/>
        <c:numFmt formatCode="#,##0" sourceLinked="1"/>
        <c:majorTickMark val="out"/>
        <c:minorTickMark val="none"/>
        <c:tickLblPos val="nextTo"/>
        <c:crossAx val="119188480"/>
        <c:crosses val="autoZero"/>
        <c:crossBetween val="between"/>
        <c:dispUnits>
          <c:builtInUnit val="millions"/>
          <c:dispUnitsLbl>
            <c:layout/>
          </c:dispUnitsLbl>
        </c:dispUnits>
      </c:valAx>
    </c:plotArea>
    <c:legend>
      <c:legendPos val="r"/>
      <c:layout>
        <c:manualLayout>
          <c:xMode val="edge"/>
          <c:yMode val="edge"/>
          <c:x val="0.81624530994028432"/>
          <c:y val="0.75939039878079773"/>
          <c:w val="0.17033187126776939"/>
          <c:h val="0.20810092286851239"/>
        </c:manualLayout>
      </c:layout>
      <c:overlay val="0"/>
    </c:legend>
    <c:plotVisOnly val="1"/>
    <c:dispBlanksAs val="gap"/>
    <c:showDLblsOverMax val="0"/>
  </c:chart>
  <c:txPr>
    <a:bodyPr/>
    <a:lstStyle/>
    <a:p>
      <a:pPr>
        <a:defRPr sz="1050" baseline="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554A1-83E1-4FF1-BC87-FE3215DC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1602</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Report: Executive Cttee 05.09.11: part i - (05) budget monitoirng month 4 (july 2011)</vt:lpstr>
    </vt:vector>
  </TitlesOfParts>
  <Company>Pre-installed Company</Company>
  <LinksUpToDate>false</LinksUpToDate>
  <CharactersWithSpaces>10819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Executive Cttee 05.09.11: part i - (05) budget monitoirng month 4 (july 2011)</dc:title>
  <dc:creator>David Gardner</dc:creator>
  <cp:lastModifiedBy>Sarah Haythorpe</cp:lastModifiedBy>
  <cp:revision>5</cp:revision>
  <cp:lastPrinted>2017-06-02T09:39:00Z</cp:lastPrinted>
  <dcterms:created xsi:type="dcterms:W3CDTF">2017-06-01T10:15:00Z</dcterms:created>
  <dcterms:modified xsi:type="dcterms:W3CDTF">2017-06-02T09:42:00Z</dcterms:modified>
</cp:coreProperties>
</file>