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BFF" w:rsidRDefault="00CE2BFF" w:rsidP="008A256E">
      <w:pPr>
        <w:ind w:left="-142" w:right="-269"/>
        <w:jc w:val="center"/>
        <w:rPr>
          <w:b/>
        </w:rPr>
      </w:pPr>
    </w:p>
    <w:p w:rsidR="00DE1B5B" w:rsidRPr="00214776" w:rsidRDefault="00DE1B5B" w:rsidP="008A256E">
      <w:pPr>
        <w:ind w:left="-142" w:right="-269"/>
        <w:jc w:val="center"/>
        <w:rPr>
          <w:b/>
        </w:rPr>
      </w:pPr>
      <w:r w:rsidRPr="00214776">
        <w:rPr>
          <w:b/>
        </w:rPr>
        <w:t>SUSTAINABLE DEVELOPMENT, PLANNING AND TRANSPORT COMMITTEE</w:t>
      </w:r>
    </w:p>
    <w:p w:rsidR="00612062" w:rsidRPr="00214776" w:rsidRDefault="00612062" w:rsidP="008A256E">
      <w:pPr>
        <w:ind w:left="-142" w:right="-269"/>
        <w:jc w:val="center"/>
        <w:rPr>
          <w:b/>
          <w:color w:val="365F91" w:themeColor="accent1" w:themeShade="BF"/>
        </w:rPr>
      </w:pPr>
    </w:p>
    <w:p w:rsidR="008A256E" w:rsidRPr="00214776" w:rsidRDefault="00423627" w:rsidP="008A256E">
      <w:pPr>
        <w:ind w:left="-142" w:right="-269"/>
        <w:jc w:val="center"/>
        <w:rPr>
          <w:b/>
        </w:rPr>
      </w:pPr>
      <w:r w:rsidRPr="00214776">
        <w:rPr>
          <w:b/>
        </w:rPr>
        <w:t>1</w:t>
      </w:r>
      <w:r w:rsidR="00214776" w:rsidRPr="00214776">
        <w:rPr>
          <w:b/>
        </w:rPr>
        <w:t>4</w:t>
      </w:r>
      <w:r w:rsidR="00957837" w:rsidRPr="00214776">
        <w:rPr>
          <w:b/>
        </w:rPr>
        <w:t xml:space="preserve"> </w:t>
      </w:r>
      <w:r w:rsidR="00214776" w:rsidRPr="00214776">
        <w:rPr>
          <w:b/>
        </w:rPr>
        <w:t>MARCH</w:t>
      </w:r>
      <w:r w:rsidR="00957837" w:rsidRPr="00214776">
        <w:rPr>
          <w:b/>
        </w:rPr>
        <w:t xml:space="preserve"> 201</w:t>
      </w:r>
      <w:r w:rsidR="00214776" w:rsidRPr="00214776">
        <w:rPr>
          <w:b/>
        </w:rPr>
        <w:t>7</w:t>
      </w:r>
    </w:p>
    <w:p w:rsidR="0067012B" w:rsidRPr="00214776" w:rsidRDefault="0067012B" w:rsidP="008A256E">
      <w:pPr>
        <w:ind w:left="-142" w:right="-269"/>
        <w:jc w:val="center"/>
        <w:rPr>
          <w:b/>
          <w:color w:val="365F91" w:themeColor="accent1" w:themeShade="BF"/>
        </w:rPr>
      </w:pPr>
    </w:p>
    <w:p w:rsidR="00F4144B" w:rsidRPr="00214776" w:rsidRDefault="00F4144B">
      <w:pPr>
        <w:jc w:val="center"/>
        <w:rPr>
          <w:b/>
        </w:rPr>
      </w:pPr>
      <w:r w:rsidRPr="00214776">
        <w:rPr>
          <w:b/>
        </w:rPr>
        <w:t xml:space="preserve">PART </w:t>
      </w:r>
      <w:r w:rsidRPr="00214776">
        <w:rPr>
          <w:b/>
        </w:rPr>
        <w:fldChar w:fldCharType="begin"/>
      </w:r>
      <w:r w:rsidRPr="00214776">
        <w:rPr>
          <w:b/>
        </w:rPr>
        <w:instrText xml:space="preserve">  </w:instrText>
      </w:r>
      <w:r w:rsidRPr="00214776">
        <w:rPr>
          <w:b/>
        </w:rPr>
        <w:fldChar w:fldCharType="end"/>
      </w:r>
      <w:r w:rsidRPr="00214776">
        <w:rPr>
          <w:b/>
        </w:rPr>
        <w:t xml:space="preserve">I - </w:t>
      </w:r>
      <w:r w:rsidRPr="00214776">
        <w:rPr>
          <w:b/>
        </w:rPr>
        <w:fldChar w:fldCharType="begin"/>
      </w:r>
      <w:r w:rsidRPr="00214776">
        <w:rPr>
          <w:b/>
        </w:rPr>
        <w:instrText xml:space="preserve">  </w:instrText>
      </w:r>
      <w:r w:rsidRPr="00214776">
        <w:rPr>
          <w:b/>
        </w:rPr>
        <w:fldChar w:fldCharType="end"/>
      </w:r>
      <w:r w:rsidRPr="00214776">
        <w:rPr>
          <w:b/>
        </w:rPr>
        <w:fldChar w:fldCharType="begin"/>
      </w:r>
      <w:r w:rsidRPr="00214776">
        <w:rPr>
          <w:b/>
        </w:rPr>
        <w:instrText xml:space="preserve">  </w:instrText>
      </w:r>
      <w:r w:rsidRPr="00214776">
        <w:rPr>
          <w:b/>
        </w:rPr>
        <w:fldChar w:fldCharType="end"/>
      </w:r>
      <w:r w:rsidRPr="00214776">
        <w:rPr>
          <w:b/>
        </w:rPr>
        <w:t xml:space="preserve"> NOT DELEGATED</w:t>
      </w:r>
    </w:p>
    <w:p w:rsidR="00FD020F" w:rsidRPr="009E2C57" w:rsidRDefault="00FD020F">
      <w:pPr>
        <w:jc w:val="center"/>
        <w:rPr>
          <w:b/>
        </w:rPr>
      </w:pPr>
    </w:p>
    <w:p w:rsidR="00F4144B" w:rsidRPr="00214776" w:rsidRDefault="009E2C57">
      <w:pPr>
        <w:keepNext/>
        <w:ind w:left="1267" w:hanging="1267"/>
        <w:rPr>
          <w:b/>
          <w:i/>
          <w:color w:val="365F91" w:themeColor="accent1" w:themeShade="BF"/>
        </w:rPr>
      </w:pPr>
      <w:r w:rsidRPr="009E2C57">
        <w:rPr>
          <w:b/>
        </w:rPr>
        <w:t>6.</w:t>
      </w:r>
      <w:r w:rsidR="00F4144B" w:rsidRPr="00214776">
        <w:rPr>
          <w:b/>
          <w:color w:val="365F91" w:themeColor="accent1" w:themeShade="BF"/>
        </w:rPr>
        <w:fldChar w:fldCharType="begin"/>
      </w:r>
      <w:r w:rsidR="00F4144B" w:rsidRPr="00214776">
        <w:rPr>
          <w:b/>
          <w:color w:val="365F91" w:themeColor="accent1" w:themeShade="BF"/>
        </w:rPr>
        <w:instrText xml:space="preserve">  </w:instrText>
      </w:r>
      <w:r w:rsidR="00F4144B" w:rsidRPr="00214776">
        <w:rPr>
          <w:b/>
          <w:color w:val="365F91" w:themeColor="accent1" w:themeShade="BF"/>
        </w:rPr>
        <w:fldChar w:fldCharType="end"/>
      </w:r>
      <w:r w:rsidR="00F4144B" w:rsidRPr="00214776">
        <w:rPr>
          <w:b/>
          <w:color w:val="365F91" w:themeColor="accent1" w:themeShade="BF"/>
        </w:rPr>
        <w:tab/>
      </w:r>
      <w:r w:rsidR="00A6630B" w:rsidRPr="00214776">
        <w:rPr>
          <w:b/>
        </w:rPr>
        <w:t xml:space="preserve">BUDGET MONITORING – </w:t>
      </w:r>
      <w:r w:rsidR="00D27753" w:rsidRPr="00214776">
        <w:rPr>
          <w:b/>
        </w:rPr>
        <w:t>PERIOD</w:t>
      </w:r>
      <w:r w:rsidR="00A6630B" w:rsidRPr="00214776">
        <w:rPr>
          <w:b/>
        </w:rPr>
        <w:t xml:space="preserve"> </w:t>
      </w:r>
      <w:r w:rsidR="00214776" w:rsidRPr="00214776">
        <w:rPr>
          <w:b/>
        </w:rPr>
        <w:t>10</w:t>
      </w:r>
      <w:r w:rsidR="00957837" w:rsidRPr="00214776">
        <w:rPr>
          <w:b/>
        </w:rPr>
        <w:t xml:space="preserve"> </w:t>
      </w:r>
      <w:r w:rsidR="00A6630B" w:rsidRPr="00214776">
        <w:rPr>
          <w:b/>
        </w:rPr>
        <w:t>(</w:t>
      </w:r>
      <w:r w:rsidR="00214776" w:rsidRPr="00214776">
        <w:rPr>
          <w:b/>
        </w:rPr>
        <w:t>JANUARY</w:t>
      </w:r>
      <w:r w:rsidR="00A6630B" w:rsidRPr="00214776">
        <w:rPr>
          <w:b/>
        </w:rPr>
        <w:t>)</w:t>
      </w:r>
      <w:r w:rsidR="00F4144B" w:rsidRPr="00214776">
        <w:rPr>
          <w:b/>
          <w:color w:val="365F91" w:themeColor="accent1" w:themeShade="BF"/>
        </w:rPr>
        <w:fldChar w:fldCharType="begin"/>
      </w:r>
      <w:r w:rsidR="00F4144B" w:rsidRPr="00214776">
        <w:rPr>
          <w:b/>
          <w:color w:val="365F91" w:themeColor="accent1" w:themeShade="BF"/>
        </w:rPr>
        <w:instrText xml:space="preserve">  </w:instrText>
      </w:r>
      <w:r w:rsidR="00F4144B" w:rsidRPr="00214776">
        <w:rPr>
          <w:b/>
          <w:color w:val="365F91" w:themeColor="accent1" w:themeShade="BF"/>
        </w:rPr>
        <w:fldChar w:fldCharType="end"/>
      </w:r>
    </w:p>
    <w:p w:rsidR="00F4144B" w:rsidRPr="00214776" w:rsidRDefault="00F4144B">
      <w:pPr>
        <w:keepNext/>
        <w:ind w:left="1267" w:hanging="1267"/>
        <w:rPr>
          <w:b/>
          <w:i/>
          <w:color w:val="365F91" w:themeColor="accent1" w:themeShade="BF"/>
        </w:rPr>
      </w:pPr>
      <w:r w:rsidRPr="00214776">
        <w:rPr>
          <w:b/>
          <w:color w:val="365F91" w:themeColor="accent1" w:themeShade="BF"/>
        </w:rPr>
        <w:tab/>
      </w:r>
      <w:r w:rsidRPr="00214776">
        <w:fldChar w:fldCharType="begin"/>
      </w:r>
      <w:r w:rsidRPr="00214776">
        <w:instrText xml:space="preserve">  </w:instrText>
      </w:r>
      <w:r w:rsidRPr="00214776">
        <w:fldChar w:fldCharType="end"/>
      </w:r>
      <w:r w:rsidRPr="00214776">
        <w:t>(</w:t>
      </w:r>
      <w:proofErr w:type="spellStart"/>
      <w:r w:rsidRPr="00214776">
        <w:t>D</w:t>
      </w:r>
      <w:r w:rsidR="00282F67">
        <w:t>o</w:t>
      </w:r>
      <w:r w:rsidR="00F0377C" w:rsidRPr="00214776">
        <w:t>F</w:t>
      </w:r>
      <w:proofErr w:type="spellEnd"/>
      <w:r w:rsidRPr="00214776">
        <w:t>)</w:t>
      </w:r>
    </w:p>
    <w:p w:rsidR="00F4144B" w:rsidRPr="00214776" w:rsidRDefault="00F4144B">
      <w:pPr>
        <w:ind w:left="1260" w:hanging="1260"/>
        <w:rPr>
          <w:color w:val="365F91" w:themeColor="accent1" w:themeShade="BF"/>
        </w:rPr>
      </w:pPr>
    </w:p>
    <w:p w:rsidR="00ED6CD2" w:rsidRPr="00214776" w:rsidRDefault="00ED6CD2" w:rsidP="00ED6CD2">
      <w:pPr>
        <w:keepNext/>
        <w:ind w:left="1267" w:hanging="1267"/>
        <w:rPr>
          <w:b/>
        </w:rPr>
      </w:pPr>
      <w:r w:rsidRPr="00214776">
        <w:t>1.</w:t>
      </w:r>
      <w:r w:rsidRPr="00214776">
        <w:tab/>
      </w:r>
      <w:r w:rsidRPr="00214776">
        <w:rPr>
          <w:b/>
        </w:rPr>
        <w:t>Summary</w:t>
      </w:r>
    </w:p>
    <w:p w:rsidR="00ED6CD2" w:rsidRPr="00214776" w:rsidRDefault="00ED6CD2" w:rsidP="00ED6CD2">
      <w:pPr>
        <w:keepNext/>
        <w:ind w:left="1267" w:hanging="1267"/>
      </w:pPr>
    </w:p>
    <w:p w:rsidR="00ED6CD2" w:rsidRPr="00214776" w:rsidRDefault="00ED6CD2" w:rsidP="00ED6CD2">
      <w:pPr>
        <w:keepNext/>
        <w:ind w:left="1267" w:hanging="1267"/>
      </w:pPr>
      <w:r w:rsidRPr="00214776">
        <w:t>1.1</w:t>
      </w:r>
      <w:r w:rsidRPr="00214776">
        <w:tab/>
      </w:r>
      <w:r w:rsidR="00282F67">
        <w:t>The Budget M</w:t>
      </w:r>
      <w:r w:rsidRPr="00214776">
        <w:t>onitoring report is a key tool in scrutinising the Council’s financial performance. It is designed to provide an overview to all relevant stakehol</w:t>
      </w:r>
      <w:r w:rsidR="00282F67">
        <w:t>ders. It is essential that the C</w:t>
      </w:r>
      <w:r w:rsidRPr="00214776">
        <w:t>ouncil monitors its budgets throughout the year to ensure that it is meeting its strategic objectives and that corrective action is taken where necessary.</w:t>
      </w:r>
    </w:p>
    <w:p w:rsidR="00ED6CD2" w:rsidRPr="00214776" w:rsidRDefault="00ED6CD2" w:rsidP="00ED6CD2">
      <w:pPr>
        <w:keepNext/>
        <w:ind w:left="1267" w:hanging="1267"/>
      </w:pPr>
    </w:p>
    <w:p w:rsidR="00ED6CD2" w:rsidRPr="00214776" w:rsidRDefault="00ED6CD2" w:rsidP="00ED6CD2">
      <w:pPr>
        <w:ind w:left="1267" w:hanging="1267"/>
      </w:pPr>
      <w:r w:rsidRPr="00214776">
        <w:t>1.2</w:t>
      </w:r>
      <w:r w:rsidRPr="00214776">
        <w:tab/>
        <w:t>This report seeks approval to a change in the Committee’s 2016 - 20</w:t>
      </w:r>
      <w:r w:rsidR="00ED13CD">
        <w:t>20</w:t>
      </w:r>
      <w:r w:rsidRPr="00214776">
        <w:t xml:space="preserve"> medium-term financial </w:t>
      </w:r>
      <w:proofErr w:type="gramStart"/>
      <w:r w:rsidRPr="00214776">
        <w:t>plan</w:t>
      </w:r>
      <w:proofErr w:type="gramEnd"/>
      <w:r w:rsidRPr="00214776">
        <w:t>.</w:t>
      </w:r>
    </w:p>
    <w:p w:rsidR="00ED6CD2" w:rsidRPr="00214776" w:rsidRDefault="00ED6CD2" w:rsidP="00ED6CD2">
      <w:pPr>
        <w:ind w:left="1267" w:hanging="1267"/>
        <w:rPr>
          <w:color w:val="365F91" w:themeColor="accent1" w:themeShade="BF"/>
        </w:rPr>
      </w:pPr>
    </w:p>
    <w:p w:rsidR="00ED6CD2" w:rsidRPr="00214776" w:rsidRDefault="00ED6CD2" w:rsidP="00ED6CD2">
      <w:pPr>
        <w:keepNext/>
        <w:numPr>
          <w:ilvl w:val="0"/>
          <w:numId w:val="15"/>
        </w:numPr>
        <w:rPr>
          <w:b/>
        </w:rPr>
      </w:pPr>
      <w:r w:rsidRPr="00214776">
        <w:rPr>
          <w:b/>
        </w:rPr>
        <w:t>Details</w:t>
      </w:r>
    </w:p>
    <w:p w:rsidR="00ED6CD2" w:rsidRPr="00214776" w:rsidRDefault="00ED6CD2" w:rsidP="00ED6CD2">
      <w:pPr>
        <w:keepNext/>
        <w:tabs>
          <w:tab w:val="clear" w:pos="1260"/>
        </w:tabs>
        <w:rPr>
          <w:b/>
        </w:rPr>
      </w:pPr>
    </w:p>
    <w:p w:rsidR="00ED6CD2" w:rsidRPr="00214776" w:rsidRDefault="00ED6CD2" w:rsidP="00ED6CD2">
      <w:pPr>
        <w:ind w:left="1267" w:hanging="1267"/>
      </w:pPr>
      <w:r w:rsidRPr="00214776">
        <w:t>2.1</w:t>
      </w:r>
      <w:r w:rsidRPr="00214776">
        <w:tab/>
      </w:r>
      <w:r w:rsidRPr="00214776">
        <w:tab/>
        <w:t>Service heads must provide a valid reason for any growth, and in the first instance, try to mitigate any overspend by identifying compensatory savings in their service area.</w:t>
      </w:r>
    </w:p>
    <w:p w:rsidR="00ED6CD2" w:rsidRPr="007736F6" w:rsidRDefault="00ED6CD2" w:rsidP="00ED6CD2">
      <w:pPr>
        <w:ind w:left="1267" w:hanging="1267"/>
      </w:pPr>
      <w:r w:rsidRPr="00214776">
        <w:tab/>
        <w:t xml:space="preserve">An overall increase in the Council’s budgets requiring the use of balances must be approved by Council. Virements between cost centres within each service are approved by each committee. Virements between service committees must be </w:t>
      </w:r>
      <w:r w:rsidRPr="007736F6">
        <w:t>approved by Council along with proposals for the use of ‘windfall’ income.</w:t>
      </w:r>
    </w:p>
    <w:p w:rsidR="006E177E" w:rsidRPr="007736F6" w:rsidRDefault="006E177E" w:rsidP="00A6630B">
      <w:pPr>
        <w:ind w:left="1267" w:hanging="1267"/>
      </w:pPr>
    </w:p>
    <w:p w:rsidR="00420328" w:rsidRPr="007736F6" w:rsidRDefault="005F204D" w:rsidP="005F204D">
      <w:pPr>
        <w:keepNext/>
        <w:rPr>
          <w:b/>
          <w:i/>
        </w:rPr>
      </w:pPr>
      <w:r w:rsidRPr="007736F6">
        <w:rPr>
          <w:b/>
        </w:rPr>
        <w:tab/>
      </w:r>
      <w:r w:rsidR="00420328" w:rsidRPr="007736F6">
        <w:rPr>
          <w:b/>
          <w:i/>
        </w:rPr>
        <w:t>Revenue</w:t>
      </w:r>
    </w:p>
    <w:p w:rsidR="008222B2" w:rsidRPr="007736F6" w:rsidRDefault="008222B2" w:rsidP="006E177E">
      <w:pPr>
        <w:keepNext/>
        <w:ind w:left="1267" w:hanging="1267"/>
        <w:rPr>
          <w:b/>
          <w:i/>
        </w:rPr>
      </w:pPr>
    </w:p>
    <w:p w:rsidR="001D0A86" w:rsidRDefault="005F204D" w:rsidP="003A1542">
      <w:pPr>
        <w:ind w:left="1267" w:hanging="1267"/>
      </w:pPr>
      <w:r w:rsidRPr="002547A8">
        <w:t>2.</w:t>
      </w:r>
      <w:r w:rsidR="001E60CA" w:rsidRPr="002547A8">
        <w:t>2</w:t>
      </w:r>
      <w:r w:rsidR="006E177E" w:rsidRPr="002547A8">
        <w:tab/>
      </w:r>
      <w:r w:rsidR="00420328" w:rsidRPr="002547A8">
        <w:t xml:space="preserve">The latest </w:t>
      </w:r>
      <w:r w:rsidR="008D2A03" w:rsidRPr="002547A8">
        <w:t>r</w:t>
      </w:r>
      <w:r w:rsidR="00EB4C3D" w:rsidRPr="002547A8">
        <w:t>evenue budget for 201</w:t>
      </w:r>
      <w:r w:rsidR="00ED6CD2" w:rsidRPr="002547A8">
        <w:t>6</w:t>
      </w:r>
      <w:r w:rsidR="00EB4C3D" w:rsidRPr="002547A8">
        <w:t>/1</w:t>
      </w:r>
      <w:r w:rsidR="00ED6CD2" w:rsidRPr="002547A8">
        <w:t>7</w:t>
      </w:r>
      <w:r w:rsidR="00EB4C3D" w:rsidRPr="002547A8">
        <w:t xml:space="preserve"> </w:t>
      </w:r>
      <w:r w:rsidR="00725C4D" w:rsidRPr="002547A8">
        <w:t>totalling £</w:t>
      </w:r>
      <w:r w:rsidR="00E26F37" w:rsidRPr="002547A8">
        <w:t>1,</w:t>
      </w:r>
      <w:r w:rsidR="000359AB" w:rsidRPr="002547A8">
        <w:t>951,630</w:t>
      </w:r>
      <w:r w:rsidR="00725C4D" w:rsidRPr="002547A8">
        <w:t xml:space="preserve"> was</w:t>
      </w:r>
      <w:r w:rsidR="00420328" w:rsidRPr="002547A8">
        <w:t xml:space="preserve"> approved by </w:t>
      </w:r>
      <w:r w:rsidR="00C204BE" w:rsidRPr="002547A8">
        <w:t xml:space="preserve">Policy and Resources </w:t>
      </w:r>
      <w:r w:rsidR="00D07512" w:rsidRPr="002547A8">
        <w:t xml:space="preserve">Committee </w:t>
      </w:r>
      <w:r w:rsidR="00420328" w:rsidRPr="002547A8">
        <w:t xml:space="preserve">on </w:t>
      </w:r>
      <w:r w:rsidR="001229A1" w:rsidRPr="002547A8">
        <w:rPr>
          <w:rFonts w:cs="Arial"/>
          <w:szCs w:val="22"/>
        </w:rPr>
        <w:t xml:space="preserve">23 January 2017 (Minute No. PR89/16) </w:t>
      </w:r>
      <w:r w:rsidR="00811320" w:rsidRPr="002547A8">
        <w:t xml:space="preserve">and </w:t>
      </w:r>
      <w:r w:rsidR="00816D03" w:rsidRPr="002547A8">
        <w:t xml:space="preserve">by </w:t>
      </w:r>
      <w:r w:rsidR="00811320" w:rsidRPr="002547A8">
        <w:t xml:space="preserve">Council on </w:t>
      </w:r>
      <w:r w:rsidR="001229A1" w:rsidRPr="002547A8">
        <w:t>21 February 2017</w:t>
      </w:r>
      <w:r w:rsidR="002549FA" w:rsidRPr="002547A8">
        <w:t>.</w:t>
      </w:r>
      <w:r w:rsidR="00725C4D" w:rsidRPr="002547A8">
        <w:t xml:space="preserve"> The forecast outturn</w:t>
      </w:r>
      <w:r w:rsidR="004B0DD3" w:rsidRPr="002547A8">
        <w:t xml:space="preserve"> </w:t>
      </w:r>
      <w:r w:rsidR="00D9465D" w:rsidRPr="002547A8">
        <w:t xml:space="preserve">total </w:t>
      </w:r>
      <w:r w:rsidR="00725C4D" w:rsidRPr="002547A8">
        <w:t>is</w:t>
      </w:r>
      <w:r w:rsidR="004B0DD3" w:rsidRPr="002547A8">
        <w:t xml:space="preserve"> </w:t>
      </w:r>
      <w:r w:rsidR="00725C4D" w:rsidRPr="002547A8">
        <w:t>£</w:t>
      </w:r>
      <w:r w:rsidR="000359AB" w:rsidRPr="002547A8">
        <w:t>1</w:t>
      </w:r>
      <w:r w:rsidR="00725C4D" w:rsidRPr="002547A8">
        <w:t>,</w:t>
      </w:r>
      <w:r w:rsidR="000359AB" w:rsidRPr="002547A8">
        <w:t>944</w:t>
      </w:r>
      <w:r w:rsidR="00725C4D" w:rsidRPr="002547A8">
        <w:t>,</w:t>
      </w:r>
      <w:r w:rsidR="001F224F" w:rsidRPr="002547A8">
        <w:t>6</w:t>
      </w:r>
      <w:r w:rsidR="000359AB" w:rsidRPr="002547A8">
        <w:t>3</w:t>
      </w:r>
      <w:r w:rsidR="001F224F" w:rsidRPr="002547A8">
        <w:t>0</w:t>
      </w:r>
      <w:r w:rsidR="00725C4D" w:rsidRPr="002547A8">
        <w:t xml:space="preserve"> </w:t>
      </w:r>
      <w:r w:rsidR="00D9465D" w:rsidRPr="002547A8">
        <w:t>which gives</w:t>
      </w:r>
      <w:r w:rsidR="00725C4D" w:rsidRPr="002547A8">
        <w:t xml:space="preserve"> a</w:t>
      </w:r>
      <w:r w:rsidR="00816D03" w:rsidRPr="002547A8">
        <w:t xml:space="preserve"> favourable</w:t>
      </w:r>
      <w:r w:rsidR="001F224F" w:rsidRPr="002547A8">
        <w:t xml:space="preserve"> </w:t>
      </w:r>
      <w:r w:rsidR="00725C4D" w:rsidRPr="002547A8">
        <w:t>variance of £</w:t>
      </w:r>
      <w:r w:rsidR="000359AB" w:rsidRPr="002547A8">
        <w:t>7,000</w:t>
      </w:r>
      <w:r w:rsidR="00725C4D" w:rsidRPr="002547A8">
        <w:t xml:space="preserve"> for this period</w:t>
      </w:r>
      <w:r w:rsidR="00D9465D" w:rsidRPr="002547A8">
        <w:t xml:space="preserve"> (end of </w:t>
      </w:r>
      <w:r w:rsidR="007736F6" w:rsidRPr="002547A8">
        <w:t>January</w:t>
      </w:r>
      <w:r w:rsidR="00D9465D" w:rsidRPr="002547A8">
        <w:t>)</w:t>
      </w:r>
      <w:r w:rsidR="00725C4D" w:rsidRPr="002547A8">
        <w:t>.</w:t>
      </w:r>
      <w:r w:rsidR="002547A8" w:rsidRPr="002547A8">
        <w:t xml:space="preserve">The main reasons for the variance </w:t>
      </w:r>
      <w:r w:rsidR="003A1542">
        <w:t xml:space="preserve">is increases of </w:t>
      </w:r>
      <w:r w:rsidR="002547A8">
        <w:t xml:space="preserve">£6,000 </w:t>
      </w:r>
      <w:r w:rsidR="003A1542">
        <w:t>for stree</w:t>
      </w:r>
      <w:r w:rsidR="002547A8">
        <w:t>t naming fee</w:t>
      </w:r>
      <w:r w:rsidR="003A1542">
        <w:t>s and £10</w:t>
      </w:r>
      <w:r w:rsidR="001D0A86" w:rsidRPr="002547A8">
        <w:t xml:space="preserve">,000 </w:t>
      </w:r>
      <w:r w:rsidR="003A1542">
        <w:t>for</w:t>
      </w:r>
      <w:r w:rsidR="001D0A86" w:rsidRPr="002547A8">
        <w:t xml:space="preserve"> pre </w:t>
      </w:r>
      <w:r w:rsidR="003A1542">
        <w:t xml:space="preserve">planning </w:t>
      </w:r>
      <w:r w:rsidR="001D0A86" w:rsidRPr="002547A8">
        <w:t>fee</w:t>
      </w:r>
      <w:r w:rsidR="003A1542">
        <w:t>s, but a decrease in the land charges search fee of £10,000.</w:t>
      </w:r>
      <w:r w:rsidR="001D0A86" w:rsidRPr="002547A8">
        <w:t xml:space="preserve"> </w:t>
      </w:r>
    </w:p>
    <w:p w:rsidR="00FA46FC" w:rsidRPr="00214776" w:rsidRDefault="00FA46FC" w:rsidP="00D9465D">
      <w:pPr>
        <w:ind w:left="1267" w:hanging="1267"/>
        <w:rPr>
          <w:color w:val="365F91" w:themeColor="accent1" w:themeShade="BF"/>
        </w:rPr>
      </w:pPr>
    </w:p>
    <w:p w:rsidR="00F01FED" w:rsidRPr="00CD2A86" w:rsidRDefault="00F01FED" w:rsidP="00D9465D">
      <w:pPr>
        <w:ind w:left="1267" w:hanging="1267"/>
        <w:rPr>
          <w:color w:val="000000" w:themeColor="text1"/>
        </w:rPr>
      </w:pPr>
      <w:r w:rsidRPr="00214776">
        <w:rPr>
          <w:color w:val="365F91" w:themeColor="accent1" w:themeShade="BF"/>
        </w:rPr>
        <w:tab/>
      </w:r>
      <w:r w:rsidRPr="00B457C8">
        <w:rPr>
          <w:color w:val="000000" w:themeColor="text1"/>
        </w:rPr>
        <w:t>As at</w:t>
      </w:r>
      <w:r w:rsidR="00531384" w:rsidRPr="00B457C8">
        <w:rPr>
          <w:color w:val="000000" w:themeColor="text1"/>
        </w:rPr>
        <w:t xml:space="preserve"> 3</w:t>
      </w:r>
      <w:r w:rsidR="00B457C8" w:rsidRPr="00B457C8">
        <w:rPr>
          <w:color w:val="000000" w:themeColor="text1"/>
        </w:rPr>
        <w:t xml:space="preserve">1 January </w:t>
      </w:r>
      <w:r w:rsidR="00531384" w:rsidRPr="00B457C8">
        <w:rPr>
          <w:color w:val="000000" w:themeColor="text1"/>
        </w:rPr>
        <w:t>201</w:t>
      </w:r>
      <w:r w:rsidR="00B457C8" w:rsidRPr="00B457C8">
        <w:rPr>
          <w:color w:val="000000" w:themeColor="text1"/>
        </w:rPr>
        <w:t>7</w:t>
      </w:r>
      <w:r w:rsidR="00531384" w:rsidRPr="00B457C8">
        <w:rPr>
          <w:color w:val="000000" w:themeColor="text1"/>
        </w:rPr>
        <w:t>, the services had spent £</w:t>
      </w:r>
      <w:r w:rsidR="000E21AD">
        <w:rPr>
          <w:color w:val="000000" w:themeColor="text1"/>
        </w:rPr>
        <w:t>1,044,873</w:t>
      </w:r>
      <w:r w:rsidR="007E1CF3">
        <w:rPr>
          <w:color w:val="000000" w:themeColor="text1"/>
        </w:rPr>
        <w:t xml:space="preserve">. </w:t>
      </w:r>
    </w:p>
    <w:p w:rsidR="00D9465D" w:rsidRPr="00CD2A86" w:rsidRDefault="00D9465D" w:rsidP="00D9465D">
      <w:pPr>
        <w:rPr>
          <w:color w:val="000000" w:themeColor="text1"/>
        </w:rPr>
      </w:pPr>
    </w:p>
    <w:p w:rsidR="00D9465D" w:rsidRPr="00CD2A86" w:rsidRDefault="00D9465D" w:rsidP="00D9465D">
      <w:pPr>
        <w:rPr>
          <w:color w:val="000000" w:themeColor="text1"/>
        </w:rPr>
      </w:pPr>
      <w:r w:rsidRPr="00CD2A86">
        <w:rPr>
          <w:color w:val="000000" w:themeColor="text1"/>
        </w:rPr>
        <w:t>2.</w:t>
      </w:r>
      <w:r w:rsidR="003A1542">
        <w:rPr>
          <w:color w:val="000000" w:themeColor="text1"/>
        </w:rPr>
        <w:t>3</w:t>
      </w:r>
      <w:r w:rsidRPr="00CD2A86">
        <w:rPr>
          <w:color w:val="000000" w:themeColor="text1"/>
        </w:rPr>
        <w:tab/>
        <w:t>Appendix 1 shows the Committee</w:t>
      </w:r>
      <w:r w:rsidR="00282F67">
        <w:rPr>
          <w:color w:val="000000" w:themeColor="text1"/>
        </w:rPr>
        <w:t>’s</w:t>
      </w:r>
      <w:r w:rsidRPr="00CD2A86">
        <w:rPr>
          <w:color w:val="000000" w:themeColor="text1"/>
        </w:rPr>
        <w:t xml:space="preserve"> medium term revenue budget 2016 – 2019.</w:t>
      </w:r>
    </w:p>
    <w:p w:rsidR="00D9465D" w:rsidRPr="00CD2A86" w:rsidRDefault="00D9465D" w:rsidP="00D9465D">
      <w:pPr>
        <w:rPr>
          <w:color w:val="000000" w:themeColor="text1"/>
        </w:rPr>
      </w:pPr>
    </w:p>
    <w:p w:rsidR="00FA46FC" w:rsidRPr="00214776" w:rsidRDefault="00D9465D" w:rsidP="00487F8E">
      <w:pPr>
        <w:rPr>
          <w:color w:val="365F91" w:themeColor="accent1" w:themeShade="BF"/>
        </w:rPr>
      </w:pPr>
      <w:r w:rsidRPr="00CD2A86">
        <w:rPr>
          <w:color w:val="000000" w:themeColor="text1"/>
        </w:rPr>
        <w:t>2.</w:t>
      </w:r>
      <w:r w:rsidR="003A1542">
        <w:rPr>
          <w:color w:val="000000" w:themeColor="text1"/>
        </w:rPr>
        <w:t>4</w:t>
      </w:r>
      <w:r w:rsidRPr="00CD2A86">
        <w:rPr>
          <w:color w:val="000000" w:themeColor="text1"/>
        </w:rPr>
        <w:tab/>
        <w:t>Appendix 2 shows the revenue variances for period (</w:t>
      </w:r>
      <w:r w:rsidR="003A1542">
        <w:rPr>
          <w:color w:val="000000" w:themeColor="text1"/>
        </w:rPr>
        <w:t xml:space="preserve">end of </w:t>
      </w:r>
      <w:r w:rsidR="007848A4" w:rsidRPr="00CD2A86">
        <w:rPr>
          <w:color w:val="000000" w:themeColor="text1"/>
        </w:rPr>
        <w:t>January</w:t>
      </w:r>
      <w:r w:rsidRPr="00CD2A86">
        <w:rPr>
          <w:color w:val="000000" w:themeColor="text1"/>
        </w:rPr>
        <w:t>).</w:t>
      </w:r>
    </w:p>
    <w:p w:rsidR="00FA46FC" w:rsidRPr="00214776" w:rsidRDefault="00FA46FC" w:rsidP="00FA46FC">
      <w:pPr>
        <w:ind w:left="1276" w:hanging="1276"/>
        <w:rPr>
          <w:color w:val="365F91" w:themeColor="accent1" w:themeShade="BF"/>
        </w:rPr>
      </w:pPr>
    </w:p>
    <w:p w:rsidR="00FA46FC" w:rsidRPr="007848A4" w:rsidRDefault="00001856" w:rsidP="00FA46FC">
      <w:pPr>
        <w:rPr>
          <w:b/>
          <w:i/>
        </w:rPr>
      </w:pPr>
      <w:r w:rsidRPr="00214776">
        <w:rPr>
          <w:b/>
          <w:i/>
          <w:color w:val="365F91" w:themeColor="accent1" w:themeShade="BF"/>
        </w:rPr>
        <w:tab/>
      </w:r>
      <w:r w:rsidRPr="007848A4">
        <w:rPr>
          <w:b/>
          <w:i/>
        </w:rPr>
        <w:t>Capital</w:t>
      </w:r>
    </w:p>
    <w:p w:rsidR="00FA46FC" w:rsidRPr="007848A4" w:rsidRDefault="00FA46FC" w:rsidP="00FA46FC">
      <w:pPr>
        <w:rPr>
          <w:b/>
          <w:i/>
        </w:rPr>
      </w:pPr>
    </w:p>
    <w:p w:rsidR="00FA46FC" w:rsidRPr="00CD2A86" w:rsidRDefault="00001856" w:rsidP="00FA46FC">
      <w:pPr>
        <w:ind w:left="1276" w:hanging="1276"/>
        <w:rPr>
          <w:color w:val="000000" w:themeColor="text1"/>
        </w:rPr>
      </w:pPr>
      <w:r w:rsidRPr="007848A4">
        <w:t>2.</w:t>
      </w:r>
      <w:r w:rsidR="00CE2BFF">
        <w:t>5</w:t>
      </w:r>
      <w:r w:rsidRPr="007848A4">
        <w:tab/>
        <w:t xml:space="preserve">The latest capital budget for 2016/17 totalling </w:t>
      </w:r>
      <w:r w:rsidRPr="00002262">
        <w:t>£2,</w:t>
      </w:r>
      <w:r w:rsidR="00002262" w:rsidRPr="00002262">
        <w:t>515</w:t>
      </w:r>
      <w:r w:rsidRPr="00002262">
        <w:t>,</w:t>
      </w:r>
      <w:r w:rsidR="00002262" w:rsidRPr="00002262">
        <w:t>015</w:t>
      </w:r>
      <w:r w:rsidRPr="00002262">
        <w:t xml:space="preserve"> </w:t>
      </w:r>
      <w:r w:rsidRPr="007848A4">
        <w:t>was approved by Policy and Resources C</w:t>
      </w:r>
      <w:r w:rsidR="00D07512" w:rsidRPr="007848A4">
        <w:t>ommittee</w:t>
      </w:r>
      <w:r w:rsidRPr="007848A4">
        <w:t xml:space="preserve"> on </w:t>
      </w:r>
      <w:r w:rsidR="001229A1">
        <w:rPr>
          <w:rFonts w:cs="Arial"/>
          <w:szCs w:val="22"/>
        </w:rPr>
        <w:t>23</w:t>
      </w:r>
      <w:r w:rsidR="001229A1" w:rsidRPr="003051F3">
        <w:rPr>
          <w:rFonts w:cs="Arial"/>
          <w:color w:val="0070C0"/>
          <w:szCs w:val="22"/>
        </w:rPr>
        <w:t xml:space="preserve"> </w:t>
      </w:r>
      <w:r w:rsidR="001229A1" w:rsidRPr="00C771BC">
        <w:rPr>
          <w:rFonts w:cs="Arial"/>
          <w:szCs w:val="22"/>
        </w:rPr>
        <w:t xml:space="preserve">January 2017 </w:t>
      </w:r>
      <w:r w:rsidR="001229A1" w:rsidRPr="00332B32">
        <w:rPr>
          <w:rFonts w:cs="Arial"/>
          <w:color w:val="000000" w:themeColor="text1"/>
          <w:szCs w:val="22"/>
        </w:rPr>
        <w:t xml:space="preserve">(Minute </w:t>
      </w:r>
      <w:r w:rsidR="001229A1" w:rsidRPr="00A3307F">
        <w:rPr>
          <w:rFonts w:cs="Arial"/>
          <w:color w:val="000000" w:themeColor="text1"/>
          <w:szCs w:val="22"/>
        </w:rPr>
        <w:t>No. PR</w:t>
      </w:r>
      <w:r w:rsidR="001229A1">
        <w:rPr>
          <w:rFonts w:cs="Arial"/>
          <w:color w:val="000000" w:themeColor="text1"/>
          <w:szCs w:val="22"/>
        </w:rPr>
        <w:t>90</w:t>
      </w:r>
      <w:r w:rsidR="001229A1" w:rsidRPr="00A3307F">
        <w:rPr>
          <w:rFonts w:cs="Arial"/>
          <w:color w:val="000000" w:themeColor="text1"/>
          <w:szCs w:val="22"/>
        </w:rPr>
        <w:t xml:space="preserve">/16) </w:t>
      </w:r>
      <w:r w:rsidR="00816D03" w:rsidRPr="007848A4">
        <w:t>and</w:t>
      </w:r>
      <w:r w:rsidR="00F4162B" w:rsidRPr="007848A4">
        <w:t xml:space="preserve"> </w:t>
      </w:r>
      <w:r w:rsidR="00816D03" w:rsidRPr="007848A4">
        <w:t xml:space="preserve">by </w:t>
      </w:r>
      <w:r w:rsidR="00F4162B" w:rsidRPr="007848A4">
        <w:t xml:space="preserve">Council on </w:t>
      </w:r>
      <w:r w:rsidR="001229A1" w:rsidRPr="001229A1">
        <w:rPr>
          <w:color w:val="000000" w:themeColor="text1"/>
        </w:rPr>
        <w:t>21 February 2017</w:t>
      </w:r>
      <w:r w:rsidRPr="001229A1">
        <w:rPr>
          <w:color w:val="000000" w:themeColor="text1"/>
        </w:rPr>
        <w:t xml:space="preserve">. </w:t>
      </w:r>
      <w:r w:rsidR="005919EE" w:rsidRPr="007848A4">
        <w:t>The forecast outturn is £</w:t>
      </w:r>
      <w:r w:rsidR="00002262" w:rsidRPr="00002262">
        <w:t>1</w:t>
      </w:r>
      <w:r w:rsidR="005919EE" w:rsidRPr="00002262">
        <w:t>,</w:t>
      </w:r>
      <w:r w:rsidR="00002262" w:rsidRPr="00002262">
        <w:t>972,595</w:t>
      </w:r>
      <w:r w:rsidR="005919EE" w:rsidRPr="00002262">
        <w:t xml:space="preserve"> </w:t>
      </w:r>
      <w:r w:rsidR="005919EE" w:rsidRPr="007848A4">
        <w:t xml:space="preserve">which gives a </w:t>
      </w:r>
      <w:r w:rsidR="00002262">
        <w:t xml:space="preserve">favourable </w:t>
      </w:r>
      <w:r w:rsidR="005919EE" w:rsidRPr="007848A4">
        <w:t xml:space="preserve">variance </w:t>
      </w:r>
      <w:r w:rsidR="005919EE" w:rsidRPr="00002262">
        <w:t>of (£</w:t>
      </w:r>
      <w:r w:rsidR="00002262" w:rsidRPr="00002262">
        <w:t>242</w:t>
      </w:r>
      <w:r w:rsidR="005919EE" w:rsidRPr="00002262">
        <w:t>,</w:t>
      </w:r>
      <w:r w:rsidR="00002262" w:rsidRPr="00002262">
        <w:t>420</w:t>
      </w:r>
      <w:r w:rsidR="005919EE" w:rsidRPr="00002262">
        <w:t xml:space="preserve">) </w:t>
      </w:r>
      <w:r w:rsidR="005919EE" w:rsidRPr="007848A4">
        <w:t xml:space="preserve">for this </w:t>
      </w:r>
      <w:r w:rsidR="005919EE" w:rsidRPr="00CD2A86">
        <w:rPr>
          <w:color w:val="000000" w:themeColor="text1"/>
        </w:rPr>
        <w:t xml:space="preserve">period (end of </w:t>
      </w:r>
      <w:r w:rsidR="007848A4" w:rsidRPr="00CD2A86">
        <w:rPr>
          <w:color w:val="000000" w:themeColor="text1"/>
        </w:rPr>
        <w:t>January</w:t>
      </w:r>
      <w:r w:rsidR="005919EE" w:rsidRPr="00CD2A86">
        <w:rPr>
          <w:color w:val="000000" w:themeColor="text1"/>
        </w:rPr>
        <w:t>).</w:t>
      </w:r>
    </w:p>
    <w:p w:rsidR="00FA46FC" w:rsidRPr="00CD2A86" w:rsidRDefault="00FA46FC" w:rsidP="00FA46FC">
      <w:pPr>
        <w:rPr>
          <w:color w:val="000000" w:themeColor="text1"/>
        </w:rPr>
      </w:pPr>
    </w:p>
    <w:p w:rsidR="00002262" w:rsidRDefault="00002262" w:rsidP="00CE2BFF">
      <w:pPr>
        <w:pStyle w:val="ListParagraph"/>
        <w:numPr>
          <w:ilvl w:val="1"/>
          <w:numId w:val="27"/>
        </w:numPr>
        <w:ind w:left="1276" w:hanging="1276"/>
      </w:pPr>
      <w:r w:rsidRPr="002547A8">
        <w:t xml:space="preserve">The main reasons for the </w:t>
      </w:r>
      <w:r w:rsidR="00CE2BFF" w:rsidRPr="002547A8">
        <w:t>variance</w:t>
      </w:r>
      <w:r w:rsidR="00282F67">
        <w:t xml:space="preserve"> are</w:t>
      </w:r>
      <w:r w:rsidR="00CE2BFF">
        <w:t xml:space="preserve"> the underspend on the annual project of renewing footways and alleyways of £20,000 and the </w:t>
      </w:r>
      <w:r w:rsidR="003A1542">
        <w:t>rephasing of the following projects to 2017/18</w:t>
      </w:r>
      <w:r>
        <w:t>:</w:t>
      </w:r>
    </w:p>
    <w:p w:rsidR="003A1542" w:rsidRPr="002547A8" w:rsidRDefault="003A1542" w:rsidP="003A1542">
      <w:pPr>
        <w:pStyle w:val="ListParagraph"/>
        <w:ind w:left="360"/>
      </w:pPr>
    </w:p>
    <w:p w:rsidR="00002262" w:rsidRDefault="003A1542" w:rsidP="003A1542">
      <w:pPr>
        <w:pStyle w:val="ListParagraph"/>
        <w:numPr>
          <w:ilvl w:val="0"/>
          <w:numId w:val="25"/>
        </w:numPr>
      </w:pPr>
      <w:r>
        <w:t>Cycle Schemes - £ 31,670</w:t>
      </w:r>
    </w:p>
    <w:p w:rsidR="003A1542" w:rsidRDefault="003A1542" w:rsidP="003A1542">
      <w:pPr>
        <w:pStyle w:val="ListParagraph"/>
        <w:numPr>
          <w:ilvl w:val="0"/>
          <w:numId w:val="25"/>
        </w:numPr>
      </w:pPr>
      <w:r>
        <w:t>Controlled parking - £60,000</w:t>
      </w:r>
    </w:p>
    <w:p w:rsidR="003A1542" w:rsidRDefault="003A1542" w:rsidP="003A1542">
      <w:pPr>
        <w:pStyle w:val="ListParagraph"/>
        <w:numPr>
          <w:ilvl w:val="0"/>
          <w:numId w:val="25"/>
        </w:numPr>
      </w:pPr>
      <w:r>
        <w:t>Parking bays - £40,000</w:t>
      </w:r>
    </w:p>
    <w:p w:rsidR="003A1542" w:rsidRDefault="003A1542" w:rsidP="003A1542">
      <w:pPr>
        <w:pStyle w:val="ListParagraph"/>
        <w:numPr>
          <w:ilvl w:val="0"/>
          <w:numId w:val="25"/>
        </w:numPr>
      </w:pPr>
      <w:r>
        <w:lastRenderedPageBreak/>
        <w:t>Retail Parades - £70,750</w:t>
      </w:r>
    </w:p>
    <w:p w:rsidR="003A1542" w:rsidRDefault="003A1542" w:rsidP="003A1542">
      <w:pPr>
        <w:pStyle w:val="ListParagraph"/>
        <w:numPr>
          <w:ilvl w:val="0"/>
          <w:numId w:val="25"/>
        </w:numPr>
      </w:pPr>
      <w:r>
        <w:t>Rickmansworth Work Hub - £20,000</w:t>
      </w:r>
    </w:p>
    <w:p w:rsidR="003A1542" w:rsidRDefault="003A1542" w:rsidP="003A1542"/>
    <w:p w:rsidR="00FA46FC" w:rsidRPr="00321008" w:rsidRDefault="00001856" w:rsidP="002C36A7">
      <w:pPr>
        <w:ind w:left="1276" w:hanging="1276"/>
        <w:rPr>
          <w:color w:val="000000" w:themeColor="text1"/>
        </w:rPr>
      </w:pPr>
      <w:r w:rsidRPr="00457357">
        <w:t>2.</w:t>
      </w:r>
      <w:r w:rsidR="008034ED">
        <w:t>7</w:t>
      </w:r>
      <w:r w:rsidRPr="00457357">
        <w:tab/>
        <w:t xml:space="preserve">Appendix </w:t>
      </w:r>
      <w:r w:rsidR="008C4722">
        <w:t>3</w:t>
      </w:r>
      <w:r w:rsidRPr="00457357">
        <w:t xml:space="preserve"> shows the Committee</w:t>
      </w:r>
      <w:r w:rsidR="00CE6BCE">
        <w:t>’s</w:t>
      </w:r>
      <w:r w:rsidRPr="00457357">
        <w:t xml:space="preserve"> medium term capital investment programme 2016 -</w:t>
      </w:r>
      <w:r w:rsidRPr="00321008">
        <w:rPr>
          <w:color w:val="000000" w:themeColor="text1"/>
        </w:rPr>
        <w:t>20</w:t>
      </w:r>
      <w:r w:rsidR="007B76E7">
        <w:rPr>
          <w:color w:val="000000" w:themeColor="text1"/>
        </w:rPr>
        <w:t>20</w:t>
      </w:r>
      <w:r w:rsidRPr="00321008">
        <w:rPr>
          <w:color w:val="000000" w:themeColor="text1"/>
        </w:rPr>
        <w:t>.</w:t>
      </w:r>
    </w:p>
    <w:p w:rsidR="002C36A7" w:rsidRPr="00321008" w:rsidRDefault="002C36A7" w:rsidP="002C36A7">
      <w:pPr>
        <w:ind w:left="1276" w:hanging="1276"/>
        <w:rPr>
          <w:color w:val="000000" w:themeColor="text1"/>
        </w:rPr>
      </w:pPr>
    </w:p>
    <w:p w:rsidR="002C36A7" w:rsidRPr="00321008" w:rsidRDefault="002C36A7" w:rsidP="002C36A7">
      <w:pPr>
        <w:ind w:left="1276" w:hanging="1276"/>
        <w:rPr>
          <w:color w:val="000000" w:themeColor="text1"/>
        </w:rPr>
      </w:pPr>
      <w:r w:rsidRPr="00321008">
        <w:rPr>
          <w:color w:val="000000" w:themeColor="text1"/>
        </w:rPr>
        <w:t>2.</w:t>
      </w:r>
      <w:r w:rsidR="008034ED">
        <w:rPr>
          <w:color w:val="000000" w:themeColor="text1"/>
        </w:rPr>
        <w:t>8</w:t>
      </w:r>
      <w:r w:rsidRPr="00321008">
        <w:rPr>
          <w:color w:val="000000" w:themeColor="text1"/>
        </w:rPr>
        <w:tab/>
        <w:t xml:space="preserve">Appendix </w:t>
      </w:r>
      <w:r w:rsidR="008C4722">
        <w:rPr>
          <w:color w:val="000000" w:themeColor="text1"/>
        </w:rPr>
        <w:t>4</w:t>
      </w:r>
      <w:r w:rsidRPr="00321008">
        <w:rPr>
          <w:color w:val="000000" w:themeColor="text1"/>
        </w:rPr>
        <w:t xml:space="preserve"> shows the capital variances for period</w:t>
      </w:r>
      <w:r w:rsidR="00CE6BCE">
        <w:rPr>
          <w:color w:val="000000" w:themeColor="text1"/>
        </w:rPr>
        <w:t xml:space="preserve"> </w:t>
      </w:r>
      <w:r w:rsidRPr="00321008">
        <w:rPr>
          <w:color w:val="000000" w:themeColor="text1"/>
        </w:rPr>
        <w:t>(</w:t>
      </w:r>
      <w:r w:rsidR="00CE2BFF">
        <w:rPr>
          <w:color w:val="000000" w:themeColor="text1"/>
        </w:rPr>
        <w:t xml:space="preserve">end of </w:t>
      </w:r>
      <w:r w:rsidR="00457357" w:rsidRPr="00321008">
        <w:rPr>
          <w:color w:val="000000" w:themeColor="text1"/>
        </w:rPr>
        <w:t>January</w:t>
      </w:r>
      <w:r w:rsidRPr="00321008">
        <w:rPr>
          <w:color w:val="000000" w:themeColor="text1"/>
        </w:rPr>
        <w:t>).</w:t>
      </w:r>
    </w:p>
    <w:p w:rsidR="002C36A7" w:rsidRPr="00321008" w:rsidRDefault="002C36A7" w:rsidP="002C36A7">
      <w:pPr>
        <w:ind w:left="1276" w:hanging="1276"/>
        <w:rPr>
          <w:color w:val="000000" w:themeColor="text1"/>
        </w:rPr>
      </w:pPr>
    </w:p>
    <w:p w:rsidR="007E1CF3" w:rsidRPr="00CD2A86" w:rsidRDefault="00001856" w:rsidP="007E1CF3">
      <w:pPr>
        <w:ind w:left="1267" w:hanging="1267"/>
        <w:rPr>
          <w:color w:val="000000" w:themeColor="text1"/>
        </w:rPr>
      </w:pPr>
      <w:r w:rsidRPr="00321008">
        <w:rPr>
          <w:color w:val="000000" w:themeColor="text1"/>
        </w:rPr>
        <w:t>2.</w:t>
      </w:r>
      <w:r w:rsidR="008034ED">
        <w:rPr>
          <w:color w:val="000000" w:themeColor="text1"/>
        </w:rPr>
        <w:t>9</w:t>
      </w:r>
      <w:r w:rsidRPr="00321008">
        <w:rPr>
          <w:color w:val="000000" w:themeColor="text1"/>
        </w:rPr>
        <w:tab/>
      </w:r>
      <w:r w:rsidR="00816D03" w:rsidRPr="00321008">
        <w:rPr>
          <w:color w:val="000000" w:themeColor="text1"/>
        </w:rPr>
        <w:t xml:space="preserve">At the </w:t>
      </w:r>
      <w:r w:rsidR="00816D03" w:rsidRPr="00457357">
        <w:t xml:space="preserve">end of </w:t>
      </w:r>
      <w:r w:rsidR="00457357" w:rsidRPr="00457357">
        <w:t>January</w:t>
      </w:r>
      <w:r w:rsidR="000747CF">
        <w:t xml:space="preserve">, </w:t>
      </w:r>
      <w:r w:rsidR="007E1CF3">
        <w:t xml:space="preserve">expenditure totalled £965,217. </w:t>
      </w:r>
      <w:r w:rsidR="007E1CF3">
        <w:rPr>
          <w:color w:val="000000" w:themeColor="text1"/>
        </w:rPr>
        <w:t>This</w:t>
      </w:r>
      <w:r w:rsidR="007E1CF3" w:rsidRPr="00214776">
        <w:rPr>
          <w:color w:val="365F91" w:themeColor="accent1" w:themeShade="BF"/>
        </w:rPr>
        <w:t xml:space="preserve"> </w:t>
      </w:r>
      <w:r w:rsidR="007E1CF3" w:rsidRPr="00A3292A">
        <w:t>represents 43.</w:t>
      </w:r>
      <w:r w:rsidR="007E1CF3">
        <w:t>6</w:t>
      </w:r>
      <w:r w:rsidR="007E1CF3" w:rsidRPr="00A3292A">
        <w:t>% o</w:t>
      </w:r>
      <w:r w:rsidR="007E1CF3" w:rsidRPr="00B457C8">
        <w:rPr>
          <w:color w:val="000000" w:themeColor="text1"/>
        </w:rPr>
        <w:t xml:space="preserve">f </w:t>
      </w:r>
      <w:r w:rsidR="007E1CF3" w:rsidRPr="00CD2A86">
        <w:rPr>
          <w:color w:val="000000" w:themeColor="text1"/>
        </w:rPr>
        <w:t>the annual budget.</w:t>
      </w:r>
    </w:p>
    <w:p w:rsidR="007B0DDD" w:rsidRPr="00214776" w:rsidRDefault="00F82C4F" w:rsidP="000B7AC0">
      <w:pPr>
        <w:tabs>
          <w:tab w:val="clear" w:pos="1260"/>
          <w:tab w:val="left" w:pos="1276"/>
        </w:tabs>
        <w:ind w:left="1276" w:hanging="1276"/>
        <w:rPr>
          <w:color w:val="365F91" w:themeColor="accent1" w:themeShade="BF"/>
        </w:rPr>
      </w:pPr>
      <w:r w:rsidRPr="00214776">
        <w:rPr>
          <w:color w:val="365F91" w:themeColor="accent1" w:themeShade="BF"/>
          <w:highlight w:val="yellow"/>
        </w:rPr>
        <w:t xml:space="preserve"> </w:t>
      </w:r>
    </w:p>
    <w:p w:rsidR="00F4144B" w:rsidRPr="00457357" w:rsidRDefault="005F204D" w:rsidP="000F504C">
      <w:pPr>
        <w:ind w:left="1267" w:hanging="1267"/>
        <w:jc w:val="left"/>
      </w:pPr>
      <w:r w:rsidRPr="00457357">
        <w:t>3</w:t>
      </w:r>
      <w:r w:rsidR="006E177E" w:rsidRPr="00457357">
        <w:fldChar w:fldCharType="begin"/>
      </w:r>
      <w:r w:rsidR="006E177E" w:rsidRPr="00457357">
        <w:instrText xml:space="preserve">  </w:instrText>
      </w:r>
      <w:r w:rsidR="006E177E" w:rsidRPr="00457357">
        <w:fldChar w:fldCharType="end"/>
      </w:r>
      <w:r w:rsidR="00F4144B" w:rsidRPr="00457357">
        <w:t>.</w:t>
      </w:r>
      <w:r w:rsidR="00F4144B" w:rsidRPr="00214776">
        <w:rPr>
          <w:color w:val="365F91" w:themeColor="accent1" w:themeShade="BF"/>
        </w:rPr>
        <w:tab/>
      </w:r>
      <w:r w:rsidR="00F4144B" w:rsidRPr="00457357">
        <w:rPr>
          <w:b/>
        </w:rPr>
        <w:t>Options/Reasons for Recommendation</w:t>
      </w:r>
    </w:p>
    <w:p w:rsidR="00F4144B" w:rsidRPr="00457357" w:rsidRDefault="00F4144B">
      <w:pPr>
        <w:keepNext/>
        <w:ind w:left="1267" w:hanging="1267"/>
      </w:pPr>
    </w:p>
    <w:p w:rsidR="00A6630B" w:rsidRPr="00457357" w:rsidRDefault="005F204D" w:rsidP="00CF3D9A">
      <w:pPr>
        <w:ind w:left="1267" w:hanging="1267"/>
      </w:pPr>
      <w:r w:rsidRPr="00457357">
        <w:t>3</w:t>
      </w:r>
      <w:r w:rsidR="00CF3D9A" w:rsidRPr="00457357">
        <w:t>.1</w:t>
      </w:r>
      <w:r w:rsidR="00CF3D9A" w:rsidRPr="00457357">
        <w:tab/>
      </w:r>
      <w:r w:rsidR="00F4144B" w:rsidRPr="00457357">
        <w:fldChar w:fldCharType="begin"/>
      </w:r>
      <w:r w:rsidR="00F4144B" w:rsidRPr="00457357">
        <w:instrText xml:space="preserve">  </w:instrText>
      </w:r>
      <w:r w:rsidR="00F4144B" w:rsidRPr="00457357">
        <w:fldChar w:fldCharType="end"/>
      </w:r>
      <w:r w:rsidR="00A6630B" w:rsidRPr="00457357">
        <w:t>The recommendation below enable</w:t>
      </w:r>
      <w:r w:rsidR="006E1181" w:rsidRPr="00457357">
        <w:t>s</w:t>
      </w:r>
      <w:r w:rsidR="00A6630B" w:rsidRPr="00457357">
        <w:t xml:space="preserve"> the </w:t>
      </w:r>
      <w:r w:rsidR="00BE4FC7" w:rsidRPr="00457357">
        <w:t>Committee</w:t>
      </w:r>
      <w:r w:rsidR="00A6630B" w:rsidRPr="00457357">
        <w:t xml:space="preserve"> to make recommendations to Council concerning the</w:t>
      </w:r>
      <w:r w:rsidR="00011910" w:rsidRPr="00457357">
        <w:t>ir</w:t>
      </w:r>
      <w:r w:rsidR="00A6630B" w:rsidRPr="00457357">
        <w:t xml:space="preserve"> budget.</w:t>
      </w:r>
    </w:p>
    <w:p w:rsidR="00F4144B" w:rsidRPr="00214776" w:rsidRDefault="00F4144B">
      <w:pPr>
        <w:ind w:left="1267" w:hanging="1267"/>
        <w:rPr>
          <w:color w:val="365F91" w:themeColor="accent1" w:themeShade="BF"/>
        </w:rPr>
      </w:pPr>
    </w:p>
    <w:p w:rsidR="00F4144B" w:rsidRPr="00457357" w:rsidRDefault="005F204D">
      <w:pPr>
        <w:keepNext/>
        <w:ind w:left="1267" w:hanging="1267"/>
        <w:rPr>
          <w:b/>
        </w:rPr>
      </w:pPr>
      <w:r w:rsidRPr="00457357">
        <w:t>4</w:t>
      </w:r>
      <w:r w:rsidR="00F4144B" w:rsidRPr="00457357">
        <w:t>.</w:t>
      </w:r>
      <w:r w:rsidR="00F4144B" w:rsidRPr="00457357">
        <w:tab/>
      </w:r>
      <w:r w:rsidR="00F4144B" w:rsidRPr="00457357">
        <w:rPr>
          <w:b/>
        </w:rPr>
        <w:t>Policy</w:t>
      </w:r>
      <w:r w:rsidR="00CF3D9A" w:rsidRPr="00457357">
        <w:rPr>
          <w:b/>
        </w:rPr>
        <w:t xml:space="preserve"> </w:t>
      </w:r>
      <w:r w:rsidR="00F4144B" w:rsidRPr="00457357">
        <w:rPr>
          <w:b/>
        </w:rPr>
        <w:t>/</w:t>
      </w:r>
      <w:r w:rsidR="00CF3D9A" w:rsidRPr="00457357">
        <w:rPr>
          <w:b/>
        </w:rPr>
        <w:t xml:space="preserve"> </w:t>
      </w:r>
      <w:r w:rsidR="00F4144B" w:rsidRPr="00457357">
        <w:rPr>
          <w:b/>
        </w:rPr>
        <w:t>Budget Reference and Implications</w:t>
      </w:r>
    </w:p>
    <w:p w:rsidR="00F62C05" w:rsidRPr="00457357" w:rsidRDefault="00F62C05" w:rsidP="00F62C05">
      <w:pPr>
        <w:ind w:left="1267" w:hanging="1267"/>
      </w:pPr>
      <w:r w:rsidRPr="00457357">
        <w:tab/>
      </w:r>
    </w:p>
    <w:p w:rsidR="00011910" w:rsidRPr="00321008" w:rsidRDefault="005F204D" w:rsidP="00011910">
      <w:pPr>
        <w:ind w:left="1267" w:hanging="1267"/>
        <w:rPr>
          <w:color w:val="000000" w:themeColor="text1"/>
        </w:rPr>
      </w:pPr>
      <w:r w:rsidRPr="00457357">
        <w:t>4.1</w:t>
      </w:r>
      <w:r w:rsidRPr="00457357">
        <w:tab/>
        <w:t xml:space="preserve">In accordance with the Council’s financial procedure rules, if the recommendation is </w:t>
      </w:r>
      <w:r w:rsidRPr="00321008">
        <w:rPr>
          <w:color w:val="000000" w:themeColor="text1"/>
        </w:rPr>
        <w:t>accepted</w:t>
      </w:r>
      <w:r w:rsidR="00024853" w:rsidRPr="00321008">
        <w:rPr>
          <w:color w:val="000000" w:themeColor="text1"/>
        </w:rPr>
        <w:t xml:space="preserve"> by Council</w:t>
      </w:r>
      <w:r w:rsidRPr="00321008">
        <w:rPr>
          <w:color w:val="000000" w:themeColor="text1"/>
        </w:rPr>
        <w:t xml:space="preserve"> this will amend the Council’s revenue</w:t>
      </w:r>
      <w:r w:rsidR="00590DD0" w:rsidRPr="00321008">
        <w:rPr>
          <w:color w:val="000000" w:themeColor="text1"/>
        </w:rPr>
        <w:t xml:space="preserve"> and capital </w:t>
      </w:r>
      <w:r w:rsidRPr="00321008">
        <w:rPr>
          <w:color w:val="000000" w:themeColor="text1"/>
        </w:rPr>
        <w:t>budget</w:t>
      </w:r>
      <w:r w:rsidR="00590DD0" w:rsidRPr="00321008">
        <w:rPr>
          <w:color w:val="000000" w:themeColor="text1"/>
        </w:rPr>
        <w:t>s</w:t>
      </w:r>
      <w:r w:rsidRPr="00321008">
        <w:rPr>
          <w:color w:val="000000" w:themeColor="text1"/>
        </w:rPr>
        <w:t>.</w:t>
      </w:r>
    </w:p>
    <w:p w:rsidR="005F204D" w:rsidRPr="00321008" w:rsidRDefault="005F204D" w:rsidP="00011910">
      <w:pPr>
        <w:ind w:left="1267" w:hanging="1267"/>
        <w:rPr>
          <w:color w:val="000000" w:themeColor="text1"/>
        </w:rPr>
      </w:pPr>
    </w:p>
    <w:p w:rsidR="005F204D" w:rsidRPr="00321008" w:rsidRDefault="005F204D" w:rsidP="00011910">
      <w:pPr>
        <w:ind w:left="1267" w:hanging="1267"/>
        <w:rPr>
          <w:color w:val="000000" w:themeColor="text1"/>
        </w:rPr>
      </w:pPr>
      <w:r w:rsidRPr="00321008">
        <w:rPr>
          <w:color w:val="000000" w:themeColor="text1"/>
        </w:rPr>
        <w:t>4.2</w:t>
      </w:r>
      <w:r w:rsidRPr="00321008">
        <w:rPr>
          <w:color w:val="000000" w:themeColor="text1"/>
        </w:rPr>
        <w:tab/>
        <w:t>There are no substantial changes to Council policy resulting from this report.</w:t>
      </w:r>
    </w:p>
    <w:p w:rsidR="00F4144B" w:rsidRPr="00321008" w:rsidRDefault="00011910">
      <w:pPr>
        <w:ind w:left="1267" w:hanging="1267"/>
        <w:rPr>
          <w:color w:val="000000" w:themeColor="text1"/>
        </w:rPr>
      </w:pPr>
      <w:r w:rsidRPr="00321008">
        <w:rPr>
          <w:color w:val="000000" w:themeColor="text1"/>
        </w:rPr>
        <w:tab/>
      </w:r>
    </w:p>
    <w:p w:rsidR="00F4144B" w:rsidRPr="00457357" w:rsidRDefault="005F204D">
      <w:pPr>
        <w:keepNext/>
        <w:ind w:left="1267" w:hanging="1267"/>
      </w:pPr>
      <w:r w:rsidRPr="00321008">
        <w:rPr>
          <w:color w:val="000000" w:themeColor="text1"/>
        </w:rPr>
        <w:t>5</w:t>
      </w:r>
      <w:r w:rsidR="009E0C43" w:rsidRPr="00321008">
        <w:rPr>
          <w:color w:val="000000" w:themeColor="text1"/>
        </w:rPr>
        <w:t>.</w:t>
      </w:r>
      <w:r w:rsidR="00F4144B" w:rsidRPr="00321008">
        <w:rPr>
          <w:color w:val="000000" w:themeColor="text1"/>
        </w:rPr>
        <w:fldChar w:fldCharType="begin"/>
      </w:r>
      <w:r w:rsidR="00F4144B" w:rsidRPr="00321008">
        <w:rPr>
          <w:color w:val="000000" w:themeColor="text1"/>
        </w:rPr>
        <w:instrText xml:space="preserve">  </w:instrText>
      </w:r>
      <w:r w:rsidR="00F4144B" w:rsidRPr="00321008">
        <w:rPr>
          <w:color w:val="000000" w:themeColor="text1"/>
        </w:rPr>
        <w:fldChar w:fldCharType="end"/>
      </w:r>
      <w:r w:rsidR="00F4144B" w:rsidRPr="00321008">
        <w:rPr>
          <w:color w:val="000000" w:themeColor="text1"/>
        </w:rPr>
        <w:tab/>
      </w:r>
      <w:r w:rsidR="00F4144B" w:rsidRPr="00321008">
        <w:rPr>
          <w:b/>
          <w:color w:val="000000" w:themeColor="text1"/>
        </w:rPr>
        <w:t>Legal</w:t>
      </w:r>
      <w:r w:rsidR="00F4144B" w:rsidRPr="00457357">
        <w:rPr>
          <w:b/>
        </w:rPr>
        <w:t xml:space="preserve">, Equal Opportunities, Staffing, Environmental, Community Safety, </w:t>
      </w:r>
      <w:r w:rsidR="000F504C" w:rsidRPr="00457357">
        <w:rPr>
          <w:b/>
        </w:rPr>
        <w:t xml:space="preserve">Public Health, </w:t>
      </w:r>
      <w:r w:rsidR="00F4144B" w:rsidRPr="00457357">
        <w:rPr>
          <w:b/>
        </w:rPr>
        <w:t>Customer Services Centre, Communications &amp; Website, and Health &amp; Safety Implications</w:t>
      </w:r>
    </w:p>
    <w:p w:rsidR="00F4144B" w:rsidRPr="00457357" w:rsidRDefault="00F4144B">
      <w:pPr>
        <w:keepNext/>
        <w:ind w:left="1267" w:hanging="1267"/>
      </w:pPr>
    </w:p>
    <w:p w:rsidR="00F4144B" w:rsidRPr="00457357" w:rsidRDefault="005F204D">
      <w:pPr>
        <w:ind w:left="1267" w:hanging="1267"/>
      </w:pPr>
      <w:r w:rsidRPr="00457357">
        <w:t>5</w:t>
      </w:r>
      <w:r w:rsidR="009E0C43" w:rsidRPr="00457357">
        <w:t>.1</w:t>
      </w:r>
      <w:r w:rsidR="00F4144B" w:rsidRPr="00457357">
        <w:fldChar w:fldCharType="begin"/>
      </w:r>
      <w:r w:rsidR="00F4144B" w:rsidRPr="00457357">
        <w:instrText xml:space="preserve">  </w:instrText>
      </w:r>
      <w:r w:rsidR="00F4144B" w:rsidRPr="00457357">
        <w:fldChar w:fldCharType="end"/>
      </w:r>
      <w:r w:rsidR="00F4144B" w:rsidRPr="00457357">
        <w:tab/>
        <w:t>None specific.</w:t>
      </w:r>
    </w:p>
    <w:p w:rsidR="00F4144B" w:rsidRPr="00457357" w:rsidRDefault="00F4144B">
      <w:pPr>
        <w:ind w:left="1267" w:hanging="1267"/>
      </w:pPr>
    </w:p>
    <w:p w:rsidR="00C37CBD" w:rsidRPr="00457357" w:rsidRDefault="005F204D" w:rsidP="00C37CBD">
      <w:pPr>
        <w:keepNext/>
        <w:ind w:left="1267" w:hanging="1267"/>
      </w:pPr>
      <w:r w:rsidRPr="00457357">
        <w:t>6</w:t>
      </w:r>
      <w:r w:rsidR="00C37CBD" w:rsidRPr="00457357">
        <w:t>.</w:t>
      </w:r>
      <w:r w:rsidR="00C37CBD" w:rsidRPr="00457357">
        <w:tab/>
      </w:r>
      <w:r w:rsidR="00C37CBD" w:rsidRPr="00457357">
        <w:rPr>
          <w:b/>
        </w:rPr>
        <w:t>Financial Implications</w:t>
      </w:r>
    </w:p>
    <w:p w:rsidR="00D2402D" w:rsidRPr="00457357" w:rsidRDefault="00885C90" w:rsidP="00C37CBD">
      <w:pPr>
        <w:keepNext/>
        <w:ind w:left="1267" w:hanging="1267"/>
        <w:rPr>
          <w:b/>
          <w:i/>
        </w:rPr>
      </w:pPr>
      <w:r w:rsidRPr="00457357">
        <w:t xml:space="preserve">                      </w:t>
      </w:r>
    </w:p>
    <w:p w:rsidR="00C37CBD" w:rsidRPr="00457357" w:rsidRDefault="005F204D" w:rsidP="00C37CBD">
      <w:pPr>
        <w:keepNext/>
        <w:tabs>
          <w:tab w:val="left" w:pos="567"/>
        </w:tabs>
        <w:ind w:left="1267" w:hanging="1267"/>
      </w:pPr>
      <w:r w:rsidRPr="00457357">
        <w:t>6</w:t>
      </w:r>
      <w:r w:rsidR="00C37CBD" w:rsidRPr="00457357">
        <w:t>.1</w:t>
      </w:r>
      <w:r w:rsidR="00C37CBD" w:rsidRPr="00457357">
        <w:rPr>
          <w:i/>
        </w:rPr>
        <w:tab/>
      </w:r>
      <w:r w:rsidR="00C37CBD" w:rsidRPr="00457357">
        <w:rPr>
          <w:i/>
        </w:rPr>
        <w:tab/>
      </w:r>
      <w:r w:rsidR="006E177E" w:rsidRPr="00457357">
        <w:t>The following revenue</w:t>
      </w:r>
      <w:r w:rsidR="00CE2BFF">
        <w:t xml:space="preserve"> and capital</w:t>
      </w:r>
      <w:r w:rsidR="006E177E" w:rsidRPr="00457357">
        <w:t xml:space="preserve"> varian</w:t>
      </w:r>
      <w:r w:rsidR="00565514" w:rsidRPr="00457357">
        <w:t>ces</w:t>
      </w:r>
      <w:r w:rsidR="006E177E" w:rsidRPr="00457357">
        <w:t xml:space="preserve"> ha</w:t>
      </w:r>
      <w:r w:rsidR="00565514" w:rsidRPr="00457357">
        <w:t xml:space="preserve">ve </w:t>
      </w:r>
      <w:r w:rsidR="006E177E" w:rsidRPr="00457357">
        <w:t xml:space="preserve">been identified for </w:t>
      </w:r>
      <w:r w:rsidR="00063A57" w:rsidRPr="00457357">
        <w:t>p</w:t>
      </w:r>
      <w:r w:rsidR="00957837" w:rsidRPr="00457357">
        <w:t xml:space="preserve">eriod </w:t>
      </w:r>
      <w:r w:rsidR="00457357" w:rsidRPr="00457357">
        <w:t>10</w:t>
      </w:r>
      <w:r w:rsidR="00063A57" w:rsidRPr="00457357">
        <w:t xml:space="preserve"> (</w:t>
      </w:r>
      <w:r w:rsidR="00457357" w:rsidRPr="00457357">
        <w:t>January 2017</w:t>
      </w:r>
      <w:r w:rsidR="00063A57" w:rsidRPr="00457357">
        <w:t>).</w:t>
      </w:r>
    </w:p>
    <w:p w:rsidR="00C37CBD" w:rsidRPr="00214776" w:rsidRDefault="00C37CBD" w:rsidP="00C37CBD">
      <w:pPr>
        <w:rPr>
          <w:color w:val="365F91" w:themeColor="accent1" w:themeShade="BF"/>
        </w:rPr>
      </w:pPr>
    </w:p>
    <w:tbl>
      <w:tblPr>
        <w:tblW w:w="722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418"/>
        <w:gridCol w:w="1276"/>
        <w:gridCol w:w="1134"/>
        <w:gridCol w:w="1275"/>
      </w:tblGrid>
      <w:tr w:rsidR="00C56CAD" w:rsidRPr="008034ED" w:rsidTr="008034ED">
        <w:tc>
          <w:tcPr>
            <w:tcW w:w="2126" w:type="dxa"/>
            <w:vAlign w:val="center"/>
          </w:tcPr>
          <w:p w:rsidR="00C56CAD" w:rsidRPr="008034ED" w:rsidRDefault="00CE2BFF" w:rsidP="00755665">
            <w:pPr>
              <w:widowControl w:val="0"/>
              <w:jc w:val="center"/>
              <w:rPr>
                <w:szCs w:val="22"/>
              </w:rPr>
            </w:pPr>
            <w:r w:rsidRPr="008034ED">
              <w:rPr>
                <w:szCs w:val="22"/>
              </w:rPr>
              <w:t>Variance</w:t>
            </w:r>
          </w:p>
        </w:tc>
        <w:tc>
          <w:tcPr>
            <w:tcW w:w="1418" w:type="dxa"/>
            <w:tcBorders>
              <w:bottom w:val="single" w:sz="4" w:space="0" w:color="auto"/>
            </w:tcBorders>
          </w:tcPr>
          <w:p w:rsidR="00C56CAD" w:rsidRPr="008034ED" w:rsidRDefault="00C56CAD" w:rsidP="00D82603">
            <w:pPr>
              <w:widowControl w:val="0"/>
              <w:jc w:val="center"/>
              <w:rPr>
                <w:szCs w:val="22"/>
              </w:rPr>
            </w:pPr>
            <w:r w:rsidRPr="008034ED">
              <w:rPr>
                <w:szCs w:val="22"/>
              </w:rPr>
              <w:t>2016/17</w:t>
            </w:r>
          </w:p>
          <w:p w:rsidR="00C56CAD" w:rsidRPr="008034ED" w:rsidRDefault="00C56CAD" w:rsidP="00D82603">
            <w:pPr>
              <w:widowControl w:val="0"/>
              <w:jc w:val="center"/>
              <w:rPr>
                <w:szCs w:val="22"/>
              </w:rPr>
            </w:pPr>
            <w:r w:rsidRPr="008034ED">
              <w:rPr>
                <w:szCs w:val="22"/>
              </w:rPr>
              <w:t>£</w:t>
            </w:r>
          </w:p>
        </w:tc>
        <w:tc>
          <w:tcPr>
            <w:tcW w:w="1276" w:type="dxa"/>
            <w:tcBorders>
              <w:bottom w:val="single" w:sz="4" w:space="0" w:color="auto"/>
            </w:tcBorders>
          </w:tcPr>
          <w:p w:rsidR="00C56CAD" w:rsidRPr="008034ED" w:rsidRDefault="00C56CAD" w:rsidP="00D82603">
            <w:pPr>
              <w:widowControl w:val="0"/>
              <w:jc w:val="center"/>
              <w:rPr>
                <w:szCs w:val="22"/>
              </w:rPr>
            </w:pPr>
            <w:r w:rsidRPr="008034ED">
              <w:rPr>
                <w:szCs w:val="22"/>
              </w:rPr>
              <w:t>2017/18</w:t>
            </w:r>
          </w:p>
          <w:p w:rsidR="00C56CAD" w:rsidRPr="008034ED" w:rsidRDefault="00C56CAD" w:rsidP="00D82603">
            <w:pPr>
              <w:widowControl w:val="0"/>
              <w:jc w:val="center"/>
              <w:rPr>
                <w:szCs w:val="22"/>
              </w:rPr>
            </w:pPr>
            <w:r w:rsidRPr="008034ED">
              <w:rPr>
                <w:szCs w:val="22"/>
              </w:rPr>
              <w:t>£</w:t>
            </w:r>
          </w:p>
        </w:tc>
        <w:tc>
          <w:tcPr>
            <w:tcW w:w="1134" w:type="dxa"/>
            <w:tcBorders>
              <w:bottom w:val="single" w:sz="4" w:space="0" w:color="auto"/>
            </w:tcBorders>
          </w:tcPr>
          <w:p w:rsidR="00C56CAD" w:rsidRPr="008034ED" w:rsidRDefault="00C56CAD" w:rsidP="00D82603">
            <w:pPr>
              <w:widowControl w:val="0"/>
              <w:jc w:val="center"/>
              <w:rPr>
                <w:szCs w:val="22"/>
              </w:rPr>
            </w:pPr>
            <w:r w:rsidRPr="008034ED">
              <w:rPr>
                <w:szCs w:val="22"/>
              </w:rPr>
              <w:t>2018/19</w:t>
            </w:r>
          </w:p>
          <w:p w:rsidR="00C56CAD" w:rsidRPr="008034ED" w:rsidRDefault="00C56CAD" w:rsidP="00D82603">
            <w:pPr>
              <w:widowControl w:val="0"/>
              <w:jc w:val="center"/>
              <w:rPr>
                <w:szCs w:val="22"/>
              </w:rPr>
            </w:pPr>
            <w:r w:rsidRPr="008034ED">
              <w:rPr>
                <w:szCs w:val="22"/>
              </w:rPr>
              <w:t>£</w:t>
            </w:r>
          </w:p>
        </w:tc>
        <w:tc>
          <w:tcPr>
            <w:tcW w:w="1275" w:type="dxa"/>
            <w:tcBorders>
              <w:bottom w:val="single" w:sz="4" w:space="0" w:color="auto"/>
            </w:tcBorders>
          </w:tcPr>
          <w:p w:rsidR="00C56CAD" w:rsidRPr="008034ED" w:rsidRDefault="00C56CAD" w:rsidP="00F75EA9">
            <w:pPr>
              <w:widowControl w:val="0"/>
              <w:jc w:val="center"/>
              <w:rPr>
                <w:szCs w:val="22"/>
              </w:rPr>
            </w:pPr>
            <w:r w:rsidRPr="008034ED">
              <w:rPr>
                <w:szCs w:val="22"/>
              </w:rPr>
              <w:t>2019/20</w:t>
            </w:r>
          </w:p>
          <w:p w:rsidR="00C56CAD" w:rsidRPr="008034ED" w:rsidRDefault="00C56CAD" w:rsidP="00F75EA9">
            <w:pPr>
              <w:widowControl w:val="0"/>
              <w:jc w:val="center"/>
              <w:rPr>
                <w:szCs w:val="22"/>
              </w:rPr>
            </w:pPr>
            <w:r w:rsidRPr="008034ED">
              <w:rPr>
                <w:szCs w:val="22"/>
              </w:rPr>
              <w:t>£</w:t>
            </w:r>
          </w:p>
        </w:tc>
      </w:tr>
      <w:tr w:rsidR="00C56CAD" w:rsidRPr="008034ED" w:rsidTr="008034ED">
        <w:tc>
          <w:tcPr>
            <w:tcW w:w="2126" w:type="dxa"/>
            <w:vAlign w:val="center"/>
          </w:tcPr>
          <w:p w:rsidR="00C56CAD" w:rsidRPr="008034ED" w:rsidRDefault="00CE2BFF" w:rsidP="00CE2BFF">
            <w:pPr>
              <w:widowControl w:val="0"/>
              <w:spacing w:before="60" w:after="60"/>
              <w:jc w:val="left"/>
              <w:rPr>
                <w:color w:val="365F91" w:themeColor="accent1" w:themeShade="BF"/>
                <w:szCs w:val="22"/>
              </w:rPr>
            </w:pPr>
            <w:r w:rsidRPr="008034ED">
              <w:rPr>
                <w:szCs w:val="22"/>
              </w:rPr>
              <w:t xml:space="preserve"> Revenue</w:t>
            </w:r>
            <w:r w:rsidR="00C56CAD" w:rsidRPr="008034ED">
              <w:rPr>
                <w:szCs w:val="22"/>
              </w:rPr>
              <w:t xml:space="preserve"> </w:t>
            </w:r>
          </w:p>
        </w:tc>
        <w:tc>
          <w:tcPr>
            <w:tcW w:w="1418" w:type="dxa"/>
            <w:shd w:val="clear" w:color="auto" w:fill="FFFFFF"/>
            <w:vAlign w:val="center"/>
          </w:tcPr>
          <w:p w:rsidR="00C56CAD" w:rsidRPr="008034ED" w:rsidRDefault="00C56CAD" w:rsidP="00F75EA9">
            <w:pPr>
              <w:widowControl w:val="0"/>
              <w:jc w:val="right"/>
              <w:rPr>
                <w:szCs w:val="22"/>
              </w:rPr>
            </w:pPr>
            <w:r w:rsidRPr="008034ED">
              <w:rPr>
                <w:szCs w:val="22"/>
              </w:rPr>
              <w:t>(7,000)</w:t>
            </w:r>
          </w:p>
        </w:tc>
        <w:tc>
          <w:tcPr>
            <w:tcW w:w="1276" w:type="dxa"/>
            <w:shd w:val="clear" w:color="auto" w:fill="FFFFFF"/>
            <w:vAlign w:val="center"/>
          </w:tcPr>
          <w:p w:rsidR="00C56CAD" w:rsidRPr="008034ED" w:rsidRDefault="00C56CAD" w:rsidP="00F75EA9">
            <w:pPr>
              <w:widowControl w:val="0"/>
              <w:jc w:val="right"/>
              <w:rPr>
                <w:szCs w:val="22"/>
              </w:rPr>
            </w:pPr>
            <w:r w:rsidRPr="008034ED">
              <w:rPr>
                <w:szCs w:val="22"/>
              </w:rPr>
              <w:t>0</w:t>
            </w:r>
          </w:p>
        </w:tc>
        <w:tc>
          <w:tcPr>
            <w:tcW w:w="1134" w:type="dxa"/>
            <w:shd w:val="clear" w:color="auto" w:fill="FFFFFF"/>
            <w:vAlign w:val="center"/>
          </w:tcPr>
          <w:p w:rsidR="00C56CAD" w:rsidRPr="008034ED" w:rsidRDefault="00C56CAD" w:rsidP="00F75EA9">
            <w:pPr>
              <w:widowControl w:val="0"/>
              <w:jc w:val="right"/>
              <w:rPr>
                <w:szCs w:val="22"/>
              </w:rPr>
            </w:pPr>
            <w:r w:rsidRPr="008034ED">
              <w:rPr>
                <w:szCs w:val="22"/>
              </w:rPr>
              <w:t>0</w:t>
            </w:r>
          </w:p>
        </w:tc>
        <w:tc>
          <w:tcPr>
            <w:tcW w:w="1275" w:type="dxa"/>
            <w:shd w:val="clear" w:color="auto" w:fill="FFFFFF"/>
            <w:vAlign w:val="center"/>
          </w:tcPr>
          <w:p w:rsidR="00C56CAD" w:rsidRPr="008034ED" w:rsidRDefault="00C56CAD" w:rsidP="00F75EA9">
            <w:pPr>
              <w:widowControl w:val="0"/>
              <w:jc w:val="right"/>
              <w:rPr>
                <w:szCs w:val="22"/>
              </w:rPr>
            </w:pPr>
            <w:r w:rsidRPr="008034ED">
              <w:rPr>
                <w:szCs w:val="22"/>
              </w:rPr>
              <w:t>0</w:t>
            </w:r>
          </w:p>
        </w:tc>
      </w:tr>
      <w:tr w:rsidR="00C56CAD" w:rsidRPr="008034ED" w:rsidTr="008034ED">
        <w:tc>
          <w:tcPr>
            <w:tcW w:w="2126" w:type="dxa"/>
            <w:vAlign w:val="center"/>
          </w:tcPr>
          <w:p w:rsidR="00C56CAD" w:rsidRPr="008034ED" w:rsidRDefault="00CE2BFF" w:rsidP="00CE2BFF">
            <w:pPr>
              <w:widowControl w:val="0"/>
              <w:spacing w:before="60" w:after="60"/>
              <w:jc w:val="left"/>
              <w:rPr>
                <w:color w:val="365F91" w:themeColor="accent1" w:themeShade="BF"/>
                <w:szCs w:val="22"/>
              </w:rPr>
            </w:pPr>
            <w:r w:rsidRPr="008034ED">
              <w:rPr>
                <w:szCs w:val="22"/>
              </w:rPr>
              <w:t xml:space="preserve"> Capital</w:t>
            </w:r>
          </w:p>
        </w:tc>
        <w:tc>
          <w:tcPr>
            <w:tcW w:w="1418" w:type="dxa"/>
            <w:shd w:val="clear" w:color="auto" w:fill="FFFFFF"/>
            <w:vAlign w:val="center"/>
          </w:tcPr>
          <w:p w:rsidR="00C56CAD" w:rsidRPr="008034ED" w:rsidRDefault="00C56CAD" w:rsidP="00F75EA9">
            <w:pPr>
              <w:widowControl w:val="0"/>
              <w:jc w:val="right"/>
              <w:rPr>
                <w:szCs w:val="22"/>
              </w:rPr>
            </w:pPr>
            <w:r w:rsidRPr="008034ED">
              <w:rPr>
                <w:szCs w:val="22"/>
              </w:rPr>
              <w:t>(242,420)</w:t>
            </w:r>
          </w:p>
        </w:tc>
        <w:tc>
          <w:tcPr>
            <w:tcW w:w="1276" w:type="dxa"/>
            <w:shd w:val="clear" w:color="auto" w:fill="FFFFFF"/>
            <w:vAlign w:val="center"/>
          </w:tcPr>
          <w:p w:rsidR="00C56CAD" w:rsidRPr="008034ED" w:rsidRDefault="00C56CAD" w:rsidP="00F75EA9">
            <w:pPr>
              <w:widowControl w:val="0"/>
              <w:jc w:val="right"/>
              <w:rPr>
                <w:szCs w:val="22"/>
              </w:rPr>
            </w:pPr>
            <w:r w:rsidRPr="008034ED">
              <w:rPr>
                <w:szCs w:val="22"/>
              </w:rPr>
              <w:t>222,420</w:t>
            </w:r>
          </w:p>
        </w:tc>
        <w:tc>
          <w:tcPr>
            <w:tcW w:w="1134" w:type="dxa"/>
            <w:shd w:val="clear" w:color="auto" w:fill="FFFFFF"/>
            <w:vAlign w:val="center"/>
          </w:tcPr>
          <w:p w:rsidR="00C56CAD" w:rsidRPr="008034ED" w:rsidRDefault="00C56CAD" w:rsidP="00F75EA9">
            <w:pPr>
              <w:widowControl w:val="0"/>
              <w:jc w:val="right"/>
              <w:rPr>
                <w:szCs w:val="22"/>
              </w:rPr>
            </w:pPr>
            <w:r w:rsidRPr="008034ED">
              <w:rPr>
                <w:szCs w:val="22"/>
              </w:rPr>
              <w:t>0</w:t>
            </w:r>
          </w:p>
        </w:tc>
        <w:tc>
          <w:tcPr>
            <w:tcW w:w="1275" w:type="dxa"/>
            <w:shd w:val="clear" w:color="auto" w:fill="FFFFFF"/>
            <w:vAlign w:val="center"/>
          </w:tcPr>
          <w:p w:rsidR="00C56CAD" w:rsidRPr="008034ED" w:rsidRDefault="00C56CAD" w:rsidP="00F75EA9">
            <w:pPr>
              <w:widowControl w:val="0"/>
              <w:jc w:val="right"/>
              <w:rPr>
                <w:szCs w:val="22"/>
              </w:rPr>
            </w:pPr>
            <w:r w:rsidRPr="008034ED">
              <w:rPr>
                <w:szCs w:val="22"/>
              </w:rPr>
              <w:t>0</w:t>
            </w:r>
          </w:p>
        </w:tc>
      </w:tr>
    </w:tbl>
    <w:p w:rsidR="003556F4" w:rsidRPr="008034ED" w:rsidRDefault="003556F4" w:rsidP="00D2402D">
      <w:pPr>
        <w:keepNext/>
        <w:tabs>
          <w:tab w:val="clear" w:pos="1260"/>
        </w:tabs>
        <w:ind w:left="1245"/>
        <w:rPr>
          <w:color w:val="365F91" w:themeColor="accent1" w:themeShade="BF"/>
          <w:szCs w:val="22"/>
        </w:rPr>
      </w:pPr>
    </w:p>
    <w:p w:rsidR="00C37CBD" w:rsidRPr="00457357" w:rsidRDefault="005F204D" w:rsidP="00755665">
      <w:pPr>
        <w:tabs>
          <w:tab w:val="left" w:pos="3330"/>
        </w:tabs>
        <w:ind w:left="1267" w:hanging="1267"/>
        <w:rPr>
          <w:b/>
        </w:rPr>
      </w:pPr>
      <w:r w:rsidRPr="00457357">
        <w:t>7</w:t>
      </w:r>
      <w:r w:rsidR="00C37CBD" w:rsidRPr="00457357">
        <w:fldChar w:fldCharType="begin"/>
      </w:r>
      <w:r w:rsidR="00C37CBD" w:rsidRPr="00457357">
        <w:instrText xml:space="preserve">  </w:instrText>
      </w:r>
      <w:r w:rsidR="00C37CBD" w:rsidRPr="00457357">
        <w:fldChar w:fldCharType="end"/>
      </w:r>
      <w:r w:rsidR="00D9467F" w:rsidRPr="00457357">
        <w:t>.</w:t>
      </w:r>
      <w:r w:rsidR="00E01F01" w:rsidRPr="00457357">
        <w:rPr>
          <w:b/>
        </w:rPr>
        <w:t xml:space="preserve">                   </w:t>
      </w:r>
      <w:r w:rsidR="00C37CBD" w:rsidRPr="00457357">
        <w:rPr>
          <w:b/>
        </w:rPr>
        <w:t xml:space="preserve">Risk </w:t>
      </w:r>
      <w:r w:rsidR="002F1BC5" w:rsidRPr="00457357">
        <w:rPr>
          <w:b/>
        </w:rPr>
        <w:t>Management and</w:t>
      </w:r>
      <w:r w:rsidR="001A24E2" w:rsidRPr="00457357">
        <w:rPr>
          <w:b/>
        </w:rPr>
        <w:t xml:space="preserve"> Health and Safety Implications</w:t>
      </w:r>
    </w:p>
    <w:p w:rsidR="00C37CBD" w:rsidRPr="00457357" w:rsidRDefault="00C37CBD" w:rsidP="00C37CBD">
      <w:pPr>
        <w:ind w:left="1260" w:hanging="1260"/>
      </w:pPr>
      <w:r w:rsidRPr="00457357">
        <w:rPr>
          <w:b/>
          <w:i/>
        </w:rPr>
        <w:tab/>
      </w:r>
    </w:p>
    <w:p w:rsidR="00C37CBD" w:rsidRPr="00214776" w:rsidRDefault="005F204D" w:rsidP="00C37CBD">
      <w:pPr>
        <w:ind w:left="1276" w:hanging="1276"/>
        <w:rPr>
          <w:color w:val="365F91" w:themeColor="accent1" w:themeShade="BF"/>
        </w:rPr>
      </w:pPr>
      <w:r w:rsidRPr="00457357">
        <w:t>7.1</w:t>
      </w:r>
      <w:r w:rsidR="00C37CBD" w:rsidRPr="00457357">
        <w:tab/>
        <w:t>There are no risks to the Council in agreeing the recommendation</w:t>
      </w:r>
      <w:r w:rsidR="00C37CBD" w:rsidRPr="00214776">
        <w:rPr>
          <w:color w:val="365F91" w:themeColor="accent1" w:themeShade="BF"/>
        </w:rPr>
        <w:t>.</w:t>
      </w:r>
    </w:p>
    <w:p w:rsidR="00C37CBD" w:rsidRPr="00214776" w:rsidRDefault="00C37CBD" w:rsidP="00C37CBD">
      <w:pPr>
        <w:rPr>
          <w:color w:val="365F91" w:themeColor="accent1" w:themeShade="BF"/>
        </w:rPr>
      </w:pPr>
    </w:p>
    <w:p w:rsidR="00C37CBD" w:rsidRPr="00457357" w:rsidRDefault="00A25A68" w:rsidP="00C37CBD">
      <w:pPr>
        <w:keepNext/>
        <w:ind w:left="1267" w:hanging="1267"/>
      </w:pPr>
      <w:r w:rsidRPr="00457357">
        <w:t>8.</w:t>
      </w:r>
      <w:r w:rsidR="00C37CBD" w:rsidRPr="00457357">
        <w:fldChar w:fldCharType="begin"/>
      </w:r>
      <w:r w:rsidR="00C37CBD" w:rsidRPr="00457357">
        <w:instrText xml:space="preserve">  </w:instrText>
      </w:r>
      <w:r w:rsidR="00C37CBD" w:rsidRPr="00457357">
        <w:fldChar w:fldCharType="end"/>
      </w:r>
      <w:r w:rsidR="00C37CBD" w:rsidRPr="00457357">
        <w:tab/>
      </w:r>
      <w:r w:rsidR="00C37CBD" w:rsidRPr="00457357">
        <w:rPr>
          <w:b/>
        </w:rPr>
        <w:t>Recommendation</w:t>
      </w:r>
    </w:p>
    <w:p w:rsidR="00C37CBD" w:rsidRPr="00457357" w:rsidRDefault="00C37CBD" w:rsidP="00C37CBD">
      <w:pPr>
        <w:keepNext/>
        <w:ind w:left="1267" w:hanging="1267"/>
      </w:pPr>
      <w:r w:rsidRPr="00457357">
        <w:tab/>
      </w:r>
      <w:r w:rsidRPr="00457357">
        <w:tab/>
      </w:r>
    </w:p>
    <w:p w:rsidR="00C37CBD" w:rsidRPr="00457357" w:rsidRDefault="00C37CBD" w:rsidP="00C37CBD">
      <w:pPr>
        <w:keepNext/>
        <w:ind w:left="1267" w:hanging="1267"/>
      </w:pPr>
      <w:r w:rsidRPr="00457357">
        <w:tab/>
        <w:t>To Council:</w:t>
      </w:r>
    </w:p>
    <w:p w:rsidR="00C37CBD" w:rsidRPr="00457357" w:rsidRDefault="00C37CBD" w:rsidP="00C37CBD">
      <w:pPr>
        <w:keepNext/>
        <w:ind w:left="1267" w:hanging="1267"/>
      </w:pPr>
    </w:p>
    <w:p w:rsidR="0047247F" w:rsidRDefault="00A25A68" w:rsidP="00AB0E6E">
      <w:pPr>
        <w:keepNext/>
        <w:tabs>
          <w:tab w:val="left" w:pos="567"/>
        </w:tabs>
        <w:ind w:left="1267" w:hanging="1267"/>
      </w:pPr>
      <w:r w:rsidRPr="00457357">
        <w:t>8</w:t>
      </w:r>
      <w:r w:rsidR="00C37CBD" w:rsidRPr="00457357">
        <w:t xml:space="preserve">.1  </w:t>
      </w:r>
      <w:r w:rsidR="00C37CBD" w:rsidRPr="00457357">
        <w:tab/>
      </w:r>
      <w:r w:rsidR="00C37CBD" w:rsidRPr="00457357">
        <w:tab/>
        <w:t xml:space="preserve">That the following </w:t>
      </w:r>
      <w:r w:rsidR="008D2A03" w:rsidRPr="00457357">
        <w:t xml:space="preserve">Sustainable Development, Planning and Transport </w:t>
      </w:r>
      <w:r w:rsidR="002E3C59" w:rsidRPr="00457357">
        <w:t>Committee</w:t>
      </w:r>
      <w:r w:rsidR="00CE6BCE">
        <w:t>’s</w:t>
      </w:r>
      <w:bookmarkStart w:id="0" w:name="_GoBack"/>
      <w:bookmarkEnd w:id="0"/>
      <w:r w:rsidR="002E3C59" w:rsidRPr="00457357">
        <w:t xml:space="preserve"> re</w:t>
      </w:r>
      <w:r w:rsidR="00735FB1" w:rsidRPr="00457357">
        <w:t>venue</w:t>
      </w:r>
      <w:r w:rsidR="00CE2BFF">
        <w:t xml:space="preserve"> and capital </w:t>
      </w:r>
      <w:r w:rsidR="00C37CBD" w:rsidRPr="00457357">
        <w:t>budget variation</w:t>
      </w:r>
      <w:r w:rsidR="000C7CDD" w:rsidRPr="00457357">
        <w:t>s</w:t>
      </w:r>
      <w:r w:rsidR="00C37CBD" w:rsidRPr="00457357">
        <w:t xml:space="preserve"> be approved and incorporated into the three-year medium-term financial plan:-</w:t>
      </w:r>
    </w:p>
    <w:p w:rsidR="00CE2BFF" w:rsidRPr="008034ED" w:rsidRDefault="00CE2BFF" w:rsidP="00CE2BFF">
      <w:pPr>
        <w:rPr>
          <w:color w:val="365F91" w:themeColor="accent1" w:themeShade="BF"/>
          <w:szCs w:val="22"/>
        </w:rPr>
      </w:pPr>
      <w:r>
        <w:tab/>
      </w:r>
      <w:r>
        <w:tab/>
      </w:r>
    </w:p>
    <w:tbl>
      <w:tblPr>
        <w:tblW w:w="722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418"/>
        <w:gridCol w:w="1276"/>
        <w:gridCol w:w="1134"/>
        <w:gridCol w:w="1275"/>
      </w:tblGrid>
      <w:tr w:rsidR="00CE2BFF" w:rsidRPr="008034ED" w:rsidTr="008034ED">
        <w:tc>
          <w:tcPr>
            <w:tcW w:w="2126" w:type="dxa"/>
            <w:vAlign w:val="center"/>
          </w:tcPr>
          <w:p w:rsidR="00CE2BFF" w:rsidRPr="008034ED" w:rsidRDefault="00CE2BFF" w:rsidP="007243DF">
            <w:pPr>
              <w:widowControl w:val="0"/>
              <w:jc w:val="center"/>
              <w:rPr>
                <w:szCs w:val="22"/>
              </w:rPr>
            </w:pPr>
            <w:r w:rsidRPr="008034ED">
              <w:rPr>
                <w:szCs w:val="22"/>
              </w:rPr>
              <w:t>Variance</w:t>
            </w:r>
          </w:p>
        </w:tc>
        <w:tc>
          <w:tcPr>
            <w:tcW w:w="1418" w:type="dxa"/>
            <w:tcBorders>
              <w:bottom w:val="single" w:sz="4" w:space="0" w:color="auto"/>
            </w:tcBorders>
          </w:tcPr>
          <w:p w:rsidR="00CE2BFF" w:rsidRPr="008034ED" w:rsidRDefault="00CE2BFF" w:rsidP="007243DF">
            <w:pPr>
              <w:widowControl w:val="0"/>
              <w:jc w:val="center"/>
              <w:rPr>
                <w:szCs w:val="22"/>
              </w:rPr>
            </w:pPr>
            <w:r w:rsidRPr="008034ED">
              <w:rPr>
                <w:szCs w:val="22"/>
              </w:rPr>
              <w:t>2016/17</w:t>
            </w:r>
          </w:p>
          <w:p w:rsidR="00CE2BFF" w:rsidRPr="008034ED" w:rsidRDefault="00CE2BFF" w:rsidP="007243DF">
            <w:pPr>
              <w:widowControl w:val="0"/>
              <w:jc w:val="center"/>
              <w:rPr>
                <w:szCs w:val="22"/>
              </w:rPr>
            </w:pPr>
            <w:r w:rsidRPr="008034ED">
              <w:rPr>
                <w:szCs w:val="22"/>
              </w:rPr>
              <w:t>£</w:t>
            </w:r>
          </w:p>
        </w:tc>
        <w:tc>
          <w:tcPr>
            <w:tcW w:w="1276" w:type="dxa"/>
            <w:tcBorders>
              <w:bottom w:val="single" w:sz="4" w:space="0" w:color="auto"/>
            </w:tcBorders>
          </w:tcPr>
          <w:p w:rsidR="00CE2BFF" w:rsidRPr="008034ED" w:rsidRDefault="00CE2BFF" w:rsidP="007243DF">
            <w:pPr>
              <w:widowControl w:val="0"/>
              <w:jc w:val="center"/>
              <w:rPr>
                <w:szCs w:val="22"/>
              </w:rPr>
            </w:pPr>
            <w:r w:rsidRPr="008034ED">
              <w:rPr>
                <w:szCs w:val="22"/>
              </w:rPr>
              <w:t>2017/18</w:t>
            </w:r>
          </w:p>
          <w:p w:rsidR="00CE2BFF" w:rsidRPr="008034ED" w:rsidRDefault="00CE2BFF" w:rsidP="007243DF">
            <w:pPr>
              <w:widowControl w:val="0"/>
              <w:jc w:val="center"/>
              <w:rPr>
                <w:szCs w:val="22"/>
              </w:rPr>
            </w:pPr>
            <w:r w:rsidRPr="008034ED">
              <w:rPr>
                <w:szCs w:val="22"/>
              </w:rPr>
              <w:t>£</w:t>
            </w:r>
          </w:p>
        </w:tc>
        <w:tc>
          <w:tcPr>
            <w:tcW w:w="1134" w:type="dxa"/>
            <w:tcBorders>
              <w:bottom w:val="single" w:sz="4" w:space="0" w:color="auto"/>
            </w:tcBorders>
          </w:tcPr>
          <w:p w:rsidR="00CE2BFF" w:rsidRPr="008034ED" w:rsidRDefault="00CE2BFF" w:rsidP="007243DF">
            <w:pPr>
              <w:widowControl w:val="0"/>
              <w:jc w:val="center"/>
              <w:rPr>
                <w:szCs w:val="22"/>
              </w:rPr>
            </w:pPr>
            <w:r w:rsidRPr="008034ED">
              <w:rPr>
                <w:szCs w:val="22"/>
              </w:rPr>
              <w:t>2018/19</w:t>
            </w:r>
          </w:p>
          <w:p w:rsidR="00CE2BFF" w:rsidRPr="008034ED" w:rsidRDefault="00CE2BFF" w:rsidP="007243DF">
            <w:pPr>
              <w:widowControl w:val="0"/>
              <w:jc w:val="center"/>
              <w:rPr>
                <w:szCs w:val="22"/>
              </w:rPr>
            </w:pPr>
            <w:r w:rsidRPr="008034ED">
              <w:rPr>
                <w:szCs w:val="22"/>
              </w:rPr>
              <w:t>£</w:t>
            </w:r>
          </w:p>
        </w:tc>
        <w:tc>
          <w:tcPr>
            <w:tcW w:w="1275" w:type="dxa"/>
            <w:tcBorders>
              <w:bottom w:val="single" w:sz="4" w:space="0" w:color="auto"/>
            </w:tcBorders>
          </w:tcPr>
          <w:p w:rsidR="00CE2BFF" w:rsidRPr="008034ED" w:rsidRDefault="00CE2BFF" w:rsidP="007243DF">
            <w:pPr>
              <w:widowControl w:val="0"/>
              <w:jc w:val="center"/>
              <w:rPr>
                <w:szCs w:val="22"/>
              </w:rPr>
            </w:pPr>
            <w:r w:rsidRPr="008034ED">
              <w:rPr>
                <w:szCs w:val="22"/>
              </w:rPr>
              <w:t>2019/20</w:t>
            </w:r>
          </w:p>
          <w:p w:rsidR="00CE2BFF" w:rsidRPr="008034ED" w:rsidRDefault="00CE2BFF" w:rsidP="007243DF">
            <w:pPr>
              <w:widowControl w:val="0"/>
              <w:jc w:val="center"/>
              <w:rPr>
                <w:szCs w:val="22"/>
              </w:rPr>
            </w:pPr>
            <w:r w:rsidRPr="008034ED">
              <w:rPr>
                <w:szCs w:val="22"/>
              </w:rPr>
              <w:t>£</w:t>
            </w:r>
          </w:p>
        </w:tc>
      </w:tr>
      <w:tr w:rsidR="00CE2BFF" w:rsidRPr="008034ED" w:rsidTr="008034ED">
        <w:tc>
          <w:tcPr>
            <w:tcW w:w="2126" w:type="dxa"/>
            <w:vAlign w:val="center"/>
          </w:tcPr>
          <w:p w:rsidR="00CE2BFF" w:rsidRPr="008034ED" w:rsidRDefault="00CE2BFF" w:rsidP="007243DF">
            <w:pPr>
              <w:widowControl w:val="0"/>
              <w:spacing w:before="60" w:after="60"/>
              <w:jc w:val="left"/>
              <w:rPr>
                <w:color w:val="365F91" w:themeColor="accent1" w:themeShade="BF"/>
                <w:szCs w:val="22"/>
              </w:rPr>
            </w:pPr>
            <w:r w:rsidRPr="008034ED">
              <w:rPr>
                <w:szCs w:val="22"/>
              </w:rPr>
              <w:t xml:space="preserve"> Revenue </w:t>
            </w:r>
          </w:p>
        </w:tc>
        <w:tc>
          <w:tcPr>
            <w:tcW w:w="1418" w:type="dxa"/>
            <w:shd w:val="clear" w:color="auto" w:fill="FFFFFF"/>
            <w:vAlign w:val="center"/>
          </w:tcPr>
          <w:p w:rsidR="00CE2BFF" w:rsidRPr="008034ED" w:rsidRDefault="00CE2BFF" w:rsidP="007243DF">
            <w:pPr>
              <w:widowControl w:val="0"/>
              <w:jc w:val="right"/>
              <w:rPr>
                <w:szCs w:val="22"/>
              </w:rPr>
            </w:pPr>
            <w:r w:rsidRPr="008034ED">
              <w:rPr>
                <w:szCs w:val="22"/>
              </w:rPr>
              <w:t>(7,000)</w:t>
            </w:r>
          </w:p>
        </w:tc>
        <w:tc>
          <w:tcPr>
            <w:tcW w:w="1276" w:type="dxa"/>
            <w:shd w:val="clear" w:color="auto" w:fill="FFFFFF"/>
            <w:vAlign w:val="center"/>
          </w:tcPr>
          <w:p w:rsidR="00CE2BFF" w:rsidRPr="008034ED" w:rsidRDefault="00CE2BFF" w:rsidP="007243DF">
            <w:pPr>
              <w:widowControl w:val="0"/>
              <w:jc w:val="right"/>
              <w:rPr>
                <w:szCs w:val="22"/>
              </w:rPr>
            </w:pPr>
            <w:r w:rsidRPr="008034ED">
              <w:rPr>
                <w:szCs w:val="22"/>
              </w:rPr>
              <w:t>0</w:t>
            </w:r>
          </w:p>
        </w:tc>
        <w:tc>
          <w:tcPr>
            <w:tcW w:w="1134" w:type="dxa"/>
            <w:shd w:val="clear" w:color="auto" w:fill="FFFFFF"/>
            <w:vAlign w:val="center"/>
          </w:tcPr>
          <w:p w:rsidR="00CE2BFF" w:rsidRPr="008034ED" w:rsidRDefault="00CE2BFF" w:rsidP="007243DF">
            <w:pPr>
              <w:widowControl w:val="0"/>
              <w:jc w:val="right"/>
              <w:rPr>
                <w:szCs w:val="22"/>
              </w:rPr>
            </w:pPr>
            <w:r w:rsidRPr="008034ED">
              <w:rPr>
                <w:szCs w:val="22"/>
              </w:rPr>
              <w:t>0</w:t>
            </w:r>
          </w:p>
        </w:tc>
        <w:tc>
          <w:tcPr>
            <w:tcW w:w="1275" w:type="dxa"/>
            <w:shd w:val="clear" w:color="auto" w:fill="FFFFFF"/>
            <w:vAlign w:val="center"/>
          </w:tcPr>
          <w:p w:rsidR="00CE2BFF" w:rsidRPr="008034ED" w:rsidRDefault="00CE2BFF" w:rsidP="007243DF">
            <w:pPr>
              <w:widowControl w:val="0"/>
              <w:jc w:val="right"/>
              <w:rPr>
                <w:szCs w:val="22"/>
              </w:rPr>
            </w:pPr>
            <w:r w:rsidRPr="008034ED">
              <w:rPr>
                <w:szCs w:val="22"/>
              </w:rPr>
              <w:t>0</w:t>
            </w:r>
          </w:p>
        </w:tc>
      </w:tr>
      <w:tr w:rsidR="00CE2BFF" w:rsidRPr="008034ED" w:rsidTr="008034ED">
        <w:tc>
          <w:tcPr>
            <w:tcW w:w="2126" w:type="dxa"/>
            <w:vAlign w:val="center"/>
          </w:tcPr>
          <w:p w:rsidR="00CE2BFF" w:rsidRPr="008034ED" w:rsidRDefault="00CE2BFF" w:rsidP="007243DF">
            <w:pPr>
              <w:widowControl w:val="0"/>
              <w:spacing w:before="60" w:after="60"/>
              <w:jc w:val="left"/>
              <w:rPr>
                <w:color w:val="365F91" w:themeColor="accent1" w:themeShade="BF"/>
                <w:szCs w:val="22"/>
              </w:rPr>
            </w:pPr>
            <w:r w:rsidRPr="008034ED">
              <w:rPr>
                <w:szCs w:val="22"/>
              </w:rPr>
              <w:t xml:space="preserve"> Capital</w:t>
            </w:r>
          </w:p>
        </w:tc>
        <w:tc>
          <w:tcPr>
            <w:tcW w:w="1418" w:type="dxa"/>
            <w:shd w:val="clear" w:color="auto" w:fill="FFFFFF"/>
            <w:vAlign w:val="center"/>
          </w:tcPr>
          <w:p w:rsidR="00CE2BFF" w:rsidRPr="008034ED" w:rsidRDefault="00CE2BFF" w:rsidP="007243DF">
            <w:pPr>
              <w:widowControl w:val="0"/>
              <w:jc w:val="right"/>
              <w:rPr>
                <w:szCs w:val="22"/>
              </w:rPr>
            </w:pPr>
            <w:r w:rsidRPr="008034ED">
              <w:rPr>
                <w:szCs w:val="22"/>
              </w:rPr>
              <w:t>(242,420)</w:t>
            </w:r>
          </w:p>
        </w:tc>
        <w:tc>
          <w:tcPr>
            <w:tcW w:w="1276" w:type="dxa"/>
            <w:shd w:val="clear" w:color="auto" w:fill="FFFFFF"/>
            <w:vAlign w:val="center"/>
          </w:tcPr>
          <w:p w:rsidR="00CE2BFF" w:rsidRPr="008034ED" w:rsidRDefault="00CE2BFF" w:rsidP="007243DF">
            <w:pPr>
              <w:widowControl w:val="0"/>
              <w:jc w:val="right"/>
              <w:rPr>
                <w:szCs w:val="22"/>
              </w:rPr>
            </w:pPr>
            <w:r w:rsidRPr="008034ED">
              <w:rPr>
                <w:szCs w:val="22"/>
              </w:rPr>
              <w:t>222,420</w:t>
            </w:r>
          </w:p>
        </w:tc>
        <w:tc>
          <w:tcPr>
            <w:tcW w:w="1134" w:type="dxa"/>
            <w:shd w:val="clear" w:color="auto" w:fill="FFFFFF"/>
            <w:vAlign w:val="center"/>
          </w:tcPr>
          <w:p w:rsidR="00CE2BFF" w:rsidRPr="008034ED" w:rsidRDefault="00CE2BFF" w:rsidP="007243DF">
            <w:pPr>
              <w:widowControl w:val="0"/>
              <w:jc w:val="right"/>
              <w:rPr>
                <w:szCs w:val="22"/>
              </w:rPr>
            </w:pPr>
            <w:r w:rsidRPr="008034ED">
              <w:rPr>
                <w:szCs w:val="22"/>
              </w:rPr>
              <w:t>0</w:t>
            </w:r>
          </w:p>
        </w:tc>
        <w:tc>
          <w:tcPr>
            <w:tcW w:w="1275" w:type="dxa"/>
            <w:shd w:val="clear" w:color="auto" w:fill="FFFFFF"/>
            <w:vAlign w:val="center"/>
          </w:tcPr>
          <w:p w:rsidR="00CE2BFF" w:rsidRPr="008034ED" w:rsidRDefault="00CE2BFF" w:rsidP="007243DF">
            <w:pPr>
              <w:widowControl w:val="0"/>
              <w:jc w:val="right"/>
              <w:rPr>
                <w:szCs w:val="22"/>
              </w:rPr>
            </w:pPr>
            <w:r w:rsidRPr="008034ED">
              <w:rPr>
                <w:szCs w:val="22"/>
              </w:rPr>
              <w:t>0</w:t>
            </w:r>
          </w:p>
        </w:tc>
      </w:tr>
    </w:tbl>
    <w:p w:rsidR="00CE2BFF" w:rsidRPr="00214776" w:rsidRDefault="00CE2BFF" w:rsidP="00CE2BFF">
      <w:pPr>
        <w:keepNext/>
        <w:tabs>
          <w:tab w:val="clear" w:pos="1260"/>
        </w:tabs>
        <w:ind w:left="1245"/>
        <w:rPr>
          <w:color w:val="365F91" w:themeColor="accent1" w:themeShade="BF"/>
        </w:rPr>
      </w:pPr>
    </w:p>
    <w:p w:rsidR="00482CDA" w:rsidRPr="00214776" w:rsidRDefault="00482CDA" w:rsidP="00C37CBD">
      <w:pPr>
        <w:rPr>
          <w:color w:val="365F91" w:themeColor="accent1" w:themeShade="BF"/>
        </w:rPr>
      </w:pPr>
    </w:p>
    <w:p w:rsidR="00C37CBD" w:rsidRPr="00457357" w:rsidRDefault="001F4FE5" w:rsidP="00C37CBD">
      <w:r w:rsidRPr="00214776">
        <w:rPr>
          <w:color w:val="365F91" w:themeColor="accent1" w:themeShade="BF"/>
        </w:rPr>
        <w:tab/>
      </w:r>
      <w:r w:rsidR="00C37CBD" w:rsidRPr="00457357">
        <w:t>Report prepared by:</w:t>
      </w:r>
      <w:r w:rsidR="00C37CBD" w:rsidRPr="00457357">
        <w:tab/>
      </w:r>
      <w:r w:rsidR="00C20D6A">
        <w:t>Bryan Collett</w:t>
      </w:r>
      <w:r w:rsidR="00C37CBD" w:rsidRPr="00457357">
        <w:t xml:space="preserve"> – </w:t>
      </w:r>
      <w:r w:rsidR="00C20D6A">
        <w:t xml:space="preserve">Assistant </w:t>
      </w:r>
      <w:r w:rsidR="00C37CBD" w:rsidRPr="00457357">
        <w:t xml:space="preserve">Finance Manager </w:t>
      </w:r>
      <w:r w:rsidR="00C37CBD" w:rsidRPr="00457357">
        <w:fldChar w:fldCharType="begin"/>
      </w:r>
      <w:r w:rsidR="00C37CBD" w:rsidRPr="00457357">
        <w:instrText xml:space="preserve"> ASK   \* MERGEFORMAT </w:instrText>
      </w:r>
      <w:r w:rsidR="00C37CBD" w:rsidRPr="00457357">
        <w:fldChar w:fldCharType="end"/>
      </w:r>
    </w:p>
    <w:p w:rsidR="00C37CBD" w:rsidRPr="00457357" w:rsidRDefault="00C37CBD" w:rsidP="00C37CBD">
      <w:r w:rsidRPr="00457357">
        <w:tab/>
      </w:r>
      <w:r w:rsidRPr="00457357">
        <w:fldChar w:fldCharType="begin"/>
      </w:r>
      <w:r w:rsidRPr="00457357">
        <w:instrText xml:space="preserve">  </w:instrText>
      </w:r>
      <w:r w:rsidRPr="00457357">
        <w:fldChar w:fldCharType="end"/>
      </w:r>
    </w:p>
    <w:p w:rsidR="00C37CBD" w:rsidRPr="00457357" w:rsidRDefault="00C37CBD" w:rsidP="00C37CBD">
      <w:pPr>
        <w:keepNext/>
        <w:ind w:left="1267" w:hanging="1267"/>
        <w:outlineLvl w:val="0"/>
        <w:rPr>
          <w:b/>
        </w:rPr>
      </w:pPr>
      <w:r w:rsidRPr="00457357">
        <w:tab/>
      </w:r>
      <w:r w:rsidRPr="00457357">
        <w:rPr>
          <w:b/>
        </w:rPr>
        <w:t>Data Quality</w:t>
      </w:r>
    </w:p>
    <w:p w:rsidR="00C37CBD" w:rsidRPr="00457357" w:rsidRDefault="00C37CBD" w:rsidP="00C37CBD">
      <w:pPr>
        <w:keepNext/>
        <w:ind w:left="1267" w:hanging="1267"/>
      </w:pPr>
      <w:r w:rsidRPr="00457357">
        <w:rPr>
          <w:b/>
        </w:rPr>
        <w:tab/>
      </w:r>
      <w:r w:rsidRPr="00457357">
        <w:t>Data sources:</w:t>
      </w:r>
    </w:p>
    <w:p w:rsidR="00F573E4" w:rsidRPr="00457357" w:rsidRDefault="00F573E4" w:rsidP="00C37CBD">
      <w:pPr>
        <w:keepNext/>
        <w:ind w:left="1267" w:hanging="1267"/>
      </w:pPr>
    </w:p>
    <w:p w:rsidR="00C37CBD" w:rsidRPr="00457357" w:rsidRDefault="00C37CBD" w:rsidP="00C37CBD">
      <w:pPr>
        <w:keepNext/>
        <w:ind w:left="1267" w:hanging="1267"/>
      </w:pPr>
      <w:r w:rsidRPr="00457357">
        <w:tab/>
        <w:t>Financial Information System</w:t>
      </w:r>
    </w:p>
    <w:p w:rsidR="00F573E4" w:rsidRPr="00457357" w:rsidRDefault="00F573E4" w:rsidP="00C37CBD">
      <w:pPr>
        <w:keepNext/>
        <w:ind w:left="1267" w:hanging="1267"/>
      </w:pPr>
    </w:p>
    <w:p w:rsidR="00F573E4" w:rsidRPr="00457357" w:rsidRDefault="00C37CBD" w:rsidP="00C37CBD">
      <w:pPr>
        <w:ind w:left="1253" w:hanging="1253"/>
      </w:pPr>
      <w:r w:rsidRPr="00457357">
        <w:rPr>
          <w:i/>
        </w:rPr>
        <w:tab/>
      </w:r>
      <w:r w:rsidRPr="00457357">
        <w:rPr>
          <w:i/>
        </w:rPr>
        <w:tab/>
      </w:r>
      <w:r w:rsidRPr="00457357">
        <w:t xml:space="preserve">Data checked by: </w:t>
      </w:r>
      <w:r w:rsidR="0070178D" w:rsidRPr="00457357">
        <w:t xml:space="preserve">Nigel Pollard – </w:t>
      </w:r>
      <w:r w:rsidR="00B94B48" w:rsidRPr="00457357">
        <w:t>Section Head – Accountancy</w:t>
      </w:r>
      <w:r w:rsidRPr="00457357">
        <w:t xml:space="preserve"> </w:t>
      </w:r>
    </w:p>
    <w:p w:rsidR="003556F4" w:rsidRPr="00457357" w:rsidRDefault="003556F4" w:rsidP="00F573E4">
      <w:pPr>
        <w:ind w:left="1260" w:hanging="1260"/>
      </w:pPr>
    </w:p>
    <w:p w:rsidR="00C37CBD" w:rsidRPr="00457357" w:rsidRDefault="00C37CBD" w:rsidP="00F573E4">
      <w:pPr>
        <w:ind w:left="1260" w:hanging="1260"/>
      </w:pPr>
      <w:r w:rsidRPr="00457357">
        <w:tab/>
        <w:t xml:space="preserve">Data rating: </w:t>
      </w:r>
    </w:p>
    <w:p w:rsidR="00F573E4" w:rsidRPr="00214776" w:rsidRDefault="00F573E4" w:rsidP="00F573E4">
      <w:pPr>
        <w:ind w:left="1260" w:hanging="1260"/>
        <w:rPr>
          <w:color w:val="365F91" w:themeColor="accent1" w:themeShade="BF"/>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1276"/>
        <w:gridCol w:w="492"/>
      </w:tblGrid>
      <w:tr w:rsidR="008932A4" w:rsidRPr="008932A4" w:rsidTr="00B101AA">
        <w:trPr>
          <w:trHeight w:hRule="exact" w:val="346"/>
        </w:trPr>
        <w:tc>
          <w:tcPr>
            <w:tcW w:w="392" w:type="dxa"/>
            <w:shd w:val="clear" w:color="auto" w:fill="auto"/>
            <w:vAlign w:val="center"/>
          </w:tcPr>
          <w:p w:rsidR="00C37CBD" w:rsidRPr="008932A4" w:rsidRDefault="00C37CBD" w:rsidP="00B101AA">
            <w:pPr>
              <w:keepNext/>
              <w:keepLines/>
            </w:pPr>
            <w:r w:rsidRPr="008932A4">
              <w:t>1</w:t>
            </w:r>
          </w:p>
        </w:tc>
        <w:tc>
          <w:tcPr>
            <w:tcW w:w="1276" w:type="dxa"/>
            <w:shd w:val="clear" w:color="auto" w:fill="auto"/>
            <w:vAlign w:val="center"/>
          </w:tcPr>
          <w:p w:rsidR="00C37CBD" w:rsidRPr="008932A4" w:rsidRDefault="00C37CBD" w:rsidP="00B101AA">
            <w:pPr>
              <w:keepNext/>
              <w:keepLines/>
            </w:pPr>
            <w:r w:rsidRPr="008932A4">
              <w:t>Poor</w:t>
            </w:r>
          </w:p>
        </w:tc>
        <w:tc>
          <w:tcPr>
            <w:tcW w:w="492" w:type="dxa"/>
            <w:shd w:val="clear" w:color="auto" w:fill="auto"/>
            <w:vAlign w:val="center"/>
          </w:tcPr>
          <w:p w:rsidR="00C37CBD" w:rsidRPr="008932A4" w:rsidRDefault="00C37CBD" w:rsidP="00B101AA">
            <w:pPr>
              <w:keepNext/>
              <w:keepLines/>
              <w:jc w:val="center"/>
            </w:pPr>
          </w:p>
        </w:tc>
      </w:tr>
      <w:tr w:rsidR="008932A4" w:rsidRPr="008932A4" w:rsidTr="00B101AA">
        <w:trPr>
          <w:trHeight w:hRule="exact" w:val="346"/>
        </w:trPr>
        <w:tc>
          <w:tcPr>
            <w:tcW w:w="392" w:type="dxa"/>
            <w:shd w:val="clear" w:color="auto" w:fill="auto"/>
            <w:vAlign w:val="center"/>
          </w:tcPr>
          <w:p w:rsidR="00C37CBD" w:rsidRPr="008932A4" w:rsidRDefault="00C37CBD" w:rsidP="00B101AA">
            <w:pPr>
              <w:keepNext/>
              <w:keepLines/>
            </w:pPr>
            <w:r w:rsidRPr="008932A4">
              <w:t>2</w:t>
            </w:r>
          </w:p>
        </w:tc>
        <w:tc>
          <w:tcPr>
            <w:tcW w:w="1276" w:type="dxa"/>
            <w:shd w:val="clear" w:color="auto" w:fill="auto"/>
            <w:vAlign w:val="center"/>
          </w:tcPr>
          <w:p w:rsidR="00C37CBD" w:rsidRPr="008932A4" w:rsidRDefault="00C37CBD" w:rsidP="00B101AA">
            <w:pPr>
              <w:keepNext/>
              <w:keepLines/>
            </w:pPr>
            <w:r w:rsidRPr="008932A4">
              <w:t>Sufficient</w:t>
            </w:r>
          </w:p>
        </w:tc>
        <w:tc>
          <w:tcPr>
            <w:tcW w:w="492" w:type="dxa"/>
            <w:shd w:val="clear" w:color="auto" w:fill="auto"/>
            <w:vAlign w:val="center"/>
          </w:tcPr>
          <w:p w:rsidR="00C37CBD" w:rsidRPr="008932A4" w:rsidRDefault="00C37CBD" w:rsidP="00B101AA">
            <w:pPr>
              <w:keepNext/>
              <w:keepLines/>
              <w:jc w:val="center"/>
            </w:pPr>
          </w:p>
        </w:tc>
      </w:tr>
      <w:tr w:rsidR="00C37CBD" w:rsidRPr="008932A4" w:rsidTr="00B101AA">
        <w:trPr>
          <w:trHeight w:hRule="exact" w:val="346"/>
        </w:trPr>
        <w:tc>
          <w:tcPr>
            <w:tcW w:w="392" w:type="dxa"/>
            <w:shd w:val="clear" w:color="auto" w:fill="auto"/>
            <w:vAlign w:val="center"/>
          </w:tcPr>
          <w:p w:rsidR="00C37CBD" w:rsidRPr="008932A4" w:rsidRDefault="00C37CBD" w:rsidP="00B101AA">
            <w:pPr>
              <w:keepNext/>
              <w:keepLines/>
            </w:pPr>
            <w:r w:rsidRPr="008932A4">
              <w:t>3</w:t>
            </w:r>
          </w:p>
        </w:tc>
        <w:tc>
          <w:tcPr>
            <w:tcW w:w="1276" w:type="dxa"/>
            <w:shd w:val="clear" w:color="auto" w:fill="auto"/>
            <w:vAlign w:val="center"/>
          </w:tcPr>
          <w:p w:rsidR="00C37CBD" w:rsidRPr="008932A4" w:rsidRDefault="00C37CBD" w:rsidP="00B101AA">
            <w:pPr>
              <w:keepNext/>
              <w:keepLines/>
            </w:pPr>
            <w:r w:rsidRPr="008932A4">
              <w:t>High</w:t>
            </w:r>
          </w:p>
        </w:tc>
        <w:tc>
          <w:tcPr>
            <w:tcW w:w="492" w:type="dxa"/>
            <w:shd w:val="clear" w:color="auto" w:fill="auto"/>
            <w:vAlign w:val="center"/>
          </w:tcPr>
          <w:p w:rsidR="00C37CBD" w:rsidRPr="008932A4" w:rsidRDefault="00C37CBD" w:rsidP="00B101AA">
            <w:pPr>
              <w:keepNext/>
              <w:keepLines/>
              <w:jc w:val="center"/>
            </w:pPr>
            <w:r w:rsidRPr="008932A4">
              <w:sym w:font="Wingdings 2" w:char="F050"/>
            </w:r>
          </w:p>
        </w:tc>
      </w:tr>
    </w:tbl>
    <w:p w:rsidR="00C37CBD" w:rsidRPr="008932A4" w:rsidRDefault="00C37CBD" w:rsidP="00C37CBD">
      <w:pPr>
        <w:ind w:left="1253" w:hanging="1253"/>
      </w:pPr>
    </w:p>
    <w:p w:rsidR="00C37CBD" w:rsidRPr="008932A4" w:rsidRDefault="00C37CBD" w:rsidP="00C37CBD">
      <w:pPr>
        <w:keepNext/>
        <w:ind w:left="1267" w:hanging="1267"/>
        <w:rPr>
          <w:b/>
        </w:rPr>
      </w:pPr>
      <w:r w:rsidRPr="008932A4">
        <w:tab/>
      </w:r>
      <w:r w:rsidRPr="008932A4">
        <w:rPr>
          <w:b/>
        </w:rPr>
        <w:t>Background Papers</w:t>
      </w:r>
    </w:p>
    <w:p w:rsidR="00C37CBD" w:rsidRPr="008932A4" w:rsidRDefault="00C37CBD" w:rsidP="00C37CBD">
      <w:pPr>
        <w:ind w:left="1260" w:hanging="1260"/>
      </w:pPr>
      <w:r w:rsidRPr="008932A4">
        <w:rPr>
          <w:i/>
        </w:rPr>
        <w:tab/>
      </w:r>
      <w:r w:rsidR="00954E8C" w:rsidRPr="008932A4">
        <w:t xml:space="preserve">Period </w:t>
      </w:r>
      <w:r w:rsidR="008932A4" w:rsidRPr="008932A4">
        <w:t>10</w:t>
      </w:r>
      <w:r w:rsidR="00954E8C" w:rsidRPr="008932A4">
        <w:t xml:space="preserve"> budget returns from Service Heads</w:t>
      </w:r>
    </w:p>
    <w:p w:rsidR="00C37CBD" w:rsidRDefault="00C37CBD" w:rsidP="00C37CBD">
      <w:pPr>
        <w:ind w:left="1260" w:hanging="1260"/>
        <w:rPr>
          <w:b/>
          <w:color w:val="365F91" w:themeColor="accent1" w:themeShade="BF"/>
          <w:sz w:val="26"/>
        </w:rPr>
      </w:pPr>
      <w:r w:rsidRPr="00214776">
        <w:rPr>
          <w:b/>
          <w:i/>
          <w:color w:val="365F91" w:themeColor="accent1" w:themeShade="BF"/>
          <w:sz w:val="26"/>
        </w:rPr>
        <w:tab/>
      </w:r>
    </w:p>
    <w:p w:rsidR="00C37CBD" w:rsidRPr="00214776" w:rsidRDefault="00C37CBD" w:rsidP="00C37CBD">
      <w:pPr>
        <w:ind w:left="1260" w:hanging="1260"/>
        <w:rPr>
          <w:b/>
          <w:color w:val="365F91" w:themeColor="accent1" w:themeShade="BF"/>
        </w:rPr>
      </w:pPr>
      <w:r w:rsidRPr="00214776">
        <w:rPr>
          <w:b/>
          <w:i/>
          <w:color w:val="365F91" w:themeColor="accent1" w:themeShade="BF"/>
          <w:sz w:val="26"/>
        </w:rPr>
        <w:tab/>
      </w:r>
      <w:r w:rsidRPr="008932A4">
        <w:rPr>
          <w:b/>
        </w:rPr>
        <w:t xml:space="preserve">APPENDICES </w:t>
      </w:r>
    </w:p>
    <w:p w:rsidR="00C37CBD" w:rsidRPr="00214776" w:rsidRDefault="00C37CBD" w:rsidP="00C37CBD">
      <w:pPr>
        <w:keepNext/>
        <w:ind w:left="1259" w:hanging="1259"/>
        <w:rPr>
          <w:color w:val="365F91" w:themeColor="accent1" w:themeShade="BF"/>
        </w:rPr>
      </w:pPr>
    </w:p>
    <w:p w:rsidR="007B7E20" w:rsidRPr="008932A4" w:rsidRDefault="00C37CBD" w:rsidP="00C37CBD">
      <w:pPr>
        <w:keepNext/>
        <w:ind w:left="1259" w:hanging="1259"/>
      </w:pPr>
      <w:r w:rsidRPr="00214776">
        <w:rPr>
          <w:color w:val="365F91" w:themeColor="accent1" w:themeShade="BF"/>
        </w:rPr>
        <w:tab/>
      </w:r>
      <w:r w:rsidR="007B7E20" w:rsidRPr="008932A4">
        <w:t xml:space="preserve">Appendix </w:t>
      </w:r>
      <w:r w:rsidR="00991A84" w:rsidRPr="008932A4">
        <w:t>1</w:t>
      </w:r>
      <w:r w:rsidR="007B7E20" w:rsidRPr="008932A4">
        <w:t xml:space="preserve"> – </w:t>
      </w:r>
      <w:r w:rsidR="005D6EF3" w:rsidRPr="008932A4">
        <w:t>Medium Term Revenue Budget 201</w:t>
      </w:r>
      <w:r w:rsidR="00304595" w:rsidRPr="008932A4">
        <w:t xml:space="preserve">6 </w:t>
      </w:r>
      <w:r w:rsidR="005D6EF3" w:rsidRPr="008932A4">
        <w:t>-</w:t>
      </w:r>
      <w:r w:rsidR="00304595" w:rsidRPr="008932A4">
        <w:t xml:space="preserve"> </w:t>
      </w:r>
      <w:r w:rsidR="005D6EF3" w:rsidRPr="008932A4">
        <w:t>20</w:t>
      </w:r>
      <w:r w:rsidR="008C4722">
        <w:t>20</w:t>
      </w:r>
    </w:p>
    <w:p w:rsidR="00C37CBD" w:rsidRPr="008932A4" w:rsidRDefault="00C37CBD" w:rsidP="00565514">
      <w:r w:rsidRPr="008932A4">
        <w:tab/>
      </w:r>
      <w:r w:rsidR="00A86E60" w:rsidRPr="008932A4">
        <w:t xml:space="preserve">Appendix </w:t>
      </w:r>
      <w:r w:rsidR="00565514" w:rsidRPr="008932A4">
        <w:t>2</w:t>
      </w:r>
      <w:r w:rsidRPr="008932A4">
        <w:t xml:space="preserve"> –</w:t>
      </w:r>
      <w:r w:rsidR="002806B0" w:rsidRPr="008932A4">
        <w:t xml:space="preserve"> Revenue Variances for Period </w:t>
      </w:r>
      <w:r w:rsidR="008932A4" w:rsidRPr="008932A4">
        <w:t>10</w:t>
      </w:r>
      <w:r w:rsidR="002806B0" w:rsidRPr="008932A4">
        <w:t xml:space="preserve"> (</w:t>
      </w:r>
      <w:r w:rsidR="008932A4" w:rsidRPr="008932A4">
        <w:t>January</w:t>
      </w:r>
      <w:r w:rsidR="002806B0" w:rsidRPr="008932A4">
        <w:t>)</w:t>
      </w:r>
    </w:p>
    <w:p w:rsidR="002806B0" w:rsidRPr="008932A4" w:rsidRDefault="002806B0" w:rsidP="00241BED">
      <w:r w:rsidRPr="00214776">
        <w:rPr>
          <w:color w:val="365F91" w:themeColor="accent1" w:themeShade="BF"/>
        </w:rPr>
        <w:tab/>
      </w:r>
      <w:r w:rsidRPr="008932A4">
        <w:t xml:space="preserve">Appendix </w:t>
      </w:r>
      <w:r w:rsidR="00241BED">
        <w:t>3</w:t>
      </w:r>
      <w:r w:rsidR="00DA0D6D" w:rsidRPr="008932A4">
        <w:t xml:space="preserve"> – </w:t>
      </w:r>
      <w:r w:rsidRPr="008932A4">
        <w:t>Medium Term Capital Investment Programme 2016</w:t>
      </w:r>
      <w:r w:rsidR="000C7CDD" w:rsidRPr="008932A4">
        <w:t xml:space="preserve"> </w:t>
      </w:r>
      <w:r w:rsidRPr="008932A4">
        <w:t>-</w:t>
      </w:r>
      <w:r w:rsidR="000C7CDD" w:rsidRPr="008932A4">
        <w:t xml:space="preserve"> </w:t>
      </w:r>
      <w:r w:rsidRPr="008932A4">
        <w:t>20</w:t>
      </w:r>
      <w:r w:rsidR="008C4722">
        <w:t>20</w:t>
      </w:r>
    </w:p>
    <w:p w:rsidR="002806B0" w:rsidRDefault="002806B0" w:rsidP="002806B0">
      <w:pPr>
        <w:ind w:left="1276" w:hanging="1276"/>
        <w:rPr>
          <w:color w:val="365F91" w:themeColor="accent1" w:themeShade="BF"/>
        </w:rPr>
      </w:pPr>
      <w:r w:rsidRPr="00214776">
        <w:rPr>
          <w:color w:val="365F91" w:themeColor="accent1" w:themeShade="BF"/>
        </w:rPr>
        <w:tab/>
      </w:r>
      <w:r w:rsidRPr="008932A4">
        <w:t xml:space="preserve">Appendix </w:t>
      </w:r>
      <w:r w:rsidR="00241BED">
        <w:t>4</w:t>
      </w:r>
      <w:r w:rsidRPr="008932A4">
        <w:t xml:space="preserve"> </w:t>
      </w:r>
      <w:r w:rsidR="00DA0D6D" w:rsidRPr="008932A4">
        <w:t>–</w:t>
      </w:r>
      <w:r w:rsidRPr="008932A4">
        <w:t xml:space="preserve"> </w:t>
      </w:r>
      <w:r w:rsidR="00DA0D6D" w:rsidRPr="008932A4">
        <w:t xml:space="preserve">Capital Variances for Period </w:t>
      </w:r>
      <w:r w:rsidR="008932A4" w:rsidRPr="008932A4">
        <w:t>10</w:t>
      </w:r>
      <w:r w:rsidR="008C4722">
        <w:t xml:space="preserve"> </w:t>
      </w:r>
      <w:r w:rsidR="00DA0D6D" w:rsidRPr="008932A4">
        <w:t>(</w:t>
      </w:r>
      <w:r w:rsidR="008932A4" w:rsidRPr="008932A4">
        <w:t>January</w:t>
      </w:r>
      <w:r w:rsidR="00DA0D6D" w:rsidRPr="008932A4">
        <w:t>)</w:t>
      </w:r>
    </w:p>
    <w:p w:rsidR="00541EC8" w:rsidRDefault="00541EC8" w:rsidP="002806B0">
      <w:pPr>
        <w:ind w:left="1276" w:hanging="1276"/>
        <w:rPr>
          <w:color w:val="365F91" w:themeColor="accent1" w:themeShade="BF"/>
        </w:rPr>
      </w:pPr>
    </w:p>
    <w:p w:rsidR="00DA0D6D" w:rsidRPr="00214776" w:rsidRDefault="00DA0D6D" w:rsidP="002806B0">
      <w:pPr>
        <w:ind w:left="1276" w:hanging="1276"/>
        <w:rPr>
          <w:color w:val="365F91" w:themeColor="accent1" w:themeShade="BF"/>
        </w:rPr>
      </w:pPr>
      <w:r w:rsidRPr="00214776">
        <w:rPr>
          <w:color w:val="365F91" w:themeColor="accent1" w:themeShade="BF"/>
        </w:rPr>
        <w:tab/>
      </w:r>
    </w:p>
    <w:p w:rsidR="002806B0" w:rsidRPr="00214776" w:rsidRDefault="002806B0" w:rsidP="00565514">
      <w:pPr>
        <w:rPr>
          <w:color w:val="365F91" w:themeColor="accent1" w:themeShade="BF"/>
        </w:rPr>
      </w:pPr>
    </w:p>
    <w:p w:rsidR="007A6308" w:rsidRPr="00214776" w:rsidRDefault="00C37CBD" w:rsidP="00090943">
      <w:pPr>
        <w:keepNext/>
        <w:tabs>
          <w:tab w:val="clear" w:pos="1260"/>
          <w:tab w:val="left" w:pos="1276"/>
        </w:tabs>
        <w:ind w:left="1259" w:hanging="1259"/>
        <w:jc w:val="left"/>
        <w:rPr>
          <w:color w:val="365F91" w:themeColor="accent1" w:themeShade="BF"/>
        </w:rPr>
      </w:pPr>
      <w:r w:rsidRPr="00214776">
        <w:rPr>
          <w:color w:val="365F91" w:themeColor="accent1" w:themeShade="BF"/>
        </w:rPr>
        <w:tab/>
      </w:r>
    </w:p>
    <w:p w:rsidR="00684183" w:rsidRPr="00214776" w:rsidRDefault="00684183">
      <w:pPr>
        <w:tabs>
          <w:tab w:val="clear" w:pos="1260"/>
          <w:tab w:val="clear" w:pos="1980"/>
          <w:tab w:val="clear" w:pos="2700"/>
          <w:tab w:val="clear" w:pos="3420"/>
        </w:tabs>
        <w:jc w:val="left"/>
        <w:rPr>
          <w:color w:val="365F91" w:themeColor="accent1" w:themeShade="BF"/>
        </w:rPr>
        <w:sectPr w:rsidR="00684183" w:rsidRPr="00214776" w:rsidSect="002F4EB2">
          <w:footerReference w:type="default" r:id="rId9"/>
          <w:pgSz w:w="11909" w:h="16834" w:code="9"/>
          <w:pgMar w:top="720" w:right="1077" w:bottom="403" w:left="1077" w:header="709" w:footer="709" w:gutter="0"/>
          <w:cols w:space="720"/>
        </w:sectPr>
      </w:pPr>
    </w:p>
    <w:p w:rsidR="00684183" w:rsidRPr="00214776" w:rsidRDefault="008F1B76" w:rsidP="006926B4">
      <w:pPr>
        <w:tabs>
          <w:tab w:val="clear" w:pos="1260"/>
          <w:tab w:val="clear" w:pos="1980"/>
          <w:tab w:val="clear" w:pos="2700"/>
          <w:tab w:val="clear" w:pos="3420"/>
        </w:tabs>
        <w:ind w:left="284" w:right="118"/>
        <w:jc w:val="left"/>
        <w:rPr>
          <w:color w:val="365F91" w:themeColor="accent1" w:themeShade="BF"/>
        </w:rPr>
        <w:sectPr w:rsidR="00684183" w:rsidRPr="00214776" w:rsidSect="00684183">
          <w:pgSz w:w="16834" w:h="11909" w:orient="landscape" w:code="9"/>
          <w:pgMar w:top="1077" w:right="720" w:bottom="1077" w:left="403" w:header="709" w:footer="709" w:gutter="0"/>
          <w:cols w:space="720"/>
          <w:docGrid w:linePitch="299"/>
        </w:sectPr>
      </w:pPr>
      <w:r w:rsidRPr="008F1B76">
        <w:rPr>
          <w:noProof/>
        </w:rPr>
        <w:lastRenderedPageBreak/>
        <w:drawing>
          <wp:inline distT="0" distB="0" distL="0" distR="0">
            <wp:extent cx="9628961" cy="6146358"/>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9140" cy="6146472"/>
                    </a:xfrm>
                    <a:prstGeom prst="rect">
                      <a:avLst/>
                    </a:prstGeom>
                    <a:noFill/>
                    <a:ln>
                      <a:noFill/>
                    </a:ln>
                  </pic:spPr>
                </pic:pic>
              </a:graphicData>
            </a:graphic>
          </wp:inline>
        </w:drawing>
      </w:r>
    </w:p>
    <w:p w:rsidR="0038347D" w:rsidRPr="00214776" w:rsidRDefault="008F1B76" w:rsidP="006926B4">
      <w:pPr>
        <w:tabs>
          <w:tab w:val="clear" w:pos="1260"/>
          <w:tab w:val="clear" w:pos="1980"/>
          <w:tab w:val="clear" w:pos="2700"/>
          <w:tab w:val="clear" w:pos="3420"/>
        </w:tabs>
        <w:ind w:firstLine="284"/>
        <w:jc w:val="left"/>
        <w:rPr>
          <w:color w:val="365F91" w:themeColor="accent1" w:themeShade="BF"/>
        </w:rPr>
      </w:pPr>
      <w:r w:rsidRPr="008F1B76">
        <w:rPr>
          <w:noProof/>
        </w:rPr>
        <w:lastRenderedPageBreak/>
        <w:drawing>
          <wp:inline distT="0" distB="0" distL="0" distR="0" wp14:anchorId="16B7ED38" wp14:editId="29144A26">
            <wp:extent cx="9976485" cy="4888890"/>
            <wp:effectExtent l="0" t="0" r="571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76485" cy="4888890"/>
                    </a:xfrm>
                    <a:prstGeom prst="rect">
                      <a:avLst/>
                    </a:prstGeom>
                    <a:noFill/>
                    <a:ln>
                      <a:noFill/>
                    </a:ln>
                  </pic:spPr>
                </pic:pic>
              </a:graphicData>
            </a:graphic>
          </wp:inline>
        </w:drawing>
      </w:r>
    </w:p>
    <w:p w:rsidR="0038347D" w:rsidRPr="00214776" w:rsidRDefault="0038347D" w:rsidP="0038347D">
      <w:pPr>
        <w:tabs>
          <w:tab w:val="clear" w:pos="1260"/>
          <w:tab w:val="clear" w:pos="1980"/>
          <w:tab w:val="clear" w:pos="2700"/>
          <w:tab w:val="clear" w:pos="3420"/>
        </w:tabs>
        <w:ind w:left="284"/>
        <w:jc w:val="left"/>
        <w:rPr>
          <w:color w:val="365F91" w:themeColor="accent1" w:themeShade="BF"/>
        </w:rPr>
      </w:pPr>
    </w:p>
    <w:p w:rsidR="0038347D" w:rsidRPr="00214776" w:rsidRDefault="0038347D">
      <w:pPr>
        <w:tabs>
          <w:tab w:val="clear" w:pos="1260"/>
          <w:tab w:val="clear" w:pos="1980"/>
          <w:tab w:val="clear" w:pos="2700"/>
          <w:tab w:val="clear" w:pos="3420"/>
        </w:tabs>
        <w:jc w:val="left"/>
        <w:rPr>
          <w:color w:val="365F91" w:themeColor="accent1" w:themeShade="BF"/>
        </w:rPr>
      </w:pPr>
      <w:r w:rsidRPr="00214776">
        <w:rPr>
          <w:color w:val="365F91" w:themeColor="accent1" w:themeShade="BF"/>
        </w:rPr>
        <w:br w:type="page"/>
      </w:r>
    </w:p>
    <w:p w:rsidR="00546D55" w:rsidRDefault="00BA4D58" w:rsidP="00590DD0">
      <w:pPr>
        <w:tabs>
          <w:tab w:val="clear" w:pos="1260"/>
          <w:tab w:val="clear" w:pos="1980"/>
          <w:tab w:val="clear" w:pos="2700"/>
          <w:tab w:val="clear" w:pos="3420"/>
        </w:tabs>
        <w:ind w:left="284"/>
        <w:jc w:val="left"/>
        <w:rPr>
          <w:color w:val="365F91" w:themeColor="accent1" w:themeShade="BF"/>
        </w:rPr>
      </w:pPr>
      <w:r w:rsidRPr="00BA4D58">
        <w:rPr>
          <w:noProof/>
        </w:rPr>
        <w:lastRenderedPageBreak/>
        <w:drawing>
          <wp:inline distT="0" distB="0" distL="0" distR="0" wp14:anchorId="6F77964C" wp14:editId="59CDCE8E">
            <wp:extent cx="9970935" cy="6170212"/>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76485" cy="6173646"/>
                    </a:xfrm>
                    <a:prstGeom prst="rect">
                      <a:avLst/>
                    </a:prstGeom>
                    <a:noFill/>
                    <a:ln>
                      <a:noFill/>
                    </a:ln>
                  </pic:spPr>
                </pic:pic>
              </a:graphicData>
            </a:graphic>
          </wp:inline>
        </w:drawing>
      </w:r>
    </w:p>
    <w:p w:rsidR="00546D55" w:rsidRDefault="00546D55" w:rsidP="00590DD0">
      <w:pPr>
        <w:tabs>
          <w:tab w:val="clear" w:pos="1260"/>
          <w:tab w:val="clear" w:pos="1980"/>
          <w:tab w:val="clear" w:pos="2700"/>
          <w:tab w:val="clear" w:pos="3420"/>
        </w:tabs>
        <w:ind w:left="284"/>
        <w:jc w:val="left"/>
        <w:rPr>
          <w:color w:val="365F91" w:themeColor="accent1" w:themeShade="BF"/>
        </w:rPr>
      </w:pPr>
    </w:p>
    <w:p w:rsidR="00546D55" w:rsidRDefault="00546D55" w:rsidP="00590DD0">
      <w:pPr>
        <w:tabs>
          <w:tab w:val="clear" w:pos="1260"/>
          <w:tab w:val="clear" w:pos="1980"/>
          <w:tab w:val="clear" w:pos="2700"/>
          <w:tab w:val="clear" w:pos="3420"/>
        </w:tabs>
        <w:ind w:left="284"/>
        <w:jc w:val="left"/>
        <w:rPr>
          <w:color w:val="365F91" w:themeColor="accent1" w:themeShade="BF"/>
        </w:rPr>
      </w:pPr>
    </w:p>
    <w:p w:rsidR="00684183" w:rsidRPr="00214776" w:rsidRDefault="002B63B4" w:rsidP="00590DD0">
      <w:pPr>
        <w:tabs>
          <w:tab w:val="clear" w:pos="1260"/>
          <w:tab w:val="clear" w:pos="1980"/>
          <w:tab w:val="clear" w:pos="2700"/>
          <w:tab w:val="clear" w:pos="3420"/>
        </w:tabs>
        <w:ind w:left="284"/>
        <w:jc w:val="left"/>
        <w:rPr>
          <w:color w:val="365F91" w:themeColor="accent1" w:themeShade="BF"/>
        </w:rPr>
      </w:pPr>
      <w:r w:rsidRPr="002B63B4">
        <w:rPr>
          <w:color w:val="365F91" w:themeColor="accent1" w:themeShade="BF"/>
        </w:rPr>
        <w:t xml:space="preserve"> </w:t>
      </w:r>
      <w:r w:rsidR="00344353" w:rsidRPr="00344353">
        <w:rPr>
          <w:noProof/>
        </w:rPr>
        <w:drawing>
          <wp:inline distT="0" distB="0" distL="0" distR="0">
            <wp:extent cx="9112250" cy="31648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12250" cy="3164840"/>
                    </a:xfrm>
                    <a:prstGeom prst="rect">
                      <a:avLst/>
                    </a:prstGeom>
                    <a:noFill/>
                    <a:ln>
                      <a:noFill/>
                    </a:ln>
                  </pic:spPr>
                </pic:pic>
              </a:graphicData>
            </a:graphic>
          </wp:inline>
        </w:drawing>
      </w:r>
    </w:p>
    <w:sectPr w:rsidR="00684183" w:rsidRPr="00214776" w:rsidSect="004C341A">
      <w:pgSz w:w="16834" w:h="11909" w:orient="landscape" w:code="9"/>
      <w:pgMar w:top="1077" w:right="720" w:bottom="1077" w:left="403"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6B5" w:rsidRDefault="00DC66B5">
      <w:r>
        <w:separator/>
      </w:r>
    </w:p>
  </w:endnote>
  <w:endnote w:type="continuationSeparator" w:id="0">
    <w:p w:rsidR="00DC66B5" w:rsidRDefault="00DC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4E2" w:rsidRDefault="00B814E2">
    <w:pPr>
      <w:pStyle w:val="Footer"/>
      <w:tabs>
        <w:tab w:val="clear" w:pos="4153"/>
        <w:tab w:val="clear" w:pos="8306"/>
        <w:tab w:val="center" w:pos="4680"/>
        <w:tab w:val="right" w:pos="9090"/>
      </w:tabs>
      <w:rPr>
        <w:sz w:val="16"/>
      </w:rPr>
    </w:pPr>
  </w:p>
  <w:p w:rsidR="00B814E2" w:rsidRDefault="00B814E2" w:rsidP="006C56FB">
    <w:pPr>
      <w:pStyle w:val="Footer"/>
      <w:tabs>
        <w:tab w:val="clear" w:pos="4153"/>
        <w:tab w:val="clear" w:pos="8306"/>
        <w:tab w:val="center" w:pos="4680"/>
        <w:tab w:val="right" w:pos="90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6B5" w:rsidRDefault="00DC66B5">
      <w:r>
        <w:separator/>
      </w:r>
    </w:p>
  </w:footnote>
  <w:footnote w:type="continuationSeparator" w:id="0">
    <w:p w:rsidR="00DC66B5" w:rsidRDefault="00DC6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3727"/>
    <w:multiLevelType w:val="multilevel"/>
    <w:tmpl w:val="02223EF8"/>
    <w:lvl w:ilvl="0">
      <w:start w:val="3"/>
      <w:numFmt w:val="decimal"/>
      <w:lvlText w:val="%1"/>
      <w:lvlJc w:val="left"/>
      <w:pPr>
        <w:tabs>
          <w:tab w:val="num" w:pos="1230"/>
        </w:tabs>
        <w:ind w:left="1230" w:hanging="1230"/>
      </w:pPr>
      <w:rPr>
        <w:rFonts w:hint="default"/>
      </w:rPr>
    </w:lvl>
    <w:lvl w:ilvl="1">
      <w:start w:val="1"/>
      <w:numFmt w:val="decimal"/>
      <w:lvlText w:val="%1.%2"/>
      <w:lvlJc w:val="left"/>
      <w:pPr>
        <w:tabs>
          <w:tab w:val="num" w:pos="1230"/>
        </w:tabs>
        <w:ind w:left="1230" w:hanging="1230"/>
      </w:pPr>
      <w:rPr>
        <w:rFonts w:hint="default"/>
      </w:rPr>
    </w:lvl>
    <w:lvl w:ilvl="2">
      <w:start w:val="1"/>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F170697"/>
    <w:multiLevelType w:val="hybridMultilevel"/>
    <w:tmpl w:val="0C5C9BFA"/>
    <w:lvl w:ilvl="0" w:tplc="08090001">
      <w:start w:val="1"/>
      <w:numFmt w:val="bullet"/>
      <w:lvlText w:val=""/>
      <w:lvlJc w:val="left"/>
      <w:pPr>
        <w:ind w:left="1977" w:hanging="360"/>
      </w:pPr>
      <w:rPr>
        <w:rFonts w:ascii="Symbol" w:hAnsi="Symbol" w:hint="default"/>
      </w:rPr>
    </w:lvl>
    <w:lvl w:ilvl="1" w:tplc="08090003" w:tentative="1">
      <w:start w:val="1"/>
      <w:numFmt w:val="bullet"/>
      <w:lvlText w:val="o"/>
      <w:lvlJc w:val="left"/>
      <w:pPr>
        <w:ind w:left="2697" w:hanging="360"/>
      </w:pPr>
      <w:rPr>
        <w:rFonts w:ascii="Courier New" w:hAnsi="Courier New" w:cs="Courier New" w:hint="default"/>
      </w:rPr>
    </w:lvl>
    <w:lvl w:ilvl="2" w:tplc="08090005" w:tentative="1">
      <w:start w:val="1"/>
      <w:numFmt w:val="bullet"/>
      <w:lvlText w:val=""/>
      <w:lvlJc w:val="left"/>
      <w:pPr>
        <w:ind w:left="3417" w:hanging="360"/>
      </w:pPr>
      <w:rPr>
        <w:rFonts w:ascii="Wingdings" w:hAnsi="Wingdings" w:hint="default"/>
      </w:rPr>
    </w:lvl>
    <w:lvl w:ilvl="3" w:tplc="08090001" w:tentative="1">
      <w:start w:val="1"/>
      <w:numFmt w:val="bullet"/>
      <w:lvlText w:val=""/>
      <w:lvlJc w:val="left"/>
      <w:pPr>
        <w:ind w:left="4137" w:hanging="360"/>
      </w:pPr>
      <w:rPr>
        <w:rFonts w:ascii="Symbol" w:hAnsi="Symbol" w:hint="default"/>
      </w:rPr>
    </w:lvl>
    <w:lvl w:ilvl="4" w:tplc="08090003" w:tentative="1">
      <w:start w:val="1"/>
      <w:numFmt w:val="bullet"/>
      <w:lvlText w:val="o"/>
      <w:lvlJc w:val="left"/>
      <w:pPr>
        <w:ind w:left="4857" w:hanging="360"/>
      </w:pPr>
      <w:rPr>
        <w:rFonts w:ascii="Courier New" w:hAnsi="Courier New" w:cs="Courier New" w:hint="default"/>
      </w:rPr>
    </w:lvl>
    <w:lvl w:ilvl="5" w:tplc="08090005" w:tentative="1">
      <w:start w:val="1"/>
      <w:numFmt w:val="bullet"/>
      <w:lvlText w:val=""/>
      <w:lvlJc w:val="left"/>
      <w:pPr>
        <w:ind w:left="5577" w:hanging="360"/>
      </w:pPr>
      <w:rPr>
        <w:rFonts w:ascii="Wingdings" w:hAnsi="Wingdings" w:hint="default"/>
      </w:rPr>
    </w:lvl>
    <w:lvl w:ilvl="6" w:tplc="08090001" w:tentative="1">
      <w:start w:val="1"/>
      <w:numFmt w:val="bullet"/>
      <w:lvlText w:val=""/>
      <w:lvlJc w:val="left"/>
      <w:pPr>
        <w:ind w:left="6297" w:hanging="360"/>
      </w:pPr>
      <w:rPr>
        <w:rFonts w:ascii="Symbol" w:hAnsi="Symbol" w:hint="default"/>
      </w:rPr>
    </w:lvl>
    <w:lvl w:ilvl="7" w:tplc="08090003" w:tentative="1">
      <w:start w:val="1"/>
      <w:numFmt w:val="bullet"/>
      <w:lvlText w:val="o"/>
      <w:lvlJc w:val="left"/>
      <w:pPr>
        <w:ind w:left="7017" w:hanging="360"/>
      </w:pPr>
      <w:rPr>
        <w:rFonts w:ascii="Courier New" w:hAnsi="Courier New" w:cs="Courier New" w:hint="default"/>
      </w:rPr>
    </w:lvl>
    <w:lvl w:ilvl="8" w:tplc="08090005" w:tentative="1">
      <w:start w:val="1"/>
      <w:numFmt w:val="bullet"/>
      <w:lvlText w:val=""/>
      <w:lvlJc w:val="left"/>
      <w:pPr>
        <w:ind w:left="7737" w:hanging="360"/>
      </w:pPr>
      <w:rPr>
        <w:rFonts w:ascii="Wingdings" w:hAnsi="Wingdings" w:hint="default"/>
      </w:rPr>
    </w:lvl>
  </w:abstractNum>
  <w:abstractNum w:abstractNumId="2">
    <w:nsid w:val="11CE3201"/>
    <w:multiLevelType w:val="multilevel"/>
    <w:tmpl w:val="6F6E454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2C82903"/>
    <w:multiLevelType w:val="hybridMultilevel"/>
    <w:tmpl w:val="1B829446"/>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4">
    <w:nsid w:val="13DE6736"/>
    <w:multiLevelType w:val="hybridMultilevel"/>
    <w:tmpl w:val="F9A01D74"/>
    <w:lvl w:ilvl="0" w:tplc="80CCAB08">
      <w:start w:val="1"/>
      <w:numFmt w:val="lowerLetter"/>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5">
    <w:nsid w:val="185F1920"/>
    <w:multiLevelType w:val="multilevel"/>
    <w:tmpl w:val="095C5F14"/>
    <w:lvl w:ilvl="0">
      <w:start w:val="4"/>
      <w:numFmt w:val="decimal"/>
      <w:lvlText w:val="%1"/>
      <w:lvlJc w:val="left"/>
      <w:pPr>
        <w:tabs>
          <w:tab w:val="num" w:pos="1260"/>
        </w:tabs>
        <w:ind w:left="1260" w:hanging="1260"/>
      </w:pPr>
      <w:rPr>
        <w:rFonts w:hint="default"/>
      </w:rPr>
    </w:lvl>
    <w:lvl w:ilvl="1">
      <w:start w:val="1"/>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31D5B66"/>
    <w:multiLevelType w:val="multilevel"/>
    <w:tmpl w:val="5094A83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39C525C"/>
    <w:multiLevelType w:val="hybridMultilevel"/>
    <w:tmpl w:val="D0CA7D64"/>
    <w:lvl w:ilvl="0" w:tplc="8DA453F2">
      <w:start w:val="7"/>
      <w:numFmt w:val="decimal"/>
      <w:lvlText w:val="%1."/>
      <w:lvlJc w:val="left"/>
      <w:pPr>
        <w:tabs>
          <w:tab w:val="num" w:pos="1260"/>
        </w:tabs>
        <w:ind w:left="1260" w:hanging="1260"/>
      </w:pPr>
      <w:rPr>
        <w:rFonts w:hint="default"/>
      </w:r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8">
    <w:nsid w:val="251D7CC9"/>
    <w:multiLevelType w:val="hybridMultilevel"/>
    <w:tmpl w:val="0E542724"/>
    <w:lvl w:ilvl="0" w:tplc="08090001">
      <w:start w:val="1"/>
      <w:numFmt w:val="bullet"/>
      <w:lvlText w:val=""/>
      <w:lvlJc w:val="left"/>
      <w:pPr>
        <w:tabs>
          <w:tab w:val="num" w:pos="1980"/>
        </w:tabs>
        <w:ind w:left="1980" w:hanging="360"/>
      </w:pPr>
      <w:rPr>
        <w:rFonts w:ascii="Symbol" w:hAnsi="Symbol"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9">
    <w:nsid w:val="2F3134F7"/>
    <w:multiLevelType w:val="multilevel"/>
    <w:tmpl w:val="5A54BFEE"/>
    <w:lvl w:ilvl="0">
      <w:start w:val="4"/>
      <w:numFmt w:val="decimal"/>
      <w:lvlText w:val="%1"/>
      <w:lvlJc w:val="left"/>
      <w:pPr>
        <w:tabs>
          <w:tab w:val="num" w:pos="1260"/>
        </w:tabs>
        <w:ind w:left="1260" w:hanging="1260"/>
      </w:pPr>
      <w:rPr>
        <w:rFonts w:hint="default"/>
      </w:rPr>
    </w:lvl>
    <w:lvl w:ilvl="1">
      <w:start w:val="2"/>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2D7310F"/>
    <w:multiLevelType w:val="multilevel"/>
    <w:tmpl w:val="821A9BA0"/>
    <w:lvl w:ilvl="0">
      <w:start w:val="2"/>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4195B16"/>
    <w:multiLevelType w:val="multilevel"/>
    <w:tmpl w:val="3BCC8C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54E0F24"/>
    <w:multiLevelType w:val="multilevel"/>
    <w:tmpl w:val="15DE6374"/>
    <w:lvl w:ilvl="0">
      <w:start w:val="6"/>
      <w:numFmt w:val="decimal"/>
      <w:lvlText w:val="%1"/>
      <w:lvlJc w:val="left"/>
      <w:pPr>
        <w:tabs>
          <w:tab w:val="num" w:pos="1290"/>
        </w:tabs>
        <w:ind w:left="1290" w:hanging="1290"/>
      </w:pPr>
      <w:rPr>
        <w:rFonts w:hint="default"/>
        <w:b w:val="0"/>
        <w:i w:val="0"/>
      </w:rPr>
    </w:lvl>
    <w:lvl w:ilvl="1">
      <w:start w:val="4"/>
      <w:numFmt w:val="decimal"/>
      <w:lvlText w:val="%1.%2"/>
      <w:lvlJc w:val="left"/>
      <w:pPr>
        <w:tabs>
          <w:tab w:val="num" w:pos="1290"/>
        </w:tabs>
        <w:ind w:left="1290" w:hanging="1290"/>
      </w:pPr>
      <w:rPr>
        <w:rFonts w:hint="default"/>
        <w:b w:val="0"/>
        <w:i w:val="0"/>
      </w:rPr>
    </w:lvl>
    <w:lvl w:ilvl="2">
      <w:start w:val="1"/>
      <w:numFmt w:val="decimal"/>
      <w:lvlText w:val="%1.%2.%3"/>
      <w:lvlJc w:val="left"/>
      <w:pPr>
        <w:tabs>
          <w:tab w:val="num" w:pos="1290"/>
        </w:tabs>
        <w:ind w:left="1290" w:hanging="1290"/>
      </w:pPr>
      <w:rPr>
        <w:rFonts w:hint="default"/>
        <w:b w:val="0"/>
        <w:i w:val="0"/>
      </w:rPr>
    </w:lvl>
    <w:lvl w:ilvl="3">
      <w:start w:val="1"/>
      <w:numFmt w:val="decimal"/>
      <w:lvlText w:val="%1.%2.%3.%4"/>
      <w:lvlJc w:val="left"/>
      <w:pPr>
        <w:tabs>
          <w:tab w:val="num" w:pos="1290"/>
        </w:tabs>
        <w:ind w:left="1290" w:hanging="1290"/>
      </w:pPr>
      <w:rPr>
        <w:rFonts w:hint="default"/>
        <w:b w:val="0"/>
        <w:i w:val="0"/>
      </w:rPr>
    </w:lvl>
    <w:lvl w:ilvl="4">
      <w:start w:val="1"/>
      <w:numFmt w:val="decimal"/>
      <w:lvlText w:val="%1.%2.%3.%4.%5"/>
      <w:lvlJc w:val="left"/>
      <w:pPr>
        <w:tabs>
          <w:tab w:val="num" w:pos="1290"/>
        </w:tabs>
        <w:ind w:left="1290" w:hanging="1290"/>
      </w:pPr>
      <w:rPr>
        <w:rFonts w:hint="default"/>
        <w:b w:val="0"/>
        <w:i w:val="0"/>
      </w:rPr>
    </w:lvl>
    <w:lvl w:ilvl="5">
      <w:start w:val="1"/>
      <w:numFmt w:val="decimal"/>
      <w:lvlText w:val="%1.%2.%3.%4.%5.%6"/>
      <w:lvlJc w:val="left"/>
      <w:pPr>
        <w:tabs>
          <w:tab w:val="num" w:pos="1290"/>
        </w:tabs>
        <w:ind w:left="1290" w:hanging="129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3">
    <w:nsid w:val="52A2574D"/>
    <w:multiLevelType w:val="multilevel"/>
    <w:tmpl w:val="353E0F8A"/>
    <w:lvl w:ilvl="0">
      <w:start w:val="7"/>
      <w:numFmt w:val="decimal"/>
      <w:lvlText w:val="%1"/>
      <w:lvlJc w:val="left"/>
      <w:pPr>
        <w:tabs>
          <w:tab w:val="num" w:pos="1245"/>
        </w:tabs>
        <w:ind w:left="1245" w:hanging="1245"/>
      </w:pPr>
      <w:rPr>
        <w:rFonts w:hint="default"/>
      </w:rPr>
    </w:lvl>
    <w:lvl w:ilvl="1">
      <w:start w:val="2"/>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2B40D1F"/>
    <w:multiLevelType w:val="multilevel"/>
    <w:tmpl w:val="FDE6070E"/>
    <w:lvl w:ilvl="0">
      <w:start w:val="2"/>
      <w:numFmt w:val="decimal"/>
      <w:lvlText w:val="%1"/>
      <w:lvlJc w:val="left"/>
      <w:pPr>
        <w:ind w:left="360" w:hanging="360"/>
      </w:pPr>
      <w:rPr>
        <w:rFonts w:hint="default"/>
        <w:color w:val="000000" w:themeColor="text1"/>
      </w:rPr>
    </w:lvl>
    <w:lvl w:ilvl="1">
      <w:start w:val="8"/>
      <w:numFmt w:val="decimal"/>
      <w:lvlText w:val="%1.%2"/>
      <w:lvlJc w:val="left"/>
      <w:pPr>
        <w:ind w:left="644"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5">
    <w:nsid w:val="53912103"/>
    <w:multiLevelType w:val="multilevel"/>
    <w:tmpl w:val="25F6C982"/>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9CB028D"/>
    <w:multiLevelType w:val="multilevel"/>
    <w:tmpl w:val="3162064E"/>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B2854FD"/>
    <w:multiLevelType w:val="hybridMultilevel"/>
    <w:tmpl w:val="97866714"/>
    <w:lvl w:ilvl="0" w:tplc="08090001">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465"/>
        </w:tabs>
        <w:ind w:left="2465" w:hanging="360"/>
      </w:pPr>
      <w:rPr>
        <w:rFonts w:ascii="Courier New" w:hAnsi="Courier New" w:cs="Courier New" w:hint="default"/>
      </w:rPr>
    </w:lvl>
    <w:lvl w:ilvl="2" w:tplc="08090005" w:tentative="1">
      <w:start w:val="1"/>
      <w:numFmt w:val="bullet"/>
      <w:lvlText w:val=""/>
      <w:lvlJc w:val="left"/>
      <w:pPr>
        <w:tabs>
          <w:tab w:val="num" w:pos="3185"/>
        </w:tabs>
        <w:ind w:left="3185" w:hanging="360"/>
      </w:pPr>
      <w:rPr>
        <w:rFonts w:ascii="Wingdings" w:hAnsi="Wingdings" w:hint="default"/>
      </w:rPr>
    </w:lvl>
    <w:lvl w:ilvl="3" w:tplc="08090001" w:tentative="1">
      <w:start w:val="1"/>
      <w:numFmt w:val="bullet"/>
      <w:lvlText w:val=""/>
      <w:lvlJc w:val="left"/>
      <w:pPr>
        <w:tabs>
          <w:tab w:val="num" w:pos="3905"/>
        </w:tabs>
        <w:ind w:left="3905" w:hanging="360"/>
      </w:pPr>
      <w:rPr>
        <w:rFonts w:ascii="Symbol" w:hAnsi="Symbol" w:hint="default"/>
      </w:rPr>
    </w:lvl>
    <w:lvl w:ilvl="4" w:tplc="08090003" w:tentative="1">
      <w:start w:val="1"/>
      <w:numFmt w:val="bullet"/>
      <w:lvlText w:val="o"/>
      <w:lvlJc w:val="left"/>
      <w:pPr>
        <w:tabs>
          <w:tab w:val="num" w:pos="4625"/>
        </w:tabs>
        <w:ind w:left="4625" w:hanging="360"/>
      </w:pPr>
      <w:rPr>
        <w:rFonts w:ascii="Courier New" w:hAnsi="Courier New" w:cs="Courier New" w:hint="default"/>
      </w:rPr>
    </w:lvl>
    <w:lvl w:ilvl="5" w:tplc="08090005" w:tentative="1">
      <w:start w:val="1"/>
      <w:numFmt w:val="bullet"/>
      <w:lvlText w:val=""/>
      <w:lvlJc w:val="left"/>
      <w:pPr>
        <w:tabs>
          <w:tab w:val="num" w:pos="5345"/>
        </w:tabs>
        <w:ind w:left="5345" w:hanging="360"/>
      </w:pPr>
      <w:rPr>
        <w:rFonts w:ascii="Wingdings" w:hAnsi="Wingdings" w:hint="default"/>
      </w:rPr>
    </w:lvl>
    <w:lvl w:ilvl="6" w:tplc="08090001" w:tentative="1">
      <w:start w:val="1"/>
      <w:numFmt w:val="bullet"/>
      <w:lvlText w:val=""/>
      <w:lvlJc w:val="left"/>
      <w:pPr>
        <w:tabs>
          <w:tab w:val="num" w:pos="6065"/>
        </w:tabs>
        <w:ind w:left="6065" w:hanging="360"/>
      </w:pPr>
      <w:rPr>
        <w:rFonts w:ascii="Symbol" w:hAnsi="Symbol" w:hint="default"/>
      </w:rPr>
    </w:lvl>
    <w:lvl w:ilvl="7" w:tplc="08090003" w:tentative="1">
      <w:start w:val="1"/>
      <w:numFmt w:val="bullet"/>
      <w:lvlText w:val="o"/>
      <w:lvlJc w:val="left"/>
      <w:pPr>
        <w:tabs>
          <w:tab w:val="num" w:pos="6785"/>
        </w:tabs>
        <w:ind w:left="6785" w:hanging="360"/>
      </w:pPr>
      <w:rPr>
        <w:rFonts w:ascii="Courier New" w:hAnsi="Courier New" w:cs="Courier New" w:hint="default"/>
      </w:rPr>
    </w:lvl>
    <w:lvl w:ilvl="8" w:tplc="08090005" w:tentative="1">
      <w:start w:val="1"/>
      <w:numFmt w:val="bullet"/>
      <w:lvlText w:val=""/>
      <w:lvlJc w:val="left"/>
      <w:pPr>
        <w:tabs>
          <w:tab w:val="num" w:pos="7505"/>
        </w:tabs>
        <w:ind w:left="7505" w:hanging="360"/>
      </w:pPr>
      <w:rPr>
        <w:rFonts w:ascii="Wingdings" w:hAnsi="Wingdings" w:hint="default"/>
      </w:rPr>
    </w:lvl>
  </w:abstractNum>
  <w:abstractNum w:abstractNumId="18">
    <w:nsid w:val="5D2B7A54"/>
    <w:multiLevelType w:val="hybridMultilevel"/>
    <w:tmpl w:val="93B02AE8"/>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9">
    <w:nsid w:val="616B2305"/>
    <w:multiLevelType w:val="hybridMultilevel"/>
    <w:tmpl w:val="F9A01D74"/>
    <w:lvl w:ilvl="0" w:tplc="80CCAB08">
      <w:start w:val="1"/>
      <w:numFmt w:val="lowerLetter"/>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0">
    <w:nsid w:val="63AF0056"/>
    <w:multiLevelType w:val="multilevel"/>
    <w:tmpl w:val="3A66A59A"/>
    <w:lvl w:ilvl="0">
      <w:start w:val="2"/>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nsid w:val="64BC58EE"/>
    <w:multiLevelType w:val="multilevel"/>
    <w:tmpl w:val="E8128488"/>
    <w:lvl w:ilvl="0">
      <w:start w:val="6"/>
      <w:numFmt w:val="decimal"/>
      <w:lvlText w:val="%1"/>
      <w:lvlJc w:val="left"/>
      <w:pPr>
        <w:tabs>
          <w:tab w:val="num" w:pos="1260"/>
        </w:tabs>
        <w:ind w:left="1260" w:hanging="1260"/>
      </w:pPr>
      <w:rPr>
        <w:rFonts w:hint="default"/>
      </w:rPr>
    </w:lvl>
    <w:lvl w:ilvl="1">
      <w:start w:val="2"/>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6436E32"/>
    <w:multiLevelType w:val="hybridMultilevel"/>
    <w:tmpl w:val="A9BE84EC"/>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3">
    <w:nsid w:val="66D30864"/>
    <w:multiLevelType w:val="multilevel"/>
    <w:tmpl w:val="353E0F8A"/>
    <w:lvl w:ilvl="0">
      <w:start w:val="7"/>
      <w:numFmt w:val="decimal"/>
      <w:lvlText w:val="%1"/>
      <w:lvlJc w:val="left"/>
      <w:pPr>
        <w:tabs>
          <w:tab w:val="num" w:pos="1245"/>
        </w:tabs>
        <w:ind w:left="1245" w:hanging="1245"/>
      </w:pPr>
      <w:rPr>
        <w:rFonts w:hint="default"/>
      </w:rPr>
    </w:lvl>
    <w:lvl w:ilvl="1">
      <w:start w:val="2"/>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94F3F7B"/>
    <w:multiLevelType w:val="multilevel"/>
    <w:tmpl w:val="7FE0380E"/>
    <w:lvl w:ilvl="0">
      <w:start w:val="2"/>
      <w:numFmt w:val="decimal"/>
      <w:lvlText w:val="%1."/>
      <w:lvlJc w:val="left"/>
      <w:pPr>
        <w:tabs>
          <w:tab w:val="num" w:pos="1260"/>
        </w:tabs>
        <w:ind w:left="1260" w:hanging="1260"/>
      </w:pPr>
      <w:rPr>
        <w:rFonts w:hint="default"/>
        <w:b w:val="0"/>
      </w:r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F8F21D7"/>
    <w:multiLevelType w:val="hybridMultilevel"/>
    <w:tmpl w:val="DAA0BE0C"/>
    <w:lvl w:ilvl="0" w:tplc="0F523B72">
      <w:start w:val="9"/>
      <w:numFmt w:val="decimal"/>
      <w:lvlText w:val="%1"/>
      <w:lvlJc w:val="left"/>
      <w:pPr>
        <w:tabs>
          <w:tab w:val="num" w:pos="1620"/>
        </w:tabs>
        <w:ind w:left="1620" w:hanging="12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71EE786A"/>
    <w:multiLevelType w:val="hybridMultilevel"/>
    <w:tmpl w:val="7CC64008"/>
    <w:lvl w:ilvl="0" w:tplc="08090001">
      <w:start w:val="1"/>
      <w:numFmt w:val="bullet"/>
      <w:lvlText w:val=""/>
      <w:lvlJc w:val="left"/>
      <w:pPr>
        <w:tabs>
          <w:tab w:val="num" w:pos="2700"/>
        </w:tabs>
        <w:ind w:left="2700" w:hanging="360"/>
      </w:pPr>
      <w:rPr>
        <w:rFonts w:ascii="Symbol" w:hAnsi="Symbol" w:hint="default"/>
      </w:rPr>
    </w:lvl>
    <w:lvl w:ilvl="1" w:tplc="08090003" w:tentative="1">
      <w:start w:val="1"/>
      <w:numFmt w:val="bullet"/>
      <w:lvlText w:val="o"/>
      <w:lvlJc w:val="left"/>
      <w:pPr>
        <w:tabs>
          <w:tab w:val="num" w:pos="3420"/>
        </w:tabs>
        <w:ind w:left="3420" w:hanging="360"/>
      </w:pPr>
      <w:rPr>
        <w:rFonts w:ascii="Courier New" w:hAnsi="Courier New" w:cs="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cs="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cs="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num w:numId="1">
    <w:abstractNumId w:val="11"/>
  </w:num>
  <w:num w:numId="2">
    <w:abstractNumId w:val="0"/>
  </w:num>
  <w:num w:numId="3">
    <w:abstractNumId w:val="9"/>
  </w:num>
  <w:num w:numId="4">
    <w:abstractNumId w:val="16"/>
  </w:num>
  <w:num w:numId="5">
    <w:abstractNumId w:val="21"/>
  </w:num>
  <w:num w:numId="6">
    <w:abstractNumId w:val="8"/>
  </w:num>
  <w:num w:numId="7">
    <w:abstractNumId w:val="26"/>
  </w:num>
  <w:num w:numId="8">
    <w:abstractNumId w:val="17"/>
  </w:num>
  <w:num w:numId="9">
    <w:abstractNumId w:val="5"/>
  </w:num>
  <w:num w:numId="10">
    <w:abstractNumId w:val="25"/>
  </w:num>
  <w:num w:numId="11">
    <w:abstractNumId w:val="7"/>
  </w:num>
  <w:num w:numId="12">
    <w:abstractNumId w:val="13"/>
  </w:num>
  <w:num w:numId="13">
    <w:abstractNumId w:val="23"/>
  </w:num>
  <w:num w:numId="14">
    <w:abstractNumId w:val="6"/>
  </w:num>
  <w:num w:numId="15">
    <w:abstractNumId w:val="24"/>
  </w:num>
  <w:num w:numId="16">
    <w:abstractNumId w:val="12"/>
  </w:num>
  <w:num w:numId="17">
    <w:abstractNumId w:val="15"/>
  </w:num>
  <w:num w:numId="18">
    <w:abstractNumId w:val="2"/>
  </w:num>
  <w:num w:numId="19">
    <w:abstractNumId w:val="10"/>
  </w:num>
  <w:num w:numId="20">
    <w:abstractNumId w:val="1"/>
  </w:num>
  <w:num w:numId="21">
    <w:abstractNumId w:val="3"/>
  </w:num>
  <w:num w:numId="22">
    <w:abstractNumId w:val="22"/>
  </w:num>
  <w:num w:numId="23">
    <w:abstractNumId w:val="4"/>
  </w:num>
  <w:num w:numId="24">
    <w:abstractNumId w:val="19"/>
  </w:num>
  <w:num w:numId="25">
    <w:abstractNumId w:val="18"/>
  </w:num>
  <w:num w:numId="26">
    <w:abstractNumId w:val="1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30B"/>
    <w:rsid w:val="00001856"/>
    <w:rsid w:val="00002262"/>
    <w:rsid w:val="00003045"/>
    <w:rsid w:val="0000715D"/>
    <w:rsid w:val="000101DE"/>
    <w:rsid w:val="00011910"/>
    <w:rsid w:val="00012B4D"/>
    <w:rsid w:val="000232BE"/>
    <w:rsid w:val="00024853"/>
    <w:rsid w:val="00025808"/>
    <w:rsid w:val="000359AB"/>
    <w:rsid w:val="000405B0"/>
    <w:rsid w:val="00043BB1"/>
    <w:rsid w:val="000503BE"/>
    <w:rsid w:val="00051912"/>
    <w:rsid w:val="00057939"/>
    <w:rsid w:val="00063A57"/>
    <w:rsid w:val="00064D88"/>
    <w:rsid w:val="0006506B"/>
    <w:rsid w:val="00065D3F"/>
    <w:rsid w:val="00066FBC"/>
    <w:rsid w:val="000747CF"/>
    <w:rsid w:val="0007504B"/>
    <w:rsid w:val="00082385"/>
    <w:rsid w:val="000875E7"/>
    <w:rsid w:val="00090943"/>
    <w:rsid w:val="00094FAF"/>
    <w:rsid w:val="000A03A7"/>
    <w:rsid w:val="000A068B"/>
    <w:rsid w:val="000B2771"/>
    <w:rsid w:val="000B7AC0"/>
    <w:rsid w:val="000C188E"/>
    <w:rsid w:val="000C2D2C"/>
    <w:rsid w:val="000C31DE"/>
    <w:rsid w:val="000C3A9F"/>
    <w:rsid w:val="000C7CDD"/>
    <w:rsid w:val="000D49BA"/>
    <w:rsid w:val="000E21AD"/>
    <w:rsid w:val="000E7A74"/>
    <w:rsid w:val="000E7EDD"/>
    <w:rsid w:val="000F1D74"/>
    <w:rsid w:val="000F256E"/>
    <w:rsid w:val="000F504C"/>
    <w:rsid w:val="001225F3"/>
    <w:rsid w:val="001229A1"/>
    <w:rsid w:val="00123374"/>
    <w:rsid w:val="00124998"/>
    <w:rsid w:val="001342E3"/>
    <w:rsid w:val="00137B44"/>
    <w:rsid w:val="001402B6"/>
    <w:rsid w:val="0014101C"/>
    <w:rsid w:val="001455BA"/>
    <w:rsid w:val="0016063E"/>
    <w:rsid w:val="00175D6A"/>
    <w:rsid w:val="00180711"/>
    <w:rsid w:val="00181F47"/>
    <w:rsid w:val="00185A50"/>
    <w:rsid w:val="001A24E2"/>
    <w:rsid w:val="001A4B97"/>
    <w:rsid w:val="001A4C07"/>
    <w:rsid w:val="001B385D"/>
    <w:rsid w:val="001B7AF5"/>
    <w:rsid w:val="001C7314"/>
    <w:rsid w:val="001D0A86"/>
    <w:rsid w:val="001E1670"/>
    <w:rsid w:val="001E23B7"/>
    <w:rsid w:val="001E267B"/>
    <w:rsid w:val="001E60CA"/>
    <w:rsid w:val="001F224F"/>
    <w:rsid w:val="001F2DCD"/>
    <w:rsid w:val="001F4FE5"/>
    <w:rsid w:val="001F6B14"/>
    <w:rsid w:val="00201E01"/>
    <w:rsid w:val="00203876"/>
    <w:rsid w:val="00211467"/>
    <w:rsid w:val="00214776"/>
    <w:rsid w:val="00221ADD"/>
    <w:rsid w:val="00223DAB"/>
    <w:rsid w:val="002366EB"/>
    <w:rsid w:val="002401C9"/>
    <w:rsid w:val="002407C7"/>
    <w:rsid w:val="002407D8"/>
    <w:rsid w:val="00241330"/>
    <w:rsid w:val="00241BED"/>
    <w:rsid w:val="00242CB6"/>
    <w:rsid w:val="0025081B"/>
    <w:rsid w:val="002547A8"/>
    <w:rsid w:val="002549FA"/>
    <w:rsid w:val="002569C7"/>
    <w:rsid w:val="00266DEE"/>
    <w:rsid w:val="00270B0E"/>
    <w:rsid w:val="00274C92"/>
    <w:rsid w:val="002806B0"/>
    <w:rsid w:val="00282F67"/>
    <w:rsid w:val="002835FF"/>
    <w:rsid w:val="0029036D"/>
    <w:rsid w:val="00291B05"/>
    <w:rsid w:val="002A3958"/>
    <w:rsid w:val="002A7D4F"/>
    <w:rsid w:val="002B488B"/>
    <w:rsid w:val="002B63B4"/>
    <w:rsid w:val="002C36A7"/>
    <w:rsid w:val="002C55B2"/>
    <w:rsid w:val="002C63AD"/>
    <w:rsid w:val="002E2E3E"/>
    <w:rsid w:val="002E3C59"/>
    <w:rsid w:val="002E7834"/>
    <w:rsid w:val="002E7886"/>
    <w:rsid w:val="002F1BC5"/>
    <w:rsid w:val="002F4EB2"/>
    <w:rsid w:val="002F5AE2"/>
    <w:rsid w:val="00300B42"/>
    <w:rsid w:val="003012EC"/>
    <w:rsid w:val="00302A53"/>
    <w:rsid w:val="00304595"/>
    <w:rsid w:val="00321008"/>
    <w:rsid w:val="0033559B"/>
    <w:rsid w:val="00336817"/>
    <w:rsid w:val="00337F38"/>
    <w:rsid w:val="00340D53"/>
    <w:rsid w:val="003418DD"/>
    <w:rsid w:val="00344353"/>
    <w:rsid w:val="00347638"/>
    <w:rsid w:val="003479CD"/>
    <w:rsid w:val="00347B82"/>
    <w:rsid w:val="00347DAE"/>
    <w:rsid w:val="00354D6B"/>
    <w:rsid w:val="003556F4"/>
    <w:rsid w:val="00361612"/>
    <w:rsid w:val="003727CA"/>
    <w:rsid w:val="0038347D"/>
    <w:rsid w:val="003872DF"/>
    <w:rsid w:val="003900B1"/>
    <w:rsid w:val="00396299"/>
    <w:rsid w:val="003A0093"/>
    <w:rsid w:val="003A1542"/>
    <w:rsid w:val="003A26F3"/>
    <w:rsid w:val="003A294C"/>
    <w:rsid w:val="003A375B"/>
    <w:rsid w:val="003A4354"/>
    <w:rsid w:val="003A6D76"/>
    <w:rsid w:val="003A7B49"/>
    <w:rsid w:val="003B2191"/>
    <w:rsid w:val="003C770B"/>
    <w:rsid w:val="003D5D0F"/>
    <w:rsid w:val="003D6D10"/>
    <w:rsid w:val="003E3B1F"/>
    <w:rsid w:val="003E467B"/>
    <w:rsid w:val="003E7878"/>
    <w:rsid w:val="003F25C0"/>
    <w:rsid w:val="004079BD"/>
    <w:rsid w:val="004142CE"/>
    <w:rsid w:val="0041439F"/>
    <w:rsid w:val="00420328"/>
    <w:rsid w:val="00422721"/>
    <w:rsid w:val="00423627"/>
    <w:rsid w:val="00423730"/>
    <w:rsid w:val="00423EFE"/>
    <w:rsid w:val="00440C4A"/>
    <w:rsid w:val="0044131D"/>
    <w:rsid w:val="00445A30"/>
    <w:rsid w:val="0045523C"/>
    <w:rsid w:val="00457357"/>
    <w:rsid w:val="00460B64"/>
    <w:rsid w:val="0047247F"/>
    <w:rsid w:val="00473099"/>
    <w:rsid w:val="004763C3"/>
    <w:rsid w:val="00476939"/>
    <w:rsid w:val="00482CDA"/>
    <w:rsid w:val="00482F06"/>
    <w:rsid w:val="00487F8E"/>
    <w:rsid w:val="00493DA5"/>
    <w:rsid w:val="00497005"/>
    <w:rsid w:val="004974FE"/>
    <w:rsid w:val="004A049C"/>
    <w:rsid w:val="004A084D"/>
    <w:rsid w:val="004B0DD3"/>
    <w:rsid w:val="004C0913"/>
    <w:rsid w:val="004C1A4F"/>
    <w:rsid w:val="004C341A"/>
    <w:rsid w:val="004C3CAC"/>
    <w:rsid w:val="004D0893"/>
    <w:rsid w:val="004E0CF7"/>
    <w:rsid w:val="004E28C7"/>
    <w:rsid w:val="004E3356"/>
    <w:rsid w:val="004E4D0D"/>
    <w:rsid w:val="004F170A"/>
    <w:rsid w:val="004F43EC"/>
    <w:rsid w:val="004F6AF1"/>
    <w:rsid w:val="00505A26"/>
    <w:rsid w:val="0050624E"/>
    <w:rsid w:val="00512910"/>
    <w:rsid w:val="0051731B"/>
    <w:rsid w:val="00531384"/>
    <w:rsid w:val="00533F4B"/>
    <w:rsid w:val="00541EC8"/>
    <w:rsid w:val="00546D55"/>
    <w:rsid w:val="00555D4B"/>
    <w:rsid w:val="005624BC"/>
    <w:rsid w:val="00562EAF"/>
    <w:rsid w:val="00565514"/>
    <w:rsid w:val="00566676"/>
    <w:rsid w:val="0058112B"/>
    <w:rsid w:val="0059031D"/>
    <w:rsid w:val="00590538"/>
    <w:rsid w:val="00590DD0"/>
    <w:rsid w:val="005919EE"/>
    <w:rsid w:val="00592193"/>
    <w:rsid w:val="005A3853"/>
    <w:rsid w:val="005A6E91"/>
    <w:rsid w:val="005B392B"/>
    <w:rsid w:val="005C48B1"/>
    <w:rsid w:val="005C4D71"/>
    <w:rsid w:val="005C50CD"/>
    <w:rsid w:val="005C5E36"/>
    <w:rsid w:val="005C7463"/>
    <w:rsid w:val="005D0AEE"/>
    <w:rsid w:val="005D6EF3"/>
    <w:rsid w:val="005F15E4"/>
    <w:rsid w:val="005F204D"/>
    <w:rsid w:val="006009BC"/>
    <w:rsid w:val="00612062"/>
    <w:rsid w:val="00613561"/>
    <w:rsid w:val="006170BF"/>
    <w:rsid w:val="006220DB"/>
    <w:rsid w:val="006302B0"/>
    <w:rsid w:val="00630545"/>
    <w:rsid w:val="00630ACD"/>
    <w:rsid w:val="00635316"/>
    <w:rsid w:val="006368E4"/>
    <w:rsid w:val="0064113D"/>
    <w:rsid w:val="00641FEC"/>
    <w:rsid w:val="00654EF3"/>
    <w:rsid w:val="00655575"/>
    <w:rsid w:val="00656B76"/>
    <w:rsid w:val="0067012B"/>
    <w:rsid w:val="00672056"/>
    <w:rsid w:val="00672E45"/>
    <w:rsid w:val="00681A92"/>
    <w:rsid w:val="00684183"/>
    <w:rsid w:val="0068645D"/>
    <w:rsid w:val="00690AAC"/>
    <w:rsid w:val="006926B4"/>
    <w:rsid w:val="006A527B"/>
    <w:rsid w:val="006A7AE5"/>
    <w:rsid w:val="006B2BAC"/>
    <w:rsid w:val="006B3AE2"/>
    <w:rsid w:val="006B4297"/>
    <w:rsid w:val="006B540F"/>
    <w:rsid w:val="006C0711"/>
    <w:rsid w:val="006C56FB"/>
    <w:rsid w:val="006E1181"/>
    <w:rsid w:val="006E177E"/>
    <w:rsid w:val="006E632E"/>
    <w:rsid w:val="006F0B9D"/>
    <w:rsid w:val="006F11CA"/>
    <w:rsid w:val="0070178D"/>
    <w:rsid w:val="007200AD"/>
    <w:rsid w:val="00723156"/>
    <w:rsid w:val="00725C4D"/>
    <w:rsid w:val="00727CD7"/>
    <w:rsid w:val="00735FB1"/>
    <w:rsid w:val="0075053D"/>
    <w:rsid w:val="00755665"/>
    <w:rsid w:val="00767AC9"/>
    <w:rsid w:val="007736F6"/>
    <w:rsid w:val="007848A4"/>
    <w:rsid w:val="00787626"/>
    <w:rsid w:val="00790138"/>
    <w:rsid w:val="0079114D"/>
    <w:rsid w:val="00791C20"/>
    <w:rsid w:val="00791E82"/>
    <w:rsid w:val="00794BBA"/>
    <w:rsid w:val="00795002"/>
    <w:rsid w:val="007A2E31"/>
    <w:rsid w:val="007A6308"/>
    <w:rsid w:val="007A73BD"/>
    <w:rsid w:val="007A7E70"/>
    <w:rsid w:val="007B0DDD"/>
    <w:rsid w:val="007B4EB4"/>
    <w:rsid w:val="007B76E7"/>
    <w:rsid w:val="007B7E20"/>
    <w:rsid w:val="007C6399"/>
    <w:rsid w:val="007C6FF1"/>
    <w:rsid w:val="007D79C9"/>
    <w:rsid w:val="007E0073"/>
    <w:rsid w:val="007E1CF3"/>
    <w:rsid w:val="007F2FA5"/>
    <w:rsid w:val="008034ED"/>
    <w:rsid w:val="00805D0F"/>
    <w:rsid w:val="00811320"/>
    <w:rsid w:val="00816D03"/>
    <w:rsid w:val="00817073"/>
    <w:rsid w:val="0082055F"/>
    <w:rsid w:val="00821BA0"/>
    <w:rsid w:val="008222B2"/>
    <w:rsid w:val="00822AB3"/>
    <w:rsid w:val="00826CEF"/>
    <w:rsid w:val="00830031"/>
    <w:rsid w:val="00840852"/>
    <w:rsid w:val="00845C3A"/>
    <w:rsid w:val="0084617F"/>
    <w:rsid w:val="00855830"/>
    <w:rsid w:val="00863115"/>
    <w:rsid w:val="00873172"/>
    <w:rsid w:val="008736B9"/>
    <w:rsid w:val="00874662"/>
    <w:rsid w:val="00876667"/>
    <w:rsid w:val="00876E9D"/>
    <w:rsid w:val="00883E7B"/>
    <w:rsid w:val="00885C90"/>
    <w:rsid w:val="008932A4"/>
    <w:rsid w:val="008A16EF"/>
    <w:rsid w:val="008A16F7"/>
    <w:rsid w:val="008A256E"/>
    <w:rsid w:val="008A46F3"/>
    <w:rsid w:val="008B74D5"/>
    <w:rsid w:val="008C0A0E"/>
    <w:rsid w:val="008C0AF1"/>
    <w:rsid w:val="008C34B4"/>
    <w:rsid w:val="008C36E6"/>
    <w:rsid w:val="008C4722"/>
    <w:rsid w:val="008D26EC"/>
    <w:rsid w:val="008D2A03"/>
    <w:rsid w:val="008E3563"/>
    <w:rsid w:val="008E7DD4"/>
    <w:rsid w:val="008F0EA1"/>
    <w:rsid w:val="008F1B76"/>
    <w:rsid w:val="008F1DCE"/>
    <w:rsid w:val="008F556A"/>
    <w:rsid w:val="008F6E38"/>
    <w:rsid w:val="009017AE"/>
    <w:rsid w:val="00903E7C"/>
    <w:rsid w:val="0090660C"/>
    <w:rsid w:val="00926854"/>
    <w:rsid w:val="009343E5"/>
    <w:rsid w:val="0094349A"/>
    <w:rsid w:val="00953D77"/>
    <w:rsid w:val="00954E8C"/>
    <w:rsid w:val="00957837"/>
    <w:rsid w:val="00957B8D"/>
    <w:rsid w:val="00964DF1"/>
    <w:rsid w:val="00967D4A"/>
    <w:rsid w:val="00973A82"/>
    <w:rsid w:val="00984D78"/>
    <w:rsid w:val="00991A84"/>
    <w:rsid w:val="00991C76"/>
    <w:rsid w:val="009B13FA"/>
    <w:rsid w:val="009B30AD"/>
    <w:rsid w:val="009D17AD"/>
    <w:rsid w:val="009D73E0"/>
    <w:rsid w:val="009E0C43"/>
    <w:rsid w:val="009E26E9"/>
    <w:rsid w:val="009E2C57"/>
    <w:rsid w:val="009E562E"/>
    <w:rsid w:val="009E6D66"/>
    <w:rsid w:val="009E6E9F"/>
    <w:rsid w:val="009E7144"/>
    <w:rsid w:val="009F7DD0"/>
    <w:rsid w:val="00A02BDB"/>
    <w:rsid w:val="00A063CD"/>
    <w:rsid w:val="00A10843"/>
    <w:rsid w:val="00A14DEB"/>
    <w:rsid w:val="00A25A68"/>
    <w:rsid w:val="00A3292A"/>
    <w:rsid w:val="00A36804"/>
    <w:rsid w:val="00A519F5"/>
    <w:rsid w:val="00A63729"/>
    <w:rsid w:val="00A6630B"/>
    <w:rsid w:val="00A71B45"/>
    <w:rsid w:val="00A74F6D"/>
    <w:rsid w:val="00A83A63"/>
    <w:rsid w:val="00A84C7A"/>
    <w:rsid w:val="00A86E60"/>
    <w:rsid w:val="00A90948"/>
    <w:rsid w:val="00AA2E1F"/>
    <w:rsid w:val="00AB0E6E"/>
    <w:rsid w:val="00AB3176"/>
    <w:rsid w:val="00AC06BE"/>
    <w:rsid w:val="00AC4831"/>
    <w:rsid w:val="00AE594E"/>
    <w:rsid w:val="00B00F86"/>
    <w:rsid w:val="00B01456"/>
    <w:rsid w:val="00B030B6"/>
    <w:rsid w:val="00B05CFC"/>
    <w:rsid w:val="00B101AA"/>
    <w:rsid w:val="00B247C3"/>
    <w:rsid w:val="00B25D9A"/>
    <w:rsid w:val="00B30294"/>
    <w:rsid w:val="00B35C27"/>
    <w:rsid w:val="00B362EA"/>
    <w:rsid w:val="00B457C8"/>
    <w:rsid w:val="00B47E54"/>
    <w:rsid w:val="00B54EDF"/>
    <w:rsid w:val="00B57823"/>
    <w:rsid w:val="00B57CE5"/>
    <w:rsid w:val="00B65B62"/>
    <w:rsid w:val="00B676C3"/>
    <w:rsid w:val="00B7181D"/>
    <w:rsid w:val="00B722A6"/>
    <w:rsid w:val="00B75474"/>
    <w:rsid w:val="00B75D8D"/>
    <w:rsid w:val="00B76515"/>
    <w:rsid w:val="00B779BB"/>
    <w:rsid w:val="00B814E2"/>
    <w:rsid w:val="00B81DBB"/>
    <w:rsid w:val="00B8426D"/>
    <w:rsid w:val="00B84AB8"/>
    <w:rsid w:val="00B94B48"/>
    <w:rsid w:val="00BA279F"/>
    <w:rsid w:val="00BA4D58"/>
    <w:rsid w:val="00BB5D1B"/>
    <w:rsid w:val="00BC479F"/>
    <w:rsid w:val="00BC5BFF"/>
    <w:rsid w:val="00BD35CF"/>
    <w:rsid w:val="00BD36CD"/>
    <w:rsid w:val="00BD41DE"/>
    <w:rsid w:val="00BE056D"/>
    <w:rsid w:val="00BE4FC7"/>
    <w:rsid w:val="00BE6E94"/>
    <w:rsid w:val="00BF0ED5"/>
    <w:rsid w:val="00BF4F78"/>
    <w:rsid w:val="00C01DB3"/>
    <w:rsid w:val="00C03279"/>
    <w:rsid w:val="00C05279"/>
    <w:rsid w:val="00C11983"/>
    <w:rsid w:val="00C204BE"/>
    <w:rsid w:val="00C20D6A"/>
    <w:rsid w:val="00C22BAA"/>
    <w:rsid w:val="00C257E9"/>
    <w:rsid w:val="00C30C91"/>
    <w:rsid w:val="00C333A7"/>
    <w:rsid w:val="00C34151"/>
    <w:rsid w:val="00C34BE9"/>
    <w:rsid w:val="00C35F8B"/>
    <w:rsid w:val="00C37CBD"/>
    <w:rsid w:val="00C46A80"/>
    <w:rsid w:val="00C47004"/>
    <w:rsid w:val="00C55753"/>
    <w:rsid w:val="00C567D1"/>
    <w:rsid w:val="00C56CAD"/>
    <w:rsid w:val="00C63202"/>
    <w:rsid w:val="00C72419"/>
    <w:rsid w:val="00CA59C1"/>
    <w:rsid w:val="00CB1A5B"/>
    <w:rsid w:val="00CB1AB7"/>
    <w:rsid w:val="00CB4F34"/>
    <w:rsid w:val="00CD2A86"/>
    <w:rsid w:val="00CD5C59"/>
    <w:rsid w:val="00CD6865"/>
    <w:rsid w:val="00CD6A9A"/>
    <w:rsid w:val="00CE2BFF"/>
    <w:rsid w:val="00CE2EF7"/>
    <w:rsid w:val="00CE6BCE"/>
    <w:rsid w:val="00CF1033"/>
    <w:rsid w:val="00CF1038"/>
    <w:rsid w:val="00CF2935"/>
    <w:rsid w:val="00CF3D9A"/>
    <w:rsid w:val="00D07512"/>
    <w:rsid w:val="00D10432"/>
    <w:rsid w:val="00D1661C"/>
    <w:rsid w:val="00D179A8"/>
    <w:rsid w:val="00D2402D"/>
    <w:rsid w:val="00D2553C"/>
    <w:rsid w:val="00D27753"/>
    <w:rsid w:val="00D30DF4"/>
    <w:rsid w:val="00D34427"/>
    <w:rsid w:val="00D63AFD"/>
    <w:rsid w:val="00D66D72"/>
    <w:rsid w:val="00D740F8"/>
    <w:rsid w:val="00D7758B"/>
    <w:rsid w:val="00D80395"/>
    <w:rsid w:val="00D80B5C"/>
    <w:rsid w:val="00D8248B"/>
    <w:rsid w:val="00D82603"/>
    <w:rsid w:val="00D85C91"/>
    <w:rsid w:val="00D93C83"/>
    <w:rsid w:val="00D9465D"/>
    <w:rsid w:val="00D9467F"/>
    <w:rsid w:val="00D949C0"/>
    <w:rsid w:val="00D96848"/>
    <w:rsid w:val="00DA0D6D"/>
    <w:rsid w:val="00DA642C"/>
    <w:rsid w:val="00DA68C3"/>
    <w:rsid w:val="00DC2228"/>
    <w:rsid w:val="00DC66B5"/>
    <w:rsid w:val="00DD1D94"/>
    <w:rsid w:val="00DD2395"/>
    <w:rsid w:val="00DE1B5B"/>
    <w:rsid w:val="00DE6FD5"/>
    <w:rsid w:val="00DF4211"/>
    <w:rsid w:val="00DF6AD8"/>
    <w:rsid w:val="00E01F01"/>
    <w:rsid w:val="00E1056D"/>
    <w:rsid w:val="00E15C4E"/>
    <w:rsid w:val="00E223D8"/>
    <w:rsid w:val="00E255D7"/>
    <w:rsid w:val="00E259A5"/>
    <w:rsid w:val="00E26F37"/>
    <w:rsid w:val="00E30AA8"/>
    <w:rsid w:val="00E310F4"/>
    <w:rsid w:val="00E31FD4"/>
    <w:rsid w:val="00E34AFC"/>
    <w:rsid w:val="00E42BAF"/>
    <w:rsid w:val="00E462B2"/>
    <w:rsid w:val="00E46B2D"/>
    <w:rsid w:val="00E553E8"/>
    <w:rsid w:val="00E561B6"/>
    <w:rsid w:val="00E5712E"/>
    <w:rsid w:val="00E57855"/>
    <w:rsid w:val="00E62529"/>
    <w:rsid w:val="00E66A64"/>
    <w:rsid w:val="00E828E7"/>
    <w:rsid w:val="00E9688B"/>
    <w:rsid w:val="00EA70B8"/>
    <w:rsid w:val="00EB4C3D"/>
    <w:rsid w:val="00EB66D3"/>
    <w:rsid w:val="00EC4A4F"/>
    <w:rsid w:val="00ED13CD"/>
    <w:rsid w:val="00ED53FA"/>
    <w:rsid w:val="00ED5837"/>
    <w:rsid w:val="00ED6CD2"/>
    <w:rsid w:val="00EE4057"/>
    <w:rsid w:val="00EE72F8"/>
    <w:rsid w:val="00F01FED"/>
    <w:rsid w:val="00F0377C"/>
    <w:rsid w:val="00F075B3"/>
    <w:rsid w:val="00F11F30"/>
    <w:rsid w:val="00F12C1E"/>
    <w:rsid w:val="00F20195"/>
    <w:rsid w:val="00F2271A"/>
    <w:rsid w:val="00F27E19"/>
    <w:rsid w:val="00F314FF"/>
    <w:rsid w:val="00F3256B"/>
    <w:rsid w:val="00F33A9D"/>
    <w:rsid w:val="00F35F08"/>
    <w:rsid w:val="00F366C1"/>
    <w:rsid w:val="00F37A15"/>
    <w:rsid w:val="00F4144B"/>
    <w:rsid w:val="00F4162B"/>
    <w:rsid w:val="00F425AD"/>
    <w:rsid w:val="00F4735A"/>
    <w:rsid w:val="00F50B69"/>
    <w:rsid w:val="00F573E4"/>
    <w:rsid w:val="00F62956"/>
    <w:rsid w:val="00F62C05"/>
    <w:rsid w:val="00F66336"/>
    <w:rsid w:val="00F6712A"/>
    <w:rsid w:val="00F7675A"/>
    <w:rsid w:val="00F80B47"/>
    <w:rsid w:val="00F82C4F"/>
    <w:rsid w:val="00F85C79"/>
    <w:rsid w:val="00F9393D"/>
    <w:rsid w:val="00F93D21"/>
    <w:rsid w:val="00FA096C"/>
    <w:rsid w:val="00FA259E"/>
    <w:rsid w:val="00FA3202"/>
    <w:rsid w:val="00FA46FC"/>
    <w:rsid w:val="00FA699C"/>
    <w:rsid w:val="00FB1318"/>
    <w:rsid w:val="00FB2D16"/>
    <w:rsid w:val="00FC3B05"/>
    <w:rsid w:val="00FD020F"/>
    <w:rsid w:val="00FD193C"/>
    <w:rsid w:val="00FD294E"/>
    <w:rsid w:val="00FD48B6"/>
    <w:rsid w:val="00FE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3D9A"/>
    <w:rPr>
      <w:color w:val="0000FF"/>
      <w:u w:val="single"/>
    </w:rPr>
  </w:style>
  <w:style w:type="character" w:styleId="FollowedHyperlink">
    <w:name w:val="FollowedHyperlink"/>
    <w:rsid w:val="00F3256B"/>
    <w:rPr>
      <w:color w:val="0000FF"/>
      <w:u w:val="single"/>
    </w:rPr>
  </w:style>
  <w:style w:type="paragraph" w:customStyle="1" w:styleId="paragraphstyle3">
    <w:name w:val="paragraph_style_3"/>
    <w:basedOn w:val="Normal"/>
    <w:rsid w:val="00CE2EF7"/>
    <w:pPr>
      <w:tabs>
        <w:tab w:val="clear" w:pos="1260"/>
        <w:tab w:val="clear" w:pos="1980"/>
        <w:tab w:val="clear" w:pos="2700"/>
        <w:tab w:val="clear" w:pos="3420"/>
      </w:tabs>
      <w:spacing w:line="240" w:lineRule="atLeast"/>
    </w:pPr>
    <w:rPr>
      <w:rFonts w:ascii="Times New Roman" w:hAnsi="Times New Roman"/>
      <w:color w:val="000000"/>
      <w:sz w:val="21"/>
      <w:szCs w:val="21"/>
    </w:rPr>
  </w:style>
  <w:style w:type="paragraph" w:styleId="ListParagraph">
    <w:name w:val="List Paragraph"/>
    <w:basedOn w:val="Normal"/>
    <w:uiPriority w:val="34"/>
    <w:qFormat/>
    <w:rsid w:val="0075053D"/>
    <w:pPr>
      <w:ind w:left="720"/>
      <w:contextualSpacing/>
    </w:pPr>
  </w:style>
  <w:style w:type="character" w:customStyle="1" w:styleId="FooterChar">
    <w:name w:val="Footer Char"/>
    <w:basedOn w:val="DefaultParagraphFont"/>
    <w:link w:val="Footer"/>
    <w:uiPriority w:val="99"/>
    <w:rsid w:val="000C188E"/>
    <w:rPr>
      <w:rFonts w:ascii="Arial" w:hAnsi="Arial"/>
      <w:sz w:val="22"/>
    </w:rPr>
  </w:style>
  <w:style w:type="character" w:styleId="CommentReference">
    <w:name w:val="annotation reference"/>
    <w:basedOn w:val="DefaultParagraphFont"/>
    <w:rsid w:val="00C30C91"/>
    <w:rPr>
      <w:sz w:val="16"/>
      <w:szCs w:val="16"/>
    </w:rPr>
  </w:style>
  <w:style w:type="paragraph" w:styleId="CommentText">
    <w:name w:val="annotation text"/>
    <w:basedOn w:val="Normal"/>
    <w:link w:val="CommentTextChar"/>
    <w:rsid w:val="00C30C91"/>
    <w:rPr>
      <w:sz w:val="20"/>
    </w:rPr>
  </w:style>
  <w:style w:type="character" w:customStyle="1" w:styleId="CommentTextChar">
    <w:name w:val="Comment Text Char"/>
    <w:basedOn w:val="DefaultParagraphFont"/>
    <w:link w:val="CommentText"/>
    <w:rsid w:val="00C30C91"/>
    <w:rPr>
      <w:rFonts w:ascii="Arial" w:hAnsi="Arial"/>
    </w:rPr>
  </w:style>
  <w:style w:type="paragraph" w:styleId="CommentSubject">
    <w:name w:val="annotation subject"/>
    <w:basedOn w:val="CommentText"/>
    <w:next w:val="CommentText"/>
    <w:link w:val="CommentSubjectChar"/>
    <w:rsid w:val="00C30C91"/>
    <w:rPr>
      <w:b/>
      <w:bCs/>
    </w:rPr>
  </w:style>
  <w:style w:type="character" w:customStyle="1" w:styleId="CommentSubjectChar">
    <w:name w:val="Comment Subject Char"/>
    <w:basedOn w:val="CommentTextChar"/>
    <w:link w:val="CommentSubject"/>
    <w:rsid w:val="00C30C91"/>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3D9A"/>
    <w:rPr>
      <w:color w:val="0000FF"/>
      <w:u w:val="single"/>
    </w:rPr>
  </w:style>
  <w:style w:type="character" w:styleId="FollowedHyperlink">
    <w:name w:val="FollowedHyperlink"/>
    <w:rsid w:val="00F3256B"/>
    <w:rPr>
      <w:color w:val="0000FF"/>
      <w:u w:val="single"/>
    </w:rPr>
  </w:style>
  <w:style w:type="paragraph" w:customStyle="1" w:styleId="paragraphstyle3">
    <w:name w:val="paragraph_style_3"/>
    <w:basedOn w:val="Normal"/>
    <w:rsid w:val="00CE2EF7"/>
    <w:pPr>
      <w:tabs>
        <w:tab w:val="clear" w:pos="1260"/>
        <w:tab w:val="clear" w:pos="1980"/>
        <w:tab w:val="clear" w:pos="2700"/>
        <w:tab w:val="clear" w:pos="3420"/>
      </w:tabs>
      <w:spacing w:line="240" w:lineRule="atLeast"/>
    </w:pPr>
    <w:rPr>
      <w:rFonts w:ascii="Times New Roman" w:hAnsi="Times New Roman"/>
      <w:color w:val="000000"/>
      <w:sz w:val="21"/>
      <w:szCs w:val="21"/>
    </w:rPr>
  </w:style>
  <w:style w:type="paragraph" w:styleId="ListParagraph">
    <w:name w:val="List Paragraph"/>
    <w:basedOn w:val="Normal"/>
    <w:uiPriority w:val="34"/>
    <w:qFormat/>
    <w:rsid w:val="0075053D"/>
    <w:pPr>
      <w:ind w:left="720"/>
      <w:contextualSpacing/>
    </w:pPr>
  </w:style>
  <w:style w:type="character" w:customStyle="1" w:styleId="FooterChar">
    <w:name w:val="Footer Char"/>
    <w:basedOn w:val="DefaultParagraphFont"/>
    <w:link w:val="Footer"/>
    <w:uiPriority w:val="99"/>
    <w:rsid w:val="000C188E"/>
    <w:rPr>
      <w:rFonts w:ascii="Arial" w:hAnsi="Arial"/>
      <w:sz w:val="22"/>
    </w:rPr>
  </w:style>
  <w:style w:type="character" w:styleId="CommentReference">
    <w:name w:val="annotation reference"/>
    <w:basedOn w:val="DefaultParagraphFont"/>
    <w:rsid w:val="00C30C91"/>
    <w:rPr>
      <w:sz w:val="16"/>
      <w:szCs w:val="16"/>
    </w:rPr>
  </w:style>
  <w:style w:type="paragraph" w:styleId="CommentText">
    <w:name w:val="annotation text"/>
    <w:basedOn w:val="Normal"/>
    <w:link w:val="CommentTextChar"/>
    <w:rsid w:val="00C30C91"/>
    <w:rPr>
      <w:sz w:val="20"/>
    </w:rPr>
  </w:style>
  <w:style w:type="character" w:customStyle="1" w:styleId="CommentTextChar">
    <w:name w:val="Comment Text Char"/>
    <w:basedOn w:val="DefaultParagraphFont"/>
    <w:link w:val="CommentText"/>
    <w:rsid w:val="00C30C91"/>
    <w:rPr>
      <w:rFonts w:ascii="Arial" w:hAnsi="Arial"/>
    </w:rPr>
  </w:style>
  <w:style w:type="paragraph" w:styleId="CommentSubject">
    <w:name w:val="annotation subject"/>
    <w:basedOn w:val="CommentText"/>
    <w:next w:val="CommentText"/>
    <w:link w:val="CommentSubjectChar"/>
    <w:rsid w:val="00C30C91"/>
    <w:rPr>
      <w:b/>
      <w:bCs/>
    </w:rPr>
  </w:style>
  <w:style w:type="character" w:customStyle="1" w:styleId="CommentSubjectChar">
    <w:name w:val="Comment Subject Char"/>
    <w:basedOn w:val="CommentTextChar"/>
    <w:link w:val="CommentSubject"/>
    <w:rsid w:val="00C30C9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1422">
      <w:bodyDiv w:val="1"/>
      <w:marLeft w:val="0"/>
      <w:marRight w:val="0"/>
      <w:marTop w:val="0"/>
      <w:marBottom w:val="0"/>
      <w:divBdr>
        <w:top w:val="none" w:sz="0" w:space="0" w:color="auto"/>
        <w:left w:val="none" w:sz="0" w:space="0" w:color="auto"/>
        <w:bottom w:val="none" w:sz="0" w:space="0" w:color="auto"/>
        <w:right w:val="none" w:sz="0" w:space="0" w:color="auto"/>
      </w:divBdr>
    </w:div>
    <w:div w:id="244190667">
      <w:bodyDiv w:val="1"/>
      <w:marLeft w:val="0"/>
      <w:marRight w:val="0"/>
      <w:marTop w:val="0"/>
      <w:marBottom w:val="0"/>
      <w:divBdr>
        <w:top w:val="none" w:sz="0" w:space="0" w:color="auto"/>
        <w:left w:val="none" w:sz="0" w:space="0" w:color="auto"/>
        <w:bottom w:val="none" w:sz="0" w:space="0" w:color="auto"/>
        <w:right w:val="none" w:sz="0" w:space="0" w:color="auto"/>
      </w:divBdr>
    </w:div>
    <w:div w:id="593586022">
      <w:bodyDiv w:val="1"/>
      <w:marLeft w:val="0"/>
      <w:marRight w:val="0"/>
      <w:marTop w:val="0"/>
      <w:marBottom w:val="0"/>
      <w:divBdr>
        <w:top w:val="none" w:sz="0" w:space="0" w:color="auto"/>
        <w:left w:val="none" w:sz="0" w:space="0" w:color="auto"/>
        <w:bottom w:val="none" w:sz="0" w:space="0" w:color="auto"/>
        <w:right w:val="none" w:sz="0" w:space="0" w:color="auto"/>
      </w:divBdr>
    </w:div>
    <w:div w:id="623998868">
      <w:bodyDiv w:val="1"/>
      <w:marLeft w:val="0"/>
      <w:marRight w:val="0"/>
      <w:marTop w:val="0"/>
      <w:marBottom w:val="0"/>
      <w:divBdr>
        <w:top w:val="none" w:sz="0" w:space="0" w:color="auto"/>
        <w:left w:val="none" w:sz="0" w:space="0" w:color="auto"/>
        <w:bottom w:val="none" w:sz="0" w:space="0" w:color="auto"/>
        <w:right w:val="none" w:sz="0" w:space="0" w:color="auto"/>
      </w:divBdr>
    </w:div>
    <w:div w:id="896818994">
      <w:bodyDiv w:val="1"/>
      <w:marLeft w:val="0"/>
      <w:marRight w:val="0"/>
      <w:marTop w:val="0"/>
      <w:marBottom w:val="0"/>
      <w:divBdr>
        <w:top w:val="none" w:sz="0" w:space="0" w:color="auto"/>
        <w:left w:val="none" w:sz="0" w:space="0" w:color="auto"/>
        <w:bottom w:val="none" w:sz="0" w:space="0" w:color="auto"/>
        <w:right w:val="none" w:sz="0" w:space="0" w:color="auto"/>
      </w:divBdr>
    </w:div>
    <w:div w:id="922376489">
      <w:bodyDiv w:val="1"/>
      <w:marLeft w:val="0"/>
      <w:marRight w:val="0"/>
      <w:marTop w:val="0"/>
      <w:marBottom w:val="0"/>
      <w:divBdr>
        <w:top w:val="none" w:sz="0" w:space="0" w:color="auto"/>
        <w:left w:val="none" w:sz="0" w:space="0" w:color="auto"/>
        <w:bottom w:val="none" w:sz="0" w:space="0" w:color="auto"/>
        <w:right w:val="none" w:sz="0" w:space="0" w:color="auto"/>
      </w:divBdr>
    </w:div>
    <w:div w:id="1035039646">
      <w:bodyDiv w:val="1"/>
      <w:marLeft w:val="0"/>
      <w:marRight w:val="0"/>
      <w:marTop w:val="0"/>
      <w:marBottom w:val="0"/>
      <w:divBdr>
        <w:top w:val="none" w:sz="0" w:space="0" w:color="auto"/>
        <w:left w:val="none" w:sz="0" w:space="0" w:color="auto"/>
        <w:bottom w:val="none" w:sz="0" w:space="0" w:color="auto"/>
        <w:right w:val="none" w:sz="0" w:space="0" w:color="auto"/>
      </w:divBdr>
    </w:div>
    <w:div w:id="1079445645">
      <w:bodyDiv w:val="1"/>
      <w:marLeft w:val="0"/>
      <w:marRight w:val="0"/>
      <w:marTop w:val="0"/>
      <w:marBottom w:val="0"/>
      <w:divBdr>
        <w:top w:val="none" w:sz="0" w:space="0" w:color="auto"/>
        <w:left w:val="none" w:sz="0" w:space="0" w:color="auto"/>
        <w:bottom w:val="none" w:sz="0" w:space="0" w:color="auto"/>
        <w:right w:val="none" w:sz="0" w:space="0" w:color="auto"/>
      </w:divBdr>
    </w:div>
    <w:div w:id="1288244969">
      <w:bodyDiv w:val="1"/>
      <w:marLeft w:val="0"/>
      <w:marRight w:val="0"/>
      <w:marTop w:val="0"/>
      <w:marBottom w:val="0"/>
      <w:divBdr>
        <w:top w:val="none" w:sz="0" w:space="0" w:color="auto"/>
        <w:left w:val="none" w:sz="0" w:space="0" w:color="auto"/>
        <w:bottom w:val="none" w:sz="0" w:space="0" w:color="auto"/>
        <w:right w:val="none" w:sz="0" w:space="0" w:color="auto"/>
      </w:divBdr>
    </w:div>
    <w:div w:id="150374418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93433598">
          <w:marLeft w:val="0"/>
          <w:marRight w:val="0"/>
          <w:marTop w:val="0"/>
          <w:marBottom w:val="0"/>
          <w:divBdr>
            <w:top w:val="none" w:sz="0" w:space="0" w:color="auto"/>
            <w:left w:val="none" w:sz="0" w:space="0" w:color="auto"/>
            <w:bottom w:val="none" w:sz="0" w:space="0" w:color="auto"/>
            <w:right w:val="none" w:sz="0" w:space="0" w:color="auto"/>
          </w:divBdr>
          <w:divsChild>
            <w:div w:id="1997343730">
              <w:marLeft w:val="0"/>
              <w:marRight w:val="0"/>
              <w:marTop w:val="0"/>
              <w:marBottom w:val="0"/>
              <w:divBdr>
                <w:top w:val="none" w:sz="0" w:space="0" w:color="auto"/>
                <w:left w:val="none" w:sz="0" w:space="0" w:color="auto"/>
                <w:bottom w:val="none" w:sz="0" w:space="0" w:color="auto"/>
                <w:right w:val="none" w:sz="0" w:space="0" w:color="auto"/>
              </w:divBdr>
              <w:divsChild>
                <w:div w:id="1276710783">
                  <w:marLeft w:val="0"/>
                  <w:marRight w:val="0"/>
                  <w:marTop w:val="0"/>
                  <w:marBottom w:val="0"/>
                  <w:divBdr>
                    <w:top w:val="none" w:sz="0" w:space="0" w:color="auto"/>
                    <w:left w:val="none" w:sz="0" w:space="0" w:color="auto"/>
                    <w:bottom w:val="none" w:sz="0" w:space="0" w:color="auto"/>
                    <w:right w:val="none" w:sz="0" w:space="0" w:color="auto"/>
                  </w:divBdr>
                  <w:divsChild>
                    <w:div w:id="239293925">
                      <w:marLeft w:val="0"/>
                      <w:marRight w:val="0"/>
                      <w:marTop w:val="0"/>
                      <w:marBottom w:val="0"/>
                      <w:divBdr>
                        <w:top w:val="none" w:sz="0" w:space="0" w:color="auto"/>
                        <w:left w:val="none" w:sz="0" w:space="0" w:color="auto"/>
                        <w:bottom w:val="none" w:sz="0" w:space="0" w:color="auto"/>
                        <w:right w:val="none" w:sz="0" w:space="0" w:color="auto"/>
                      </w:divBdr>
                      <w:divsChild>
                        <w:div w:id="1695568075">
                          <w:marLeft w:val="0"/>
                          <w:marRight w:val="0"/>
                          <w:marTop w:val="0"/>
                          <w:marBottom w:val="150"/>
                          <w:divBdr>
                            <w:top w:val="none" w:sz="0" w:space="0" w:color="auto"/>
                            <w:left w:val="none" w:sz="0" w:space="0" w:color="auto"/>
                            <w:bottom w:val="none" w:sz="0" w:space="0" w:color="auto"/>
                            <w:right w:val="none" w:sz="0" w:space="0" w:color="auto"/>
                          </w:divBdr>
                          <w:divsChild>
                            <w:div w:id="2066296704">
                              <w:marLeft w:val="0"/>
                              <w:marRight w:val="0"/>
                              <w:marTop w:val="0"/>
                              <w:marBottom w:val="30"/>
                              <w:divBdr>
                                <w:top w:val="none" w:sz="0" w:space="0" w:color="auto"/>
                                <w:left w:val="none" w:sz="0" w:space="0" w:color="auto"/>
                                <w:bottom w:val="dotted" w:sz="6" w:space="2" w:color="999999"/>
                                <w:right w:val="none" w:sz="0" w:space="0" w:color="auto"/>
                              </w:divBdr>
                              <w:divsChild>
                                <w:div w:id="2286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046015">
      <w:bodyDiv w:val="1"/>
      <w:marLeft w:val="0"/>
      <w:marRight w:val="0"/>
      <w:marTop w:val="0"/>
      <w:marBottom w:val="0"/>
      <w:divBdr>
        <w:top w:val="none" w:sz="0" w:space="0" w:color="auto"/>
        <w:left w:val="none" w:sz="0" w:space="0" w:color="auto"/>
        <w:bottom w:val="none" w:sz="0" w:space="0" w:color="auto"/>
        <w:right w:val="none" w:sz="0" w:space="0" w:color="auto"/>
      </w:divBdr>
    </w:div>
    <w:div w:id="205850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DB61E-5196-4702-92C9-132560FB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699</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Report: Executive Cttee 05.09.11: part i - (05) budget monitoirng month 4 (july 2011)</vt:lpstr>
    </vt:vector>
  </TitlesOfParts>
  <Company>Pre-installed Company</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Executive Cttee 05.09.11: part i - (05) budget monitoirng month 4 (july 2011)</dc:title>
  <dc:creator>David Gardner</dc:creator>
  <cp:lastModifiedBy>Helen Wailling</cp:lastModifiedBy>
  <cp:revision>4</cp:revision>
  <cp:lastPrinted>2017-03-02T17:01:00Z</cp:lastPrinted>
  <dcterms:created xsi:type="dcterms:W3CDTF">2017-03-06T12:22:00Z</dcterms:created>
  <dcterms:modified xsi:type="dcterms:W3CDTF">2017-03-06T12:26:00Z</dcterms:modified>
</cp:coreProperties>
</file>