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FA" w:rsidRDefault="00BF34FA">
      <w:pPr>
        <w:rPr>
          <w:color w:val="008000"/>
        </w:rPr>
      </w:pPr>
    </w:p>
    <w:p w:rsidR="00BF34FA" w:rsidRDefault="00BF34FA">
      <w:pPr>
        <w:jc w:val="left"/>
      </w:pPr>
    </w:p>
    <w:p w:rsidR="00DE754C" w:rsidRDefault="00DE754C" w:rsidP="00DE754C">
      <w:pPr>
        <w:jc w:val="center"/>
        <w:rPr>
          <w:b/>
        </w:rPr>
      </w:pPr>
      <w:r>
        <w:rPr>
          <w:b/>
        </w:rPr>
        <w:t>LE</w:t>
      </w:r>
      <w:r w:rsidR="00B5043F">
        <w:rPr>
          <w:b/>
        </w:rPr>
        <w:t>I</w:t>
      </w:r>
      <w:r>
        <w:rPr>
          <w:b/>
        </w:rPr>
        <w:t>SURE, WELLBEING AND HEALTH COMMITTEE</w:t>
      </w:r>
    </w:p>
    <w:p w:rsidR="00DE754C" w:rsidRDefault="00DE754C">
      <w:pPr>
        <w:jc w:val="left"/>
        <w:rPr>
          <w:b/>
        </w:rPr>
      </w:pPr>
    </w:p>
    <w:p w:rsidR="00BF34FA" w:rsidRDefault="00044327">
      <w:pPr>
        <w:jc w:val="center"/>
        <w:rPr>
          <w:b/>
          <w:i/>
        </w:rPr>
      </w:pPr>
      <w:r>
        <w:rPr>
          <w:b/>
        </w:rPr>
        <w:t>22 MARCH 2017</w:t>
      </w:r>
      <w:r w:rsidR="00BF34FA">
        <w:rPr>
          <w:b/>
        </w:rPr>
        <w:fldChar w:fldCharType="begin"/>
      </w:r>
      <w:r w:rsidR="00BF34FA">
        <w:rPr>
          <w:b/>
        </w:rPr>
        <w:instrText xml:space="preserve">  </w:instrText>
      </w:r>
      <w:r w:rsidR="00BF34FA">
        <w:rPr>
          <w:b/>
        </w:rPr>
        <w:fldChar w:fldCharType="end"/>
      </w:r>
      <w:r w:rsidR="00BF34FA">
        <w:rPr>
          <w:b/>
        </w:rPr>
        <w:fldChar w:fldCharType="begin"/>
      </w:r>
      <w:r w:rsidR="00BF34FA">
        <w:rPr>
          <w:b/>
        </w:rPr>
        <w:instrText xml:space="preserve">  </w:instrText>
      </w:r>
      <w:r w:rsidR="00BF34FA">
        <w:rPr>
          <w:b/>
        </w:rPr>
        <w:fldChar w:fldCharType="end"/>
      </w:r>
      <w:r w:rsidR="00BF34FA">
        <w:rPr>
          <w:b/>
        </w:rPr>
        <w:fldChar w:fldCharType="begin"/>
      </w:r>
      <w:r w:rsidR="00BF34FA">
        <w:rPr>
          <w:b/>
        </w:rPr>
        <w:instrText xml:space="preserve">  </w:instrText>
      </w:r>
      <w:r w:rsidR="00BF34FA">
        <w:rPr>
          <w:b/>
        </w:rPr>
        <w:fldChar w:fldCharType="end"/>
      </w:r>
    </w:p>
    <w:p w:rsidR="00BF34FA" w:rsidRDefault="00BF34FA">
      <w:pPr>
        <w:jc w:val="center"/>
      </w:pPr>
    </w:p>
    <w:p w:rsidR="00BF34FA" w:rsidRDefault="00BF34FA">
      <w:pPr>
        <w:jc w:val="center"/>
        <w:rPr>
          <w:b/>
        </w:rPr>
      </w:pPr>
      <w:r>
        <w:rPr>
          <w:b/>
        </w:rPr>
        <w:t xml:space="preserve">PART </w:t>
      </w:r>
      <w:r>
        <w:rPr>
          <w:b/>
        </w:rPr>
        <w:fldChar w:fldCharType="begin"/>
      </w:r>
      <w:r>
        <w:rPr>
          <w:b/>
        </w:rPr>
        <w:instrText xml:space="preserve">  </w:instrText>
      </w:r>
      <w:r>
        <w:rPr>
          <w:b/>
        </w:rPr>
        <w:fldChar w:fldCharType="end"/>
      </w:r>
      <w:r>
        <w:rPr>
          <w:b/>
        </w:rPr>
        <w:t xml:space="preserve">I - </w:t>
      </w:r>
      <w:r>
        <w:rPr>
          <w:b/>
        </w:rPr>
        <w:fldChar w:fldCharType="begin"/>
      </w:r>
      <w:r>
        <w:rPr>
          <w:b/>
        </w:rPr>
        <w:instrText xml:space="preserve">  </w:instrText>
      </w:r>
      <w:r>
        <w:rPr>
          <w:b/>
        </w:rPr>
        <w:fldChar w:fldCharType="end"/>
      </w:r>
      <w:r>
        <w:rPr>
          <w:b/>
        </w:rPr>
        <w:t xml:space="preserve">DELEGATED </w:t>
      </w:r>
      <w:r>
        <w:rPr>
          <w:b/>
        </w:rPr>
        <w:fldChar w:fldCharType="begin"/>
      </w:r>
      <w:r>
        <w:rPr>
          <w:b/>
        </w:rPr>
        <w:instrText xml:space="preserve">  </w:instrText>
      </w:r>
      <w:r>
        <w:rPr>
          <w:b/>
        </w:rPr>
        <w:fldChar w:fldCharType="end"/>
      </w:r>
    </w:p>
    <w:p w:rsidR="00BF34FA" w:rsidRDefault="00BF34FA">
      <w:pPr>
        <w:jc w:val="center"/>
      </w:pPr>
    </w:p>
    <w:p w:rsidR="00BF34FA" w:rsidRDefault="00BF34FA">
      <w:pPr>
        <w:keepNext/>
        <w:ind w:left="1267" w:hanging="1267"/>
        <w:rPr>
          <w:b/>
          <w:i/>
          <w:color w:val="008000"/>
        </w:rPr>
      </w:pPr>
      <w:r>
        <w:rPr>
          <w:b/>
        </w:rPr>
        <w:fldChar w:fldCharType="begin"/>
      </w:r>
      <w:r>
        <w:rPr>
          <w:b/>
        </w:rPr>
        <w:instrText xml:space="preserve">  </w:instrText>
      </w:r>
      <w:r>
        <w:rPr>
          <w:b/>
        </w:rPr>
        <w:fldChar w:fldCharType="end"/>
      </w:r>
      <w:r w:rsidR="00193933">
        <w:rPr>
          <w:b/>
        </w:rPr>
        <w:t>10.</w:t>
      </w:r>
      <w:r>
        <w:rPr>
          <w:b/>
        </w:rPr>
        <w:tab/>
      </w:r>
      <w:r w:rsidR="00044327">
        <w:rPr>
          <w:b/>
        </w:rPr>
        <w:t>PHYSCIAL ACTIVITY STRATEGY TARGETS</w:t>
      </w:r>
      <w:r>
        <w:rPr>
          <w:b/>
        </w:rPr>
        <w:fldChar w:fldCharType="begin"/>
      </w:r>
      <w:r>
        <w:rPr>
          <w:b/>
        </w:rPr>
        <w:instrText xml:space="preserve">  </w:instrText>
      </w:r>
      <w:r>
        <w:rPr>
          <w:b/>
        </w:rPr>
        <w:fldChar w:fldCharType="end"/>
      </w:r>
    </w:p>
    <w:p w:rsidR="00BF34FA" w:rsidRDefault="00BF34FA">
      <w:pPr>
        <w:keepNext/>
        <w:ind w:left="1267" w:hanging="1267"/>
        <w:rPr>
          <w:b/>
          <w:i/>
          <w:color w:val="008000"/>
        </w:rPr>
      </w:pPr>
      <w:r>
        <w:rPr>
          <w:b/>
        </w:rPr>
        <w:tab/>
      </w:r>
      <w:r>
        <w:t>(CED)</w:t>
      </w:r>
      <w:r>
        <w:fldChar w:fldCharType="begin"/>
      </w:r>
      <w:r>
        <w:instrText xml:space="preserve">  </w:instrText>
      </w:r>
      <w:r>
        <w:fldChar w:fldCharType="end"/>
      </w:r>
      <w:r w:rsidR="00044327" w:rsidDel="00044327">
        <w:t xml:space="preserve"> </w:t>
      </w:r>
    </w:p>
    <w:p w:rsidR="00BF34FA" w:rsidRDefault="00BF34FA" w:rsidP="00193933"/>
    <w:p w:rsidR="00BF34FA" w:rsidRDefault="00BF34FA">
      <w:pPr>
        <w:keepNext/>
        <w:ind w:left="1267" w:hanging="1267"/>
      </w:pPr>
      <w:r>
        <w:t>1.</w:t>
      </w:r>
      <w:r>
        <w:tab/>
      </w:r>
      <w:r>
        <w:rPr>
          <w:b/>
        </w:rPr>
        <w:t>Summary</w:t>
      </w:r>
    </w:p>
    <w:p w:rsidR="00BF34FA" w:rsidRDefault="00BF34FA">
      <w:pPr>
        <w:keepNext/>
        <w:ind w:left="1267" w:hanging="1267"/>
      </w:pPr>
    </w:p>
    <w:p w:rsidR="00BF34FA" w:rsidRDefault="00BF34FA">
      <w:pPr>
        <w:ind w:left="1267" w:hanging="1267"/>
      </w:pPr>
      <w:r>
        <w:t>1.1</w:t>
      </w:r>
      <w:r>
        <w:tab/>
      </w:r>
      <w:r w:rsidR="006E1D38">
        <w:t xml:space="preserve">This report reviews the performance indicators for the Physical Activity Strategy agreed on 3 June 2015 and recommends new indicators and targets for the next three years. </w:t>
      </w:r>
      <w:r>
        <w:fldChar w:fldCharType="begin"/>
      </w:r>
      <w:r>
        <w:instrText xml:space="preserve">  </w:instrText>
      </w:r>
      <w:r>
        <w:fldChar w:fldCharType="end"/>
      </w:r>
    </w:p>
    <w:p w:rsidR="00BF34FA" w:rsidRDefault="00BF34FA">
      <w:pPr>
        <w:ind w:left="1267" w:hanging="1267"/>
      </w:pPr>
    </w:p>
    <w:p w:rsidR="00BF34FA" w:rsidRDefault="00BF34FA">
      <w:pPr>
        <w:keepNext/>
        <w:ind w:left="1267" w:hanging="1267"/>
        <w:rPr>
          <w:b/>
        </w:rPr>
      </w:pPr>
      <w:r>
        <w:t>2.</w:t>
      </w:r>
      <w:r>
        <w:tab/>
      </w:r>
      <w:r>
        <w:rPr>
          <w:b/>
        </w:rPr>
        <w:t>Details</w:t>
      </w:r>
    </w:p>
    <w:p w:rsidR="00BF34FA" w:rsidRDefault="00BF34FA">
      <w:pPr>
        <w:keepNext/>
        <w:ind w:left="1267" w:hanging="1267"/>
        <w:rPr>
          <w:b/>
          <w:u w:val="single"/>
        </w:rPr>
      </w:pPr>
    </w:p>
    <w:p w:rsidR="00BF34FA" w:rsidRDefault="00BF34FA">
      <w:pPr>
        <w:ind w:left="1267" w:hanging="1267"/>
      </w:pPr>
      <w:r>
        <w:t>2.1</w:t>
      </w:r>
      <w:r>
        <w:tab/>
      </w:r>
      <w:r w:rsidR="006E1D38">
        <w:t xml:space="preserve">At its meeting on 3 June 2015 the Committee agreed the Three Rivers Physical Activity Strategy 2015-18, and its associated key performance indicators (minute refers). The indicators and targets agreed are shown in table 1. </w:t>
      </w:r>
      <w:r w:rsidR="006E1D38">
        <w:br/>
      </w:r>
      <w:r>
        <w:fldChar w:fldCharType="begin"/>
      </w:r>
      <w:r>
        <w:instrText xml:space="preserve">  </w:instrText>
      </w:r>
      <w:r>
        <w:fldChar w:fldCharType="end"/>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5"/>
        <w:gridCol w:w="976"/>
        <w:gridCol w:w="918"/>
        <w:gridCol w:w="919"/>
        <w:gridCol w:w="918"/>
      </w:tblGrid>
      <w:tr w:rsidR="006E1D38" w:rsidRPr="002A5A31" w:rsidTr="006E1D38">
        <w:tc>
          <w:tcPr>
            <w:tcW w:w="6663"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Indicator</w:t>
            </w:r>
          </w:p>
        </w:tc>
        <w:tc>
          <w:tcPr>
            <w:tcW w:w="992"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Baseline</w:t>
            </w:r>
          </w:p>
        </w:tc>
        <w:tc>
          <w:tcPr>
            <w:tcW w:w="992"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2016</w:t>
            </w:r>
          </w:p>
        </w:tc>
        <w:tc>
          <w:tcPr>
            <w:tcW w:w="993"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2017</w:t>
            </w:r>
          </w:p>
        </w:tc>
        <w:tc>
          <w:tcPr>
            <w:tcW w:w="992"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2018</w:t>
            </w:r>
          </w:p>
        </w:tc>
      </w:tr>
      <w:tr w:rsidR="006E1D38" w:rsidRPr="002A5A31" w:rsidTr="006E1D38">
        <w:tc>
          <w:tcPr>
            <w:tcW w:w="6663"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KPI 1: To achieve a year on year reduction in the level of physical inactivity of adults in Three Rivers (less than 30 minutes per week.)</w:t>
            </w:r>
          </w:p>
        </w:tc>
        <w:tc>
          <w:tcPr>
            <w:tcW w:w="992"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29%</w:t>
            </w:r>
          </w:p>
        </w:tc>
        <w:tc>
          <w:tcPr>
            <w:tcW w:w="992"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28%</w:t>
            </w:r>
          </w:p>
        </w:tc>
        <w:tc>
          <w:tcPr>
            <w:tcW w:w="993"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27%</w:t>
            </w:r>
          </w:p>
        </w:tc>
        <w:tc>
          <w:tcPr>
            <w:tcW w:w="992"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26%</w:t>
            </w:r>
          </w:p>
        </w:tc>
      </w:tr>
      <w:tr w:rsidR="006E1D38" w:rsidRPr="002A5A31" w:rsidTr="006E1D38">
        <w:tc>
          <w:tcPr>
            <w:tcW w:w="6663"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KPI 2: To achieve a year on year increase in the number of adults who are active to the recommended level  (150 minutes per week)</w:t>
            </w:r>
          </w:p>
        </w:tc>
        <w:tc>
          <w:tcPr>
            <w:tcW w:w="992"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53.3%</w:t>
            </w:r>
          </w:p>
        </w:tc>
        <w:tc>
          <w:tcPr>
            <w:tcW w:w="992"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54%</w:t>
            </w:r>
          </w:p>
        </w:tc>
        <w:tc>
          <w:tcPr>
            <w:tcW w:w="993"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55%</w:t>
            </w:r>
          </w:p>
        </w:tc>
        <w:tc>
          <w:tcPr>
            <w:tcW w:w="992"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56%</w:t>
            </w:r>
          </w:p>
        </w:tc>
      </w:tr>
      <w:tr w:rsidR="006E1D38" w:rsidRPr="002A5A31" w:rsidTr="006E1D38">
        <w:tc>
          <w:tcPr>
            <w:tcW w:w="6663"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KPI 3: To achieve a year on year increase in the number of adults participating in sport for (1 x 30 minutes per week)</w:t>
            </w:r>
          </w:p>
        </w:tc>
        <w:tc>
          <w:tcPr>
            <w:tcW w:w="992"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36.9%</w:t>
            </w:r>
          </w:p>
        </w:tc>
        <w:tc>
          <w:tcPr>
            <w:tcW w:w="992"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38%</w:t>
            </w:r>
          </w:p>
        </w:tc>
        <w:tc>
          <w:tcPr>
            <w:tcW w:w="993"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39%</w:t>
            </w:r>
          </w:p>
        </w:tc>
        <w:tc>
          <w:tcPr>
            <w:tcW w:w="992" w:type="dxa"/>
            <w:vAlign w:val="center"/>
          </w:tcPr>
          <w:p w:rsidR="006E1D38" w:rsidRPr="00193C50" w:rsidRDefault="006E1D38" w:rsidP="006E1D38">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40%</w:t>
            </w:r>
          </w:p>
        </w:tc>
      </w:tr>
    </w:tbl>
    <w:p w:rsidR="006E1D38" w:rsidRDefault="006E1D38">
      <w:pPr>
        <w:ind w:left="1267" w:hanging="1267"/>
      </w:pPr>
      <w:r>
        <w:t>Table 1: Key performance indicators and targets.</w:t>
      </w:r>
    </w:p>
    <w:p w:rsidR="006E1D38" w:rsidRDefault="006E1D38">
      <w:pPr>
        <w:ind w:left="1267" w:hanging="1267"/>
      </w:pPr>
    </w:p>
    <w:p w:rsidR="006E1D38" w:rsidRDefault="006E1D38">
      <w:pPr>
        <w:ind w:left="1267" w:hanging="1267"/>
      </w:pPr>
      <w:r>
        <w:t>2.2</w:t>
      </w:r>
      <w:r>
        <w:tab/>
        <w:t xml:space="preserve">The indicators used when agreeing the strategy were those collected through the Active People Survey conducted by Sport England. The latest and last data to be collected through this annual survey were published in December 2016 and cover the year ending in September 2016. The results for Three Rivers are shown in Table 2 for this last data point. </w:t>
      </w:r>
    </w:p>
    <w:p w:rsidR="006E1D38" w:rsidRDefault="006E1D38">
      <w:pPr>
        <w:ind w:left="1267" w:hanging="1267"/>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8"/>
        <w:gridCol w:w="1060"/>
        <w:gridCol w:w="959"/>
        <w:gridCol w:w="960"/>
        <w:gridCol w:w="960"/>
        <w:gridCol w:w="959"/>
      </w:tblGrid>
      <w:tr w:rsidR="00057F6E" w:rsidRPr="002A5A31" w:rsidTr="00193C50">
        <w:tc>
          <w:tcPr>
            <w:tcW w:w="5418" w:type="dxa"/>
            <w:vAlign w:val="center"/>
          </w:tcPr>
          <w:p w:rsidR="00057F6E" w:rsidRPr="00193C50" w:rsidRDefault="00057F6E" w:rsidP="004139A1">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Indicator</w:t>
            </w:r>
          </w:p>
        </w:tc>
        <w:tc>
          <w:tcPr>
            <w:tcW w:w="1060" w:type="dxa"/>
            <w:vAlign w:val="center"/>
          </w:tcPr>
          <w:p w:rsidR="00057F6E" w:rsidRPr="00193C50" w:rsidRDefault="00057F6E" w:rsidP="004139A1">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Baseline</w:t>
            </w:r>
          </w:p>
        </w:tc>
        <w:tc>
          <w:tcPr>
            <w:tcW w:w="959" w:type="dxa"/>
            <w:vAlign w:val="center"/>
          </w:tcPr>
          <w:p w:rsidR="00057F6E" w:rsidRPr="00193C50" w:rsidRDefault="00057F6E" w:rsidP="004139A1">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Target 2016</w:t>
            </w:r>
          </w:p>
        </w:tc>
        <w:tc>
          <w:tcPr>
            <w:tcW w:w="960" w:type="dxa"/>
          </w:tcPr>
          <w:p w:rsidR="00057F6E" w:rsidRPr="00193C50" w:rsidRDefault="00057F6E" w:rsidP="004139A1">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Result</w:t>
            </w:r>
          </w:p>
        </w:tc>
        <w:tc>
          <w:tcPr>
            <w:tcW w:w="960" w:type="dxa"/>
            <w:vAlign w:val="center"/>
          </w:tcPr>
          <w:p w:rsidR="00057F6E" w:rsidRPr="00193C50" w:rsidRDefault="00057F6E" w:rsidP="004139A1">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Target 2017</w:t>
            </w:r>
          </w:p>
        </w:tc>
        <w:tc>
          <w:tcPr>
            <w:tcW w:w="959" w:type="dxa"/>
            <w:vAlign w:val="center"/>
          </w:tcPr>
          <w:p w:rsidR="00057F6E" w:rsidRPr="00193C50" w:rsidRDefault="00057F6E" w:rsidP="004139A1">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Target 2018</w:t>
            </w:r>
          </w:p>
        </w:tc>
      </w:tr>
      <w:tr w:rsidR="00057F6E" w:rsidRPr="002A5A31" w:rsidTr="00193C50">
        <w:tc>
          <w:tcPr>
            <w:tcW w:w="5418" w:type="dxa"/>
            <w:vAlign w:val="center"/>
          </w:tcPr>
          <w:p w:rsidR="00057F6E" w:rsidRPr="00193C50" w:rsidRDefault="00057F6E" w:rsidP="004139A1">
            <w:pPr>
              <w:tabs>
                <w:tab w:val="clear" w:pos="1260"/>
                <w:tab w:val="clear" w:pos="1980"/>
                <w:tab w:val="clear" w:pos="2700"/>
                <w:tab w:val="clear" w:pos="3420"/>
              </w:tabs>
              <w:spacing w:line="276" w:lineRule="auto"/>
              <w:jc w:val="center"/>
              <w:rPr>
                <w:rFonts w:cs="Arial"/>
                <w:sz w:val="18"/>
                <w:szCs w:val="18"/>
                <w:lang w:eastAsia="en-US"/>
              </w:rPr>
            </w:pPr>
            <w:r w:rsidRPr="00193C50">
              <w:rPr>
                <w:rFonts w:ascii="Calibri" w:hAnsi="Calibri"/>
                <w:color w:val="000000"/>
                <w:sz w:val="18"/>
                <w:szCs w:val="18"/>
              </w:rPr>
              <w:t>The proportion of adults aged 16 and over, with valid responses to questions on physical activity, doing less than 30 “equivalent” minutes of at least moderate intensity physical activity per week in bouts of 10 minutes or more in the previous 28 days</w:t>
            </w:r>
          </w:p>
        </w:tc>
        <w:tc>
          <w:tcPr>
            <w:tcW w:w="1060" w:type="dxa"/>
            <w:vAlign w:val="center"/>
          </w:tcPr>
          <w:p w:rsidR="00057F6E" w:rsidRPr="00193C50" w:rsidRDefault="00057F6E" w:rsidP="004139A1">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29%</w:t>
            </w:r>
          </w:p>
        </w:tc>
        <w:tc>
          <w:tcPr>
            <w:tcW w:w="959" w:type="dxa"/>
            <w:vAlign w:val="center"/>
          </w:tcPr>
          <w:p w:rsidR="00057F6E" w:rsidRPr="00193C50" w:rsidRDefault="00057F6E" w:rsidP="004139A1">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28%</w:t>
            </w:r>
          </w:p>
        </w:tc>
        <w:tc>
          <w:tcPr>
            <w:tcW w:w="960" w:type="dxa"/>
            <w:shd w:val="clear" w:color="auto" w:fill="92D050"/>
            <w:vAlign w:val="center"/>
          </w:tcPr>
          <w:p w:rsidR="00057F6E" w:rsidRPr="00193C50" w:rsidRDefault="00057F6E">
            <w:pPr>
              <w:tabs>
                <w:tab w:val="clear" w:pos="1260"/>
                <w:tab w:val="clear" w:pos="1980"/>
                <w:tab w:val="clear" w:pos="2700"/>
                <w:tab w:val="clear" w:pos="3420"/>
              </w:tabs>
              <w:spacing w:line="276" w:lineRule="auto"/>
              <w:jc w:val="center"/>
              <w:rPr>
                <w:rFonts w:cs="Arial"/>
                <w:b/>
                <w:sz w:val="18"/>
                <w:szCs w:val="18"/>
                <w:lang w:eastAsia="en-US"/>
              </w:rPr>
            </w:pPr>
            <w:r w:rsidRPr="00193C50">
              <w:rPr>
                <w:rFonts w:cs="Arial"/>
                <w:b/>
                <w:sz w:val="18"/>
                <w:szCs w:val="18"/>
                <w:lang w:eastAsia="en-US"/>
              </w:rPr>
              <w:t>27.81%</w:t>
            </w:r>
          </w:p>
          <w:p w:rsidR="00057F6E" w:rsidRPr="00193C50" w:rsidRDefault="00057F6E">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(23.97% - 31.66%)</w:t>
            </w:r>
          </w:p>
        </w:tc>
        <w:tc>
          <w:tcPr>
            <w:tcW w:w="960" w:type="dxa"/>
            <w:vAlign w:val="center"/>
          </w:tcPr>
          <w:p w:rsidR="00057F6E" w:rsidRPr="00193C50" w:rsidRDefault="00057F6E" w:rsidP="004139A1">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27%</w:t>
            </w:r>
          </w:p>
        </w:tc>
        <w:tc>
          <w:tcPr>
            <w:tcW w:w="959" w:type="dxa"/>
            <w:vAlign w:val="center"/>
          </w:tcPr>
          <w:p w:rsidR="00057F6E" w:rsidRPr="00193C50" w:rsidRDefault="00057F6E" w:rsidP="004139A1">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26%</w:t>
            </w:r>
          </w:p>
        </w:tc>
      </w:tr>
      <w:tr w:rsidR="00057F6E" w:rsidRPr="002A5A31" w:rsidTr="00193C50">
        <w:tc>
          <w:tcPr>
            <w:tcW w:w="5418" w:type="dxa"/>
            <w:vAlign w:val="center"/>
          </w:tcPr>
          <w:p w:rsidR="00057F6E" w:rsidRPr="00193C50" w:rsidRDefault="00057F6E">
            <w:pPr>
              <w:tabs>
                <w:tab w:val="clear" w:pos="1260"/>
                <w:tab w:val="clear" w:pos="1980"/>
                <w:tab w:val="clear" w:pos="2700"/>
                <w:tab w:val="clear" w:pos="3420"/>
              </w:tabs>
              <w:spacing w:line="276" w:lineRule="auto"/>
              <w:jc w:val="center"/>
              <w:rPr>
                <w:rFonts w:cs="Arial"/>
                <w:sz w:val="18"/>
                <w:szCs w:val="18"/>
                <w:lang w:eastAsia="en-US"/>
              </w:rPr>
            </w:pPr>
            <w:r w:rsidRPr="00193C50">
              <w:rPr>
                <w:rFonts w:ascii="Calibri" w:hAnsi="Calibri"/>
                <w:color w:val="000000"/>
                <w:sz w:val="18"/>
                <w:szCs w:val="18"/>
              </w:rPr>
              <w:t>The proportion of adults aged 16 and over, with valid responses to questions on physical activity, doing at least 150 “equivalent” minutes of at least moderate intensity physical activity per week in bouts of 10 minutes or more in the previous 28 days</w:t>
            </w:r>
          </w:p>
        </w:tc>
        <w:tc>
          <w:tcPr>
            <w:tcW w:w="1060" w:type="dxa"/>
            <w:vAlign w:val="center"/>
          </w:tcPr>
          <w:p w:rsidR="00057F6E" w:rsidRPr="00193C50" w:rsidRDefault="00057F6E" w:rsidP="004139A1">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53.3%</w:t>
            </w:r>
          </w:p>
        </w:tc>
        <w:tc>
          <w:tcPr>
            <w:tcW w:w="959" w:type="dxa"/>
            <w:vAlign w:val="center"/>
          </w:tcPr>
          <w:p w:rsidR="00057F6E" w:rsidRPr="00193C50" w:rsidRDefault="00057F6E" w:rsidP="004139A1">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54%</w:t>
            </w:r>
          </w:p>
        </w:tc>
        <w:tc>
          <w:tcPr>
            <w:tcW w:w="960" w:type="dxa"/>
            <w:shd w:val="clear" w:color="auto" w:fill="92D050"/>
            <w:vAlign w:val="center"/>
          </w:tcPr>
          <w:p w:rsidR="00057F6E" w:rsidRPr="00193C50" w:rsidRDefault="00057F6E">
            <w:pPr>
              <w:tabs>
                <w:tab w:val="clear" w:pos="1260"/>
                <w:tab w:val="clear" w:pos="1980"/>
                <w:tab w:val="clear" w:pos="2700"/>
                <w:tab w:val="clear" w:pos="3420"/>
              </w:tabs>
              <w:spacing w:line="276" w:lineRule="auto"/>
              <w:jc w:val="center"/>
              <w:rPr>
                <w:rFonts w:cs="Arial"/>
                <w:b/>
                <w:sz w:val="18"/>
                <w:szCs w:val="18"/>
                <w:lang w:eastAsia="en-US"/>
              </w:rPr>
            </w:pPr>
            <w:r w:rsidRPr="00193C50">
              <w:rPr>
                <w:rFonts w:cs="Arial"/>
                <w:b/>
                <w:sz w:val="18"/>
                <w:szCs w:val="18"/>
                <w:lang w:eastAsia="en-US"/>
              </w:rPr>
              <w:t>59.83%</w:t>
            </w:r>
          </w:p>
          <w:p w:rsidR="00057F6E" w:rsidRPr="00193C50" w:rsidRDefault="00057F6E">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(55.62% - 64.04%)</w:t>
            </w:r>
          </w:p>
        </w:tc>
        <w:tc>
          <w:tcPr>
            <w:tcW w:w="960" w:type="dxa"/>
            <w:vAlign w:val="center"/>
          </w:tcPr>
          <w:p w:rsidR="00057F6E" w:rsidRPr="00193C50" w:rsidRDefault="00057F6E" w:rsidP="004139A1">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55%</w:t>
            </w:r>
          </w:p>
        </w:tc>
        <w:tc>
          <w:tcPr>
            <w:tcW w:w="959" w:type="dxa"/>
            <w:vAlign w:val="center"/>
          </w:tcPr>
          <w:p w:rsidR="00057F6E" w:rsidRPr="00193C50" w:rsidRDefault="00057F6E" w:rsidP="004139A1">
            <w:pPr>
              <w:tabs>
                <w:tab w:val="clear" w:pos="1260"/>
                <w:tab w:val="clear" w:pos="1980"/>
                <w:tab w:val="clear" w:pos="2700"/>
                <w:tab w:val="clear" w:pos="3420"/>
              </w:tabs>
              <w:spacing w:line="276" w:lineRule="auto"/>
              <w:jc w:val="center"/>
              <w:rPr>
                <w:rFonts w:cs="Arial"/>
                <w:sz w:val="18"/>
                <w:szCs w:val="18"/>
                <w:lang w:eastAsia="en-US"/>
              </w:rPr>
            </w:pPr>
            <w:r w:rsidRPr="00193C50">
              <w:rPr>
                <w:rFonts w:cs="Arial"/>
                <w:sz w:val="18"/>
                <w:szCs w:val="18"/>
                <w:lang w:eastAsia="en-US"/>
              </w:rPr>
              <w:t>56%</w:t>
            </w:r>
          </w:p>
        </w:tc>
      </w:tr>
      <w:tr w:rsidR="005029DD" w:rsidRPr="002A5A31" w:rsidTr="00057F6E">
        <w:tc>
          <w:tcPr>
            <w:tcW w:w="5418" w:type="dxa"/>
            <w:vAlign w:val="center"/>
          </w:tcPr>
          <w:p w:rsidR="005029DD" w:rsidRPr="002A5A31" w:rsidRDefault="005029DD" w:rsidP="00057F6E">
            <w:pPr>
              <w:tabs>
                <w:tab w:val="clear" w:pos="1260"/>
                <w:tab w:val="clear" w:pos="1980"/>
                <w:tab w:val="clear" w:pos="2700"/>
                <w:tab w:val="clear" w:pos="3420"/>
              </w:tabs>
              <w:spacing w:line="276" w:lineRule="auto"/>
              <w:jc w:val="center"/>
              <w:rPr>
                <w:rFonts w:ascii="Calibri" w:hAnsi="Calibri"/>
                <w:color w:val="000000"/>
                <w:sz w:val="18"/>
                <w:szCs w:val="18"/>
              </w:rPr>
            </w:pPr>
            <w:r>
              <w:rPr>
                <w:rFonts w:ascii="Calibri" w:hAnsi="Calibri"/>
                <w:color w:val="000000"/>
                <w:sz w:val="18"/>
                <w:szCs w:val="18"/>
              </w:rPr>
              <w:t>The proportion of adults aged 16 and over participating in sport, of at least moderate intensity, for at least 30 minutes, on at least four days in the last 29 days (excludes recreational walking, and utility cycling)</w:t>
            </w:r>
          </w:p>
        </w:tc>
        <w:tc>
          <w:tcPr>
            <w:tcW w:w="1060" w:type="dxa"/>
            <w:vAlign w:val="center"/>
          </w:tcPr>
          <w:p w:rsidR="005029DD" w:rsidRPr="002A5A31" w:rsidRDefault="005029DD" w:rsidP="004139A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36.9%</w:t>
            </w:r>
          </w:p>
        </w:tc>
        <w:tc>
          <w:tcPr>
            <w:tcW w:w="959" w:type="dxa"/>
            <w:vAlign w:val="center"/>
          </w:tcPr>
          <w:p w:rsidR="005029DD" w:rsidRPr="002A5A31" w:rsidRDefault="005029DD" w:rsidP="004139A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38%</w:t>
            </w:r>
          </w:p>
        </w:tc>
        <w:tc>
          <w:tcPr>
            <w:tcW w:w="960" w:type="dxa"/>
            <w:shd w:val="clear" w:color="auto" w:fill="92D050"/>
            <w:vAlign w:val="center"/>
          </w:tcPr>
          <w:p w:rsidR="001957AD" w:rsidRPr="002A5A31" w:rsidRDefault="005029DD" w:rsidP="001957AD">
            <w:pPr>
              <w:tabs>
                <w:tab w:val="clear" w:pos="1260"/>
                <w:tab w:val="clear" w:pos="1980"/>
                <w:tab w:val="clear" w:pos="2700"/>
                <w:tab w:val="clear" w:pos="3420"/>
              </w:tabs>
              <w:spacing w:line="276" w:lineRule="auto"/>
              <w:jc w:val="center"/>
              <w:rPr>
                <w:rFonts w:cs="Arial"/>
                <w:b/>
                <w:sz w:val="18"/>
                <w:szCs w:val="18"/>
                <w:lang w:eastAsia="en-US"/>
              </w:rPr>
            </w:pPr>
            <w:r>
              <w:rPr>
                <w:rFonts w:cs="Arial"/>
                <w:b/>
                <w:sz w:val="18"/>
                <w:szCs w:val="18"/>
                <w:lang w:eastAsia="en-US"/>
              </w:rPr>
              <w:t>39.9%</w:t>
            </w:r>
          </w:p>
        </w:tc>
        <w:tc>
          <w:tcPr>
            <w:tcW w:w="960" w:type="dxa"/>
            <w:vAlign w:val="center"/>
          </w:tcPr>
          <w:p w:rsidR="005029DD" w:rsidRPr="002A5A31" w:rsidRDefault="005029DD" w:rsidP="004139A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39%</w:t>
            </w:r>
          </w:p>
        </w:tc>
        <w:tc>
          <w:tcPr>
            <w:tcW w:w="959" w:type="dxa"/>
            <w:vAlign w:val="center"/>
          </w:tcPr>
          <w:p w:rsidR="005029DD" w:rsidRPr="002A5A31" w:rsidRDefault="005029DD" w:rsidP="004139A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40%</w:t>
            </w:r>
          </w:p>
        </w:tc>
      </w:tr>
    </w:tbl>
    <w:p w:rsidR="002A5A31" w:rsidRDefault="00077581">
      <w:pPr>
        <w:ind w:left="1267" w:hanging="1267"/>
      </w:pPr>
      <w:r>
        <w:t>Table 2: Final Active People Survey Results Sept 2016, Three Rivers Adults aged 16+</w:t>
      </w:r>
    </w:p>
    <w:p w:rsidR="00057F6E" w:rsidRDefault="00193C50" w:rsidP="00751D2A">
      <w:pPr>
        <w:ind w:left="1267" w:hanging="1267"/>
        <w:jc w:val="left"/>
      </w:pPr>
      <w:r>
        <w:t>Note, () denotes</w:t>
      </w:r>
      <w:r w:rsidR="002D797E">
        <w:t xml:space="preserve"> 95%</w:t>
      </w:r>
      <w:r>
        <w:t xml:space="preserve"> confidence levels.</w:t>
      </w:r>
      <w:r w:rsidR="002A5A31">
        <w:br/>
      </w:r>
    </w:p>
    <w:p w:rsidR="004139A1" w:rsidRDefault="004139A1">
      <w:pPr>
        <w:ind w:left="1267" w:hanging="1267"/>
      </w:pPr>
      <w:r>
        <w:t>2.3</w:t>
      </w:r>
      <w:r>
        <w:tab/>
        <w:t xml:space="preserve">The baseline data used for the performance indicators came from the 2013-14 year results of the Active People Survey as they were the most current data available.  </w:t>
      </w:r>
    </w:p>
    <w:p w:rsidR="00057F6E" w:rsidRDefault="00057F6E">
      <w:pPr>
        <w:ind w:left="1267" w:hanging="1267"/>
      </w:pPr>
    </w:p>
    <w:p w:rsidR="004139A1" w:rsidRDefault="004139A1">
      <w:pPr>
        <w:ind w:left="1267" w:hanging="1267"/>
      </w:pPr>
      <w:r>
        <w:lastRenderedPageBreak/>
        <w:t>2.4</w:t>
      </w:r>
      <w:r>
        <w:tab/>
      </w:r>
      <w:r w:rsidR="005029DD">
        <w:t>The targets for KPIs 1,</w:t>
      </w:r>
      <w:r>
        <w:t xml:space="preserve"> 2</w:t>
      </w:r>
      <w:r w:rsidR="005029DD">
        <w:t xml:space="preserve"> &amp; 3</w:t>
      </w:r>
      <w:r>
        <w:t xml:space="preserve"> for 2016 have been achieved. However it should be noted that the confidence interval for these results (given the sample size of the survey</w:t>
      </w:r>
      <w:r w:rsidR="00751D2A">
        <w:t xml:space="preserve"> which is 521 respondents</w:t>
      </w:r>
      <w:r>
        <w:t>) do</w:t>
      </w:r>
      <w:r w:rsidR="00A6333C">
        <w:t>es</w:t>
      </w:r>
      <w:r>
        <w:t xml:space="preserve"> not provide absolute certainty of this improvement. </w:t>
      </w:r>
      <w:r w:rsidR="00201973">
        <w:t xml:space="preserve">For KPI2 (those achieving 150+ minutes activity per week) the target for 2018 was achieved. </w:t>
      </w:r>
      <w:r w:rsidR="005029DD">
        <w:t>For KPI3 the target for 2017 was achieved</w:t>
      </w:r>
      <w:r w:rsidR="001957AD">
        <w:t xml:space="preserve"> (no confidence interval data is available from Public Health England or Sport England for this specific result)</w:t>
      </w:r>
      <w:r w:rsidR="005029DD">
        <w:t xml:space="preserve">. </w:t>
      </w:r>
      <w:r w:rsidR="00201973">
        <w:t xml:space="preserve"> </w:t>
      </w:r>
    </w:p>
    <w:p w:rsidR="004139A1" w:rsidRDefault="004139A1">
      <w:pPr>
        <w:ind w:left="1267" w:hanging="1267"/>
      </w:pPr>
    </w:p>
    <w:p w:rsidR="004139A1" w:rsidRDefault="004139A1">
      <w:pPr>
        <w:ind w:left="1267" w:hanging="1267"/>
      </w:pPr>
      <w:r>
        <w:t>2.5</w:t>
      </w:r>
      <w:r>
        <w:tab/>
      </w:r>
      <w:r w:rsidR="00201973">
        <w:t xml:space="preserve">Sport England have now changed how they will survey physical activity levels. This is to align with the new </w:t>
      </w:r>
      <w:r w:rsidR="00201973" w:rsidRPr="00193C50">
        <w:rPr>
          <w:i/>
        </w:rPr>
        <w:t>Towards an Active Nation strategy for 2017-21</w:t>
      </w:r>
      <w:r w:rsidR="00201973">
        <w:t xml:space="preserve">. The new survey conducted by Ipsos-Mori is called Active Lives. The levels of activity measured within this survey are more inclusive of non-sporting/fitness activities such as gardening, walking, dance and cycling for travel. </w:t>
      </w:r>
      <w:r w:rsidR="00077581">
        <w:t xml:space="preserve">Sport England has extended its remit to cover cycling for travel, walking for leisure and travel and Dance. Whilst the survey collects data on gardening, this does not fall under the remit of Sport England. </w:t>
      </w:r>
    </w:p>
    <w:p w:rsidR="004139A1" w:rsidRDefault="004139A1">
      <w:pPr>
        <w:ind w:left="1267" w:hanging="1267"/>
      </w:pPr>
    </w:p>
    <w:p w:rsidR="00057F6E" w:rsidRDefault="00201973">
      <w:pPr>
        <w:ind w:left="1267" w:hanging="1267"/>
      </w:pPr>
      <w:r>
        <w:t>2.6</w:t>
      </w:r>
      <w:r>
        <w:tab/>
        <w:t xml:space="preserve">The first results for the Active Lives survey were published in January 2017 and cover the period Nov 2015 – 2016. </w:t>
      </w:r>
      <w:r w:rsidR="002A5A31">
        <w:t xml:space="preserve">Activity is measured if it is done at least twice in the last 28 days at moderate intensity – where the heart rate is raised and the person feels a little out of breath. Vigorous intensity – where the person is breathing hard and fast and heart rate has increased significantly so they are unable to say more than a few words without pausing for breath - counts as double the time of moderate intensity. </w:t>
      </w:r>
      <w:r w:rsidR="00077581">
        <w:t>The results of this survey for Three Rivers are shown in Table 3.</w:t>
      </w:r>
      <w:r w:rsidR="00EF39E4">
        <w:t xml:space="preserve"> This includes activity data for gardening. </w:t>
      </w:r>
    </w:p>
    <w:p w:rsidR="002A5A31" w:rsidRDefault="002A5A31">
      <w:pPr>
        <w:ind w:left="1267" w:hanging="1267"/>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4"/>
        <w:gridCol w:w="1169"/>
        <w:gridCol w:w="1057"/>
        <w:gridCol w:w="1058"/>
        <w:gridCol w:w="1058"/>
      </w:tblGrid>
      <w:tr w:rsidR="002A5A31" w:rsidRPr="00F239A9" w:rsidTr="002A5A31">
        <w:tc>
          <w:tcPr>
            <w:tcW w:w="5418" w:type="dxa"/>
            <w:vAlign w:val="center"/>
          </w:tcPr>
          <w:p w:rsidR="002A5A31" w:rsidRPr="00F239A9" w:rsidRDefault="002A5A31" w:rsidP="002A5A31">
            <w:pPr>
              <w:tabs>
                <w:tab w:val="clear" w:pos="1260"/>
                <w:tab w:val="clear" w:pos="1980"/>
                <w:tab w:val="clear" w:pos="2700"/>
                <w:tab w:val="clear" w:pos="3420"/>
              </w:tabs>
              <w:spacing w:line="276" w:lineRule="auto"/>
              <w:jc w:val="center"/>
              <w:rPr>
                <w:rFonts w:cs="Arial"/>
                <w:sz w:val="18"/>
                <w:szCs w:val="18"/>
                <w:lang w:eastAsia="en-US"/>
              </w:rPr>
            </w:pPr>
            <w:r w:rsidRPr="00F239A9">
              <w:rPr>
                <w:rFonts w:cs="Arial"/>
                <w:sz w:val="18"/>
                <w:szCs w:val="18"/>
                <w:lang w:eastAsia="en-US"/>
              </w:rPr>
              <w:t>Indicator</w:t>
            </w:r>
          </w:p>
        </w:tc>
        <w:tc>
          <w:tcPr>
            <w:tcW w:w="1060" w:type="dxa"/>
            <w:vAlign w:val="center"/>
          </w:tcPr>
          <w:p w:rsidR="002A5A31" w:rsidRDefault="002A5A31"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2015/16</w:t>
            </w:r>
          </w:p>
          <w:p w:rsidR="002A5A31" w:rsidRPr="00F239A9" w:rsidRDefault="002A5A31"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Three Rivers</w:t>
            </w:r>
          </w:p>
        </w:tc>
        <w:tc>
          <w:tcPr>
            <w:tcW w:w="959" w:type="dxa"/>
            <w:vAlign w:val="center"/>
          </w:tcPr>
          <w:p w:rsidR="002A5A31" w:rsidRDefault="002A5A31"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2015/16</w:t>
            </w:r>
          </w:p>
          <w:p w:rsidR="002A5A31" w:rsidRPr="00F239A9" w:rsidRDefault="002A5A31"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Herts</w:t>
            </w:r>
          </w:p>
        </w:tc>
        <w:tc>
          <w:tcPr>
            <w:tcW w:w="960" w:type="dxa"/>
          </w:tcPr>
          <w:p w:rsidR="002A5A31" w:rsidRPr="00F239A9" w:rsidRDefault="002A5A31"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Best in Herts 2015/16</w:t>
            </w:r>
          </w:p>
        </w:tc>
        <w:tc>
          <w:tcPr>
            <w:tcW w:w="960" w:type="dxa"/>
            <w:vAlign w:val="center"/>
          </w:tcPr>
          <w:p w:rsidR="002A5A31" w:rsidRPr="00F239A9" w:rsidRDefault="002A5A31"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England 2015/16</w:t>
            </w:r>
          </w:p>
        </w:tc>
      </w:tr>
      <w:tr w:rsidR="00EF39E4" w:rsidRPr="00F239A9" w:rsidTr="00EF39E4">
        <w:tc>
          <w:tcPr>
            <w:tcW w:w="5418" w:type="dxa"/>
            <w:vAlign w:val="center"/>
          </w:tcPr>
          <w:p w:rsidR="002A5A31" w:rsidRPr="00F239A9" w:rsidRDefault="00EF39E4" w:rsidP="002A5A31">
            <w:pPr>
              <w:tabs>
                <w:tab w:val="clear" w:pos="1260"/>
                <w:tab w:val="clear" w:pos="1980"/>
                <w:tab w:val="clear" w:pos="2700"/>
                <w:tab w:val="clear" w:pos="3420"/>
              </w:tabs>
              <w:spacing w:line="276" w:lineRule="auto"/>
              <w:jc w:val="center"/>
              <w:rPr>
                <w:rFonts w:cs="Arial"/>
                <w:sz w:val="18"/>
                <w:szCs w:val="18"/>
                <w:lang w:eastAsia="en-US"/>
              </w:rPr>
            </w:pPr>
            <w:r>
              <w:rPr>
                <w:rFonts w:ascii="Calibri" w:hAnsi="Calibri"/>
                <w:color w:val="000000"/>
                <w:sz w:val="18"/>
                <w:szCs w:val="18"/>
              </w:rPr>
              <w:t xml:space="preserve">Inactive adults aged 16 and over (&lt;30 mins of activity per week) </w:t>
            </w:r>
          </w:p>
        </w:tc>
        <w:tc>
          <w:tcPr>
            <w:tcW w:w="1060" w:type="dxa"/>
            <w:vAlign w:val="center"/>
          </w:tcPr>
          <w:p w:rsidR="002A5A31" w:rsidRDefault="002A5A31"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15.9%</w:t>
            </w:r>
          </w:p>
          <w:p w:rsidR="002A5A31" w:rsidRPr="00F239A9" w:rsidRDefault="002A5A31"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(12.2% - 20.4%)</w:t>
            </w:r>
          </w:p>
        </w:tc>
        <w:tc>
          <w:tcPr>
            <w:tcW w:w="959" w:type="dxa"/>
            <w:vAlign w:val="center"/>
          </w:tcPr>
          <w:p w:rsidR="002A5A31" w:rsidRDefault="00EF39E4"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 xml:space="preserve">18.4% </w:t>
            </w:r>
          </w:p>
          <w:p w:rsidR="00EF39E4" w:rsidRPr="00F239A9" w:rsidRDefault="00EF39E4"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(16.9%-20.0%)</w:t>
            </w:r>
          </w:p>
        </w:tc>
        <w:tc>
          <w:tcPr>
            <w:tcW w:w="960" w:type="dxa"/>
            <w:shd w:val="clear" w:color="auto" w:fill="FFFFFF" w:themeFill="background1"/>
            <w:vAlign w:val="center"/>
          </w:tcPr>
          <w:p w:rsidR="002A5A31" w:rsidRPr="00EF39E4" w:rsidRDefault="00EF39E4"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14.0% (10.4% - 18.6%)</w:t>
            </w:r>
          </w:p>
        </w:tc>
        <w:tc>
          <w:tcPr>
            <w:tcW w:w="960" w:type="dxa"/>
            <w:vAlign w:val="center"/>
          </w:tcPr>
          <w:p w:rsidR="002A5A31" w:rsidRDefault="00EF39E4"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22.0%</w:t>
            </w:r>
          </w:p>
          <w:p w:rsidR="00EF39E4" w:rsidRPr="00F239A9" w:rsidRDefault="00EF39E4"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(21.7% - 22.3%)</w:t>
            </w:r>
          </w:p>
        </w:tc>
      </w:tr>
      <w:tr w:rsidR="00EF39E4" w:rsidRPr="00F239A9" w:rsidTr="00EF39E4">
        <w:tc>
          <w:tcPr>
            <w:tcW w:w="5418" w:type="dxa"/>
            <w:vAlign w:val="center"/>
          </w:tcPr>
          <w:p w:rsidR="002A5A31" w:rsidRPr="00F239A9" w:rsidRDefault="00EF39E4" w:rsidP="002A5A31">
            <w:pPr>
              <w:tabs>
                <w:tab w:val="clear" w:pos="1260"/>
                <w:tab w:val="clear" w:pos="1980"/>
                <w:tab w:val="clear" w:pos="2700"/>
                <w:tab w:val="clear" w:pos="3420"/>
              </w:tabs>
              <w:spacing w:line="276" w:lineRule="auto"/>
              <w:jc w:val="center"/>
              <w:rPr>
                <w:rFonts w:cs="Arial"/>
                <w:sz w:val="18"/>
                <w:szCs w:val="18"/>
                <w:lang w:eastAsia="en-US"/>
              </w:rPr>
            </w:pPr>
            <w:r>
              <w:rPr>
                <w:rFonts w:ascii="Calibri" w:hAnsi="Calibri"/>
                <w:color w:val="000000"/>
                <w:sz w:val="18"/>
                <w:szCs w:val="18"/>
              </w:rPr>
              <w:t>Active adults aged 16 and over (150+ minutes of activity per week)</w:t>
            </w:r>
          </w:p>
        </w:tc>
        <w:tc>
          <w:tcPr>
            <w:tcW w:w="1060" w:type="dxa"/>
            <w:vAlign w:val="center"/>
          </w:tcPr>
          <w:p w:rsidR="002A5A31" w:rsidRDefault="002A5A31"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71.6%</w:t>
            </w:r>
          </w:p>
          <w:p w:rsidR="002A5A31" w:rsidRPr="00F239A9" w:rsidRDefault="002A5A31"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(65.6% - 76.8%)</w:t>
            </w:r>
          </w:p>
        </w:tc>
        <w:tc>
          <w:tcPr>
            <w:tcW w:w="959" w:type="dxa"/>
            <w:vAlign w:val="center"/>
          </w:tcPr>
          <w:p w:rsidR="002A5A31" w:rsidRDefault="00EF39E4"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68.2%</w:t>
            </w:r>
          </w:p>
          <w:p w:rsidR="00EF39E4" w:rsidRPr="00F239A9" w:rsidRDefault="00EF39E4"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(66.4% - 70.0%)</w:t>
            </w:r>
          </w:p>
        </w:tc>
        <w:tc>
          <w:tcPr>
            <w:tcW w:w="960" w:type="dxa"/>
            <w:shd w:val="clear" w:color="auto" w:fill="FFFFFF" w:themeFill="background1"/>
            <w:vAlign w:val="center"/>
          </w:tcPr>
          <w:p w:rsidR="002A5A31" w:rsidRPr="00193C50" w:rsidRDefault="00EF39E4"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74.0%</w:t>
            </w:r>
          </w:p>
          <w:p w:rsidR="002A5A31" w:rsidRPr="00F239A9" w:rsidRDefault="002A5A31">
            <w:pPr>
              <w:tabs>
                <w:tab w:val="clear" w:pos="1260"/>
                <w:tab w:val="clear" w:pos="1980"/>
                <w:tab w:val="clear" w:pos="2700"/>
                <w:tab w:val="clear" w:pos="3420"/>
              </w:tabs>
              <w:spacing w:line="276" w:lineRule="auto"/>
              <w:jc w:val="center"/>
              <w:rPr>
                <w:rFonts w:cs="Arial"/>
                <w:sz w:val="18"/>
                <w:szCs w:val="18"/>
                <w:lang w:eastAsia="en-US"/>
              </w:rPr>
            </w:pPr>
            <w:r w:rsidRPr="00F239A9">
              <w:rPr>
                <w:rFonts w:cs="Arial"/>
                <w:sz w:val="18"/>
                <w:szCs w:val="18"/>
                <w:lang w:eastAsia="en-US"/>
              </w:rPr>
              <w:t>(</w:t>
            </w:r>
            <w:r w:rsidR="00EF39E4">
              <w:rPr>
                <w:rFonts w:cs="Arial"/>
                <w:sz w:val="18"/>
                <w:szCs w:val="18"/>
                <w:lang w:eastAsia="en-US"/>
              </w:rPr>
              <w:t>68.6%</w:t>
            </w:r>
            <w:r w:rsidRPr="00F239A9">
              <w:rPr>
                <w:rFonts w:cs="Arial"/>
                <w:sz w:val="18"/>
                <w:szCs w:val="18"/>
                <w:lang w:eastAsia="en-US"/>
              </w:rPr>
              <w:t xml:space="preserve"> - </w:t>
            </w:r>
            <w:r w:rsidR="00EF39E4">
              <w:rPr>
                <w:rFonts w:cs="Arial"/>
                <w:sz w:val="18"/>
                <w:szCs w:val="18"/>
                <w:lang w:eastAsia="en-US"/>
              </w:rPr>
              <w:t>78.7</w:t>
            </w:r>
            <w:r w:rsidRPr="00F239A9">
              <w:rPr>
                <w:rFonts w:cs="Arial"/>
                <w:sz w:val="18"/>
                <w:szCs w:val="18"/>
                <w:lang w:eastAsia="en-US"/>
              </w:rPr>
              <w:t>%)</w:t>
            </w:r>
          </w:p>
        </w:tc>
        <w:tc>
          <w:tcPr>
            <w:tcW w:w="960" w:type="dxa"/>
            <w:vAlign w:val="center"/>
          </w:tcPr>
          <w:p w:rsidR="002A5A31" w:rsidRPr="00F239A9" w:rsidRDefault="00EF39E4" w:rsidP="002A5A31">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65.4% (65.1% - 65.7%)</w:t>
            </w:r>
          </w:p>
        </w:tc>
      </w:tr>
    </w:tbl>
    <w:p w:rsidR="00193C50" w:rsidRDefault="00EF39E4" w:rsidP="00193C50">
      <w:pPr>
        <w:ind w:left="1267" w:hanging="1267"/>
        <w:jc w:val="left"/>
      </w:pPr>
      <w:r>
        <w:t>Table 3: Active Lives Survey Data Results 2015/16</w:t>
      </w:r>
    </w:p>
    <w:p w:rsidR="00BF34FA" w:rsidRDefault="00193C50" w:rsidP="00193C50">
      <w:pPr>
        <w:ind w:left="1267" w:hanging="1267"/>
        <w:jc w:val="left"/>
      </w:pPr>
      <w:r>
        <w:t xml:space="preserve">Note, () denotes </w:t>
      </w:r>
      <w:r w:rsidR="002D797E">
        <w:t xml:space="preserve">95% </w:t>
      </w:r>
      <w:r>
        <w:t>confidence levels.</w:t>
      </w:r>
      <w:r w:rsidR="006E1D38">
        <w:br/>
      </w:r>
    </w:p>
    <w:p w:rsidR="00EF39E4" w:rsidRDefault="00EF39E4" w:rsidP="00193C50">
      <w:pPr>
        <w:ind w:left="1267" w:hanging="1267"/>
        <w:jc w:val="left"/>
      </w:pPr>
      <w:r>
        <w:t>2.7</w:t>
      </w:r>
      <w:r>
        <w:tab/>
        <w:t>The data show Three Rivers adults aged 16</w:t>
      </w:r>
      <w:r w:rsidR="007B0187">
        <w:t xml:space="preserve"> and over to be more active than</w:t>
      </w:r>
      <w:r>
        <w:t xml:space="preserve"> the average for England and for Hertfordshire. However we are the 3</w:t>
      </w:r>
      <w:r w:rsidRPr="00193C50">
        <w:rPr>
          <w:vertAlign w:val="superscript"/>
        </w:rPr>
        <w:t>rd</w:t>
      </w:r>
      <w:r>
        <w:t xml:space="preserve"> best in Hertfordshire. Caution should also be taken for the confidence interval in these results due to sample sizes. </w:t>
      </w:r>
      <w:r>
        <w:br/>
      </w:r>
    </w:p>
    <w:p w:rsidR="00EF39E4" w:rsidRDefault="00EF39E4" w:rsidP="00193C50">
      <w:pPr>
        <w:ind w:left="1267" w:hanging="1267"/>
        <w:jc w:val="left"/>
      </w:pPr>
      <w:r>
        <w:t>2.8</w:t>
      </w:r>
      <w:r>
        <w:tab/>
        <w:t xml:space="preserve">As the Active People Survey has now ended and been replaced with the Active Lives Survey officers are recommending that the measures used in the new Active Lives Survey are used as the Key Performance Indicators for the Physical Activity Strategy. The strategy was written from a Public Health perspective, and activities such as walking, cycling, gardening and dance are all valid choices for adults when considering how to reduce health inequalities in the District. </w:t>
      </w:r>
    </w:p>
    <w:p w:rsidR="007B0187" w:rsidRDefault="007B0187" w:rsidP="00193C50">
      <w:pPr>
        <w:ind w:left="1267" w:hanging="1267"/>
        <w:jc w:val="left"/>
      </w:pPr>
    </w:p>
    <w:p w:rsidR="007B0187" w:rsidRDefault="007B0187" w:rsidP="00EF39E4">
      <w:pPr>
        <w:ind w:left="1267" w:hanging="1267"/>
        <w:jc w:val="left"/>
      </w:pPr>
      <w:r>
        <w:t>2.9</w:t>
      </w:r>
      <w:r>
        <w:tab/>
        <w:t xml:space="preserve">Officers have considered targets for increasing physical activity in adults aged 16+ and are recommending the targets in table 4 for the next 3 years. These targets will be assessed by the Active Lives Survey results, which will be mirrored through the local Omnibus Survey to increase the Council’s access to demographic data on activity levels in the District. The targets are based on improving the activity levels of adults </w:t>
      </w:r>
      <w:r w:rsidR="002D2BBF">
        <w:t xml:space="preserve">with the aspiration </w:t>
      </w:r>
      <w:r>
        <w:t xml:space="preserve">to </w:t>
      </w:r>
      <w:r w:rsidR="002D2BBF">
        <w:t xml:space="preserve">be </w:t>
      </w:r>
      <w:r>
        <w:t>the highest in the County, based on current baseline performance.</w:t>
      </w:r>
      <w:r w:rsidR="005029DD">
        <w:t xml:space="preserve"> </w:t>
      </w:r>
      <w:r>
        <w:t xml:space="preserve"> </w:t>
      </w:r>
      <w:r>
        <w:br/>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302"/>
        <w:gridCol w:w="1302"/>
        <w:gridCol w:w="1178"/>
        <w:gridCol w:w="1179"/>
      </w:tblGrid>
      <w:tr w:rsidR="007B0187" w:rsidRPr="00F239A9" w:rsidTr="00193C50">
        <w:tc>
          <w:tcPr>
            <w:tcW w:w="5070" w:type="dxa"/>
            <w:vAlign w:val="center"/>
          </w:tcPr>
          <w:p w:rsidR="007B0187" w:rsidRPr="00F239A9" w:rsidRDefault="007B0187" w:rsidP="002A7726">
            <w:pPr>
              <w:tabs>
                <w:tab w:val="clear" w:pos="1260"/>
                <w:tab w:val="clear" w:pos="1980"/>
                <w:tab w:val="clear" w:pos="2700"/>
                <w:tab w:val="clear" w:pos="3420"/>
              </w:tabs>
              <w:spacing w:line="276" w:lineRule="auto"/>
              <w:jc w:val="center"/>
              <w:rPr>
                <w:rFonts w:cs="Arial"/>
                <w:sz w:val="18"/>
                <w:szCs w:val="18"/>
                <w:lang w:eastAsia="en-US"/>
              </w:rPr>
            </w:pPr>
            <w:r w:rsidRPr="00F239A9">
              <w:rPr>
                <w:rFonts w:cs="Arial"/>
                <w:sz w:val="18"/>
                <w:szCs w:val="18"/>
                <w:lang w:eastAsia="en-US"/>
              </w:rPr>
              <w:lastRenderedPageBreak/>
              <w:t>Indicator</w:t>
            </w:r>
          </w:p>
        </w:tc>
        <w:tc>
          <w:tcPr>
            <w:tcW w:w="1302" w:type="dxa"/>
          </w:tcPr>
          <w:p w:rsidR="007B0187" w:rsidRDefault="007B0187" w:rsidP="002A7726">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Baseline</w:t>
            </w:r>
          </w:p>
        </w:tc>
        <w:tc>
          <w:tcPr>
            <w:tcW w:w="1302" w:type="dxa"/>
            <w:vAlign w:val="center"/>
          </w:tcPr>
          <w:p w:rsidR="007B0187" w:rsidRPr="00F239A9" w:rsidRDefault="007B0187" w:rsidP="00F448AB">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201</w:t>
            </w:r>
            <w:r w:rsidR="00F448AB">
              <w:rPr>
                <w:rFonts w:cs="Arial"/>
                <w:sz w:val="18"/>
                <w:szCs w:val="18"/>
                <w:lang w:eastAsia="en-US"/>
              </w:rPr>
              <w:t>7</w:t>
            </w:r>
            <w:r>
              <w:rPr>
                <w:rFonts w:cs="Arial"/>
                <w:sz w:val="18"/>
                <w:szCs w:val="18"/>
                <w:lang w:eastAsia="en-US"/>
              </w:rPr>
              <w:t>/1</w:t>
            </w:r>
            <w:r w:rsidR="00F448AB">
              <w:rPr>
                <w:rFonts w:cs="Arial"/>
                <w:sz w:val="18"/>
                <w:szCs w:val="18"/>
                <w:lang w:eastAsia="en-US"/>
              </w:rPr>
              <w:t>8</w:t>
            </w:r>
          </w:p>
        </w:tc>
        <w:tc>
          <w:tcPr>
            <w:tcW w:w="1178" w:type="dxa"/>
            <w:vAlign w:val="center"/>
          </w:tcPr>
          <w:p w:rsidR="007B0187" w:rsidRPr="00F239A9" w:rsidRDefault="007B0187" w:rsidP="002A7726">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201</w:t>
            </w:r>
            <w:r w:rsidR="00F448AB">
              <w:rPr>
                <w:rFonts w:cs="Arial"/>
                <w:sz w:val="18"/>
                <w:szCs w:val="18"/>
                <w:lang w:eastAsia="en-US"/>
              </w:rPr>
              <w:t>8</w:t>
            </w:r>
            <w:r>
              <w:rPr>
                <w:rFonts w:cs="Arial"/>
                <w:sz w:val="18"/>
                <w:szCs w:val="18"/>
                <w:lang w:eastAsia="en-US"/>
              </w:rPr>
              <w:t>/1</w:t>
            </w:r>
            <w:r w:rsidR="00F448AB">
              <w:rPr>
                <w:rFonts w:cs="Arial"/>
                <w:sz w:val="18"/>
                <w:szCs w:val="18"/>
                <w:lang w:eastAsia="en-US"/>
              </w:rPr>
              <w:t>9</w:t>
            </w:r>
          </w:p>
        </w:tc>
        <w:tc>
          <w:tcPr>
            <w:tcW w:w="1179" w:type="dxa"/>
          </w:tcPr>
          <w:p w:rsidR="007B0187" w:rsidRPr="00F239A9" w:rsidRDefault="007B0187" w:rsidP="002A7726">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201</w:t>
            </w:r>
            <w:r w:rsidR="00F448AB">
              <w:rPr>
                <w:rFonts w:cs="Arial"/>
                <w:sz w:val="18"/>
                <w:szCs w:val="18"/>
                <w:lang w:eastAsia="en-US"/>
              </w:rPr>
              <w:t>9</w:t>
            </w:r>
            <w:r>
              <w:rPr>
                <w:rFonts w:cs="Arial"/>
                <w:sz w:val="18"/>
                <w:szCs w:val="18"/>
                <w:lang w:eastAsia="en-US"/>
              </w:rPr>
              <w:t>/</w:t>
            </w:r>
            <w:r w:rsidR="00F448AB">
              <w:rPr>
                <w:rFonts w:cs="Arial"/>
                <w:sz w:val="18"/>
                <w:szCs w:val="18"/>
                <w:lang w:eastAsia="en-US"/>
              </w:rPr>
              <w:t>20</w:t>
            </w:r>
          </w:p>
        </w:tc>
      </w:tr>
      <w:tr w:rsidR="007B0187" w:rsidRPr="00F239A9" w:rsidTr="00193C50">
        <w:tc>
          <w:tcPr>
            <w:tcW w:w="5070" w:type="dxa"/>
            <w:vAlign w:val="center"/>
          </w:tcPr>
          <w:p w:rsidR="007B0187" w:rsidRPr="00F239A9" w:rsidRDefault="005029DD" w:rsidP="002A7726">
            <w:pPr>
              <w:tabs>
                <w:tab w:val="clear" w:pos="1260"/>
                <w:tab w:val="clear" w:pos="1980"/>
                <w:tab w:val="clear" w:pos="2700"/>
                <w:tab w:val="clear" w:pos="3420"/>
              </w:tabs>
              <w:spacing w:line="276" w:lineRule="auto"/>
              <w:jc w:val="center"/>
              <w:rPr>
                <w:rFonts w:cs="Arial"/>
                <w:sz w:val="18"/>
                <w:szCs w:val="18"/>
                <w:lang w:eastAsia="en-US"/>
              </w:rPr>
            </w:pPr>
            <w:r>
              <w:rPr>
                <w:rFonts w:ascii="Calibri" w:hAnsi="Calibri"/>
                <w:color w:val="000000"/>
                <w:sz w:val="18"/>
                <w:szCs w:val="18"/>
              </w:rPr>
              <w:t xml:space="preserve">KPI 1 - </w:t>
            </w:r>
            <w:r w:rsidR="007B0187">
              <w:rPr>
                <w:rFonts w:ascii="Calibri" w:hAnsi="Calibri"/>
                <w:color w:val="000000"/>
                <w:sz w:val="18"/>
                <w:szCs w:val="18"/>
              </w:rPr>
              <w:t xml:space="preserve">Inactive adults aged 16 and over (&lt;30 mins of activity per week) </w:t>
            </w:r>
          </w:p>
        </w:tc>
        <w:tc>
          <w:tcPr>
            <w:tcW w:w="1302" w:type="dxa"/>
            <w:vAlign w:val="center"/>
          </w:tcPr>
          <w:p w:rsidR="007B0187" w:rsidRDefault="007B0187">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15.9%</w:t>
            </w:r>
          </w:p>
        </w:tc>
        <w:tc>
          <w:tcPr>
            <w:tcW w:w="1302" w:type="dxa"/>
            <w:vAlign w:val="center"/>
          </w:tcPr>
          <w:p w:rsidR="007B0187" w:rsidRPr="00F239A9" w:rsidRDefault="007B0187" w:rsidP="002A7726">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14.9%</w:t>
            </w:r>
          </w:p>
        </w:tc>
        <w:tc>
          <w:tcPr>
            <w:tcW w:w="1178" w:type="dxa"/>
            <w:vAlign w:val="center"/>
          </w:tcPr>
          <w:p w:rsidR="007B0187" w:rsidRPr="00F239A9" w:rsidRDefault="007B0187" w:rsidP="002A7726">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1</w:t>
            </w:r>
            <w:r w:rsidR="002D2BBF">
              <w:rPr>
                <w:rFonts w:cs="Arial"/>
                <w:sz w:val="18"/>
                <w:szCs w:val="18"/>
                <w:lang w:eastAsia="en-US"/>
              </w:rPr>
              <w:t>4</w:t>
            </w:r>
            <w:r>
              <w:rPr>
                <w:rFonts w:cs="Arial"/>
                <w:sz w:val="18"/>
                <w:szCs w:val="18"/>
                <w:lang w:eastAsia="en-US"/>
              </w:rPr>
              <w:t>.</w:t>
            </w:r>
            <w:r w:rsidR="002D2BBF">
              <w:rPr>
                <w:rFonts w:cs="Arial"/>
                <w:sz w:val="18"/>
                <w:szCs w:val="18"/>
                <w:lang w:eastAsia="en-US"/>
              </w:rPr>
              <w:t>4</w:t>
            </w:r>
            <w:r>
              <w:rPr>
                <w:rFonts w:cs="Arial"/>
                <w:sz w:val="18"/>
                <w:szCs w:val="18"/>
                <w:lang w:eastAsia="en-US"/>
              </w:rPr>
              <w:t>%</w:t>
            </w:r>
          </w:p>
        </w:tc>
        <w:tc>
          <w:tcPr>
            <w:tcW w:w="1179" w:type="dxa"/>
            <w:shd w:val="clear" w:color="auto" w:fill="FFFFFF" w:themeFill="background1"/>
            <w:vAlign w:val="center"/>
          </w:tcPr>
          <w:p w:rsidR="007B0187" w:rsidRPr="00F239A9" w:rsidRDefault="007B0187" w:rsidP="002A7726">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1</w:t>
            </w:r>
            <w:r w:rsidR="002D2BBF">
              <w:rPr>
                <w:rFonts w:cs="Arial"/>
                <w:sz w:val="18"/>
                <w:szCs w:val="18"/>
                <w:lang w:eastAsia="en-US"/>
              </w:rPr>
              <w:t>3</w:t>
            </w:r>
            <w:r>
              <w:rPr>
                <w:rFonts w:cs="Arial"/>
                <w:sz w:val="18"/>
                <w:szCs w:val="18"/>
                <w:lang w:eastAsia="en-US"/>
              </w:rPr>
              <w:t>.9%</w:t>
            </w:r>
          </w:p>
        </w:tc>
      </w:tr>
      <w:tr w:rsidR="007B0187" w:rsidRPr="00F239A9" w:rsidTr="00193C50">
        <w:tc>
          <w:tcPr>
            <w:tcW w:w="5070" w:type="dxa"/>
            <w:vAlign w:val="center"/>
          </w:tcPr>
          <w:p w:rsidR="007B0187" w:rsidRPr="00F239A9" w:rsidRDefault="005029DD" w:rsidP="002A7726">
            <w:pPr>
              <w:tabs>
                <w:tab w:val="clear" w:pos="1260"/>
                <w:tab w:val="clear" w:pos="1980"/>
                <w:tab w:val="clear" w:pos="2700"/>
                <w:tab w:val="clear" w:pos="3420"/>
              </w:tabs>
              <w:spacing w:line="276" w:lineRule="auto"/>
              <w:jc w:val="center"/>
              <w:rPr>
                <w:rFonts w:cs="Arial"/>
                <w:sz w:val="18"/>
                <w:szCs w:val="18"/>
                <w:lang w:eastAsia="en-US"/>
              </w:rPr>
            </w:pPr>
            <w:r>
              <w:rPr>
                <w:rFonts w:ascii="Calibri" w:hAnsi="Calibri"/>
                <w:color w:val="000000"/>
                <w:sz w:val="18"/>
                <w:szCs w:val="18"/>
              </w:rPr>
              <w:t xml:space="preserve">KPI 2 - </w:t>
            </w:r>
            <w:r w:rsidR="007B0187">
              <w:rPr>
                <w:rFonts w:ascii="Calibri" w:hAnsi="Calibri"/>
                <w:color w:val="000000"/>
                <w:sz w:val="18"/>
                <w:szCs w:val="18"/>
              </w:rPr>
              <w:t>Active adults aged 16 and over (150+ mins of activity per week)</w:t>
            </w:r>
          </w:p>
        </w:tc>
        <w:tc>
          <w:tcPr>
            <w:tcW w:w="1302" w:type="dxa"/>
            <w:vAlign w:val="center"/>
          </w:tcPr>
          <w:p w:rsidR="007B0187" w:rsidRDefault="007B0187">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71.6%</w:t>
            </w:r>
          </w:p>
        </w:tc>
        <w:tc>
          <w:tcPr>
            <w:tcW w:w="1302" w:type="dxa"/>
            <w:vAlign w:val="center"/>
          </w:tcPr>
          <w:p w:rsidR="007B0187" w:rsidRPr="00F239A9" w:rsidRDefault="007B0187" w:rsidP="002A7726">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72.6%</w:t>
            </w:r>
          </w:p>
        </w:tc>
        <w:tc>
          <w:tcPr>
            <w:tcW w:w="1178" w:type="dxa"/>
            <w:vAlign w:val="center"/>
          </w:tcPr>
          <w:p w:rsidR="007B0187" w:rsidRPr="00F239A9" w:rsidRDefault="007B0187" w:rsidP="002A7726">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73.</w:t>
            </w:r>
            <w:r w:rsidR="002D2BBF">
              <w:rPr>
                <w:rFonts w:cs="Arial"/>
                <w:sz w:val="18"/>
                <w:szCs w:val="18"/>
                <w:lang w:eastAsia="en-US"/>
              </w:rPr>
              <w:t>4</w:t>
            </w:r>
            <w:r>
              <w:rPr>
                <w:rFonts w:cs="Arial"/>
                <w:sz w:val="18"/>
                <w:szCs w:val="18"/>
                <w:lang w:eastAsia="en-US"/>
              </w:rPr>
              <w:t>%</w:t>
            </w:r>
          </w:p>
        </w:tc>
        <w:tc>
          <w:tcPr>
            <w:tcW w:w="1179" w:type="dxa"/>
            <w:shd w:val="clear" w:color="auto" w:fill="FFFFFF" w:themeFill="background1"/>
            <w:vAlign w:val="center"/>
          </w:tcPr>
          <w:p w:rsidR="007B0187" w:rsidRPr="00F239A9" w:rsidRDefault="007B0187" w:rsidP="002A7726">
            <w:pPr>
              <w:tabs>
                <w:tab w:val="clear" w:pos="1260"/>
                <w:tab w:val="clear" w:pos="1980"/>
                <w:tab w:val="clear" w:pos="2700"/>
                <w:tab w:val="clear" w:pos="3420"/>
              </w:tabs>
              <w:spacing w:line="276" w:lineRule="auto"/>
              <w:jc w:val="center"/>
              <w:rPr>
                <w:rFonts w:cs="Arial"/>
                <w:sz w:val="18"/>
                <w:szCs w:val="18"/>
                <w:lang w:eastAsia="en-US"/>
              </w:rPr>
            </w:pPr>
            <w:r>
              <w:rPr>
                <w:rFonts w:cs="Arial"/>
                <w:sz w:val="18"/>
                <w:szCs w:val="18"/>
                <w:lang w:eastAsia="en-US"/>
              </w:rPr>
              <w:t>74.</w:t>
            </w:r>
            <w:r w:rsidR="002D2BBF">
              <w:rPr>
                <w:rFonts w:cs="Arial"/>
                <w:sz w:val="18"/>
                <w:szCs w:val="18"/>
                <w:lang w:eastAsia="en-US"/>
              </w:rPr>
              <w:t>0</w:t>
            </w:r>
            <w:r>
              <w:rPr>
                <w:rFonts w:cs="Arial"/>
                <w:sz w:val="18"/>
                <w:szCs w:val="18"/>
                <w:lang w:eastAsia="en-US"/>
              </w:rPr>
              <w:t>%</w:t>
            </w:r>
          </w:p>
        </w:tc>
      </w:tr>
    </w:tbl>
    <w:p w:rsidR="007B0187" w:rsidRDefault="007B0187" w:rsidP="00193C50">
      <w:pPr>
        <w:ind w:left="1267" w:hanging="1267"/>
        <w:jc w:val="left"/>
      </w:pPr>
      <w:r>
        <w:t>Table 4: Proposed targets and indicators for 2017-2020</w:t>
      </w:r>
    </w:p>
    <w:p w:rsidR="007B0187" w:rsidRDefault="007B0187" w:rsidP="00193C50">
      <w:pPr>
        <w:ind w:left="1267" w:hanging="1267"/>
        <w:jc w:val="left"/>
      </w:pPr>
    </w:p>
    <w:p w:rsidR="007B0187" w:rsidRDefault="007B0187" w:rsidP="00193C50">
      <w:pPr>
        <w:ind w:left="1267" w:hanging="1267"/>
        <w:jc w:val="left"/>
      </w:pPr>
    </w:p>
    <w:p w:rsidR="00BF34FA" w:rsidRDefault="00BF34FA">
      <w:pPr>
        <w:keepNext/>
        <w:ind w:left="1267" w:hanging="1267"/>
      </w:pPr>
      <w:r>
        <w:t>3.</w:t>
      </w:r>
      <w:r>
        <w:tab/>
      </w:r>
      <w:r>
        <w:rPr>
          <w:b/>
        </w:rPr>
        <w:t>Options/Reasons for Recommendation</w:t>
      </w:r>
    </w:p>
    <w:p w:rsidR="00BF34FA" w:rsidRDefault="00BF34FA">
      <w:pPr>
        <w:keepNext/>
        <w:ind w:left="1267" w:hanging="1267"/>
      </w:pPr>
    </w:p>
    <w:p w:rsidR="00844975" w:rsidRDefault="00BF34FA">
      <w:pPr>
        <w:ind w:left="1267" w:hanging="1267"/>
      </w:pPr>
      <w:r>
        <w:t>3.1</w:t>
      </w:r>
      <w:r>
        <w:tab/>
      </w:r>
      <w:r w:rsidR="00844975">
        <w:t xml:space="preserve">To agree new performance indicators and targets for physical activity in Three Rivers. </w:t>
      </w:r>
    </w:p>
    <w:p w:rsidR="00844975" w:rsidRDefault="00844975">
      <w:pPr>
        <w:ind w:left="1267" w:hanging="1267"/>
      </w:pPr>
    </w:p>
    <w:p w:rsidR="00BF34FA" w:rsidRDefault="00844975">
      <w:pPr>
        <w:ind w:left="1267" w:hanging="1267"/>
      </w:pPr>
      <w:r>
        <w:t>3.2</w:t>
      </w:r>
      <w:r>
        <w:tab/>
        <w:t xml:space="preserve">To continue to seek to reduce health inequalities within the District, based on the wider health benefits of physical activity. </w:t>
      </w:r>
      <w:r w:rsidR="00BF34FA">
        <w:fldChar w:fldCharType="begin"/>
      </w:r>
      <w:r w:rsidR="00BF34FA">
        <w:instrText xml:space="preserve">  </w:instrText>
      </w:r>
      <w:r w:rsidR="00BF34FA">
        <w:fldChar w:fldCharType="end"/>
      </w:r>
    </w:p>
    <w:p w:rsidR="00844975" w:rsidRDefault="00844975">
      <w:pPr>
        <w:ind w:left="1267" w:hanging="1267"/>
      </w:pPr>
    </w:p>
    <w:p w:rsidR="00BF34FA" w:rsidRDefault="00BF34FA">
      <w:pPr>
        <w:ind w:left="1267" w:hanging="1267"/>
      </w:pPr>
    </w:p>
    <w:p w:rsidR="00BF34FA" w:rsidRDefault="00BF34FA">
      <w:pPr>
        <w:keepNext/>
        <w:ind w:left="1267" w:hanging="1267"/>
      </w:pPr>
      <w:r>
        <w:t>4.</w:t>
      </w:r>
      <w:r>
        <w:tab/>
      </w:r>
      <w:r>
        <w:rPr>
          <w:b/>
        </w:rPr>
        <w:t>Policy/Budget Reference and Implications</w:t>
      </w:r>
    </w:p>
    <w:p w:rsidR="00BF34FA" w:rsidRDefault="00BF34FA">
      <w:pPr>
        <w:keepNext/>
        <w:ind w:left="1267" w:hanging="1267"/>
      </w:pPr>
    </w:p>
    <w:p w:rsidR="00DB28EC" w:rsidRDefault="009B0AB4" w:rsidP="00DB28EC">
      <w:pPr>
        <w:ind w:left="1267" w:hanging="1267"/>
        <w:jc w:val="center"/>
      </w:pPr>
      <w:hyperlink r:id="rId9" w:history="1">
        <w:r w:rsidR="00DB28EC" w:rsidRPr="00DB28EC">
          <w:rPr>
            <w:rStyle w:val="Hyperlink"/>
          </w:rPr>
          <w:t>Link to current policies</w:t>
        </w:r>
      </w:hyperlink>
    </w:p>
    <w:p w:rsidR="00DB28EC" w:rsidRDefault="00DB28EC">
      <w:pPr>
        <w:ind w:left="1267" w:hanging="1267"/>
      </w:pPr>
    </w:p>
    <w:p w:rsidR="00BF34FA" w:rsidRDefault="00BF34FA">
      <w:pPr>
        <w:ind w:left="1267" w:hanging="1267"/>
      </w:pPr>
      <w:r>
        <w:t>4.1</w:t>
      </w:r>
      <w:r>
        <w:tab/>
        <w:t>The recommendations in this report are within the Council’s agreed policy and budgets</w:t>
      </w:r>
      <w:r w:rsidR="00227303">
        <w:t>.</w:t>
      </w:r>
      <w:r>
        <w:t xml:space="preserve">  The relevant policy is entitled </w:t>
      </w:r>
      <w:r w:rsidR="00844975">
        <w:t xml:space="preserve">Three Rivers Physical Activity Strategy 2015-18 </w:t>
      </w:r>
      <w:r>
        <w:fldChar w:fldCharType="begin"/>
      </w:r>
      <w:r>
        <w:instrText xml:space="preserve"> ASK   \* MERGEFORMAT </w:instrText>
      </w:r>
      <w:r>
        <w:fldChar w:fldCharType="end"/>
      </w:r>
      <w:r>
        <w:t xml:space="preserve">and was agreed on </w:t>
      </w:r>
      <w:r w:rsidR="00844975">
        <w:t xml:space="preserve">3 June 2015. </w:t>
      </w:r>
      <w:r>
        <w:fldChar w:fldCharType="begin"/>
      </w:r>
      <w:r>
        <w:instrText xml:space="preserve"> ASK   \* MERGEFORMAT </w:instrText>
      </w:r>
      <w:r>
        <w:fldChar w:fldCharType="end"/>
      </w:r>
      <w:r>
        <w:rPr>
          <w:b/>
          <w:i/>
          <w:color w:val="008000"/>
        </w:rPr>
        <w:t xml:space="preserve"> </w:t>
      </w:r>
      <w:r>
        <w:fldChar w:fldCharType="begin"/>
      </w:r>
      <w:r>
        <w:instrText xml:space="preserve">  </w:instrText>
      </w:r>
      <w:r>
        <w:fldChar w:fldCharType="end"/>
      </w:r>
    </w:p>
    <w:p w:rsidR="00BF34FA" w:rsidRDefault="00BF34FA">
      <w:pPr>
        <w:ind w:left="1267" w:hanging="1267"/>
      </w:pPr>
    </w:p>
    <w:p w:rsidR="00490883" w:rsidRDefault="00490883">
      <w:pPr>
        <w:ind w:left="1267" w:hanging="1267"/>
      </w:pPr>
      <w:r>
        <w:t>4.2</w:t>
      </w:r>
      <w:r>
        <w:tab/>
        <w:t xml:space="preserve">The recommendations in this report relate to the achievement of the following </w:t>
      </w:r>
      <w:r w:rsidR="002A7726">
        <w:t>priorities and objectives of the Strategic Plan 2017-20:</w:t>
      </w:r>
    </w:p>
    <w:p w:rsidR="002A7726" w:rsidRDefault="00490883">
      <w:pPr>
        <w:ind w:left="1267" w:hanging="1267"/>
      </w:pPr>
      <w:r>
        <w:tab/>
      </w:r>
      <w:r w:rsidR="002A7726">
        <w:t>2.5</w:t>
      </w:r>
      <w:r w:rsidR="002A7726">
        <w:tab/>
        <w:t xml:space="preserve">We will reduce health inequalities, promote healthy lifestyles, support learning and community organisations. </w:t>
      </w:r>
    </w:p>
    <w:p w:rsidR="002A7726" w:rsidRDefault="002A7726">
      <w:pPr>
        <w:ind w:left="1267" w:hanging="1267"/>
      </w:pPr>
      <w:r>
        <w:tab/>
      </w:r>
      <w:r>
        <w:tab/>
        <w:t xml:space="preserve">2.5.1 Improve and facilitate access to leisure and recreational activities for adults. </w:t>
      </w:r>
    </w:p>
    <w:p w:rsidR="00490883" w:rsidRDefault="002A7726">
      <w:pPr>
        <w:ind w:left="1267" w:hanging="1267"/>
      </w:pPr>
      <w:r>
        <w:tab/>
        <w:t xml:space="preserve">2.5.2 Contribute to partnership working to reduce health inequalities. </w:t>
      </w:r>
    </w:p>
    <w:p w:rsidR="00490883" w:rsidRDefault="00BF34FA">
      <w:pPr>
        <w:ind w:left="1267" w:hanging="1267"/>
      </w:pPr>
      <w:r>
        <w:tab/>
      </w:r>
    </w:p>
    <w:p w:rsidR="002A7726" w:rsidRDefault="00490883" w:rsidP="00193C50">
      <w:pPr>
        <w:ind w:left="1267" w:hanging="1267"/>
      </w:pPr>
      <w:r>
        <w:t>4.3</w:t>
      </w:r>
      <w:r>
        <w:tab/>
        <w:t>The impact of the recommendations on</w:t>
      </w:r>
      <w:r w:rsidR="002A7726">
        <w:t xml:space="preserve"> </w:t>
      </w:r>
      <w:r>
        <w:t xml:space="preserve">these </w:t>
      </w:r>
      <w:r w:rsidR="002A7726">
        <w:t xml:space="preserve">objectives is to set their performance targets for the next 3 years. </w:t>
      </w:r>
    </w:p>
    <w:p w:rsidR="00490883" w:rsidRDefault="002A7726">
      <w:pPr>
        <w:ind w:left="1267" w:hanging="1267"/>
      </w:pPr>
      <w:r w:rsidDel="002A7726">
        <w:t xml:space="preserve"> </w:t>
      </w:r>
    </w:p>
    <w:p w:rsidR="00BF34FA" w:rsidRPr="002A7726" w:rsidRDefault="002A7726">
      <w:pPr>
        <w:keepNext/>
        <w:ind w:left="1267" w:hanging="1267"/>
      </w:pPr>
      <w:r w:rsidRPr="00193C50">
        <w:rPr>
          <w:color w:val="000000" w:themeColor="text1"/>
        </w:rPr>
        <w:t>5.</w:t>
      </w:r>
      <w:r w:rsidR="00BF34FA" w:rsidRPr="00193C50">
        <w:fldChar w:fldCharType="begin"/>
      </w:r>
      <w:r w:rsidR="00BF34FA" w:rsidRPr="002A7726">
        <w:instrText xml:space="preserve">  </w:instrText>
      </w:r>
      <w:r w:rsidR="00BF34FA" w:rsidRPr="00193C50">
        <w:fldChar w:fldCharType="end"/>
      </w:r>
      <w:r w:rsidR="00BF34FA" w:rsidRPr="002A7726">
        <w:tab/>
      </w:r>
      <w:r w:rsidR="00BF34FA" w:rsidRPr="002A7726">
        <w:rPr>
          <w:b/>
        </w:rPr>
        <w:t>Financial, Legal,</w:t>
      </w:r>
      <w:r>
        <w:rPr>
          <w:b/>
        </w:rPr>
        <w:t xml:space="preserve"> </w:t>
      </w:r>
      <w:r w:rsidR="00BF34FA" w:rsidRPr="002A7726">
        <w:rPr>
          <w:b/>
        </w:rPr>
        <w:t>Staffing, Environmental, Community Safety</w:t>
      </w:r>
      <w:r w:rsidR="00490883" w:rsidRPr="002A7726">
        <w:rPr>
          <w:b/>
        </w:rPr>
        <w:t xml:space="preserve">, </w:t>
      </w:r>
      <w:r w:rsidR="00BF34FA" w:rsidRPr="002A7726">
        <w:rPr>
          <w:b/>
        </w:rPr>
        <w:t xml:space="preserve">Customer Services Centre, </w:t>
      </w:r>
      <w:r>
        <w:rPr>
          <w:b/>
        </w:rPr>
        <w:t xml:space="preserve">and </w:t>
      </w:r>
      <w:r w:rsidR="00BF34FA" w:rsidRPr="002A7726">
        <w:rPr>
          <w:b/>
        </w:rPr>
        <w:t>Communications &amp; Website Implications</w:t>
      </w:r>
    </w:p>
    <w:p w:rsidR="00BF34FA" w:rsidRDefault="00BF34FA">
      <w:pPr>
        <w:keepNext/>
        <w:ind w:left="1267" w:hanging="1267"/>
      </w:pPr>
    </w:p>
    <w:p w:rsidR="00BF34FA" w:rsidRDefault="002A7726">
      <w:pPr>
        <w:ind w:left="1267" w:hanging="1267"/>
      </w:pPr>
      <w:r>
        <w:t>5.1</w:t>
      </w:r>
      <w:r w:rsidR="00BF34FA">
        <w:fldChar w:fldCharType="begin"/>
      </w:r>
      <w:r w:rsidR="00BF34FA">
        <w:instrText xml:space="preserve">  </w:instrText>
      </w:r>
      <w:r w:rsidR="00BF34FA">
        <w:fldChar w:fldCharType="end"/>
      </w:r>
      <w:r w:rsidR="00BF34FA">
        <w:tab/>
        <w:t>None specific.</w:t>
      </w:r>
    </w:p>
    <w:p w:rsidR="00BF34FA" w:rsidRDefault="00BF34FA">
      <w:pPr>
        <w:ind w:left="1267" w:hanging="1267"/>
      </w:pPr>
    </w:p>
    <w:p w:rsidR="00BF34FA" w:rsidRDefault="002A7726">
      <w:pPr>
        <w:keepNext/>
        <w:ind w:left="1267" w:hanging="1267"/>
        <w:rPr>
          <w:b/>
        </w:rPr>
      </w:pPr>
      <w:r>
        <w:t>6</w:t>
      </w:r>
      <w:r w:rsidR="00BF34FA">
        <w:t>.</w:t>
      </w:r>
      <w:r w:rsidR="00BF34FA">
        <w:tab/>
      </w:r>
      <w:r w:rsidR="00BF34FA">
        <w:rPr>
          <w:b/>
        </w:rPr>
        <w:t>Equal Opportunities Implications</w:t>
      </w:r>
    </w:p>
    <w:p w:rsidR="00BF34FA" w:rsidRDefault="00BF34FA">
      <w:pPr>
        <w:keepNext/>
        <w:ind w:left="1267" w:hanging="1267"/>
        <w:rPr>
          <w:b/>
        </w:rPr>
      </w:pPr>
    </w:p>
    <w:p w:rsidR="00BF34FA" w:rsidRDefault="002A7726">
      <w:pPr>
        <w:keepNext/>
        <w:keepLines/>
        <w:ind w:left="1259" w:hanging="1259"/>
        <w:rPr>
          <w:b/>
        </w:rPr>
      </w:pPr>
      <w:r>
        <w:t>6</w:t>
      </w:r>
      <w:r w:rsidR="00BF34FA">
        <w:t>.1</w:t>
      </w:r>
      <w:r w:rsidR="00BF34FA">
        <w:tab/>
      </w:r>
      <w:r w:rsidR="00BF34FA">
        <w:rPr>
          <w:b/>
        </w:rPr>
        <w:t>Relevance Test</w:t>
      </w:r>
    </w:p>
    <w:p w:rsidR="00BF34FA" w:rsidRDefault="00BF34FA">
      <w:pPr>
        <w:keepNext/>
        <w:keepLines/>
        <w:ind w:left="1259" w:hanging="1259"/>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BF34FA">
        <w:tc>
          <w:tcPr>
            <w:tcW w:w="6096" w:type="dxa"/>
          </w:tcPr>
          <w:p w:rsidR="00BF34FA" w:rsidRDefault="00BF34FA">
            <w:pPr>
              <w:keepNext/>
              <w:keepLines/>
            </w:pPr>
            <w:r>
              <w:t>Has a relevance test been completed for Equality Impact?</w:t>
            </w:r>
          </w:p>
          <w:p w:rsidR="00BF34FA" w:rsidRDefault="00BF34FA" w:rsidP="00193C50"/>
        </w:tc>
        <w:tc>
          <w:tcPr>
            <w:tcW w:w="1984" w:type="dxa"/>
          </w:tcPr>
          <w:p w:rsidR="00BF34FA" w:rsidRDefault="00BF34FA">
            <w:pPr>
              <w:rPr>
                <w:i/>
                <w:color w:val="FF0000"/>
              </w:rPr>
            </w:pPr>
            <w:r>
              <w:t xml:space="preserve">Yes </w:t>
            </w:r>
          </w:p>
        </w:tc>
      </w:tr>
      <w:tr w:rsidR="00BF34FA">
        <w:tc>
          <w:tcPr>
            <w:tcW w:w="6096" w:type="dxa"/>
          </w:tcPr>
          <w:p w:rsidR="00BF34FA" w:rsidRDefault="00BF34FA">
            <w:pPr>
              <w:keepNext/>
              <w:keepLines/>
            </w:pPr>
            <w:r>
              <w:t>Did the relevance test conclude a full impact assessment was required?</w:t>
            </w:r>
          </w:p>
          <w:p w:rsidR="00BF34FA" w:rsidRDefault="00BF34FA">
            <w:pPr>
              <w:rPr>
                <w:i/>
                <w:color w:val="FF0000"/>
              </w:rPr>
            </w:pPr>
          </w:p>
        </w:tc>
        <w:tc>
          <w:tcPr>
            <w:tcW w:w="1984" w:type="dxa"/>
          </w:tcPr>
          <w:p w:rsidR="00BF34FA" w:rsidRDefault="00BF34FA">
            <w:r>
              <w:t xml:space="preserve">No </w:t>
            </w:r>
          </w:p>
        </w:tc>
      </w:tr>
    </w:tbl>
    <w:p w:rsidR="00BF34FA" w:rsidRPr="00193C50" w:rsidRDefault="00BF34FA">
      <w:pPr>
        <w:ind w:left="1267" w:hanging="1267"/>
        <w:rPr>
          <w:i/>
          <w:color w:val="008000"/>
        </w:rPr>
      </w:pPr>
      <w:r w:rsidRPr="002A7726">
        <w:tab/>
      </w:r>
      <w:r w:rsidR="002A7726" w:rsidRPr="00193C50">
        <w:rPr>
          <w:color w:val="000000" w:themeColor="text1"/>
        </w:rPr>
        <w:t xml:space="preserve">Whilst </w:t>
      </w:r>
      <w:r w:rsidR="002A7726">
        <w:rPr>
          <w:color w:val="000000" w:themeColor="text1"/>
        </w:rPr>
        <w:t xml:space="preserve">older people, and people with long term conditions and disabilities are over represented in the inactive adult population, setting targets to increase adult activity levels should address these existing inequalities. </w:t>
      </w:r>
    </w:p>
    <w:p w:rsidR="00BF34FA" w:rsidRDefault="00BF34FA">
      <w:pPr>
        <w:ind w:left="1260" w:hanging="1260"/>
      </w:pPr>
    </w:p>
    <w:p w:rsidR="00BF34FA" w:rsidRDefault="00BF34FA"/>
    <w:p w:rsidR="00BF34FA" w:rsidRDefault="00BF34FA"/>
    <w:p w:rsidR="00490883" w:rsidRPr="00490883" w:rsidRDefault="002A7726">
      <w:pPr>
        <w:keepNext/>
        <w:ind w:left="1267" w:hanging="1267"/>
        <w:rPr>
          <w:b/>
        </w:rPr>
      </w:pPr>
      <w:r>
        <w:lastRenderedPageBreak/>
        <w:t>7</w:t>
      </w:r>
      <w:r w:rsidR="00BF34FA">
        <w:t>.</w:t>
      </w:r>
      <w:r w:rsidR="00BF34FA">
        <w:tab/>
      </w:r>
      <w:r w:rsidR="00490883">
        <w:rPr>
          <w:b/>
        </w:rPr>
        <w:t xml:space="preserve">Public </w:t>
      </w:r>
      <w:r w:rsidR="00874DCD">
        <w:rPr>
          <w:b/>
        </w:rPr>
        <w:t>Health</w:t>
      </w:r>
      <w:r w:rsidR="00490883">
        <w:rPr>
          <w:b/>
        </w:rPr>
        <w:t xml:space="preserve"> implications</w:t>
      </w:r>
    </w:p>
    <w:p w:rsidR="00490883" w:rsidRDefault="00490883">
      <w:pPr>
        <w:keepNext/>
        <w:ind w:left="1267" w:hanging="1267"/>
      </w:pPr>
    </w:p>
    <w:p w:rsidR="00490883" w:rsidRDefault="002A7726">
      <w:pPr>
        <w:keepNext/>
        <w:ind w:left="1267" w:hanging="1267"/>
      </w:pPr>
      <w:r>
        <w:t>7</w:t>
      </w:r>
      <w:r w:rsidR="00490883">
        <w:t>.1</w:t>
      </w:r>
      <w:r w:rsidR="00490883">
        <w:tab/>
      </w:r>
      <w:r>
        <w:t xml:space="preserve">The purpose of the Three Rivers Physical Activity Strategy is to reduce levels of inactivity, increase regular participation and contribute to a healthier, more active Three Rivers. </w:t>
      </w:r>
      <w:r w:rsidR="00C572A1">
        <w:t xml:space="preserve">The Strategy is in line with the new national </w:t>
      </w:r>
      <w:r w:rsidR="00C572A1" w:rsidRPr="00F239A9">
        <w:rPr>
          <w:i/>
        </w:rPr>
        <w:t>Towards an Active Nation strategy for 2017-21</w:t>
      </w:r>
      <w:r w:rsidR="00C572A1">
        <w:t>. It is also in line with the priorities of:</w:t>
      </w:r>
    </w:p>
    <w:p w:rsidR="00C572A1" w:rsidRDefault="00C572A1" w:rsidP="00193C50">
      <w:pPr>
        <w:pStyle w:val="ListParagraph"/>
        <w:keepNext/>
        <w:numPr>
          <w:ilvl w:val="0"/>
          <w:numId w:val="1"/>
        </w:numPr>
      </w:pPr>
      <w:r>
        <w:t>Hertfordshire Physical Activity and Sport Framework 2015</w:t>
      </w:r>
    </w:p>
    <w:p w:rsidR="00C572A1" w:rsidRDefault="00C572A1" w:rsidP="00193C50">
      <w:pPr>
        <w:pStyle w:val="ListParagraph"/>
        <w:keepNext/>
        <w:numPr>
          <w:ilvl w:val="0"/>
          <w:numId w:val="1"/>
        </w:numPr>
      </w:pPr>
      <w:r>
        <w:t>Hertfordshire Health and Wellbeing Strategy 2016-2020</w:t>
      </w:r>
    </w:p>
    <w:p w:rsidR="00C572A1" w:rsidRPr="00C572A1" w:rsidRDefault="00C572A1" w:rsidP="00193C50">
      <w:pPr>
        <w:pStyle w:val="ListParagraph"/>
        <w:keepNext/>
        <w:numPr>
          <w:ilvl w:val="0"/>
          <w:numId w:val="1"/>
        </w:numPr>
      </w:pPr>
      <w:r>
        <w:t>Healthier Herts – A Public Health Strategy for Hertfordshire 2013-17</w:t>
      </w:r>
    </w:p>
    <w:p w:rsidR="00490883" w:rsidRDefault="00490883">
      <w:pPr>
        <w:keepNext/>
        <w:ind w:left="1267" w:hanging="1267"/>
      </w:pPr>
    </w:p>
    <w:p w:rsidR="00BF34FA" w:rsidRDefault="00C572A1">
      <w:pPr>
        <w:keepNext/>
        <w:ind w:left="1267" w:hanging="1267"/>
        <w:rPr>
          <w:b/>
        </w:rPr>
      </w:pPr>
      <w:r>
        <w:t>8</w:t>
      </w:r>
      <w:r w:rsidR="00BF34FA">
        <w:t>.</w:t>
      </w:r>
      <w:r w:rsidR="00BF34FA">
        <w:tab/>
      </w:r>
      <w:r w:rsidR="00BF34FA">
        <w:rPr>
          <w:b/>
        </w:rPr>
        <w:t>Risk Management and Health &amp; Safety Implications</w:t>
      </w:r>
    </w:p>
    <w:p w:rsidR="00BF34FA" w:rsidRPr="00193933" w:rsidRDefault="00BF34FA" w:rsidP="00193933">
      <w:pPr>
        <w:ind w:left="1260" w:hanging="1260"/>
        <w:rPr>
          <w:b/>
          <w:i/>
          <w:color w:val="008000"/>
        </w:rPr>
      </w:pPr>
      <w:r>
        <w:rPr>
          <w:b/>
          <w:i/>
          <w:color w:val="008000"/>
        </w:rPr>
        <w:tab/>
      </w:r>
    </w:p>
    <w:p w:rsidR="00BF34FA" w:rsidRDefault="00C572A1">
      <w:pPr>
        <w:ind w:left="1276" w:hanging="1276"/>
      </w:pPr>
      <w:r>
        <w:t>8</w:t>
      </w:r>
      <w:r w:rsidR="00BF34FA">
        <w:t>.1</w:t>
      </w:r>
      <w:r w:rsidR="00BF34FA">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BF34FA" w:rsidRDefault="00BF34FA"/>
    <w:p w:rsidR="00BF34FA" w:rsidRDefault="00C572A1">
      <w:pPr>
        <w:ind w:left="1260" w:hanging="1260"/>
      </w:pPr>
      <w:r>
        <w:t>8</w:t>
      </w:r>
      <w:r w:rsidR="00BF34FA">
        <w:t>.2</w:t>
      </w:r>
      <w:r w:rsidR="00BF34FA">
        <w:tab/>
        <w:t xml:space="preserve">The subject of this report is covered by the </w:t>
      </w:r>
      <w:r>
        <w:t xml:space="preserve">Community Partnerships </w:t>
      </w:r>
      <w:r w:rsidR="00BF34FA">
        <w:fldChar w:fldCharType="begin"/>
      </w:r>
      <w:r w:rsidR="00BF34FA">
        <w:instrText xml:space="preserve"> ASK   \* MERGEFORMAT </w:instrText>
      </w:r>
      <w:r w:rsidR="00BF34FA">
        <w:fldChar w:fldCharType="end"/>
      </w:r>
      <w:r w:rsidR="00BF34FA">
        <w:t>service plan</w:t>
      </w:r>
      <w:r w:rsidR="00BF34FA">
        <w:rPr>
          <w:b/>
          <w:i/>
          <w:color w:val="008000"/>
        </w:rPr>
        <w:t>.</w:t>
      </w:r>
      <w:r w:rsidR="00BF34FA">
        <w:t xml:space="preserve">  Any risks resulting from this report will be included in the risk register and, if necessary, managed within</w:t>
      </w:r>
      <w:r w:rsidR="00D873A7">
        <w:t xml:space="preserve"> this plan</w:t>
      </w:r>
      <w:r>
        <w:t>.</w:t>
      </w:r>
    </w:p>
    <w:p w:rsidR="00BF34FA" w:rsidRDefault="00BF34FA"/>
    <w:p w:rsidR="00BF34FA" w:rsidRDefault="00C572A1">
      <w:pPr>
        <w:ind w:left="1276" w:hanging="1276"/>
      </w:pPr>
      <w:r>
        <w:t>8</w:t>
      </w:r>
      <w:r w:rsidR="00BF34FA">
        <w:t>.3</w:t>
      </w:r>
      <w:r w:rsidR="00BF34FA">
        <w:tab/>
        <w:t>There are no risks to the Council in agreeing the recommendation</w:t>
      </w:r>
      <w:r w:rsidR="00BF34FA">
        <w:rPr>
          <w:b/>
          <w:i/>
          <w:color w:val="008000"/>
        </w:rPr>
        <w:t>.</w:t>
      </w:r>
    </w:p>
    <w:p w:rsidR="00BF34FA" w:rsidRDefault="00BF34FA"/>
    <w:p w:rsidR="00BF34FA" w:rsidRDefault="00C572A1">
      <w:pPr>
        <w:ind w:left="1276" w:hanging="1276"/>
      </w:pPr>
      <w:r>
        <w:t>8</w:t>
      </w:r>
      <w:r w:rsidR="00FA0C1C">
        <w:t>.4</w:t>
      </w:r>
      <w:r w:rsidR="00FA0C1C">
        <w:tab/>
      </w:r>
      <w:r w:rsidR="00BF34FA">
        <w:tab/>
        <w:t>The following table gives the risks that would exist if the recommendation is rejected, together with a scored assessment of their impact and likelihood:</w:t>
      </w:r>
    </w:p>
    <w:p w:rsidR="00BF34FA" w:rsidRDefault="00BF34FA"/>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BF34FA">
        <w:trPr>
          <w:trHeight w:val="152"/>
        </w:trPr>
        <w:tc>
          <w:tcPr>
            <w:tcW w:w="5384" w:type="dxa"/>
            <w:gridSpan w:val="2"/>
          </w:tcPr>
          <w:p w:rsidR="00BF34FA" w:rsidRDefault="00BF34FA">
            <w:pPr>
              <w:jc w:val="center"/>
              <w:rPr>
                <w:sz w:val="20"/>
              </w:rPr>
            </w:pPr>
            <w:r>
              <w:rPr>
                <w:sz w:val="20"/>
              </w:rPr>
              <w:t>Description of Risk</w:t>
            </w:r>
          </w:p>
        </w:tc>
        <w:tc>
          <w:tcPr>
            <w:tcW w:w="1170" w:type="dxa"/>
          </w:tcPr>
          <w:p w:rsidR="00BF34FA" w:rsidRDefault="00BF34FA">
            <w:pPr>
              <w:jc w:val="center"/>
              <w:rPr>
                <w:sz w:val="20"/>
              </w:rPr>
            </w:pPr>
            <w:r>
              <w:rPr>
                <w:sz w:val="20"/>
              </w:rPr>
              <w:t>Impact</w:t>
            </w:r>
          </w:p>
        </w:tc>
        <w:tc>
          <w:tcPr>
            <w:tcW w:w="1350" w:type="dxa"/>
          </w:tcPr>
          <w:p w:rsidR="00BF34FA" w:rsidRDefault="00BF34FA">
            <w:pPr>
              <w:ind w:left="34"/>
              <w:jc w:val="center"/>
              <w:rPr>
                <w:sz w:val="20"/>
              </w:rPr>
            </w:pPr>
            <w:r>
              <w:rPr>
                <w:sz w:val="20"/>
              </w:rPr>
              <w:t>Likelihood</w:t>
            </w:r>
          </w:p>
        </w:tc>
      </w:tr>
      <w:tr w:rsidR="00BF34FA">
        <w:tc>
          <w:tcPr>
            <w:tcW w:w="328" w:type="dxa"/>
          </w:tcPr>
          <w:p w:rsidR="00BF34FA" w:rsidRDefault="00BF34FA">
            <w:pPr>
              <w:jc w:val="left"/>
              <w:rPr>
                <w:sz w:val="20"/>
              </w:rPr>
            </w:pPr>
            <w:r>
              <w:rPr>
                <w:sz w:val="20"/>
              </w:rPr>
              <w:t>1</w:t>
            </w:r>
          </w:p>
        </w:tc>
        <w:tc>
          <w:tcPr>
            <w:tcW w:w="5056" w:type="dxa"/>
          </w:tcPr>
          <w:p w:rsidR="00BF34FA" w:rsidRDefault="00C572A1">
            <w:pPr>
              <w:jc w:val="left"/>
              <w:rPr>
                <w:sz w:val="20"/>
              </w:rPr>
            </w:pPr>
            <w:r>
              <w:rPr>
                <w:sz w:val="20"/>
              </w:rPr>
              <w:t xml:space="preserve">No performance indicator or target or performance measure is set for an objective of the Strategic Plan </w:t>
            </w:r>
          </w:p>
        </w:tc>
        <w:tc>
          <w:tcPr>
            <w:tcW w:w="1170" w:type="dxa"/>
          </w:tcPr>
          <w:p w:rsidR="00BF34FA" w:rsidRDefault="00C572A1">
            <w:pPr>
              <w:jc w:val="center"/>
              <w:rPr>
                <w:sz w:val="20"/>
              </w:rPr>
            </w:pPr>
            <w:r>
              <w:rPr>
                <w:sz w:val="20"/>
              </w:rPr>
              <w:t>III</w:t>
            </w:r>
          </w:p>
        </w:tc>
        <w:tc>
          <w:tcPr>
            <w:tcW w:w="1350" w:type="dxa"/>
          </w:tcPr>
          <w:p w:rsidR="00BF34FA" w:rsidRDefault="00C572A1">
            <w:pPr>
              <w:jc w:val="center"/>
              <w:rPr>
                <w:sz w:val="20"/>
              </w:rPr>
            </w:pPr>
            <w:r>
              <w:rPr>
                <w:sz w:val="20"/>
              </w:rPr>
              <w:t>A</w:t>
            </w:r>
          </w:p>
        </w:tc>
      </w:tr>
      <w:tr w:rsidR="00C572A1">
        <w:tc>
          <w:tcPr>
            <w:tcW w:w="328" w:type="dxa"/>
          </w:tcPr>
          <w:p w:rsidR="00C572A1" w:rsidRDefault="00C572A1">
            <w:pPr>
              <w:jc w:val="left"/>
              <w:rPr>
                <w:sz w:val="20"/>
              </w:rPr>
            </w:pPr>
            <w:r>
              <w:rPr>
                <w:sz w:val="20"/>
              </w:rPr>
              <w:t>2</w:t>
            </w:r>
          </w:p>
        </w:tc>
        <w:tc>
          <w:tcPr>
            <w:tcW w:w="5056" w:type="dxa"/>
          </w:tcPr>
          <w:p w:rsidR="00C572A1" w:rsidRDefault="00C572A1">
            <w:pPr>
              <w:jc w:val="left"/>
              <w:rPr>
                <w:sz w:val="20"/>
              </w:rPr>
            </w:pPr>
            <w:r>
              <w:rPr>
                <w:sz w:val="20"/>
              </w:rPr>
              <w:t>No data will be available to measure the performance of the Physical Activity Strategy due to national targets and measures changing</w:t>
            </w:r>
          </w:p>
        </w:tc>
        <w:tc>
          <w:tcPr>
            <w:tcW w:w="1170" w:type="dxa"/>
          </w:tcPr>
          <w:p w:rsidR="00C572A1" w:rsidRDefault="00C572A1">
            <w:pPr>
              <w:jc w:val="center"/>
              <w:rPr>
                <w:sz w:val="20"/>
              </w:rPr>
            </w:pPr>
            <w:r>
              <w:rPr>
                <w:sz w:val="20"/>
              </w:rPr>
              <w:t>III</w:t>
            </w:r>
          </w:p>
        </w:tc>
        <w:tc>
          <w:tcPr>
            <w:tcW w:w="1350" w:type="dxa"/>
          </w:tcPr>
          <w:p w:rsidR="00C572A1" w:rsidRDefault="00C572A1">
            <w:pPr>
              <w:jc w:val="center"/>
              <w:rPr>
                <w:sz w:val="20"/>
              </w:rPr>
            </w:pPr>
            <w:r>
              <w:rPr>
                <w:sz w:val="20"/>
              </w:rPr>
              <w:t>A</w:t>
            </w:r>
          </w:p>
        </w:tc>
      </w:tr>
    </w:tbl>
    <w:p w:rsidR="00BF34FA" w:rsidRDefault="00BF34FA">
      <w:pPr>
        <w:pStyle w:val="Header"/>
        <w:tabs>
          <w:tab w:val="clear" w:pos="4153"/>
          <w:tab w:val="clear" w:pos="8306"/>
          <w:tab w:val="left" w:pos="1260"/>
          <w:tab w:val="left" w:pos="1980"/>
          <w:tab w:val="left" w:pos="2700"/>
          <w:tab w:val="left" w:pos="3420"/>
        </w:tabs>
      </w:pPr>
    </w:p>
    <w:p w:rsidR="00BF34FA" w:rsidRDefault="00C572A1">
      <w:pPr>
        <w:pStyle w:val="BodyTextIndent"/>
        <w:tabs>
          <w:tab w:val="clear" w:pos="1260"/>
          <w:tab w:val="left" w:pos="1276"/>
        </w:tabs>
      </w:pPr>
      <w:r>
        <w:t>8</w:t>
      </w:r>
      <w:r w:rsidR="00BF34FA">
        <w:t>.5</w:t>
      </w:r>
      <w:r w:rsidR="00BF34FA">
        <w:tab/>
        <w:t>Of the risks detailed above none is already managed within a service plan.</w:t>
      </w:r>
    </w:p>
    <w:p w:rsidR="00BF34FA" w:rsidRDefault="00BF34FA">
      <w:bookmarkStart w:id="0" w:name="_GoBack"/>
      <w:bookmarkEnd w:id="0"/>
    </w:p>
    <w:p w:rsidR="00BF34FA" w:rsidRDefault="00C572A1">
      <w:pPr>
        <w:ind w:left="1276" w:hanging="1276"/>
      </w:pPr>
      <w:r>
        <w:t>8</w:t>
      </w:r>
      <w:r w:rsidR="00BF34FA">
        <w:t>.6</w:t>
      </w:r>
      <w:r w:rsidR="00BF34FA">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BF34FA" w:rsidRDefault="00BF34FA">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BF34FA">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BF34FA" w:rsidRDefault="001551C8">
            <w:pPr>
              <w:keepNext/>
              <w:keepLines/>
              <w:ind w:left="113" w:right="113"/>
              <w:jc w:val="center"/>
              <w:rPr>
                <w:b/>
                <w:szCs w:val="22"/>
              </w:rPr>
            </w:pPr>
            <w:r>
              <w:rPr>
                <w:b/>
                <w:noProof/>
                <w:szCs w:val="22"/>
              </w:rPr>
              <mc:AlternateContent>
                <mc:Choice Requires="wps">
                  <w:drawing>
                    <wp:anchor distT="0" distB="0" distL="114300" distR="114300" simplePos="0" relativeHeight="251657216" behindDoc="0" locked="0" layoutInCell="0" allowOverlap="1" wp14:anchorId="7516479C" wp14:editId="72C63071">
                      <wp:simplePos x="0" y="0"/>
                      <wp:positionH relativeFrom="column">
                        <wp:posOffset>1115695</wp:posOffset>
                      </wp:positionH>
                      <wp:positionV relativeFrom="paragraph">
                        <wp:posOffset>107950</wp:posOffset>
                      </wp:positionV>
                      <wp:extent cx="0" cy="129667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CWLwIAAFQ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cI0U6&#10;KNFWKI7yoExvXAEOldrZkBs9q0ez1fS7Q0pXLVEHHhk+XQyEZSEieRMSNs4A/r7/rBn4kKPXUaZz&#10;YzvUSGG+hcAADlKgc6zL5VYXfvaIDocUTrN8MZvdxZolpAgQIdBY5z9x3aFglFgC+whITlvnA6UX&#10;l+Cu9EZIGcsuFepLvJjm0xjgtBQsXAY3Zw/7Slp0IqFx4i/mBzev3aw+KhbBWk7Y+mp7IiTYyEdh&#10;vBUgleQ4vNZxhpHkMCvBGuhJFV6EZIHw1Rp658ciXazn6/lkNMln69EkrevRx001Gc022d20/lBX&#10;VZ39DOSzSdEKxrgK/J/7OJv8XZ9cJ2rowFsn34RK3qJHRYHs838kHeseSj00zV6zy86G7EILQOtG&#10;5+uYhdl4vY9eLx+D1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2LTwli8CAABUBAAADgAAAAAAAAAAAAAAAAAuAgAA&#10;ZHJzL2Uyb0RvYy54bWxQSwECLQAUAAYACAAAACEAxMC8G94AAAAKAQAADwAAAAAAAAAAAAAAAACJ&#10;BAAAZHJzL2Rvd25yZXYueG1sUEsFBgAAAAAEAAQA8wAAAJQFAAAAAA==&#10;" o:allowincell="f">
                      <v:stroke endarrow="block"/>
                    </v:line>
                  </w:pict>
                </mc:Fallback>
              </mc:AlternateContent>
            </w:r>
            <w:r>
              <w:rPr>
                <w:noProof/>
                <w:szCs w:val="22"/>
              </w:rPr>
              <mc:AlternateContent>
                <mc:Choice Requires="wps">
                  <w:drawing>
                    <wp:anchor distT="0" distB="0" distL="114300" distR="114300" simplePos="0" relativeHeight="251658240" behindDoc="0" locked="0" layoutInCell="0" allowOverlap="1" wp14:anchorId="383D5A29" wp14:editId="24B89B28">
                      <wp:simplePos x="0" y="0"/>
                      <wp:positionH relativeFrom="column">
                        <wp:posOffset>1298575</wp:posOffset>
                      </wp:positionH>
                      <wp:positionV relativeFrom="paragraph">
                        <wp:posOffset>1388110</wp:posOffset>
                      </wp:positionV>
                      <wp:extent cx="2286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ktKAIAAEo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MOgdRor0&#10;0KKNUBw9BGUG40oIqNXWhtroST2bjabfHFK67oja88jw5WwgLQsZyZuUsHEG8HfDZ80ghhy8jjKd&#10;WtsHSBAAnWI3zvdu8JNHFD7m+WyaptA0evMlpLwlGuv8J657FIwKS+Acgclx43wgQspbSDhH6bWQ&#10;MjZbKjRUeD7JJzHBaSlYcIYwZ/e7Wlp0JGFc4hOrAs/rMKsPikWwjhO2utqeCAk28lEObwUIJDkO&#10;p/WcYSQ53JBgXehJFU6EYoHw1bpMzPd5Ol/NVrNiVOTT1ahIm2b0cV0Xo+k6+zBpHpq6brIfgXxW&#10;lJ1gjKvA/za9WfF303G9R5e5u8/vXajkLXpUFMje3pF07HZo8GVUdpqdtzZUFxoPAxuDr5cr3IjX&#10;+xj16xew/Ak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hD8JLSgCAABKBAAADgAAAAAAAAAAAAAAAAAuAgAAZHJzL2Uy&#10;b0RvYy54bWxQSwECLQAUAAYACAAAACEASGthZd8AAAALAQAADwAAAAAAAAAAAAAAAACCBAAAZHJz&#10;L2Rvd25yZXYueG1sUEsFBgAAAAAEAAQA8wAAAI4FAAAAAA==&#10;" o:allowincell="f">
                      <v:stroke endarrow="block"/>
                    </v:line>
                  </w:pict>
                </mc:Fallback>
              </mc:AlternateContent>
            </w:r>
            <w:r w:rsidR="00BF34FA">
              <w:rPr>
                <w:b/>
                <w:szCs w:val="22"/>
              </w:rPr>
              <w:t>Likelihood</w:t>
            </w:r>
          </w:p>
        </w:tc>
        <w:tc>
          <w:tcPr>
            <w:tcW w:w="452" w:type="dxa"/>
            <w:tcBorders>
              <w:top w:val="single" w:sz="4" w:space="0" w:color="auto"/>
              <w:left w:val="single" w:sz="4" w:space="0" w:color="auto"/>
            </w:tcBorders>
          </w:tcPr>
          <w:p w:rsidR="00BF34FA" w:rsidRDefault="00BF34FA">
            <w:pPr>
              <w:keepNext/>
              <w:keepLines/>
            </w:pPr>
            <w:r>
              <w:t>A</w:t>
            </w:r>
          </w:p>
        </w:tc>
        <w:tc>
          <w:tcPr>
            <w:tcW w:w="723" w:type="dxa"/>
            <w:tcBorders>
              <w:top w:val="single" w:sz="4" w:space="0" w:color="auto"/>
            </w:tcBorders>
            <w:shd w:val="pct15" w:color="auto" w:fill="FFFFFF"/>
          </w:tcPr>
          <w:p w:rsidR="00BF34FA" w:rsidRDefault="00BF34FA">
            <w:pPr>
              <w:keepNext/>
              <w:keepLines/>
            </w:pPr>
          </w:p>
        </w:tc>
        <w:tc>
          <w:tcPr>
            <w:tcW w:w="723" w:type="dxa"/>
            <w:tcBorders>
              <w:top w:val="single" w:sz="4" w:space="0" w:color="auto"/>
            </w:tcBorders>
          </w:tcPr>
          <w:p w:rsidR="00BF34FA" w:rsidRDefault="00BF34FA">
            <w:pPr>
              <w:keepNext/>
              <w:keepLines/>
            </w:pPr>
          </w:p>
        </w:tc>
        <w:tc>
          <w:tcPr>
            <w:tcW w:w="724" w:type="dxa"/>
            <w:tcBorders>
              <w:top w:val="single" w:sz="4" w:space="0" w:color="auto"/>
              <w:bottom w:val="single" w:sz="4" w:space="0" w:color="auto"/>
            </w:tcBorders>
          </w:tcPr>
          <w:p w:rsidR="00BF34FA" w:rsidRDefault="00C572A1">
            <w:pPr>
              <w:keepNext/>
              <w:keepLines/>
            </w:pPr>
            <w:r>
              <w:t>1, 2</w:t>
            </w: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top w:val="single" w:sz="4" w:space="0" w:color="auto"/>
              <w:bottom w:val="single" w:sz="4" w:space="0" w:color="auto"/>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Impact</w:t>
            </w:r>
          </w:p>
        </w:tc>
        <w:tc>
          <w:tcPr>
            <w:tcW w:w="1608" w:type="dxa"/>
            <w:tcBorders>
              <w:top w:val="nil"/>
              <w:left w:val="nil"/>
              <w:bottom w:val="nil"/>
              <w:right w:val="nil"/>
            </w:tcBorders>
          </w:tcPr>
          <w:p w:rsidR="00BF34FA" w:rsidRDefault="00BF34FA">
            <w:pPr>
              <w:keepNext/>
              <w:keepLines/>
              <w:rPr>
                <w:sz w:val="16"/>
              </w:rPr>
            </w:pPr>
            <w:r>
              <w:rPr>
                <w:sz w:val="16"/>
              </w:rPr>
              <w:t>Likelihood</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B</w:t>
            </w:r>
          </w:p>
        </w:tc>
        <w:tc>
          <w:tcPr>
            <w:tcW w:w="723" w:type="dxa"/>
            <w:shd w:val="pct15" w:color="auto" w:fill="FFFFFF"/>
          </w:tcPr>
          <w:p w:rsidR="00BF34FA" w:rsidRDefault="00BF34FA">
            <w:pPr>
              <w:keepNext/>
              <w:keepLines/>
            </w:pPr>
          </w:p>
        </w:tc>
        <w:tc>
          <w:tcPr>
            <w:tcW w:w="723" w:type="dxa"/>
          </w:tcPr>
          <w:p w:rsidR="00BF34FA" w:rsidRDefault="00BF34FA">
            <w:pPr>
              <w:keepNext/>
              <w:keepLines/>
            </w:pPr>
          </w:p>
        </w:tc>
        <w:tc>
          <w:tcPr>
            <w:tcW w:w="724" w:type="dxa"/>
            <w:tcBorders>
              <w:bottom w:val="single" w:sz="4" w:space="0" w:color="auto"/>
            </w:tcBorders>
          </w:tcPr>
          <w:p w:rsidR="00BF34FA" w:rsidRDefault="00BF34FA">
            <w:pPr>
              <w:keepNext/>
              <w:keepLines/>
            </w:pPr>
          </w:p>
        </w:tc>
        <w:tc>
          <w:tcPr>
            <w:tcW w:w="723" w:type="dxa"/>
            <w:tcBorders>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V = Catastrophic</w:t>
            </w:r>
          </w:p>
        </w:tc>
        <w:tc>
          <w:tcPr>
            <w:tcW w:w="1608" w:type="dxa"/>
            <w:tcBorders>
              <w:top w:val="nil"/>
              <w:left w:val="nil"/>
              <w:bottom w:val="nil"/>
              <w:right w:val="nil"/>
            </w:tcBorders>
          </w:tcPr>
          <w:p w:rsidR="00BF34FA" w:rsidRDefault="00BF34FA">
            <w:pPr>
              <w:keepNext/>
              <w:keepLines/>
              <w:rPr>
                <w:sz w:val="16"/>
              </w:rPr>
            </w:pPr>
            <w:r>
              <w:rPr>
                <w:sz w:val="16"/>
              </w:rPr>
              <w:t>A = &gt;98%</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C</w:t>
            </w:r>
          </w:p>
        </w:tc>
        <w:tc>
          <w:tcPr>
            <w:tcW w:w="723" w:type="dxa"/>
            <w:shd w:val="pct15" w:color="auto" w:fill="FFFFFF"/>
          </w:tcPr>
          <w:p w:rsidR="00BF34FA" w:rsidRDefault="00BF34FA">
            <w:pPr>
              <w:keepNext/>
              <w:keepLines/>
            </w:pPr>
          </w:p>
        </w:tc>
        <w:tc>
          <w:tcPr>
            <w:tcW w:w="723" w:type="dxa"/>
            <w:tcBorders>
              <w:top w:val="single" w:sz="4" w:space="0" w:color="auto"/>
              <w:bottom w:val="single" w:sz="4" w:space="0" w:color="auto"/>
            </w:tcBorders>
          </w:tcPr>
          <w:p w:rsidR="00BF34FA" w:rsidRDefault="00BF34FA">
            <w:pPr>
              <w:keepNext/>
              <w:keepLines/>
            </w:pP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IV = Critical</w:t>
            </w:r>
          </w:p>
        </w:tc>
        <w:tc>
          <w:tcPr>
            <w:tcW w:w="1608" w:type="dxa"/>
            <w:tcBorders>
              <w:top w:val="nil"/>
              <w:left w:val="nil"/>
              <w:bottom w:val="nil"/>
              <w:right w:val="nil"/>
            </w:tcBorders>
          </w:tcPr>
          <w:p w:rsidR="00BF34FA" w:rsidRDefault="00BF34FA">
            <w:pPr>
              <w:keepNext/>
              <w:keepLines/>
              <w:rPr>
                <w:sz w:val="16"/>
              </w:rPr>
            </w:pPr>
            <w:r>
              <w:rPr>
                <w:sz w:val="16"/>
              </w:rPr>
              <w:t>B = 75% - 97%</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D</w:t>
            </w:r>
          </w:p>
        </w:tc>
        <w:tc>
          <w:tcPr>
            <w:tcW w:w="723" w:type="dxa"/>
            <w:tcBorders>
              <w:bottom w:val="single" w:sz="4" w:space="0" w:color="auto"/>
            </w:tcBorders>
            <w:shd w:val="pct15" w:color="auto" w:fill="FFFFFF"/>
          </w:tcPr>
          <w:p w:rsidR="00BF34FA" w:rsidRDefault="00BF34FA">
            <w:pPr>
              <w:keepNext/>
              <w:keepLines/>
            </w:pPr>
          </w:p>
        </w:tc>
        <w:tc>
          <w:tcPr>
            <w:tcW w:w="723" w:type="dxa"/>
            <w:tcBorders>
              <w:top w:val="single" w:sz="4" w:space="0" w:color="auto"/>
            </w:tcBorders>
            <w:shd w:val="pct15" w:color="auto" w:fill="FFFFFF"/>
          </w:tcPr>
          <w:p w:rsidR="00BF34FA" w:rsidRDefault="00BF34FA">
            <w:pPr>
              <w:keepNext/>
              <w:keepLines/>
            </w:pP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III = Significant</w:t>
            </w:r>
          </w:p>
        </w:tc>
        <w:tc>
          <w:tcPr>
            <w:tcW w:w="1608" w:type="dxa"/>
            <w:tcBorders>
              <w:top w:val="nil"/>
              <w:left w:val="nil"/>
              <w:bottom w:val="nil"/>
              <w:right w:val="nil"/>
            </w:tcBorders>
          </w:tcPr>
          <w:p w:rsidR="00BF34FA" w:rsidRDefault="00BF34FA">
            <w:pPr>
              <w:keepNext/>
              <w:keepLines/>
              <w:rPr>
                <w:sz w:val="16"/>
              </w:rPr>
            </w:pPr>
            <w:r>
              <w:rPr>
                <w:sz w:val="16"/>
              </w:rPr>
              <w:t>C = 50% - 74%</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E</w:t>
            </w:r>
          </w:p>
        </w:tc>
        <w:tc>
          <w:tcPr>
            <w:tcW w:w="723" w:type="dxa"/>
            <w:tcBorders>
              <w:bottom w:val="single" w:sz="4" w:space="0" w:color="auto"/>
            </w:tcBorders>
            <w:shd w:val="pct15" w:color="auto" w:fill="FFFFFF"/>
          </w:tcPr>
          <w:p w:rsidR="00BF34FA" w:rsidRDefault="00BF34FA">
            <w:pPr>
              <w:keepNext/>
              <w:keepLines/>
            </w:pPr>
          </w:p>
        </w:tc>
        <w:tc>
          <w:tcPr>
            <w:tcW w:w="723" w:type="dxa"/>
            <w:shd w:val="pct15" w:color="auto" w:fill="FFFFFF"/>
          </w:tcPr>
          <w:p w:rsidR="00BF34FA" w:rsidRDefault="00BF34FA">
            <w:pPr>
              <w:keepNext/>
              <w:keepLines/>
            </w:pPr>
          </w:p>
        </w:tc>
        <w:tc>
          <w:tcPr>
            <w:tcW w:w="724" w:type="dxa"/>
            <w:tcBorders>
              <w:bottom w:val="single" w:sz="4" w:space="0" w:color="auto"/>
            </w:tcBorders>
          </w:tcPr>
          <w:p w:rsidR="00BF34FA" w:rsidRDefault="00BF34FA">
            <w:pPr>
              <w:keepNext/>
              <w:keepLines/>
            </w:pPr>
          </w:p>
        </w:tc>
        <w:tc>
          <w:tcPr>
            <w:tcW w:w="723" w:type="dxa"/>
            <w:tcBorders>
              <w:top w:val="single" w:sz="4" w:space="0" w:color="auto"/>
              <w:right w:val="single" w:sz="4" w:space="0" w:color="auto"/>
            </w:tcBorders>
          </w:tcPr>
          <w:p w:rsidR="00BF34FA" w:rsidRDefault="00BF34FA">
            <w:pPr>
              <w:keepNext/>
              <w:keepLines/>
              <w:jc w:val="center"/>
            </w:pPr>
          </w:p>
        </w:tc>
        <w:tc>
          <w:tcPr>
            <w:tcW w:w="724" w:type="dxa"/>
            <w:tcBorders>
              <w:top w:val="single" w:sz="4" w:space="0" w:color="auto"/>
              <w:bottom w:val="single" w:sz="4" w:space="0" w:color="auto"/>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II = Marginal</w:t>
            </w:r>
          </w:p>
        </w:tc>
        <w:tc>
          <w:tcPr>
            <w:tcW w:w="1608" w:type="dxa"/>
            <w:tcBorders>
              <w:top w:val="nil"/>
              <w:left w:val="nil"/>
              <w:bottom w:val="nil"/>
              <w:right w:val="nil"/>
            </w:tcBorders>
          </w:tcPr>
          <w:p w:rsidR="00BF34FA" w:rsidRDefault="00BF34FA">
            <w:pPr>
              <w:keepNext/>
              <w:keepLines/>
              <w:rPr>
                <w:sz w:val="16"/>
              </w:rPr>
            </w:pPr>
            <w:r>
              <w:rPr>
                <w:sz w:val="16"/>
              </w:rPr>
              <w:t>D = 25% - 49%</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F</w:t>
            </w:r>
          </w:p>
        </w:tc>
        <w:tc>
          <w:tcPr>
            <w:tcW w:w="723" w:type="dxa"/>
            <w:shd w:val="pct15" w:color="auto" w:fill="FFFFFF"/>
          </w:tcPr>
          <w:p w:rsidR="00BF34FA" w:rsidRDefault="00BF34FA">
            <w:pPr>
              <w:keepNext/>
              <w:keepLines/>
            </w:pPr>
          </w:p>
        </w:tc>
        <w:tc>
          <w:tcPr>
            <w:tcW w:w="723" w:type="dxa"/>
            <w:shd w:val="pct15" w:color="auto" w:fill="FFFFFF"/>
          </w:tcPr>
          <w:p w:rsidR="00BF34FA" w:rsidRDefault="00BF34FA">
            <w:pPr>
              <w:keepNext/>
              <w:keepLines/>
            </w:pPr>
          </w:p>
        </w:tc>
        <w:tc>
          <w:tcPr>
            <w:tcW w:w="724" w:type="dxa"/>
            <w:tcBorders>
              <w:top w:val="single" w:sz="4" w:space="0" w:color="auto"/>
            </w:tcBorders>
            <w:shd w:val="pct15" w:color="auto" w:fill="FFFFFF"/>
          </w:tcPr>
          <w:p w:rsidR="00BF34FA" w:rsidRDefault="00BF34FA">
            <w:pPr>
              <w:keepNext/>
              <w:keepLines/>
            </w:pPr>
          </w:p>
        </w:tc>
        <w:tc>
          <w:tcPr>
            <w:tcW w:w="723" w:type="dxa"/>
            <w:tcBorders>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 = Negligible</w:t>
            </w:r>
          </w:p>
        </w:tc>
        <w:tc>
          <w:tcPr>
            <w:tcW w:w="1608" w:type="dxa"/>
            <w:tcBorders>
              <w:top w:val="nil"/>
              <w:left w:val="nil"/>
              <w:bottom w:val="nil"/>
              <w:right w:val="nil"/>
            </w:tcBorders>
          </w:tcPr>
          <w:p w:rsidR="00BF34FA" w:rsidRDefault="00BF34FA">
            <w:pPr>
              <w:keepNext/>
              <w:keepLines/>
              <w:rPr>
                <w:sz w:val="16"/>
              </w:rPr>
            </w:pPr>
            <w:r>
              <w:rPr>
                <w:sz w:val="16"/>
              </w:rPr>
              <w:t>E = 3% - 24%</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bottom w:val="single" w:sz="4" w:space="0" w:color="auto"/>
            </w:tcBorders>
          </w:tcPr>
          <w:p w:rsidR="00BF34FA" w:rsidRDefault="00BF34FA">
            <w:pPr>
              <w:keepNext/>
              <w:keepLines/>
            </w:pPr>
          </w:p>
        </w:tc>
        <w:tc>
          <w:tcPr>
            <w:tcW w:w="723" w:type="dxa"/>
            <w:tcBorders>
              <w:bottom w:val="single" w:sz="4" w:space="0" w:color="auto"/>
            </w:tcBorders>
          </w:tcPr>
          <w:p w:rsidR="00BF34FA" w:rsidRDefault="00BF34FA">
            <w:pPr>
              <w:keepNext/>
              <w:keepLines/>
              <w:jc w:val="center"/>
            </w:pPr>
            <w:r>
              <w:t>I</w:t>
            </w:r>
          </w:p>
        </w:tc>
        <w:tc>
          <w:tcPr>
            <w:tcW w:w="723" w:type="dxa"/>
            <w:tcBorders>
              <w:bottom w:val="single" w:sz="4" w:space="0" w:color="auto"/>
            </w:tcBorders>
          </w:tcPr>
          <w:p w:rsidR="00BF34FA" w:rsidRDefault="00BF34FA">
            <w:pPr>
              <w:keepNext/>
              <w:keepLines/>
              <w:jc w:val="center"/>
            </w:pPr>
            <w:r>
              <w:t>II</w:t>
            </w:r>
          </w:p>
        </w:tc>
        <w:tc>
          <w:tcPr>
            <w:tcW w:w="724" w:type="dxa"/>
            <w:tcBorders>
              <w:bottom w:val="single" w:sz="4" w:space="0" w:color="auto"/>
            </w:tcBorders>
          </w:tcPr>
          <w:p w:rsidR="00BF34FA" w:rsidRDefault="00BF34FA">
            <w:pPr>
              <w:keepNext/>
              <w:keepLines/>
              <w:jc w:val="center"/>
            </w:pPr>
            <w:r>
              <w:t>III</w:t>
            </w:r>
          </w:p>
        </w:tc>
        <w:tc>
          <w:tcPr>
            <w:tcW w:w="723" w:type="dxa"/>
            <w:tcBorders>
              <w:bottom w:val="single" w:sz="4" w:space="0" w:color="auto"/>
              <w:right w:val="single" w:sz="4" w:space="0" w:color="auto"/>
            </w:tcBorders>
          </w:tcPr>
          <w:p w:rsidR="00BF34FA" w:rsidRDefault="00BF34FA">
            <w:pPr>
              <w:keepNext/>
              <w:keepLines/>
              <w:jc w:val="center"/>
            </w:pPr>
            <w:r>
              <w:t>IV</w:t>
            </w:r>
          </w:p>
        </w:tc>
        <w:tc>
          <w:tcPr>
            <w:tcW w:w="724" w:type="dxa"/>
            <w:tcBorders>
              <w:bottom w:val="single" w:sz="4" w:space="0" w:color="auto"/>
              <w:right w:val="single" w:sz="4" w:space="0" w:color="auto"/>
            </w:tcBorders>
          </w:tcPr>
          <w:p w:rsidR="00BF34FA" w:rsidRDefault="00BF34FA">
            <w:pPr>
              <w:keepNext/>
              <w:keepLines/>
              <w:jc w:val="center"/>
            </w:pPr>
            <w:r>
              <w:t>V</w:t>
            </w:r>
          </w:p>
        </w:tc>
        <w:tc>
          <w:tcPr>
            <w:tcW w:w="1508" w:type="dxa"/>
            <w:tcBorders>
              <w:top w:val="nil"/>
              <w:left w:val="single" w:sz="4" w:space="0" w:color="auto"/>
              <w:bottom w:val="nil"/>
              <w:right w:val="nil"/>
            </w:tcBorders>
          </w:tcPr>
          <w:p w:rsidR="00BF34FA" w:rsidRDefault="00BF34FA">
            <w:pPr>
              <w:keepNext/>
              <w:keepLines/>
            </w:pPr>
          </w:p>
        </w:tc>
        <w:tc>
          <w:tcPr>
            <w:tcW w:w="1608" w:type="dxa"/>
            <w:tcBorders>
              <w:top w:val="nil"/>
              <w:left w:val="nil"/>
              <w:bottom w:val="nil"/>
              <w:right w:val="nil"/>
            </w:tcBorders>
          </w:tcPr>
          <w:p w:rsidR="00BF34FA" w:rsidRDefault="00BF34FA">
            <w:pPr>
              <w:keepNext/>
              <w:keepLines/>
              <w:rPr>
                <w:sz w:val="16"/>
              </w:rPr>
            </w:pPr>
            <w:r>
              <w:rPr>
                <w:sz w:val="16"/>
              </w:rPr>
              <w:t xml:space="preserve">F = </w:t>
            </w:r>
            <w:r>
              <w:rPr>
                <w:spacing w:val="-8"/>
                <w:sz w:val="16"/>
              </w:rPr>
              <w:t xml:space="preserve"> &lt;2%</w:t>
            </w:r>
          </w:p>
        </w:tc>
      </w:tr>
      <w:tr w:rsidR="00BF34FA">
        <w:trPr>
          <w:cantSplit/>
          <w:trHeight w:val="387"/>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069" w:type="dxa"/>
            <w:gridSpan w:val="6"/>
            <w:tcBorders>
              <w:left w:val="single" w:sz="4" w:space="0" w:color="auto"/>
              <w:bottom w:val="single" w:sz="4" w:space="0" w:color="auto"/>
              <w:right w:val="single" w:sz="4" w:space="0" w:color="auto"/>
            </w:tcBorders>
          </w:tcPr>
          <w:p w:rsidR="00BF34FA" w:rsidRDefault="00BF34FA">
            <w:pPr>
              <w:keepNext/>
              <w:keepLines/>
              <w:spacing w:before="40"/>
              <w:jc w:val="center"/>
              <w:rPr>
                <w:b/>
                <w:szCs w:val="22"/>
              </w:rPr>
            </w:pPr>
            <w:r>
              <w:rPr>
                <w:b/>
                <w:szCs w:val="22"/>
              </w:rPr>
              <w:t>Impact</w:t>
            </w:r>
          </w:p>
          <w:p w:rsidR="00BF34FA" w:rsidRDefault="00BF34FA">
            <w:pPr>
              <w:keepNext/>
              <w:keepLines/>
              <w:rPr>
                <w:b/>
                <w:sz w:val="20"/>
              </w:rPr>
            </w:pPr>
          </w:p>
        </w:tc>
        <w:tc>
          <w:tcPr>
            <w:tcW w:w="1508" w:type="dxa"/>
            <w:tcBorders>
              <w:top w:val="nil"/>
              <w:left w:val="single" w:sz="4" w:space="0" w:color="auto"/>
              <w:bottom w:val="nil"/>
              <w:right w:val="nil"/>
            </w:tcBorders>
          </w:tcPr>
          <w:p w:rsidR="00BF34FA" w:rsidRDefault="00BF34FA">
            <w:pPr>
              <w:keepNext/>
              <w:keepLines/>
            </w:pPr>
          </w:p>
        </w:tc>
        <w:tc>
          <w:tcPr>
            <w:tcW w:w="1608" w:type="dxa"/>
            <w:tcBorders>
              <w:top w:val="nil"/>
              <w:left w:val="nil"/>
              <w:bottom w:val="nil"/>
              <w:right w:val="nil"/>
            </w:tcBorders>
          </w:tcPr>
          <w:p w:rsidR="00BF34FA" w:rsidRDefault="00BF34FA">
            <w:pPr>
              <w:keepNext/>
              <w:keepLines/>
            </w:pPr>
          </w:p>
        </w:tc>
      </w:tr>
    </w:tbl>
    <w:p w:rsidR="00BF34FA" w:rsidRDefault="00BF34FA">
      <w:pPr>
        <w:pStyle w:val="Header"/>
        <w:tabs>
          <w:tab w:val="clear" w:pos="4153"/>
          <w:tab w:val="clear" w:pos="8306"/>
          <w:tab w:val="left" w:pos="1260"/>
          <w:tab w:val="left" w:pos="1980"/>
          <w:tab w:val="left" w:pos="2700"/>
          <w:tab w:val="left" w:pos="3420"/>
        </w:tabs>
      </w:pPr>
    </w:p>
    <w:p w:rsidR="00BF34FA" w:rsidRDefault="00D873A7">
      <w:pPr>
        <w:ind w:left="1276" w:hanging="1276"/>
      </w:pPr>
      <w:r>
        <w:t>8</w:t>
      </w:r>
      <w:r w:rsidR="00BF34FA">
        <w:t>.7</w:t>
      </w:r>
      <w:r w:rsidR="00BF34FA">
        <w:tab/>
      </w:r>
      <w:r w:rsidR="00BF34FA">
        <w:tab/>
        <w:t xml:space="preserve">In the officers’ opinion, of the new risks above, were they to come about, the following would seriously prejudice the achievement of the Strategic Plan and are therefore strategic risks.  Progress against the treatment plans for strategic risks is reported to the </w:t>
      </w:r>
      <w:r w:rsidR="00EA6863">
        <w:t>Policy and Resources</w:t>
      </w:r>
      <w:r w:rsidR="00BF34FA">
        <w:t xml:space="preserve"> Committee quarterly.  The </w:t>
      </w:r>
      <w:r w:rsidR="00BF34FA">
        <w:lastRenderedPageBreak/>
        <w:t>effectiveness of all treatment plans are reviewed by the Audit Committee annually.</w:t>
      </w:r>
    </w:p>
    <w:p w:rsidR="00BF34FA" w:rsidRDefault="00BF34FA">
      <w:pPr>
        <w:pStyle w:val="Header"/>
        <w:tabs>
          <w:tab w:val="clear" w:pos="4153"/>
          <w:tab w:val="clear" w:pos="8306"/>
          <w:tab w:val="left" w:pos="1260"/>
          <w:tab w:val="left" w:pos="1980"/>
          <w:tab w:val="left" w:pos="2700"/>
          <w:tab w:val="left" w:pos="3420"/>
        </w:tabs>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4912"/>
        <w:gridCol w:w="2520"/>
      </w:tblGrid>
      <w:tr w:rsidR="00BF34FA">
        <w:tc>
          <w:tcPr>
            <w:tcW w:w="5384" w:type="dxa"/>
            <w:gridSpan w:val="2"/>
          </w:tcPr>
          <w:p w:rsidR="00BF34FA" w:rsidRDefault="00BF34FA">
            <w:pPr>
              <w:keepNext/>
              <w:keepLines/>
              <w:jc w:val="center"/>
              <w:rPr>
                <w:sz w:val="20"/>
              </w:rPr>
            </w:pPr>
            <w:r>
              <w:rPr>
                <w:sz w:val="20"/>
              </w:rPr>
              <w:t>Description of Risk</w:t>
            </w:r>
          </w:p>
        </w:tc>
        <w:tc>
          <w:tcPr>
            <w:tcW w:w="2520" w:type="dxa"/>
          </w:tcPr>
          <w:p w:rsidR="00BF34FA" w:rsidRDefault="00BF34FA">
            <w:pPr>
              <w:keepNext/>
              <w:keepLines/>
              <w:ind w:left="34"/>
              <w:jc w:val="center"/>
              <w:rPr>
                <w:sz w:val="20"/>
              </w:rPr>
            </w:pPr>
            <w:r>
              <w:rPr>
                <w:sz w:val="20"/>
              </w:rPr>
              <w:t>Service Plan</w:t>
            </w:r>
          </w:p>
        </w:tc>
      </w:tr>
      <w:tr w:rsidR="00D873A7">
        <w:tc>
          <w:tcPr>
            <w:tcW w:w="472" w:type="dxa"/>
          </w:tcPr>
          <w:p w:rsidR="00D873A7" w:rsidRDefault="00D873A7">
            <w:pPr>
              <w:keepNext/>
              <w:keepLines/>
              <w:jc w:val="left"/>
              <w:rPr>
                <w:sz w:val="20"/>
              </w:rPr>
            </w:pPr>
            <w:r>
              <w:rPr>
                <w:sz w:val="20"/>
              </w:rPr>
              <w:t>1</w:t>
            </w:r>
          </w:p>
        </w:tc>
        <w:tc>
          <w:tcPr>
            <w:tcW w:w="4912" w:type="dxa"/>
          </w:tcPr>
          <w:p w:rsidR="00D873A7" w:rsidRDefault="00D873A7">
            <w:pPr>
              <w:keepNext/>
              <w:keepLines/>
              <w:jc w:val="left"/>
              <w:rPr>
                <w:sz w:val="20"/>
              </w:rPr>
            </w:pPr>
            <w:r>
              <w:rPr>
                <w:sz w:val="20"/>
              </w:rPr>
              <w:t xml:space="preserve">No performance indicator or target or performance measure is set for an objective of the Strategic Plan </w:t>
            </w:r>
          </w:p>
        </w:tc>
        <w:tc>
          <w:tcPr>
            <w:tcW w:w="2520" w:type="dxa"/>
          </w:tcPr>
          <w:p w:rsidR="00D873A7" w:rsidRDefault="00D873A7">
            <w:pPr>
              <w:keepNext/>
              <w:keepLines/>
              <w:jc w:val="left"/>
              <w:rPr>
                <w:sz w:val="20"/>
              </w:rPr>
            </w:pPr>
            <w:r>
              <w:rPr>
                <w:sz w:val="20"/>
              </w:rPr>
              <w:t>Community Partnerships</w:t>
            </w:r>
          </w:p>
        </w:tc>
      </w:tr>
      <w:tr w:rsidR="00D873A7">
        <w:tc>
          <w:tcPr>
            <w:tcW w:w="472" w:type="dxa"/>
          </w:tcPr>
          <w:p w:rsidR="00D873A7" w:rsidRDefault="00D873A7">
            <w:pPr>
              <w:keepNext/>
              <w:keepLines/>
              <w:jc w:val="left"/>
              <w:rPr>
                <w:sz w:val="20"/>
              </w:rPr>
            </w:pPr>
            <w:r>
              <w:rPr>
                <w:sz w:val="20"/>
              </w:rPr>
              <w:t>2</w:t>
            </w:r>
          </w:p>
        </w:tc>
        <w:tc>
          <w:tcPr>
            <w:tcW w:w="4912" w:type="dxa"/>
          </w:tcPr>
          <w:p w:rsidR="00D873A7" w:rsidRDefault="00D873A7">
            <w:pPr>
              <w:keepNext/>
              <w:keepLines/>
              <w:jc w:val="left"/>
              <w:rPr>
                <w:sz w:val="20"/>
              </w:rPr>
            </w:pPr>
            <w:r>
              <w:rPr>
                <w:sz w:val="20"/>
              </w:rPr>
              <w:t>No data will be available to measure the performance of the Physical Activity Strategy due to national targets and measures changing</w:t>
            </w:r>
          </w:p>
        </w:tc>
        <w:tc>
          <w:tcPr>
            <w:tcW w:w="2520" w:type="dxa"/>
          </w:tcPr>
          <w:p w:rsidR="00D873A7" w:rsidRDefault="00D873A7">
            <w:pPr>
              <w:keepNext/>
              <w:keepLines/>
              <w:jc w:val="left"/>
              <w:rPr>
                <w:sz w:val="20"/>
              </w:rPr>
            </w:pPr>
            <w:r>
              <w:rPr>
                <w:sz w:val="20"/>
              </w:rPr>
              <w:t>Community Partnerships</w:t>
            </w:r>
          </w:p>
        </w:tc>
      </w:tr>
    </w:tbl>
    <w:p w:rsidR="00BF34FA" w:rsidRDefault="00BF34FA">
      <w:pPr>
        <w:pStyle w:val="Header"/>
        <w:tabs>
          <w:tab w:val="clear" w:pos="4153"/>
          <w:tab w:val="clear" w:pos="8306"/>
          <w:tab w:val="left" w:pos="1260"/>
          <w:tab w:val="left" w:pos="1980"/>
          <w:tab w:val="left" w:pos="2700"/>
          <w:tab w:val="left" w:pos="3420"/>
        </w:tabs>
      </w:pPr>
    </w:p>
    <w:p w:rsidR="00BF34FA" w:rsidRDefault="00F22A47">
      <w:pPr>
        <w:keepNext/>
        <w:ind w:left="1267" w:hanging="1267"/>
      </w:pPr>
      <w:r>
        <w:t>9</w:t>
      </w:r>
      <w:r w:rsidR="00BF34FA">
        <w:t>.</w:t>
      </w:r>
      <w:r w:rsidR="00BF34FA">
        <w:fldChar w:fldCharType="begin"/>
      </w:r>
      <w:r w:rsidR="00BF34FA">
        <w:instrText xml:space="preserve">  </w:instrText>
      </w:r>
      <w:r w:rsidR="00BF34FA">
        <w:fldChar w:fldCharType="end"/>
      </w:r>
      <w:r w:rsidR="00BF34FA">
        <w:tab/>
      </w:r>
      <w:r w:rsidR="00BF34FA">
        <w:rPr>
          <w:b/>
        </w:rPr>
        <w:t>Recommendation</w:t>
      </w:r>
    </w:p>
    <w:p w:rsidR="00BF34FA" w:rsidRDefault="00BF34FA">
      <w:pPr>
        <w:keepNext/>
        <w:ind w:left="1267" w:hanging="1267"/>
      </w:pPr>
    </w:p>
    <w:p w:rsidR="00F22A47" w:rsidRDefault="00F22A47" w:rsidP="00193C50">
      <w:pPr>
        <w:ind w:left="1260" w:hanging="1260"/>
      </w:pPr>
      <w:r>
        <w:t>9</w:t>
      </w:r>
      <w:r w:rsidR="00BF34FA">
        <w:t>.1</w:t>
      </w:r>
      <w:r w:rsidR="00BF34FA">
        <w:tab/>
        <w:t xml:space="preserve">That </w:t>
      </w:r>
      <w:r>
        <w:t>the Committee agrees the revised key performance indicators for the Physical Activity Strategy.</w:t>
      </w:r>
    </w:p>
    <w:p w:rsidR="00F22A47" w:rsidRDefault="00F22A47" w:rsidP="00193C50">
      <w:pPr>
        <w:ind w:left="1260" w:hanging="1260"/>
      </w:pPr>
      <w:r>
        <w:t xml:space="preserve"> </w:t>
      </w:r>
    </w:p>
    <w:p w:rsidR="00F22A47" w:rsidRDefault="00F22A47">
      <w:r>
        <w:t>9.2</w:t>
      </w:r>
      <w:r>
        <w:tab/>
        <w:t xml:space="preserve">That the Committee agrees the targets for 2017-2020 for Physical Activity. </w:t>
      </w:r>
    </w:p>
    <w:p w:rsidR="00BF34FA" w:rsidRDefault="00BF34FA">
      <w:r>
        <w:fldChar w:fldCharType="begin"/>
      </w:r>
      <w:r>
        <w:instrText xml:space="preserve">  </w:instrText>
      </w:r>
      <w:r>
        <w:fldChar w:fldCharType="end"/>
      </w:r>
      <w:r>
        <w:t xml:space="preserve"> </w:t>
      </w:r>
    </w:p>
    <w:p w:rsidR="00BF34FA" w:rsidRDefault="00BF34FA"/>
    <w:p w:rsidR="00BF34FA" w:rsidRDefault="00BF34FA"/>
    <w:p w:rsidR="00BF34FA" w:rsidRDefault="00BF34FA"/>
    <w:p w:rsidR="00BF34FA" w:rsidRDefault="00BF34FA">
      <w:pPr>
        <w:rPr>
          <w:b/>
          <w:i/>
          <w:color w:val="008000"/>
        </w:rPr>
      </w:pPr>
      <w:r>
        <w:tab/>
        <w:t>Report prepared by:</w:t>
      </w:r>
      <w:r>
        <w:tab/>
      </w:r>
      <w:r w:rsidR="00F22A47">
        <w:t>Andy Stovold, Head of Community Partnerships</w:t>
      </w:r>
      <w:r>
        <w:fldChar w:fldCharType="begin"/>
      </w:r>
      <w:r>
        <w:instrText xml:space="preserve">  </w:instrText>
      </w:r>
      <w:r>
        <w:fldChar w:fldCharType="end"/>
      </w:r>
    </w:p>
    <w:p w:rsidR="00BF34FA" w:rsidRDefault="00BF34FA">
      <w:pPr>
        <w:ind w:left="1253" w:hanging="1253"/>
      </w:pPr>
    </w:p>
    <w:p w:rsidR="00BF34FA" w:rsidRDefault="00BF34FA" w:rsidP="000431C7">
      <w:pPr>
        <w:keepNext/>
        <w:keepLines/>
        <w:ind w:left="1267" w:hanging="1267"/>
        <w:outlineLvl w:val="0"/>
        <w:rPr>
          <w:b/>
        </w:rPr>
      </w:pPr>
      <w:r>
        <w:tab/>
      </w:r>
      <w:r>
        <w:rPr>
          <w:b/>
        </w:rPr>
        <w:t>Data Quality</w:t>
      </w:r>
    </w:p>
    <w:p w:rsidR="00BF34FA" w:rsidRDefault="00BF34FA" w:rsidP="000431C7">
      <w:pPr>
        <w:keepNext/>
        <w:keepLines/>
        <w:ind w:left="1267" w:hanging="1267"/>
        <w:outlineLvl w:val="0"/>
        <w:rPr>
          <w:b/>
        </w:rPr>
      </w:pPr>
    </w:p>
    <w:p w:rsidR="00BF34FA" w:rsidRDefault="00BF34FA" w:rsidP="000431C7">
      <w:pPr>
        <w:keepNext/>
        <w:keepLines/>
        <w:ind w:left="1267" w:hanging="1267"/>
      </w:pPr>
      <w:r>
        <w:rPr>
          <w:b/>
        </w:rPr>
        <w:tab/>
      </w:r>
      <w:r>
        <w:t>Data sources:</w:t>
      </w:r>
      <w:r w:rsidR="00F22A47">
        <w:t xml:space="preserve"> </w:t>
      </w:r>
    </w:p>
    <w:p w:rsidR="00BF34FA" w:rsidRDefault="00BF34FA" w:rsidP="000431C7">
      <w:pPr>
        <w:keepNext/>
        <w:keepLines/>
        <w:ind w:left="1267" w:hanging="1267"/>
      </w:pPr>
    </w:p>
    <w:p w:rsidR="00F22A47" w:rsidRDefault="00BF34FA" w:rsidP="000431C7">
      <w:pPr>
        <w:keepNext/>
        <w:keepLines/>
        <w:ind w:left="1267" w:hanging="1267"/>
      </w:pPr>
      <w:r>
        <w:tab/>
      </w:r>
      <w:r w:rsidR="00F22A47">
        <w:t>Active People Survey – Public Health England / Sport England</w:t>
      </w:r>
    </w:p>
    <w:p w:rsidR="00BF34FA" w:rsidRDefault="00F22A47" w:rsidP="000431C7">
      <w:pPr>
        <w:keepNext/>
        <w:keepLines/>
        <w:ind w:left="1267" w:hanging="1267"/>
      </w:pPr>
      <w:r>
        <w:tab/>
        <w:t xml:space="preserve">Active Lives Survey – Public Health England / Sport England </w:t>
      </w:r>
      <w:r w:rsidR="00BF34FA">
        <w:fldChar w:fldCharType="begin"/>
      </w:r>
      <w:r w:rsidR="00BF34FA">
        <w:instrText xml:space="preserve"> ASK   \* MERGEFORMAT </w:instrText>
      </w:r>
      <w:r w:rsidR="00BF34FA">
        <w:fldChar w:fldCharType="end"/>
      </w:r>
    </w:p>
    <w:p w:rsidR="00F22A47" w:rsidRDefault="00F22A47">
      <w:pPr>
        <w:ind w:left="1253" w:hanging="1253"/>
        <w:rPr>
          <w:i/>
        </w:rPr>
      </w:pPr>
    </w:p>
    <w:p w:rsidR="00BF34FA" w:rsidRDefault="00BF34FA">
      <w:pPr>
        <w:ind w:left="1253" w:hanging="1253"/>
      </w:pPr>
      <w:r>
        <w:rPr>
          <w:i/>
        </w:rPr>
        <w:tab/>
      </w:r>
      <w:r>
        <w:rPr>
          <w:i/>
        </w:rPr>
        <w:tab/>
      </w:r>
      <w:r>
        <w:t xml:space="preserve">Data checked by: </w:t>
      </w:r>
      <w:r>
        <w:fldChar w:fldCharType="begin"/>
      </w:r>
      <w:r>
        <w:instrText xml:space="preserve"> ASK   \* MERGEFORMAT </w:instrText>
      </w:r>
      <w:r>
        <w:fldChar w:fldCharType="end"/>
      </w:r>
    </w:p>
    <w:p w:rsidR="00BF34FA" w:rsidRPr="00193C50" w:rsidRDefault="00BF34FA">
      <w:pPr>
        <w:ind w:left="1260" w:hanging="1260"/>
        <w:rPr>
          <w:i/>
          <w:color w:val="008000"/>
        </w:rPr>
      </w:pPr>
      <w:r w:rsidRPr="00193C50">
        <w:rPr>
          <w:i/>
        </w:rPr>
        <w:tab/>
      </w:r>
      <w:r w:rsidR="00F22A47" w:rsidRPr="00193C50">
        <w:t>Ryan Watson, Sports Development Officer</w:t>
      </w:r>
    </w:p>
    <w:p w:rsidR="00BF34FA" w:rsidRDefault="00BF34FA">
      <w:pPr>
        <w:ind w:left="1253" w:hanging="1253"/>
      </w:pPr>
    </w:p>
    <w:p w:rsidR="00BF34FA" w:rsidRDefault="00BF34FA">
      <w:pPr>
        <w:ind w:left="1260" w:hanging="1260"/>
        <w:rPr>
          <w:b/>
          <w:i/>
          <w:color w:val="008000"/>
        </w:rPr>
      </w:pPr>
      <w:r>
        <w:tab/>
        <w:t xml:space="preserve">Data rating: </w:t>
      </w:r>
    </w:p>
    <w:p w:rsidR="00BF34FA" w:rsidRDefault="00BF34FA">
      <w:pPr>
        <w:ind w:left="1253" w:hanging="1253"/>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BF34FA" w:rsidTr="00BF34FA">
        <w:trPr>
          <w:trHeight w:hRule="exact" w:val="346"/>
        </w:trPr>
        <w:tc>
          <w:tcPr>
            <w:tcW w:w="392" w:type="dxa"/>
            <w:vAlign w:val="center"/>
          </w:tcPr>
          <w:p w:rsidR="00BF34FA" w:rsidRDefault="00BF34FA" w:rsidP="00BF34FA">
            <w:pPr>
              <w:keepNext/>
              <w:keepLines/>
            </w:pPr>
            <w:r>
              <w:t>1</w:t>
            </w:r>
          </w:p>
        </w:tc>
        <w:tc>
          <w:tcPr>
            <w:tcW w:w="1276" w:type="dxa"/>
            <w:vAlign w:val="center"/>
          </w:tcPr>
          <w:p w:rsidR="00BF34FA" w:rsidRDefault="00BF34FA" w:rsidP="00BF34FA">
            <w:pPr>
              <w:keepNext/>
              <w:keepLines/>
            </w:pPr>
            <w:r>
              <w:t>Poor</w:t>
            </w:r>
          </w:p>
        </w:tc>
        <w:tc>
          <w:tcPr>
            <w:tcW w:w="492" w:type="dxa"/>
            <w:vAlign w:val="center"/>
          </w:tcPr>
          <w:p w:rsidR="00BF34FA" w:rsidRDefault="00BF34FA" w:rsidP="00BF34FA">
            <w:pPr>
              <w:keepNext/>
              <w:keepLines/>
              <w:jc w:val="center"/>
            </w:pPr>
          </w:p>
        </w:tc>
      </w:tr>
      <w:tr w:rsidR="00BF34FA" w:rsidTr="00BF34FA">
        <w:trPr>
          <w:trHeight w:hRule="exact" w:val="346"/>
        </w:trPr>
        <w:tc>
          <w:tcPr>
            <w:tcW w:w="392" w:type="dxa"/>
            <w:vAlign w:val="center"/>
          </w:tcPr>
          <w:p w:rsidR="00BF34FA" w:rsidRDefault="00BF34FA" w:rsidP="00BF34FA">
            <w:pPr>
              <w:keepNext/>
              <w:keepLines/>
            </w:pPr>
            <w:r>
              <w:t>2</w:t>
            </w:r>
          </w:p>
        </w:tc>
        <w:tc>
          <w:tcPr>
            <w:tcW w:w="1276" w:type="dxa"/>
            <w:vAlign w:val="center"/>
          </w:tcPr>
          <w:p w:rsidR="00BF34FA" w:rsidRDefault="00BF34FA" w:rsidP="00BF34FA">
            <w:pPr>
              <w:keepNext/>
              <w:keepLines/>
            </w:pPr>
            <w:r>
              <w:t>Sufficient</w:t>
            </w:r>
          </w:p>
        </w:tc>
        <w:tc>
          <w:tcPr>
            <w:tcW w:w="492" w:type="dxa"/>
            <w:vAlign w:val="center"/>
          </w:tcPr>
          <w:p w:rsidR="00BF34FA" w:rsidRDefault="00BF34FA" w:rsidP="00BF34FA">
            <w:pPr>
              <w:keepNext/>
              <w:keepLines/>
              <w:jc w:val="center"/>
            </w:pPr>
          </w:p>
        </w:tc>
      </w:tr>
      <w:tr w:rsidR="00BF34FA" w:rsidTr="00BF34FA">
        <w:trPr>
          <w:trHeight w:hRule="exact" w:val="346"/>
        </w:trPr>
        <w:tc>
          <w:tcPr>
            <w:tcW w:w="392" w:type="dxa"/>
            <w:vAlign w:val="center"/>
          </w:tcPr>
          <w:p w:rsidR="00BF34FA" w:rsidRDefault="00BF34FA" w:rsidP="00BF34FA">
            <w:pPr>
              <w:keepNext/>
              <w:keepLines/>
            </w:pPr>
            <w:r>
              <w:t>3</w:t>
            </w:r>
          </w:p>
        </w:tc>
        <w:tc>
          <w:tcPr>
            <w:tcW w:w="1276" w:type="dxa"/>
            <w:vAlign w:val="center"/>
          </w:tcPr>
          <w:p w:rsidR="00BF34FA" w:rsidRDefault="00BF34FA" w:rsidP="00BF34FA">
            <w:pPr>
              <w:keepNext/>
              <w:keepLines/>
            </w:pPr>
            <w:r>
              <w:t>High</w:t>
            </w:r>
          </w:p>
        </w:tc>
        <w:tc>
          <w:tcPr>
            <w:tcW w:w="492" w:type="dxa"/>
            <w:vAlign w:val="center"/>
          </w:tcPr>
          <w:p w:rsidR="00BF34FA" w:rsidRDefault="00F22A47" w:rsidP="00BF34FA">
            <w:pPr>
              <w:keepNext/>
              <w:keepLines/>
              <w:jc w:val="center"/>
            </w:pPr>
            <w:r>
              <w:rPr>
                <w:b/>
                <w:szCs w:val="22"/>
              </w:rPr>
              <w:sym w:font="Wingdings" w:char="F0FC"/>
            </w:r>
          </w:p>
        </w:tc>
      </w:tr>
    </w:tbl>
    <w:p w:rsidR="00BF34FA" w:rsidRDefault="00BF34FA">
      <w:pPr>
        <w:ind w:left="1253" w:hanging="1253"/>
      </w:pPr>
    </w:p>
    <w:p w:rsidR="00BF34FA" w:rsidRDefault="00BF34FA"/>
    <w:p w:rsidR="00BF34FA" w:rsidRDefault="00BF34FA"/>
    <w:sectPr w:rsidR="00BF34FA">
      <w:footerReference w:type="default" r:id="rId10"/>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04" w:rsidRDefault="00CF2504">
      <w:r>
        <w:separator/>
      </w:r>
    </w:p>
  </w:endnote>
  <w:endnote w:type="continuationSeparator" w:id="0">
    <w:p w:rsidR="00CF2504" w:rsidRDefault="00CF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A1" w:rsidRDefault="00C572A1">
    <w:pPr>
      <w:pStyle w:val="Footer"/>
      <w:tabs>
        <w:tab w:val="clear" w:pos="4153"/>
        <w:tab w:val="clear" w:pos="8306"/>
        <w:tab w:val="center" w:pos="4680"/>
        <w:tab w:val="right" w:pos="9090"/>
      </w:tabs>
      <w:rPr>
        <w:sz w:val="16"/>
      </w:rPr>
    </w:pPr>
  </w:p>
  <w:p w:rsidR="00C572A1" w:rsidRPr="00B84728" w:rsidRDefault="00C572A1" w:rsidP="00B84728">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04" w:rsidRDefault="00CF2504">
      <w:r>
        <w:separator/>
      </w:r>
    </w:p>
  </w:footnote>
  <w:footnote w:type="continuationSeparator" w:id="0">
    <w:p w:rsidR="00CF2504" w:rsidRDefault="00CF2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7DF"/>
    <w:multiLevelType w:val="hybridMultilevel"/>
    <w:tmpl w:val="3926DE4C"/>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27"/>
    <w:rsid w:val="000431C7"/>
    <w:rsid w:val="00044327"/>
    <w:rsid w:val="00057F6E"/>
    <w:rsid w:val="00077581"/>
    <w:rsid w:val="000B589C"/>
    <w:rsid w:val="000D1B8E"/>
    <w:rsid w:val="001072EC"/>
    <w:rsid w:val="00111342"/>
    <w:rsid w:val="001551C8"/>
    <w:rsid w:val="00193933"/>
    <w:rsid w:val="00193C50"/>
    <w:rsid w:val="001957AD"/>
    <w:rsid w:val="001A713C"/>
    <w:rsid w:val="001D5FB1"/>
    <w:rsid w:val="001E10FE"/>
    <w:rsid w:val="001F4D1C"/>
    <w:rsid w:val="001F59B8"/>
    <w:rsid w:val="00201973"/>
    <w:rsid w:val="002059D1"/>
    <w:rsid w:val="00227303"/>
    <w:rsid w:val="00251D39"/>
    <w:rsid w:val="002765A4"/>
    <w:rsid w:val="002A5A31"/>
    <w:rsid w:val="002A7726"/>
    <w:rsid w:val="002D2BBF"/>
    <w:rsid w:val="002D797E"/>
    <w:rsid w:val="003C6509"/>
    <w:rsid w:val="003D5820"/>
    <w:rsid w:val="003F6869"/>
    <w:rsid w:val="00410CEF"/>
    <w:rsid w:val="004139A1"/>
    <w:rsid w:val="00413A73"/>
    <w:rsid w:val="00480EC6"/>
    <w:rsid w:val="00490883"/>
    <w:rsid w:val="0049419B"/>
    <w:rsid w:val="004A73CB"/>
    <w:rsid w:val="005029DD"/>
    <w:rsid w:val="005445FF"/>
    <w:rsid w:val="00571B48"/>
    <w:rsid w:val="005B4547"/>
    <w:rsid w:val="005E5CA5"/>
    <w:rsid w:val="005F78E0"/>
    <w:rsid w:val="006206AD"/>
    <w:rsid w:val="00661DB5"/>
    <w:rsid w:val="006E1D38"/>
    <w:rsid w:val="0073520B"/>
    <w:rsid w:val="007442BC"/>
    <w:rsid w:val="00751D2A"/>
    <w:rsid w:val="007942BA"/>
    <w:rsid w:val="007B0187"/>
    <w:rsid w:val="007B7DC1"/>
    <w:rsid w:val="0081610F"/>
    <w:rsid w:val="0083173F"/>
    <w:rsid w:val="008372C3"/>
    <w:rsid w:val="00844975"/>
    <w:rsid w:val="00874DCD"/>
    <w:rsid w:val="008A2E7E"/>
    <w:rsid w:val="00902EBC"/>
    <w:rsid w:val="009247E4"/>
    <w:rsid w:val="00956B1B"/>
    <w:rsid w:val="009608DE"/>
    <w:rsid w:val="009A6284"/>
    <w:rsid w:val="009B0AB4"/>
    <w:rsid w:val="00A6333C"/>
    <w:rsid w:val="00AA51F7"/>
    <w:rsid w:val="00B5043F"/>
    <w:rsid w:val="00B84728"/>
    <w:rsid w:val="00BB39B1"/>
    <w:rsid w:val="00BD1EA2"/>
    <w:rsid w:val="00BD4A5D"/>
    <w:rsid w:val="00BF34FA"/>
    <w:rsid w:val="00BF76C9"/>
    <w:rsid w:val="00C359F2"/>
    <w:rsid w:val="00C572A1"/>
    <w:rsid w:val="00C70C88"/>
    <w:rsid w:val="00C84446"/>
    <w:rsid w:val="00CB4880"/>
    <w:rsid w:val="00CF2504"/>
    <w:rsid w:val="00D16937"/>
    <w:rsid w:val="00D7229A"/>
    <w:rsid w:val="00D873A7"/>
    <w:rsid w:val="00D956C8"/>
    <w:rsid w:val="00DB28EC"/>
    <w:rsid w:val="00DE754C"/>
    <w:rsid w:val="00E06557"/>
    <w:rsid w:val="00E15247"/>
    <w:rsid w:val="00E6258F"/>
    <w:rsid w:val="00E701FC"/>
    <w:rsid w:val="00E7205B"/>
    <w:rsid w:val="00EA6863"/>
    <w:rsid w:val="00EC5556"/>
    <w:rsid w:val="00EE55CA"/>
    <w:rsid w:val="00EF39E4"/>
    <w:rsid w:val="00EF7564"/>
    <w:rsid w:val="00F07D86"/>
    <w:rsid w:val="00F122CB"/>
    <w:rsid w:val="00F22A47"/>
    <w:rsid w:val="00F448AB"/>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ListParagraph">
    <w:name w:val="List Paragraph"/>
    <w:basedOn w:val="Normal"/>
    <w:uiPriority w:val="34"/>
    <w:qFormat/>
    <w:rsid w:val="00C572A1"/>
    <w:pPr>
      <w:ind w:left="720"/>
      <w:contextualSpacing/>
    </w:pPr>
  </w:style>
  <w:style w:type="character" w:styleId="CommentReference">
    <w:name w:val="annotation reference"/>
    <w:basedOn w:val="DefaultParagraphFont"/>
    <w:rsid w:val="00193C50"/>
    <w:rPr>
      <w:sz w:val="16"/>
      <w:szCs w:val="16"/>
    </w:rPr>
  </w:style>
  <w:style w:type="paragraph" w:styleId="CommentText">
    <w:name w:val="annotation text"/>
    <w:basedOn w:val="Normal"/>
    <w:link w:val="CommentTextChar"/>
    <w:rsid w:val="00193C50"/>
    <w:rPr>
      <w:sz w:val="20"/>
    </w:rPr>
  </w:style>
  <w:style w:type="character" w:customStyle="1" w:styleId="CommentTextChar">
    <w:name w:val="Comment Text Char"/>
    <w:basedOn w:val="DefaultParagraphFont"/>
    <w:link w:val="CommentText"/>
    <w:rsid w:val="00193C50"/>
    <w:rPr>
      <w:rFonts w:ascii="Arial" w:hAnsi="Arial"/>
    </w:rPr>
  </w:style>
  <w:style w:type="paragraph" w:styleId="CommentSubject">
    <w:name w:val="annotation subject"/>
    <w:basedOn w:val="CommentText"/>
    <w:next w:val="CommentText"/>
    <w:link w:val="CommentSubjectChar"/>
    <w:rsid w:val="00193C50"/>
    <w:rPr>
      <w:b/>
      <w:bCs/>
    </w:rPr>
  </w:style>
  <w:style w:type="character" w:customStyle="1" w:styleId="CommentSubjectChar">
    <w:name w:val="Comment Subject Char"/>
    <w:basedOn w:val="CommentTextChar"/>
    <w:link w:val="CommentSubject"/>
    <w:rsid w:val="00193C50"/>
    <w:rPr>
      <w:rFonts w:ascii="Arial" w:hAnsi="Arial"/>
      <w:b/>
      <w:bCs/>
    </w:rPr>
  </w:style>
  <w:style w:type="paragraph" w:styleId="Revision">
    <w:name w:val="Revision"/>
    <w:hidden/>
    <w:uiPriority w:val="99"/>
    <w:semiHidden/>
    <w:rsid w:val="0019393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ListParagraph">
    <w:name w:val="List Paragraph"/>
    <w:basedOn w:val="Normal"/>
    <w:uiPriority w:val="34"/>
    <w:qFormat/>
    <w:rsid w:val="00C572A1"/>
    <w:pPr>
      <w:ind w:left="720"/>
      <w:contextualSpacing/>
    </w:pPr>
  </w:style>
  <w:style w:type="character" w:styleId="CommentReference">
    <w:name w:val="annotation reference"/>
    <w:basedOn w:val="DefaultParagraphFont"/>
    <w:rsid w:val="00193C50"/>
    <w:rPr>
      <w:sz w:val="16"/>
      <w:szCs w:val="16"/>
    </w:rPr>
  </w:style>
  <w:style w:type="paragraph" w:styleId="CommentText">
    <w:name w:val="annotation text"/>
    <w:basedOn w:val="Normal"/>
    <w:link w:val="CommentTextChar"/>
    <w:rsid w:val="00193C50"/>
    <w:rPr>
      <w:sz w:val="20"/>
    </w:rPr>
  </w:style>
  <w:style w:type="character" w:customStyle="1" w:styleId="CommentTextChar">
    <w:name w:val="Comment Text Char"/>
    <w:basedOn w:val="DefaultParagraphFont"/>
    <w:link w:val="CommentText"/>
    <w:rsid w:val="00193C50"/>
    <w:rPr>
      <w:rFonts w:ascii="Arial" w:hAnsi="Arial"/>
    </w:rPr>
  </w:style>
  <w:style w:type="paragraph" w:styleId="CommentSubject">
    <w:name w:val="annotation subject"/>
    <w:basedOn w:val="CommentText"/>
    <w:next w:val="CommentText"/>
    <w:link w:val="CommentSubjectChar"/>
    <w:rsid w:val="00193C50"/>
    <w:rPr>
      <w:b/>
      <w:bCs/>
    </w:rPr>
  </w:style>
  <w:style w:type="character" w:customStyle="1" w:styleId="CommentSubjectChar">
    <w:name w:val="Comment Subject Char"/>
    <w:basedOn w:val="CommentTextChar"/>
    <w:link w:val="CommentSubject"/>
    <w:rsid w:val="00193C50"/>
    <w:rPr>
      <w:rFonts w:ascii="Arial" w:hAnsi="Arial"/>
      <w:b/>
      <w:bCs/>
    </w:rPr>
  </w:style>
  <w:style w:type="paragraph" w:styleId="Revision">
    <w:name w:val="Revision"/>
    <w:hidden/>
    <w:uiPriority w:val="99"/>
    <w:semiHidden/>
    <w:rsid w:val="0019393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8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tranet.threerivers.gov.uk/Default.aspx/Web/PoliciesAndProceduresCategoryListing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vola\AppData\Roaming\Microsoft\Templates\trdc_report_template_2015_08_06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E83B-600E-4E42-B25C-C9F6C9A2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trdc_report_template_2015_08_06_.dotx</Template>
  <TotalTime>1</TotalTime>
  <Pages>5</Pages>
  <Words>1907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12131</CharactersWithSpaces>
  <SharedDoc>false</SharedDoc>
  <HLinks>
    <vt:vector size="18" baseType="variant">
      <vt:variant>
        <vt:i4>1769501</vt:i4>
      </vt:variant>
      <vt:variant>
        <vt:i4>32</vt:i4>
      </vt:variant>
      <vt:variant>
        <vt:i4>0</vt:i4>
      </vt:variant>
      <vt:variant>
        <vt:i4>5</vt:i4>
      </vt:variant>
      <vt:variant>
        <vt:lpwstr>http://intranet.threerivers.gov.uk/Default.aspx/Web/PoliciesAndProceduresCategoryListingPage</vt:lpwstr>
      </vt:variant>
      <vt:variant>
        <vt:lpwstr/>
      </vt:variant>
      <vt:variant>
        <vt:i4>720920</vt:i4>
      </vt:variant>
      <vt:variant>
        <vt:i4>23</vt:i4>
      </vt:variant>
      <vt:variant>
        <vt:i4>0</vt:i4>
      </vt:variant>
      <vt:variant>
        <vt:i4>5</vt:i4>
      </vt:variant>
      <vt:variant>
        <vt:lpwstr>http://intranet.threerivers.gov.uk/Default.aspx/Web/DocumentsandTemplates</vt:lpwstr>
      </vt:variant>
      <vt:variant>
        <vt:lpwstr/>
      </vt:variant>
      <vt:variant>
        <vt:i4>7864431</vt:i4>
      </vt:variant>
      <vt:variant>
        <vt:i4>0</vt:i4>
      </vt:variant>
      <vt:variant>
        <vt:i4>0</vt:i4>
      </vt:variant>
      <vt:variant>
        <vt:i4>5</vt:i4>
      </vt:variant>
      <vt:variant>
        <vt:lpwstr>http://intranet.threerivers.gov.uk/Default.aspx/Web/DemocraticServices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Andy Stovold</dc:creator>
  <cp:lastModifiedBy>Helen Wailling</cp:lastModifiedBy>
  <cp:revision>4</cp:revision>
  <cp:lastPrinted>2014-06-12T11:53:00Z</cp:lastPrinted>
  <dcterms:created xsi:type="dcterms:W3CDTF">2017-03-14T15:21:00Z</dcterms:created>
  <dcterms:modified xsi:type="dcterms:W3CDTF">2017-03-14T15:22:00Z</dcterms:modified>
</cp:coreProperties>
</file>