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A" w:rsidRDefault="00DE754C">
      <w:pPr>
        <w:jc w:val="center"/>
        <w:rPr>
          <w:b/>
          <w:i/>
        </w:rPr>
      </w:pPr>
      <w:r>
        <w:rPr>
          <w:b/>
        </w:rPr>
        <w:t xml:space="preserve">REGULATORY SERVICES </w:t>
      </w:r>
      <w:proofErr w:type="gramStart"/>
      <w:r>
        <w:rPr>
          <w:b/>
        </w:rPr>
        <w:t>COMMITTEE</w:t>
      </w:r>
      <w:r w:rsidR="00A40518">
        <w:rPr>
          <w:b/>
        </w:rPr>
        <w:t xml:space="preserve">  -</w:t>
      </w:r>
      <w:proofErr w:type="gramEnd"/>
      <w:r w:rsidR="00A40518">
        <w:rPr>
          <w:b/>
        </w:rPr>
        <w:t xml:space="preserve">  </w:t>
      </w:r>
      <w:r w:rsidR="00E30B05">
        <w:rPr>
          <w:b/>
        </w:rPr>
        <w:fldChar w:fldCharType="begin"/>
      </w:r>
      <w:r w:rsidR="00E30B05">
        <w:rPr>
          <w:b/>
        </w:rPr>
        <w:instrText xml:space="preserve">  </w:instrText>
      </w:r>
      <w:r w:rsidR="00E30B05">
        <w:rPr>
          <w:b/>
        </w:rPr>
        <w:fldChar w:fldCharType="end"/>
      </w:r>
      <w:r w:rsidR="00E30B05">
        <w:rPr>
          <w:b/>
        </w:rPr>
        <w:fldChar w:fldCharType="begin"/>
      </w:r>
      <w:r w:rsidR="00E30B05">
        <w:rPr>
          <w:b/>
        </w:rPr>
        <w:instrText xml:space="preserve">  </w:instrText>
      </w:r>
      <w:r w:rsidR="00E30B05">
        <w:rPr>
          <w:b/>
        </w:rPr>
        <w:fldChar w:fldCharType="end"/>
      </w:r>
      <w:r w:rsidR="00E30B05">
        <w:rPr>
          <w:b/>
        </w:rPr>
        <w:fldChar w:fldCharType="begin"/>
      </w:r>
      <w:r w:rsidR="00E30B05">
        <w:rPr>
          <w:b/>
        </w:rPr>
        <w:instrText xml:space="preserve">  </w:instrText>
      </w:r>
      <w:r w:rsidR="00E30B05">
        <w:rPr>
          <w:b/>
        </w:rPr>
        <w:fldChar w:fldCharType="end"/>
      </w:r>
      <w:r w:rsidR="00E30B05">
        <w:rPr>
          <w:b/>
        </w:rPr>
        <w:t>14</w:t>
      </w:r>
      <w:r w:rsidR="00E30B05" w:rsidRPr="00E607D4">
        <w:rPr>
          <w:b/>
          <w:vertAlign w:val="superscript"/>
        </w:rPr>
        <w:t>TH</w:t>
      </w:r>
      <w:r w:rsidR="00E30B05">
        <w:rPr>
          <w:b/>
        </w:rPr>
        <w:t xml:space="preserve"> JUNE</w:t>
      </w:r>
      <w:r w:rsidR="006D3DCD">
        <w:rPr>
          <w:b/>
        </w:rPr>
        <w:t xml:space="preserve"> 2017</w:t>
      </w:r>
    </w:p>
    <w:p w:rsidR="00BF34FA" w:rsidRDefault="00BF34FA">
      <w:pPr>
        <w:jc w:val="center"/>
      </w:pP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DELEGATED </w:t>
      </w:r>
    </w:p>
    <w:p w:rsidR="00CC5014" w:rsidRDefault="00CC5014" w:rsidP="00CB206E">
      <w:pPr>
        <w:ind w:left="1276"/>
        <w:jc w:val="center"/>
        <w:rPr>
          <w:b/>
        </w:rPr>
      </w:pPr>
    </w:p>
    <w:p w:rsidR="00117D63" w:rsidRDefault="00A40518" w:rsidP="008F1265">
      <w:pPr>
        <w:keepNext/>
        <w:ind w:left="1267" w:hanging="1267"/>
      </w:pPr>
      <w:r>
        <w:rPr>
          <w:b/>
        </w:rPr>
        <w:t>5.</w:t>
      </w:r>
      <w:r w:rsidR="00BF34FA">
        <w:rPr>
          <w:b/>
        </w:rPr>
        <w:tab/>
      </w:r>
      <w:r w:rsidR="00117D63" w:rsidRPr="0056496F">
        <w:rPr>
          <w:b/>
        </w:rPr>
        <w:t xml:space="preserve">HACKNEY CARRIAGE AND PRIVATE HIRE DRIVER </w:t>
      </w:r>
      <w:r w:rsidR="00117D63">
        <w:rPr>
          <w:b/>
        </w:rPr>
        <w:t xml:space="preserve">AND PRIVATE HIRE OPERATOR </w:t>
      </w:r>
      <w:r w:rsidR="00117D63" w:rsidRPr="0056496F">
        <w:rPr>
          <w:b/>
        </w:rPr>
        <w:t>SUITABILITY POLICY</w:t>
      </w:r>
    </w:p>
    <w:p w:rsidR="00BF34FA" w:rsidRDefault="00117D63" w:rsidP="008F1265">
      <w:pPr>
        <w:keepNext/>
        <w:ind w:left="1267" w:hanging="1267"/>
      </w:pPr>
      <w:r>
        <w:tab/>
      </w:r>
      <w:r w:rsidR="00BF34FA">
        <w:t>(DCES)</w:t>
      </w:r>
    </w:p>
    <w:p w:rsidR="00BF34FA" w:rsidRDefault="00BF34FA">
      <w:pPr>
        <w:ind w:left="1267" w:hanging="1267"/>
      </w:pPr>
    </w:p>
    <w:p w:rsidR="00BF34FA" w:rsidRDefault="00BF34FA">
      <w:pPr>
        <w:keepNext/>
        <w:ind w:left="1267" w:hanging="1267"/>
      </w:pPr>
      <w:r w:rsidRPr="008F1265">
        <w:rPr>
          <w:b/>
        </w:rPr>
        <w:t>1.</w:t>
      </w:r>
      <w:r>
        <w:tab/>
      </w:r>
      <w:r>
        <w:rPr>
          <w:b/>
        </w:rPr>
        <w:t>Summary</w:t>
      </w:r>
    </w:p>
    <w:p w:rsidR="00BF34FA" w:rsidRDefault="00BF34FA">
      <w:pPr>
        <w:keepNext/>
        <w:ind w:left="1267" w:hanging="1267"/>
      </w:pPr>
    </w:p>
    <w:p w:rsidR="00BF34FA" w:rsidRDefault="00BF34FA">
      <w:pPr>
        <w:ind w:left="1267" w:hanging="1267"/>
      </w:pPr>
      <w:r>
        <w:t>1.1</w:t>
      </w:r>
      <w:r>
        <w:tab/>
      </w:r>
      <w:r>
        <w:fldChar w:fldCharType="begin"/>
      </w:r>
      <w:r>
        <w:instrText xml:space="preserve">  </w:instrText>
      </w:r>
      <w:r>
        <w:fldChar w:fldCharType="end"/>
      </w:r>
      <w:r w:rsidR="00CC5014">
        <w:t xml:space="preserve">Three Rivers District Council are </w:t>
      </w:r>
      <w:r w:rsidR="00AF40E5">
        <w:t xml:space="preserve">responsible for licensing Private Hire Drivers, vehicles and operators under the Local Government (Miscellaneous Provisions) Act 1976. The </w:t>
      </w:r>
      <w:r w:rsidR="00E9441C">
        <w:t>C</w:t>
      </w:r>
      <w:r w:rsidR="00AF40E5">
        <w:t>ouncil is also responsible for licensing Hackney Carriages and their drivers under the Town Police Clauses Act 1847. Th</w:t>
      </w:r>
      <w:r w:rsidR="00E9441C">
        <w:t xml:space="preserve">e attached policy document </w:t>
      </w:r>
      <w:r w:rsidR="00AF40E5">
        <w:t xml:space="preserve">sets out </w:t>
      </w:r>
      <w:r w:rsidR="00E9441C">
        <w:t xml:space="preserve">a proposed amended Council Policy to be considered </w:t>
      </w:r>
      <w:r w:rsidR="00AF40E5">
        <w:t xml:space="preserve">in determining these types of application. </w:t>
      </w:r>
    </w:p>
    <w:p w:rsidR="008F1265" w:rsidRDefault="008F1265">
      <w:pPr>
        <w:ind w:left="1267" w:hanging="1267"/>
      </w:pPr>
    </w:p>
    <w:p w:rsidR="008F1265" w:rsidRDefault="008F1265">
      <w:pPr>
        <w:ind w:left="1267" w:hanging="1267"/>
      </w:pPr>
      <w:r>
        <w:t>1.2</w:t>
      </w:r>
      <w:r>
        <w:tab/>
      </w:r>
      <w:r w:rsidRPr="00E66A0C">
        <w:t xml:space="preserve">In summary, the </w:t>
      </w:r>
      <w:r w:rsidR="00E9441C">
        <w:t>P</w:t>
      </w:r>
      <w:r w:rsidRPr="00E66A0C">
        <w:t xml:space="preserve">olicy adopts a tiered approach.  For an applicant with a criminal record, offending history, penalty points or similar relevant matters, the </w:t>
      </w:r>
      <w:r w:rsidR="00E9441C">
        <w:t>P</w:t>
      </w:r>
      <w:r w:rsidRPr="00E66A0C">
        <w:t>olicy requires a passage of time between that matter and the date of application</w:t>
      </w:r>
      <w:r w:rsidR="008A1CCD">
        <w:t>.</w:t>
      </w:r>
    </w:p>
    <w:p w:rsidR="008A1CCD" w:rsidRDefault="008A1CCD">
      <w:pPr>
        <w:ind w:left="1267" w:hanging="1267"/>
      </w:pPr>
    </w:p>
    <w:p w:rsidR="008A1CCD" w:rsidRDefault="008A1CCD" w:rsidP="008A1CCD">
      <w:pPr>
        <w:ind w:left="1267" w:hanging="1267"/>
      </w:pPr>
      <w:r>
        <w:t>1.3</w:t>
      </w:r>
      <w:r>
        <w:tab/>
        <w:t xml:space="preserve">This </w:t>
      </w:r>
      <w:r w:rsidR="00E9441C">
        <w:t>P</w:t>
      </w:r>
      <w:r>
        <w:t xml:space="preserve">olicy has been reviewed against the background of learning from the investigation into child sexual abuse arising in Rotherham and Oxford.  In these areas, Licensing Committees came under intense scrutiny and attracted much criticism.   </w:t>
      </w:r>
    </w:p>
    <w:p w:rsidR="008A1CCD" w:rsidRDefault="008A1CCD" w:rsidP="00DE1CF6"/>
    <w:p w:rsidR="008A1CCD" w:rsidRDefault="008A1CCD" w:rsidP="008A1CCD">
      <w:pPr>
        <w:ind w:left="1267" w:hanging="1267"/>
      </w:pPr>
      <w:r>
        <w:t xml:space="preserve">1.4 </w:t>
      </w:r>
      <w:r>
        <w:tab/>
        <w:t>The Rotherham report states “Inspectors have found that Rotherham has not taken, and does not take, sufficient steps to ensure only fit and proper persons are permitted to hold a taxi licence. As a result, it cannot provide assurances that the public, including vulnerable people, are safe. The inspection uncovered serious weaknesses and concerns.”  (p103, Report of Inspection into Rotherham Council)</w:t>
      </w:r>
    </w:p>
    <w:p w:rsidR="00E9441C" w:rsidRDefault="00E9441C">
      <w:pPr>
        <w:ind w:left="1267" w:hanging="1267"/>
      </w:pPr>
    </w:p>
    <w:p w:rsidR="00BF34FA" w:rsidRDefault="00BF34FA">
      <w:pPr>
        <w:keepNext/>
        <w:ind w:left="1267" w:hanging="1267"/>
        <w:rPr>
          <w:b/>
        </w:rPr>
      </w:pPr>
      <w:r w:rsidRPr="008F1265">
        <w:rPr>
          <w:b/>
        </w:rPr>
        <w:t>2.</w:t>
      </w:r>
      <w:r>
        <w:tab/>
      </w:r>
      <w:r>
        <w:rPr>
          <w:b/>
        </w:rPr>
        <w:t>Details</w:t>
      </w:r>
    </w:p>
    <w:p w:rsidR="00BF34FA" w:rsidRDefault="00BF34FA">
      <w:pPr>
        <w:keepNext/>
        <w:ind w:left="1267" w:hanging="1267"/>
        <w:rPr>
          <w:b/>
          <w:u w:val="single"/>
        </w:rPr>
      </w:pPr>
    </w:p>
    <w:p w:rsidR="00CB206E" w:rsidRPr="004E5DDC" w:rsidRDefault="00BF34FA" w:rsidP="00E0782E">
      <w:pPr>
        <w:shd w:val="clear" w:color="auto" w:fill="FFFFFF"/>
        <w:spacing w:after="120"/>
        <w:ind w:left="1276" w:hanging="1276"/>
        <w:rPr>
          <w:rFonts w:cs="Arial"/>
          <w:i/>
          <w:color w:val="000000"/>
          <w:szCs w:val="22"/>
        </w:rPr>
      </w:pPr>
      <w:r>
        <w:t>2.1</w:t>
      </w:r>
      <w:r>
        <w:tab/>
      </w:r>
      <w:r>
        <w:fldChar w:fldCharType="begin"/>
      </w:r>
      <w:r>
        <w:instrText xml:space="preserve">  </w:instrText>
      </w:r>
      <w:r>
        <w:fldChar w:fldCharType="end"/>
      </w:r>
      <w:r w:rsidR="00CB206E">
        <w:t xml:space="preserve">S.51 of the Local Government (Miscellaneous Provisions) Act 1976 states </w:t>
      </w:r>
      <w:r w:rsidR="004E5DDC" w:rsidRPr="004E5DDC">
        <w:rPr>
          <w:i/>
        </w:rPr>
        <w:t>“</w:t>
      </w:r>
      <w:r w:rsidR="00CB206E" w:rsidRPr="004E5DDC">
        <w:rPr>
          <w:i/>
        </w:rPr>
        <w:t xml:space="preserve">that </w:t>
      </w:r>
      <w:r w:rsidR="009A3BC6" w:rsidRPr="004E5DDC">
        <w:rPr>
          <w:i/>
        </w:rPr>
        <w:t xml:space="preserve">a </w:t>
      </w:r>
      <w:r w:rsidR="009A3BC6" w:rsidRPr="004E5DDC">
        <w:rPr>
          <w:rFonts w:cs="Arial"/>
          <w:i/>
          <w:color w:val="000000"/>
          <w:szCs w:val="22"/>
        </w:rPr>
        <w:t>district</w:t>
      </w:r>
      <w:r w:rsidR="00CB206E" w:rsidRPr="004E5DDC">
        <w:rPr>
          <w:rFonts w:cs="Arial"/>
          <w:i/>
          <w:color w:val="000000"/>
          <w:szCs w:val="22"/>
        </w:rPr>
        <w:t xml:space="preserve"> council shall, on the receipt of an application from any person for the grant to that person of a licence to drive private hire vehicles, grant to that person a driver’s licence: </w:t>
      </w:r>
    </w:p>
    <w:p w:rsidR="00CB206E" w:rsidRPr="004E5DDC" w:rsidRDefault="00CB206E" w:rsidP="00E0782E">
      <w:pPr>
        <w:shd w:val="clear" w:color="auto" w:fill="FFFFFF"/>
        <w:spacing w:after="120"/>
        <w:ind w:left="1276" w:hanging="1276"/>
        <w:rPr>
          <w:rFonts w:cs="Arial"/>
          <w:i/>
          <w:color w:val="000000"/>
          <w:szCs w:val="22"/>
        </w:rPr>
      </w:pPr>
      <w:r w:rsidRPr="004E5DDC">
        <w:rPr>
          <w:rFonts w:cs="Arial"/>
          <w:i/>
          <w:color w:val="000000"/>
          <w:szCs w:val="22"/>
        </w:rPr>
        <w:tab/>
        <w:t xml:space="preserve">Provided that a district council shall not grant a licence— </w:t>
      </w:r>
    </w:p>
    <w:p w:rsidR="00CB206E" w:rsidRPr="004E5DDC" w:rsidRDefault="00CB206E" w:rsidP="00E0782E">
      <w:pPr>
        <w:shd w:val="clear" w:color="auto" w:fill="FFFFFF"/>
        <w:ind w:left="1276" w:hanging="1276"/>
        <w:rPr>
          <w:rFonts w:cs="Arial"/>
          <w:i/>
          <w:color w:val="000000"/>
          <w:szCs w:val="22"/>
        </w:rPr>
      </w:pPr>
      <w:r w:rsidRPr="004E5DDC">
        <w:rPr>
          <w:rFonts w:cs="Arial"/>
          <w:i/>
          <w:color w:val="000000"/>
          <w:szCs w:val="22"/>
        </w:rPr>
        <w:tab/>
        <w:t xml:space="preserve">(a) </w:t>
      </w:r>
      <w:proofErr w:type="gramStart"/>
      <w:r w:rsidRPr="004E5DDC">
        <w:rPr>
          <w:rFonts w:cs="Arial"/>
          <w:i/>
          <w:color w:val="000000"/>
          <w:szCs w:val="22"/>
        </w:rPr>
        <w:t>unless</w:t>
      </w:r>
      <w:proofErr w:type="gramEnd"/>
      <w:r w:rsidRPr="004E5DDC">
        <w:rPr>
          <w:rFonts w:cs="Arial"/>
          <w:i/>
          <w:color w:val="000000"/>
          <w:szCs w:val="22"/>
        </w:rPr>
        <w:t xml:space="preserve"> they are satisfied that the applicant is a fit and proper person to hold a driver’s licence; or </w:t>
      </w:r>
    </w:p>
    <w:p w:rsidR="00CB206E" w:rsidRPr="004E5DDC" w:rsidRDefault="00CB206E" w:rsidP="00E0782E">
      <w:pPr>
        <w:shd w:val="clear" w:color="auto" w:fill="FFFFFF"/>
        <w:ind w:left="1276" w:hanging="1276"/>
        <w:rPr>
          <w:rFonts w:cs="Arial"/>
          <w:i/>
          <w:color w:val="000000"/>
          <w:szCs w:val="22"/>
        </w:rPr>
      </w:pPr>
      <w:r w:rsidRPr="004E5DDC">
        <w:rPr>
          <w:rFonts w:cs="Arial"/>
          <w:i/>
          <w:color w:val="000000"/>
          <w:szCs w:val="22"/>
        </w:rPr>
        <w:tab/>
        <w:t xml:space="preserve">(b) </w:t>
      </w:r>
      <w:proofErr w:type="gramStart"/>
      <w:r w:rsidRPr="004E5DDC">
        <w:rPr>
          <w:rFonts w:cs="Arial"/>
          <w:i/>
          <w:color w:val="000000"/>
          <w:szCs w:val="22"/>
        </w:rPr>
        <w:t>to</w:t>
      </w:r>
      <w:proofErr w:type="gramEnd"/>
      <w:r w:rsidRPr="004E5DDC">
        <w:rPr>
          <w:rFonts w:cs="Arial"/>
          <w:i/>
          <w:color w:val="000000"/>
          <w:szCs w:val="22"/>
        </w:rPr>
        <w:t xml:space="preserve"> any person who has not for at least twelve months been authorised to drive a motor car, or is not at the date of the application for a driver’s licence so authorised</w:t>
      </w:r>
      <w:r w:rsidR="004E5DDC" w:rsidRPr="004E5DDC">
        <w:rPr>
          <w:rFonts w:cs="Arial"/>
          <w:i/>
          <w:color w:val="000000"/>
          <w:szCs w:val="22"/>
        </w:rPr>
        <w:t>”</w:t>
      </w:r>
    </w:p>
    <w:p w:rsidR="006F0CE5" w:rsidRDefault="006F0CE5" w:rsidP="00E0782E">
      <w:pPr>
        <w:shd w:val="clear" w:color="auto" w:fill="FFFFFF"/>
        <w:ind w:left="1276" w:hanging="1276"/>
        <w:rPr>
          <w:rFonts w:cs="Arial"/>
          <w:color w:val="000000"/>
          <w:szCs w:val="22"/>
        </w:rPr>
      </w:pPr>
    </w:p>
    <w:p w:rsidR="006F0CE5" w:rsidRPr="004E5DDC" w:rsidRDefault="008F1265" w:rsidP="008F1265">
      <w:pPr>
        <w:pStyle w:val="legclearfix"/>
        <w:shd w:val="clear" w:color="auto" w:fill="FFFFFF"/>
        <w:spacing w:before="0" w:beforeAutospacing="0" w:after="120" w:afterAutospacing="0"/>
        <w:ind w:left="1276" w:hanging="1276"/>
        <w:jc w:val="both"/>
        <w:rPr>
          <w:rFonts w:ascii="Arial" w:hAnsi="Arial" w:cs="Arial"/>
          <w:i/>
          <w:color w:val="000000"/>
          <w:sz w:val="22"/>
          <w:szCs w:val="22"/>
        </w:rPr>
      </w:pPr>
      <w:r>
        <w:rPr>
          <w:rFonts w:ascii="Arial" w:hAnsi="Arial" w:cs="Arial"/>
          <w:color w:val="000000"/>
          <w:sz w:val="22"/>
          <w:szCs w:val="22"/>
        </w:rPr>
        <w:t>2.2</w:t>
      </w:r>
      <w:r>
        <w:rPr>
          <w:rFonts w:ascii="Arial" w:hAnsi="Arial" w:cs="Arial"/>
          <w:color w:val="000000"/>
          <w:sz w:val="22"/>
          <w:szCs w:val="22"/>
        </w:rPr>
        <w:tab/>
      </w:r>
      <w:r w:rsidR="006F0CE5" w:rsidRPr="00E0782E">
        <w:rPr>
          <w:rFonts w:ascii="Arial" w:hAnsi="Arial" w:cs="Arial"/>
          <w:color w:val="000000"/>
          <w:sz w:val="22"/>
          <w:szCs w:val="22"/>
        </w:rPr>
        <w:t xml:space="preserve">S.55 of the </w:t>
      </w:r>
      <w:r w:rsidR="006F0CE5" w:rsidRPr="00E0782E">
        <w:rPr>
          <w:rFonts w:ascii="Arial" w:hAnsi="Arial" w:cs="Arial"/>
          <w:sz w:val="22"/>
          <w:szCs w:val="22"/>
        </w:rPr>
        <w:t>Local Government (Miscellaneous Provisions) Act 1976 states</w:t>
      </w:r>
      <w:r w:rsidR="006F0CE5" w:rsidRPr="00E0782E">
        <w:rPr>
          <w:rFonts w:ascii="Arial" w:hAnsi="Arial" w:cs="Arial"/>
          <w:color w:val="000000"/>
          <w:sz w:val="22"/>
          <w:szCs w:val="22"/>
        </w:rPr>
        <w:t xml:space="preserve"> </w:t>
      </w:r>
      <w:r w:rsidR="004E5DDC">
        <w:rPr>
          <w:rFonts w:ascii="Arial" w:hAnsi="Arial" w:cs="Arial"/>
          <w:color w:val="000000"/>
          <w:sz w:val="22"/>
          <w:szCs w:val="22"/>
        </w:rPr>
        <w:t>“</w:t>
      </w:r>
      <w:r w:rsidR="006F0CE5" w:rsidRPr="004E5DDC">
        <w:rPr>
          <w:rStyle w:val="legds"/>
          <w:rFonts w:ascii="Arial" w:hAnsi="Arial" w:cs="Arial"/>
          <w:i/>
          <w:color w:val="000000"/>
          <w:sz w:val="22"/>
          <w:szCs w:val="22"/>
        </w:rPr>
        <w:t>a district council shall, on receipt of an application from any person for the grant to that person of a licence to operate private hire vehicles grant to that person an operator’s licence:</w:t>
      </w:r>
      <w:r w:rsidR="006F0CE5" w:rsidRPr="004E5DDC">
        <w:rPr>
          <w:rFonts w:ascii="Arial" w:hAnsi="Arial" w:cs="Arial"/>
          <w:i/>
          <w:color w:val="000000"/>
          <w:sz w:val="22"/>
          <w:szCs w:val="22"/>
        </w:rPr>
        <w:t xml:space="preserve"> </w:t>
      </w:r>
    </w:p>
    <w:p w:rsidR="006F0CE5" w:rsidRPr="004E5DDC" w:rsidRDefault="006F0CE5" w:rsidP="00E0782E">
      <w:pPr>
        <w:pStyle w:val="leglevel3"/>
        <w:shd w:val="clear" w:color="auto" w:fill="FFFFFF"/>
        <w:spacing w:before="0" w:beforeAutospacing="0" w:after="120" w:afterAutospacing="0"/>
        <w:ind w:left="1276"/>
        <w:jc w:val="both"/>
        <w:rPr>
          <w:rFonts w:ascii="Arial" w:hAnsi="Arial" w:cs="Arial"/>
          <w:i/>
          <w:color w:val="000000"/>
          <w:sz w:val="22"/>
          <w:szCs w:val="22"/>
        </w:rPr>
      </w:pPr>
      <w:r w:rsidRPr="004E5DDC">
        <w:rPr>
          <w:rFonts w:ascii="Arial" w:hAnsi="Arial" w:cs="Arial"/>
          <w:i/>
          <w:color w:val="000000"/>
          <w:sz w:val="22"/>
          <w:szCs w:val="22"/>
        </w:rPr>
        <w:t>Provided that a district council shall not grant a licence unless they are satisfied that the applicant is a fit and proper person to hold an operator’s licence.</w:t>
      </w:r>
      <w:r w:rsidR="004E5DDC" w:rsidRPr="004E5DDC">
        <w:rPr>
          <w:rFonts w:ascii="Arial" w:hAnsi="Arial" w:cs="Arial"/>
          <w:i/>
          <w:color w:val="000000"/>
          <w:sz w:val="22"/>
          <w:szCs w:val="22"/>
        </w:rPr>
        <w:t>”</w:t>
      </w:r>
      <w:r w:rsidRPr="004E5DDC">
        <w:rPr>
          <w:rFonts w:ascii="Arial" w:hAnsi="Arial" w:cs="Arial"/>
          <w:i/>
          <w:color w:val="000000"/>
          <w:sz w:val="22"/>
          <w:szCs w:val="22"/>
        </w:rPr>
        <w:t xml:space="preserve"> </w:t>
      </w:r>
    </w:p>
    <w:p w:rsidR="004E5DDC" w:rsidRPr="004E5DDC" w:rsidRDefault="004E5DDC" w:rsidP="004E5DDC">
      <w:pPr>
        <w:pStyle w:val="legclearfix"/>
        <w:shd w:val="clear" w:color="auto" w:fill="FFFFFF"/>
        <w:spacing w:before="0" w:beforeAutospacing="0" w:after="120" w:afterAutospacing="0"/>
        <w:ind w:left="1276"/>
        <w:jc w:val="both"/>
        <w:rPr>
          <w:rFonts w:ascii="Arial" w:hAnsi="Arial" w:cs="Arial"/>
          <w:i/>
          <w:color w:val="000000"/>
          <w:sz w:val="22"/>
          <w:szCs w:val="22"/>
        </w:rPr>
      </w:pPr>
      <w:r>
        <w:rPr>
          <w:rStyle w:val="legds"/>
          <w:rFonts w:ascii="Arial" w:hAnsi="Arial" w:cs="Arial"/>
          <w:color w:val="000000"/>
          <w:sz w:val="22"/>
          <w:szCs w:val="22"/>
        </w:rPr>
        <w:t xml:space="preserve">S.59 </w:t>
      </w:r>
      <w:r w:rsidRPr="00E0782E">
        <w:rPr>
          <w:rFonts w:ascii="Arial" w:hAnsi="Arial" w:cs="Arial"/>
          <w:color w:val="000000"/>
          <w:sz w:val="22"/>
          <w:szCs w:val="22"/>
        </w:rPr>
        <w:t xml:space="preserve">the </w:t>
      </w:r>
      <w:r w:rsidRPr="00E0782E">
        <w:rPr>
          <w:rFonts w:ascii="Arial" w:hAnsi="Arial" w:cs="Arial"/>
          <w:sz w:val="22"/>
          <w:szCs w:val="22"/>
        </w:rPr>
        <w:t>Local Government (Miscellaneous Provisions) Act 1976 states</w:t>
      </w:r>
      <w:r>
        <w:rPr>
          <w:rStyle w:val="legds"/>
          <w:rFonts w:ascii="Arial" w:hAnsi="Arial" w:cs="Arial"/>
          <w:color w:val="000000"/>
          <w:sz w:val="22"/>
          <w:szCs w:val="22"/>
        </w:rPr>
        <w:t xml:space="preserve"> “</w:t>
      </w:r>
      <w:r w:rsidRPr="004E5DDC">
        <w:rPr>
          <w:rStyle w:val="legds"/>
          <w:rFonts w:ascii="Arial" w:hAnsi="Arial" w:cs="Arial"/>
          <w:i/>
          <w:color w:val="000000"/>
          <w:sz w:val="22"/>
          <w:szCs w:val="22"/>
        </w:rPr>
        <w:t>Notwithstanding anything in the Act of 1847, a district council shall not grant a licence to drive a hackney carriage—</w:t>
      </w:r>
      <w:r w:rsidRPr="004E5DDC">
        <w:rPr>
          <w:rFonts w:ascii="Arial" w:hAnsi="Arial" w:cs="Arial"/>
          <w:i/>
          <w:color w:val="000000"/>
          <w:sz w:val="22"/>
          <w:szCs w:val="22"/>
        </w:rPr>
        <w:t xml:space="preserve"> </w:t>
      </w:r>
    </w:p>
    <w:p w:rsidR="004E5DDC" w:rsidRPr="004E5DDC" w:rsidRDefault="004E5DDC" w:rsidP="004E5DDC">
      <w:pPr>
        <w:pStyle w:val="legclearfix"/>
        <w:shd w:val="clear" w:color="auto" w:fill="FFFFFF"/>
        <w:spacing w:before="0" w:beforeAutospacing="0" w:after="120" w:afterAutospacing="0"/>
        <w:ind w:left="1276"/>
        <w:jc w:val="both"/>
        <w:rPr>
          <w:rFonts w:ascii="Arial" w:hAnsi="Arial" w:cs="Arial"/>
          <w:i/>
          <w:color w:val="000000"/>
          <w:sz w:val="22"/>
          <w:szCs w:val="22"/>
        </w:rPr>
      </w:pPr>
      <w:r w:rsidRPr="004E5DDC">
        <w:rPr>
          <w:rStyle w:val="legds"/>
          <w:rFonts w:ascii="Arial" w:hAnsi="Arial" w:cs="Arial"/>
          <w:i/>
          <w:color w:val="000000"/>
          <w:sz w:val="22"/>
          <w:szCs w:val="22"/>
        </w:rPr>
        <w:lastRenderedPageBreak/>
        <w:t>(a)</w:t>
      </w:r>
      <w:r w:rsidR="00E710E6">
        <w:rPr>
          <w:rStyle w:val="legds"/>
          <w:rFonts w:ascii="Arial" w:hAnsi="Arial" w:cs="Arial"/>
          <w:i/>
          <w:color w:val="000000"/>
          <w:sz w:val="22"/>
          <w:szCs w:val="22"/>
        </w:rPr>
        <w:t xml:space="preserve"> </w:t>
      </w:r>
      <w:proofErr w:type="gramStart"/>
      <w:r w:rsidRPr="004E5DDC">
        <w:rPr>
          <w:rStyle w:val="legds"/>
          <w:rFonts w:ascii="Arial" w:hAnsi="Arial" w:cs="Arial"/>
          <w:i/>
          <w:color w:val="000000"/>
          <w:sz w:val="22"/>
          <w:szCs w:val="22"/>
        </w:rPr>
        <w:t>unless</w:t>
      </w:r>
      <w:proofErr w:type="gramEnd"/>
      <w:r w:rsidRPr="004E5DDC">
        <w:rPr>
          <w:rStyle w:val="legds"/>
          <w:rFonts w:ascii="Arial" w:hAnsi="Arial" w:cs="Arial"/>
          <w:i/>
          <w:color w:val="000000"/>
          <w:sz w:val="22"/>
          <w:szCs w:val="22"/>
        </w:rPr>
        <w:t xml:space="preserve"> they are satisfied that the applicant is a fit and proper person to hold a driver’s licence; or</w:t>
      </w:r>
      <w:r w:rsidRPr="004E5DDC">
        <w:rPr>
          <w:rFonts w:ascii="Arial" w:hAnsi="Arial" w:cs="Arial"/>
          <w:i/>
          <w:color w:val="000000"/>
          <w:sz w:val="22"/>
          <w:szCs w:val="22"/>
        </w:rPr>
        <w:t xml:space="preserve"> </w:t>
      </w:r>
    </w:p>
    <w:p w:rsidR="004E5DDC" w:rsidRPr="004E5DDC" w:rsidRDefault="004E5DDC" w:rsidP="004E5DDC">
      <w:pPr>
        <w:pStyle w:val="legclearfix"/>
        <w:shd w:val="clear" w:color="auto" w:fill="FFFFFF"/>
        <w:spacing w:before="0" w:beforeAutospacing="0" w:after="120" w:afterAutospacing="0"/>
        <w:ind w:left="1267" w:firstLine="9"/>
        <w:jc w:val="both"/>
        <w:rPr>
          <w:rFonts w:ascii="Arial" w:hAnsi="Arial" w:cs="Arial"/>
          <w:color w:val="000000"/>
          <w:sz w:val="22"/>
          <w:szCs w:val="22"/>
        </w:rPr>
      </w:pPr>
      <w:r w:rsidRPr="004E5DDC">
        <w:rPr>
          <w:rStyle w:val="legaddition"/>
          <w:rFonts w:ascii="Arial" w:hAnsi="Arial" w:cs="Arial"/>
          <w:i/>
          <w:color w:val="000000"/>
          <w:sz w:val="22"/>
          <w:szCs w:val="22"/>
        </w:rPr>
        <w:t>(b)</w:t>
      </w:r>
      <w:r w:rsidR="00E710E6">
        <w:rPr>
          <w:rStyle w:val="legaddition"/>
          <w:rFonts w:ascii="Arial" w:hAnsi="Arial" w:cs="Arial"/>
          <w:i/>
          <w:color w:val="000000"/>
          <w:sz w:val="22"/>
          <w:szCs w:val="22"/>
        </w:rPr>
        <w:t xml:space="preserve"> </w:t>
      </w:r>
      <w:proofErr w:type="gramStart"/>
      <w:r w:rsidRPr="004E5DDC">
        <w:rPr>
          <w:rStyle w:val="legaddition"/>
          <w:rFonts w:ascii="Arial" w:hAnsi="Arial" w:cs="Arial"/>
          <w:i/>
          <w:color w:val="000000"/>
          <w:sz w:val="22"/>
          <w:szCs w:val="22"/>
        </w:rPr>
        <w:t>to</w:t>
      </w:r>
      <w:proofErr w:type="gramEnd"/>
      <w:r w:rsidRPr="004E5DDC">
        <w:rPr>
          <w:rStyle w:val="legaddition"/>
          <w:rFonts w:ascii="Arial" w:hAnsi="Arial" w:cs="Arial"/>
          <w:i/>
          <w:color w:val="000000"/>
          <w:sz w:val="22"/>
          <w:szCs w:val="22"/>
        </w:rPr>
        <w:t xml:space="preserve"> any person who has not for at least twelve months been authorised to drive a motor car, or is not at the date of the application for a driver’s licence so authorised</w:t>
      </w:r>
      <w:r w:rsidRPr="004E5DDC">
        <w:rPr>
          <w:rStyle w:val="legaddition"/>
          <w:rFonts w:ascii="Arial" w:hAnsi="Arial" w:cs="Arial"/>
          <w:color w:val="000000"/>
          <w:sz w:val="22"/>
          <w:szCs w:val="22"/>
        </w:rPr>
        <w:t>.</w:t>
      </w:r>
      <w:r>
        <w:rPr>
          <w:rStyle w:val="legchangedelimiter"/>
          <w:rFonts w:ascii="Arial" w:hAnsi="Arial" w:cs="Arial"/>
          <w:b/>
          <w:bCs/>
          <w:color w:val="000000"/>
          <w:sz w:val="22"/>
          <w:szCs w:val="22"/>
        </w:rPr>
        <w:t>”</w:t>
      </w:r>
    </w:p>
    <w:p w:rsidR="00BF34FA" w:rsidRDefault="00CB206E" w:rsidP="00E0782E">
      <w:pPr>
        <w:ind w:left="1267" w:hanging="1267"/>
      </w:pPr>
      <w:r>
        <w:t xml:space="preserve"> </w:t>
      </w:r>
      <w:r>
        <w:tab/>
      </w:r>
    </w:p>
    <w:p w:rsidR="00E9441C" w:rsidRDefault="008F1265" w:rsidP="008F1265">
      <w:pPr>
        <w:ind w:left="1267" w:hanging="1267"/>
      </w:pPr>
      <w:r>
        <w:t>2.3</w:t>
      </w:r>
      <w:r w:rsidR="00CB206E">
        <w:tab/>
      </w:r>
      <w:r w:rsidR="00E9441C">
        <w:t xml:space="preserve">The existing policy document, </w:t>
      </w:r>
      <w:r w:rsidR="00D800B2" w:rsidRPr="00700BFB">
        <w:t>titled</w:t>
      </w:r>
      <w:r w:rsidR="00D800B2" w:rsidRPr="00700BFB">
        <w:rPr>
          <w:rFonts w:cs="Arial"/>
          <w:bCs/>
          <w:szCs w:val="22"/>
        </w:rPr>
        <w:t xml:space="preserve"> Statement of </w:t>
      </w:r>
      <w:r w:rsidR="00C72EC5">
        <w:rPr>
          <w:rFonts w:cs="Arial"/>
          <w:bCs/>
          <w:szCs w:val="22"/>
        </w:rPr>
        <w:t>P</w:t>
      </w:r>
      <w:r w:rsidR="00C72EC5" w:rsidRPr="00700BFB">
        <w:rPr>
          <w:rFonts w:cs="Arial"/>
          <w:bCs/>
          <w:szCs w:val="22"/>
        </w:rPr>
        <w:t xml:space="preserve">olicy </w:t>
      </w:r>
      <w:r w:rsidR="00D800B2" w:rsidRPr="00700BFB">
        <w:rPr>
          <w:rFonts w:cs="Arial"/>
          <w:bCs/>
          <w:szCs w:val="22"/>
        </w:rPr>
        <w:t>about relevant convictions or other information in determining refusals for hackney carriage or private hire drivers</w:t>
      </w:r>
      <w:r w:rsidR="00C72EC5">
        <w:rPr>
          <w:rFonts w:cs="Arial"/>
          <w:bCs/>
          <w:szCs w:val="22"/>
        </w:rPr>
        <w:t>’</w:t>
      </w:r>
      <w:r w:rsidR="00D800B2" w:rsidRPr="00700BFB">
        <w:rPr>
          <w:rFonts w:cs="Arial"/>
          <w:bCs/>
          <w:szCs w:val="22"/>
        </w:rPr>
        <w:t xml:space="preserve"> licences</w:t>
      </w:r>
      <w:r w:rsidR="00E9441C">
        <w:t xml:space="preserve">, was adopted in </w:t>
      </w:r>
      <w:r w:rsidR="00700BFB">
        <w:t>20</w:t>
      </w:r>
      <w:r w:rsidR="005962A8">
        <w:t>09</w:t>
      </w:r>
      <w:r w:rsidR="00700BFB">
        <w:t>.</w:t>
      </w:r>
      <w:r w:rsidR="00E9441C">
        <w:t xml:space="preserve">  </w:t>
      </w:r>
      <w:r w:rsidR="001D1CC0">
        <w:t>The previous policy has been in place for a number of years and this policy reviews and replaces this as part of the Regulatory Service Committee</w:t>
      </w:r>
      <w:r w:rsidR="00C72EC5">
        <w:t>’s</w:t>
      </w:r>
      <w:r w:rsidR="001D1CC0">
        <w:t xml:space="preserve"> work programme. </w:t>
      </w:r>
      <w:r w:rsidR="001D1CC0" w:rsidRPr="007E7815">
        <w:t>This policy has been based upon the well-publicised Rotherham Council document following their review and inspection of licensing</w:t>
      </w:r>
      <w:r w:rsidR="001D1CC0">
        <w:t>.</w:t>
      </w:r>
    </w:p>
    <w:p w:rsidR="00E9441C" w:rsidRDefault="00E9441C" w:rsidP="008F1265">
      <w:pPr>
        <w:ind w:left="1267" w:hanging="1267"/>
      </w:pPr>
    </w:p>
    <w:p w:rsidR="00A07C34" w:rsidRDefault="00E9441C" w:rsidP="008F1265">
      <w:pPr>
        <w:ind w:left="1267" w:hanging="1267"/>
      </w:pPr>
      <w:r>
        <w:t>2.4</w:t>
      </w:r>
      <w:r>
        <w:tab/>
      </w:r>
      <w:r w:rsidR="00CB206E">
        <w:t>Th</w:t>
      </w:r>
      <w:r>
        <w:t xml:space="preserve">e amended </w:t>
      </w:r>
      <w:r w:rsidR="00CB206E">
        <w:t xml:space="preserve">policy sets out clear information on how Three Rivers District Council </w:t>
      </w:r>
      <w:proofErr w:type="gramStart"/>
      <w:r w:rsidR="00A07C34">
        <w:t>view</w:t>
      </w:r>
      <w:proofErr w:type="gramEnd"/>
      <w:r w:rsidR="00A07C34">
        <w:t xml:space="preserve"> convictions and behaviour when determining whether an applicant is ‘Fit and Proper’</w:t>
      </w:r>
      <w:r w:rsidR="00C72EC5">
        <w:t>.</w:t>
      </w:r>
    </w:p>
    <w:p w:rsidR="009203EB" w:rsidRDefault="009203EB" w:rsidP="008F1265">
      <w:pPr>
        <w:ind w:left="1267" w:hanging="1267"/>
      </w:pPr>
    </w:p>
    <w:p w:rsidR="009203EB" w:rsidRDefault="009203EB" w:rsidP="008F1265">
      <w:pPr>
        <w:ind w:left="1267" w:hanging="1267"/>
      </w:pPr>
      <w:r>
        <w:t>2.</w:t>
      </w:r>
      <w:r w:rsidR="00972270">
        <w:t>5</w:t>
      </w:r>
      <w:r>
        <w:tab/>
      </w:r>
      <w:r w:rsidRPr="009203EB">
        <w:t>The most serious offences will normally bar the person from ever becoming a licensed driver (murder, manslaughter, terrorism</w:t>
      </w:r>
      <w:r w:rsidR="008A1CCD">
        <w:t>,</w:t>
      </w:r>
      <w:r w:rsidRPr="009203EB">
        <w:t xml:space="preserve"> offences</w:t>
      </w:r>
      <w:r w:rsidR="008A1CCD">
        <w:t xml:space="preserve"> involving children, young persons or vulnerable adults</w:t>
      </w:r>
      <w:r w:rsidR="002450C3">
        <w:t>, most sex offences</w:t>
      </w:r>
      <w:r w:rsidR="007A4C50">
        <w:t>, traffic o</w:t>
      </w:r>
      <w:r w:rsidR="007A4C50" w:rsidRPr="007A4C50">
        <w:t>ffences involving the loss of life</w:t>
      </w:r>
      <w:r w:rsidR="00DE1CF6">
        <w:t xml:space="preserve"> </w:t>
      </w:r>
      <w:r w:rsidRPr="009203EB">
        <w:t>or matters of similar gravity).</w:t>
      </w:r>
    </w:p>
    <w:p w:rsidR="009203EB" w:rsidRDefault="009203EB" w:rsidP="008F1265">
      <w:pPr>
        <w:ind w:left="1267" w:hanging="1267"/>
      </w:pPr>
    </w:p>
    <w:p w:rsidR="009203EB" w:rsidRDefault="009203EB" w:rsidP="009203EB">
      <w:pPr>
        <w:ind w:left="1267" w:hanging="1267"/>
      </w:pPr>
      <w:r>
        <w:t>2.</w:t>
      </w:r>
      <w:r w:rsidR="00972270">
        <w:t>6</w:t>
      </w:r>
      <w:r>
        <w:tab/>
        <w:t xml:space="preserve">The next level of seriousness requires a passage of </w:t>
      </w:r>
      <w:r w:rsidR="008A064E">
        <w:t xml:space="preserve">10 </w:t>
      </w:r>
      <w:r>
        <w:t>years before applications will normally be granted (</w:t>
      </w:r>
      <w:r w:rsidR="008A064E">
        <w:t>ABH Affray, Assault with intent to resist arrest Assault on Police</w:t>
      </w:r>
      <w:r w:rsidR="00C72EC5">
        <w:t>,</w:t>
      </w:r>
      <w:r w:rsidR="008A064E">
        <w:t xml:space="preserve"> </w:t>
      </w:r>
      <w:r>
        <w:t xml:space="preserve">Arson, </w:t>
      </w:r>
      <w:r w:rsidR="007A4C50">
        <w:t>Burglary</w:t>
      </w:r>
      <w:r w:rsidR="00C5185A">
        <w:t xml:space="preserve"> with intent</w:t>
      </w:r>
      <w:r w:rsidR="007A4C50">
        <w:t xml:space="preserve">, any ‘hate’ crime, </w:t>
      </w:r>
      <w:r w:rsidR="00C5185A">
        <w:t>Grievous</w:t>
      </w:r>
      <w:r w:rsidR="007A4C50">
        <w:t xml:space="preserve"> bodily harm, Robbery and Wounding with intent to cause GBH</w:t>
      </w:r>
      <w:r>
        <w:t>, or matters of similar gravity)</w:t>
      </w:r>
      <w:r w:rsidR="00C72EC5">
        <w:t>.</w:t>
      </w:r>
    </w:p>
    <w:p w:rsidR="009203EB" w:rsidRDefault="009203EB" w:rsidP="001D1CC0"/>
    <w:p w:rsidR="009203EB" w:rsidRDefault="009203EB" w:rsidP="008F1265">
      <w:pPr>
        <w:ind w:left="1267" w:hanging="1267"/>
      </w:pPr>
      <w:r>
        <w:t>2.</w:t>
      </w:r>
      <w:r w:rsidR="00972270">
        <w:t>7</w:t>
      </w:r>
      <w:r>
        <w:tab/>
      </w:r>
      <w:r w:rsidRPr="009203EB">
        <w:t>The next level of seriousness requires a passage of 5 years before applications will normally be granted (</w:t>
      </w:r>
      <w:r w:rsidR="00C5185A">
        <w:t xml:space="preserve">Benefit Fraud, Burglary, </w:t>
      </w:r>
      <w:r w:rsidRPr="009203EB">
        <w:t xml:space="preserve">Criminal </w:t>
      </w:r>
      <w:r w:rsidR="00C72EC5">
        <w:t>D</w:t>
      </w:r>
      <w:r w:rsidRPr="009203EB">
        <w:t xml:space="preserve">amage, Common </w:t>
      </w:r>
      <w:r w:rsidR="00C72EC5">
        <w:t>A</w:t>
      </w:r>
      <w:r w:rsidRPr="009203EB">
        <w:t>ssault</w:t>
      </w:r>
      <w:r w:rsidR="00C5185A">
        <w:t xml:space="preserve">, Forgery, Fraud, Handling Stolen Goods Harassment, Major Traffic Offences, </w:t>
      </w:r>
      <w:r w:rsidRPr="009203EB">
        <w:t>or matters of similar gravity).</w:t>
      </w:r>
    </w:p>
    <w:p w:rsidR="00E9441C" w:rsidRDefault="00E9441C" w:rsidP="001D1CC0"/>
    <w:p w:rsidR="00E9441C" w:rsidRDefault="00E9441C" w:rsidP="00DE1CF6">
      <w:pPr>
        <w:ind w:left="1267" w:hanging="1267"/>
      </w:pPr>
      <w:r>
        <w:t>2.8</w:t>
      </w:r>
      <w:r>
        <w:tab/>
      </w:r>
      <w:r w:rsidR="00700BFB">
        <w:t>T</w:t>
      </w:r>
      <w:r>
        <w:t xml:space="preserve">he amended document provides a comprehensive and clear policy for use by applicants/operators in their application for a licence and for use by </w:t>
      </w:r>
      <w:r w:rsidR="008A064E">
        <w:t>licensing</w:t>
      </w:r>
      <w:r>
        <w:t xml:space="preserve"> staff in the determination of any application.  </w:t>
      </w:r>
      <w:r w:rsidR="00700BFB">
        <w:t>The c</w:t>
      </w:r>
      <w:r>
        <w:t xml:space="preserve">onsultation period </w:t>
      </w:r>
      <w:r w:rsidR="00700BFB">
        <w:t xml:space="preserve">has been </w:t>
      </w:r>
      <w:r w:rsidR="00C72EC5">
        <w:t>considered</w:t>
      </w:r>
      <w:r w:rsidR="00700BFB">
        <w:t xml:space="preserve"> appropriate as it is felt that it is not to</w:t>
      </w:r>
      <w:r w:rsidR="00C72EC5">
        <w:t>o</w:t>
      </w:r>
      <w:r w:rsidR="00700BFB">
        <w:t xml:space="preserve"> long </w:t>
      </w:r>
      <w:proofErr w:type="gramStart"/>
      <w:r w:rsidR="00C72EC5">
        <w:t>nor</w:t>
      </w:r>
      <w:proofErr w:type="gramEnd"/>
      <w:r w:rsidR="00700BFB">
        <w:t xml:space="preserve"> to</w:t>
      </w:r>
      <w:r w:rsidR="00C72EC5">
        <w:t>o</w:t>
      </w:r>
      <w:r w:rsidR="00700BFB">
        <w:t xml:space="preserve"> short. </w:t>
      </w:r>
    </w:p>
    <w:p w:rsidR="00BF34FA" w:rsidRDefault="00BF34FA" w:rsidP="00DE1CF6"/>
    <w:p w:rsidR="00BF34FA" w:rsidRDefault="00BF34FA">
      <w:pPr>
        <w:keepNext/>
        <w:ind w:left="1267" w:hanging="1267"/>
      </w:pPr>
      <w:r w:rsidRPr="008F1265">
        <w:rPr>
          <w:b/>
        </w:rPr>
        <w:t>3.</w:t>
      </w:r>
      <w:r>
        <w:tab/>
      </w:r>
      <w:r>
        <w:rPr>
          <w:b/>
        </w:rPr>
        <w:t>Options/Reasons for Recommendation</w:t>
      </w:r>
    </w:p>
    <w:p w:rsidR="00BF34FA" w:rsidRDefault="00BF34FA">
      <w:pPr>
        <w:keepNext/>
        <w:ind w:left="1267" w:hanging="1267"/>
      </w:pPr>
    </w:p>
    <w:p w:rsidR="00E9441C" w:rsidRDefault="00BF34FA">
      <w:pPr>
        <w:ind w:left="1267" w:hanging="1267"/>
      </w:pPr>
      <w:r>
        <w:t>3.1</w:t>
      </w:r>
      <w:r>
        <w:tab/>
      </w:r>
      <w:r w:rsidR="00E9441C">
        <w:t>Following discussion at Committee and any suggested amendments there are 4 options:</w:t>
      </w:r>
    </w:p>
    <w:p w:rsidR="00E9441C" w:rsidRDefault="00E9441C">
      <w:pPr>
        <w:ind w:left="1267" w:hanging="1267"/>
      </w:pPr>
    </w:p>
    <w:p w:rsidR="00E9441C" w:rsidRDefault="00E9441C">
      <w:pPr>
        <w:ind w:left="1267" w:hanging="1267"/>
      </w:pPr>
      <w:r>
        <w:tab/>
      </w:r>
      <w:r w:rsidR="00BF34FA">
        <w:fldChar w:fldCharType="begin"/>
      </w:r>
      <w:r w:rsidR="00BF34FA">
        <w:instrText xml:space="preserve">  </w:instrText>
      </w:r>
      <w:r w:rsidR="00BF34FA">
        <w:fldChar w:fldCharType="end"/>
      </w:r>
      <w:r w:rsidR="007663FA">
        <w:t xml:space="preserve">Option 1 – Authorise </w:t>
      </w:r>
      <w:r>
        <w:t>O</w:t>
      </w:r>
      <w:r w:rsidR="007663FA">
        <w:t xml:space="preserve">fficers to consult on the draft </w:t>
      </w:r>
      <w:r w:rsidR="00E30B05">
        <w:t>Hackney Carriage a</w:t>
      </w:r>
      <w:r w:rsidR="00E30B05" w:rsidRPr="00E607D4">
        <w:t xml:space="preserve">nd Private Hire Driver </w:t>
      </w:r>
      <w:r w:rsidR="00E30B05">
        <w:t>a</w:t>
      </w:r>
      <w:r w:rsidR="00E30B05" w:rsidRPr="00E607D4">
        <w:t>nd Private Hire Operator Suitability Policy</w:t>
      </w:r>
      <w:r w:rsidR="00E30B05" w:rsidRPr="00E30B05" w:rsidDel="00E30B05">
        <w:t xml:space="preserve"> </w:t>
      </w:r>
      <w:r w:rsidR="00E30B05">
        <w:t xml:space="preserve">and </w:t>
      </w:r>
      <w:r w:rsidR="007663FA">
        <w:t>agree with the timeframe for the consultation period of 8 weeks</w:t>
      </w:r>
      <w:r w:rsidR="00C72EC5">
        <w:t>.</w:t>
      </w:r>
    </w:p>
    <w:p w:rsidR="007663FA" w:rsidRDefault="007663FA">
      <w:pPr>
        <w:ind w:left="1267" w:hanging="1267"/>
      </w:pPr>
    </w:p>
    <w:p w:rsidR="007663FA" w:rsidRDefault="007663FA">
      <w:pPr>
        <w:ind w:left="1267" w:hanging="1267"/>
      </w:pPr>
      <w:r>
        <w:tab/>
        <w:t xml:space="preserve">Option 2 – Authorise </w:t>
      </w:r>
      <w:r w:rsidR="00E9441C">
        <w:t>O</w:t>
      </w:r>
      <w:r>
        <w:t xml:space="preserve">fficers to consult on the </w:t>
      </w:r>
      <w:r w:rsidR="00E30B05">
        <w:t>draft Hackney Carriage a</w:t>
      </w:r>
      <w:r w:rsidR="00E30B05" w:rsidRPr="006A4AC3">
        <w:t xml:space="preserve">nd Private Hire Driver </w:t>
      </w:r>
      <w:r w:rsidR="00E30B05">
        <w:t>a</w:t>
      </w:r>
      <w:r w:rsidR="00E30B05" w:rsidRPr="006A4AC3">
        <w:t>nd Private Hire Operator Suitability Policy</w:t>
      </w:r>
      <w:r w:rsidR="00E30B05" w:rsidRPr="006A4AC3" w:rsidDel="00E30B05">
        <w:t xml:space="preserve"> </w:t>
      </w:r>
      <w:r w:rsidR="00E30B05">
        <w:t xml:space="preserve">and </w:t>
      </w:r>
      <w:r>
        <w:t>agree an alternative timeframe for the consultation period</w:t>
      </w:r>
      <w:r w:rsidR="00C72EC5">
        <w:t>.</w:t>
      </w:r>
    </w:p>
    <w:p w:rsidR="00E9441C" w:rsidRDefault="00E9441C">
      <w:pPr>
        <w:ind w:left="1267" w:hanging="1267"/>
      </w:pPr>
    </w:p>
    <w:p w:rsidR="007663FA" w:rsidRDefault="007663FA">
      <w:pPr>
        <w:ind w:left="1267" w:hanging="1267"/>
      </w:pPr>
      <w:r>
        <w:tab/>
        <w:t xml:space="preserve">Option 3 – Authorise </w:t>
      </w:r>
      <w:r w:rsidR="00E9441C">
        <w:t>O</w:t>
      </w:r>
      <w:r>
        <w:t xml:space="preserve">fficers to consult on an alternative </w:t>
      </w:r>
      <w:r w:rsidR="00E30B05">
        <w:t>draft Hackney Carriage a</w:t>
      </w:r>
      <w:r w:rsidR="00E30B05" w:rsidRPr="006A4AC3">
        <w:t xml:space="preserve">nd Private Hire Driver </w:t>
      </w:r>
      <w:r w:rsidR="00E30B05">
        <w:t>a</w:t>
      </w:r>
      <w:r w:rsidR="00E30B05" w:rsidRPr="006A4AC3">
        <w:t>nd Private Hire Operator Suitability Policy</w:t>
      </w:r>
      <w:r>
        <w:t xml:space="preserve"> and agree a timeframe for the consultation period</w:t>
      </w:r>
      <w:proofErr w:type="gramStart"/>
      <w:r>
        <w:t>;</w:t>
      </w:r>
      <w:r w:rsidR="00C72EC5">
        <w:t>.</w:t>
      </w:r>
      <w:proofErr w:type="gramEnd"/>
    </w:p>
    <w:p w:rsidR="00E9441C" w:rsidRDefault="00E9441C">
      <w:pPr>
        <w:ind w:left="1267" w:hanging="1267"/>
      </w:pPr>
    </w:p>
    <w:p w:rsidR="00BF34FA" w:rsidRDefault="007663FA" w:rsidP="007663FA">
      <w:pPr>
        <w:ind w:left="1267" w:hanging="1267"/>
        <w:rPr>
          <w:b/>
          <w:i/>
          <w:color w:val="008000"/>
        </w:rPr>
      </w:pPr>
      <w:r>
        <w:tab/>
        <w:t xml:space="preserve">Option 4 – Determine that a </w:t>
      </w:r>
      <w:r w:rsidR="00972270">
        <w:t>review of the current</w:t>
      </w:r>
      <w:r>
        <w:t xml:space="preserve"> policy in this format is not required.</w:t>
      </w:r>
      <w:r w:rsidR="00BF34FA">
        <w:tab/>
      </w:r>
    </w:p>
    <w:p w:rsidR="00BF34FA" w:rsidRDefault="00BF34FA">
      <w:pPr>
        <w:ind w:left="1267" w:hanging="1267"/>
      </w:pPr>
    </w:p>
    <w:p w:rsidR="00BF34FA" w:rsidRDefault="00BF34FA">
      <w:pPr>
        <w:keepNext/>
        <w:ind w:left="1267" w:hanging="1267"/>
      </w:pPr>
      <w:r w:rsidRPr="008F1265">
        <w:rPr>
          <w:b/>
        </w:rPr>
        <w:t>4.</w:t>
      </w:r>
      <w:r>
        <w:tab/>
      </w:r>
      <w:r>
        <w:rPr>
          <w:b/>
        </w:rPr>
        <w:t>Policy/Budget Reference and Implications</w:t>
      </w:r>
    </w:p>
    <w:p w:rsidR="00BF34FA" w:rsidRDefault="00BF34FA" w:rsidP="008F1265"/>
    <w:p w:rsidR="00BF34FA" w:rsidRPr="00D7229A" w:rsidRDefault="00BF34FA">
      <w:pPr>
        <w:ind w:left="1267" w:hanging="1267"/>
        <w:rPr>
          <w:b/>
          <w:i/>
          <w:color w:val="008000"/>
        </w:rPr>
      </w:pPr>
      <w:r>
        <w:t>4.1</w:t>
      </w:r>
      <w:r>
        <w:tab/>
        <w:t>The recommendations in this report are within the Council’s agreed budgets</w:t>
      </w:r>
      <w:r w:rsidR="00C72EC5">
        <w:t xml:space="preserve"> but require a modification to Committee policy</w:t>
      </w:r>
      <w:r>
        <w:t>.</w:t>
      </w:r>
      <w:r w:rsidR="00D7229A">
        <w:t xml:space="preserve">  </w:t>
      </w:r>
    </w:p>
    <w:p w:rsidR="00BF34FA" w:rsidRDefault="00BF34FA">
      <w:pPr>
        <w:ind w:left="1267" w:hanging="1267"/>
      </w:pPr>
    </w:p>
    <w:p w:rsidR="00BF34FA" w:rsidRDefault="00BF34FA">
      <w:pPr>
        <w:keepNext/>
        <w:ind w:left="1267" w:hanging="1267"/>
      </w:pPr>
      <w:r w:rsidRPr="008F1265">
        <w:rPr>
          <w:b/>
        </w:rPr>
        <w:t>5.</w:t>
      </w:r>
      <w:r>
        <w:tab/>
      </w:r>
      <w:r>
        <w:rPr>
          <w:b/>
        </w:rPr>
        <w:t>Financial Implications</w:t>
      </w:r>
    </w:p>
    <w:p w:rsidR="00BF34FA" w:rsidRDefault="00BF34FA">
      <w:pPr>
        <w:keepNext/>
        <w:ind w:left="1267" w:hanging="1267"/>
      </w:pPr>
    </w:p>
    <w:p w:rsidR="00BF34FA" w:rsidRDefault="00BF34FA" w:rsidP="008F1265">
      <w:pPr>
        <w:ind w:left="1260" w:hanging="1260"/>
        <w:rPr>
          <w:b/>
          <w:i/>
          <w:color w:val="008000"/>
        </w:rPr>
      </w:pPr>
      <w:r>
        <w:t>5.1</w:t>
      </w:r>
      <w:r>
        <w:rPr>
          <w:i/>
        </w:rPr>
        <w:tab/>
      </w:r>
      <w:r w:rsidR="002B271C">
        <w:rPr>
          <w:rFonts w:cs="Arial"/>
          <w:lang w:val="en"/>
        </w:rPr>
        <w:t xml:space="preserve">None Specific. </w:t>
      </w:r>
    </w:p>
    <w:p w:rsidR="00AB6603" w:rsidRDefault="00AB6603">
      <w:pPr>
        <w:rPr>
          <w:b/>
          <w:i/>
          <w:color w:val="008000"/>
        </w:rPr>
      </w:pPr>
    </w:p>
    <w:p w:rsidR="00AB6603" w:rsidRDefault="00AB6603" w:rsidP="008F1265">
      <w:pPr>
        <w:ind w:left="1260" w:hanging="1260"/>
      </w:pPr>
      <w:r w:rsidRPr="008F1265">
        <w:t>5.2</w:t>
      </w:r>
      <w:r w:rsidRPr="008F1265">
        <w:tab/>
      </w:r>
      <w:r w:rsidR="002B271C">
        <w:rPr>
          <w:rFonts w:cs="Arial"/>
          <w:lang w:val="en"/>
        </w:rPr>
        <w:t>This policy will be subject to a stakeholder and public consultation, with appropriate amendment prior to commencement. If the recommendation is approved there will be a small cost for consultation of the policy.</w:t>
      </w:r>
    </w:p>
    <w:p w:rsidR="002B271C" w:rsidRDefault="002B271C" w:rsidP="002B271C">
      <w:pPr>
        <w:keepNext/>
        <w:autoSpaceDE w:val="0"/>
        <w:autoSpaceDN w:val="0"/>
        <w:ind w:left="1987" w:hanging="1267"/>
        <w:rPr>
          <w:rFonts w:cs="Arial"/>
          <w:lang w:val="en"/>
        </w:rPr>
      </w:pPr>
    </w:p>
    <w:p w:rsidR="002B271C" w:rsidRDefault="002B271C" w:rsidP="002B271C">
      <w:pPr>
        <w:tabs>
          <w:tab w:val="clear" w:pos="1260"/>
          <w:tab w:val="clear" w:pos="1980"/>
          <w:tab w:val="left" w:pos="1276"/>
        </w:tabs>
        <w:autoSpaceDE w:val="0"/>
        <w:autoSpaceDN w:val="0"/>
        <w:ind w:left="1260" w:hanging="1260"/>
        <w:rPr>
          <w:rFonts w:cs="Arial"/>
          <w:lang w:val="en"/>
        </w:rPr>
      </w:pPr>
      <w:r>
        <w:rPr>
          <w:rFonts w:cs="Arial"/>
          <w:lang w:val="en"/>
        </w:rPr>
        <w:t>5.3</w:t>
      </w:r>
      <w:r>
        <w:rPr>
          <w:rFonts w:cs="Arial"/>
          <w:lang w:val="en"/>
        </w:rPr>
        <w:tab/>
        <w:t xml:space="preserve">Refusals are open to appeal.  There may be financial implications to defend these matters. Any future variances will be reported through budget monitoring.  </w:t>
      </w:r>
    </w:p>
    <w:p w:rsidR="004E5DDC" w:rsidRDefault="004E5DDC">
      <w:pPr>
        <w:keepNext/>
        <w:ind w:left="1267" w:hanging="1267"/>
      </w:pPr>
    </w:p>
    <w:p w:rsidR="00BF34FA" w:rsidRDefault="00BF34FA">
      <w:pPr>
        <w:keepNext/>
        <w:ind w:left="1267" w:hanging="1267"/>
      </w:pPr>
      <w:r w:rsidRPr="008F1265">
        <w:rPr>
          <w:b/>
        </w:rPr>
        <w:t>6.</w:t>
      </w:r>
      <w:r>
        <w:tab/>
      </w:r>
      <w:r>
        <w:rPr>
          <w:b/>
        </w:rPr>
        <w:t>Legal Implications</w:t>
      </w:r>
    </w:p>
    <w:p w:rsidR="00BF34FA" w:rsidRDefault="00BF34FA">
      <w:pPr>
        <w:keepNext/>
        <w:ind w:left="1267" w:hanging="1267"/>
      </w:pPr>
    </w:p>
    <w:p w:rsidR="007E7815" w:rsidRDefault="00BF34FA" w:rsidP="00E0782E">
      <w:pPr>
        <w:ind w:left="1260" w:hanging="1260"/>
      </w:pPr>
      <w:r>
        <w:t>6.1</w:t>
      </w:r>
      <w:r>
        <w:tab/>
      </w:r>
      <w:r>
        <w:fldChar w:fldCharType="begin"/>
      </w:r>
      <w:r>
        <w:instrText xml:space="preserve">  </w:instrText>
      </w:r>
      <w:r>
        <w:fldChar w:fldCharType="end"/>
      </w:r>
      <w:r w:rsidR="00A77885">
        <w:t xml:space="preserve">This policy explains how the Council will view </w:t>
      </w:r>
      <w:r w:rsidR="00162845" w:rsidRPr="00162845">
        <w:t>convictions and behaviour</w:t>
      </w:r>
      <w:r w:rsidR="00162845">
        <w:t xml:space="preserve"> </w:t>
      </w:r>
      <w:r w:rsidR="00A77885">
        <w:t xml:space="preserve">in assessing whether an applicant is ‘fit and proper’ and therefore </w:t>
      </w:r>
      <w:r w:rsidR="006F0CE5">
        <w:t>determining</w:t>
      </w:r>
      <w:r w:rsidR="00A77885">
        <w:t xml:space="preserve"> </w:t>
      </w:r>
      <w:r w:rsidR="006F0CE5">
        <w:t>S.51 and</w:t>
      </w:r>
      <w:r w:rsidR="00E0782E">
        <w:t xml:space="preserve"> / or</w:t>
      </w:r>
      <w:r w:rsidR="006F0CE5">
        <w:t xml:space="preserve"> S.55 of the Local Government (Miscellaneous Provisions) Act 1976</w:t>
      </w:r>
      <w:r w:rsidR="00AB6603">
        <w:t>.</w:t>
      </w:r>
    </w:p>
    <w:p w:rsidR="007E7815" w:rsidRDefault="007E7815" w:rsidP="00E0782E">
      <w:pPr>
        <w:ind w:left="1260" w:hanging="1260"/>
      </w:pPr>
    </w:p>
    <w:p w:rsidR="00BF34FA" w:rsidRDefault="007E7815" w:rsidP="00E0782E">
      <w:pPr>
        <w:ind w:left="1260" w:hanging="1260"/>
      </w:pPr>
      <w:r>
        <w:t>6.2</w:t>
      </w:r>
      <w:r>
        <w:tab/>
      </w:r>
      <w:r w:rsidRPr="007E7815">
        <w:t>This policy has been based upon the well-publicised Rotherham Council document following their review and inspection of licensing</w:t>
      </w:r>
      <w:r w:rsidR="008F1265">
        <w:t>.</w:t>
      </w:r>
    </w:p>
    <w:p w:rsidR="00162845" w:rsidRDefault="00162845" w:rsidP="00E0782E">
      <w:pPr>
        <w:ind w:left="1260" w:hanging="1260"/>
      </w:pPr>
    </w:p>
    <w:p w:rsidR="00BF34FA" w:rsidRDefault="00162845" w:rsidP="001D1CC0">
      <w:pPr>
        <w:ind w:left="1260" w:hanging="1260"/>
      </w:pPr>
      <w:r>
        <w:t>6.3</w:t>
      </w:r>
      <w:r>
        <w:tab/>
      </w:r>
      <w:r w:rsidRPr="008F1265">
        <w:t xml:space="preserve">Refusals are open to appeal.  There may be </w:t>
      </w:r>
      <w:r>
        <w:t xml:space="preserve">legal </w:t>
      </w:r>
      <w:r w:rsidRPr="008F1265">
        <w:t>implications to defend these matters.</w:t>
      </w:r>
    </w:p>
    <w:p w:rsidR="00E9441C" w:rsidRDefault="00E9441C" w:rsidP="001D1CC0">
      <w:pPr>
        <w:ind w:left="1260" w:hanging="1260"/>
      </w:pPr>
    </w:p>
    <w:p w:rsidR="00BF34FA" w:rsidRDefault="00BF34FA">
      <w:pPr>
        <w:keepNext/>
        <w:ind w:left="1267" w:hanging="1267"/>
        <w:rPr>
          <w:b/>
        </w:rPr>
      </w:pPr>
      <w:r w:rsidRPr="008F1265">
        <w:rPr>
          <w:b/>
        </w:rPr>
        <w:t>7.</w:t>
      </w:r>
      <w:r>
        <w:tab/>
      </w:r>
      <w:r>
        <w:rPr>
          <w:b/>
        </w:rPr>
        <w:t>Equal Opportunities Implications</w:t>
      </w:r>
    </w:p>
    <w:p w:rsidR="00BF34FA" w:rsidRDefault="00BF34FA">
      <w:pPr>
        <w:keepNext/>
        <w:ind w:left="1267" w:hanging="1267"/>
        <w:rPr>
          <w:b/>
        </w:rPr>
      </w:pPr>
    </w:p>
    <w:p w:rsidR="00BF34FA" w:rsidRDefault="00BF34FA">
      <w:pPr>
        <w:keepNext/>
        <w:keepLines/>
        <w:ind w:left="1259" w:hanging="1259"/>
        <w:rPr>
          <w:b/>
        </w:rPr>
      </w:pPr>
      <w:r>
        <w:t>7.1</w:t>
      </w:r>
      <w:r>
        <w:tab/>
      </w:r>
      <w:r w:rsidRPr="00A40518">
        <w:rPr>
          <w:b/>
          <w:i/>
        </w:rPr>
        <w:t>Relevance Test</w:t>
      </w:r>
    </w:p>
    <w:p w:rsidR="00BF34FA" w:rsidRDefault="00BF34FA">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tc>
          <w:tcPr>
            <w:tcW w:w="6096" w:type="dxa"/>
          </w:tcPr>
          <w:p w:rsidR="00BF34FA" w:rsidRDefault="00BF34FA">
            <w:pPr>
              <w:keepNext/>
              <w:keepLines/>
            </w:pPr>
            <w:r>
              <w:t>Has a relevance test been completed for Equality Impact?</w:t>
            </w:r>
          </w:p>
          <w:p w:rsidR="00BF34FA" w:rsidRPr="00E0782E" w:rsidRDefault="00E0782E">
            <w:pPr>
              <w:rPr>
                <w:b/>
                <w:i/>
              </w:rPr>
            </w:pPr>
            <w:r w:rsidRPr="00E0782E">
              <w:rPr>
                <w:b/>
                <w:i/>
              </w:rPr>
              <w:t>There is no change to the Equality Impact since the original policy</w:t>
            </w:r>
          </w:p>
          <w:p w:rsidR="00BF34FA" w:rsidRDefault="00BF34FA">
            <w:pPr>
              <w:keepNext/>
              <w:keepLines/>
            </w:pPr>
          </w:p>
        </w:tc>
        <w:tc>
          <w:tcPr>
            <w:tcW w:w="1984" w:type="dxa"/>
          </w:tcPr>
          <w:p w:rsidR="00BF34FA" w:rsidRDefault="00BF34FA" w:rsidP="00E0782E">
            <w:pPr>
              <w:rPr>
                <w:i/>
                <w:color w:val="FF0000"/>
              </w:rPr>
            </w:pPr>
            <w:r>
              <w:t xml:space="preserve">No </w:t>
            </w:r>
          </w:p>
        </w:tc>
      </w:tr>
      <w:tr w:rsidR="00BF34FA">
        <w:tc>
          <w:tcPr>
            <w:tcW w:w="6096" w:type="dxa"/>
          </w:tcPr>
          <w:p w:rsidR="00BF34FA" w:rsidRDefault="00BF34FA">
            <w:pPr>
              <w:keepNext/>
              <w:keepLines/>
            </w:pPr>
            <w:r>
              <w:t>Did the relevance test conclude a full impact assessment was required?</w:t>
            </w:r>
          </w:p>
          <w:p w:rsidR="00BF34FA" w:rsidRDefault="00BF34FA">
            <w:pPr>
              <w:rPr>
                <w:i/>
                <w:color w:val="FF0000"/>
              </w:rPr>
            </w:pPr>
          </w:p>
        </w:tc>
        <w:tc>
          <w:tcPr>
            <w:tcW w:w="1984" w:type="dxa"/>
          </w:tcPr>
          <w:p w:rsidR="00BF34FA" w:rsidRDefault="006729C3">
            <w:r>
              <w:t>No</w:t>
            </w:r>
          </w:p>
        </w:tc>
      </w:tr>
    </w:tbl>
    <w:p w:rsidR="00BF34FA" w:rsidRDefault="00BF34FA">
      <w:pPr>
        <w:ind w:left="1267" w:hanging="1267"/>
        <w:rPr>
          <w:b/>
          <w:i/>
          <w:color w:val="008000"/>
        </w:rPr>
      </w:pPr>
      <w:r>
        <w:tab/>
      </w:r>
    </w:p>
    <w:p w:rsidR="00BF34FA" w:rsidRDefault="00BF34FA">
      <w:pPr>
        <w:ind w:left="1260" w:hanging="1260"/>
      </w:pPr>
    </w:p>
    <w:p w:rsidR="00BF34FA" w:rsidRDefault="00BF34FA">
      <w:pPr>
        <w:keepNext/>
        <w:ind w:left="1259" w:hanging="1259"/>
        <w:rPr>
          <w:b/>
        </w:rPr>
      </w:pPr>
      <w:r>
        <w:t>7.2</w:t>
      </w:r>
      <w:r>
        <w:tab/>
      </w:r>
      <w:r w:rsidRPr="00A40518">
        <w:rPr>
          <w:b/>
          <w:i/>
        </w:rPr>
        <w:t>Impact Assessment</w:t>
      </w:r>
    </w:p>
    <w:p w:rsidR="00BE1414" w:rsidRDefault="00BF34FA" w:rsidP="00BE1414">
      <w:pPr>
        <w:keepNext/>
        <w:ind w:left="1276"/>
      </w:pPr>
      <w:r>
        <w:rPr>
          <w:b/>
          <w:i/>
          <w:color w:val="008000"/>
        </w:rPr>
        <w:tab/>
      </w:r>
    </w:p>
    <w:p w:rsidR="00BE1414" w:rsidRDefault="00BE1414" w:rsidP="00BE1414">
      <w:pPr>
        <w:keepNext/>
        <w:ind w:left="1276"/>
      </w:pPr>
      <w:r>
        <w:t xml:space="preserve">There is no detrimental impact likely towards any protected group from amending the </w:t>
      </w:r>
      <w:r w:rsidRPr="00BE1414">
        <w:rPr>
          <w:rFonts w:cs="Arial"/>
          <w:bCs/>
          <w:szCs w:val="22"/>
        </w:rPr>
        <w:t>statement of policy about relevant convictions or other information in determining refusals for hackney carriage or private hire drivers and / or private hire operator licences.</w:t>
      </w:r>
      <w:r>
        <w:t xml:space="preserve"> Any consultation with the public will seek to collect relevant demographic data in order to assess the different views of relevant protected groups if any.</w:t>
      </w:r>
    </w:p>
    <w:p w:rsidR="00E9441C" w:rsidRDefault="00E9441C" w:rsidP="008F1265">
      <w:pPr>
        <w:keepNext/>
      </w:pPr>
    </w:p>
    <w:p w:rsidR="00BF34FA" w:rsidRDefault="00BF34FA">
      <w:pPr>
        <w:keepNext/>
        <w:ind w:left="1267" w:hanging="1267"/>
      </w:pPr>
      <w:r w:rsidRPr="008F1265">
        <w:rPr>
          <w:b/>
        </w:rPr>
        <w:t>8.</w:t>
      </w:r>
      <w:r>
        <w:tab/>
      </w:r>
      <w:r>
        <w:rPr>
          <w:b/>
        </w:rPr>
        <w:t>Staffing Implications</w:t>
      </w:r>
    </w:p>
    <w:p w:rsidR="00BF34FA" w:rsidRDefault="00BF34FA">
      <w:pPr>
        <w:keepNext/>
        <w:ind w:left="1267" w:hanging="1267"/>
      </w:pPr>
    </w:p>
    <w:p w:rsidR="00BF34FA" w:rsidRDefault="00BF34FA">
      <w:r>
        <w:t>8.1</w:t>
      </w:r>
      <w:r>
        <w:tab/>
      </w:r>
      <w:r>
        <w:fldChar w:fldCharType="begin"/>
      </w:r>
      <w:r>
        <w:instrText xml:space="preserve">  </w:instrText>
      </w:r>
      <w:r>
        <w:fldChar w:fldCharType="end"/>
      </w:r>
      <w:r w:rsidR="00BE1414">
        <w:t>There are no staffing implications as this would replace the current policy.</w:t>
      </w:r>
    </w:p>
    <w:p w:rsidR="00BF34FA" w:rsidRDefault="00BF34FA"/>
    <w:p w:rsidR="00E9441C" w:rsidRDefault="00E9441C"/>
    <w:p w:rsidR="00BF34FA" w:rsidRDefault="00BF34FA">
      <w:pPr>
        <w:keepNext/>
        <w:ind w:left="1267" w:hanging="1267"/>
      </w:pPr>
      <w:r w:rsidRPr="008F1265">
        <w:rPr>
          <w:b/>
        </w:rPr>
        <w:lastRenderedPageBreak/>
        <w:t>9.</w:t>
      </w:r>
      <w:r>
        <w:tab/>
      </w:r>
      <w:r>
        <w:rPr>
          <w:b/>
        </w:rPr>
        <w:t>Environmental Implications</w:t>
      </w:r>
      <w:r w:rsidR="00852DA0">
        <w:rPr>
          <w:b/>
        </w:rPr>
        <w:t>, Public Health implications</w:t>
      </w:r>
    </w:p>
    <w:p w:rsidR="00BF34FA" w:rsidRDefault="00BF34FA">
      <w:pPr>
        <w:keepNext/>
        <w:ind w:left="1267" w:hanging="1267"/>
      </w:pPr>
    </w:p>
    <w:p w:rsidR="00BF34FA" w:rsidRDefault="00BF34FA" w:rsidP="00D800B2">
      <w:pPr>
        <w:ind w:left="1260" w:hanging="1260"/>
      </w:pPr>
      <w:r>
        <w:t>9.1</w:t>
      </w:r>
      <w:r>
        <w:tab/>
      </w:r>
      <w:r w:rsidR="008C2CE3" w:rsidRPr="001D1CC0">
        <w:t>None specific.</w:t>
      </w:r>
      <w:r w:rsidR="008C2CE3" w:rsidDel="008C2CE3">
        <w:t xml:space="preserve"> </w:t>
      </w:r>
    </w:p>
    <w:p w:rsidR="00E9441C" w:rsidRDefault="00E9441C"/>
    <w:p w:rsidR="00BF34FA" w:rsidRDefault="00BF34FA">
      <w:pPr>
        <w:keepNext/>
        <w:ind w:left="1267" w:hanging="1267"/>
      </w:pPr>
      <w:r w:rsidRPr="008F1265">
        <w:rPr>
          <w:b/>
        </w:rPr>
        <w:t>10.</w:t>
      </w:r>
      <w:r>
        <w:tab/>
      </w:r>
      <w:r>
        <w:rPr>
          <w:b/>
        </w:rPr>
        <w:t>Community Safety Implications</w:t>
      </w:r>
    </w:p>
    <w:p w:rsidR="00BF34FA" w:rsidRDefault="00BF34FA">
      <w:pPr>
        <w:keepNext/>
        <w:ind w:left="1267" w:hanging="1267"/>
      </w:pPr>
    </w:p>
    <w:p w:rsidR="00BF34FA" w:rsidRDefault="00BF34FA" w:rsidP="00363B04">
      <w:pPr>
        <w:ind w:left="1260" w:hanging="1260"/>
      </w:pPr>
      <w:r>
        <w:t>10.1</w:t>
      </w:r>
      <w:r>
        <w:tab/>
      </w:r>
      <w:r>
        <w:fldChar w:fldCharType="begin"/>
      </w:r>
      <w:r>
        <w:instrText xml:space="preserve">  </w:instrText>
      </w:r>
      <w:r>
        <w:fldChar w:fldCharType="end"/>
      </w:r>
      <w:r w:rsidR="00735D28">
        <w:t xml:space="preserve">This policy seeks to improve </w:t>
      </w:r>
      <w:r w:rsidR="00162845">
        <w:t>community safety</w:t>
      </w:r>
      <w:r w:rsidR="00735D28">
        <w:t xml:space="preserve"> </w:t>
      </w:r>
      <w:r w:rsidR="00C72EC5">
        <w:t xml:space="preserve">as </w:t>
      </w:r>
      <w:r w:rsidR="00735D28">
        <w:t xml:space="preserve">it sets out how the council will determine applications for Private Hire and Hackney Carriage </w:t>
      </w:r>
      <w:r w:rsidR="00E9441C">
        <w:t>a</w:t>
      </w:r>
      <w:r w:rsidR="00735D28">
        <w:t>pplicants.</w:t>
      </w:r>
    </w:p>
    <w:p w:rsidR="00AB6603" w:rsidRDefault="00AB6603" w:rsidP="00363B04">
      <w:pPr>
        <w:ind w:left="1260" w:hanging="1260"/>
      </w:pPr>
      <w:r>
        <w:tab/>
      </w:r>
    </w:p>
    <w:p w:rsidR="00AB6603" w:rsidRDefault="00704F2B" w:rsidP="00363B04">
      <w:pPr>
        <w:ind w:left="1260" w:hanging="1260"/>
      </w:pPr>
      <w:r>
        <w:t>10.2</w:t>
      </w:r>
      <w:r w:rsidR="00AB6603">
        <w:tab/>
      </w:r>
      <w:r w:rsidR="00AB6603" w:rsidRPr="00AB6603">
        <w:t>The policy will help to ensure we protect the health and wellbeing of the most vulnerable people in our community</w:t>
      </w:r>
      <w:r w:rsidR="00162845">
        <w:t>.</w:t>
      </w:r>
    </w:p>
    <w:p w:rsidR="00490883" w:rsidRDefault="00490883" w:rsidP="008F1265">
      <w:pPr>
        <w:keepNext/>
      </w:pPr>
    </w:p>
    <w:p w:rsidR="00BF34FA" w:rsidRDefault="00852DA0">
      <w:pPr>
        <w:keepNext/>
        <w:ind w:left="1267" w:hanging="1267"/>
      </w:pPr>
      <w:r>
        <w:rPr>
          <w:b/>
        </w:rPr>
        <w:t>11</w:t>
      </w:r>
      <w:r w:rsidR="00490883">
        <w:rPr>
          <w:b/>
        </w:rPr>
        <w:t>.</w:t>
      </w:r>
      <w:r w:rsidR="00490883">
        <w:rPr>
          <w:b/>
        </w:rPr>
        <w:tab/>
      </w:r>
      <w:r w:rsidR="00BF34FA">
        <w:rPr>
          <w:b/>
        </w:rPr>
        <w:t>Customer Services Centre Implications</w:t>
      </w:r>
    </w:p>
    <w:p w:rsidR="00BF34FA" w:rsidRDefault="00BF34FA">
      <w:pPr>
        <w:keepNext/>
        <w:ind w:left="1267" w:hanging="1267"/>
      </w:pPr>
    </w:p>
    <w:p w:rsidR="00BF34FA" w:rsidRDefault="00852DA0">
      <w:pPr>
        <w:ind w:left="1260" w:hanging="1260"/>
      </w:pPr>
      <w:r>
        <w:t>11</w:t>
      </w:r>
      <w:r w:rsidR="00BF34FA">
        <w:t>.1</w:t>
      </w:r>
      <w:r w:rsidR="00BF34FA">
        <w:tab/>
      </w:r>
      <w:r w:rsidR="007663FA">
        <w:t>If approved for consultation this policy may increase the number of calls from applicants and residents during the consultation process.</w:t>
      </w:r>
      <w:r w:rsidR="00BF34FA">
        <w:fldChar w:fldCharType="begin"/>
      </w:r>
      <w:r w:rsidR="00BF34FA">
        <w:instrText xml:space="preserve">  </w:instrText>
      </w:r>
      <w:r w:rsidR="00BF34FA">
        <w:fldChar w:fldCharType="end"/>
      </w:r>
    </w:p>
    <w:p w:rsidR="00E9441C" w:rsidRDefault="00E9441C"/>
    <w:p w:rsidR="00BF34FA" w:rsidRDefault="00BF34FA">
      <w:pPr>
        <w:keepNext/>
        <w:ind w:left="1267" w:hanging="1267"/>
      </w:pPr>
      <w:r w:rsidRPr="008F1265">
        <w:rPr>
          <w:b/>
        </w:rPr>
        <w:t>1</w:t>
      </w:r>
      <w:r w:rsidR="00852DA0" w:rsidRPr="008F1265">
        <w:rPr>
          <w:b/>
        </w:rPr>
        <w:t>2</w:t>
      </w:r>
      <w:r w:rsidRPr="008F1265">
        <w:rPr>
          <w:b/>
        </w:rPr>
        <w:t>.</w:t>
      </w:r>
      <w:r>
        <w:tab/>
      </w:r>
      <w:r>
        <w:rPr>
          <w:b/>
        </w:rPr>
        <w:t>Communications and</w:t>
      </w:r>
      <w:r>
        <w:t xml:space="preserve"> </w:t>
      </w:r>
      <w:r>
        <w:rPr>
          <w:b/>
        </w:rPr>
        <w:t>Website Implications</w:t>
      </w:r>
    </w:p>
    <w:p w:rsidR="00D14C8B" w:rsidRDefault="00BF34FA">
      <w:pPr>
        <w:ind w:left="1260" w:hanging="1260"/>
        <w:rPr>
          <w:b/>
          <w:i/>
          <w:color w:val="008000"/>
        </w:rPr>
      </w:pPr>
      <w:r>
        <w:rPr>
          <w:b/>
          <w:i/>
          <w:color w:val="008000"/>
        </w:rPr>
        <w:tab/>
      </w:r>
    </w:p>
    <w:p w:rsidR="00BF34FA" w:rsidRDefault="00BF34FA">
      <w:pPr>
        <w:ind w:left="1260" w:hanging="1260"/>
      </w:pPr>
      <w:r>
        <w:t>1</w:t>
      </w:r>
      <w:r w:rsidR="00704F2B">
        <w:t>2</w:t>
      </w:r>
      <w:r>
        <w:t>.1</w:t>
      </w:r>
      <w:r>
        <w:tab/>
      </w:r>
      <w:r>
        <w:fldChar w:fldCharType="begin"/>
      </w:r>
      <w:r>
        <w:instrText xml:space="preserve">  </w:instrText>
      </w:r>
      <w:r>
        <w:fldChar w:fldCharType="end"/>
      </w:r>
      <w:r w:rsidR="00735D28">
        <w:t xml:space="preserve">If </w:t>
      </w:r>
      <w:r w:rsidR="007E7815">
        <w:t xml:space="preserve">the recommendation is </w:t>
      </w:r>
      <w:r w:rsidR="00735D28">
        <w:t>approved</w:t>
      </w:r>
      <w:r w:rsidR="007E7815">
        <w:t>,</w:t>
      </w:r>
      <w:r w:rsidR="00735D28">
        <w:t xml:space="preserve"> this policy will need to be consulted upon. It is recommended that this consultation is </w:t>
      </w:r>
      <w:r w:rsidR="004E5DDC">
        <w:t xml:space="preserve">advertised </w:t>
      </w:r>
      <w:r w:rsidR="00735D28">
        <w:t>on the Three Rivers District Council Website.</w:t>
      </w:r>
      <w:r w:rsidR="00D14C8B">
        <w:t xml:space="preserve"> There are no other Communications and Website Implications.</w:t>
      </w:r>
    </w:p>
    <w:p w:rsidR="00BF34FA" w:rsidRDefault="00BF34FA">
      <w:pPr>
        <w:pStyle w:val="Header"/>
        <w:tabs>
          <w:tab w:val="clear" w:pos="4153"/>
          <w:tab w:val="clear" w:pos="8306"/>
          <w:tab w:val="left" w:pos="1260"/>
          <w:tab w:val="left" w:pos="1980"/>
          <w:tab w:val="left" w:pos="2700"/>
          <w:tab w:val="left" w:pos="3420"/>
        </w:tabs>
      </w:pPr>
    </w:p>
    <w:p w:rsidR="00BF34FA" w:rsidRDefault="00BF34FA">
      <w:pPr>
        <w:keepNext/>
        <w:ind w:left="1267" w:hanging="1267"/>
        <w:rPr>
          <w:b/>
        </w:rPr>
      </w:pPr>
      <w:r w:rsidRPr="00972270">
        <w:rPr>
          <w:b/>
        </w:rPr>
        <w:t>1</w:t>
      </w:r>
      <w:r w:rsidR="00704F2B">
        <w:rPr>
          <w:b/>
        </w:rPr>
        <w:t>3</w:t>
      </w:r>
      <w:r w:rsidRPr="00972270">
        <w:rPr>
          <w:b/>
        </w:rPr>
        <w:t>.</w:t>
      </w:r>
      <w:r>
        <w:tab/>
      </w:r>
      <w:r>
        <w:rPr>
          <w:b/>
        </w:rPr>
        <w:t>Risk Management and Health &amp; Safety Implications</w:t>
      </w:r>
    </w:p>
    <w:p w:rsidR="00BF34FA" w:rsidRDefault="00BF34FA" w:rsidP="00A40518">
      <w:pPr>
        <w:ind w:left="1260" w:hanging="1260"/>
      </w:pPr>
      <w:r>
        <w:rPr>
          <w:b/>
          <w:i/>
          <w:color w:val="008000"/>
        </w:rPr>
        <w:tab/>
      </w:r>
    </w:p>
    <w:p w:rsidR="00BF34FA" w:rsidRDefault="00BF34FA">
      <w:pPr>
        <w:ind w:left="1276" w:hanging="1276"/>
      </w:pPr>
      <w:r>
        <w:t>1</w:t>
      </w:r>
      <w:r w:rsidR="00704F2B">
        <w:t>3</w:t>
      </w:r>
      <w:r>
        <w:t>.1</w:t>
      </w:r>
      <w:r>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BF34FA" w:rsidRDefault="00BF34FA"/>
    <w:p w:rsidR="00BF34FA" w:rsidRDefault="008A064E">
      <w:pPr>
        <w:ind w:left="1260" w:hanging="1260"/>
      </w:pPr>
      <w:r>
        <w:t>1</w:t>
      </w:r>
      <w:r w:rsidR="00704F2B">
        <w:t>3</w:t>
      </w:r>
      <w:r>
        <w:t>.2</w:t>
      </w:r>
      <w:r>
        <w:tab/>
      </w:r>
      <w:r w:rsidR="00BF34FA">
        <w:t xml:space="preserve">The following table gives the risks if the recommendation(s) are agreed, together with a scored assessment of their impact and likelihood: </w:t>
      </w:r>
    </w:p>
    <w:p w:rsidR="00BF34FA" w:rsidRDefault="00BF34FA">
      <w:pPr>
        <w:pStyle w:val="Header"/>
        <w:tabs>
          <w:tab w:val="clear" w:pos="4153"/>
          <w:tab w:val="clear" w:pos="8306"/>
          <w:tab w:val="left" w:pos="1260"/>
          <w:tab w:val="left" w:pos="1980"/>
          <w:tab w:val="left" w:pos="2700"/>
          <w:tab w:val="left" w:pos="3420"/>
        </w:tabs>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BF34FA">
        <w:tc>
          <w:tcPr>
            <w:tcW w:w="5384" w:type="dxa"/>
            <w:gridSpan w:val="2"/>
          </w:tcPr>
          <w:p w:rsidR="00BF34FA" w:rsidRDefault="00BF34FA">
            <w:pPr>
              <w:jc w:val="center"/>
              <w:rPr>
                <w:sz w:val="20"/>
              </w:rPr>
            </w:pPr>
            <w:r>
              <w:rPr>
                <w:sz w:val="20"/>
              </w:rPr>
              <w:t>Description of Risk</w:t>
            </w:r>
          </w:p>
        </w:tc>
        <w:tc>
          <w:tcPr>
            <w:tcW w:w="1170" w:type="dxa"/>
          </w:tcPr>
          <w:p w:rsidR="00BF34FA" w:rsidRDefault="00BF34FA">
            <w:pPr>
              <w:jc w:val="center"/>
              <w:rPr>
                <w:sz w:val="20"/>
              </w:rPr>
            </w:pPr>
            <w:r>
              <w:rPr>
                <w:sz w:val="20"/>
              </w:rPr>
              <w:t>Impact</w:t>
            </w:r>
          </w:p>
        </w:tc>
        <w:tc>
          <w:tcPr>
            <w:tcW w:w="1350" w:type="dxa"/>
          </w:tcPr>
          <w:p w:rsidR="00BF34FA" w:rsidRDefault="00BF34FA">
            <w:pPr>
              <w:ind w:left="34"/>
              <w:jc w:val="center"/>
              <w:rPr>
                <w:sz w:val="20"/>
              </w:rPr>
            </w:pPr>
            <w:r>
              <w:rPr>
                <w:sz w:val="20"/>
              </w:rPr>
              <w:t>Likelihood</w:t>
            </w:r>
          </w:p>
        </w:tc>
      </w:tr>
      <w:tr w:rsidR="00BF34FA">
        <w:tc>
          <w:tcPr>
            <w:tcW w:w="328" w:type="dxa"/>
          </w:tcPr>
          <w:p w:rsidR="00BF34FA" w:rsidRDefault="00BF34FA">
            <w:pPr>
              <w:jc w:val="left"/>
              <w:rPr>
                <w:sz w:val="20"/>
              </w:rPr>
            </w:pPr>
            <w:r>
              <w:rPr>
                <w:sz w:val="20"/>
              </w:rPr>
              <w:t>1</w:t>
            </w:r>
          </w:p>
        </w:tc>
        <w:tc>
          <w:tcPr>
            <w:tcW w:w="5056" w:type="dxa"/>
          </w:tcPr>
          <w:p w:rsidR="00BF34FA" w:rsidRDefault="00715F5F">
            <w:pPr>
              <w:jc w:val="left"/>
              <w:rPr>
                <w:sz w:val="20"/>
              </w:rPr>
            </w:pPr>
            <w:r>
              <w:rPr>
                <w:sz w:val="20"/>
              </w:rPr>
              <w:t>Risk of Appeal to Magistrates Court</w:t>
            </w:r>
          </w:p>
        </w:tc>
        <w:tc>
          <w:tcPr>
            <w:tcW w:w="1170" w:type="dxa"/>
          </w:tcPr>
          <w:p w:rsidR="00BF34FA" w:rsidRDefault="00715F5F">
            <w:pPr>
              <w:jc w:val="center"/>
              <w:rPr>
                <w:sz w:val="20"/>
              </w:rPr>
            </w:pPr>
            <w:r>
              <w:rPr>
                <w:sz w:val="20"/>
              </w:rPr>
              <w:t>I</w:t>
            </w:r>
          </w:p>
        </w:tc>
        <w:tc>
          <w:tcPr>
            <w:tcW w:w="1350" w:type="dxa"/>
          </w:tcPr>
          <w:p w:rsidR="00BF34FA" w:rsidRDefault="00715F5F">
            <w:pPr>
              <w:jc w:val="center"/>
              <w:rPr>
                <w:sz w:val="20"/>
              </w:rPr>
            </w:pPr>
            <w:r>
              <w:rPr>
                <w:sz w:val="20"/>
              </w:rPr>
              <w:t>E</w:t>
            </w:r>
          </w:p>
        </w:tc>
      </w:tr>
    </w:tbl>
    <w:p w:rsidR="008A064E" w:rsidRDefault="00BF34FA">
      <w:pPr>
        <w:ind w:left="1276" w:hanging="1276"/>
      </w:pPr>
      <w:r>
        <w:tab/>
      </w:r>
    </w:p>
    <w:p w:rsidR="008A064E" w:rsidRDefault="008A064E">
      <w:pPr>
        <w:ind w:left="1276" w:hanging="1276"/>
      </w:pPr>
    </w:p>
    <w:p w:rsidR="00BF34FA" w:rsidRDefault="00704F2B">
      <w:pPr>
        <w:ind w:left="1276" w:hanging="1276"/>
      </w:pPr>
      <w:r>
        <w:t>13</w:t>
      </w:r>
      <w:r w:rsidR="008A064E">
        <w:t>.3</w:t>
      </w:r>
      <w:r w:rsidR="008A064E">
        <w:tab/>
      </w:r>
      <w:r w:rsidR="00BF34FA">
        <w:t>The following table gives the risks that would exist if the recommendation is rejected, together with a scored assessment of their impact and likelihood:</w:t>
      </w:r>
    </w:p>
    <w:p w:rsidR="00BF34FA" w:rsidRDefault="00BF34FA"/>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BF34FA">
        <w:trPr>
          <w:trHeight w:val="152"/>
        </w:trPr>
        <w:tc>
          <w:tcPr>
            <w:tcW w:w="5384" w:type="dxa"/>
            <w:gridSpan w:val="2"/>
          </w:tcPr>
          <w:p w:rsidR="00BF34FA" w:rsidRDefault="00BF34FA">
            <w:pPr>
              <w:jc w:val="center"/>
              <w:rPr>
                <w:sz w:val="20"/>
              </w:rPr>
            </w:pPr>
            <w:r>
              <w:rPr>
                <w:sz w:val="20"/>
              </w:rPr>
              <w:t>Description of Risk</w:t>
            </w:r>
          </w:p>
        </w:tc>
        <w:tc>
          <w:tcPr>
            <w:tcW w:w="1170" w:type="dxa"/>
          </w:tcPr>
          <w:p w:rsidR="00BF34FA" w:rsidRDefault="00BF34FA">
            <w:pPr>
              <w:jc w:val="center"/>
              <w:rPr>
                <w:sz w:val="20"/>
              </w:rPr>
            </w:pPr>
            <w:r>
              <w:rPr>
                <w:sz w:val="20"/>
              </w:rPr>
              <w:t>Impact</w:t>
            </w:r>
          </w:p>
        </w:tc>
        <w:tc>
          <w:tcPr>
            <w:tcW w:w="1350" w:type="dxa"/>
          </w:tcPr>
          <w:p w:rsidR="00BF34FA" w:rsidRDefault="00BF34FA">
            <w:pPr>
              <w:ind w:left="34"/>
              <w:jc w:val="center"/>
              <w:rPr>
                <w:sz w:val="20"/>
              </w:rPr>
            </w:pPr>
            <w:r>
              <w:rPr>
                <w:sz w:val="20"/>
              </w:rPr>
              <w:t>Likelihood</w:t>
            </w:r>
          </w:p>
        </w:tc>
      </w:tr>
      <w:tr w:rsidR="00BF34FA">
        <w:tc>
          <w:tcPr>
            <w:tcW w:w="328" w:type="dxa"/>
          </w:tcPr>
          <w:p w:rsidR="00BF34FA" w:rsidRDefault="00BF34FA">
            <w:pPr>
              <w:jc w:val="left"/>
              <w:rPr>
                <w:sz w:val="20"/>
              </w:rPr>
            </w:pPr>
            <w:r>
              <w:rPr>
                <w:sz w:val="20"/>
              </w:rPr>
              <w:t>1</w:t>
            </w:r>
          </w:p>
        </w:tc>
        <w:tc>
          <w:tcPr>
            <w:tcW w:w="5056" w:type="dxa"/>
          </w:tcPr>
          <w:p w:rsidR="00BF34FA" w:rsidRDefault="008A064E">
            <w:pPr>
              <w:jc w:val="left"/>
              <w:rPr>
                <w:sz w:val="20"/>
              </w:rPr>
            </w:pPr>
            <w:r>
              <w:rPr>
                <w:sz w:val="20"/>
              </w:rPr>
              <w:t xml:space="preserve">Risk of being compared to Rotherham Council </w:t>
            </w:r>
          </w:p>
        </w:tc>
        <w:tc>
          <w:tcPr>
            <w:tcW w:w="1170" w:type="dxa"/>
          </w:tcPr>
          <w:p w:rsidR="00BF34FA" w:rsidRDefault="00715F5F">
            <w:pPr>
              <w:jc w:val="center"/>
              <w:rPr>
                <w:sz w:val="20"/>
              </w:rPr>
            </w:pPr>
            <w:r>
              <w:rPr>
                <w:sz w:val="20"/>
              </w:rPr>
              <w:t>IV</w:t>
            </w:r>
          </w:p>
        </w:tc>
        <w:tc>
          <w:tcPr>
            <w:tcW w:w="1350" w:type="dxa"/>
          </w:tcPr>
          <w:p w:rsidR="00BF34FA" w:rsidRDefault="008A064E">
            <w:pPr>
              <w:jc w:val="center"/>
              <w:rPr>
                <w:sz w:val="20"/>
              </w:rPr>
            </w:pPr>
            <w:r>
              <w:rPr>
                <w:sz w:val="20"/>
              </w:rPr>
              <w:t>F</w:t>
            </w:r>
          </w:p>
        </w:tc>
      </w:tr>
      <w:tr w:rsidR="001F5888">
        <w:tc>
          <w:tcPr>
            <w:tcW w:w="328" w:type="dxa"/>
          </w:tcPr>
          <w:p w:rsidR="001F5888" w:rsidRDefault="001F5888">
            <w:pPr>
              <w:jc w:val="left"/>
              <w:rPr>
                <w:sz w:val="20"/>
              </w:rPr>
            </w:pPr>
            <w:r>
              <w:rPr>
                <w:sz w:val="20"/>
              </w:rPr>
              <w:t>2</w:t>
            </w:r>
          </w:p>
        </w:tc>
        <w:tc>
          <w:tcPr>
            <w:tcW w:w="5056" w:type="dxa"/>
          </w:tcPr>
          <w:p w:rsidR="001F5888" w:rsidRDefault="001F5888">
            <w:pPr>
              <w:jc w:val="left"/>
              <w:rPr>
                <w:sz w:val="20"/>
              </w:rPr>
            </w:pPr>
            <w:r>
              <w:t>A weak policy would not match the council’s duty of care to the public</w:t>
            </w:r>
          </w:p>
        </w:tc>
        <w:tc>
          <w:tcPr>
            <w:tcW w:w="1170" w:type="dxa"/>
          </w:tcPr>
          <w:p w:rsidR="001F5888" w:rsidRDefault="001F5888">
            <w:pPr>
              <w:jc w:val="center"/>
              <w:rPr>
                <w:sz w:val="20"/>
              </w:rPr>
            </w:pPr>
            <w:r>
              <w:rPr>
                <w:sz w:val="20"/>
              </w:rPr>
              <w:t>III</w:t>
            </w:r>
          </w:p>
        </w:tc>
        <w:tc>
          <w:tcPr>
            <w:tcW w:w="1350" w:type="dxa"/>
          </w:tcPr>
          <w:p w:rsidR="001F5888" w:rsidRDefault="008A064E">
            <w:pPr>
              <w:jc w:val="center"/>
              <w:rPr>
                <w:sz w:val="20"/>
              </w:rPr>
            </w:pPr>
            <w:r>
              <w:rPr>
                <w:sz w:val="20"/>
              </w:rPr>
              <w:t>E</w:t>
            </w:r>
          </w:p>
        </w:tc>
      </w:tr>
    </w:tbl>
    <w:p w:rsidR="00BF34FA" w:rsidRDefault="00BF34FA"/>
    <w:p w:rsidR="00BF34FA" w:rsidRDefault="00BF34FA">
      <w:pPr>
        <w:ind w:left="1276" w:hanging="1276"/>
      </w:pPr>
      <w:r>
        <w:t>1</w:t>
      </w:r>
      <w:r w:rsidR="00704F2B">
        <w:t>3</w:t>
      </w:r>
      <w:r>
        <w:t>.</w:t>
      </w:r>
      <w:r w:rsidR="008A064E">
        <w:t>4</w:t>
      </w:r>
      <w:r>
        <w:tab/>
        <w:t xml:space="preserve">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BF34FA" w:rsidRDefault="00BF34FA">
      <w:pPr>
        <w:keepNext/>
        <w:keepLines/>
        <w:ind w:left="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BF34FA">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BF34FA" w:rsidRDefault="00D97D1F">
            <w:pPr>
              <w:keepNext/>
              <w:keepLines/>
              <w:ind w:left="113" w:right="113"/>
              <w:jc w:val="center"/>
              <w:rPr>
                <w:b/>
                <w:szCs w:val="22"/>
              </w:rPr>
            </w:pPr>
            <w:r>
              <w:rPr>
                <w:b/>
                <w:noProof/>
                <w:szCs w:val="22"/>
              </w:rPr>
              <mc:AlternateContent>
                <mc:Choice Requires="wps">
                  <w:drawing>
                    <wp:anchor distT="0" distB="0" distL="114300" distR="114300" simplePos="0" relativeHeight="251657216" behindDoc="0" locked="0" layoutInCell="0" allowOverlap="1">
                      <wp:simplePos x="0" y="0"/>
                      <wp:positionH relativeFrom="column">
                        <wp:posOffset>1115695</wp:posOffset>
                      </wp:positionH>
                      <wp:positionV relativeFrom="paragraph">
                        <wp:posOffset>107950</wp:posOffset>
                      </wp:positionV>
                      <wp:extent cx="0" cy="129667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CWLwIAAFQEAAAOAAAAZHJzL2Uyb0RvYy54bWysVE2P2jAQvVfqf7B8h3wUW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2LTwli8CAABUBAAADgAAAAAAAAAAAAAAAAAuAgAA&#10;ZHJzL2Uyb0RvYy54bWxQSwECLQAUAAYACAAAACEAxMC8G94AAAAKAQAADwAAAAAAAAAAAAAAAACJ&#10;BAAAZHJzL2Rvd25yZXYueG1sUEsFBgAAAAAEAAQA8wAAAJQFAAAAAA==&#10;" o:allowincell="f">
                      <v:stroke endarrow="block"/>
                    </v:line>
                  </w:pict>
                </mc:Fallback>
              </mc:AlternateContent>
            </w:r>
            <w:r>
              <w:rPr>
                <w:noProof/>
                <w:szCs w:val="22"/>
              </w:rPr>
              <mc:AlternateContent>
                <mc:Choice Requires="wps">
                  <w:drawing>
                    <wp:anchor distT="0" distB="0" distL="114300" distR="114300" simplePos="0" relativeHeight="251658240" behindDoc="0" locked="0" layoutInCell="0" allowOverlap="1">
                      <wp:simplePos x="0" y="0"/>
                      <wp:positionH relativeFrom="column">
                        <wp:posOffset>1298575</wp:posOffset>
                      </wp:positionH>
                      <wp:positionV relativeFrom="paragraph">
                        <wp:posOffset>1388110</wp:posOffset>
                      </wp:positionV>
                      <wp:extent cx="2286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ktKAIAAEo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hD8JLSgCAABKBAAADgAAAAAAAAAAAAAAAAAuAgAAZHJzL2Uy&#10;b0RvYy54bWxQSwECLQAUAAYACAAAACEASGthZd8AAAALAQAADwAAAAAAAAAAAAAAAACCBAAAZHJz&#10;L2Rvd25yZXYueG1sUEsFBgAAAAAEAAQA8wAAAI4FAAAAAA==&#10;" o:allowincell="f">
                      <v:stroke endarrow="block"/>
                    </v:line>
                  </w:pict>
                </mc:Fallback>
              </mc:AlternateContent>
            </w:r>
            <w:r w:rsidR="00BF34FA">
              <w:rPr>
                <w:b/>
                <w:szCs w:val="22"/>
              </w:rPr>
              <w:t>Likelihood</w:t>
            </w:r>
          </w:p>
        </w:tc>
        <w:tc>
          <w:tcPr>
            <w:tcW w:w="452" w:type="dxa"/>
            <w:tcBorders>
              <w:top w:val="single" w:sz="4" w:space="0" w:color="auto"/>
              <w:left w:val="single" w:sz="4" w:space="0" w:color="auto"/>
            </w:tcBorders>
          </w:tcPr>
          <w:p w:rsidR="00BF34FA" w:rsidRDefault="00BF34FA">
            <w:pPr>
              <w:keepNext/>
              <w:keepLines/>
            </w:pPr>
            <w:r>
              <w:t>A</w:t>
            </w:r>
          </w:p>
        </w:tc>
        <w:tc>
          <w:tcPr>
            <w:tcW w:w="723" w:type="dxa"/>
            <w:tcBorders>
              <w:top w:val="single" w:sz="4" w:space="0" w:color="auto"/>
            </w:tcBorders>
            <w:shd w:val="pct15" w:color="auto" w:fill="FFFFFF"/>
          </w:tcPr>
          <w:p w:rsidR="00BF34FA" w:rsidRDefault="00BF34FA">
            <w:pPr>
              <w:keepNext/>
              <w:keepLines/>
            </w:pPr>
          </w:p>
        </w:tc>
        <w:tc>
          <w:tcPr>
            <w:tcW w:w="723" w:type="dxa"/>
            <w:tcBorders>
              <w:top w:val="single" w:sz="4" w:space="0" w:color="auto"/>
            </w:tcBorders>
          </w:tcPr>
          <w:p w:rsidR="00BF34FA" w:rsidRDefault="00BF34FA">
            <w:pPr>
              <w:keepNext/>
              <w:keepLines/>
            </w:pPr>
          </w:p>
        </w:tc>
        <w:tc>
          <w:tcPr>
            <w:tcW w:w="724" w:type="dxa"/>
            <w:tcBorders>
              <w:top w:val="single" w:sz="4" w:space="0" w:color="auto"/>
              <w:bottom w:val="single" w:sz="4" w:space="0" w:color="auto"/>
            </w:tcBorders>
          </w:tcPr>
          <w:p w:rsidR="00BF34FA" w:rsidRDefault="00BF34FA">
            <w:pPr>
              <w:keepNext/>
              <w:keepLines/>
            </w:pPr>
          </w:p>
        </w:tc>
        <w:tc>
          <w:tcPr>
            <w:tcW w:w="723" w:type="dxa"/>
            <w:tcBorders>
              <w:top w:val="single" w:sz="4" w:space="0" w:color="auto"/>
              <w:bottom w:val="single" w:sz="4" w:space="0" w:color="auto"/>
              <w:right w:val="single" w:sz="4" w:space="0" w:color="auto"/>
            </w:tcBorders>
          </w:tcPr>
          <w:p w:rsidR="00BF34FA" w:rsidRDefault="00BF34FA">
            <w:pPr>
              <w:keepNext/>
              <w:keepLines/>
              <w:jc w:val="center"/>
            </w:pPr>
          </w:p>
        </w:tc>
        <w:tc>
          <w:tcPr>
            <w:tcW w:w="724" w:type="dxa"/>
            <w:tcBorders>
              <w:top w:val="single" w:sz="4" w:space="0" w:color="auto"/>
              <w:bottom w:val="single" w:sz="4" w:space="0" w:color="auto"/>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Impact</w:t>
            </w:r>
          </w:p>
        </w:tc>
        <w:tc>
          <w:tcPr>
            <w:tcW w:w="1608" w:type="dxa"/>
            <w:tcBorders>
              <w:top w:val="nil"/>
              <w:left w:val="nil"/>
              <w:bottom w:val="nil"/>
              <w:right w:val="nil"/>
            </w:tcBorders>
          </w:tcPr>
          <w:p w:rsidR="00BF34FA" w:rsidRDefault="00BF34FA">
            <w:pPr>
              <w:keepNext/>
              <w:keepLines/>
              <w:rPr>
                <w:sz w:val="16"/>
              </w:rPr>
            </w:pPr>
            <w:r>
              <w:rPr>
                <w:sz w:val="16"/>
              </w:rPr>
              <w:t>Likelihood</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B</w:t>
            </w:r>
          </w:p>
        </w:tc>
        <w:tc>
          <w:tcPr>
            <w:tcW w:w="723" w:type="dxa"/>
            <w:shd w:val="pct15" w:color="auto" w:fill="FFFFFF"/>
          </w:tcPr>
          <w:p w:rsidR="00BF34FA" w:rsidRDefault="00BF34FA">
            <w:pPr>
              <w:keepNext/>
              <w:keepLines/>
            </w:pPr>
          </w:p>
        </w:tc>
        <w:tc>
          <w:tcPr>
            <w:tcW w:w="723" w:type="dxa"/>
          </w:tcPr>
          <w:p w:rsidR="00BF34FA" w:rsidRDefault="00BF34FA">
            <w:pPr>
              <w:keepNext/>
              <w:keepLines/>
            </w:pPr>
          </w:p>
        </w:tc>
        <w:tc>
          <w:tcPr>
            <w:tcW w:w="724" w:type="dxa"/>
            <w:tcBorders>
              <w:bottom w:val="single" w:sz="4" w:space="0" w:color="auto"/>
            </w:tcBorders>
          </w:tcPr>
          <w:p w:rsidR="00BF34FA" w:rsidRDefault="00BF34FA">
            <w:pPr>
              <w:keepNext/>
              <w:keepLines/>
            </w:pPr>
          </w:p>
        </w:tc>
        <w:tc>
          <w:tcPr>
            <w:tcW w:w="723" w:type="dxa"/>
            <w:tcBorders>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V = Catastrophic</w:t>
            </w:r>
          </w:p>
        </w:tc>
        <w:tc>
          <w:tcPr>
            <w:tcW w:w="1608" w:type="dxa"/>
            <w:tcBorders>
              <w:top w:val="nil"/>
              <w:left w:val="nil"/>
              <w:bottom w:val="nil"/>
              <w:right w:val="nil"/>
            </w:tcBorders>
          </w:tcPr>
          <w:p w:rsidR="00BF34FA" w:rsidRDefault="00BF34FA">
            <w:pPr>
              <w:keepNext/>
              <w:keepLines/>
              <w:rPr>
                <w:sz w:val="16"/>
              </w:rPr>
            </w:pPr>
            <w:r>
              <w:rPr>
                <w:sz w:val="16"/>
              </w:rPr>
              <w:t>A = &gt;98%</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C</w:t>
            </w:r>
          </w:p>
        </w:tc>
        <w:tc>
          <w:tcPr>
            <w:tcW w:w="723" w:type="dxa"/>
            <w:shd w:val="pct15" w:color="auto" w:fill="FFFFFF"/>
          </w:tcPr>
          <w:p w:rsidR="00BF34FA" w:rsidRDefault="00BF34FA">
            <w:pPr>
              <w:keepNext/>
              <w:keepLines/>
            </w:pPr>
          </w:p>
        </w:tc>
        <w:tc>
          <w:tcPr>
            <w:tcW w:w="723" w:type="dxa"/>
            <w:tcBorders>
              <w:top w:val="single" w:sz="4" w:space="0" w:color="auto"/>
              <w:bottom w:val="single" w:sz="4" w:space="0" w:color="auto"/>
            </w:tcBorders>
          </w:tcPr>
          <w:p w:rsidR="00BF34FA" w:rsidRDefault="00BF34FA">
            <w:pPr>
              <w:keepNext/>
              <w:keepLines/>
            </w:pPr>
          </w:p>
        </w:tc>
        <w:tc>
          <w:tcPr>
            <w:tcW w:w="724" w:type="dxa"/>
            <w:tcBorders>
              <w:top w:val="single" w:sz="4" w:space="0" w:color="auto"/>
              <w:bottom w:val="single" w:sz="4" w:space="0" w:color="auto"/>
            </w:tcBorders>
          </w:tcPr>
          <w:p w:rsidR="00BF34FA" w:rsidRDefault="00BF34FA">
            <w:pPr>
              <w:keepNext/>
              <w:keepLines/>
            </w:pPr>
          </w:p>
        </w:tc>
        <w:tc>
          <w:tcPr>
            <w:tcW w:w="723" w:type="dxa"/>
            <w:tcBorders>
              <w:top w:val="single" w:sz="4" w:space="0" w:color="auto"/>
              <w:bottom w:val="single" w:sz="4" w:space="0" w:color="auto"/>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IV = Critical</w:t>
            </w:r>
          </w:p>
        </w:tc>
        <w:tc>
          <w:tcPr>
            <w:tcW w:w="1608" w:type="dxa"/>
            <w:tcBorders>
              <w:top w:val="nil"/>
              <w:left w:val="nil"/>
              <w:bottom w:val="nil"/>
              <w:right w:val="nil"/>
            </w:tcBorders>
          </w:tcPr>
          <w:p w:rsidR="00BF34FA" w:rsidRDefault="00BF34FA">
            <w:pPr>
              <w:keepNext/>
              <w:keepLines/>
              <w:rPr>
                <w:sz w:val="16"/>
              </w:rPr>
            </w:pPr>
            <w:r>
              <w:rPr>
                <w:sz w:val="16"/>
              </w:rPr>
              <w:t>B = 75% - 97%</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D</w:t>
            </w:r>
          </w:p>
        </w:tc>
        <w:tc>
          <w:tcPr>
            <w:tcW w:w="723" w:type="dxa"/>
            <w:tcBorders>
              <w:bottom w:val="single" w:sz="4" w:space="0" w:color="auto"/>
            </w:tcBorders>
            <w:shd w:val="pct15" w:color="auto" w:fill="FFFFFF"/>
          </w:tcPr>
          <w:p w:rsidR="00BF34FA" w:rsidRDefault="00BF34FA">
            <w:pPr>
              <w:keepNext/>
              <w:keepLines/>
            </w:pPr>
          </w:p>
        </w:tc>
        <w:tc>
          <w:tcPr>
            <w:tcW w:w="723" w:type="dxa"/>
            <w:tcBorders>
              <w:top w:val="single" w:sz="4" w:space="0" w:color="auto"/>
            </w:tcBorders>
            <w:shd w:val="pct15" w:color="auto" w:fill="FFFFFF"/>
          </w:tcPr>
          <w:p w:rsidR="00BF34FA" w:rsidRDefault="00BF34FA">
            <w:pPr>
              <w:keepNext/>
              <w:keepLines/>
            </w:pPr>
          </w:p>
        </w:tc>
        <w:tc>
          <w:tcPr>
            <w:tcW w:w="724" w:type="dxa"/>
            <w:tcBorders>
              <w:top w:val="single" w:sz="4" w:space="0" w:color="auto"/>
              <w:bottom w:val="single" w:sz="4" w:space="0" w:color="auto"/>
            </w:tcBorders>
          </w:tcPr>
          <w:p w:rsidR="00BF34FA" w:rsidRDefault="00BF34FA">
            <w:pPr>
              <w:keepNext/>
              <w:keepLines/>
            </w:pPr>
          </w:p>
        </w:tc>
        <w:tc>
          <w:tcPr>
            <w:tcW w:w="723" w:type="dxa"/>
            <w:tcBorders>
              <w:top w:val="single" w:sz="4" w:space="0" w:color="auto"/>
              <w:bottom w:val="single" w:sz="4" w:space="0" w:color="auto"/>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III = Significant</w:t>
            </w:r>
          </w:p>
        </w:tc>
        <w:tc>
          <w:tcPr>
            <w:tcW w:w="1608" w:type="dxa"/>
            <w:tcBorders>
              <w:top w:val="nil"/>
              <w:left w:val="nil"/>
              <w:bottom w:val="nil"/>
              <w:right w:val="nil"/>
            </w:tcBorders>
          </w:tcPr>
          <w:p w:rsidR="00BF34FA" w:rsidRDefault="00BF34FA">
            <w:pPr>
              <w:keepNext/>
              <w:keepLines/>
              <w:rPr>
                <w:sz w:val="16"/>
              </w:rPr>
            </w:pPr>
            <w:r>
              <w:rPr>
                <w:sz w:val="16"/>
              </w:rPr>
              <w:t>C = 50% - 74%</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E</w:t>
            </w:r>
          </w:p>
        </w:tc>
        <w:tc>
          <w:tcPr>
            <w:tcW w:w="723" w:type="dxa"/>
            <w:tcBorders>
              <w:bottom w:val="single" w:sz="4" w:space="0" w:color="auto"/>
            </w:tcBorders>
            <w:shd w:val="pct15" w:color="auto" w:fill="FFFFFF"/>
          </w:tcPr>
          <w:p w:rsidR="00BF34FA" w:rsidRDefault="00BF34FA">
            <w:pPr>
              <w:keepNext/>
              <w:keepLines/>
            </w:pPr>
          </w:p>
        </w:tc>
        <w:tc>
          <w:tcPr>
            <w:tcW w:w="723" w:type="dxa"/>
            <w:shd w:val="pct15" w:color="auto" w:fill="FFFFFF"/>
          </w:tcPr>
          <w:p w:rsidR="00BF34FA" w:rsidRDefault="00BF34FA">
            <w:pPr>
              <w:keepNext/>
              <w:keepLines/>
            </w:pPr>
          </w:p>
        </w:tc>
        <w:tc>
          <w:tcPr>
            <w:tcW w:w="724" w:type="dxa"/>
            <w:tcBorders>
              <w:bottom w:val="single" w:sz="4" w:space="0" w:color="auto"/>
            </w:tcBorders>
          </w:tcPr>
          <w:p w:rsidR="00BF34FA" w:rsidRDefault="008A064E">
            <w:pPr>
              <w:keepNext/>
              <w:keepLines/>
            </w:pPr>
            <w:r>
              <w:t>1</w:t>
            </w:r>
          </w:p>
        </w:tc>
        <w:tc>
          <w:tcPr>
            <w:tcW w:w="723" w:type="dxa"/>
            <w:tcBorders>
              <w:top w:val="single" w:sz="4" w:space="0" w:color="auto"/>
              <w:right w:val="single" w:sz="4" w:space="0" w:color="auto"/>
            </w:tcBorders>
          </w:tcPr>
          <w:p w:rsidR="00BF34FA" w:rsidRDefault="00BF34FA">
            <w:pPr>
              <w:keepNext/>
              <w:keepLines/>
              <w:jc w:val="center"/>
            </w:pPr>
          </w:p>
        </w:tc>
        <w:tc>
          <w:tcPr>
            <w:tcW w:w="724" w:type="dxa"/>
            <w:tcBorders>
              <w:top w:val="single" w:sz="4" w:space="0" w:color="auto"/>
              <w:bottom w:val="single" w:sz="4" w:space="0" w:color="auto"/>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II = Marginal</w:t>
            </w:r>
          </w:p>
        </w:tc>
        <w:tc>
          <w:tcPr>
            <w:tcW w:w="1608" w:type="dxa"/>
            <w:tcBorders>
              <w:top w:val="nil"/>
              <w:left w:val="nil"/>
              <w:bottom w:val="nil"/>
              <w:right w:val="nil"/>
            </w:tcBorders>
          </w:tcPr>
          <w:p w:rsidR="00BF34FA" w:rsidRDefault="00BF34FA">
            <w:pPr>
              <w:keepNext/>
              <w:keepLines/>
              <w:rPr>
                <w:sz w:val="16"/>
              </w:rPr>
            </w:pPr>
            <w:r>
              <w:rPr>
                <w:sz w:val="16"/>
              </w:rPr>
              <w:t>D = 25% - 49%</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F</w:t>
            </w:r>
          </w:p>
        </w:tc>
        <w:tc>
          <w:tcPr>
            <w:tcW w:w="723" w:type="dxa"/>
            <w:shd w:val="pct15" w:color="auto" w:fill="FFFFFF"/>
          </w:tcPr>
          <w:p w:rsidR="00BF34FA" w:rsidRDefault="00BF34FA">
            <w:pPr>
              <w:keepNext/>
              <w:keepLines/>
            </w:pPr>
          </w:p>
        </w:tc>
        <w:tc>
          <w:tcPr>
            <w:tcW w:w="723" w:type="dxa"/>
            <w:shd w:val="pct15" w:color="auto" w:fill="FFFFFF"/>
          </w:tcPr>
          <w:p w:rsidR="00BF34FA" w:rsidRDefault="00BF34FA">
            <w:pPr>
              <w:keepNext/>
              <w:keepLines/>
            </w:pPr>
          </w:p>
        </w:tc>
        <w:tc>
          <w:tcPr>
            <w:tcW w:w="724" w:type="dxa"/>
            <w:tcBorders>
              <w:top w:val="single" w:sz="4" w:space="0" w:color="auto"/>
            </w:tcBorders>
            <w:shd w:val="pct15" w:color="auto" w:fill="FFFFFF"/>
          </w:tcPr>
          <w:p w:rsidR="00BF34FA" w:rsidRDefault="00BF34FA">
            <w:pPr>
              <w:keepNext/>
              <w:keepLines/>
            </w:pPr>
          </w:p>
        </w:tc>
        <w:tc>
          <w:tcPr>
            <w:tcW w:w="723" w:type="dxa"/>
            <w:tcBorders>
              <w:right w:val="single" w:sz="4" w:space="0" w:color="auto"/>
            </w:tcBorders>
          </w:tcPr>
          <w:p w:rsidR="00BF34FA" w:rsidRDefault="008A064E">
            <w:pPr>
              <w:keepNext/>
              <w:keepLines/>
              <w:jc w:val="center"/>
            </w:pPr>
            <w:r>
              <w:t>1</w:t>
            </w: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 = Negligible</w:t>
            </w:r>
          </w:p>
        </w:tc>
        <w:tc>
          <w:tcPr>
            <w:tcW w:w="1608" w:type="dxa"/>
            <w:tcBorders>
              <w:top w:val="nil"/>
              <w:left w:val="nil"/>
              <w:bottom w:val="nil"/>
              <w:right w:val="nil"/>
            </w:tcBorders>
          </w:tcPr>
          <w:p w:rsidR="00BF34FA" w:rsidRDefault="00BF34FA">
            <w:pPr>
              <w:keepNext/>
              <w:keepLines/>
              <w:rPr>
                <w:sz w:val="16"/>
              </w:rPr>
            </w:pPr>
            <w:r>
              <w:rPr>
                <w:sz w:val="16"/>
              </w:rPr>
              <w:t>E = 3% - 24%</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bottom w:val="single" w:sz="4" w:space="0" w:color="auto"/>
            </w:tcBorders>
          </w:tcPr>
          <w:p w:rsidR="00BF34FA" w:rsidRDefault="00BF34FA">
            <w:pPr>
              <w:keepNext/>
              <w:keepLines/>
            </w:pPr>
          </w:p>
        </w:tc>
        <w:tc>
          <w:tcPr>
            <w:tcW w:w="723" w:type="dxa"/>
            <w:tcBorders>
              <w:bottom w:val="single" w:sz="4" w:space="0" w:color="auto"/>
            </w:tcBorders>
          </w:tcPr>
          <w:p w:rsidR="00BF34FA" w:rsidRDefault="00BF34FA">
            <w:pPr>
              <w:keepNext/>
              <w:keepLines/>
              <w:jc w:val="center"/>
            </w:pPr>
            <w:r>
              <w:t>I</w:t>
            </w:r>
          </w:p>
        </w:tc>
        <w:tc>
          <w:tcPr>
            <w:tcW w:w="723" w:type="dxa"/>
            <w:tcBorders>
              <w:bottom w:val="single" w:sz="4" w:space="0" w:color="auto"/>
            </w:tcBorders>
          </w:tcPr>
          <w:p w:rsidR="00BF34FA" w:rsidRDefault="00BF34FA">
            <w:pPr>
              <w:keepNext/>
              <w:keepLines/>
              <w:jc w:val="center"/>
            </w:pPr>
            <w:r>
              <w:t>II</w:t>
            </w:r>
          </w:p>
        </w:tc>
        <w:tc>
          <w:tcPr>
            <w:tcW w:w="724" w:type="dxa"/>
            <w:tcBorders>
              <w:bottom w:val="single" w:sz="4" w:space="0" w:color="auto"/>
            </w:tcBorders>
          </w:tcPr>
          <w:p w:rsidR="00BF34FA" w:rsidRDefault="00BF34FA">
            <w:pPr>
              <w:keepNext/>
              <w:keepLines/>
              <w:jc w:val="center"/>
            </w:pPr>
            <w:r>
              <w:t>III</w:t>
            </w:r>
          </w:p>
        </w:tc>
        <w:tc>
          <w:tcPr>
            <w:tcW w:w="723" w:type="dxa"/>
            <w:tcBorders>
              <w:bottom w:val="single" w:sz="4" w:space="0" w:color="auto"/>
              <w:right w:val="single" w:sz="4" w:space="0" w:color="auto"/>
            </w:tcBorders>
          </w:tcPr>
          <w:p w:rsidR="00BF34FA" w:rsidRDefault="00BF34FA">
            <w:pPr>
              <w:keepNext/>
              <w:keepLines/>
              <w:jc w:val="center"/>
            </w:pPr>
            <w:r>
              <w:t>IV</w:t>
            </w:r>
          </w:p>
        </w:tc>
        <w:tc>
          <w:tcPr>
            <w:tcW w:w="724" w:type="dxa"/>
            <w:tcBorders>
              <w:bottom w:val="single" w:sz="4" w:space="0" w:color="auto"/>
              <w:right w:val="single" w:sz="4" w:space="0" w:color="auto"/>
            </w:tcBorders>
          </w:tcPr>
          <w:p w:rsidR="00BF34FA" w:rsidRDefault="00BF34FA">
            <w:pPr>
              <w:keepNext/>
              <w:keepLines/>
              <w:jc w:val="center"/>
            </w:pPr>
            <w:r>
              <w:t>V</w:t>
            </w:r>
          </w:p>
        </w:tc>
        <w:tc>
          <w:tcPr>
            <w:tcW w:w="1508" w:type="dxa"/>
            <w:tcBorders>
              <w:top w:val="nil"/>
              <w:left w:val="single" w:sz="4" w:space="0" w:color="auto"/>
              <w:bottom w:val="nil"/>
              <w:right w:val="nil"/>
            </w:tcBorders>
          </w:tcPr>
          <w:p w:rsidR="00BF34FA" w:rsidRDefault="00BF34FA">
            <w:pPr>
              <w:keepNext/>
              <w:keepLines/>
            </w:pPr>
          </w:p>
        </w:tc>
        <w:tc>
          <w:tcPr>
            <w:tcW w:w="1608" w:type="dxa"/>
            <w:tcBorders>
              <w:top w:val="nil"/>
              <w:left w:val="nil"/>
              <w:bottom w:val="nil"/>
              <w:right w:val="nil"/>
            </w:tcBorders>
          </w:tcPr>
          <w:p w:rsidR="00BF34FA" w:rsidRDefault="00BF34FA">
            <w:pPr>
              <w:keepNext/>
              <w:keepLines/>
              <w:rPr>
                <w:sz w:val="16"/>
              </w:rPr>
            </w:pPr>
            <w:r>
              <w:rPr>
                <w:sz w:val="16"/>
              </w:rPr>
              <w:t xml:space="preserve">F = </w:t>
            </w:r>
            <w:r>
              <w:rPr>
                <w:spacing w:val="-8"/>
                <w:sz w:val="16"/>
              </w:rPr>
              <w:t xml:space="preserve"> &lt;2%</w:t>
            </w:r>
          </w:p>
        </w:tc>
      </w:tr>
      <w:tr w:rsidR="00BF34FA">
        <w:trPr>
          <w:cantSplit/>
          <w:trHeight w:val="387"/>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069" w:type="dxa"/>
            <w:gridSpan w:val="6"/>
            <w:tcBorders>
              <w:left w:val="single" w:sz="4" w:space="0" w:color="auto"/>
              <w:bottom w:val="single" w:sz="4" w:space="0" w:color="auto"/>
              <w:right w:val="single" w:sz="4" w:space="0" w:color="auto"/>
            </w:tcBorders>
          </w:tcPr>
          <w:p w:rsidR="00BF34FA" w:rsidRDefault="00BF34FA">
            <w:pPr>
              <w:keepNext/>
              <w:keepLines/>
              <w:spacing w:before="40"/>
              <w:jc w:val="center"/>
              <w:rPr>
                <w:b/>
                <w:szCs w:val="22"/>
              </w:rPr>
            </w:pPr>
            <w:r>
              <w:rPr>
                <w:b/>
                <w:szCs w:val="22"/>
              </w:rPr>
              <w:t>Impact</w:t>
            </w:r>
          </w:p>
          <w:p w:rsidR="00BF34FA" w:rsidRDefault="00BF34FA">
            <w:pPr>
              <w:keepNext/>
              <w:keepLines/>
              <w:rPr>
                <w:b/>
                <w:sz w:val="20"/>
              </w:rPr>
            </w:pPr>
          </w:p>
        </w:tc>
        <w:tc>
          <w:tcPr>
            <w:tcW w:w="1508" w:type="dxa"/>
            <w:tcBorders>
              <w:top w:val="nil"/>
              <w:left w:val="single" w:sz="4" w:space="0" w:color="auto"/>
              <w:bottom w:val="nil"/>
              <w:right w:val="nil"/>
            </w:tcBorders>
          </w:tcPr>
          <w:p w:rsidR="00BF34FA" w:rsidRDefault="00BF34FA">
            <w:pPr>
              <w:keepNext/>
              <w:keepLines/>
            </w:pPr>
          </w:p>
        </w:tc>
        <w:tc>
          <w:tcPr>
            <w:tcW w:w="1608" w:type="dxa"/>
            <w:tcBorders>
              <w:top w:val="nil"/>
              <w:left w:val="nil"/>
              <w:bottom w:val="nil"/>
              <w:right w:val="nil"/>
            </w:tcBorders>
          </w:tcPr>
          <w:p w:rsidR="00BF34FA" w:rsidRDefault="00BF34FA">
            <w:pPr>
              <w:keepNext/>
              <w:keepLines/>
            </w:pPr>
          </w:p>
        </w:tc>
      </w:tr>
    </w:tbl>
    <w:p w:rsidR="00BF34FA" w:rsidRDefault="00BF34FA">
      <w:pPr>
        <w:pStyle w:val="Header"/>
        <w:tabs>
          <w:tab w:val="clear" w:pos="4153"/>
          <w:tab w:val="clear" w:pos="8306"/>
          <w:tab w:val="left" w:pos="1260"/>
          <w:tab w:val="left" w:pos="1980"/>
          <w:tab w:val="left" w:pos="2700"/>
          <w:tab w:val="left" w:pos="3420"/>
        </w:tabs>
      </w:pPr>
    </w:p>
    <w:p w:rsidR="00BF34FA" w:rsidRDefault="00BF34FA" w:rsidP="00A40518">
      <w:pPr>
        <w:ind w:left="1276" w:hanging="1276"/>
      </w:pPr>
      <w:r>
        <w:t>1</w:t>
      </w:r>
      <w:r w:rsidR="00704F2B">
        <w:t>3</w:t>
      </w:r>
      <w:r>
        <w:t>.</w:t>
      </w:r>
      <w:r w:rsidR="008A064E">
        <w:t>5</w:t>
      </w:r>
      <w:r>
        <w:tab/>
        <w:t>In the officers’ opinion none of the new risks above, were they to come about, would seriously prejudice the achievement of the Strategic Plan and are therefore operational risks.  The effectiveness of treatment plans are reviewed by the Audit Committee annually.</w:t>
      </w:r>
    </w:p>
    <w:p w:rsidR="00BF34FA" w:rsidRDefault="00BF34FA">
      <w:pPr>
        <w:pStyle w:val="BodyTextIndent"/>
      </w:pPr>
    </w:p>
    <w:p w:rsidR="00BF34FA" w:rsidRDefault="00BF34FA">
      <w:pPr>
        <w:keepNext/>
        <w:ind w:left="1267" w:hanging="1267"/>
      </w:pPr>
      <w:r w:rsidRPr="008F1265">
        <w:rPr>
          <w:b/>
        </w:rPr>
        <w:t>1</w:t>
      </w:r>
      <w:r w:rsidR="00704F2B">
        <w:rPr>
          <w:b/>
        </w:rPr>
        <w:t>4</w:t>
      </w:r>
      <w:r w:rsidRPr="008F1265">
        <w:rPr>
          <w:b/>
        </w:rPr>
        <w:t>.</w:t>
      </w:r>
      <w:r>
        <w:fldChar w:fldCharType="begin"/>
      </w:r>
      <w:r>
        <w:instrText xml:space="preserve">  </w:instrText>
      </w:r>
      <w:r>
        <w:fldChar w:fldCharType="end"/>
      </w:r>
      <w:r>
        <w:tab/>
      </w:r>
      <w:r>
        <w:rPr>
          <w:b/>
        </w:rPr>
        <w:t>Recommendation</w:t>
      </w:r>
    </w:p>
    <w:p w:rsidR="00BF34FA" w:rsidRDefault="00BF34FA">
      <w:pPr>
        <w:keepNext/>
        <w:ind w:left="1267" w:hanging="1267"/>
      </w:pPr>
    </w:p>
    <w:p w:rsidR="00BF34FA" w:rsidRDefault="00BF34FA" w:rsidP="00363B04">
      <w:pPr>
        <w:ind w:left="1260" w:hanging="1260"/>
      </w:pPr>
      <w:r>
        <w:t>1</w:t>
      </w:r>
      <w:r w:rsidR="00704F2B">
        <w:t>4</w:t>
      </w:r>
      <w:r>
        <w:t>.1</w:t>
      </w:r>
      <w:r>
        <w:tab/>
        <w:t xml:space="preserve">That </w:t>
      </w:r>
      <w:r w:rsidR="00652745">
        <w:t>M</w:t>
      </w:r>
      <w:r w:rsidR="00363B04">
        <w:t xml:space="preserve">embers of the </w:t>
      </w:r>
      <w:r w:rsidR="00C72EC5">
        <w:t>C</w:t>
      </w:r>
      <w:r w:rsidR="00363B04">
        <w:t xml:space="preserve">ommittee agree Option 1 – Authorise officers to consult on the </w:t>
      </w:r>
      <w:r w:rsidR="002B271C">
        <w:t>Hackney Carriage a</w:t>
      </w:r>
      <w:r w:rsidR="002B271C" w:rsidRPr="00E607D4">
        <w:t xml:space="preserve">nd Private Hire Driver </w:t>
      </w:r>
      <w:r w:rsidR="002B271C">
        <w:t>a</w:t>
      </w:r>
      <w:r w:rsidR="002B271C" w:rsidRPr="00E607D4">
        <w:t>nd Private Hire Operator Suitability Policy</w:t>
      </w:r>
      <w:r w:rsidR="00363B04">
        <w:t xml:space="preserve"> and agree with the timeframe for the consultation period of 8 weeks.</w:t>
      </w:r>
      <w:r>
        <w:fldChar w:fldCharType="begin"/>
      </w:r>
      <w:r>
        <w:instrText xml:space="preserve">  </w:instrText>
      </w:r>
      <w:r>
        <w:fldChar w:fldCharType="end"/>
      </w:r>
      <w:r>
        <w:t xml:space="preserve"> </w:t>
      </w:r>
    </w:p>
    <w:p w:rsidR="001F5888" w:rsidRDefault="001F5888" w:rsidP="00363B04">
      <w:pPr>
        <w:ind w:left="1260" w:hanging="1260"/>
      </w:pPr>
    </w:p>
    <w:p w:rsidR="001F5888" w:rsidRDefault="00704F2B" w:rsidP="00363B04">
      <w:pPr>
        <w:ind w:left="1260" w:hanging="1260"/>
      </w:pPr>
      <w:r>
        <w:t>14</w:t>
      </w:r>
      <w:r w:rsidR="00972270">
        <w:t>.2</w:t>
      </w:r>
      <w:r w:rsidR="00972270">
        <w:tab/>
        <w:t xml:space="preserve">That following consultation regard is had to any comments received and the decision to amend the policy is delegated to the DCES in consultation with the </w:t>
      </w:r>
      <w:r w:rsidR="00652745">
        <w:t>Chairman of the Regulatory Services Committee and Group Spokespersons.</w:t>
      </w:r>
    </w:p>
    <w:p w:rsidR="00E9441C" w:rsidRDefault="00E9441C" w:rsidP="00363B04">
      <w:pPr>
        <w:ind w:left="1260" w:hanging="1260"/>
      </w:pPr>
    </w:p>
    <w:p w:rsidR="00BF34FA" w:rsidRDefault="00BF34FA">
      <w:pPr>
        <w:rPr>
          <w:b/>
          <w:i/>
          <w:color w:val="008000"/>
        </w:rPr>
      </w:pPr>
      <w:r>
        <w:tab/>
        <w:t>Report prepared by:</w:t>
      </w:r>
      <w:r>
        <w:tab/>
      </w:r>
      <w:r>
        <w:fldChar w:fldCharType="begin"/>
      </w:r>
      <w:r>
        <w:instrText xml:space="preserve">  </w:instrText>
      </w:r>
      <w:r>
        <w:fldChar w:fldCharType="end"/>
      </w:r>
      <w:r>
        <w:t xml:space="preserve"> </w:t>
      </w:r>
      <w:r w:rsidR="00735D28" w:rsidRPr="004E5DDC">
        <w:rPr>
          <w:b/>
          <w:i/>
        </w:rPr>
        <w:t>Brad Wheeler, Licensing Officer</w:t>
      </w:r>
    </w:p>
    <w:p w:rsidR="00BF34FA" w:rsidRDefault="00BF34FA">
      <w:pPr>
        <w:ind w:left="1253" w:hanging="1253"/>
      </w:pPr>
    </w:p>
    <w:p w:rsidR="00BF34FA" w:rsidRDefault="00BF34FA" w:rsidP="000431C7">
      <w:pPr>
        <w:keepNext/>
        <w:keepLines/>
        <w:ind w:left="1267" w:hanging="1267"/>
        <w:outlineLvl w:val="0"/>
        <w:rPr>
          <w:b/>
        </w:rPr>
      </w:pPr>
      <w:r>
        <w:tab/>
      </w:r>
      <w:r>
        <w:rPr>
          <w:b/>
        </w:rPr>
        <w:t>Data Quality</w:t>
      </w:r>
    </w:p>
    <w:p w:rsidR="00BF34FA" w:rsidRDefault="00BF34FA" w:rsidP="000431C7">
      <w:pPr>
        <w:keepNext/>
        <w:keepLines/>
        <w:ind w:left="1267" w:hanging="1267"/>
        <w:outlineLvl w:val="0"/>
        <w:rPr>
          <w:b/>
        </w:rPr>
      </w:pPr>
    </w:p>
    <w:p w:rsidR="00BF34FA" w:rsidRPr="00A40518" w:rsidRDefault="00BF34FA" w:rsidP="000431C7">
      <w:pPr>
        <w:keepNext/>
        <w:keepLines/>
        <w:ind w:left="1267" w:hanging="1267"/>
        <w:rPr>
          <w:b/>
        </w:rPr>
      </w:pPr>
      <w:r>
        <w:rPr>
          <w:b/>
        </w:rPr>
        <w:tab/>
      </w:r>
      <w:r w:rsidRPr="00A40518">
        <w:rPr>
          <w:b/>
        </w:rPr>
        <w:t>Data sources:</w:t>
      </w:r>
    </w:p>
    <w:p w:rsidR="00BF34FA" w:rsidRDefault="00BF34FA" w:rsidP="000431C7">
      <w:pPr>
        <w:keepNext/>
        <w:keepLines/>
        <w:ind w:left="1267" w:hanging="1267"/>
      </w:pPr>
    </w:p>
    <w:p w:rsidR="00BF34FA" w:rsidRDefault="00BF34FA" w:rsidP="000431C7">
      <w:pPr>
        <w:keepNext/>
        <w:keepLines/>
        <w:ind w:left="1267" w:hanging="1267"/>
      </w:pPr>
      <w:r>
        <w:tab/>
      </w:r>
      <w:r>
        <w:fldChar w:fldCharType="begin"/>
      </w:r>
      <w:r>
        <w:instrText xml:space="preserve"> ASK   \* MERGEFORMAT </w:instrText>
      </w:r>
      <w:r>
        <w:fldChar w:fldCharType="end"/>
      </w:r>
      <w:r w:rsidR="00363B04">
        <w:t xml:space="preserve"> None</w:t>
      </w:r>
    </w:p>
    <w:p w:rsidR="00BF34FA" w:rsidRDefault="00BF34FA">
      <w:pPr>
        <w:ind w:left="1253" w:hanging="1253"/>
      </w:pPr>
      <w:r>
        <w:rPr>
          <w:b/>
          <w:i/>
          <w:color w:val="008000"/>
        </w:rPr>
        <w:tab/>
      </w:r>
    </w:p>
    <w:p w:rsidR="00BF34FA" w:rsidRDefault="00BF34FA">
      <w:pPr>
        <w:keepNext/>
        <w:ind w:left="1267" w:hanging="1267"/>
        <w:rPr>
          <w:b/>
        </w:rPr>
      </w:pPr>
      <w:r>
        <w:tab/>
      </w:r>
      <w:r>
        <w:rPr>
          <w:b/>
        </w:rPr>
        <w:t>Background Papers</w:t>
      </w:r>
      <w:r w:rsidR="00652745">
        <w:rPr>
          <w:b/>
        </w:rPr>
        <w:t xml:space="preserve"> </w:t>
      </w:r>
    </w:p>
    <w:p w:rsidR="00652745" w:rsidRDefault="00652745">
      <w:pPr>
        <w:keepNext/>
        <w:ind w:left="1267" w:hanging="1267"/>
        <w:rPr>
          <w:b/>
        </w:rPr>
      </w:pPr>
      <w:r>
        <w:rPr>
          <w:b/>
        </w:rPr>
        <w:tab/>
      </w:r>
    </w:p>
    <w:p w:rsidR="00652745" w:rsidRPr="00652745" w:rsidRDefault="00652745">
      <w:pPr>
        <w:keepNext/>
        <w:ind w:left="1267" w:hanging="1267"/>
      </w:pPr>
      <w:r>
        <w:rPr>
          <w:b/>
        </w:rPr>
        <w:tab/>
      </w:r>
      <w:r w:rsidRPr="00652745">
        <w:t>None</w:t>
      </w:r>
    </w:p>
    <w:p w:rsidR="00BF34FA" w:rsidRDefault="005962A8" w:rsidP="00A40518">
      <w:pPr>
        <w:keepNext/>
        <w:ind w:left="1267" w:hanging="1267"/>
      </w:pPr>
      <w:r>
        <w:rPr>
          <w:b/>
        </w:rPr>
        <w:tab/>
      </w:r>
      <w:r w:rsidR="00BF34FA">
        <w:fldChar w:fldCharType="begin"/>
      </w:r>
      <w:r w:rsidR="00BF34FA">
        <w:instrText xml:space="preserve">  </w:instrText>
      </w:r>
      <w:r w:rsidR="00BF34FA">
        <w:fldChar w:fldCharType="end"/>
      </w:r>
    </w:p>
    <w:p w:rsidR="00BF34FA" w:rsidRDefault="00BF34FA" w:rsidP="00D800B2">
      <w:pPr>
        <w:ind w:left="1260" w:hanging="1260"/>
      </w:pPr>
      <w:bookmarkStart w:id="0" w:name="_GoBack"/>
      <w:bookmarkEnd w:id="0"/>
      <w:r>
        <w:rPr>
          <w:b/>
          <w:i/>
          <w:color w:val="008000"/>
        </w:rPr>
        <w:tab/>
      </w:r>
      <w:r>
        <w:rPr>
          <w:b/>
          <w:i/>
          <w:color w:val="008000"/>
        </w:rPr>
        <w:fldChar w:fldCharType="begin"/>
      </w:r>
      <w:r>
        <w:rPr>
          <w:b/>
          <w:i/>
          <w:color w:val="008000"/>
        </w:rPr>
        <w:instrText xml:space="preserve">  </w:instrText>
      </w:r>
      <w:r>
        <w:rPr>
          <w:b/>
          <w:i/>
          <w:color w:val="008000"/>
        </w:rPr>
        <w:fldChar w:fldCharType="end"/>
      </w:r>
      <w:r>
        <w:rPr>
          <w:b/>
        </w:rPr>
        <w:t>APPENDICES / ATTACHMENTS</w:t>
      </w:r>
    </w:p>
    <w:p w:rsidR="00BF34FA" w:rsidRDefault="00BF34FA">
      <w:pPr>
        <w:keepNext/>
        <w:ind w:left="1259" w:hanging="1259"/>
      </w:pPr>
    </w:p>
    <w:p w:rsidR="00363B04" w:rsidRDefault="00363B04" w:rsidP="00363B04">
      <w:pPr>
        <w:autoSpaceDE w:val="0"/>
        <w:autoSpaceDN w:val="0"/>
        <w:adjustRightInd w:val="0"/>
        <w:ind w:left="1260"/>
        <w:jc w:val="left"/>
        <w:rPr>
          <w:rFonts w:cs="Arial"/>
          <w:bCs/>
          <w:szCs w:val="22"/>
        </w:rPr>
      </w:pPr>
      <w:r w:rsidRPr="00AD3CE0">
        <w:rPr>
          <w:b/>
          <w:szCs w:val="22"/>
        </w:rPr>
        <w:t>Appendix A:</w:t>
      </w:r>
      <w:r w:rsidRPr="00363B04">
        <w:rPr>
          <w:szCs w:val="22"/>
        </w:rPr>
        <w:t xml:space="preserve"> </w:t>
      </w:r>
      <w:r>
        <w:rPr>
          <w:szCs w:val="22"/>
        </w:rPr>
        <w:t xml:space="preserve">Draft </w:t>
      </w:r>
      <w:r w:rsidR="00E30B05">
        <w:t>Hackney Carriage a</w:t>
      </w:r>
      <w:r w:rsidR="00E30B05" w:rsidRPr="006A4AC3">
        <w:t xml:space="preserve">nd Private Hire Driver </w:t>
      </w:r>
      <w:r w:rsidR="00E30B05">
        <w:t>a</w:t>
      </w:r>
      <w:r w:rsidR="00E30B05" w:rsidRPr="006A4AC3">
        <w:t>nd Private Hire Operator Suitability Policy</w:t>
      </w:r>
      <w:r w:rsidR="00E30B05">
        <w:rPr>
          <w:rFonts w:cs="Arial"/>
          <w:bCs/>
          <w:szCs w:val="22"/>
        </w:rPr>
        <w:t>.</w:t>
      </w:r>
    </w:p>
    <w:p w:rsidR="00363B04" w:rsidRDefault="00363B04" w:rsidP="00363B04">
      <w:pPr>
        <w:autoSpaceDE w:val="0"/>
        <w:autoSpaceDN w:val="0"/>
        <w:adjustRightInd w:val="0"/>
        <w:ind w:left="1260"/>
        <w:jc w:val="left"/>
        <w:rPr>
          <w:rFonts w:cs="Arial"/>
          <w:b/>
          <w:bCs/>
          <w:sz w:val="28"/>
          <w:szCs w:val="28"/>
        </w:rPr>
      </w:pPr>
    </w:p>
    <w:p w:rsidR="00BF34FA" w:rsidRDefault="00363B04" w:rsidP="00D800B2">
      <w:pPr>
        <w:autoSpaceDE w:val="0"/>
        <w:autoSpaceDN w:val="0"/>
        <w:adjustRightInd w:val="0"/>
        <w:ind w:left="1260"/>
      </w:pPr>
      <w:r w:rsidRPr="00363B04">
        <w:rPr>
          <w:rFonts w:cs="Arial"/>
          <w:b/>
          <w:bCs/>
          <w:szCs w:val="22"/>
        </w:rPr>
        <w:t xml:space="preserve">Appendix B: </w:t>
      </w:r>
      <w:r w:rsidR="004E5DDC">
        <w:t>C</w:t>
      </w:r>
      <w:r w:rsidRPr="00363B04">
        <w:t>urrent statement of policy about relevant convictions or other information in determining refusals for hackney carriage or private hire drivers</w:t>
      </w:r>
      <w:r w:rsidR="00C72EC5">
        <w:t>’</w:t>
      </w:r>
      <w:r w:rsidRPr="00363B04">
        <w:t xml:space="preserve"> licences.</w:t>
      </w:r>
    </w:p>
    <w:sectPr w:rsidR="00BF34FA">
      <w:footerReference w:type="default" r:id="rId8"/>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CB" w:rsidRDefault="00AE1ECB">
      <w:r>
        <w:separator/>
      </w:r>
    </w:p>
  </w:endnote>
  <w:endnote w:type="continuationSeparator" w:id="0">
    <w:p w:rsidR="00AE1ECB" w:rsidRDefault="00AE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15" w:rsidRDefault="007E7815">
    <w:pPr>
      <w:pStyle w:val="Footer"/>
      <w:tabs>
        <w:tab w:val="clear" w:pos="4153"/>
        <w:tab w:val="clear" w:pos="8306"/>
        <w:tab w:val="center" w:pos="4680"/>
        <w:tab w:val="right" w:pos="9090"/>
      </w:tabs>
      <w:rPr>
        <w:sz w:val="16"/>
      </w:rPr>
    </w:pPr>
  </w:p>
  <w:p w:rsidR="007E7815" w:rsidRPr="00B84728" w:rsidRDefault="007E7815" w:rsidP="00B84728">
    <w:pPr>
      <w:pStyle w:val="Footer"/>
      <w:jc w:val="left"/>
      <w:rPr>
        <w:sz w:val="24"/>
        <w:szCs w:val="24"/>
      </w:rPr>
    </w:pPr>
    <w:r>
      <w:rPr>
        <w:snapToGrid w:val="0"/>
        <w:sz w:val="16"/>
        <w:lang w:eastAsia="en-US"/>
      </w:rPr>
      <w:fldChar w:fldCharType="begin"/>
    </w:r>
    <w:r>
      <w:rPr>
        <w:snapToGrid w:val="0"/>
        <w:sz w:val="16"/>
        <w:lang w:eastAsia="en-US"/>
      </w:rPr>
      <w:instrText xml:space="preserve"> FILENAME \* Lower\p  \* MERGEFORMAT </w:instrText>
    </w:r>
    <w:r>
      <w:rPr>
        <w:snapToGrid w:val="0"/>
        <w:sz w:val="16"/>
        <w:lang w:eastAsia="en-US"/>
      </w:rPr>
      <w:fldChar w:fldCharType="separate"/>
    </w:r>
    <w:r w:rsidR="002A2039">
      <w:rPr>
        <w:noProof/>
        <w:snapToGrid w:val="0"/>
        <w:sz w:val="16"/>
      </w:rPr>
      <w:t>z</w:t>
    </w:r>
    <w:r w:rsidR="002A2039">
      <w:rPr>
        <w:noProof/>
        <w:snapToGrid w:val="0"/>
        <w:sz w:val="16"/>
        <w:lang w:eastAsia="en-US"/>
      </w:rPr>
      <w:t>:\regulatory\rg 2017\17 06 14 rg agenda\regulatory services committee 14 6 17 conviction policy report.docx</w:t>
    </w:r>
    <w:r>
      <w:rPr>
        <w:snapToGrid w:val="0"/>
        <w:sz w:val="16"/>
        <w:lang w:eastAsia="en-US"/>
      </w:rPr>
      <w:fldChar w:fldCharType="end"/>
    </w:r>
    <w:r>
      <w:rPr>
        <w:snapToGrid w:val="0"/>
        <w:sz w:val="18"/>
        <w:szCs w:val="18"/>
        <w:lang w:eastAsia="en-US"/>
      </w:rPr>
      <w:t>.</w:t>
    </w:r>
    <w:r w:rsidRPr="001A713C">
      <w:rPr>
        <w:snapToGrid w:val="0"/>
        <w:sz w:val="20"/>
        <w:lang w:eastAsia="en-US"/>
      </w:rPr>
      <w:fldChar w:fldCharType="begin"/>
    </w:r>
    <w:r w:rsidRPr="001A713C">
      <w:rPr>
        <w:snapToGrid w:val="0"/>
        <w:sz w:val="20"/>
        <w:lang w:eastAsia="en-US"/>
      </w:rPr>
      <w:instrText xml:space="preserve"> PAGE </w:instrText>
    </w:r>
    <w:r w:rsidRPr="001A713C">
      <w:rPr>
        <w:snapToGrid w:val="0"/>
        <w:sz w:val="20"/>
        <w:lang w:eastAsia="en-US"/>
      </w:rPr>
      <w:fldChar w:fldCharType="separate"/>
    </w:r>
    <w:r w:rsidR="002A2039">
      <w:rPr>
        <w:noProof/>
        <w:snapToGrid w:val="0"/>
        <w:sz w:val="20"/>
        <w:lang w:eastAsia="en-US"/>
      </w:rPr>
      <w:t>5</w:t>
    </w:r>
    <w:r w:rsidRPr="001A713C">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CB" w:rsidRDefault="00AE1ECB">
      <w:r>
        <w:separator/>
      </w:r>
    </w:p>
  </w:footnote>
  <w:footnote w:type="continuationSeparator" w:id="0">
    <w:p w:rsidR="00AE1ECB" w:rsidRDefault="00AE1EC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d Wheeler">
    <w15:presenceInfo w15:providerId="Windows Live" w15:userId="92941efc9375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23989"/>
    <w:rsid w:val="000431C7"/>
    <w:rsid w:val="00050AE6"/>
    <w:rsid w:val="000B589C"/>
    <w:rsid w:val="000C5DD1"/>
    <w:rsid w:val="000D1B8E"/>
    <w:rsid w:val="001072EC"/>
    <w:rsid w:val="00117D63"/>
    <w:rsid w:val="00130600"/>
    <w:rsid w:val="00162845"/>
    <w:rsid w:val="001A713C"/>
    <w:rsid w:val="001B44AF"/>
    <w:rsid w:val="001B62FE"/>
    <w:rsid w:val="001D1CC0"/>
    <w:rsid w:val="001D5FB1"/>
    <w:rsid w:val="001E10FE"/>
    <w:rsid w:val="001F4D1C"/>
    <w:rsid w:val="001F5888"/>
    <w:rsid w:val="001F59B8"/>
    <w:rsid w:val="00203BE7"/>
    <w:rsid w:val="002059D1"/>
    <w:rsid w:val="00206C28"/>
    <w:rsid w:val="00227303"/>
    <w:rsid w:val="002450C3"/>
    <w:rsid w:val="00251D39"/>
    <w:rsid w:val="002765A4"/>
    <w:rsid w:val="002A2039"/>
    <w:rsid w:val="002B271C"/>
    <w:rsid w:val="00363B04"/>
    <w:rsid w:val="003A362E"/>
    <w:rsid w:val="003C6509"/>
    <w:rsid w:val="003D5820"/>
    <w:rsid w:val="003F11F8"/>
    <w:rsid w:val="003F6869"/>
    <w:rsid w:val="00410CEF"/>
    <w:rsid w:val="00413A73"/>
    <w:rsid w:val="00480EC6"/>
    <w:rsid w:val="00490883"/>
    <w:rsid w:val="0049419B"/>
    <w:rsid w:val="004A73CB"/>
    <w:rsid w:val="004E2A26"/>
    <w:rsid w:val="004E5DDC"/>
    <w:rsid w:val="005445FF"/>
    <w:rsid w:val="0056010B"/>
    <w:rsid w:val="00571B48"/>
    <w:rsid w:val="005962A8"/>
    <w:rsid w:val="005A0B38"/>
    <w:rsid w:val="005B4547"/>
    <w:rsid w:val="005E5CA5"/>
    <w:rsid w:val="005F78E0"/>
    <w:rsid w:val="00652745"/>
    <w:rsid w:val="00661DB5"/>
    <w:rsid w:val="006729C3"/>
    <w:rsid w:val="006D3DCD"/>
    <w:rsid w:val="006F0CE5"/>
    <w:rsid w:val="00700BFB"/>
    <w:rsid w:val="00704F2B"/>
    <w:rsid w:val="00715F5F"/>
    <w:rsid w:val="00735D28"/>
    <w:rsid w:val="007442BC"/>
    <w:rsid w:val="007663FA"/>
    <w:rsid w:val="007942BA"/>
    <w:rsid w:val="007A4C50"/>
    <w:rsid w:val="007B7DC1"/>
    <w:rsid w:val="007E7815"/>
    <w:rsid w:val="0081610F"/>
    <w:rsid w:val="0083173F"/>
    <w:rsid w:val="008372C3"/>
    <w:rsid w:val="00852DA0"/>
    <w:rsid w:val="00874DCD"/>
    <w:rsid w:val="00896F46"/>
    <w:rsid w:val="008A064E"/>
    <w:rsid w:val="008A1CCD"/>
    <w:rsid w:val="008C2CE3"/>
    <w:rsid w:val="008F1265"/>
    <w:rsid w:val="008F5EE8"/>
    <w:rsid w:val="00902EBC"/>
    <w:rsid w:val="009203EB"/>
    <w:rsid w:val="00956B1B"/>
    <w:rsid w:val="009608DE"/>
    <w:rsid w:val="00972270"/>
    <w:rsid w:val="009A3BC6"/>
    <w:rsid w:val="009A6284"/>
    <w:rsid w:val="009B654A"/>
    <w:rsid w:val="009F7AE9"/>
    <w:rsid w:val="00A07C34"/>
    <w:rsid w:val="00A30783"/>
    <w:rsid w:val="00A40518"/>
    <w:rsid w:val="00A77885"/>
    <w:rsid w:val="00AB6603"/>
    <w:rsid w:val="00AD3CE0"/>
    <w:rsid w:val="00AE1ECB"/>
    <w:rsid w:val="00AF40E5"/>
    <w:rsid w:val="00B5043F"/>
    <w:rsid w:val="00B84728"/>
    <w:rsid w:val="00B97A88"/>
    <w:rsid w:val="00BB39B1"/>
    <w:rsid w:val="00BD1EA2"/>
    <w:rsid w:val="00BD4A5D"/>
    <w:rsid w:val="00BE1414"/>
    <w:rsid w:val="00BE2310"/>
    <w:rsid w:val="00BF34FA"/>
    <w:rsid w:val="00BF76C9"/>
    <w:rsid w:val="00C359F2"/>
    <w:rsid w:val="00C5185A"/>
    <w:rsid w:val="00C70C88"/>
    <w:rsid w:val="00C72EC5"/>
    <w:rsid w:val="00C84446"/>
    <w:rsid w:val="00CB206E"/>
    <w:rsid w:val="00CB4880"/>
    <w:rsid w:val="00CC5014"/>
    <w:rsid w:val="00CD667C"/>
    <w:rsid w:val="00D14C8B"/>
    <w:rsid w:val="00D16937"/>
    <w:rsid w:val="00D7229A"/>
    <w:rsid w:val="00D800B2"/>
    <w:rsid w:val="00D956C8"/>
    <w:rsid w:val="00D97D1F"/>
    <w:rsid w:val="00DB28EC"/>
    <w:rsid w:val="00DE1CF6"/>
    <w:rsid w:val="00DE754C"/>
    <w:rsid w:val="00DF1361"/>
    <w:rsid w:val="00E06557"/>
    <w:rsid w:val="00E0782E"/>
    <w:rsid w:val="00E15247"/>
    <w:rsid w:val="00E30B05"/>
    <w:rsid w:val="00E607D4"/>
    <w:rsid w:val="00E6258F"/>
    <w:rsid w:val="00E66A0C"/>
    <w:rsid w:val="00E701FC"/>
    <w:rsid w:val="00E710E6"/>
    <w:rsid w:val="00E7205B"/>
    <w:rsid w:val="00E82EEE"/>
    <w:rsid w:val="00E9441C"/>
    <w:rsid w:val="00EA6863"/>
    <w:rsid w:val="00EB020F"/>
    <w:rsid w:val="00EC5556"/>
    <w:rsid w:val="00EF7564"/>
    <w:rsid w:val="00F07D86"/>
    <w:rsid w:val="00F54ABC"/>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legclearfix">
    <w:name w:val="legclearfix"/>
    <w:basedOn w:val="Normal"/>
    <w:rsid w:val="006F0CE5"/>
    <w:pPr>
      <w:tabs>
        <w:tab w:val="clear" w:pos="1260"/>
        <w:tab w:val="clear" w:pos="1980"/>
        <w:tab w:val="clear" w:pos="2700"/>
        <w:tab w:val="clear" w:pos="3420"/>
      </w:tabs>
      <w:spacing w:before="100" w:beforeAutospacing="1" w:after="100" w:afterAutospacing="1"/>
      <w:jc w:val="left"/>
    </w:pPr>
    <w:rPr>
      <w:rFonts w:ascii="Times New Roman" w:hAnsi="Times New Roman"/>
      <w:sz w:val="24"/>
      <w:szCs w:val="24"/>
    </w:rPr>
  </w:style>
  <w:style w:type="character" w:customStyle="1" w:styleId="legds">
    <w:name w:val="legds"/>
    <w:basedOn w:val="DefaultParagraphFont"/>
    <w:rsid w:val="006F0CE5"/>
  </w:style>
  <w:style w:type="paragraph" w:customStyle="1" w:styleId="leglevel3">
    <w:name w:val="leglevel3"/>
    <w:basedOn w:val="Normal"/>
    <w:rsid w:val="006F0CE5"/>
    <w:pPr>
      <w:tabs>
        <w:tab w:val="clear" w:pos="1260"/>
        <w:tab w:val="clear" w:pos="1980"/>
        <w:tab w:val="clear" w:pos="2700"/>
        <w:tab w:val="clear" w:pos="3420"/>
      </w:tabs>
      <w:spacing w:before="100" w:beforeAutospacing="1" w:after="100" w:afterAutospacing="1"/>
      <w:jc w:val="left"/>
    </w:pPr>
    <w:rPr>
      <w:rFonts w:ascii="Times New Roman" w:hAnsi="Times New Roman"/>
      <w:sz w:val="24"/>
      <w:szCs w:val="24"/>
    </w:rPr>
  </w:style>
  <w:style w:type="character" w:customStyle="1" w:styleId="legchangedelimiter">
    <w:name w:val="legchangedelimiter"/>
    <w:basedOn w:val="DefaultParagraphFont"/>
    <w:rsid w:val="004E5DDC"/>
  </w:style>
  <w:style w:type="character" w:customStyle="1" w:styleId="legaddition">
    <w:name w:val="legaddition"/>
    <w:basedOn w:val="DefaultParagraphFont"/>
    <w:rsid w:val="004E5DDC"/>
  </w:style>
  <w:style w:type="character" w:styleId="CommentReference">
    <w:name w:val="annotation reference"/>
    <w:basedOn w:val="DefaultParagraphFont"/>
    <w:semiHidden/>
    <w:unhideWhenUsed/>
    <w:rsid w:val="009B654A"/>
    <w:rPr>
      <w:sz w:val="16"/>
      <w:szCs w:val="16"/>
    </w:rPr>
  </w:style>
  <w:style w:type="paragraph" w:styleId="CommentText">
    <w:name w:val="annotation text"/>
    <w:basedOn w:val="Normal"/>
    <w:link w:val="CommentTextChar"/>
    <w:semiHidden/>
    <w:unhideWhenUsed/>
    <w:rsid w:val="009B654A"/>
    <w:rPr>
      <w:sz w:val="20"/>
    </w:rPr>
  </w:style>
  <w:style w:type="character" w:customStyle="1" w:styleId="CommentTextChar">
    <w:name w:val="Comment Text Char"/>
    <w:basedOn w:val="DefaultParagraphFont"/>
    <w:link w:val="CommentText"/>
    <w:semiHidden/>
    <w:rsid w:val="009B654A"/>
    <w:rPr>
      <w:rFonts w:ascii="Arial" w:hAnsi="Arial"/>
    </w:rPr>
  </w:style>
  <w:style w:type="paragraph" w:styleId="CommentSubject">
    <w:name w:val="annotation subject"/>
    <w:basedOn w:val="CommentText"/>
    <w:next w:val="CommentText"/>
    <w:link w:val="CommentSubjectChar"/>
    <w:semiHidden/>
    <w:unhideWhenUsed/>
    <w:rsid w:val="009B654A"/>
    <w:rPr>
      <w:b/>
      <w:bCs/>
    </w:rPr>
  </w:style>
  <w:style w:type="character" w:customStyle="1" w:styleId="CommentSubjectChar">
    <w:name w:val="Comment Subject Char"/>
    <w:basedOn w:val="CommentTextChar"/>
    <w:link w:val="CommentSubject"/>
    <w:semiHidden/>
    <w:rsid w:val="009B654A"/>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legclearfix">
    <w:name w:val="legclearfix"/>
    <w:basedOn w:val="Normal"/>
    <w:rsid w:val="006F0CE5"/>
    <w:pPr>
      <w:tabs>
        <w:tab w:val="clear" w:pos="1260"/>
        <w:tab w:val="clear" w:pos="1980"/>
        <w:tab w:val="clear" w:pos="2700"/>
        <w:tab w:val="clear" w:pos="3420"/>
      </w:tabs>
      <w:spacing w:before="100" w:beforeAutospacing="1" w:after="100" w:afterAutospacing="1"/>
      <w:jc w:val="left"/>
    </w:pPr>
    <w:rPr>
      <w:rFonts w:ascii="Times New Roman" w:hAnsi="Times New Roman"/>
      <w:sz w:val="24"/>
      <w:szCs w:val="24"/>
    </w:rPr>
  </w:style>
  <w:style w:type="character" w:customStyle="1" w:styleId="legds">
    <w:name w:val="legds"/>
    <w:basedOn w:val="DefaultParagraphFont"/>
    <w:rsid w:val="006F0CE5"/>
  </w:style>
  <w:style w:type="paragraph" w:customStyle="1" w:styleId="leglevel3">
    <w:name w:val="leglevel3"/>
    <w:basedOn w:val="Normal"/>
    <w:rsid w:val="006F0CE5"/>
    <w:pPr>
      <w:tabs>
        <w:tab w:val="clear" w:pos="1260"/>
        <w:tab w:val="clear" w:pos="1980"/>
        <w:tab w:val="clear" w:pos="2700"/>
        <w:tab w:val="clear" w:pos="3420"/>
      </w:tabs>
      <w:spacing w:before="100" w:beforeAutospacing="1" w:after="100" w:afterAutospacing="1"/>
      <w:jc w:val="left"/>
    </w:pPr>
    <w:rPr>
      <w:rFonts w:ascii="Times New Roman" w:hAnsi="Times New Roman"/>
      <w:sz w:val="24"/>
      <w:szCs w:val="24"/>
    </w:rPr>
  </w:style>
  <w:style w:type="character" w:customStyle="1" w:styleId="legchangedelimiter">
    <w:name w:val="legchangedelimiter"/>
    <w:basedOn w:val="DefaultParagraphFont"/>
    <w:rsid w:val="004E5DDC"/>
  </w:style>
  <w:style w:type="character" w:customStyle="1" w:styleId="legaddition">
    <w:name w:val="legaddition"/>
    <w:basedOn w:val="DefaultParagraphFont"/>
    <w:rsid w:val="004E5DDC"/>
  </w:style>
  <w:style w:type="character" w:styleId="CommentReference">
    <w:name w:val="annotation reference"/>
    <w:basedOn w:val="DefaultParagraphFont"/>
    <w:semiHidden/>
    <w:unhideWhenUsed/>
    <w:rsid w:val="009B654A"/>
    <w:rPr>
      <w:sz w:val="16"/>
      <w:szCs w:val="16"/>
    </w:rPr>
  </w:style>
  <w:style w:type="paragraph" w:styleId="CommentText">
    <w:name w:val="annotation text"/>
    <w:basedOn w:val="Normal"/>
    <w:link w:val="CommentTextChar"/>
    <w:semiHidden/>
    <w:unhideWhenUsed/>
    <w:rsid w:val="009B654A"/>
    <w:rPr>
      <w:sz w:val="20"/>
    </w:rPr>
  </w:style>
  <w:style w:type="character" w:customStyle="1" w:styleId="CommentTextChar">
    <w:name w:val="Comment Text Char"/>
    <w:basedOn w:val="DefaultParagraphFont"/>
    <w:link w:val="CommentText"/>
    <w:semiHidden/>
    <w:rsid w:val="009B654A"/>
    <w:rPr>
      <w:rFonts w:ascii="Arial" w:hAnsi="Arial"/>
    </w:rPr>
  </w:style>
  <w:style w:type="paragraph" w:styleId="CommentSubject">
    <w:name w:val="annotation subject"/>
    <w:basedOn w:val="CommentText"/>
    <w:next w:val="CommentText"/>
    <w:link w:val="CommentSubjectChar"/>
    <w:semiHidden/>
    <w:unhideWhenUsed/>
    <w:rsid w:val="009B654A"/>
    <w:rPr>
      <w:b/>
      <w:bCs/>
    </w:rPr>
  </w:style>
  <w:style w:type="character" w:customStyle="1" w:styleId="CommentSubjectChar">
    <w:name w:val="Comment Subject Char"/>
    <w:basedOn w:val="CommentTextChar"/>
    <w:link w:val="CommentSubject"/>
    <w:semiHidden/>
    <w:rsid w:val="009B654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7882">
      <w:bodyDiv w:val="1"/>
      <w:marLeft w:val="0"/>
      <w:marRight w:val="0"/>
      <w:marTop w:val="0"/>
      <w:marBottom w:val="0"/>
      <w:divBdr>
        <w:top w:val="none" w:sz="0" w:space="0" w:color="auto"/>
        <w:left w:val="none" w:sz="0" w:space="0" w:color="auto"/>
        <w:bottom w:val="none" w:sz="0" w:space="0" w:color="auto"/>
        <w:right w:val="none" w:sz="0" w:space="0" w:color="auto"/>
      </w:divBdr>
    </w:div>
    <w:div w:id="230769928">
      <w:bodyDiv w:val="1"/>
      <w:marLeft w:val="0"/>
      <w:marRight w:val="0"/>
      <w:marTop w:val="0"/>
      <w:marBottom w:val="0"/>
      <w:divBdr>
        <w:top w:val="none" w:sz="0" w:space="0" w:color="auto"/>
        <w:left w:val="none" w:sz="0" w:space="0" w:color="auto"/>
        <w:bottom w:val="none" w:sz="0" w:space="0" w:color="auto"/>
        <w:right w:val="none" w:sz="0" w:space="0" w:color="auto"/>
      </w:divBdr>
    </w:div>
    <w:div w:id="577208067">
      <w:bodyDiv w:val="1"/>
      <w:marLeft w:val="0"/>
      <w:marRight w:val="0"/>
      <w:marTop w:val="0"/>
      <w:marBottom w:val="0"/>
      <w:divBdr>
        <w:top w:val="none" w:sz="0" w:space="0" w:color="auto"/>
        <w:left w:val="none" w:sz="0" w:space="0" w:color="auto"/>
        <w:bottom w:val="none" w:sz="0" w:space="0" w:color="auto"/>
        <w:right w:val="none" w:sz="0" w:space="0" w:color="auto"/>
      </w:divBdr>
      <w:divsChild>
        <w:div w:id="524641268">
          <w:marLeft w:val="0"/>
          <w:marRight w:val="0"/>
          <w:marTop w:val="0"/>
          <w:marBottom w:val="0"/>
          <w:divBdr>
            <w:top w:val="none" w:sz="0" w:space="0" w:color="auto"/>
            <w:left w:val="none" w:sz="0" w:space="0" w:color="auto"/>
            <w:bottom w:val="none" w:sz="0" w:space="0" w:color="auto"/>
            <w:right w:val="none" w:sz="0" w:space="0" w:color="auto"/>
          </w:divBdr>
        </w:div>
      </w:divsChild>
    </w:div>
    <w:div w:id="707872691">
      <w:bodyDiv w:val="1"/>
      <w:marLeft w:val="0"/>
      <w:marRight w:val="0"/>
      <w:marTop w:val="0"/>
      <w:marBottom w:val="0"/>
      <w:divBdr>
        <w:top w:val="none" w:sz="0" w:space="0" w:color="auto"/>
        <w:left w:val="none" w:sz="0" w:space="0" w:color="auto"/>
        <w:bottom w:val="none" w:sz="0" w:space="0" w:color="auto"/>
        <w:right w:val="none" w:sz="0" w:space="0" w:color="auto"/>
      </w:divBdr>
      <w:divsChild>
        <w:div w:id="711419662">
          <w:marLeft w:val="0"/>
          <w:marRight w:val="0"/>
          <w:marTop w:val="0"/>
          <w:marBottom w:val="0"/>
          <w:divBdr>
            <w:top w:val="none" w:sz="0" w:space="0" w:color="auto"/>
            <w:left w:val="none" w:sz="0" w:space="0" w:color="auto"/>
            <w:bottom w:val="none" w:sz="0" w:space="0" w:color="auto"/>
            <w:right w:val="none" w:sz="0" w:space="0" w:color="auto"/>
          </w:divBdr>
          <w:divsChild>
            <w:div w:id="1307859198">
              <w:marLeft w:val="0"/>
              <w:marRight w:val="0"/>
              <w:marTop w:val="0"/>
              <w:marBottom w:val="0"/>
              <w:divBdr>
                <w:top w:val="none" w:sz="0" w:space="0" w:color="auto"/>
                <w:left w:val="none" w:sz="0" w:space="0" w:color="auto"/>
                <w:bottom w:val="none" w:sz="0" w:space="0" w:color="auto"/>
                <w:right w:val="none" w:sz="0" w:space="0" w:color="auto"/>
              </w:divBdr>
              <w:divsChild>
                <w:div w:id="1470588330">
                  <w:marLeft w:val="0"/>
                  <w:marRight w:val="0"/>
                  <w:marTop w:val="0"/>
                  <w:marBottom w:val="0"/>
                  <w:divBdr>
                    <w:top w:val="none" w:sz="0" w:space="0" w:color="auto"/>
                    <w:left w:val="none" w:sz="0" w:space="0" w:color="auto"/>
                    <w:bottom w:val="none" w:sz="0" w:space="0" w:color="auto"/>
                    <w:right w:val="none" w:sz="0" w:space="0" w:color="auto"/>
                  </w:divBdr>
                  <w:divsChild>
                    <w:div w:id="1782218741">
                      <w:marLeft w:val="0"/>
                      <w:marRight w:val="0"/>
                      <w:marTop w:val="0"/>
                      <w:marBottom w:val="0"/>
                      <w:divBdr>
                        <w:top w:val="none" w:sz="0" w:space="0" w:color="auto"/>
                        <w:left w:val="none" w:sz="0" w:space="0" w:color="auto"/>
                        <w:bottom w:val="none" w:sz="0" w:space="0" w:color="auto"/>
                        <w:right w:val="none" w:sz="0" w:space="0" w:color="auto"/>
                      </w:divBdr>
                    </w:div>
                    <w:div w:id="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1977">
      <w:bodyDiv w:val="1"/>
      <w:marLeft w:val="0"/>
      <w:marRight w:val="0"/>
      <w:marTop w:val="0"/>
      <w:marBottom w:val="0"/>
      <w:divBdr>
        <w:top w:val="none" w:sz="0" w:space="0" w:color="auto"/>
        <w:left w:val="none" w:sz="0" w:space="0" w:color="auto"/>
        <w:bottom w:val="none" w:sz="0" w:space="0" w:color="auto"/>
        <w:right w:val="none" w:sz="0" w:space="0" w:color="auto"/>
      </w:divBdr>
    </w:div>
    <w:div w:id="1257900671">
      <w:bodyDiv w:val="1"/>
      <w:marLeft w:val="0"/>
      <w:marRight w:val="0"/>
      <w:marTop w:val="0"/>
      <w:marBottom w:val="0"/>
      <w:divBdr>
        <w:top w:val="none" w:sz="0" w:space="0" w:color="auto"/>
        <w:left w:val="none" w:sz="0" w:space="0" w:color="auto"/>
        <w:bottom w:val="none" w:sz="0" w:space="0" w:color="auto"/>
        <w:right w:val="none" w:sz="0" w:space="0" w:color="auto"/>
      </w:divBdr>
    </w:div>
    <w:div w:id="1380327247">
      <w:bodyDiv w:val="1"/>
      <w:marLeft w:val="0"/>
      <w:marRight w:val="0"/>
      <w:marTop w:val="0"/>
      <w:marBottom w:val="0"/>
      <w:divBdr>
        <w:top w:val="none" w:sz="0" w:space="0" w:color="auto"/>
        <w:left w:val="none" w:sz="0" w:space="0" w:color="auto"/>
        <w:bottom w:val="none" w:sz="0" w:space="0" w:color="auto"/>
        <w:right w:val="none" w:sz="0" w:space="0" w:color="auto"/>
      </w:divBdr>
      <w:divsChild>
        <w:div w:id="1489515292">
          <w:marLeft w:val="0"/>
          <w:marRight w:val="0"/>
          <w:marTop w:val="0"/>
          <w:marBottom w:val="0"/>
          <w:divBdr>
            <w:top w:val="none" w:sz="0" w:space="0" w:color="auto"/>
            <w:left w:val="none" w:sz="0" w:space="0" w:color="auto"/>
            <w:bottom w:val="none" w:sz="0" w:space="0" w:color="auto"/>
            <w:right w:val="none" w:sz="0" w:space="0" w:color="auto"/>
          </w:divBdr>
          <w:divsChild>
            <w:div w:id="566379684">
              <w:marLeft w:val="0"/>
              <w:marRight w:val="0"/>
              <w:marTop w:val="0"/>
              <w:marBottom w:val="0"/>
              <w:divBdr>
                <w:top w:val="none" w:sz="0" w:space="0" w:color="auto"/>
                <w:left w:val="none" w:sz="0" w:space="0" w:color="auto"/>
                <w:bottom w:val="none" w:sz="0" w:space="0" w:color="auto"/>
                <w:right w:val="none" w:sz="0" w:space="0" w:color="auto"/>
              </w:divBdr>
              <w:divsChild>
                <w:div w:id="988097873">
                  <w:marLeft w:val="0"/>
                  <w:marRight w:val="0"/>
                  <w:marTop w:val="0"/>
                  <w:marBottom w:val="0"/>
                  <w:divBdr>
                    <w:top w:val="none" w:sz="0" w:space="0" w:color="auto"/>
                    <w:left w:val="none" w:sz="0" w:space="0" w:color="auto"/>
                    <w:bottom w:val="none" w:sz="0" w:space="0" w:color="auto"/>
                    <w:right w:val="none" w:sz="0" w:space="0" w:color="auto"/>
                  </w:divBdr>
                  <w:divsChild>
                    <w:div w:id="1531531874">
                      <w:marLeft w:val="0"/>
                      <w:marRight w:val="0"/>
                      <w:marTop w:val="0"/>
                      <w:marBottom w:val="0"/>
                      <w:divBdr>
                        <w:top w:val="none" w:sz="0" w:space="0" w:color="auto"/>
                        <w:left w:val="none" w:sz="0" w:space="0" w:color="auto"/>
                        <w:bottom w:val="none" w:sz="0" w:space="0" w:color="auto"/>
                        <w:right w:val="none" w:sz="0" w:space="0" w:color="auto"/>
                      </w:divBdr>
                    </w:div>
                    <w:div w:id="7128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7010">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044469">
      <w:bodyDiv w:val="1"/>
      <w:marLeft w:val="0"/>
      <w:marRight w:val="0"/>
      <w:marTop w:val="0"/>
      <w:marBottom w:val="0"/>
      <w:divBdr>
        <w:top w:val="none" w:sz="0" w:space="0" w:color="auto"/>
        <w:left w:val="none" w:sz="0" w:space="0" w:color="auto"/>
        <w:bottom w:val="none" w:sz="0" w:space="0" w:color="auto"/>
        <w:right w:val="none" w:sz="0" w:space="0" w:color="auto"/>
      </w:divBdr>
    </w:div>
    <w:div w:id="1933246491">
      <w:bodyDiv w:val="1"/>
      <w:marLeft w:val="0"/>
      <w:marRight w:val="0"/>
      <w:marTop w:val="0"/>
      <w:marBottom w:val="0"/>
      <w:divBdr>
        <w:top w:val="none" w:sz="0" w:space="0" w:color="auto"/>
        <w:left w:val="none" w:sz="0" w:space="0" w:color="auto"/>
        <w:bottom w:val="none" w:sz="0" w:space="0" w:color="auto"/>
        <w:right w:val="none" w:sz="0" w:space="0" w:color="auto"/>
      </w:divBdr>
    </w:div>
    <w:div w:id="20106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CF69-C871-46D6-999A-C06F14D7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Template>
  <TotalTime>29</TotalTime>
  <Pages>5</Pages>
  <Words>1781</Words>
  <Characters>9795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11553</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King;Brad Wheeler</dc:creator>
  <cp:lastModifiedBy>Sherrie Ralton</cp:lastModifiedBy>
  <cp:revision>8</cp:revision>
  <cp:lastPrinted>2017-06-01T14:09:00Z</cp:lastPrinted>
  <dcterms:created xsi:type="dcterms:W3CDTF">2017-05-31T14:25:00Z</dcterms:created>
  <dcterms:modified xsi:type="dcterms:W3CDTF">2017-06-01T14:26:00Z</dcterms:modified>
</cp:coreProperties>
</file>