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3C9" w:rsidRDefault="00A973C9" w:rsidP="00F06471">
      <w:pPr>
        <w:jc w:val="center"/>
        <w:rPr>
          <w:rFonts w:ascii="Arial" w:hAnsi="Arial" w:cs="Arial"/>
          <w:b/>
        </w:rPr>
      </w:pPr>
      <w:r>
        <w:rPr>
          <w:rFonts w:ascii="Arial" w:hAnsi="Arial" w:cs="Arial"/>
          <w:b/>
        </w:rPr>
        <w:t>Three Rivers District Council</w:t>
      </w:r>
    </w:p>
    <w:p w:rsidR="00A973C9" w:rsidRDefault="00A973C9" w:rsidP="00F06471">
      <w:pPr>
        <w:jc w:val="center"/>
        <w:rPr>
          <w:rFonts w:ascii="Arial" w:hAnsi="Arial" w:cs="Arial"/>
          <w:b/>
        </w:rPr>
      </w:pPr>
      <w:r w:rsidRPr="00EC6F2D">
        <w:rPr>
          <w:rFonts w:ascii="Arial" w:hAnsi="Arial" w:cs="Arial"/>
          <w:b/>
        </w:rPr>
        <w:t>H</w:t>
      </w:r>
      <w:r>
        <w:rPr>
          <w:rFonts w:ascii="Arial" w:hAnsi="Arial" w:cs="Arial"/>
          <w:b/>
        </w:rPr>
        <w:t xml:space="preserve">ome </w:t>
      </w:r>
      <w:r w:rsidRPr="00EC6F2D">
        <w:rPr>
          <w:rFonts w:ascii="Arial" w:hAnsi="Arial" w:cs="Arial"/>
          <w:b/>
        </w:rPr>
        <w:t>E</w:t>
      </w:r>
      <w:r>
        <w:rPr>
          <w:rFonts w:ascii="Arial" w:hAnsi="Arial" w:cs="Arial"/>
          <w:b/>
        </w:rPr>
        <w:t xml:space="preserve">nergy </w:t>
      </w:r>
      <w:r w:rsidRPr="00EC6F2D">
        <w:rPr>
          <w:rFonts w:ascii="Arial" w:hAnsi="Arial" w:cs="Arial"/>
          <w:b/>
        </w:rPr>
        <w:t>C</w:t>
      </w:r>
      <w:r>
        <w:rPr>
          <w:rFonts w:ascii="Arial" w:hAnsi="Arial" w:cs="Arial"/>
          <w:b/>
        </w:rPr>
        <w:t xml:space="preserve">onservation </w:t>
      </w:r>
      <w:r w:rsidRPr="00EC6F2D">
        <w:rPr>
          <w:rFonts w:ascii="Arial" w:hAnsi="Arial" w:cs="Arial"/>
          <w:b/>
        </w:rPr>
        <w:t>A</w:t>
      </w:r>
      <w:r>
        <w:rPr>
          <w:rFonts w:ascii="Arial" w:hAnsi="Arial" w:cs="Arial"/>
          <w:b/>
        </w:rPr>
        <w:t xml:space="preserve">uthority (HECA) </w:t>
      </w:r>
    </w:p>
    <w:p w:rsidR="00A973C9" w:rsidRPr="00EC6F2D" w:rsidRDefault="00A973C9" w:rsidP="005D0992">
      <w:pPr>
        <w:jc w:val="center"/>
        <w:rPr>
          <w:rFonts w:ascii="Arial" w:hAnsi="Arial" w:cs="Arial"/>
          <w:b/>
        </w:rPr>
      </w:pPr>
      <w:bookmarkStart w:id="0" w:name="_GoBack"/>
      <w:bookmarkEnd w:id="0"/>
      <w:r>
        <w:rPr>
          <w:rFonts w:ascii="Arial" w:hAnsi="Arial" w:cs="Arial"/>
          <w:b/>
        </w:rPr>
        <w:t>Progress Report 2017-2019</w:t>
      </w:r>
    </w:p>
    <w:p w:rsidR="00A973C9" w:rsidRPr="00EC6F2D" w:rsidRDefault="00A973C9">
      <w:pPr>
        <w:rPr>
          <w:rFonts w:ascii="Arial" w:hAnsi="Arial" w:cs="Arial"/>
        </w:rPr>
      </w:pPr>
    </w:p>
    <w:p w:rsidR="00A973C9" w:rsidRPr="005D0992" w:rsidRDefault="00A973C9" w:rsidP="004E24AF">
      <w:pPr>
        <w:rPr>
          <w:rFonts w:ascii="Arial" w:hAnsi="Arial" w:cs="Arial"/>
          <w:b/>
          <w:sz w:val="22"/>
          <w:szCs w:val="22"/>
        </w:rPr>
      </w:pPr>
      <w:r w:rsidRPr="005D0992">
        <w:rPr>
          <w:rFonts w:ascii="Arial" w:hAnsi="Arial" w:cs="Arial"/>
          <w:b/>
          <w:sz w:val="22"/>
          <w:szCs w:val="22"/>
        </w:rPr>
        <w:t>Introduction</w:t>
      </w:r>
    </w:p>
    <w:p w:rsidR="00A973C9" w:rsidRPr="005D0992" w:rsidRDefault="00A973C9" w:rsidP="004E24AF">
      <w:pPr>
        <w:rPr>
          <w:rFonts w:ascii="Arial" w:hAnsi="Arial" w:cs="Arial"/>
          <w:sz w:val="22"/>
          <w:szCs w:val="22"/>
          <w:u w:val="single"/>
        </w:rPr>
      </w:pPr>
    </w:p>
    <w:p w:rsidR="00A973C9" w:rsidRPr="005D0992" w:rsidRDefault="00A973C9" w:rsidP="004E24AF">
      <w:pPr>
        <w:rPr>
          <w:rFonts w:ascii="Arial" w:hAnsi="Arial" w:cs="Arial"/>
          <w:sz w:val="22"/>
          <w:szCs w:val="22"/>
        </w:rPr>
      </w:pPr>
      <w:r w:rsidRPr="005D0992">
        <w:rPr>
          <w:rFonts w:ascii="Arial" w:hAnsi="Arial" w:cs="Arial"/>
          <w:sz w:val="22"/>
          <w:szCs w:val="22"/>
        </w:rPr>
        <w:t>The Home Energy Conservation Act 1995 (HECA) recognises that local authorities</w:t>
      </w:r>
      <w:r w:rsidRPr="005D0992">
        <w:rPr>
          <w:rFonts w:cs="Arial"/>
          <w:sz w:val="22"/>
          <w:szCs w:val="22"/>
        </w:rPr>
        <w:t xml:space="preserve"> </w:t>
      </w:r>
      <w:r w:rsidRPr="005D0992">
        <w:rPr>
          <w:rFonts w:ascii="Arial" w:hAnsi="Arial" w:cs="Arial"/>
          <w:sz w:val="22"/>
          <w:szCs w:val="22"/>
        </w:rPr>
        <w:t xml:space="preserve">are uniquely placed to assess and improve the energy efficiency </w:t>
      </w:r>
      <w:r>
        <w:rPr>
          <w:rFonts w:ascii="Arial" w:hAnsi="Arial" w:cs="Arial"/>
          <w:sz w:val="22"/>
          <w:szCs w:val="22"/>
        </w:rPr>
        <w:t>in residential accommodation. R</w:t>
      </w:r>
      <w:r w:rsidRPr="005D0992">
        <w:rPr>
          <w:rFonts w:ascii="Arial" w:hAnsi="Arial" w:cs="Arial"/>
          <w:sz w:val="22"/>
          <w:szCs w:val="22"/>
        </w:rPr>
        <w:t>eport</w:t>
      </w:r>
      <w:r>
        <w:rPr>
          <w:rFonts w:ascii="Arial" w:hAnsi="Arial" w:cs="Arial"/>
          <w:sz w:val="22"/>
          <w:szCs w:val="22"/>
        </w:rPr>
        <w:t>s were</w:t>
      </w:r>
      <w:r w:rsidRPr="005D0992">
        <w:rPr>
          <w:rFonts w:ascii="Arial" w:hAnsi="Arial" w:cs="Arial"/>
          <w:sz w:val="22"/>
          <w:szCs w:val="22"/>
        </w:rPr>
        <w:t xml:space="preserve"> published in 2013</w:t>
      </w:r>
      <w:r>
        <w:rPr>
          <w:rFonts w:ascii="Arial" w:hAnsi="Arial" w:cs="Arial"/>
          <w:sz w:val="22"/>
          <w:szCs w:val="22"/>
        </w:rPr>
        <w:t xml:space="preserve"> and 2015</w:t>
      </w:r>
      <w:r w:rsidRPr="005D0992">
        <w:rPr>
          <w:rFonts w:ascii="Arial" w:hAnsi="Arial" w:cs="Arial"/>
          <w:sz w:val="22"/>
          <w:szCs w:val="22"/>
        </w:rPr>
        <w:t xml:space="preserve"> setting out how Three Rivers Distri</w:t>
      </w:r>
      <w:r w:rsidR="0014617B">
        <w:rPr>
          <w:rFonts w:ascii="Arial" w:hAnsi="Arial" w:cs="Arial"/>
          <w:sz w:val="22"/>
          <w:szCs w:val="22"/>
        </w:rPr>
        <w:t xml:space="preserve">ct Council would achieve this. </w:t>
      </w:r>
      <w:r w:rsidRPr="005D0992">
        <w:rPr>
          <w:rFonts w:ascii="Arial" w:hAnsi="Arial" w:cs="Arial"/>
          <w:sz w:val="22"/>
          <w:szCs w:val="22"/>
        </w:rPr>
        <w:t>A progress report is required every 2 years</w:t>
      </w:r>
      <w:r w:rsidR="0014617B">
        <w:rPr>
          <w:rFonts w:ascii="Arial" w:hAnsi="Arial" w:cs="Arial"/>
          <w:sz w:val="22"/>
          <w:szCs w:val="22"/>
        </w:rPr>
        <w:t xml:space="preserve">. </w:t>
      </w:r>
      <w:r w:rsidRPr="005D0992">
        <w:rPr>
          <w:rFonts w:ascii="Arial" w:hAnsi="Arial" w:cs="Arial"/>
          <w:sz w:val="22"/>
          <w:szCs w:val="22"/>
        </w:rPr>
        <w:t>This report sets out how Three Rivers District Council has progressed since the last HECA report</w:t>
      </w:r>
      <w:r w:rsidR="009B382F">
        <w:rPr>
          <w:rFonts w:ascii="Arial" w:hAnsi="Arial" w:cs="Arial"/>
          <w:sz w:val="22"/>
          <w:szCs w:val="22"/>
        </w:rPr>
        <w:t xml:space="preserve"> (2015-17)</w:t>
      </w:r>
      <w:r w:rsidRPr="005D0992">
        <w:rPr>
          <w:rFonts w:ascii="Arial" w:hAnsi="Arial" w:cs="Arial"/>
          <w:sz w:val="22"/>
          <w:szCs w:val="22"/>
        </w:rPr>
        <w:t xml:space="preserve"> and also sets out actions and priorities for next 2 years for home energy conservation. </w:t>
      </w:r>
    </w:p>
    <w:p w:rsidR="00A973C9" w:rsidRPr="005D0992" w:rsidRDefault="00A973C9" w:rsidP="003B3393">
      <w:pPr>
        <w:ind w:right="-514"/>
        <w:rPr>
          <w:rFonts w:ascii="Arial" w:hAnsi="Arial" w:cs="Arial"/>
          <w:sz w:val="22"/>
          <w:szCs w:val="22"/>
          <w:u w:val="single"/>
        </w:rPr>
      </w:pPr>
    </w:p>
    <w:p w:rsidR="00A973C9" w:rsidRPr="005D0992" w:rsidRDefault="00A973C9" w:rsidP="004E24AF">
      <w:pPr>
        <w:rPr>
          <w:rFonts w:ascii="Arial" w:hAnsi="Arial" w:cs="Arial"/>
          <w:sz w:val="22"/>
          <w:szCs w:val="22"/>
          <w:u w:val="single"/>
        </w:rPr>
      </w:pPr>
      <w:r w:rsidRPr="005D0992">
        <w:rPr>
          <w:rFonts w:ascii="Arial" w:hAnsi="Arial" w:cs="Arial"/>
          <w:sz w:val="22"/>
          <w:szCs w:val="22"/>
          <w:u w:val="single"/>
        </w:rPr>
        <w:t xml:space="preserve">Background </w:t>
      </w:r>
    </w:p>
    <w:p w:rsidR="00A973C9" w:rsidRPr="005D0992" w:rsidRDefault="00A973C9" w:rsidP="004E24AF">
      <w:pPr>
        <w:rPr>
          <w:rFonts w:ascii="Arial" w:hAnsi="Arial" w:cs="Arial"/>
          <w:sz w:val="22"/>
          <w:szCs w:val="22"/>
          <w:highlight w:val="yellow"/>
        </w:rPr>
      </w:pPr>
    </w:p>
    <w:p w:rsidR="00A973C9" w:rsidRPr="005D0992" w:rsidRDefault="00A973C9" w:rsidP="004E24AF">
      <w:pPr>
        <w:rPr>
          <w:rFonts w:ascii="Arial" w:hAnsi="Arial" w:cs="Arial"/>
          <w:sz w:val="22"/>
          <w:szCs w:val="22"/>
        </w:rPr>
      </w:pPr>
      <w:r w:rsidRPr="005D0992">
        <w:rPr>
          <w:rFonts w:ascii="Arial" w:hAnsi="Arial" w:cs="Arial"/>
          <w:sz w:val="22"/>
          <w:szCs w:val="22"/>
        </w:rPr>
        <w:t>Three Rivers is a blend of countryside and quiet villages mixed with bustling small towns.</w:t>
      </w:r>
    </w:p>
    <w:p w:rsidR="00A973C9" w:rsidRPr="005D0992" w:rsidRDefault="00A973C9" w:rsidP="004E24AF">
      <w:pPr>
        <w:rPr>
          <w:rFonts w:ascii="Arial" w:hAnsi="Arial" w:cs="Arial"/>
          <w:sz w:val="22"/>
          <w:szCs w:val="22"/>
        </w:rPr>
      </w:pPr>
    </w:p>
    <w:p w:rsidR="00A973C9" w:rsidRPr="005D0992" w:rsidRDefault="00A973C9" w:rsidP="004E24AF">
      <w:pPr>
        <w:rPr>
          <w:rFonts w:ascii="Arial" w:hAnsi="Arial" w:cs="Arial"/>
          <w:sz w:val="22"/>
          <w:szCs w:val="22"/>
        </w:rPr>
      </w:pPr>
      <w:r w:rsidRPr="005D0992">
        <w:rPr>
          <w:rFonts w:ascii="Arial" w:hAnsi="Arial" w:cs="Arial"/>
          <w:sz w:val="22"/>
          <w:szCs w:val="22"/>
        </w:rPr>
        <w:t>A majority of the housing in the area is either made up of old original small towns and villages or is part of two major development phases</w:t>
      </w:r>
      <w:r>
        <w:rPr>
          <w:rFonts w:ascii="Arial" w:hAnsi="Arial" w:cs="Arial"/>
          <w:sz w:val="22"/>
          <w:szCs w:val="22"/>
        </w:rPr>
        <w:t>,</w:t>
      </w:r>
      <w:r w:rsidRPr="005D0992">
        <w:rPr>
          <w:rFonts w:ascii="Arial" w:hAnsi="Arial" w:cs="Arial"/>
          <w:sz w:val="22"/>
          <w:szCs w:val="22"/>
        </w:rPr>
        <w:t xml:space="preserve"> one of which was the building of ‘Metro-land’ homes in the 1920s and 1930s when the Metropolitan Railway came to Moor Park, Rickmansworth, Chorleywood, and then Croxley Green and a similar style of homes in Oxhey Hall. The other major development</w:t>
      </w:r>
      <w:r>
        <w:rPr>
          <w:rFonts w:ascii="Arial" w:hAnsi="Arial" w:cs="Arial"/>
          <w:sz w:val="22"/>
          <w:szCs w:val="22"/>
        </w:rPr>
        <w:t>,</w:t>
      </w:r>
      <w:r w:rsidRPr="005D0992">
        <w:rPr>
          <w:rFonts w:ascii="Arial" w:hAnsi="Arial" w:cs="Arial"/>
          <w:sz w:val="22"/>
          <w:szCs w:val="22"/>
        </w:rPr>
        <w:t xml:space="preserve"> </w:t>
      </w:r>
      <w:smartTag w:uri="urn:schemas-microsoft-com:office:smarttags" w:element="place">
        <w:r w:rsidRPr="005D0992">
          <w:rPr>
            <w:rFonts w:ascii="Arial" w:hAnsi="Arial" w:cs="Arial"/>
            <w:sz w:val="22"/>
            <w:szCs w:val="22"/>
          </w:rPr>
          <w:t>South Oxhey</w:t>
        </w:r>
      </w:smartTag>
      <w:r w:rsidRPr="005D0992">
        <w:rPr>
          <w:rFonts w:ascii="Arial" w:hAnsi="Arial" w:cs="Arial"/>
          <w:sz w:val="22"/>
          <w:szCs w:val="22"/>
        </w:rPr>
        <w:t>, was built by the London County Council in the 1950s and 60s.  More recently</w:t>
      </w:r>
      <w:r>
        <w:rPr>
          <w:rFonts w:ascii="Arial" w:hAnsi="Arial" w:cs="Arial"/>
          <w:sz w:val="22"/>
          <w:szCs w:val="22"/>
        </w:rPr>
        <w:t>,</w:t>
      </w:r>
      <w:r w:rsidRPr="005D0992">
        <w:rPr>
          <w:rFonts w:ascii="Arial" w:hAnsi="Arial" w:cs="Arial"/>
          <w:sz w:val="22"/>
          <w:szCs w:val="22"/>
        </w:rPr>
        <w:t xml:space="preserve"> old industrial brownfield sites have been converted and redeveloped with modern homes and there have been gradual additions and infill to settlements. </w:t>
      </w:r>
    </w:p>
    <w:p w:rsidR="00A973C9" w:rsidRPr="005D0992" w:rsidRDefault="00A973C9" w:rsidP="004E24AF">
      <w:pPr>
        <w:rPr>
          <w:rFonts w:ascii="Arial" w:hAnsi="Arial" w:cs="Arial"/>
          <w:sz w:val="22"/>
          <w:szCs w:val="22"/>
        </w:rPr>
      </w:pPr>
    </w:p>
    <w:p w:rsidR="00A973C9" w:rsidRPr="005D0992" w:rsidRDefault="00A973C9" w:rsidP="004E24AF">
      <w:pPr>
        <w:rPr>
          <w:rFonts w:ascii="Arial" w:hAnsi="Arial" w:cs="Arial"/>
          <w:sz w:val="22"/>
          <w:szCs w:val="22"/>
          <w:u w:val="single"/>
        </w:rPr>
      </w:pPr>
      <w:r w:rsidRPr="005D0992">
        <w:rPr>
          <w:rFonts w:ascii="Arial" w:hAnsi="Arial" w:cs="Arial"/>
          <w:sz w:val="22"/>
          <w:szCs w:val="22"/>
          <w:u w:val="single"/>
        </w:rPr>
        <w:t>Strategic Overview</w:t>
      </w:r>
    </w:p>
    <w:p w:rsidR="00A973C9" w:rsidRPr="005D0992" w:rsidRDefault="00A973C9" w:rsidP="004E24AF">
      <w:pPr>
        <w:rPr>
          <w:rFonts w:ascii="Arial" w:hAnsi="Arial" w:cs="Arial"/>
          <w:sz w:val="22"/>
          <w:szCs w:val="22"/>
        </w:rPr>
      </w:pPr>
    </w:p>
    <w:p w:rsidR="00820586" w:rsidRPr="00820586" w:rsidRDefault="001944A8" w:rsidP="00820586">
      <w:pPr>
        <w:autoSpaceDE w:val="0"/>
        <w:autoSpaceDN w:val="0"/>
        <w:adjustRightInd w:val="0"/>
        <w:rPr>
          <w:rFonts w:ascii="Arial" w:hAnsi="Arial" w:cs="Arial"/>
          <w:bCs/>
          <w:sz w:val="22"/>
          <w:szCs w:val="22"/>
        </w:rPr>
      </w:pPr>
      <w:r>
        <w:rPr>
          <w:rFonts w:ascii="Arial" w:hAnsi="Arial" w:cs="Arial"/>
          <w:sz w:val="22"/>
          <w:szCs w:val="22"/>
        </w:rPr>
        <w:t xml:space="preserve">One of the four major thematic areas of activity </w:t>
      </w:r>
      <w:r w:rsidR="00A973C9" w:rsidRPr="005D0992">
        <w:rPr>
          <w:rFonts w:ascii="Arial" w:hAnsi="Arial" w:cs="Arial"/>
          <w:sz w:val="22"/>
          <w:szCs w:val="22"/>
        </w:rPr>
        <w:t xml:space="preserve">in the Council’s Strategic Plan </w:t>
      </w:r>
      <w:r w:rsidRPr="001944A8">
        <w:rPr>
          <w:rFonts w:ascii="Arial" w:hAnsi="Arial" w:cs="Arial"/>
          <w:sz w:val="22"/>
          <w:szCs w:val="22"/>
        </w:rPr>
        <w:t>for 2016-19</w:t>
      </w:r>
      <w:r>
        <w:rPr>
          <w:rFonts w:ascii="Arial" w:hAnsi="Arial" w:cs="Arial"/>
          <w:sz w:val="22"/>
          <w:szCs w:val="22"/>
        </w:rPr>
        <w:t xml:space="preserve"> is</w:t>
      </w:r>
      <w:r w:rsidR="00A973C9" w:rsidRPr="005D0992">
        <w:rPr>
          <w:rFonts w:ascii="Arial" w:hAnsi="Arial" w:cs="Arial"/>
          <w:sz w:val="22"/>
          <w:szCs w:val="22"/>
        </w:rPr>
        <w:t xml:space="preserve"> Clean and Green – </w:t>
      </w:r>
      <w:r>
        <w:rPr>
          <w:rFonts w:ascii="Arial" w:hAnsi="Arial" w:cs="Arial"/>
          <w:sz w:val="22"/>
          <w:szCs w:val="22"/>
        </w:rPr>
        <w:t xml:space="preserve">we want </w:t>
      </w:r>
      <w:r w:rsidR="00A973C9" w:rsidRPr="005D0992">
        <w:rPr>
          <w:rFonts w:ascii="Arial" w:hAnsi="Arial" w:cs="Arial"/>
          <w:sz w:val="22"/>
          <w:szCs w:val="22"/>
        </w:rPr>
        <w:t xml:space="preserve">to maintain a high quality local environment </w:t>
      </w:r>
      <w:r w:rsidR="00A973C9" w:rsidRPr="00820586">
        <w:rPr>
          <w:rFonts w:ascii="Arial" w:hAnsi="Arial" w:cs="Arial"/>
          <w:sz w:val="22"/>
          <w:szCs w:val="22"/>
        </w:rPr>
        <w:t>and r</w:t>
      </w:r>
      <w:r w:rsidRPr="00820586">
        <w:rPr>
          <w:rFonts w:ascii="Arial" w:hAnsi="Arial" w:cs="Arial"/>
          <w:sz w:val="22"/>
          <w:szCs w:val="22"/>
        </w:rPr>
        <w:t>educe the eco-footprint of the d</w:t>
      </w:r>
      <w:r w:rsidR="0014617B">
        <w:rPr>
          <w:rFonts w:ascii="Arial" w:hAnsi="Arial" w:cs="Arial"/>
          <w:sz w:val="22"/>
          <w:szCs w:val="22"/>
        </w:rPr>
        <w:t xml:space="preserve">istrict. </w:t>
      </w:r>
      <w:r w:rsidR="00A973C9" w:rsidRPr="00820586">
        <w:rPr>
          <w:rFonts w:ascii="Arial" w:hAnsi="Arial" w:cs="Arial"/>
          <w:sz w:val="22"/>
          <w:szCs w:val="22"/>
        </w:rPr>
        <w:t>Specifically, this includes</w:t>
      </w:r>
      <w:r w:rsidR="00820586" w:rsidRPr="00820586">
        <w:rPr>
          <w:rFonts w:ascii="Arial" w:hAnsi="Arial" w:cs="Arial"/>
          <w:sz w:val="22"/>
          <w:szCs w:val="22"/>
        </w:rPr>
        <w:t xml:space="preserve"> an objective to  </w:t>
      </w:r>
      <w:r w:rsidR="00A973C9" w:rsidRPr="00820586">
        <w:rPr>
          <w:rFonts w:ascii="Arial" w:hAnsi="Arial" w:cs="Arial"/>
          <w:sz w:val="22"/>
          <w:szCs w:val="22"/>
        </w:rPr>
        <w:t xml:space="preserve"> </w:t>
      </w:r>
      <w:r w:rsidR="00820586" w:rsidRPr="00820586">
        <w:rPr>
          <w:rFonts w:ascii="Arial" w:hAnsi="Arial" w:cs="Arial"/>
          <w:bCs/>
          <w:sz w:val="22"/>
          <w:szCs w:val="22"/>
        </w:rPr>
        <w:t>minimise energy consumption, reduce CO</w:t>
      </w:r>
      <w:r w:rsidR="00820586" w:rsidRPr="00820586">
        <w:rPr>
          <w:rFonts w:ascii="Arial" w:hAnsi="Arial" w:cs="Arial"/>
          <w:bCs/>
          <w:sz w:val="14"/>
          <w:szCs w:val="14"/>
        </w:rPr>
        <w:t>2</w:t>
      </w:r>
      <w:r w:rsidR="00820586" w:rsidRPr="00820586">
        <w:rPr>
          <w:rFonts w:ascii="Arial" w:hAnsi="Arial" w:cs="Arial"/>
          <w:bCs/>
          <w:sz w:val="22"/>
          <w:szCs w:val="22"/>
        </w:rPr>
        <w:t xml:space="preserve"> emissions and increase the use of</w:t>
      </w:r>
    </w:p>
    <w:p w:rsidR="00820586" w:rsidRPr="00820586" w:rsidRDefault="00820586" w:rsidP="00820586">
      <w:pPr>
        <w:rPr>
          <w:rFonts w:ascii="Arial" w:hAnsi="Arial" w:cs="Arial"/>
          <w:bCs/>
          <w:sz w:val="22"/>
          <w:szCs w:val="22"/>
        </w:rPr>
      </w:pPr>
      <w:r w:rsidRPr="00820586">
        <w:rPr>
          <w:rFonts w:ascii="Arial" w:hAnsi="Arial" w:cs="Arial"/>
          <w:bCs/>
          <w:sz w:val="22"/>
          <w:szCs w:val="22"/>
        </w:rPr>
        <w:t>renewable energy.</w:t>
      </w:r>
    </w:p>
    <w:p w:rsidR="00A973C9" w:rsidRPr="005D0992" w:rsidRDefault="00A973C9" w:rsidP="00FF6F1F">
      <w:pPr>
        <w:tabs>
          <w:tab w:val="left" w:pos="1924"/>
        </w:tabs>
        <w:rPr>
          <w:rFonts w:ascii="Arial" w:hAnsi="Arial" w:cs="Arial"/>
          <w:b/>
          <w:i/>
          <w:sz w:val="22"/>
          <w:szCs w:val="22"/>
        </w:rPr>
      </w:pPr>
    </w:p>
    <w:p w:rsidR="00A973C9" w:rsidRPr="005D0992" w:rsidRDefault="00A973C9" w:rsidP="00F06471">
      <w:pPr>
        <w:rPr>
          <w:rFonts w:ascii="Arial" w:hAnsi="Arial" w:cs="Arial"/>
          <w:sz w:val="22"/>
          <w:szCs w:val="22"/>
        </w:rPr>
      </w:pPr>
      <w:r w:rsidRPr="005D0992">
        <w:rPr>
          <w:rFonts w:ascii="Arial" w:hAnsi="Arial" w:cs="Arial"/>
          <w:sz w:val="22"/>
          <w:szCs w:val="22"/>
        </w:rPr>
        <w:t xml:space="preserve">The Three Rivers Housing Strategy seeks to improve the standard of housing including improving energy efficiency and affordable warmth across all tenures. </w:t>
      </w:r>
    </w:p>
    <w:p w:rsidR="00A973C9" w:rsidRPr="005D0992" w:rsidRDefault="00A973C9" w:rsidP="00F06471">
      <w:pPr>
        <w:rPr>
          <w:rFonts w:ascii="Arial" w:hAnsi="Arial" w:cs="Arial"/>
          <w:sz w:val="22"/>
          <w:szCs w:val="22"/>
        </w:rPr>
      </w:pPr>
    </w:p>
    <w:p w:rsidR="00A973C9" w:rsidRPr="005D0992" w:rsidRDefault="00A973C9" w:rsidP="00F06471">
      <w:pPr>
        <w:rPr>
          <w:rFonts w:ascii="Arial" w:hAnsi="Arial" w:cs="Arial"/>
          <w:sz w:val="22"/>
          <w:szCs w:val="22"/>
        </w:rPr>
      </w:pPr>
      <w:r w:rsidRPr="005D0992">
        <w:rPr>
          <w:rFonts w:ascii="Arial" w:hAnsi="Arial" w:cs="Arial"/>
          <w:sz w:val="22"/>
          <w:szCs w:val="22"/>
        </w:rPr>
        <w:t>The Council’s Green Expectations Strategy (March 2015) seeks to tackle the effects and impacts of climate change and to improve sustainability and the environment.  The strategy includes objectives to:</w:t>
      </w:r>
    </w:p>
    <w:p w:rsidR="00A973C9" w:rsidRPr="005D0992" w:rsidRDefault="00A973C9" w:rsidP="00FF6F1F">
      <w:pPr>
        <w:tabs>
          <w:tab w:val="left" w:pos="1924"/>
        </w:tabs>
        <w:rPr>
          <w:rFonts w:ascii="Arial" w:hAnsi="Arial" w:cs="Arial"/>
          <w:b/>
          <w:i/>
          <w:sz w:val="22"/>
          <w:szCs w:val="22"/>
        </w:rPr>
      </w:pPr>
    </w:p>
    <w:p w:rsidR="00A973C9" w:rsidRPr="005D0992" w:rsidRDefault="00A973C9" w:rsidP="00F06471">
      <w:pPr>
        <w:numPr>
          <w:ilvl w:val="0"/>
          <w:numId w:val="15"/>
        </w:numPr>
        <w:tabs>
          <w:tab w:val="left" w:pos="1924"/>
        </w:tabs>
        <w:rPr>
          <w:rFonts w:ascii="Arial" w:hAnsi="Arial" w:cs="Arial"/>
          <w:sz w:val="22"/>
          <w:szCs w:val="22"/>
        </w:rPr>
      </w:pPr>
      <w:r w:rsidRPr="005D0992">
        <w:rPr>
          <w:rFonts w:ascii="Arial" w:hAnsi="Arial" w:cs="Arial"/>
          <w:sz w:val="22"/>
          <w:szCs w:val="22"/>
        </w:rPr>
        <w:t>Minimise greenhouse gas emissions from new developments in the District in line with our Local Plan</w:t>
      </w:r>
    </w:p>
    <w:p w:rsidR="00A973C9" w:rsidRDefault="00A973C9" w:rsidP="00CD5FA5">
      <w:pPr>
        <w:numPr>
          <w:ilvl w:val="0"/>
          <w:numId w:val="15"/>
        </w:numPr>
        <w:tabs>
          <w:tab w:val="left" w:pos="1924"/>
        </w:tabs>
        <w:rPr>
          <w:rFonts w:ascii="Arial" w:hAnsi="Arial" w:cs="Arial"/>
          <w:sz w:val="22"/>
          <w:szCs w:val="22"/>
        </w:rPr>
      </w:pPr>
      <w:r w:rsidRPr="005D0992">
        <w:rPr>
          <w:rFonts w:ascii="Arial" w:hAnsi="Arial" w:cs="Arial"/>
          <w:sz w:val="22"/>
          <w:szCs w:val="22"/>
        </w:rPr>
        <w:t>Encourage the reduction of greenhouse gas emissions from existing properties in the District in line with our Home Energy Conservation Act priorities.</w:t>
      </w:r>
    </w:p>
    <w:p w:rsidR="00A973C9" w:rsidRPr="005D0992" w:rsidRDefault="00A973C9" w:rsidP="00B67E97">
      <w:pPr>
        <w:tabs>
          <w:tab w:val="left" w:pos="1924"/>
        </w:tabs>
        <w:ind w:left="360"/>
        <w:rPr>
          <w:rFonts w:ascii="Arial" w:hAnsi="Arial" w:cs="Arial"/>
          <w:sz w:val="22"/>
          <w:szCs w:val="22"/>
        </w:rPr>
      </w:pPr>
    </w:p>
    <w:p w:rsidR="00A973C9" w:rsidRPr="005D0992" w:rsidRDefault="00A973C9" w:rsidP="00FF6F1F">
      <w:pPr>
        <w:tabs>
          <w:tab w:val="left" w:pos="1924"/>
        </w:tabs>
        <w:rPr>
          <w:rFonts w:ascii="Arial" w:hAnsi="Arial" w:cs="Arial"/>
          <w:sz w:val="22"/>
          <w:szCs w:val="22"/>
        </w:rPr>
      </w:pPr>
      <w:r w:rsidRPr="005D0992">
        <w:rPr>
          <w:rFonts w:ascii="Arial" w:hAnsi="Arial" w:cs="Arial"/>
          <w:sz w:val="22"/>
          <w:szCs w:val="22"/>
        </w:rPr>
        <w:t xml:space="preserve">Further to the strategy, the Council has committed to taking action in a changing climate by signing the Local Government Association Climate Local Commitment.  </w:t>
      </w:r>
    </w:p>
    <w:p w:rsidR="00A973C9" w:rsidRPr="005D0992" w:rsidRDefault="00A973C9" w:rsidP="004E24AF">
      <w:pPr>
        <w:rPr>
          <w:rFonts w:ascii="Arial" w:hAnsi="Arial" w:cs="Arial"/>
          <w:sz w:val="22"/>
          <w:szCs w:val="22"/>
          <w:highlight w:val="yellow"/>
        </w:rPr>
      </w:pPr>
    </w:p>
    <w:p w:rsidR="00A973C9" w:rsidRPr="005D0992" w:rsidRDefault="00A973C9" w:rsidP="004E24AF">
      <w:pPr>
        <w:rPr>
          <w:rFonts w:ascii="Arial" w:hAnsi="Arial" w:cs="Arial"/>
          <w:b/>
          <w:sz w:val="22"/>
          <w:szCs w:val="22"/>
        </w:rPr>
      </w:pPr>
      <w:r>
        <w:rPr>
          <w:rFonts w:ascii="Arial" w:hAnsi="Arial" w:cs="Arial"/>
          <w:b/>
          <w:sz w:val="22"/>
          <w:szCs w:val="22"/>
        </w:rPr>
        <w:br w:type="page"/>
      </w:r>
      <w:r w:rsidRPr="005D0992">
        <w:rPr>
          <w:rFonts w:ascii="Arial" w:hAnsi="Arial" w:cs="Arial"/>
          <w:b/>
          <w:sz w:val="22"/>
          <w:szCs w:val="22"/>
        </w:rPr>
        <w:lastRenderedPageBreak/>
        <w:t xml:space="preserve">Three Rivers Home Energy Efficiency Progress </w:t>
      </w:r>
    </w:p>
    <w:p w:rsidR="00A973C9" w:rsidRPr="005D0992" w:rsidRDefault="00A973C9" w:rsidP="004E24AF">
      <w:pPr>
        <w:rPr>
          <w:rFonts w:ascii="Arial" w:hAnsi="Arial" w:cs="Arial"/>
          <w:sz w:val="22"/>
          <w:szCs w:val="22"/>
          <w:highlight w:val="yellow"/>
          <w:u w:val="single"/>
        </w:rPr>
      </w:pPr>
    </w:p>
    <w:p w:rsidR="00A973C9" w:rsidRPr="005D0992" w:rsidRDefault="00A973C9" w:rsidP="000B5ADF">
      <w:pPr>
        <w:rPr>
          <w:rFonts w:ascii="Arial" w:hAnsi="Arial" w:cs="Arial"/>
          <w:sz w:val="22"/>
          <w:szCs w:val="22"/>
          <w:u w:val="single"/>
        </w:rPr>
      </w:pPr>
      <w:r w:rsidRPr="005D0992">
        <w:rPr>
          <w:rFonts w:ascii="Arial" w:hAnsi="Arial" w:cs="Arial"/>
          <w:sz w:val="22"/>
          <w:szCs w:val="22"/>
          <w:u w:val="single"/>
        </w:rPr>
        <w:t xml:space="preserve">Carbon </w:t>
      </w:r>
      <w:r w:rsidRPr="00B67E97">
        <w:rPr>
          <w:rFonts w:ascii="Arial" w:hAnsi="Arial" w:cs="Arial"/>
          <w:sz w:val="22"/>
          <w:szCs w:val="22"/>
          <w:u w:val="single"/>
        </w:rPr>
        <w:t>Dioxide (CO</w:t>
      </w:r>
      <w:r w:rsidRPr="00B67E97">
        <w:rPr>
          <w:rFonts w:ascii="Arial" w:hAnsi="Arial" w:cs="Arial"/>
          <w:sz w:val="22"/>
          <w:szCs w:val="22"/>
          <w:u w:val="single"/>
          <w:vertAlign w:val="subscript"/>
        </w:rPr>
        <w:t>2</w:t>
      </w:r>
      <w:r w:rsidRPr="00B67E97">
        <w:rPr>
          <w:rFonts w:ascii="Arial" w:hAnsi="Arial" w:cs="Arial"/>
          <w:sz w:val="22"/>
          <w:szCs w:val="22"/>
          <w:u w:val="single"/>
        </w:rPr>
        <w:t>)</w:t>
      </w:r>
      <w:r w:rsidRPr="00B67E97">
        <w:rPr>
          <w:rFonts w:ascii="Arial" w:hAnsi="Arial" w:cs="Arial"/>
          <w:sz w:val="22"/>
          <w:szCs w:val="22"/>
          <w:u w:val="single"/>
          <w:vertAlign w:val="subscript"/>
        </w:rPr>
        <w:t xml:space="preserve"> </w:t>
      </w:r>
      <w:r w:rsidRPr="00B67E97">
        <w:rPr>
          <w:rFonts w:ascii="Arial" w:hAnsi="Arial" w:cs="Arial"/>
          <w:sz w:val="22"/>
          <w:szCs w:val="22"/>
          <w:u w:val="single"/>
        </w:rPr>
        <w:t>Emissions</w:t>
      </w:r>
    </w:p>
    <w:p w:rsidR="00A973C9" w:rsidRPr="005D0992" w:rsidRDefault="00A973C9" w:rsidP="000B5ADF">
      <w:pPr>
        <w:rPr>
          <w:rFonts w:ascii="Arial" w:hAnsi="Arial" w:cs="Arial"/>
          <w:sz w:val="22"/>
          <w:szCs w:val="22"/>
          <w:u w:val="single"/>
        </w:rPr>
      </w:pPr>
    </w:p>
    <w:p w:rsidR="00A973C9" w:rsidRPr="00781BF4" w:rsidRDefault="00A973C9" w:rsidP="000B5ADF">
      <w:pPr>
        <w:rPr>
          <w:rFonts w:ascii="Arial" w:hAnsi="Arial" w:cs="Arial"/>
          <w:sz w:val="22"/>
          <w:szCs w:val="22"/>
        </w:rPr>
      </w:pPr>
      <w:r w:rsidRPr="00781BF4">
        <w:rPr>
          <w:rFonts w:ascii="Arial" w:hAnsi="Arial" w:cs="Arial"/>
          <w:sz w:val="22"/>
          <w:szCs w:val="22"/>
        </w:rPr>
        <w:t>The latest data for 201</w:t>
      </w:r>
      <w:r w:rsidR="00D10461" w:rsidRPr="00781BF4">
        <w:rPr>
          <w:rFonts w:ascii="Arial" w:hAnsi="Arial" w:cs="Arial"/>
          <w:sz w:val="22"/>
          <w:szCs w:val="22"/>
        </w:rPr>
        <w:t>4</w:t>
      </w:r>
      <w:r w:rsidRPr="00781BF4">
        <w:rPr>
          <w:rStyle w:val="FootnoteReference"/>
          <w:rFonts w:ascii="Arial" w:hAnsi="Arial" w:cs="Arial"/>
          <w:sz w:val="22"/>
          <w:szCs w:val="22"/>
        </w:rPr>
        <w:footnoteReference w:id="1"/>
      </w:r>
      <w:r w:rsidRPr="00781BF4">
        <w:rPr>
          <w:rFonts w:ascii="Arial" w:hAnsi="Arial" w:cs="Arial"/>
          <w:sz w:val="22"/>
          <w:szCs w:val="22"/>
        </w:rPr>
        <w:t xml:space="preserve"> indicates that the per capita domestic CO</w:t>
      </w:r>
      <w:r w:rsidRPr="00781BF4">
        <w:rPr>
          <w:rFonts w:ascii="Arial" w:hAnsi="Arial" w:cs="Arial"/>
          <w:sz w:val="22"/>
          <w:szCs w:val="22"/>
          <w:vertAlign w:val="subscript"/>
        </w:rPr>
        <w:t>2</w:t>
      </w:r>
      <w:r w:rsidRPr="00781BF4">
        <w:rPr>
          <w:rFonts w:ascii="Arial" w:hAnsi="Arial" w:cs="Arial"/>
          <w:sz w:val="22"/>
          <w:szCs w:val="22"/>
        </w:rPr>
        <w:t xml:space="preserve"> emissio</w:t>
      </w:r>
      <w:r w:rsidR="00D10461" w:rsidRPr="00781BF4">
        <w:rPr>
          <w:rFonts w:ascii="Arial" w:hAnsi="Arial" w:cs="Arial"/>
          <w:sz w:val="22"/>
          <w:szCs w:val="22"/>
        </w:rPr>
        <w:t>ns rate for Three Rivers was 1.95</w:t>
      </w:r>
      <w:r w:rsidR="0014617B">
        <w:rPr>
          <w:rFonts w:ascii="Arial" w:hAnsi="Arial" w:cs="Arial"/>
          <w:sz w:val="22"/>
          <w:szCs w:val="22"/>
        </w:rPr>
        <w:t xml:space="preserve"> tonnes per person. </w:t>
      </w:r>
      <w:r w:rsidRPr="00781BF4">
        <w:rPr>
          <w:rFonts w:ascii="Arial" w:hAnsi="Arial" w:cs="Arial"/>
          <w:sz w:val="22"/>
          <w:szCs w:val="22"/>
        </w:rPr>
        <w:t>This is a fall</w:t>
      </w:r>
      <w:r w:rsidR="00DB3AF4" w:rsidRPr="00781BF4">
        <w:rPr>
          <w:rFonts w:ascii="Arial" w:hAnsi="Arial" w:cs="Arial"/>
          <w:sz w:val="22"/>
          <w:szCs w:val="22"/>
        </w:rPr>
        <w:t xml:space="preserve"> of around 17%</w:t>
      </w:r>
      <w:r w:rsidRPr="00781BF4">
        <w:rPr>
          <w:rFonts w:ascii="Arial" w:hAnsi="Arial" w:cs="Arial"/>
          <w:sz w:val="22"/>
          <w:szCs w:val="22"/>
        </w:rPr>
        <w:t xml:space="preserve"> </w:t>
      </w:r>
      <w:r w:rsidR="00D10461" w:rsidRPr="00781BF4">
        <w:rPr>
          <w:rFonts w:ascii="Arial" w:hAnsi="Arial" w:cs="Arial"/>
          <w:sz w:val="22"/>
          <w:szCs w:val="22"/>
        </w:rPr>
        <w:t>from 2.4 tonnes</w:t>
      </w:r>
      <w:r w:rsidR="00DB3AF4" w:rsidRPr="00781BF4">
        <w:rPr>
          <w:rFonts w:ascii="Arial" w:hAnsi="Arial" w:cs="Arial"/>
          <w:sz w:val="22"/>
          <w:szCs w:val="22"/>
        </w:rPr>
        <w:t xml:space="preserve"> the previous year,</w:t>
      </w:r>
      <w:r w:rsidRPr="00781BF4">
        <w:rPr>
          <w:rFonts w:ascii="Arial" w:hAnsi="Arial" w:cs="Arial"/>
          <w:sz w:val="22"/>
          <w:szCs w:val="22"/>
        </w:rPr>
        <w:t xml:space="preserve"> in line with the national trend</w:t>
      </w:r>
      <w:r w:rsidR="00DB3AF4" w:rsidRPr="00781BF4">
        <w:rPr>
          <w:rFonts w:ascii="Arial" w:hAnsi="Arial" w:cs="Arial"/>
          <w:sz w:val="22"/>
          <w:szCs w:val="22"/>
        </w:rPr>
        <w:t xml:space="preserve">, due to a warmer winter requiring less heating and also </w:t>
      </w:r>
      <w:r w:rsidR="00781BF4">
        <w:rPr>
          <w:rFonts w:ascii="Arial" w:hAnsi="Arial" w:cs="Arial"/>
          <w:sz w:val="22"/>
          <w:szCs w:val="22"/>
        </w:rPr>
        <w:t xml:space="preserve">less </w:t>
      </w:r>
      <w:r w:rsidR="00DB3AF4" w:rsidRPr="00781BF4">
        <w:rPr>
          <w:rFonts w:ascii="Arial" w:hAnsi="Arial" w:cs="Arial"/>
          <w:sz w:val="22"/>
          <w:szCs w:val="22"/>
        </w:rPr>
        <w:t xml:space="preserve">coal </w:t>
      </w:r>
      <w:r w:rsidR="00781BF4" w:rsidRPr="00781BF4">
        <w:rPr>
          <w:rFonts w:ascii="Arial" w:hAnsi="Arial" w:cs="Arial"/>
          <w:sz w:val="22"/>
          <w:szCs w:val="22"/>
        </w:rPr>
        <w:t>for electricity generation</w:t>
      </w:r>
      <w:r w:rsidR="00634F10">
        <w:rPr>
          <w:rFonts w:ascii="Arial" w:hAnsi="Arial" w:cs="Arial"/>
          <w:sz w:val="22"/>
          <w:szCs w:val="22"/>
        </w:rPr>
        <w:t xml:space="preserve"> in 2014</w:t>
      </w:r>
      <w:r w:rsidR="00DB3AF4" w:rsidRPr="00781BF4">
        <w:rPr>
          <w:rStyle w:val="FootnoteReference"/>
          <w:rFonts w:ascii="Arial" w:hAnsi="Arial" w:cs="Arial"/>
          <w:sz w:val="22"/>
          <w:szCs w:val="22"/>
        </w:rPr>
        <w:footnoteReference w:id="2"/>
      </w:r>
      <w:r w:rsidR="00DB3AF4" w:rsidRPr="00781BF4">
        <w:rPr>
          <w:rFonts w:ascii="Arial" w:hAnsi="Arial" w:cs="Arial"/>
          <w:sz w:val="22"/>
          <w:szCs w:val="22"/>
        </w:rPr>
        <w:t>. Emissions are nearly 30</w:t>
      </w:r>
      <w:r w:rsidRPr="00781BF4">
        <w:rPr>
          <w:rFonts w:ascii="Arial" w:hAnsi="Arial" w:cs="Arial"/>
          <w:sz w:val="22"/>
          <w:szCs w:val="22"/>
        </w:rPr>
        <w:t>% lower per capita than those reported in 2005 but are</w:t>
      </w:r>
      <w:r w:rsidR="00715672">
        <w:rPr>
          <w:rFonts w:ascii="Arial" w:hAnsi="Arial" w:cs="Arial"/>
          <w:sz w:val="22"/>
          <w:szCs w:val="22"/>
        </w:rPr>
        <w:t xml:space="preserve"> slightly</w:t>
      </w:r>
      <w:r w:rsidRPr="00781BF4">
        <w:rPr>
          <w:rFonts w:ascii="Arial" w:hAnsi="Arial" w:cs="Arial"/>
          <w:sz w:val="22"/>
          <w:szCs w:val="22"/>
        </w:rPr>
        <w:t xml:space="preserve"> higher than the national and Her</w:t>
      </w:r>
      <w:r w:rsidR="00F8268A" w:rsidRPr="00781BF4">
        <w:rPr>
          <w:rFonts w:ascii="Arial" w:hAnsi="Arial" w:cs="Arial"/>
          <w:sz w:val="22"/>
          <w:szCs w:val="22"/>
        </w:rPr>
        <w:t>tfordshire averages of 1.7</w:t>
      </w:r>
      <w:r w:rsidR="0014617B">
        <w:rPr>
          <w:rFonts w:ascii="Arial" w:hAnsi="Arial" w:cs="Arial"/>
          <w:sz w:val="22"/>
          <w:szCs w:val="22"/>
        </w:rPr>
        <w:t xml:space="preserve"> tonnes per person</w:t>
      </w:r>
      <w:r w:rsidRPr="00781BF4">
        <w:rPr>
          <w:rFonts w:ascii="Arial" w:hAnsi="Arial" w:cs="Arial"/>
          <w:sz w:val="22"/>
          <w:szCs w:val="22"/>
        </w:rPr>
        <w:t>. This may in part be due to the type of properties in the District, with a higher than average proportion detached or semi-detached and a smaller proportion of flats or terraces</w:t>
      </w:r>
      <w:r w:rsidRPr="00781BF4">
        <w:rPr>
          <w:rStyle w:val="FootnoteReference"/>
          <w:rFonts w:ascii="Arial" w:hAnsi="Arial" w:cs="Arial"/>
          <w:sz w:val="22"/>
          <w:szCs w:val="22"/>
        </w:rPr>
        <w:footnoteReference w:id="3"/>
      </w:r>
      <w:r w:rsidRPr="00781BF4">
        <w:rPr>
          <w:rFonts w:ascii="Arial" w:hAnsi="Arial" w:cs="Arial"/>
          <w:sz w:val="22"/>
          <w:szCs w:val="22"/>
        </w:rPr>
        <w:t>.</w:t>
      </w:r>
    </w:p>
    <w:p w:rsidR="00A973C9" w:rsidRPr="005D0992" w:rsidRDefault="00A973C9" w:rsidP="000B5ADF">
      <w:pPr>
        <w:rPr>
          <w:rFonts w:ascii="Arial" w:hAnsi="Arial" w:cs="Arial"/>
          <w:sz w:val="22"/>
          <w:szCs w:val="22"/>
        </w:rPr>
      </w:pPr>
    </w:p>
    <w:p w:rsidR="00A973C9" w:rsidRPr="005D0992" w:rsidRDefault="00A973C9" w:rsidP="000B5ADF">
      <w:pPr>
        <w:rPr>
          <w:rFonts w:ascii="Arial" w:hAnsi="Arial" w:cs="Arial"/>
          <w:sz w:val="22"/>
          <w:szCs w:val="22"/>
          <w:u w:val="single"/>
        </w:rPr>
      </w:pPr>
      <w:r w:rsidRPr="005D0992">
        <w:rPr>
          <w:rFonts w:ascii="Arial" w:hAnsi="Arial" w:cs="Arial"/>
          <w:sz w:val="22"/>
          <w:szCs w:val="22"/>
          <w:u w:val="single"/>
        </w:rPr>
        <w:t>Fuel Poverty</w:t>
      </w:r>
    </w:p>
    <w:p w:rsidR="00A973C9" w:rsidRPr="005D0992" w:rsidRDefault="00A973C9" w:rsidP="000B5ADF">
      <w:pPr>
        <w:rPr>
          <w:rFonts w:ascii="Arial" w:hAnsi="Arial" w:cs="Arial"/>
          <w:sz w:val="22"/>
          <w:szCs w:val="22"/>
        </w:rPr>
      </w:pPr>
    </w:p>
    <w:p w:rsidR="00A973C9" w:rsidRPr="005D0992" w:rsidRDefault="00A973C9" w:rsidP="00BE289A">
      <w:pPr>
        <w:pStyle w:val="Default"/>
        <w:rPr>
          <w:sz w:val="22"/>
          <w:szCs w:val="22"/>
        </w:rPr>
      </w:pPr>
      <w:r w:rsidRPr="005D0992">
        <w:rPr>
          <w:sz w:val="22"/>
          <w:szCs w:val="22"/>
        </w:rPr>
        <w:t xml:space="preserve">Fuel poverty is now recorded using </w:t>
      </w:r>
      <w:r>
        <w:rPr>
          <w:sz w:val="22"/>
          <w:szCs w:val="22"/>
        </w:rPr>
        <w:t xml:space="preserve">the </w:t>
      </w:r>
      <w:r w:rsidRPr="005D0992">
        <w:rPr>
          <w:sz w:val="22"/>
          <w:szCs w:val="22"/>
        </w:rPr>
        <w:t xml:space="preserve">low income and high cost (LIHC) definition.  Under this definition of Fuel Poverty, a household is considered to be fuel poor if: </w:t>
      </w:r>
    </w:p>
    <w:p w:rsidR="00A973C9" w:rsidRPr="005D0992" w:rsidRDefault="00A973C9" w:rsidP="00BE289A">
      <w:pPr>
        <w:pStyle w:val="Default"/>
        <w:rPr>
          <w:sz w:val="22"/>
          <w:szCs w:val="22"/>
        </w:rPr>
      </w:pPr>
    </w:p>
    <w:p w:rsidR="00A973C9" w:rsidRPr="005D0992" w:rsidRDefault="00A973C9" w:rsidP="00BE289A">
      <w:pPr>
        <w:pStyle w:val="Default"/>
        <w:spacing w:after="128"/>
        <w:rPr>
          <w:sz w:val="22"/>
          <w:szCs w:val="22"/>
        </w:rPr>
      </w:pPr>
      <w:r w:rsidRPr="005D0992">
        <w:rPr>
          <w:sz w:val="22"/>
          <w:szCs w:val="22"/>
        </w:rPr>
        <w:t xml:space="preserve">• </w:t>
      </w:r>
      <w:r>
        <w:rPr>
          <w:sz w:val="22"/>
          <w:szCs w:val="22"/>
        </w:rPr>
        <w:t>it has</w:t>
      </w:r>
      <w:r w:rsidRPr="005D0992">
        <w:rPr>
          <w:sz w:val="22"/>
          <w:szCs w:val="22"/>
        </w:rPr>
        <w:t xml:space="preserve"> required fuel costs that are above average (the national median level) </w:t>
      </w:r>
    </w:p>
    <w:p w:rsidR="00A973C9" w:rsidRPr="005D0992" w:rsidRDefault="00A973C9" w:rsidP="00BE289A">
      <w:pPr>
        <w:pStyle w:val="Default"/>
        <w:rPr>
          <w:sz w:val="22"/>
          <w:szCs w:val="22"/>
        </w:rPr>
      </w:pPr>
      <w:r w:rsidRPr="005D0992">
        <w:rPr>
          <w:sz w:val="22"/>
          <w:szCs w:val="22"/>
        </w:rPr>
        <w:t xml:space="preserve">• were </w:t>
      </w:r>
      <w:r>
        <w:rPr>
          <w:sz w:val="22"/>
          <w:szCs w:val="22"/>
        </w:rPr>
        <w:t>it</w:t>
      </w:r>
      <w:r w:rsidRPr="005D0992">
        <w:rPr>
          <w:sz w:val="22"/>
          <w:szCs w:val="22"/>
        </w:rPr>
        <w:t xml:space="preserve"> to spend that amount, </w:t>
      </w:r>
      <w:r>
        <w:rPr>
          <w:sz w:val="22"/>
          <w:szCs w:val="22"/>
        </w:rPr>
        <w:t>it</w:t>
      </w:r>
      <w:r w:rsidRPr="005D0992">
        <w:rPr>
          <w:sz w:val="22"/>
          <w:szCs w:val="22"/>
        </w:rPr>
        <w:t xml:space="preserve"> would be left with a residual income below the official poverty line. </w:t>
      </w:r>
    </w:p>
    <w:p w:rsidR="00A973C9" w:rsidRPr="005D0992" w:rsidRDefault="00A973C9" w:rsidP="000B5ADF">
      <w:pPr>
        <w:rPr>
          <w:rFonts w:ascii="Arial" w:hAnsi="Arial" w:cs="Arial"/>
          <w:sz w:val="22"/>
          <w:szCs w:val="22"/>
        </w:rPr>
      </w:pPr>
    </w:p>
    <w:p w:rsidR="00A3127B" w:rsidRDefault="00A973C9" w:rsidP="000B5ADF">
      <w:pPr>
        <w:rPr>
          <w:rFonts w:ascii="Arial" w:hAnsi="Arial" w:cs="Arial"/>
          <w:sz w:val="22"/>
          <w:szCs w:val="22"/>
        </w:rPr>
      </w:pPr>
      <w:r w:rsidRPr="005E430C">
        <w:rPr>
          <w:rFonts w:ascii="Arial" w:hAnsi="Arial" w:cs="Arial"/>
          <w:sz w:val="22"/>
          <w:szCs w:val="22"/>
        </w:rPr>
        <w:t xml:space="preserve">The District has a lower than average level of fuel poverty of 7.1% or 2,559 of households, in 2014 </w:t>
      </w:r>
      <w:r w:rsidR="005E430C" w:rsidRPr="005E430C">
        <w:rPr>
          <w:rFonts w:ascii="Arial" w:hAnsi="Arial" w:cs="Arial"/>
          <w:sz w:val="22"/>
          <w:szCs w:val="22"/>
        </w:rPr>
        <w:t>(</w:t>
      </w:r>
      <w:r w:rsidRPr="005E430C">
        <w:rPr>
          <w:rFonts w:ascii="Arial" w:hAnsi="Arial" w:cs="Arial"/>
          <w:sz w:val="22"/>
          <w:szCs w:val="22"/>
        </w:rPr>
        <w:t>the latest data available</w:t>
      </w:r>
      <w:r w:rsidR="005E430C" w:rsidRPr="005E430C">
        <w:rPr>
          <w:rFonts w:ascii="Arial" w:hAnsi="Arial" w:cs="Arial"/>
          <w:sz w:val="22"/>
          <w:szCs w:val="22"/>
        </w:rPr>
        <w:t>)</w:t>
      </w:r>
      <w:r w:rsidR="0014617B">
        <w:rPr>
          <w:rFonts w:ascii="Arial" w:hAnsi="Arial" w:cs="Arial"/>
          <w:sz w:val="22"/>
          <w:szCs w:val="22"/>
        </w:rPr>
        <w:t xml:space="preserve">. </w:t>
      </w:r>
      <w:r w:rsidR="009B382F" w:rsidRPr="005E430C">
        <w:rPr>
          <w:rFonts w:ascii="Arial" w:hAnsi="Arial" w:cs="Arial"/>
          <w:sz w:val="22"/>
          <w:szCs w:val="22"/>
        </w:rPr>
        <w:t>However, it should be noted that this level varies across the District from between 3.3% and 10.8%.</w:t>
      </w:r>
      <w:r w:rsidR="0014617B">
        <w:rPr>
          <w:rFonts w:ascii="Arial" w:hAnsi="Arial" w:cs="Arial"/>
          <w:sz w:val="22"/>
          <w:szCs w:val="22"/>
        </w:rPr>
        <w:t xml:space="preserve"> </w:t>
      </w:r>
      <w:r w:rsidRPr="005E430C">
        <w:rPr>
          <w:rFonts w:ascii="Arial" w:hAnsi="Arial" w:cs="Arial"/>
          <w:sz w:val="22"/>
          <w:szCs w:val="22"/>
        </w:rPr>
        <w:t>This is a reduction from 8% and indicates that 310 fewer households were in fuel poverty compared to</w:t>
      </w:r>
      <w:r w:rsidR="0014617B">
        <w:rPr>
          <w:rFonts w:ascii="Arial" w:hAnsi="Arial" w:cs="Arial"/>
          <w:sz w:val="22"/>
          <w:szCs w:val="22"/>
        </w:rPr>
        <w:t xml:space="preserve"> the previous year. </w:t>
      </w:r>
      <w:r w:rsidRPr="005E430C">
        <w:rPr>
          <w:rFonts w:ascii="Arial" w:hAnsi="Arial" w:cs="Arial"/>
          <w:sz w:val="22"/>
          <w:szCs w:val="22"/>
        </w:rPr>
        <w:t>This is compared to a Hertfordshire average of 7.5% and an E</w:t>
      </w:r>
      <w:r w:rsidR="0014617B">
        <w:rPr>
          <w:rFonts w:ascii="Arial" w:hAnsi="Arial" w:cs="Arial"/>
          <w:sz w:val="22"/>
          <w:szCs w:val="22"/>
        </w:rPr>
        <w:t xml:space="preserve">ast of England average of 8.4%. </w:t>
      </w:r>
      <w:r w:rsidRPr="005E430C">
        <w:rPr>
          <w:rFonts w:ascii="Arial" w:hAnsi="Arial" w:cs="Arial"/>
          <w:sz w:val="22"/>
          <w:szCs w:val="22"/>
        </w:rPr>
        <w:t>The average for England of 10.6% of households, which was a slight increase on the previous year.</w:t>
      </w:r>
      <w:r w:rsidRPr="005E430C">
        <w:rPr>
          <w:rStyle w:val="FootnoteReference"/>
          <w:rFonts w:ascii="Arial" w:hAnsi="Arial" w:cs="Arial"/>
          <w:sz w:val="22"/>
          <w:szCs w:val="22"/>
        </w:rPr>
        <w:footnoteReference w:id="4"/>
      </w:r>
      <w:r w:rsidRPr="005E430C">
        <w:rPr>
          <w:rFonts w:ascii="Arial" w:hAnsi="Arial" w:cs="Arial"/>
          <w:sz w:val="22"/>
          <w:szCs w:val="22"/>
        </w:rPr>
        <w:t xml:space="preserve">   </w:t>
      </w:r>
    </w:p>
    <w:p w:rsidR="00A3127B" w:rsidRDefault="00A3127B" w:rsidP="000B5ADF">
      <w:pPr>
        <w:rPr>
          <w:rFonts w:ascii="Arial" w:hAnsi="Arial" w:cs="Arial"/>
          <w:sz w:val="22"/>
          <w:szCs w:val="22"/>
        </w:rPr>
      </w:pPr>
    </w:p>
    <w:p w:rsidR="00A973C9" w:rsidRDefault="00A973C9" w:rsidP="000B5ADF">
      <w:pPr>
        <w:rPr>
          <w:rFonts w:ascii="Arial" w:hAnsi="Arial" w:cs="Arial"/>
          <w:sz w:val="22"/>
          <w:szCs w:val="22"/>
          <w:highlight w:val="yellow"/>
        </w:rPr>
      </w:pPr>
      <w:r w:rsidRPr="00393ED2">
        <w:rPr>
          <w:rFonts w:ascii="Arial" w:hAnsi="Arial" w:cs="Arial"/>
          <w:sz w:val="22"/>
          <w:szCs w:val="22"/>
        </w:rPr>
        <w:t>The District is generally affluent but it does contain some areas which have multiple indices of deprivation, including one Lower Super Output Area wi</w:t>
      </w:r>
      <w:r w:rsidR="00A874B5" w:rsidRPr="00393ED2">
        <w:rPr>
          <w:rFonts w:ascii="Arial" w:hAnsi="Arial" w:cs="Arial"/>
          <w:sz w:val="22"/>
          <w:szCs w:val="22"/>
        </w:rPr>
        <w:t>thin the highest 10</w:t>
      </w:r>
      <w:r w:rsidRPr="00393ED2">
        <w:rPr>
          <w:rFonts w:ascii="Arial" w:hAnsi="Arial" w:cs="Arial"/>
          <w:sz w:val="22"/>
          <w:szCs w:val="22"/>
        </w:rPr>
        <w:t>%</w:t>
      </w:r>
      <w:r w:rsidR="0014617B">
        <w:rPr>
          <w:rFonts w:ascii="Arial" w:hAnsi="Arial" w:cs="Arial"/>
          <w:sz w:val="22"/>
          <w:szCs w:val="22"/>
        </w:rPr>
        <w:t xml:space="preserve"> of deprived areas nationally. </w:t>
      </w:r>
      <w:r w:rsidRPr="00C30DD7">
        <w:rPr>
          <w:rFonts w:ascii="Arial" w:hAnsi="Arial" w:cs="Arial"/>
          <w:sz w:val="22"/>
          <w:szCs w:val="22"/>
        </w:rPr>
        <w:t>There is some correlation between fuel poverty and deprivation, as the more deprived areas also often have a higher than average fuel poverty level</w:t>
      </w:r>
      <w:r w:rsidR="00C30DD7" w:rsidRPr="00C30DD7">
        <w:rPr>
          <w:rFonts w:ascii="Arial" w:hAnsi="Arial" w:cs="Arial"/>
          <w:sz w:val="22"/>
          <w:szCs w:val="22"/>
        </w:rPr>
        <w:t xml:space="preserve">. </w:t>
      </w:r>
      <w:r w:rsidRPr="00C30DD7">
        <w:rPr>
          <w:rFonts w:ascii="Arial" w:hAnsi="Arial" w:cs="Arial"/>
          <w:sz w:val="22"/>
          <w:szCs w:val="22"/>
        </w:rPr>
        <w:t xml:space="preserve">However, even a very affluent area </w:t>
      </w:r>
      <w:r w:rsidR="00C30DD7" w:rsidRPr="00C30DD7">
        <w:rPr>
          <w:rFonts w:ascii="Arial" w:hAnsi="Arial" w:cs="Arial"/>
          <w:sz w:val="22"/>
          <w:szCs w:val="22"/>
        </w:rPr>
        <w:t>in the District, in the lowest 5</w:t>
      </w:r>
      <w:r w:rsidRPr="00C30DD7">
        <w:rPr>
          <w:rFonts w:ascii="Arial" w:hAnsi="Arial" w:cs="Arial"/>
          <w:sz w:val="22"/>
          <w:szCs w:val="22"/>
        </w:rPr>
        <w:t>% of deprivation in the coun</w:t>
      </w:r>
      <w:r w:rsidR="00C30DD7" w:rsidRPr="00C30DD7">
        <w:rPr>
          <w:rFonts w:ascii="Arial" w:hAnsi="Arial" w:cs="Arial"/>
          <w:sz w:val="22"/>
          <w:szCs w:val="22"/>
        </w:rPr>
        <w:t>try, is estimated to contain 9.4</w:t>
      </w:r>
      <w:r w:rsidR="00C30DD7">
        <w:rPr>
          <w:rFonts w:ascii="Arial" w:hAnsi="Arial" w:cs="Arial"/>
          <w:sz w:val="22"/>
          <w:szCs w:val="22"/>
        </w:rPr>
        <w:t>% of homes in fuel poverty</w:t>
      </w:r>
      <w:r w:rsidRPr="00C30DD7">
        <w:rPr>
          <w:rFonts w:ascii="Arial" w:hAnsi="Arial" w:cs="Arial"/>
          <w:sz w:val="22"/>
          <w:szCs w:val="22"/>
        </w:rPr>
        <w:t xml:space="preserve">. This is in part because areas with older housing stock are likely to have higher costs for fuel and therefore those in that area with a lower income are at risk of fuel poverty.  Conversely areas with modern, energy-efficient homes will have lower costs and therefore be less likely to experience fuel poverty. </w:t>
      </w:r>
    </w:p>
    <w:p w:rsidR="00393ED2" w:rsidRPr="00EC459E" w:rsidRDefault="00907927" w:rsidP="00907927">
      <w:pPr>
        <w:pStyle w:val="NormalWeb"/>
        <w:shd w:val="clear" w:color="auto" w:fill="FFFFFF"/>
        <w:rPr>
          <w:rFonts w:ascii="Arial" w:hAnsi="Arial" w:cs="Arial"/>
          <w:sz w:val="22"/>
          <w:szCs w:val="22"/>
        </w:rPr>
      </w:pPr>
      <w:r w:rsidRPr="00393ED2">
        <w:rPr>
          <w:rFonts w:ascii="Arial" w:hAnsi="Arial" w:cs="Arial"/>
          <w:sz w:val="22"/>
          <w:szCs w:val="22"/>
        </w:rPr>
        <w:t>There has been some recent variation in the</w:t>
      </w:r>
      <w:r>
        <w:rPr>
          <w:rFonts w:ascii="Arial" w:hAnsi="Arial" w:cs="Arial"/>
          <w:sz w:val="22"/>
          <w:szCs w:val="22"/>
        </w:rPr>
        <w:t xml:space="preserve"> rate of Excessive Winter Mortality in the District.</w:t>
      </w:r>
      <w:r w:rsidR="0014617B">
        <w:rPr>
          <w:rFonts w:ascii="Arial" w:hAnsi="Arial" w:cs="Arial"/>
          <w:sz w:val="22"/>
          <w:szCs w:val="22"/>
        </w:rPr>
        <w:t xml:space="preserve"> </w:t>
      </w:r>
      <w:r w:rsidRPr="00393ED2">
        <w:rPr>
          <w:rFonts w:ascii="Arial" w:hAnsi="Arial" w:cs="Arial"/>
          <w:sz w:val="22"/>
          <w:szCs w:val="22"/>
        </w:rPr>
        <w:t xml:space="preserve">The most recent data for 2014/15 estimated that there were 70 excessive </w:t>
      </w:r>
      <w:r w:rsidRPr="00393ED2">
        <w:rPr>
          <w:rFonts w:ascii="Arial" w:hAnsi="Arial" w:cs="Arial"/>
          <w:sz w:val="22"/>
          <w:szCs w:val="22"/>
        </w:rPr>
        <w:lastRenderedPageBreak/>
        <w:t>winter deaths</w:t>
      </w:r>
      <w:r>
        <w:rPr>
          <w:rFonts w:ascii="Arial" w:hAnsi="Arial" w:cs="Arial"/>
          <w:sz w:val="22"/>
          <w:szCs w:val="22"/>
        </w:rPr>
        <w:t xml:space="preserve">, which </w:t>
      </w:r>
      <w:r w:rsidR="00756B8A">
        <w:rPr>
          <w:rFonts w:ascii="Arial" w:hAnsi="Arial" w:cs="Arial"/>
          <w:sz w:val="22"/>
          <w:szCs w:val="22"/>
        </w:rPr>
        <w:t>was 27.4% above the average non-</w:t>
      </w:r>
      <w:r>
        <w:rPr>
          <w:rFonts w:ascii="Arial" w:hAnsi="Arial" w:cs="Arial"/>
          <w:sz w:val="22"/>
          <w:szCs w:val="22"/>
        </w:rPr>
        <w:t>winter deaths</w:t>
      </w:r>
      <w:r w:rsidRPr="00393ED2">
        <w:rPr>
          <w:rFonts w:ascii="Arial" w:hAnsi="Arial" w:cs="Arial"/>
          <w:sz w:val="22"/>
          <w:szCs w:val="22"/>
        </w:rPr>
        <w:t xml:space="preserve">.  In the previous year there were only an estimated 10 excessive deaths but this was a significant drop from the reported 70 the year before (2012/13).  Before that the rate was generally estimated be around 30 to 50 per annum.   </w:t>
      </w:r>
      <w:r w:rsidRPr="00ED5653">
        <w:rPr>
          <w:rFonts w:ascii="Arial" w:hAnsi="Arial" w:cs="Arial"/>
          <w:sz w:val="22"/>
          <w:szCs w:val="22"/>
        </w:rPr>
        <w:t>Nationally, 2014/15 saw the highes</w:t>
      </w:r>
      <w:r>
        <w:rPr>
          <w:rFonts w:ascii="Arial" w:hAnsi="Arial" w:cs="Arial"/>
          <w:sz w:val="22"/>
          <w:szCs w:val="22"/>
        </w:rPr>
        <w:t xml:space="preserve">t excess winter mortality since </w:t>
      </w:r>
      <w:r w:rsidRPr="00ED5653">
        <w:rPr>
          <w:rFonts w:ascii="Arial" w:hAnsi="Arial" w:cs="Arial"/>
          <w:sz w:val="22"/>
          <w:szCs w:val="22"/>
        </w:rPr>
        <w:t>1999/2000 with 43,850</w:t>
      </w:r>
      <w:r>
        <w:rPr>
          <w:rFonts w:ascii="Arial" w:hAnsi="Arial" w:cs="Arial"/>
          <w:sz w:val="22"/>
          <w:szCs w:val="22"/>
        </w:rPr>
        <w:t>.  Provisional data has shown that the number of Excess Winter Deaths has fallen to 24,300 nationally in 2015/16 but inf</w:t>
      </w:r>
      <w:r w:rsidR="00756B8A">
        <w:rPr>
          <w:rFonts w:ascii="Arial" w:hAnsi="Arial" w:cs="Arial"/>
          <w:sz w:val="22"/>
          <w:szCs w:val="22"/>
        </w:rPr>
        <w:t>ormation is not yet available</w:t>
      </w:r>
      <w:r>
        <w:rPr>
          <w:rFonts w:ascii="Arial" w:hAnsi="Arial" w:cs="Arial"/>
          <w:sz w:val="22"/>
          <w:szCs w:val="22"/>
        </w:rPr>
        <w:t xml:space="preserve"> at Local Authority area level. </w:t>
      </w:r>
      <w:r w:rsidRPr="00ED5653">
        <w:rPr>
          <w:rFonts w:ascii="Arial" w:hAnsi="Arial" w:cs="Arial"/>
          <w:sz w:val="22"/>
          <w:szCs w:val="22"/>
        </w:rPr>
        <w:t>It is also noted that the number of excess w</w:t>
      </w:r>
      <w:r w:rsidR="00756B8A">
        <w:rPr>
          <w:rFonts w:ascii="Arial" w:hAnsi="Arial" w:cs="Arial"/>
          <w:sz w:val="22"/>
          <w:szCs w:val="22"/>
        </w:rPr>
        <w:t>inter deaths for local areas is</w:t>
      </w:r>
      <w:r w:rsidRPr="00ED5653">
        <w:rPr>
          <w:rFonts w:ascii="Arial" w:hAnsi="Arial" w:cs="Arial"/>
          <w:sz w:val="22"/>
          <w:szCs w:val="22"/>
        </w:rPr>
        <w:t xml:space="preserve"> relatively small. Calculations based on small numbers of events are often subject to random fluctuations. There is no consistent pattern across local areas in </w:t>
      </w:r>
      <w:smartTag w:uri="urn:schemas-microsoft-com:office:smarttags" w:element="country-region">
        <w:r w:rsidRPr="00ED5653">
          <w:rPr>
            <w:rFonts w:ascii="Arial" w:hAnsi="Arial" w:cs="Arial"/>
            <w:sz w:val="22"/>
            <w:szCs w:val="22"/>
          </w:rPr>
          <w:t>England</w:t>
        </w:r>
      </w:smartTag>
      <w:r w:rsidRPr="00ED5653">
        <w:rPr>
          <w:rFonts w:ascii="Arial" w:hAnsi="Arial" w:cs="Arial"/>
          <w:sz w:val="22"/>
          <w:szCs w:val="22"/>
        </w:rPr>
        <w:t xml:space="preserve"> and </w:t>
      </w:r>
      <w:smartTag w:uri="urn:schemas-microsoft-com:office:smarttags" w:element="country-region">
        <w:smartTag w:uri="urn:schemas-microsoft-com:office:smarttags" w:element="place">
          <w:r w:rsidRPr="00ED5653">
            <w:rPr>
              <w:rFonts w:ascii="Arial" w:hAnsi="Arial" w:cs="Arial"/>
              <w:sz w:val="22"/>
              <w:szCs w:val="22"/>
            </w:rPr>
            <w:t>Wales</w:t>
          </w:r>
        </w:smartTag>
      </w:smartTag>
      <w:r w:rsidRPr="00ED5653">
        <w:rPr>
          <w:rFonts w:ascii="Arial" w:hAnsi="Arial" w:cs="Arial"/>
          <w:sz w:val="22"/>
          <w:szCs w:val="22"/>
        </w:rPr>
        <w:t>. So one local area may have a really high level one year, compared with neighbo</w:t>
      </w:r>
      <w:r w:rsidR="00756B8A">
        <w:rPr>
          <w:rFonts w:ascii="Arial" w:hAnsi="Arial" w:cs="Arial"/>
          <w:sz w:val="22"/>
          <w:szCs w:val="22"/>
        </w:rPr>
        <w:t>u</w:t>
      </w:r>
      <w:r w:rsidRPr="00ED5653">
        <w:rPr>
          <w:rFonts w:ascii="Arial" w:hAnsi="Arial" w:cs="Arial"/>
          <w:sz w:val="22"/>
          <w:szCs w:val="22"/>
        </w:rPr>
        <w:t xml:space="preserve">ring areas, but then will be about the same or much lower in other years.  </w:t>
      </w:r>
    </w:p>
    <w:p w:rsidR="006C7144" w:rsidRPr="00EC459E" w:rsidRDefault="006C7144" w:rsidP="000B5ADF">
      <w:pPr>
        <w:rPr>
          <w:rFonts w:ascii="Arial" w:hAnsi="Arial" w:cs="Arial"/>
          <w:b/>
          <w:sz w:val="22"/>
          <w:szCs w:val="22"/>
        </w:rPr>
      </w:pPr>
      <w:r w:rsidRPr="00EC459E">
        <w:rPr>
          <w:rFonts w:ascii="Arial" w:hAnsi="Arial" w:cs="Arial"/>
          <w:b/>
          <w:sz w:val="22"/>
          <w:szCs w:val="22"/>
        </w:rPr>
        <w:t>Excess Winter Mortality</w:t>
      </w:r>
      <w:r w:rsidRPr="00EC459E">
        <w:rPr>
          <w:rStyle w:val="FootnoteReference"/>
          <w:rFonts w:ascii="Arial" w:hAnsi="Arial" w:cs="Arial"/>
          <w:b/>
          <w:sz w:val="22"/>
          <w:szCs w:val="22"/>
        </w:rPr>
        <w:footnoteReference w:id="5"/>
      </w:r>
      <w:r w:rsidRPr="00EC459E">
        <w:rPr>
          <w:rFonts w:ascii="Arial" w:hAnsi="Arial" w:cs="Arial"/>
          <w:b/>
          <w:sz w:val="22"/>
          <w:szCs w:val="22"/>
        </w:rPr>
        <w:t>.</w:t>
      </w:r>
    </w:p>
    <w:tbl>
      <w:tblPr>
        <w:tblStyle w:val="TableGrid"/>
        <w:tblW w:w="0" w:type="auto"/>
        <w:tblLook w:val="04A0" w:firstRow="1" w:lastRow="0" w:firstColumn="1" w:lastColumn="0" w:noHBand="0" w:noVBand="1"/>
      </w:tblPr>
      <w:tblGrid>
        <w:gridCol w:w="1384"/>
        <w:gridCol w:w="2315"/>
        <w:gridCol w:w="2315"/>
        <w:gridCol w:w="2316"/>
      </w:tblGrid>
      <w:tr w:rsidR="00B467EA" w:rsidTr="007007A5">
        <w:tc>
          <w:tcPr>
            <w:tcW w:w="1384" w:type="dxa"/>
          </w:tcPr>
          <w:p w:rsidR="00B467EA" w:rsidRDefault="00B467EA" w:rsidP="00FE4027">
            <w:pPr>
              <w:pStyle w:val="NormalWeb"/>
              <w:rPr>
                <w:rFonts w:ascii="Arial" w:hAnsi="Arial" w:cs="Arial"/>
                <w:sz w:val="22"/>
                <w:szCs w:val="22"/>
              </w:rPr>
            </w:pPr>
          </w:p>
        </w:tc>
        <w:tc>
          <w:tcPr>
            <w:tcW w:w="2315" w:type="dxa"/>
          </w:tcPr>
          <w:p w:rsidR="00B467EA" w:rsidRPr="007007A5" w:rsidRDefault="00B467EA" w:rsidP="007007A5">
            <w:pPr>
              <w:pStyle w:val="NormalWeb"/>
              <w:jc w:val="center"/>
              <w:rPr>
                <w:rFonts w:ascii="Arial" w:hAnsi="Arial" w:cs="Arial"/>
                <w:b/>
                <w:sz w:val="22"/>
                <w:szCs w:val="22"/>
              </w:rPr>
            </w:pPr>
            <w:r w:rsidRPr="007007A5">
              <w:rPr>
                <w:rFonts w:ascii="Arial" w:hAnsi="Arial" w:cs="Arial"/>
                <w:b/>
                <w:sz w:val="22"/>
                <w:szCs w:val="22"/>
              </w:rPr>
              <w:t>Mean winter temp in degrees C</w:t>
            </w:r>
          </w:p>
        </w:tc>
        <w:tc>
          <w:tcPr>
            <w:tcW w:w="2315" w:type="dxa"/>
          </w:tcPr>
          <w:p w:rsidR="00B467EA" w:rsidRPr="007007A5" w:rsidRDefault="00B467EA" w:rsidP="007007A5">
            <w:pPr>
              <w:pStyle w:val="NormalWeb"/>
              <w:jc w:val="center"/>
              <w:rPr>
                <w:rFonts w:ascii="Arial" w:hAnsi="Arial" w:cs="Arial"/>
                <w:b/>
                <w:sz w:val="22"/>
                <w:szCs w:val="22"/>
              </w:rPr>
            </w:pPr>
            <w:r w:rsidRPr="007007A5">
              <w:rPr>
                <w:rFonts w:ascii="Arial" w:hAnsi="Arial" w:cs="Arial"/>
                <w:b/>
                <w:sz w:val="22"/>
                <w:szCs w:val="22"/>
              </w:rPr>
              <w:t>Three Rivers</w:t>
            </w:r>
            <w:r w:rsidR="00ED5653" w:rsidRPr="007007A5">
              <w:rPr>
                <w:rFonts w:ascii="Arial" w:hAnsi="Arial" w:cs="Arial"/>
                <w:b/>
                <w:sz w:val="22"/>
                <w:szCs w:val="22"/>
              </w:rPr>
              <w:t xml:space="preserve"> </w:t>
            </w:r>
            <w:r w:rsidR="007007A5">
              <w:rPr>
                <w:rFonts w:ascii="Arial" w:hAnsi="Arial" w:cs="Arial"/>
                <w:b/>
                <w:sz w:val="22"/>
                <w:szCs w:val="22"/>
              </w:rPr>
              <w:br/>
            </w:r>
            <w:r w:rsidR="00ED5653" w:rsidRPr="007007A5">
              <w:rPr>
                <w:rFonts w:ascii="Arial" w:hAnsi="Arial" w:cs="Arial"/>
                <w:b/>
                <w:sz w:val="22"/>
                <w:szCs w:val="22"/>
              </w:rPr>
              <w:t>(EW</w:t>
            </w:r>
            <w:r w:rsidR="008D787F" w:rsidRPr="007007A5">
              <w:rPr>
                <w:rFonts w:ascii="Arial" w:hAnsi="Arial" w:cs="Arial"/>
                <w:b/>
                <w:sz w:val="22"/>
                <w:szCs w:val="22"/>
              </w:rPr>
              <w:t>M</w:t>
            </w:r>
            <w:r w:rsidR="00ED5653" w:rsidRPr="007007A5">
              <w:rPr>
                <w:rFonts w:ascii="Arial" w:hAnsi="Arial" w:cs="Arial"/>
                <w:b/>
                <w:sz w:val="22"/>
                <w:szCs w:val="22"/>
              </w:rPr>
              <w:t xml:space="preserve"> and Index</w:t>
            </w:r>
            <w:r w:rsidR="008D787F" w:rsidRPr="007007A5">
              <w:rPr>
                <w:rFonts w:ascii="Arial" w:hAnsi="Arial" w:cs="Arial"/>
                <w:b/>
                <w:sz w:val="22"/>
                <w:szCs w:val="22"/>
              </w:rPr>
              <w:t>*</w:t>
            </w:r>
            <w:r w:rsidR="00ED5653" w:rsidRPr="007007A5">
              <w:rPr>
                <w:rFonts w:ascii="Arial" w:hAnsi="Arial" w:cs="Arial"/>
                <w:b/>
                <w:sz w:val="22"/>
                <w:szCs w:val="22"/>
              </w:rPr>
              <w:t>)</w:t>
            </w:r>
          </w:p>
        </w:tc>
        <w:tc>
          <w:tcPr>
            <w:tcW w:w="2316" w:type="dxa"/>
          </w:tcPr>
          <w:p w:rsidR="00B467EA" w:rsidRPr="007007A5" w:rsidRDefault="00B467EA" w:rsidP="007007A5">
            <w:pPr>
              <w:pStyle w:val="NormalWeb"/>
              <w:jc w:val="center"/>
              <w:rPr>
                <w:rFonts w:ascii="Arial" w:hAnsi="Arial" w:cs="Arial"/>
                <w:b/>
                <w:sz w:val="22"/>
                <w:szCs w:val="22"/>
              </w:rPr>
            </w:pPr>
            <w:r w:rsidRPr="007007A5">
              <w:rPr>
                <w:rFonts w:ascii="Arial" w:hAnsi="Arial" w:cs="Arial"/>
                <w:b/>
                <w:sz w:val="22"/>
                <w:szCs w:val="22"/>
              </w:rPr>
              <w:t>England and Wales</w:t>
            </w:r>
            <w:r w:rsidR="007007A5">
              <w:rPr>
                <w:rFonts w:ascii="Arial" w:hAnsi="Arial" w:cs="Arial"/>
                <w:b/>
                <w:sz w:val="22"/>
                <w:szCs w:val="22"/>
              </w:rPr>
              <w:t xml:space="preserve"> (EWM</w:t>
            </w:r>
            <w:r w:rsidR="00ED5653" w:rsidRPr="007007A5">
              <w:rPr>
                <w:rFonts w:ascii="Arial" w:hAnsi="Arial" w:cs="Arial"/>
                <w:b/>
                <w:sz w:val="22"/>
                <w:szCs w:val="22"/>
              </w:rPr>
              <w:t xml:space="preserve"> and Index</w:t>
            </w:r>
            <w:r w:rsidR="008D787F" w:rsidRPr="007007A5">
              <w:rPr>
                <w:rFonts w:ascii="Arial" w:hAnsi="Arial" w:cs="Arial"/>
                <w:b/>
                <w:sz w:val="22"/>
                <w:szCs w:val="22"/>
              </w:rPr>
              <w:t>*</w:t>
            </w:r>
            <w:r w:rsidR="00ED5653" w:rsidRPr="007007A5">
              <w:rPr>
                <w:rFonts w:ascii="Arial" w:hAnsi="Arial" w:cs="Arial"/>
                <w:b/>
                <w:sz w:val="22"/>
                <w:szCs w:val="22"/>
              </w:rPr>
              <w:t>)</w:t>
            </w:r>
          </w:p>
        </w:tc>
      </w:tr>
      <w:tr w:rsidR="00B467EA" w:rsidTr="007007A5">
        <w:tc>
          <w:tcPr>
            <w:tcW w:w="1384" w:type="dxa"/>
          </w:tcPr>
          <w:p w:rsidR="00B467EA" w:rsidRPr="007007A5" w:rsidRDefault="00B467EA" w:rsidP="00FE4027">
            <w:pPr>
              <w:pStyle w:val="NormalWeb"/>
              <w:rPr>
                <w:rFonts w:ascii="Arial" w:hAnsi="Arial" w:cs="Arial"/>
                <w:b/>
                <w:sz w:val="22"/>
                <w:szCs w:val="22"/>
              </w:rPr>
            </w:pPr>
            <w:r w:rsidRPr="007007A5">
              <w:rPr>
                <w:rFonts w:ascii="Arial" w:hAnsi="Arial" w:cs="Arial"/>
                <w:b/>
                <w:sz w:val="22"/>
                <w:szCs w:val="22"/>
              </w:rPr>
              <w:t>2015/16</w:t>
            </w:r>
          </w:p>
        </w:tc>
        <w:tc>
          <w:tcPr>
            <w:tcW w:w="2315" w:type="dxa"/>
          </w:tcPr>
          <w:p w:rsidR="00B467EA" w:rsidRDefault="00B467EA" w:rsidP="007007A5">
            <w:pPr>
              <w:pStyle w:val="NormalWeb"/>
              <w:jc w:val="center"/>
              <w:rPr>
                <w:rFonts w:ascii="Arial" w:hAnsi="Arial" w:cs="Arial"/>
                <w:sz w:val="22"/>
                <w:szCs w:val="22"/>
              </w:rPr>
            </w:pPr>
            <w:r>
              <w:rPr>
                <w:rFonts w:ascii="Arial" w:hAnsi="Arial" w:cs="Arial"/>
                <w:sz w:val="22"/>
                <w:szCs w:val="22"/>
              </w:rPr>
              <w:t>6.2</w:t>
            </w:r>
          </w:p>
        </w:tc>
        <w:tc>
          <w:tcPr>
            <w:tcW w:w="2315" w:type="dxa"/>
          </w:tcPr>
          <w:p w:rsidR="00B467EA" w:rsidRDefault="00B467EA" w:rsidP="007007A5">
            <w:pPr>
              <w:pStyle w:val="NormalWeb"/>
              <w:jc w:val="center"/>
              <w:rPr>
                <w:rFonts w:ascii="Arial" w:hAnsi="Arial" w:cs="Arial"/>
                <w:sz w:val="22"/>
                <w:szCs w:val="22"/>
              </w:rPr>
            </w:pPr>
            <w:r>
              <w:rPr>
                <w:rFonts w:ascii="Arial" w:hAnsi="Arial" w:cs="Arial"/>
                <w:sz w:val="22"/>
                <w:szCs w:val="22"/>
              </w:rPr>
              <w:t>n/a</w:t>
            </w:r>
          </w:p>
        </w:tc>
        <w:tc>
          <w:tcPr>
            <w:tcW w:w="2316" w:type="dxa"/>
          </w:tcPr>
          <w:p w:rsidR="00B467EA" w:rsidRDefault="00B467EA" w:rsidP="007007A5">
            <w:pPr>
              <w:pStyle w:val="NormalWeb"/>
              <w:jc w:val="center"/>
              <w:rPr>
                <w:rFonts w:ascii="Arial" w:hAnsi="Arial" w:cs="Arial"/>
                <w:sz w:val="22"/>
                <w:szCs w:val="22"/>
              </w:rPr>
            </w:pPr>
            <w:r>
              <w:rPr>
                <w:rFonts w:ascii="Arial" w:hAnsi="Arial" w:cs="Arial"/>
                <w:sz w:val="22"/>
                <w:szCs w:val="22"/>
              </w:rPr>
              <w:t>24,300</w:t>
            </w:r>
            <w:r w:rsidR="006C7144">
              <w:rPr>
                <w:rFonts w:ascii="Arial" w:hAnsi="Arial" w:cs="Arial"/>
                <w:sz w:val="22"/>
                <w:szCs w:val="22"/>
              </w:rPr>
              <w:t xml:space="preserve"> (14.7)</w:t>
            </w:r>
          </w:p>
        </w:tc>
      </w:tr>
      <w:tr w:rsidR="00B467EA" w:rsidTr="007007A5">
        <w:tc>
          <w:tcPr>
            <w:tcW w:w="1384" w:type="dxa"/>
          </w:tcPr>
          <w:p w:rsidR="00B467EA" w:rsidRPr="007007A5" w:rsidRDefault="00B467EA" w:rsidP="00FE4027">
            <w:pPr>
              <w:pStyle w:val="NormalWeb"/>
              <w:rPr>
                <w:rFonts w:ascii="Arial" w:hAnsi="Arial" w:cs="Arial"/>
                <w:b/>
                <w:sz w:val="22"/>
                <w:szCs w:val="22"/>
              </w:rPr>
            </w:pPr>
            <w:r w:rsidRPr="007007A5">
              <w:rPr>
                <w:rFonts w:ascii="Arial" w:hAnsi="Arial" w:cs="Arial"/>
                <w:b/>
                <w:sz w:val="22"/>
                <w:szCs w:val="22"/>
              </w:rPr>
              <w:t>2014/15</w:t>
            </w:r>
          </w:p>
        </w:tc>
        <w:tc>
          <w:tcPr>
            <w:tcW w:w="2315" w:type="dxa"/>
          </w:tcPr>
          <w:p w:rsidR="00B467EA" w:rsidRDefault="00B467EA" w:rsidP="007007A5">
            <w:pPr>
              <w:pStyle w:val="NormalWeb"/>
              <w:jc w:val="center"/>
              <w:rPr>
                <w:rFonts w:ascii="Arial" w:hAnsi="Arial" w:cs="Arial"/>
                <w:sz w:val="22"/>
                <w:szCs w:val="22"/>
              </w:rPr>
            </w:pPr>
            <w:r>
              <w:rPr>
                <w:rFonts w:ascii="Arial" w:hAnsi="Arial" w:cs="Arial"/>
                <w:sz w:val="22"/>
                <w:szCs w:val="22"/>
              </w:rPr>
              <w:t>4.8</w:t>
            </w:r>
          </w:p>
        </w:tc>
        <w:tc>
          <w:tcPr>
            <w:tcW w:w="2315" w:type="dxa"/>
          </w:tcPr>
          <w:p w:rsidR="00B467EA" w:rsidRDefault="00B467EA" w:rsidP="007007A5">
            <w:pPr>
              <w:pStyle w:val="NormalWeb"/>
              <w:jc w:val="center"/>
              <w:rPr>
                <w:rFonts w:ascii="Arial" w:hAnsi="Arial" w:cs="Arial"/>
                <w:sz w:val="22"/>
                <w:szCs w:val="22"/>
              </w:rPr>
            </w:pPr>
            <w:r>
              <w:rPr>
                <w:rFonts w:ascii="Arial" w:hAnsi="Arial" w:cs="Arial"/>
                <w:sz w:val="22"/>
                <w:szCs w:val="22"/>
              </w:rPr>
              <w:t>70</w:t>
            </w:r>
            <w:r w:rsidR="006C7144">
              <w:rPr>
                <w:rFonts w:ascii="Arial" w:hAnsi="Arial" w:cs="Arial"/>
                <w:sz w:val="22"/>
                <w:szCs w:val="22"/>
              </w:rPr>
              <w:t xml:space="preserve"> (27.4)</w:t>
            </w:r>
          </w:p>
        </w:tc>
        <w:tc>
          <w:tcPr>
            <w:tcW w:w="2316" w:type="dxa"/>
          </w:tcPr>
          <w:p w:rsidR="00B467EA" w:rsidRDefault="00B467EA" w:rsidP="007007A5">
            <w:pPr>
              <w:pStyle w:val="NormalWeb"/>
              <w:jc w:val="center"/>
              <w:rPr>
                <w:rFonts w:ascii="Arial" w:hAnsi="Arial" w:cs="Arial"/>
                <w:sz w:val="22"/>
                <w:szCs w:val="22"/>
              </w:rPr>
            </w:pPr>
            <w:r>
              <w:rPr>
                <w:rFonts w:ascii="Arial" w:hAnsi="Arial" w:cs="Arial"/>
                <w:sz w:val="22"/>
                <w:szCs w:val="22"/>
              </w:rPr>
              <w:t>43,850</w:t>
            </w:r>
            <w:r w:rsidR="006C7144">
              <w:rPr>
                <w:rFonts w:ascii="Arial" w:hAnsi="Arial" w:cs="Arial"/>
                <w:sz w:val="22"/>
                <w:szCs w:val="22"/>
              </w:rPr>
              <w:t xml:space="preserve"> (27.0)</w:t>
            </w:r>
          </w:p>
        </w:tc>
      </w:tr>
      <w:tr w:rsidR="00B467EA" w:rsidTr="007007A5">
        <w:tc>
          <w:tcPr>
            <w:tcW w:w="1384" w:type="dxa"/>
          </w:tcPr>
          <w:p w:rsidR="00B467EA" w:rsidRPr="007007A5" w:rsidRDefault="00B467EA" w:rsidP="00FE4027">
            <w:pPr>
              <w:pStyle w:val="NormalWeb"/>
              <w:rPr>
                <w:rFonts w:ascii="Arial" w:hAnsi="Arial" w:cs="Arial"/>
                <w:b/>
                <w:sz w:val="22"/>
                <w:szCs w:val="22"/>
              </w:rPr>
            </w:pPr>
            <w:r w:rsidRPr="007007A5">
              <w:rPr>
                <w:rFonts w:ascii="Arial" w:hAnsi="Arial" w:cs="Arial"/>
                <w:b/>
                <w:sz w:val="22"/>
                <w:szCs w:val="22"/>
              </w:rPr>
              <w:t>2013/14</w:t>
            </w:r>
          </w:p>
        </w:tc>
        <w:tc>
          <w:tcPr>
            <w:tcW w:w="2315" w:type="dxa"/>
          </w:tcPr>
          <w:p w:rsidR="00B467EA" w:rsidRDefault="00B467EA" w:rsidP="007007A5">
            <w:pPr>
              <w:pStyle w:val="NormalWeb"/>
              <w:jc w:val="center"/>
              <w:rPr>
                <w:rFonts w:ascii="Arial" w:hAnsi="Arial" w:cs="Arial"/>
                <w:sz w:val="22"/>
                <w:szCs w:val="22"/>
              </w:rPr>
            </w:pPr>
            <w:r>
              <w:rPr>
                <w:rFonts w:ascii="Arial" w:hAnsi="Arial" w:cs="Arial"/>
                <w:sz w:val="22"/>
                <w:szCs w:val="22"/>
              </w:rPr>
              <w:t>6.2</w:t>
            </w:r>
          </w:p>
        </w:tc>
        <w:tc>
          <w:tcPr>
            <w:tcW w:w="2315" w:type="dxa"/>
          </w:tcPr>
          <w:p w:rsidR="00B467EA" w:rsidRDefault="00B467EA" w:rsidP="007007A5">
            <w:pPr>
              <w:pStyle w:val="NormalWeb"/>
              <w:jc w:val="center"/>
              <w:rPr>
                <w:rFonts w:ascii="Arial" w:hAnsi="Arial" w:cs="Arial"/>
                <w:sz w:val="22"/>
                <w:szCs w:val="22"/>
              </w:rPr>
            </w:pPr>
            <w:r>
              <w:rPr>
                <w:rFonts w:ascii="Arial" w:hAnsi="Arial" w:cs="Arial"/>
                <w:sz w:val="22"/>
                <w:szCs w:val="22"/>
              </w:rPr>
              <w:t>10</w:t>
            </w:r>
            <w:r w:rsidR="006C7144">
              <w:rPr>
                <w:rFonts w:ascii="Arial" w:hAnsi="Arial" w:cs="Arial"/>
                <w:sz w:val="22"/>
                <w:szCs w:val="22"/>
              </w:rPr>
              <w:t xml:space="preserve"> (</w:t>
            </w:r>
            <w:r w:rsidR="007007A5">
              <w:rPr>
                <w:rFonts w:ascii="Arial" w:hAnsi="Arial" w:cs="Arial"/>
                <w:sz w:val="22"/>
                <w:szCs w:val="22"/>
              </w:rPr>
              <w:t xml:space="preserve">  </w:t>
            </w:r>
            <w:r w:rsidR="006C7144">
              <w:rPr>
                <w:rFonts w:ascii="Arial" w:hAnsi="Arial" w:cs="Arial"/>
                <w:sz w:val="22"/>
                <w:szCs w:val="22"/>
              </w:rPr>
              <w:t>5.1)</w:t>
            </w:r>
          </w:p>
        </w:tc>
        <w:tc>
          <w:tcPr>
            <w:tcW w:w="2316" w:type="dxa"/>
          </w:tcPr>
          <w:p w:rsidR="00B467EA" w:rsidRDefault="00B467EA" w:rsidP="007007A5">
            <w:pPr>
              <w:pStyle w:val="NormalWeb"/>
              <w:jc w:val="center"/>
              <w:rPr>
                <w:rFonts w:ascii="Arial" w:hAnsi="Arial" w:cs="Arial"/>
                <w:sz w:val="22"/>
                <w:szCs w:val="22"/>
              </w:rPr>
            </w:pPr>
            <w:r>
              <w:rPr>
                <w:rFonts w:ascii="Arial" w:hAnsi="Arial" w:cs="Arial"/>
                <w:sz w:val="22"/>
                <w:szCs w:val="22"/>
              </w:rPr>
              <w:t>17,460</w:t>
            </w:r>
            <w:r w:rsidR="006C7144">
              <w:rPr>
                <w:rFonts w:ascii="Arial" w:hAnsi="Arial" w:cs="Arial"/>
                <w:sz w:val="22"/>
                <w:szCs w:val="22"/>
              </w:rPr>
              <w:t xml:space="preserve"> (11.2)</w:t>
            </w:r>
          </w:p>
        </w:tc>
      </w:tr>
      <w:tr w:rsidR="00B467EA" w:rsidTr="007007A5">
        <w:tc>
          <w:tcPr>
            <w:tcW w:w="1384" w:type="dxa"/>
          </w:tcPr>
          <w:p w:rsidR="00B467EA" w:rsidRPr="007007A5" w:rsidRDefault="00B467EA" w:rsidP="00FE4027">
            <w:pPr>
              <w:pStyle w:val="NormalWeb"/>
              <w:rPr>
                <w:rFonts w:ascii="Arial" w:hAnsi="Arial" w:cs="Arial"/>
                <w:b/>
                <w:sz w:val="22"/>
                <w:szCs w:val="22"/>
              </w:rPr>
            </w:pPr>
            <w:r w:rsidRPr="007007A5">
              <w:rPr>
                <w:rFonts w:ascii="Arial" w:hAnsi="Arial" w:cs="Arial"/>
                <w:b/>
                <w:sz w:val="22"/>
                <w:szCs w:val="22"/>
              </w:rPr>
              <w:t>2012/13</w:t>
            </w:r>
          </w:p>
        </w:tc>
        <w:tc>
          <w:tcPr>
            <w:tcW w:w="2315" w:type="dxa"/>
          </w:tcPr>
          <w:p w:rsidR="00B467EA" w:rsidRDefault="00B467EA" w:rsidP="007007A5">
            <w:pPr>
              <w:pStyle w:val="NormalWeb"/>
              <w:jc w:val="center"/>
              <w:rPr>
                <w:rFonts w:ascii="Arial" w:hAnsi="Arial" w:cs="Arial"/>
                <w:sz w:val="22"/>
                <w:szCs w:val="22"/>
              </w:rPr>
            </w:pPr>
            <w:r>
              <w:rPr>
                <w:rFonts w:ascii="Arial" w:hAnsi="Arial" w:cs="Arial"/>
                <w:sz w:val="22"/>
                <w:szCs w:val="22"/>
              </w:rPr>
              <w:t>3.4</w:t>
            </w:r>
          </w:p>
        </w:tc>
        <w:tc>
          <w:tcPr>
            <w:tcW w:w="2315" w:type="dxa"/>
          </w:tcPr>
          <w:p w:rsidR="00B467EA" w:rsidRDefault="00B467EA" w:rsidP="007007A5">
            <w:pPr>
              <w:pStyle w:val="NormalWeb"/>
              <w:jc w:val="center"/>
              <w:rPr>
                <w:rFonts w:ascii="Arial" w:hAnsi="Arial" w:cs="Arial"/>
                <w:sz w:val="22"/>
                <w:szCs w:val="22"/>
              </w:rPr>
            </w:pPr>
            <w:r>
              <w:rPr>
                <w:rFonts w:ascii="Arial" w:hAnsi="Arial" w:cs="Arial"/>
                <w:sz w:val="22"/>
                <w:szCs w:val="22"/>
              </w:rPr>
              <w:t>70</w:t>
            </w:r>
            <w:r w:rsidR="007007A5">
              <w:rPr>
                <w:rFonts w:ascii="Arial" w:hAnsi="Arial" w:cs="Arial"/>
                <w:sz w:val="22"/>
                <w:szCs w:val="22"/>
              </w:rPr>
              <w:t xml:space="preserve"> </w:t>
            </w:r>
            <w:r w:rsidR="006C7144">
              <w:rPr>
                <w:rFonts w:ascii="Arial" w:hAnsi="Arial" w:cs="Arial"/>
                <w:sz w:val="22"/>
                <w:szCs w:val="22"/>
              </w:rPr>
              <w:t>(29.2)</w:t>
            </w:r>
          </w:p>
        </w:tc>
        <w:tc>
          <w:tcPr>
            <w:tcW w:w="2316" w:type="dxa"/>
          </w:tcPr>
          <w:p w:rsidR="00B467EA" w:rsidRDefault="00B467EA" w:rsidP="007007A5">
            <w:pPr>
              <w:pStyle w:val="NormalWeb"/>
              <w:jc w:val="center"/>
              <w:rPr>
                <w:rFonts w:ascii="Arial" w:hAnsi="Arial" w:cs="Arial"/>
                <w:sz w:val="22"/>
                <w:szCs w:val="22"/>
              </w:rPr>
            </w:pPr>
            <w:r>
              <w:rPr>
                <w:rFonts w:ascii="Arial" w:hAnsi="Arial" w:cs="Arial"/>
                <w:sz w:val="22"/>
                <w:szCs w:val="22"/>
              </w:rPr>
              <w:t>31,280</w:t>
            </w:r>
            <w:r w:rsidR="006C7144">
              <w:rPr>
                <w:rFonts w:ascii="Arial" w:hAnsi="Arial" w:cs="Arial"/>
                <w:sz w:val="22"/>
                <w:szCs w:val="22"/>
              </w:rPr>
              <w:t xml:space="preserve"> (19.4)</w:t>
            </w:r>
          </w:p>
        </w:tc>
      </w:tr>
      <w:tr w:rsidR="00B467EA" w:rsidTr="007007A5">
        <w:tc>
          <w:tcPr>
            <w:tcW w:w="1384" w:type="dxa"/>
          </w:tcPr>
          <w:p w:rsidR="00B467EA" w:rsidRPr="007007A5" w:rsidRDefault="00B467EA" w:rsidP="00FE4027">
            <w:pPr>
              <w:pStyle w:val="NormalWeb"/>
              <w:rPr>
                <w:rFonts w:ascii="Arial" w:hAnsi="Arial" w:cs="Arial"/>
                <w:b/>
                <w:sz w:val="22"/>
                <w:szCs w:val="22"/>
              </w:rPr>
            </w:pPr>
            <w:r w:rsidRPr="007007A5">
              <w:rPr>
                <w:rFonts w:ascii="Arial" w:hAnsi="Arial" w:cs="Arial"/>
                <w:b/>
                <w:sz w:val="22"/>
                <w:szCs w:val="22"/>
              </w:rPr>
              <w:t>2011/12</w:t>
            </w:r>
          </w:p>
        </w:tc>
        <w:tc>
          <w:tcPr>
            <w:tcW w:w="2315" w:type="dxa"/>
          </w:tcPr>
          <w:p w:rsidR="00B467EA" w:rsidRDefault="00B467EA" w:rsidP="007007A5">
            <w:pPr>
              <w:pStyle w:val="NormalWeb"/>
              <w:jc w:val="center"/>
              <w:rPr>
                <w:rFonts w:ascii="Arial" w:hAnsi="Arial" w:cs="Arial"/>
                <w:sz w:val="22"/>
                <w:szCs w:val="22"/>
              </w:rPr>
            </w:pPr>
            <w:r>
              <w:rPr>
                <w:rFonts w:ascii="Arial" w:hAnsi="Arial" w:cs="Arial"/>
                <w:sz w:val="22"/>
                <w:szCs w:val="22"/>
              </w:rPr>
              <w:t>5.8</w:t>
            </w:r>
          </w:p>
        </w:tc>
        <w:tc>
          <w:tcPr>
            <w:tcW w:w="2315" w:type="dxa"/>
          </w:tcPr>
          <w:p w:rsidR="00B467EA" w:rsidRDefault="00B467EA" w:rsidP="007007A5">
            <w:pPr>
              <w:pStyle w:val="NormalWeb"/>
              <w:jc w:val="center"/>
              <w:rPr>
                <w:rFonts w:ascii="Arial" w:hAnsi="Arial" w:cs="Arial"/>
                <w:sz w:val="22"/>
                <w:szCs w:val="22"/>
              </w:rPr>
            </w:pPr>
            <w:r>
              <w:rPr>
                <w:rFonts w:ascii="Arial" w:hAnsi="Arial" w:cs="Arial"/>
                <w:sz w:val="22"/>
                <w:szCs w:val="22"/>
              </w:rPr>
              <w:t>30</w:t>
            </w:r>
            <w:r w:rsidR="006C7144">
              <w:rPr>
                <w:rFonts w:ascii="Arial" w:hAnsi="Arial" w:cs="Arial"/>
                <w:sz w:val="22"/>
                <w:szCs w:val="22"/>
              </w:rPr>
              <w:t xml:space="preserve"> (11.2)</w:t>
            </w:r>
          </w:p>
        </w:tc>
        <w:tc>
          <w:tcPr>
            <w:tcW w:w="2316" w:type="dxa"/>
          </w:tcPr>
          <w:p w:rsidR="00B467EA" w:rsidRDefault="00B467EA" w:rsidP="007007A5">
            <w:pPr>
              <w:pStyle w:val="NormalWeb"/>
              <w:jc w:val="center"/>
              <w:rPr>
                <w:rFonts w:ascii="Arial" w:hAnsi="Arial" w:cs="Arial"/>
                <w:sz w:val="22"/>
                <w:szCs w:val="22"/>
              </w:rPr>
            </w:pPr>
            <w:r>
              <w:rPr>
                <w:rFonts w:ascii="Arial" w:hAnsi="Arial" w:cs="Arial"/>
                <w:sz w:val="22"/>
                <w:szCs w:val="22"/>
              </w:rPr>
              <w:t>24,200</w:t>
            </w:r>
            <w:r w:rsidR="006C7144">
              <w:rPr>
                <w:rFonts w:ascii="Arial" w:hAnsi="Arial" w:cs="Arial"/>
                <w:sz w:val="22"/>
                <w:szCs w:val="22"/>
              </w:rPr>
              <w:t xml:space="preserve"> (15.3)</w:t>
            </w:r>
          </w:p>
        </w:tc>
      </w:tr>
      <w:tr w:rsidR="00B467EA" w:rsidTr="007007A5">
        <w:tc>
          <w:tcPr>
            <w:tcW w:w="1384" w:type="dxa"/>
          </w:tcPr>
          <w:p w:rsidR="00B467EA" w:rsidRPr="007007A5" w:rsidRDefault="00EE38CD" w:rsidP="00FE4027">
            <w:pPr>
              <w:pStyle w:val="NormalWeb"/>
              <w:rPr>
                <w:rFonts w:ascii="Arial" w:hAnsi="Arial" w:cs="Arial"/>
                <w:b/>
                <w:sz w:val="22"/>
                <w:szCs w:val="22"/>
              </w:rPr>
            </w:pPr>
            <w:r w:rsidRPr="007007A5">
              <w:rPr>
                <w:rFonts w:ascii="Arial" w:hAnsi="Arial" w:cs="Arial"/>
                <w:b/>
                <w:sz w:val="22"/>
                <w:szCs w:val="22"/>
              </w:rPr>
              <w:t>2010/11</w:t>
            </w:r>
          </w:p>
        </w:tc>
        <w:tc>
          <w:tcPr>
            <w:tcW w:w="2315" w:type="dxa"/>
          </w:tcPr>
          <w:p w:rsidR="00B467EA" w:rsidRDefault="00EE38CD" w:rsidP="007007A5">
            <w:pPr>
              <w:pStyle w:val="NormalWeb"/>
              <w:jc w:val="center"/>
              <w:rPr>
                <w:rFonts w:ascii="Arial" w:hAnsi="Arial" w:cs="Arial"/>
                <w:sz w:val="22"/>
                <w:szCs w:val="22"/>
              </w:rPr>
            </w:pPr>
            <w:r>
              <w:rPr>
                <w:rFonts w:ascii="Arial" w:hAnsi="Arial" w:cs="Arial"/>
                <w:sz w:val="22"/>
                <w:szCs w:val="22"/>
              </w:rPr>
              <w:t>4.0</w:t>
            </w:r>
          </w:p>
        </w:tc>
        <w:tc>
          <w:tcPr>
            <w:tcW w:w="2315" w:type="dxa"/>
          </w:tcPr>
          <w:p w:rsidR="00B467EA" w:rsidRDefault="00EE38CD" w:rsidP="007007A5">
            <w:pPr>
              <w:pStyle w:val="NormalWeb"/>
              <w:jc w:val="center"/>
              <w:rPr>
                <w:rFonts w:ascii="Arial" w:hAnsi="Arial" w:cs="Arial"/>
                <w:sz w:val="22"/>
                <w:szCs w:val="22"/>
              </w:rPr>
            </w:pPr>
            <w:r>
              <w:rPr>
                <w:rFonts w:ascii="Arial" w:hAnsi="Arial" w:cs="Arial"/>
                <w:sz w:val="22"/>
                <w:szCs w:val="22"/>
              </w:rPr>
              <w:t>40</w:t>
            </w:r>
            <w:r w:rsidR="007007A5">
              <w:rPr>
                <w:rFonts w:ascii="Arial" w:hAnsi="Arial" w:cs="Arial"/>
                <w:sz w:val="22"/>
                <w:szCs w:val="22"/>
              </w:rPr>
              <w:t xml:space="preserve"> (16.4</w:t>
            </w:r>
            <w:r w:rsidR="006C7144">
              <w:rPr>
                <w:rFonts w:ascii="Arial" w:hAnsi="Arial" w:cs="Arial"/>
                <w:sz w:val="22"/>
                <w:szCs w:val="22"/>
              </w:rPr>
              <w:t>)</w:t>
            </w:r>
          </w:p>
        </w:tc>
        <w:tc>
          <w:tcPr>
            <w:tcW w:w="2316" w:type="dxa"/>
          </w:tcPr>
          <w:p w:rsidR="00B467EA" w:rsidRDefault="00EE38CD" w:rsidP="007007A5">
            <w:pPr>
              <w:pStyle w:val="NormalWeb"/>
              <w:jc w:val="center"/>
              <w:rPr>
                <w:rFonts w:ascii="Arial" w:hAnsi="Arial" w:cs="Arial"/>
                <w:sz w:val="22"/>
                <w:szCs w:val="22"/>
              </w:rPr>
            </w:pPr>
            <w:r>
              <w:rPr>
                <w:rFonts w:ascii="Arial" w:hAnsi="Arial" w:cs="Arial"/>
                <w:sz w:val="22"/>
                <w:szCs w:val="22"/>
              </w:rPr>
              <w:t>26,080</w:t>
            </w:r>
            <w:r w:rsidR="006C7144">
              <w:rPr>
                <w:rFonts w:ascii="Arial" w:hAnsi="Arial" w:cs="Arial"/>
                <w:sz w:val="22"/>
                <w:szCs w:val="22"/>
              </w:rPr>
              <w:t xml:space="preserve"> (16.7)</w:t>
            </w:r>
          </w:p>
        </w:tc>
      </w:tr>
      <w:tr w:rsidR="00B467EA" w:rsidTr="007007A5">
        <w:tc>
          <w:tcPr>
            <w:tcW w:w="1384" w:type="dxa"/>
          </w:tcPr>
          <w:p w:rsidR="00B467EA" w:rsidRPr="00EE38CD" w:rsidRDefault="00B467EA" w:rsidP="00FE4027">
            <w:pPr>
              <w:pStyle w:val="NormalWeb"/>
              <w:rPr>
                <w:rFonts w:ascii="Arial" w:hAnsi="Arial" w:cs="Arial"/>
                <w:i/>
                <w:sz w:val="22"/>
                <w:szCs w:val="22"/>
              </w:rPr>
            </w:pPr>
            <w:r w:rsidRPr="00EE38CD">
              <w:rPr>
                <w:rFonts w:ascii="Arial" w:hAnsi="Arial" w:cs="Arial"/>
                <w:i/>
                <w:sz w:val="22"/>
                <w:szCs w:val="22"/>
              </w:rPr>
              <w:t>1999/2000</w:t>
            </w:r>
          </w:p>
        </w:tc>
        <w:tc>
          <w:tcPr>
            <w:tcW w:w="2315" w:type="dxa"/>
          </w:tcPr>
          <w:p w:rsidR="00B467EA" w:rsidRPr="00EE38CD" w:rsidRDefault="00B467EA" w:rsidP="007007A5">
            <w:pPr>
              <w:pStyle w:val="NormalWeb"/>
              <w:jc w:val="center"/>
              <w:rPr>
                <w:rFonts w:ascii="Arial" w:hAnsi="Arial" w:cs="Arial"/>
                <w:i/>
                <w:sz w:val="22"/>
                <w:szCs w:val="22"/>
              </w:rPr>
            </w:pPr>
            <w:r w:rsidRPr="00EE38CD">
              <w:rPr>
                <w:rFonts w:ascii="Arial" w:hAnsi="Arial" w:cs="Arial"/>
                <w:i/>
                <w:sz w:val="22"/>
                <w:szCs w:val="22"/>
              </w:rPr>
              <w:t>5.5</w:t>
            </w:r>
          </w:p>
        </w:tc>
        <w:tc>
          <w:tcPr>
            <w:tcW w:w="2315" w:type="dxa"/>
          </w:tcPr>
          <w:p w:rsidR="00B467EA" w:rsidRPr="00EE38CD" w:rsidRDefault="00B467EA" w:rsidP="007007A5">
            <w:pPr>
              <w:pStyle w:val="NormalWeb"/>
              <w:jc w:val="center"/>
              <w:rPr>
                <w:rFonts w:ascii="Arial" w:hAnsi="Arial" w:cs="Arial"/>
                <w:i/>
                <w:sz w:val="22"/>
                <w:szCs w:val="22"/>
              </w:rPr>
            </w:pPr>
            <w:r w:rsidRPr="00EE38CD">
              <w:rPr>
                <w:rFonts w:ascii="Arial" w:hAnsi="Arial" w:cs="Arial"/>
                <w:i/>
                <w:sz w:val="22"/>
                <w:szCs w:val="22"/>
              </w:rPr>
              <w:t>90</w:t>
            </w:r>
          </w:p>
        </w:tc>
        <w:tc>
          <w:tcPr>
            <w:tcW w:w="2316" w:type="dxa"/>
          </w:tcPr>
          <w:p w:rsidR="00B467EA" w:rsidRPr="00EE38CD" w:rsidRDefault="00B467EA" w:rsidP="007007A5">
            <w:pPr>
              <w:pStyle w:val="NormalWeb"/>
              <w:jc w:val="center"/>
              <w:rPr>
                <w:rFonts w:ascii="Arial" w:hAnsi="Arial" w:cs="Arial"/>
                <w:i/>
                <w:sz w:val="22"/>
                <w:szCs w:val="22"/>
              </w:rPr>
            </w:pPr>
            <w:r w:rsidRPr="00EE38CD">
              <w:rPr>
                <w:rFonts w:ascii="Arial" w:hAnsi="Arial" w:cs="Arial"/>
                <w:i/>
                <w:sz w:val="22"/>
                <w:szCs w:val="22"/>
              </w:rPr>
              <w:t>48,440</w:t>
            </w:r>
            <w:r w:rsidR="006C7144">
              <w:rPr>
                <w:rFonts w:ascii="Arial" w:hAnsi="Arial" w:cs="Arial"/>
                <w:i/>
                <w:sz w:val="22"/>
                <w:szCs w:val="22"/>
              </w:rPr>
              <w:t xml:space="preserve"> (28.0)</w:t>
            </w:r>
          </w:p>
        </w:tc>
      </w:tr>
    </w:tbl>
    <w:p w:rsidR="008D787F" w:rsidRPr="008D787F" w:rsidRDefault="008D787F" w:rsidP="00756B8A">
      <w:pPr>
        <w:pStyle w:val="NormalWeb"/>
        <w:shd w:val="clear" w:color="auto" w:fill="FFFFFF"/>
        <w:spacing w:before="0" w:beforeAutospacing="0"/>
        <w:rPr>
          <w:rFonts w:ascii="Arial" w:hAnsi="Arial" w:cs="Arial"/>
          <w:sz w:val="20"/>
          <w:szCs w:val="20"/>
        </w:rPr>
      </w:pPr>
      <w:r w:rsidRPr="008D787F">
        <w:rPr>
          <w:rFonts w:ascii="Arial" w:hAnsi="Arial" w:cs="Arial"/>
          <w:sz w:val="20"/>
          <w:szCs w:val="20"/>
        </w:rPr>
        <w:t>*EWM index is calculated as the number of excess winte</w:t>
      </w:r>
      <w:r w:rsidR="00801D3B">
        <w:rPr>
          <w:rFonts w:ascii="Arial" w:hAnsi="Arial" w:cs="Arial"/>
          <w:sz w:val="20"/>
          <w:szCs w:val="20"/>
        </w:rPr>
        <w:t>r deaths divided by the average</w:t>
      </w:r>
      <w:r w:rsidRPr="008D787F">
        <w:rPr>
          <w:rFonts w:ascii="Arial" w:hAnsi="Arial" w:cs="Arial"/>
          <w:sz w:val="20"/>
          <w:szCs w:val="20"/>
        </w:rPr>
        <w:t xml:space="preserve"> non-winter deaths, expressed as a percentage. </w:t>
      </w:r>
    </w:p>
    <w:p w:rsidR="00967B94" w:rsidRDefault="00ED5653" w:rsidP="00FE4027">
      <w:pPr>
        <w:pStyle w:val="NormalWeb"/>
        <w:shd w:val="clear" w:color="auto" w:fill="FFFFFF"/>
        <w:rPr>
          <w:rFonts w:ascii="Arial" w:hAnsi="Arial" w:cs="Arial"/>
          <w:sz w:val="22"/>
          <w:szCs w:val="22"/>
        </w:rPr>
      </w:pPr>
      <w:r>
        <w:rPr>
          <w:rFonts w:ascii="Arial" w:hAnsi="Arial" w:cs="Arial"/>
          <w:sz w:val="22"/>
          <w:szCs w:val="22"/>
        </w:rPr>
        <w:t>It is noted that r</w:t>
      </w:r>
      <w:r w:rsidR="00967B94">
        <w:rPr>
          <w:rFonts w:ascii="Arial" w:hAnsi="Arial" w:cs="Arial"/>
          <w:sz w:val="22"/>
          <w:szCs w:val="22"/>
        </w:rPr>
        <w:t>espiratory diseases cause the most excess winter deaths</w:t>
      </w:r>
      <w:r w:rsidR="00967B94">
        <w:rPr>
          <w:rStyle w:val="FootnoteReference"/>
          <w:rFonts w:ascii="Arial" w:hAnsi="Arial"/>
          <w:sz w:val="22"/>
          <w:szCs w:val="22"/>
        </w:rPr>
        <w:footnoteReference w:id="6"/>
      </w:r>
      <w:r w:rsidR="00967B94">
        <w:rPr>
          <w:rFonts w:ascii="Arial" w:hAnsi="Arial" w:cs="Arial"/>
          <w:sz w:val="22"/>
          <w:szCs w:val="22"/>
        </w:rPr>
        <w:t xml:space="preserve">.  Cold homes can affect or exacerbate a range of health problems including respiratory problems, circulatory problems and increased risk of </w:t>
      </w:r>
      <w:r w:rsidR="00801D3B">
        <w:rPr>
          <w:rFonts w:ascii="Arial" w:hAnsi="Arial" w:cs="Arial"/>
          <w:sz w:val="22"/>
          <w:szCs w:val="22"/>
        </w:rPr>
        <w:t xml:space="preserve">poor </w:t>
      </w:r>
      <w:r w:rsidR="00967B94">
        <w:rPr>
          <w:rFonts w:ascii="Arial" w:hAnsi="Arial" w:cs="Arial"/>
          <w:sz w:val="22"/>
          <w:szCs w:val="22"/>
        </w:rPr>
        <w:t>mental health</w:t>
      </w:r>
      <w:r w:rsidR="009B382F">
        <w:rPr>
          <w:rFonts w:ascii="Arial" w:hAnsi="Arial" w:cs="Arial"/>
          <w:sz w:val="22"/>
          <w:szCs w:val="22"/>
        </w:rPr>
        <w:t>. I</w:t>
      </w:r>
      <w:r w:rsidR="00D0440C" w:rsidRPr="00D0440C">
        <w:rPr>
          <w:rFonts w:ascii="Arial" w:hAnsi="Arial" w:cs="Arial"/>
          <w:sz w:val="22"/>
          <w:szCs w:val="22"/>
        </w:rPr>
        <w:t xml:space="preserve">nterventions to improve the energy efficiency of the home, including insulation and central heating upgrades, are likely to lead to </w:t>
      </w:r>
      <w:r w:rsidR="00801D3B">
        <w:rPr>
          <w:rFonts w:ascii="Arial" w:hAnsi="Arial" w:cs="Arial"/>
          <w:sz w:val="22"/>
          <w:szCs w:val="22"/>
        </w:rPr>
        <w:t>warmer homes and</w:t>
      </w:r>
      <w:r w:rsidR="00D0440C" w:rsidRPr="00D0440C">
        <w:rPr>
          <w:rFonts w:ascii="Arial" w:hAnsi="Arial" w:cs="Arial"/>
          <w:sz w:val="22"/>
          <w:szCs w:val="22"/>
        </w:rPr>
        <w:t xml:space="preserve"> to reduce cold home-related ill-health.</w:t>
      </w:r>
      <w:r w:rsidR="00D0440C" w:rsidRPr="00D0440C">
        <w:rPr>
          <w:rStyle w:val="FootnoteReference"/>
          <w:rFonts w:ascii="Arial" w:hAnsi="Arial" w:cs="Arial"/>
          <w:sz w:val="22"/>
          <w:szCs w:val="22"/>
        </w:rPr>
        <w:footnoteReference w:id="7"/>
      </w:r>
    </w:p>
    <w:p w:rsidR="00AF7818" w:rsidRDefault="00E62956" w:rsidP="00FE4027">
      <w:pPr>
        <w:pStyle w:val="NormalWeb"/>
        <w:shd w:val="clear" w:color="auto" w:fill="FFFFFF"/>
        <w:rPr>
          <w:rFonts w:ascii="Arial" w:hAnsi="Arial" w:cs="Arial"/>
          <w:sz w:val="22"/>
          <w:szCs w:val="22"/>
        </w:rPr>
      </w:pPr>
      <w:r w:rsidRPr="00434CA6">
        <w:rPr>
          <w:rFonts w:ascii="Arial" w:hAnsi="Arial" w:cs="Arial"/>
          <w:sz w:val="22"/>
          <w:szCs w:val="22"/>
        </w:rPr>
        <w:t>As part of the Her</w:t>
      </w:r>
      <w:r w:rsidR="00D03DB5">
        <w:rPr>
          <w:rFonts w:ascii="Arial" w:hAnsi="Arial" w:cs="Arial"/>
          <w:sz w:val="22"/>
          <w:szCs w:val="22"/>
        </w:rPr>
        <w:t>ts Healthy Homes initiative, 77</w:t>
      </w:r>
      <w:r w:rsidRPr="00434CA6">
        <w:rPr>
          <w:rFonts w:ascii="Arial" w:hAnsi="Arial" w:cs="Arial"/>
          <w:sz w:val="22"/>
          <w:szCs w:val="22"/>
        </w:rPr>
        <w:t xml:space="preserve"> vulnerable households in Three Rivers have received a free energy efficiency advice home visit since </w:t>
      </w:r>
      <w:r w:rsidR="00D03DB5">
        <w:rPr>
          <w:rFonts w:ascii="Arial" w:hAnsi="Arial" w:cs="Arial"/>
          <w:sz w:val="22"/>
          <w:szCs w:val="22"/>
        </w:rPr>
        <w:t>October 2014</w:t>
      </w:r>
      <w:r w:rsidRPr="00434CA6">
        <w:rPr>
          <w:rFonts w:ascii="Arial" w:hAnsi="Arial" w:cs="Arial"/>
          <w:sz w:val="22"/>
          <w:szCs w:val="22"/>
        </w:rPr>
        <w:t>.</w:t>
      </w:r>
      <w:r w:rsidRPr="00602252">
        <w:rPr>
          <w:rFonts w:ascii="Arial" w:hAnsi="Arial" w:cs="Arial"/>
          <w:sz w:val="22"/>
          <w:szCs w:val="22"/>
        </w:rPr>
        <w:t xml:space="preserve"> </w:t>
      </w:r>
    </w:p>
    <w:p w:rsidR="00FA2224" w:rsidRDefault="00E62956" w:rsidP="00FE4027">
      <w:pPr>
        <w:pStyle w:val="NormalWeb"/>
        <w:shd w:val="clear" w:color="auto" w:fill="FFFFFF"/>
        <w:rPr>
          <w:rFonts w:ascii="Arial" w:hAnsi="Arial" w:cs="Arial"/>
          <w:color w:val="000000"/>
          <w:sz w:val="22"/>
          <w:szCs w:val="22"/>
          <w:shd w:val="clear" w:color="auto" w:fill="FFFFFF"/>
        </w:rPr>
      </w:pPr>
      <w:r w:rsidRPr="00602252">
        <w:rPr>
          <w:rFonts w:ascii="Arial" w:hAnsi="Arial" w:cs="Arial"/>
          <w:sz w:val="22"/>
          <w:szCs w:val="22"/>
        </w:rPr>
        <w:t>The Council’s long running ‘Beat the Killer Cold’ campaign</w:t>
      </w:r>
      <w:r>
        <w:rPr>
          <w:rFonts w:ascii="Arial" w:hAnsi="Arial" w:cs="Arial"/>
          <w:sz w:val="22"/>
          <w:szCs w:val="22"/>
        </w:rPr>
        <w:t xml:space="preserve"> also</w:t>
      </w:r>
      <w:r w:rsidR="00481091">
        <w:rPr>
          <w:rFonts w:ascii="Arial" w:hAnsi="Arial" w:cs="Arial"/>
          <w:color w:val="000000"/>
          <w:sz w:val="22"/>
          <w:szCs w:val="22"/>
          <w:shd w:val="clear" w:color="auto" w:fill="FFFFFF"/>
        </w:rPr>
        <w:t xml:space="preserve"> provides</w:t>
      </w:r>
      <w:r w:rsidR="00AF7818">
        <w:rPr>
          <w:rFonts w:ascii="Arial" w:hAnsi="Arial" w:cs="Arial"/>
          <w:color w:val="000000"/>
          <w:sz w:val="22"/>
          <w:szCs w:val="22"/>
          <w:shd w:val="clear" w:color="auto" w:fill="FFFFFF"/>
        </w:rPr>
        <w:t xml:space="preserve"> extra help to residents of pensionable age and on qualifying benefits who are</w:t>
      </w:r>
      <w:r w:rsidR="005F3935">
        <w:rPr>
          <w:rFonts w:ascii="Arial" w:hAnsi="Arial" w:cs="Arial"/>
          <w:color w:val="000000"/>
          <w:sz w:val="22"/>
          <w:szCs w:val="22"/>
          <w:shd w:val="clear" w:color="auto" w:fill="FFFFFF"/>
        </w:rPr>
        <w:t xml:space="preserve"> in need in the District</w:t>
      </w:r>
      <w:r w:rsidR="00AF7818">
        <w:rPr>
          <w:rFonts w:ascii="Arial" w:hAnsi="Arial" w:cs="Arial"/>
          <w:color w:val="000000"/>
          <w:sz w:val="22"/>
          <w:szCs w:val="22"/>
          <w:shd w:val="clear" w:color="auto" w:fill="FFFFFF"/>
        </w:rPr>
        <w:t>.</w:t>
      </w:r>
      <w:r w:rsidR="005F3935">
        <w:rPr>
          <w:rFonts w:ascii="Arial" w:hAnsi="Arial" w:cs="Arial"/>
          <w:color w:val="000000"/>
          <w:sz w:val="22"/>
          <w:szCs w:val="22"/>
          <w:shd w:val="clear" w:color="auto" w:fill="FFFFFF"/>
        </w:rPr>
        <w:t xml:space="preserve"> </w:t>
      </w:r>
      <w:r w:rsidR="00AF7818">
        <w:rPr>
          <w:rFonts w:ascii="Arial" w:hAnsi="Arial" w:cs="Arial"/>
          <w:color w:val="000000"/>
          <w:sz w:val="22"/>
          <w:szCs w:val="22"/>
          <w:shd w:val="clear" w:color="auto" w:fill="FFFFFF"/>
        </w:rPr>
        <w:t>121 households were helped by the scheme in the winter of 2015/16 and 115 in 2016/17.</w:t>
      </w:r>
    </w:p>
    <w:p w:rsidR="00A973C9" w:rsidRDefault="005A1162" w:rsidP="00FE4027">
      <w:pPr>
        <w:pStyle w:val="NormalWeb"/>
        <w:shd w:val="clear" w:color="auto" w:fill="FFFFFF"/>
        <w:rPr>
          <w:rFonts w:ascii="Arial" w:hAnsi="Arial" w:cs="Arial"/>
          <w:sz w:val="22"/>
          <w:szCs w:val="22"/>
          <w:u w:val="single"/>
        </w:rPr>
      </w:pPr>
      <w:r w:rsidRPr="00AF7818">
        <w:rPr>
          <w:rFonts w:ascii="Arial" w:hAnsi="Arial" w:cs="Arial"/>
          <w:color w:val="000000"/>
          <w:sz w:val="22"/>
          <w:szCs w:val="22"/>
          <w:shd w:val="clear" w:color="auto" w:fill="FFFFFF"/>
        </w:rPr>
        <w:lastRenderedPageBreak/>
        <w:t>Fuel Poverty issues are addressed through a combination of resources in the Community Partnerships, Sustainability and Residential Environmental Health teams and aims within the Community Strategy, Climate Change and Sustainability Strategy and Housing Strategy.</w:t>
      </w:r>
      <w:r w:rsidR="00252BE9" w:rsidRPr="00AF7818">
        <w:rPr>
          <w:rFonts w:ascii="Arial" w:hAnsi="Arial" w:cs="Arial"/>
          <w:color w:val="000000"/>
          <w:sz w:val="22"/>
          <w:szCs w:val="22"/>
          <w:shd w:val="clear" w:color="auto" w:fill="FFFFFF"/>
        </w:rPr>
        <w:t xml:space="preserve"> </w:t>
      </w:r>
      <w:r w:rsidR="00AF7818" w:rsidRPr="00AF7818">
        <w:rPr>
          <w:rFonts w:ascii="Arial" w:hAnsi="Arial" w:cs="Arial"/>
          <w:color w:val="000000"/>
          <w:sz w:val="22"/>
          <w:szCs w:val="22"/>
          <w:shd w:val="clear" w:color="auto" w:fill="FFFFFF"/>
        </w:rPr>
        <w:t>Further</w:t>
      </w:r>
      <w:r w:rsidR="00ED58CE">
        <w:rPr>
          <w:rFonts w:ascii="Arial" w:hAnsi="Arial" w:cs="Arial"/>
          <w:color w:val="000000"/>
          <w:sz w:val="22"/>
          <w:szCs w:val="22"/>
          <w:shd w:val="clear" w:color="auto" w:fill="FFFFFF"/>
        </w:rPr>
        <w:t>more,</w:t>
      </w:r>
      <w:r w:rsidR="00252BE9" w:rsidRPr="00AF7818">
        <w:rPr>
          <w:rFonts w:ascii="Arial" w:hAnsi="Arial" w:cs="Arial"/>
          <w:color w:val="000000"/>
          <w:sz w:val="22"/>
          <w:szCs w:val="22"/>
          <w:shd w:val="clear" w:color="auto" w:fill="FFFFFF"/>
        </w:rPr>
        <w:t xml:space="preserve"> the Herts Healthy Homes</w:t>
      </w:r>
      <w:r w:rsidR="00580AAE" w:rsidRPr="00AF7818">
        <w:rPr>
          <w:rFonts w:ascii="Arial" w:hAnsi="Arial" w:cs="Arial"/>
          <w:color w:val="000000"/>
          <w:sz w:val="22"/>
          <w:szCs w:val="22"/>
          <w:shd w:val="clear" w:color="auto" w:fill="FFFFFF"/>
        </w:rPr>
        <w:t>/Safe and Well visits</w:t>
      </w:r>
      <w:r w:rsidR="00252BE9" w:rsidRPr="00AF7818">
        <w:rPr>
          <w:rFonts w:ascii="Arial" w:hAnsi="Arial" w:cs="Arial"/>
          <w:color w:val="000000"/>
          <w:sz w:val="22"/>
          <w:szCs w:val="22"/>
          <w:shd w:val="clear" w:color="auto" w:fill="FFFFFF"/>
        </w:rPr>
        <w:t xml:space="preserve"> and</w:t>
      </w:r>
      <w:r w:rsidR="007031E4" w:rsidRPr="00AF7818">
        <w:rPr>
          <w:rFonts w:ascii="Arial" w:hAnsi="Arial" w:cs="Arial"/>
          <w:color w:val="000000"/>
          <w:sz w:val="22"/>
          <w:szCs w:val="22"/>
          <w:shd w:val="clear" w:color="auto" w:fill="FFFFFF"/>
        </w:rPr>
        <w:t xml:space="preserve"> the</w:t>
      </w:r>
      <w:r w:rsidR="00252BE9" w:rsidRPr="00AF7818">
        <w:rPr>
          <w:rFonts w:ascii="Arial" w:hAnsi="Arial" w:cs="Arial"/>
          <w:color w:val="000000"/>
          <w:sz w:val="22"/>
          <w:szCs w:val="22"/>
          <w:shd w:val="clear" w:color="auto" w:fill="FFFFFF"/>
        </w:rPr>
        <w:t xml:space="preserve"> proposed Warmer Homes scheme, whilst concentrating on the health of vulnerable residents, will help those who are in fuel poverty.</w:t>
      </w:r>
      <w:r w:rsidR="00E62956">
        <w:rPr>
          <w:rFonts w:ascii="Arial" w:hAnsi="Arial" w:cs="Arial"/>
          <w:color w:val="000000"/>
          <w:sz w:val="22"/>
          <w:szCs w:val="22"/>
          <w:shd w:val="clear" w:color="auto" w:fill="FFFFFF"/>
        </w:rPr>
        <w:br/>
      </w:r>
      <w:r w:rsidR="00C85BF3">
        <w:rPr>
          <w:rFonts w:ascii="Arial" w:hAnsi="Arial" w:cs="Arial"/>
          <w:color w:val="000000"/>
          <w:sz w:val="22"/>
          <w:szCs w:val="22"/>
          <w:shd w:val="clear" w:color="auto" w:fill="FFFFFF"/>
        </w:rPr>
        <w:br/>
      </w:r>
      <w:r w:rsidR="00A973C9" w:rsidRPr="005D0992">
        <w:rPr>
          <w:rFonts w:ascii="Arial" w:hAnsi="Arial" w:cs="Arial"/>
          <w:sz w:val="22"/>
          <w:szCs w:val="22"/>
          <w:u w:val="single"/>
        </w:rPr>
        <w:t>Energy Efficient Measures</w:t>
      </w:r>
    </w:p>
    <w:p w:rsidR="00BB2DE8" w:rsidRDefault="00A15CC3" w:rsidP="00BB2DE8">
      <w:pPr>
        <w:rPr>
          <w:rFonts w:ascii="Arial" w:hAnsi="Arial" w:cs="Arial"/>
          <w:sz w:val="22"/>
          <w:szCs w:val="22"/>
        </w:rPr>
      </w:pPr>
      <w:r>
        <w:rPr>
          <w:rFonts w:ascii="Arial" w:hAnsi="Arial" w:cs="Arial"/>
          <w:sz w:val="22"/>
          <w:szCs w:val="22"/>
        </w:rPr>
        <w:t>In 2014-15 308 new homes were built in the Three Rivers District and a further 243 were built in 2015-16</w:t>
      </w:r>
      <w:r w:rsidR="00ED58CE">
        <w:rPr>
          <w:rFonts w:ascii="Arial" w:hAnsi="Arial" w:cs="Arial"/>
          <w:sz w:val="22"/>
          <w:szCs w:val="22"/>
        </w:rPr>
        <w:t>,</w:t>
      </w:r>
      <w:r w:rsidRPr="005D0992">
        <w:rPr>
          <w:rFonts w:ascii="Arial" w:hAnsi="Arial" w:cs="Arial"/>
          <w:sz w:val="22"/>
          <w:szCs w:val="22"/>
        </w:rPr>
        <w:t xml:space="preserve"> all of which were required to submit a ‘CPLAN Energy and Sustainability Statement’.</w:t>
      </w:r>
      <w:r>
        <w:rPr>
          <w:rStyle w:val="FootnoteReference"/>
          <w:rFonts w:ascii="Arial" w:hAnsi="Arial"/>
          <w:sz w:val="22"/>
          <w:szCs w:val="22"/>
        </w:rPr>
        <w:footnoteReference w:id="8"/>
      </w:r>
      <w:r w:rsidR="00BB2DE8">
        <w:rPr>
          <w:rFonts w:ascii="Arial" w:hAnsi="Arial" w:cs="Arial"/>
          <w:sz w:val="22"/>
          <w:szCs w:val="22"/>
        </w:rPr>
        <w:t xml:space="preserve">  These statements needed to demonstrate how the development will produce 5% less carbon dioxide emissions than Building Regulations Part l requirements, having regard to feasibility and viability. </w:t>
      </w:r>
    </w:p>
    <w:p w:rsidR="00BB2DE8" w:rsidRDefault="00BB2DE8" w:rsidP="00BB2DE8">
      <w:pPr>
        <w:rPr>
          <w:rFonts w:ascii="Arial" w:hAnsi="Arial" w:cs="Arial"/>
          <w:sz w:val="22"/>
          <w:szCs w:val="22"/>
        </w:rPr>
      </w:pPr>
    </w:p>
    <w:p w:rsidR="00A15CC3" w:rsidRPr="00676F9C" w:rsidRDefault="00676F9C" w:rsidP="00676F9C">
      <w:pPr>
        <w:shd w:val="clear" w:color="auto" w:fill="FFFFFF"/>
        <w:rPr>
          <w:rFonts w:ascii="Arial" w:hAnsi="Arial" w:cs="Arial"/>
          <w:color w:val="000000"/>
          <w:sz w:val="22"/>
          <w:szCs w:val="22"/>
        </w:rPr>
      </w:pPr>
      <w:r w:rsidRPr="00676F9C">
        <w:rPr>
          <w:rFonts w:ascii="Arial" w:hAnsi="Arial" w:cs="Arial"/>
          <w:color w:val="000000"/>
          <w:sz w:val="22"/>
          <w:szCs w:val="22"/>
        </w:rPr>
        <w:t>The Energy Company Obligation (ECO) is a governm</w:t>
      </w:r>
      <w:r>
        <w:rPr>
          <w:rFonts w:ascii="Arial" w:hAnsi="Arial" w:cs="Arial"/>
          <w:color w:val="000000"/>
          <w:sz w:val="22"/>
          <w:szCs w:val="22"/>
        </w:rPr>
        <w:t xml:space="preserve">ent energy efficiency scheme </w:t>
      </w:r>
      <w:r w:rsidRPr="00676F9C">
        <w:rPr>
          <w:rFonts w:ascii="Arial" w:hAnsi="Arial" w:cs="Arial"/>
          <w:color w:val="000000"/>
          <w:sz w:val="22"/>
          <w:szCs w:val="22"/>
        </w:rPr>
        <w:t>to help reduce carbon emissions and tackle fuel poverty.</w:t>
      </w:r>
      <w:r>
        <w:rPr>
          <w:rFonts w:ascii="Arial" w:hAnsi="Arial" w:cs="Arial"/>
          <w:color w:val="000000"/>
          <w:sz w:val="22"/>
          <w:szCs w:val="22"/>
        </w:rPr>
        <w:t xml:space="preserve"> </w:t>
      </w:r>
      <w:r w:rsidRPr="00676F9C">
        <w:rPr>
          <w:rFonts w:ascii="Arial" w:hAnsi="Arial" w:cs="Arial"/>
          <w:color w:val="000000"/>
          <w:sz w:val="22"/>
          <w:szCs w:val="22"/>
        </w:rPr>
        <w:t>Under the scheme, larger energy suppliers have to deliver ener</w:t>
      </w:r>
      <w:r>
        <w:rPr>
          <w:rFonts w:ascii="Arial" w:hAnsi="Arial" w:cs="Arial"/>
          <w:color w:val="000000"/>
          <w:sz w:val="22"/>
          <w:szCs w:val="22"/>
        </w:rPr>
        <w:t xml:space="preserve">gy efficiency measures to homes. </w:t>
      </w:r>
      <w:r w:rsidR="00BB2DE8" w:rsidRPr="00AD7332">
        <w:rPr>
          <w:rFonts w:ascii="Arial" w:hAnsi="Arial" w:cs="Arial"/>
          <w:sz w:val="22"/>
          <w:szCs w:val="22"/>
        </w:rPr>
        <w:t>As of September 2016,</w:t>
      </w:r>
      <w:r w:rsidR="00BB2DE8">
        <w:rPr>
          <w:rFonts w:ascii="Arial" w:hAnsi="Arial" w:cs="Arial"/>
          <w:sz w:val="22"/>
          <w:szCs w:val="22"/>
        </w:rPr>
        <w:t xml:space="preserve"> 1,102 households in Three Rivers were in receipt of 1,280 ECO measures. Further, 43 households benefited from the</w:t>
      </w:r>
      <w:r w:rsidR="00BB2DE8" w:rsidRPr="005D0992">
        <w:rPr>
          <w:rFonts w:ascii="Arial" w:hAnsi="Arial" w:cs="Arial"/>
          <w:sz w:val="22"/>
          <w:szCs w:val="22"/>
        </w:rPr>
        <w:t xml:space="preserve"> Green Deal Home Improvement Fund</w:t>
      </w:r>
      <w:r w:rsidR="00BB2DE8">
        <w:rPr>
          <w:rFonts w:ascii="Arial" w:hAnsi="Arial" w:cs="Arial"/>
          <w:sz w:val="22"/>
          <w:szCs w:val="22"/>
        </w:rPr>
        <w:t xml:space="preserve"> before the scheme ended.</w:t>
      </w:r>
      <w:r w:rsidR="00BB2DE8" w:rsidRPr="008D1A61">
        <w:rPr>
          <w:rStyle w:val="FootnoteReference"/>
          <w:rFonts w:ascii="Arial" w:hAnsi="Arial"/>
          <w:sz w:val="22"/>
          <w:szCs w:val="22"/>
        </w:rPr>
        <w:t xml:space="preserve"> </w:t>
      </w:r>
      <w:r w:rsidR="00BB2DE8">
        <w:rPr>
          <w:rStyle w:val="FootnoteReference"/>
          <w:rFonts w:ascii="Arial" w:hAnsi="Arial"/>
          <w:sz w:val="22"/>
          <w:szCs w:val="22"/>
        </w:rPr>
        <w:footnoteReference w:id="9"/>
      </w:r>
      <w:r w:rsidR="00BB2DE8">
        <w:rPr>
          <w:rStyle w:val="FootnoteReference"/>
          <w:rFonts w:ascii="Arial" w:hAnsi="Arial"/>
          <w:sz w:val="22"/>
          <w:szCs w:val="22"/>
        </w:rPr>
        <w:br/>
      </w:r>
    </w:p>
    <w:tbl>
      <w:tblPr>
        <w:tblStyle w:val="TableGrid"/>
        <w:tblW w:w="0" w:type="auto"/>
        <w:tblLook w:val="04A0" w:firstRow="1" w:lastRow="0" w:firstColumn="1" w:lastColumn="0" w:noHBand="0" w:noVBand="1"/>
      </w:tblPr>
      <w:tblGrid>
        <w:gridCol w:w="2376"/>
        <w:gridCol w:w="1985"/>
        <w:gridCol w:w="2268"/>
        <w:gridCol w:w="1893"/>
      </w:tblGrid>
      <w:tr w:rsidR="00486125" w:rsidTr="00486125">
        <w:tc>
          <w:tcPr>
            <w:tcW w:w="2376" w:type="dxa"/>
          </w:tcPr>
          <w:p w:rsidR="00486125" w:rsidRDefault="00486125" w:rsidP="000B5ADF">
            <w:pPr>
              <w:rPr>
                <w:rFonts w:ascii="Arial" w:hAnsi="Arial" w:cs="Arial"/>
                <w:sz w:val="22"/>
                <w:szCs w:val="22"/>
              </w:rPr>
            </w:pPr>
          </w:p>
        </w:tc>
        <w:tc>
          <w:tcPr>
            <w:tcW w:w="1985" w:type="dxa"/>
          </w:tcPr>
          <w:p w:rsidR="00486125" w:rsidRPr="00486125" w:rsidRDefault="00486125" w:rsidP="00486125">
            <w:pPr>
              <w:jc w:val="center"/>
              <w:rPr>
                <w:rFonts w:ascii="Arial" w:hAnsi="Arial" w:cs="Arial"/>
                <w:b/>
                <w:sz w:val="22"/>
                <w:szCs w:val="22"/>
              </w:rPr>
            </w:pPr>
            <w:r w:rsidRPr="00486125">
              <w:rPr>
                <w:rFonts w:ascii="Arial" w:hAnsi="Arial" w:cs="Arial"/>
                <w:b/>
                <w:sz w:val="22"/>
                <w:szCs w:val="22"/>
              </w:rPr>
              <w:t>Up to March 2015</w:t>
            </w:r>
          </w:p>
        </w:tc>
        <w:tc>
          <w:tcPr>
            <w:tcW w:w="2268" w:type="dxa"/>
          </w:tcPr>
          <w:p w:rsidR="00486125" w:rsidRPr="00486125" w:rsidRDefault="00486125" w:rsidP="00486125">
            <w:pPr>
              <w:jc w:val="center"/>
              <w:rPr>
                <w:rFonts w:ascii="Arial" w:hAnsi="Arial" w:cs="Arial"/>
                <w:b/>
                <w:sz w:val="22"/>
                <w:szCs w:val="22"/>
              </w:rPr>
            </w:pPr>
            <w:r w:rsidRPr="00486125">
              <w:rPr>
                <w:rFonts w:ascii="Arial" w:hAnsi="Arial" w:cs="Arial"/>
                <w:b/>
                <w:sz w:val="22"/>
                <w:szCs w:val="22"/>
              </w:rPr>
              <w:t>April 2015 -</w:t>
            </w:r>
          </w:p>
          <w:p w:rsidR="00486125" w:rsidRPr="00486125" w:rsidRDefault="00486125" w:rsidP="00486125">
            <w:pPr>
              <w:jc w:val="center"/>
              <w:rPr>
                <w:rFonts w:ascii="Arial" w:hAnsi="Arial" w:cs="Arial"/>
                <w:b/>
                <w:sz w:val="22"/>
                <w:szCs w:val="22"/>
              </w:rPr>
            </w:pPr>
            <w:r w:rsidRPr="00486125">
              <w:rPr>
                <w:rFonts w:ascii="Arial" w:hAnsi="Arial" w:cs="Arial"/>
                <w:b/>
                <w:sz w:val="22"/>
                <w:szCs w:val="22"/>
              </w:rPr>
              <w:t>Sept 2016</w:t>
            </w:r>
          </w:p>
        </w:tc>
        <w:tc>
          <w:tcPr>
            <w:tcW w:w="1893" w:type="dxa"/>
          </w:tcPr>
          <w:p w:rsidR="00486125" w:rsidRPr="00486125" w:rsidRDefault="00486125" w:rsidP="00486125">
            <w:pPr>
              <w:jc w:val="center"/>
              <w:rPr>
                <w:rFonts w:ascii="Arial" w:hAnsi="Arial" w:cs="Arial"/>
                <w:b/>
                <w:sz w:val="22"/>
                <w:szCs w:val="22"/>
              </w:rPr>
            </w:pPr>
            <w:r w:rsidRPr="00486125">
              <w:rPr>
                <w:rFonts w:ascii="Arial" w:hAnsi="Arial" w:cs="Arial"/>
                <w:b/>
                <w:sz w:val="22"/>
                <w:szCs w:val="22"/>
              </w:rPr>
              <w:t>Total</w:t>
            </w:r>
          </w:p>
        </w:tc>
      </w:tr>
      <w:tr w:rsidR="00486125" w:rsidTr="00F07303">
        <w:tc>
          <w:tcPr>
            <w:tcW w:w="2376" w:type="dxa"/>
          </w:tcPr>
          <w:p w:rsidR="00486125" w:rsidRPr="00486125" w:rsidRDefault="00486125" w:rsidP="000B5ADF">
            <w:pPr>
              <w:rPr>
                <w:rFonts w:ascii="Arial" w:hAnsi="Arial" w:cs="Arial"/>
                <w:b/>
                <w:sz w:val="22"/>
                <w:szCs w:val="22"/>
              </w:rPr>
            </w:pPr>
            <w:r w:rsidRPr="00486125">
              <w:rPr>
                <w:rFonts w:ascii="Arial" w:hAnsi="Arial" w:cs="Arial"/>
                <w:b/>
                <w:sz w:val="22"/>
                <w:szCs w:val="22"/>
              </w:rPr>
              <w:t>ECO measures</w:t>
            </w:r>
          </w:p>
        </w:tc>
        <w:tc>
          <w:tcPr>
            <w:tcW w:w="1985" w:type="dxa"/>
            <w:vAlign w:val="center"/>
          </w:tcPr>
          <w:p w:rsidR="00486125" w:rsidRDefault="00486125" w:rsidP="00F07303">
            <w:pPr>
              <w:jc w:val="center"/>
              <w:rPr>
                <w:rFonts w:ascii="Arial" w:hAnsi="Arial" w:cs="Arial"/>
                <w:sz w:val="22"/>
                <w:szCs w:val="22"/>
              </w:rPr>
            </w:pPr>
            <w:r>
              <w:rPr>
                <w:rFonts w:ascii="Arial" w:hAnsi="Arial" w:cs="Arial"/>
                <w:sz w:val="22"/>
                <w:szCs w:val="22"/>
              </w:rPr>
              <w:t>778</w:t>
            </w:r>
          </w:p>
        </w:tc>
        <w:tc>
          <w:tcPr>
            <w:tcW w:w="2268" w:type="dxa"/>
            <w:vAlign w:val="center"/>
          </w:tcPr>
          <w:p w:rsidR="00486125" w:rsidRDefault="00486125" w:rsidP="00F07303">
            <w:pPr>
              <w:jc w:val="center"/>
              <w:rPr>
                <w:rFonts w:ascii="Arial" w:hAnsi="Arial" w:cs="Arial"/>
                <w:sz w:val="22"/>
                <w:szCs w:val="22"/>
              </w:rPr>
            </w:pPr>
            <w:r>
              <w:rPr>
                <w:rFonts w:ascii="Arial" w:hAnsi="Arial" w:cs="Arial"/>
                <w:sz w:val="22"/>
                <w:szCs w:val="22"/>
              </w:rPr>
              <w:t>503</w:t>
            </w:r>
          </w:p>
        </w:tc>
        <w:tc>
          <w:tcPr>
            <w:tcW w:w="1893" w:type="dxa"/>
            <w:vAlign w:val="center"/>
          </w:tcPr>
          <w:p w:rsidR="00486125" w:rsidRPr="00486125" w:rsidRDefault="00486125" w:rsidP="00F07303">
            <w:pPr>
              <w:jc w:val="center"/>
              <w:rPr>
                <w:rFonts w:ascii="Arial" w:hAnsi="Arial" w:cs="Arial"/>
                <w:b/>
                <w:sz w:val="22"/>
                <w:szCs w:val="22"/>
              </w:rPr>
            </w:pPr>
            <w:r w:rsidRPr="00486125">
              <w:rPr>
                <w:rFonts w:ascii="Arial" w:hAnsi="Arial" w:cs="Arial"/>
                <w:b/>
                <w:sz w:val="22"/>
                <w:szCs w:val="22"/>
              </w:rPr>
              <w:t>1,280</w:t>
            </w:r>
          </w:p>
        </w:tc>
      </w:tr>
      <w:tr w:rsidR="00486125" w:rsidTr="00F07303">
        <w:tc>
          <w:tcPr>
            <w:tcW w:w="2376" w:type="dxa"/>
          </w:tcPr>
          <w:p w:rsidR="00486125" w:rsidRPr="00486125" w:rsidRDefault="00676F9C" w:rsidP="000B5ADF">
            <w:pPr>
              <w:rPr>
                <w:rFonts w:ascii="Arial" w:hAnsi="Arial" w:cs="Arial"/>
                <w:b/>
                <w:sz w:val="22"/>
                <w:szCs w:val="22"/>
              </w:rPr>
            </w:pPr>
            <w:r>
              <w:rPr>
                <w:rFonts w:ascii="Arial" w:hAnsi="Arial" w:cs="Arial"/>
                <w:b/>
                <w:sz w:val="22"/>
                <w:szCs w:val="22"/>
              </w:rPr>
              <w:t>ECO h</w:t>
            </w:r>
            <w:r w:rsidR="00486125" w:rsidRPr="00486125">
              <w:rPr>
                <w:rFonts w:ascii="Arial" w:hAnsi="Arial" w:cs="Arial"/>
                <w:b/>
                <w:sz w:val="22"/>
                <w:szCs w:val="22"/>
              </w:rPr>
              <w:t>ouseholds</w:t>
            </w:r>
          </w:p>
        </w:tc>
        <w:tc>
          <w:tcPr>
            <w:tcW w:w="1985" w:type="dxa"/>
            <w:vAlign w:val="center"/>
          </w:tcPr>
          <w:p w:rsidR="00486125" w:rsidRDefault="00486125" w:rsidP="00F07303">
            <w:pPr>
              <w:jc w:val="center"/>
              <w:rPr>
                <w:rFonts w:ascii="Arial" w:hAnsi="Arial" w:cs="Arial"/>
                <w:sz w:val="22"/>
                <w:szCs w:val="22"/>
              </w:rPr>
            </w:pPr>
            <w:r>
              <w:rPr>
                <w:rFonts w:ascii="Arial" w:hAnsi="Arial" w:cs="Arial"/>
                <w:sz w:val="22"/>
                <w:szCs w:val="22"/>
              </w:rPr>
              <w:t>659</w:t>
            </w:r>
          </w:p>
        </w:tc>
        <w:tc>
          <w:tcPr>
            <w:tcW w:w="2268" w:type="dxa"/>
            <w:vAlign w:val="center"/>
          </w:tcPr>
          <w:p w:rsidR="00486125" w:rsidRDefault="00486125" w:rsidP="00F07303">
            <w:pPr>
              <w:jc w:val="center"/>
              <w:rPr>
                <w:rFonts w:ascii="Arial" w:hAnsi="Arial" w:cs="Arial"/>
                <w:sz w:val="22"/>
                <w:szCs w:val="22"/>
              </w:rPr>
            </w:pPr>
            <w:r>
              <w:rPr>
                <w:rFonts w:ascii="Arial" w:hAnsi="Arial" w:cs="Arial"/>
                <w:sz w:val="22"/>
                <w:szCs w:val="22"/>
              </w:rPr>
              <w:t>443</w:t>
            </w:r>
          </w:p>
        </w:tc>
        <w:tc>
          <w:tcPr>
            <w:tcW w:w="1893" w:type="dxa"/>
            <w:vAlign w:val="center"/>
          </w:tcPr>
          <w:p w:rsidR="00486125" w:rsidRPr="00486125" w:rsidRDefault="00486125" w:rsidP="00F07303">
            <w:pPr>
              <w:jc w:val="center"/>
              <w:rPr>
                <w:rFonts w:ascii="Arial" w:hAnsi="Arial" w:cs="Arial"/>
                <w:b/>
                <w:sz w:val="22"/>
                <w:szCs w:val="22"/>
              </w:rPr>
            </w:pPr>
            <w:r w:rsidRPr="00486125">
              <w:rPr>
                <w:rFonts w:ascii="Arial" w:hAnsi="Arial" w:cs="Arial"/>
                <w:b/>
                <w:sz w:val="22"/>
                <w:szCs w:val="22"/>
              </w:rPr>
              <w:t>1,102</w:t>
            </w:r>
          </w:p>
        </w:tc>
      </w:tr>
      <w:tr w:rsidR="00486125" w:rsidTr="00F07303">
        <w:tc>
          <w:tcPr>
            <w:tcW w:w="2376" w:type="dxa"/>
          </w:tcPr>
          <w:p w:rsidR="00486125" w:rsidRPr="00486125" w:rsidRDefault="00486125" w:rsidP="000B5ADF">
            <w:pPr>
              <w:rPr>
                <w:rFonts w:ascii="Arial" w:hAnsi="Arial" w:cs="Arial"/>
                <w:b/>
                <w:sz w:val="22"/>
                <w:szCs w:val="22"/>
              </w:rPr>
            </w:pPr>
            <w:r w:rsidRPr="00486125">
              <w:rPr>
                <w:rFonts w:ascii="Arial" w:hAnsi="Arial" w:cs="Arial"/>
                <w:b/>
                <w:sz w:val="22"/>
                <w:szCs w:val="22"/>
              </w:rPr>
              <w:t>Green Deal Home Improvement Fund</w:t>
            </w:r>
          </w:p>
        </w:tc>
        <w:tc>
          <w:tcPr>
            <w:tcW w:w="1985" w:type="dxa"/>
            <w:vAlign w:val="center"/>
          </w:tcPr>
          <w:p w:rsidR="00486125" w:rsidRDefault="00486125" w:rsidP="00F07303">
            <w:pPr>
              <w:jc w:val="center"/>
              <w:rPr>
                <w:rFonts w:ascii="Arial" w:hAnsi="Arial" w:cs="Arial"/>
                <w:sz w:val="22"/>
                <w:szCs w:val="22"/>
              </w:rPr>
            </w:pPr>
            <w:r>
              <w:rPr>
                <w:rFonts w:ascii="Arial" w:hAnsi="Arial" w:cs="Arial"/>
                <w:sz w:val="22"/>
                <w:szCs w:val="22"/>
              </w:rPr>
              <w:t>6</w:t>
            </w:r>
          </w:p>
        </w:tc>
        <w:tc>
          <w:tcPr>
            <w:tcW w:w="2268" w:type="dxa"/>
            <w:vAlign w:val="center"/>
          </w:tcPr>
          <w:p w:rsidR="00486125" w:rsidRDefault="00486125" w:rsidP="00F07303">
            <w:pPr>
              <w:jc w:val="center"/>
              <w:rPr>
                <w:rFonts w:ascii="Arial" w:hAnsi="Arial" w:cs="Arial"/>
                <w:sz w:val="22"/>
                <w:szCs w:val="22"/>
              </w:rPr>
            </w:pPr>
            <w:r>
              <w:rPr>
                <w:rFonts w:ascii="Arial" w:hAnsi="Arial" w:cs="Arial"/>
                <w:sz w:val="22"/>
                <w:szCs w:val="22"/>
              </w:rPr>
              <w:t>37</w:t>
            </w:r>
          </w:p>
        </w:tc>
        <w:tc>
          <w:tcPr>
            <w:tcW w:w="1893" w:type="dxa"/>
            <w:vAlign w:val="center"/>
          </w:tcPr>
          <w:p w:rsidR="00486125" w:rsidRPr="00486125" w:rsidRDefault="00486125" w:rsidP="00F07303">
            <w:pPr>
              <w:jc w:val="center"/>
              <w:rPr>
                <w:rFonts w:ascii="Arial" w:hAnsi="Arial" w:cs="Arial"/>
                <w:b/>
                <w:sz w:val="22"/>
                <w:szCs w:val="22"/>
              </w:rPr>
            </w:pPr>
            <w:r w:rsidRPr="00486125">
              <w:rPr>
                <w:rFonts w:ascii="Arial" w:hAnsi="Arial" w:cs="Arial"/>
                <w:b/>
                <w:sz w:val="22"/>
                <w:szCs w:val="22"/>
              </w:rPr>
              <w:t>43</w:t>
            </w:r>
          </w:p>
        </w:tc>
      </w:tr>
    </w:tbl>
    <w:p w:rsidR="00486125" w:rsidRDefault="00486125" w:rsidP="000B5ADF">
      <w:pPr>
        <w:rPr>
          <w:rFonts w:ascii="Arial" w:hAnsi="Arial" w:cs="Arial"/>
          <w:sz w:val="22"/>
          <w:szCs w:val="22"/>
        </w:rPr>
      </w:pPr>
    </w:p>
    <w:p w:rsidR="00BB2DE8" w:rsidRPr="005D0992" w:rsidRDefault="00BB2DE8" w:rsidP="00BB2DE8">
      <w:pPr>
        <w:rPr>
          <w:rFonts w:ascii="Arial" w:hAnsi="Arial" w:cs="Arial"/>
          <w:sz w:val="22"/>
          <w:szCs w:val="22"/>
        </w:rPr>
      </w:pPr>
      <w:r>
        <w:rPr>
          <w:rFonts w:ascii="Arial" w:hAnsi="Arial" w:cs="Arial"/>
          <w:sz w:val="22"/>
          <w:szCs w:val="22"/>
        </w:rPr>
        <w:t>In 2015/16</w:t>
      </w:r>
      <w:r w:rsidRPr="005D0992">
        <w:rPr>
          <w:rFonts w:ascii="Arial" w:hAnsi="Arial" w:cs="Arial"/>
          <w:sz w:val="22"/>
          <w:szCs w:val="22"/>
        </w:rPr>
        <w:t xml:space="preserve"> Three Rivers District Council</w:t>
      </w:r>
      <w:r>
        <w:rPr>
          <w:rFonts w:ascii="Arial" w:hAnsi="Arial" w:cs="Arial"/>
          <w:sz w:val="22"/>
          <w:szCs w:val="22"/>
        </w:rPr>
        <w:t>,</w:t>
      </w:r>
      <w:r w:rsidRPr="005D0992">
        <w:rPr>
          <w:rFonts w:ascii="Arial" w:hAnsi="Arial" w:cs="Arial"/>
          <w:sz w:val="22"/>
          <w:szCs w:val="22"/>
        </w:rPr>
        <w:t xml:space="preserve"> in pa</w:t>
      </w:r>
      <w:r>
        <w:rPr>
          <w:rFonts w:ascii="Arial" w:hAnsi="Arial" w:cs="Arial"/>
          <w:sz w:val="22"/>
          <w:szCs w:val="22"/>
        </w:rPr>
        <w:t>rtnership with Thrive Homes and with the help of Green Deal Communities Funding managed by the National Energy Foundation,</w:t>
      </w:r>
      <w:r w:rsidRPr="005D0992">
        <w:rPr>
          <w:rFonts w:ascii="Arial" w:hAnsi="Arial" w:cs="Arial"/>
          <w:sz w:val="22"/>
          <w:szCs w:val="22"/>
        </w:rPr>
        <w:t xml:space="preserve"> installed</w:t>
      </w:r>
      <w:r>
        <w:rPr>
          <w:rFonts w:ascii="Arial" w:hAnsi="Arial" w:cs="Arial"/>
          <w:sz w:val="22"/>
          <w:szCs w:val="22"/>
        </w:rPr>
        <w:t xml:space="preserve"> external wall insulation to 115</w:t>
      </w:r>
      <w:r w:rsidRPr="005D0992">
        <w:rPr>
          <w:rFonts w:ascii="Arial" w:hAnsi="Arial" w:cs="Arial"/>
          <w:sz w:val="22"/>
          <w:szCs w:val="22"/>
        </w:rPr>
        <w:t xml:space="preserve"> ‘hard </w:t>
      </w:r>
      <w:r>
        <w:rPr>
          <w:rFonts w:ascii="Arial" w:hAnsi="Arial" w:cs="Arial"/>
          <w:sz w:val="22"/>
          <w:szCs w:val="22"/>
        </w:rPr>
        <w:t>to treat’, ‘Wimpy no fines’ homes.</w:t>
      </w:r>
      <w:r w:rsidRPr="005D0992">
        <w:rPr>
          <w:rFonts w:ascii="Arial" w:hAnsi="Arial" w:cs="Arial"/>
          <w:sz w:val="22"/>
          <w:szCs w:val="22"/>
        </w:rPr>
        <w:t xml:space="preserve">  </w:t>
      </w:r>
      <w:r>
        <w:rPr>
          <w:rFonts w:ascii="Arial" w:hAnsi="Arial" w:cs="Arial"/>
          <w:sz w:val="22"/>
          <w:szCs w:val="22"/>
        </w:rPr>
        <w:t xml:space="preserve">This was the second phase to an earlier project </w:t>
      </w:r>
      <w:r w:rsidRPr="007031E4">
        <w:rPr>
          <w:rFonts w:ascii="Arial" w:hAnsi="Arial" w:cs="Arial"/>
          <w:sz w:val="22"/>
          <w:szCs w:val="22"/>
        </w:rPr>
        <w:t>with Watford Community Housing Trust which insulated 74 homes.</w:t>
      </w:r>
      <w:r w:rsidR="00851736">
        <w:rPr>
          <w:rFonts w:ascii="Arial" w:hAnsi="Arial" w:cs="Arial"/>
          <w:sz w:val="22"/>
          <w:szCs w:val="22"/>
        </w:rPr>
        <w:t xml:space="preserve"> </w:t>
      </w:r>
      <w:r w:rsidR="00851736" w:rsidRPr="009B04DA">
        <w:rPr>
          <w:rFonts w:ascii="Arial" w:hAnsi="Arial" w:cs="Arial"/>
          <w:sz w:val="22"/>
          <w:szCs w:val="22"/>
        </w:rPr>
        <w:t xml:space="preserve">The estate was split between Three Rivers and Watford Borough Council areas and in total </w:t>
      </w:r>
      <w:r w:rsidR="009B04DA" w:rsidRPr="009B04DA">
        <w:rPr>
          <w:rFonts w:ascii="Arial" w:hAnsi="Arial" w:cs="Arial"/>
          <w:sz w:val="22"/>
          <w:szCs w:val="22"/>
        </w:rPr>
        <w:t>286</w:t>
      </w:r>
      <w:r w:rsidR="00851736" w:rsidRPr="009B04DA">
        <w:rPr>
          <w:rFonts w:ascii="Arial" w:hAnsi="Arial" w:cs="Arial"/>
          <w:sz w:val="22"/>
          <w:szCs w:val="22"/>
        </w:rPr>
        <w:t xml:space="preserve"> properties on the estate were insulated</w:t>
      </w:r>
      <w:r w:rsidR="00C648BF">
        <w:rPr>
          <w:rFonts w:ascii="Arial" w:hAnsi="Arial" w:cs="Arial"/>
          <w:sz w:val="22"/>
          <w:szCs w:val="22"/>
        </w:rPr>
        <w:t>, 130 in Phase 1 and 156 in Phase 2</w:t>
      </w:r>
      <w:r w:rsidR="00851736" w:rsidRPr="009B04DA">
        <w:rPr>
          <w:rFonts w:ascii="Arial" w:hAnsi="Arial" w:cs="Arial"/>
          <w:sz w:val="22"/>
          <w:szCs w:val="22"/>
        </w:rPr>
        <w:t>.</w:t>
      </w:r>
    </w:p>
    <w:p w:rsidR="00847428" w:rsidRDefault="00847428" w:rsidP="000B5ADF">
      <w:pPr>
        <w:rPr>
          <w:rFonts w:ascii="Arial" w:hAnsi="Arial" w:cs="Arial"/>
          <w:sz w:val="22"/>
          <w:szCs w:val="22"/>
        </w:rPr>
      </w:pPr>
    </w:p>
    <w:p w:rsidR="00A973C9" w:rsidRPr="00993D0A" w:rsidRDefault="00847428" w:rsidP="000B5ADF">
      <w:pPr>
        <w:rPr>
          <w:rFonts w:ascii="Arial" w:hAnsi="Arial" w:cs="Arial"/>
          <w:b/>
          <w:sz w:val="22"/>
          <w:szCs w:val="22"/>
        </w:rPr>
      </w:pPr>
      <w:r w:rsidRPr="00993D0A">
        <w:rPr>
          <w:rFonts w:ascii="Arial" w:hAnsi="Arial" w:cs="Arial"/>
          <w:b/>
          <w:sz w:val="22"/>
          <w:szCs w:val="22"/>
        </w:rPr>
        <w:t>Boundary Way External Wall Insulation</w:t>
      </w:r>
    </w:p>
    <w:tbl>
      <w:tblPr>
        <w:tblStyle w:val="TableGrid"/>
        <w:tblW w:w="0" w:type="auto"/>
        <w:tblLook w:val="04A0" w:firstRow="1" w:lastRow="0" w:firstColumn="1" w:lastColumn="0" w:noHBand="0" w:noVBand="1"/>
      </w:tblPr>
      <w:tblGrid>
        <w:gridCol w:w="3227"/>
        <w:gridCol w:w="1512"/>
        <w:gridCol w:w="1512"/>
        <w:gridCol w:w="1512"/>
      </w:tblGrid>
      <w:tr w:rsidR="00993D0A" w:rsidTr="00993D0A">
        <w:tc>
          <w:tcPr>
            <w:tcW w:w="3227" w:type="dxa"/>
          </w:tcPr>
          <w:p w:rsidR="00993D0A" w:rsidRDefault="00993D0A" w:rsidP="00BC134C">
            <w:pPr>
              <w:rPr>
                <w:rFonts w:ascii="Arial" w:hAnsi="Arial" w:cs="Arial"/>
                <w:sz w:val="22"/>
                <w:szCs w:val="22"/>
              </w:rPr>
            </w:pPr>
          </w:p>
        </w:tc>
        <w:tc>
          <w:tcPr>
            <w:tcW w:w="1512" w:type="dxa"/>
          </w:tcPr>
          <w:p w:rsidR="00993D0A" w:rsidRPr="00993D0A" w:rsidRDefault="00993D0A" w:rsidP="00993D0A">
            <w:pPr>
              <w:jc w:val="center"/>
              <w:rPr>
                <w:rFonts w:ascii="Arial" w:hAnsi="Arial" w:cs="Arial"/>
                <w:b/>
                <w:sz w:val="22"/>
                <w:szCs w:val="22"/>
              </w:rPr>
            </w:pPr>
            <w:r w:rsidRPr="00993D0A">
              <w:rPr>
                <w:rFonts w:ascii="Arial" w:hAnsi="Arial" w:cs="Arial"/>
                <w:b/>
                <w:sz w:val="22"/>
                <w:szCs w:val="22"/>
              </w:rPr>
              <w:t>Private</w:t>
            </w:r>
          </w:p>
        </w:tc>
        <w:tc>
          <w:tcPr>
            <w:tcW w:w="1512" w:type="dxa"/>
          </w:tcPr>
          <w:p w:rsidR="00993D0A" w:rsidRPr="00993D0A" w:rsidRDefault="00993D0A" w:rsidP="00993D0A">
            <w:pPr>
              <w:jc w:val="center"/>
              <w:rPr>
                <w:rFonts w:ascii="Arial" w:hAnsi="Arial" w:cs="Arial"/>
                <w:b/>
                <w:sz w:val="22"/>
                <w:szCs w:val="22"/>
              </w:rPr>
            </w:pPr>
            <w:r w:rsidRPr="00993D0A">
              <w:rPr>
                <w:rFonts w:ascii="Arial" w:hAnsi="Arial" w:cs="Arial"/>
                <w:b/>
                <w:sz w:val="22"/>
                <w:szCs w:val="22"/>
              </w:rPr>
              <w:t>Housing Association</w:t>
            </w:r>
          </w:p>
        </w:tc>
        <w:tc>
          <w:tcPr>
            <w:tcW w:w="1512" w:type="dxa"/>
          </w:tcPr>
          <w:p w:rsidR="00993D0A" w:rsidRPr="00993D0A" w:rsidRDefault="00993D0A" w:rsidP="00993D0A">
            <w:pPr>
              <w:jc w:val="center"/>
              <w:rPr>
                <w:rFonts w:ascii="Arial" w:hAnsi="Arial" w:cs="Arial"/>
                <w:b/>
                <w:sz w:val="22"/>
                <w:szCs w:val="22"/>
              </w:rPr>
            </w:pPr>
            <w:r w:rsidRPr="00993D0A">
              <w:rPr>
                <w:rFonts w:ascii="Arial" w:hAnsi="Arial" w:cs="Arial"/>
                <w:b/>
                <w:sz w:val="22"/>
                <w:szCs w:val="22"/>
              </w:rPr>
              <w:t>Total</w:t>
            </w:r>
          </w:p>
        </w:tc>
      </w:tr>
      <w:tr w:rsidR="00993D0A" w:rsidTr="00993D0A">
        <w:tc>
          <w:tcPr>
            <w:tcW w:w="3227" w:type="dxa"/>
          </w:tcPr>
          <w:p w:rsidR="00993D0A" w:rsidRPr="00993D0A" w:rsidRDefault="00993D0A" w:rsidP="00BC134C">
            <w:pPr>
              <w:rPr>
                <w:rFonts w:ascii="Arial" w:hAnsi="Arial" w:cs="Arial"/>
                <w:b/>
                <w:sz w:val="22"/>
                <w:szCs w:val="22"/>
              </w:rPr>
            </w:pPr>
            <w:r w:rsidRPr="00993D0A">
              <w:rPr>
                <w:rFonts w:ascii="Arial" w:hAnsi="Arial" w:cs="Arial"/>
                <w:b/>
                <w:sz w:val="22"/>
                <w:szCs w:val="22"/>
              </w:rPr>
              <w:t>2013/14</w:t>
            </w:r>
            <w:r>
              <w:rPr>
                <w:rFonts w:ascii="Arial" w:hAnsi="Arial" w:cs="Arial"/>
                <w:b/>
                <w:sz w:val="22"/>
                <w:szCs w:val="22"/>
              </w:rPr>
              <w:t xml:space="preserve"> (with WCHT)</w:t>
            </w:r>
          </w:p>
        </w:tc>
        <w:tc>
          <w:tcPr>
            <w:tcW w:w="1512" w:type="dxa"/>
          </w:tcPr>
          <w:p w:rsidR="00993D0A" w:rsidRDefault="00993D0A" w:rsidP="00993D0A">
            <w:pPr>
              <w:jc w:val="center"/>
              <w:rPr>
                <w:rFonts w:ascii="Arial" w:hAnsi="Arial" w:cs="Arial"/>
                <w:sz w:val="22"/>
                <w:szCs w:val="22"/>
              </w:rPr>
            </w:pPr>
            <w:r>
              <w:rPr>
                <w:rFonts w:ascii="Arial" w:hAnsi="Arial" w:cs="Arial"/>
                <w:sz w:val="22"/>
                <w:szCs w:val="22"/>
              </w:rPr>
              <w:t>35</w:t>
            </w:r>
          </w:p>
        </w:tc>
        <w:tc>
          <w:tcPr>
            <w:tcW w:w="1512" w:type="dxa"/>
          </w:tcPr>
          <w:p w:rsidR="00993D0A" w:rsidRDefault="00993D0A" w:rsidP="00993D0A">
            <w:pPr>
              <w:jc w:val="center"/>
              <w:rPr>
                <w:rFonts w:ascii="Arial" w:hAnsi="Arial" w:cs="Arial"/>
                <w:sz w:val="22"/>
                <w:szCs w:val="22"/>
              </w:rPr>
            </w:pPr>
            <w:r>
              <w:rPr>
                <w:rFonts w:ascii="Arial" w:hAnsi="Arial" w:cs="Arial"/>
                <w:sz w:val="22"/>
                <w:szCs w:val="22"/>
              </w:rPr>
              <w:t>39</w:t>
            </w:r>
          </w:p>
        </w:tc>
        <w:tc>
          <w:tcPr>
            <w:tcW w:w="1512" w:type="dxa"/>
          </w:tcPr>
          <w:p w:rsidR="00993D0A" w:rsidRPr="00993D0A" w:rsidRDefault="00993D0A" w:rsidP="00993D0A">
            <w:pPr>
              <w:jc w:val="center"/>
              <w:rPr>
                <w:rFonts w:ascii="Arial" w:hAnsi="Arial" w:cs="Arial"/>
                <w:b/>
                <w:sz w:val="22"/>
                <w:szCs w:val="22"/>
              </w:rPr>
            </w:pPr>
            <w:r w:rsidRPr="00993D0A">
              <w:rPr>
                <w:rFonts w:ascii="Arial" w:hAnsi="Arial" w:cs="Arial"/>
                <w:b/>
                <w:sz w:val="22"/>
                <w:szCs w:val="22"/>
              </w:rPr>
              <w:t>74</w:t>
            </w:r>
          </w:p>
        </w:tc>
      </w:tr>
      <w:tr w:rsidR="00993D0A" w:rsidTr="00993D0A">
        <w:tc>
          <w:tcPr>
            <w:tcW w:w="3227" w:type="dxa"/>
          </w:tcPr>
          <w:p w:rsidR="00993D0A" w:rsidRPr="00993D0A" w:rsidRDefault="00993D0A" w:rsidP="00BC134C">
            <w:pPr>
              <w:rPr>
                <w:rFonts w:ascii="Arial" w:hAnsi="Arial" w:cs="Arial"/>
                <w:b/>
                <w:sz w:val="22"/>
                <w:szCs w:val="22"/>
              </w:rPr>
            </w:pPr>
            <w:r w:rsidRPr="00993D0A">
              <w:rPr>
                <w:rFonts w:ascii="Arial" w:hAnsi="Arial" w:cs="Arial"/>
                <w:b/>
                <w:sz w:val="22"/>
                <w:szCs w:val="22"/>
              </w:rPr>
              <w:t>2015/16</w:t>
            </w:r>
            <w:r>
              <w:rPr>
                <w:rFonts w:ascii="Arial" w:hAnsi="Arial" w:cs="Arial"/>
                <w:b/>
                <w:sz w:val="22"/>
                <w:szCs w:val="22"/>
              </w:rPr>
              <w:t xml:space="preserve"> (with Thrive Homes)</w:t>
            </w:r>
          </w:p>
        </w:tc>
        <w:tc>
          <w:tcPr>
            <w:tcW w:w="1512" w:type="dxa"/>
          </w:tcPr>
          <w:p w:rsidR="00993D0A" w:rsidRDefault="00993D0A" w:rsidP="00993D0A">
            <w:pPr>
              <w:jc w:val="center"/>
              <w:rPr>
                <w:rFonts w:ascii="Arial" w:hAnsi="Arial" w:cs="Arial"/>
                <w:sz w:val="22"/>
                <w:szCs w:val="22"/>
              </w:rPr>
            </w:pPr>
            <w:r>
              <w:rPr>
                <w:rFonts w:ascii="Arial" w:hAnsi="Arial" w:cs="Arial"/>
                <w:sz w:val="22"/>
                <w:szCs w:val="22"/>
              </w:rPr>
              <w:t>53</w:t>
            </w:r>
          </w:p>
        </w:tc>
        <w:tc>
          <w:tcPr>
            <w:tcW w:w="1512" w:type="dxa"/>
          </w:tcPr>
          <w:p w:rsidR="00993D0A" w:rsidRDefault="00993D0A" w:rsidP="00993D0A">
            <w:pPr>
              <w:jc w:val="center"/>
              <w:rPr>
                <w:rFonts w:ascii="Arial" w:hAnsi="Arial" w:cs="Arial"/>
                <w:sz w:val="22"/>
                <w:szCs w:val="22"/>
              </w:rPr>
            </w:pPr>
            <w:r>
              <w:rPr>
                <w:rFonts w:ascii="Arial" w:hAnsi="Arial" w:cs="Arial"/>
                <w:sz w:val="22"/>
                <w:szCs w:val="22"/>
              </w:rPr>
              <w:t>62</w:t>
            </w:r>
          </w:p>
        </w:tc>
        <w:tc>
          <w:tcPr>
            <w:tcW w:w="1512" w:type="dxa"/>
          </w:tcPr>
          <w:p w:rsidR="00993D0A" w:rsidRPr="00993D0A" w:rsidRDefault="00993D0A" w:rsidP="00993D0A">
            <w:pPr>
              <w:jc w:val="center"/>
              <w:rPr>
                <w:rFonts w:ascii="Arial" w:hAnsi="Arial" w:cs="Arial"/>
                <w:b/>
                <w:sz w:val="22"/>
                <w:szCs w:val="22"/>
              </w:rPr>
            </w:pPr>
            <w:r w:rsidRPr="00993D0A">
              <w:rPr>
                <w:rFonts w:ascii="Arial" w:hAnsi="Arial" w:cs="Arial"/>
                <w:b/>
                <w:sz w:val="22"/>
                <w:szCs w:val="22"/>
              </w:rPr>
              <w:t>115</w:t>
            </w:r>
          </w:p>
        </w:tc>
      </w:tr>
      <w:tr w:rsidR="00993D0A" w:rsidTr="00993D0A">
        <w:tc>
          <w:tcPr>
            <w:tcW w:w="3227" w:type="dxa"/>
          </w:tcPr>
          <w:p w:rsidR="00993D0A" w:rsidRPr="00993D0A" w:rsidRDefault="00993D0A" w:rsidP="00BC134C">
            <w:pPr>
              <w:rPr>
                <w:rFonts w:ascii="Arial" w:hAnsi="Arial" w:cs="Arial"/>
                <w:b/>
                <w:sz w:val="22"/>
                <w:szCs w:val="22"/>
              </w:rPr>
            </w:pPr>
            <w:r w:rsidRPr="00993D0A">
              <w:rPr>
                <w:rFonts w:ascii="Arial" w:hAnsi="Arial" w:cs="Arial"/>
                <w:b/>
                <w:sz w:val="22"/>
                <w:szCs w:val="22"/>
              </w:rPr>
              <w:t xml:space="preserve">Total </w:t>
            </w:r>
          </w:p>
        </w:tc>
        <w:tc>
          <w:tcPr>
            <w:tcW w:w="1512" w:type="dxa"/>
          </w:tcPr>
          <w:p w:rsidR="00993D0A" w:rsidRDefault="00993D0A" w:rsidP="00993D0A">
            <w:pPr>
              <w:jc w:val="center"/>
              <w:rPr>
                <w:rFonts w:ascii="Arial" w:hAnsi="Arial" w:cs="Arial"/>
                <w:sz w:val="22"/>
                <w:szCs w:val="22"/>
              </w:rPr>
            </w:pPr>
            <w:r>
              <w:rPr>
                <w:rFonts w:ascii="Arial" w:hAnsi="Arial" w:cs="Arial"/>
                <w:sz w:val="22"/>
                <w:szCs w:val="22"/>
              </w:rPr>
              <w:t>88</w:t>
            </w:r>
          </w:p>
        </w:tc>
        <w:tc>
          <w:tcPr>
            <w:tcW w:w="1512" w:type="dxa"/>
          </w:tcPr>
          <w:p w:rsidR="00993D0A" w:rsidRDefault="00993D0A" w:rsidP="00993D0A">
            <w:pPr>
              <w:jc w:val="center"/>
              <w:rPr>
                <w:rFonts w:ascii="Arial" w:hAnsi="Arial" w:cs="Arial"/>
                <w:sz w:val="22"/>
                <w:szCs w:val="22"/>
              </w:rPr>
            </w:pPr>
            <w:r>
              <w:rPr>
                <w:rFonts w:ascii="Arial" w:hAnsi="Arial" w:cs="Arial"/>
                <w:sz w:val="22"/>
                <w:szCs w:val="22"/>
              </w:rPr>
              <w:t>101</w:t>
            </w:r>
          </w:p>
        </w:tc>
        <w:tc>
          <w:tcPr>
            <w:tcW w:w="1512" w:type="dxa"/>
          </w:tcPr>
          <w:p w:rsidR="00993D0A" w:rsidRPr="00993D0A" w:rsidRDefault="00993D0A" w:rsidP="00993D0A">
            <w:pPr>
              <w:jc w:val="center"/>
              <w:rPr>
                <w:rFonts w:ascii="Arial" w:hAnsi="Arial" w:cs="Arial"/>
                <w:b/>
                <w:i/>
                <w:sz w:val="22"/>
                <w:szCs w:val="22"/>
              </w:rPr>
            </w:pPr>
            <w:r w:rsidRPr="00993D0A">
              <w:rPr>
                <w:rFonts w:ascii="Arial" w:hAnsi="Arial" w:cs="Arial"/>
                <w:b/>
                <w:i/>
                <w:sz w:val="22"/>
                <w:szCs w:val="22"/>
              </w:rPr>
              <w:t>189</w:t>
            </w:r>
          </w:p>
        </w:tc>
      </w:tr>
    </w:tbl>
    <w:p w:rsidR="008A3BC8" w:rsidRDefault="008A3BC8" w:rsidP="00BC134C">
      <w:pPr>
        <w:rPr>
          <w:rFonts w:ascii="Arial" w:hAnsi="Arial" w:cs="Arial"/>
          <w:sz w:val="22"/>
          <w:szCs w:val="22"/>
        </w:rPr>
      </w:pPr>
    </w:p>
    <w:p w:rsidR="00F30E90" w:rsidRPr="000D0770" w:rsidRDefault="00676F9C" w:rsidP="00FC69A7">
      <w:pPr>
        <w:autoSpaceDE w:val="0"/>
        <w:autoSpaceDN w:val="0"/>
        <w:adjustRightInd w:val="0"/>
        <w:rPr>
          <w:rFonts w:ascii="AkzidenzGroteskPro-Light" w:hAnsi="AkzidenzGroteskPro-Light" w:cs="AkzidenzGroteskPro-Light"/>
          <w:color w:val="414142"/>
          <w:sz w:val="22"/>
          <w:szCs w:val="22"/>
        </w:rPr>
      </w:pPr>
      <w:r w:rsidRPr="00FC69A7">
        <w:rPr>
          <w:rFonts w:ascii="Arial" w:hAnsi="Arial" w:cs="Arial"/>
          <w:sz w:val="22"/>
          <w:szCs w:val="22"/>
        </w:rPr>
        <w:t>Changes to the ECO scheme</w:t>
      </w:r>
      <w:r w:rsidR="00F30E90" w:rsidRPr="00FC69A7">
        <w:rPr>
          <w:rFonts w:ascii="Arial" w:hAnsi="Arial" w:cs="Arial"/>
          <w:sz w:val="22"/>
          <w:szCs w:val="22"/>
        </w:rPr>
        <w:t xml:space="preserve"> will mean that f</w:t>
      </w:r>
      <w:r w:rsidR="00A15CC3" w:rsidRPr="00FC69A7">
        <w:rPr>
          <w:rFonts w:ascii="Arial" w:hAnsi="Arial" w:cs="Arial"/>
          <w:sz w:val="22"/>
          <w:szCs w:val="22"/>
        </w:rPr>
        <w:t xml:space="preserve">rom April 2017 </w:t>
      </w:r>
      <w:r w:rsidR="00F30E90" w:rsidRPr="00FC69A7">
        <w:rPr>
          <w:rFonts w:ascii="Arial" w:hAnsi="Arial" w:cs="Arial"/>
          <w:sz w:val="22"/>
          <w:szCs w:val="22"/>
        </w:rPr>
        <w:t>local authorities will be able to determine eligible homes under the new flexible eligibility mechanism, known as ‘ECO Flex’. Suppliers will be able to use this voluntarily for up to 10% of their Affordable Warmth obligation</w:t>
      </w:r>
      <w:r w:rsidR="00FC69A7" w:rsidRPr="00FC69A7">
        <w:rPr>
          <w:rFonts w:ascii="Arial" w:hAnsi="Arial" w:cs="Arial"/>
          <w:sz w:val="22"/>
          <w:szCs w:val="22"/>
        </w:rPr>
        <w:t xml:space="preserve"> which focuses on low income and vulnerable people.</w:t>
      </w:r>
      <w:r w:rsidR="00FC69A7" w:rsidRPr="00FC69A7">
        <w:rPr>
          <w:rFonts w:ascii="AkzidenzGroteskPro-Light" w:hAnsi="AkzidenzGroteskPro-Light" w:cs="AkzidenzGroteskPro-Light"/>
          <w:color w:val="414142"/>
          <w:sz w:val="22"/>
          <w:szCs w:val="22"/>
        </w:rPr>
        <w:t xml:space="preserve"> </w:t>
      </w:r>
      <w:r w:rsidR="00FC69A7" w:rsidRPr="00FC69A7">
        <w:rPr>
          <w:rFonts w:ascii="Arial" w:hAnsi="Arial" w:cs="Arial"/>
          <w:sz w:val="22"/>
          <w:szCs w:val="22"/>
        </w:rPr>
        <w:t>The Affordable Warmth obligation</w:t>
      </w:r>
      <w:r w:rsidR="00F30E90" w:rsidRPr="00FC69A7">
        <w:rPr>
          <w:rFonts w:ascii="Arial" w:hAnsi="Arial" w:cs="Arial"/>
          <w:sz w:val="22"/>
          <w:szCs w:val="22"/>
        </w:rPr>
        <w:t xml:space="preserve"> will account for 70% of</w:t>
      </w:r>
      <w:r w:rsidR="004E1F54" w:rsidRPr="00FC69A7">
        <w:rPr>
          <w:rFonts w:ascii="Arial" w:hAnsi="Arial" w:cs="Arial"/>
          <w:sz w:val="22"/>
          <w:szCs w:val="22"/>
        </w:rPr>
        <w:t xml:space="preserve"> the estimated £640m</w:t>
      </w:r>
      <w:r w:rsidR="00FC69A7" w:rsidRPr="00FC69A7">
        <w:rPr>
          <w:rFonts w:ascii="Arial" w:hAnsi="Arial" w:cs="Arial"/>
          <w:sz w:val="22"/>
          <w:szCs w:val="22"/>
        </w:rPr>
        <w:t xml:space="preserve"> </w:t>
      </w:r>
      <w:r w:rsidR="00FC69A7" w:rsidRPr="000D0770">
        <w:rPr>
          <w:rFonts w:ascii="Arial" w:hAnsi="Arial" w:cs="Arial"/>
          <w:sz w:val="22"/>
          <w:szCs w:val="22"/>
        </w:rPr>
        <w:lastRenderedPageBreak/>
        <w:t>available</w:t>
      </w:r>
      <w:r w:rsidR="004E1F54" w:rsidRPr="000D0770">
        <w:rPr>
          <w:rFonts w:ascii="Arial" w:hAnsi="Arial" w:cs="Arial"/>
          <w:sz w:val="22"/>
          <w:szCs w:val="22"/>
        </w:rPr>
        <w:t xml:space="preserve"> per annum</w:t>
      </w:r>
      <w:r w:rsidR="00F30E90" w:rsidRPr="000D0770">
        <w:rPr>
          <w:rFonts w:ascii="Arial" w:hAnsi="Arial" w:cs="Arial"/>
          <w:sz w:val="22"/>
          <w:szCs w:val="22"/>
        </w:rPr>
        <w:t xml:space="preserve">. The Government intends that flexible eligibility for local authorities should help delivery of the scheme and in particular, for two main categories of private tenure household that may otherwise be excluded under Affordable Warmth: </w:t>
      </w:r>
    </w:p>
    <w:p w:rsidR="00F30E90" w:rsidRPr="000D0770" w:rsidRDefault="00F30E90" w:rsidP="00676F9C">
      <w:pPr>
        <w:ind w:left="720"/>
        <w:rPr>
          <w:rFonts w:ascii="Arial" w:hAnsi="Arial" w:cs="Arial"/>
          <w:sz w:val="22"/>
          <w:szCs w:val="22"/>
        </w:rPr>
      </w:pPr>
      <w:r w:rsidRPr="000D0770">
        <w:rPr>
          <w:rFonts w:ascii="Arial" w:hAnsi="Arial" w:cs="Arial"/>
          <w:sz w:val="22"/>
          <w:szCs w:val="22"/>
        </w:rPr>
        <w:sym w:font="Symbol" w:char="F0B7"/>
      </w:r>
      <w:r w:rsidRPr="000D0770">
        <w:rPr>
          <w:rFonts w:ascii="Arial" w:hAnsi="Arial" w:cs="Arial"/>
          <w:sz w:val="22"/>
          <w:szCs w:val="22"/>
        </w:rPr>
        <w:t xml:space="preserve"> Fuel poor house</w:t>
      </w:r>
      <w:r w:rsidR="00676F9C" w:rsidRPr="000D0770">
        <w:rPr>
          <w:rFonts w:ascii="Arial" w:hAnsi="Arial" w:cs="Arial"/>
          <w:sz w:val="22"/>
          <w:szCs w:val="22"/>
        </w:rPr>
        <w:t>holds, in particular, those which</w:t>
      </w:r>
      <w:r w:rsidRPr="000D0770">
        <w:rPr>
          <w:rFonts w:ascii="Arial" w:hAnsi="Arial" w:cs="Arial"/>
          <w:sz w:val="22"/>
          <w:szCs w:val="22"/>
        </w:rPr>
        <w:t xml:space="preserve"> are not in receipt of eligible benefits; and </w:t>
      </w:r>
    </w:p>
    <w:p w:rsidR="00F30E90" w:rsidRPr="00EF45AA" w:rsidRDefault="00F30E90" w:rsidP="00676F9C">
      <w:pPr>
        <w:ind w:left="720"/>
        <w:rPr>
          <w:rFonts w:ascii="Arial" w:hAnsi="Arial" w:cs="Arial"/>
          <w:sz w:val="22"/>
          <w:szCs w:val="22"/>
        </w:rPr>
      </w:pPr>
      <w:r w:rsidRPr="000D0770">
        <w:rPr>
          <w:rFonts w:ascii="Arial" w:hAnsi="Arial" w:cs="Arial"/>
          <w:sz w:val="22"/>
          <w:szCs w:val="22"/>
        </w:rPr>
        <w:sym w:font="Symbol" w:char="F0B7"/>
      </w:r>
      <w:r w:rsidR="00676F9C" w:rsidRPr="000D0770">
        <w:rPr>
          <w:rFonts w:ascii="Arial" w:hAnsi="Arial" w:cs="Arial"/>
          <w:sz w:val="22"/>
          <w:szCs w:val="22"/>
        </w:rPr>
        <w:t xml:space="preserve"> Low income households which</w:t>
      </w:r>
      <w:r w:rsidRPr="000D0770">
        <w:rPr>
          <w:rFonts w:ascii="Arial" w:hAnsi="Arial" w:cs="Arial"/>
          <w:sz w:val="22"/>
          <w:szCs w:val="22"/>
        </w:rPr>
        <w:t xml:space="preserve"> are vulnerable to the effects of living in a </w:t>
      </w:r>
      <w:r w:rsidRPr="00EF45AA">
        <w:rPr>
          <w:rFonts w:ascii="Arial" w:hAnsi="Arial" w:cs="Arial"/>
          <w:sz w:val="22"/>
          <w:szCs w:val="22"/>
        </w:rPr>
        <w:t>cold home</w:t>
      </w:r>
      <w:r w:rsidR="00676F9C" w:rsidRPr="00EF45AA">
        <w:rPr>
          <w:rStyle w:val="FootnoteReference"/>
          <w:rFonts w:ascii="Arial" w:hAnsi="Arial" w:cs="Arial"/>
          <w:sz w:val="22"/>
          <w:szCs w:val="22"/>
        </w:rPr>
        <w:footnoteReference w:id="10"/>
      </w:r>
    </w:p>
    <w:p w:rsidR="00F30E90" w:rsidRPr="00EF45AA" w:rsidRDefault="00F30E90" w:rsidP="00A15CC3">
      <w:pPr>
        <w:rPr>
          <w:rFonts w:ascii="Arial" w:hAnsi="Arial" w:cs="Arial"/>
          <w:sz w:val="22"/>
          <w:szCs w:val="22"/>
        </w:rPr>
      </w:pPr>
    </w:p>
    <w:p w:rsidR="00E62956" w:rsidRPr="00EF45AA" w:rsidRDefault="00A15CC3" w:rsidP="00A15CC3">
      <w:pPr>
        <w:rPr>
          <w:rFonts w:ascii="Arial" w:hAnsi="Arial" w:cs="Arial"/>
          <w:sz w:val="22"/>
          <w:szCs w:val="22"/>
        </w:rPr>
      </w:pPr>
      <w:r w:rsidRPr="00EF45AA">
        <w:rPr>
          <w:rFonts w:ascii="Arial" w:hAnsi="Arial" w:cs="Arial"/>
          <w:sz w:val="22"/>
          <w:szCs w:val="22"/>
        </w:rPr>
        <w:t>Following publishing of the Government guidance to local authorities,</w:t>
      </w:r>
      <w:r w:rsidR="00886D47" w:rsidRPr="00EF45AA">
        <w:rPr>
          <w:rFonts w:ascii="Arial" w:hAnsi="Arial" w:cs="Arial"/>
          <w:sz w:val="22"/>
          <w:szCs w:val="22"/>
        </w:rPr>
        <w:t xml:space="preserve"> Three Rivers District Council</w:t>
      </w:r>
      <w:r w:rsidRPr="00EF45AA">
        <w:rPr>
          <w:rFonts w:ascii="Arial" w:hAnsi="Arial" w:cs="Arial"/>
          <w:sz w:val="22"/>
          <w:szCs w:val="22"/>
        </w:rPr>
        <w:t xml:space="preserve"> will seek to declare </w:t>
      </w:r>
      <w:r w:rsidR="00886D47" w:rsidRPr="00EF45AA">
        <w:rPr>
          <w:rFonts w:ascii="Arial" w:hAnsi="Arial" w:cs="Arial"/>
          <w:sz w:val="22"/>
          <w:szCs w:val="22"/>
        </w:rPr>
        <w:t>the households</w:t>
      </w:r>
      <w:r w:rsidR="00F07303" w:rsidRPr="00EF45AA">
        <w:rPr>
          <w:rFonts w:ascii="Arial" w:hAnsi="Arial" w:cs="Arial"/>
          <w:sz w:val="22"/>
          <w:szCs w:val="22"/>
        </w:rPr>
        <w:t xml:space="preserve"> which are eligible </w:t>
      </w:r>
      <w:r w:rsidR="000D0770" w:rsidRPr="00EF45AA">
        <w:rPr>
          <w:rFonts w:ascii="Arial" w:hAnsi="Arial" w:cs="Arial"/>
          <w:sz w:val="22"/>
          <w:szCs w:val="22"/>
        </w:rPr>
        <w:t>under these</w:t>
      </w:r>
      <w:r w:rsidRPr="00EF45AA">
        <w:rPr>
          <w:rFonts w:ascii="Arial" w:hAnsi="Arial" w:cs="Arial"/>
          <w:sz w:val="22"/>
          <w:szCs w:val="22"/>
        </w:rPr>
        <w:t xml:space="preserve"> criteria.</w:t>
      </w:r>
    </w:p>
    <w:p w:rsidR="00E62956" w:rsidRPr="00EF45AA" w:rsidRDefault="00E62956" w:rsidP="00BC134C">
      <w:pPr>
        <w:rPr>
          <w:rFonts w:ascii="Arial" w:hAnsi="Arial" w:cs="Arial"/>
          <w:sz w:val="22"/>
          <w:szCs w:val="22"/>
        </w:rPr>
      </w:pPr>
    </w:p>
    <w:p w:rsidR="00DF28E7" w:rsidRPr="00C85BF3" w:rsidRDefault="00DF28E7" w:rsidP="000B5ADF">
      <w:pPr>
        <w:rPr>
          <w:rFonts w:ascii="Arial" w:hAnsi="Arial" w:cs="Arial"/>
          <w:sz w:val="22"/>
          <w:szCs w:val="22"/>
        </w:rPr>
      </w:pPr>
      <w:r>
        <w:rPr>
          <w:rFonts w:ascii="Arial" w:hAnsi="Arial" w:cs="Arial"/>
          <w:sz w:val="22"/>
          <w:szCs w:val="22"/>
          <w:u w:val="single"/>
        </w:rPr>
        <w:t>Awareness</w:t>
      </w:r>
    </w:p>
    <w:p w:rsidR="00DF28E7" w:rsidRDefault="00DF28E7" w:rsidP="000B5ADF">
      <w:pPr>
        <w:rPr>
          <w:rFonts w:ascii="Arial" w:hAnsi="Arial" w:cs="Arial"/>
          <w:sz w:val="22"/>
          <w:szCs w:val="22"/>
        </w:rPr>
      </w:pPr>
    </w:p>
    <w:p w:rsidR="00A973C9" w:rsidRPr="005D24CE" w:rsidRDefault="00A973C9" w:rsidP="000B5ADF">
      <w:pPr>
        <w:rPr>
          <w:rFonts w:ascii="Arial" w:hAnsi="Arial" w:cs="Arial"/>
          <w:sz w:val="22"/>
          <w:szCs w:val="22"/>
          <w:highlight w:val="yellow"/>
        </w:rPr>
      </w:pPr>
      <w:r w:rsidRPr="005E430C">
        <w:rPr>
          <w:rFonts w:ascii="Arial" w:hAnsi="Arial" w:cs="Arial"/>
          <w:sz w:val="22"/>
          <w:szCs w:val="22"/>
        </w:rPr>
        <w:t xml:space="preserve">Promotion of energy efficiency </w:t>
      </w:r>
      <w:r w:rsidR="0006001A">
        <w:rPr>
          <w:rFonts w:ascii="Arial" w:hAnsi="Arial" w:cs="Arial"/>
          <w:sz w:val="22"/>
          <w:szCs w:val="22"/>
        </w:rPr>
        <w:t xml:space="preserve">has </w:t>
      </w:r>
      <w:r w:rsidRPr="005E430C">
        <w:rPr>
          <w:rFonts w:ascii="Arial" w:hAnsi="Arial" w:cs="Arial"/>
          <w:sz w:val="22"/>
          <w:szCs w:val="22"/>
        </w:rPr>
        <w:t xml:space="preserve">included </w:t>
      </w:r>
      <w:r w:rsidR="005E430C" w:rsidRPr="005E430C">
        <w:rPr>
          <w:rFonts w:ascii="Arial" w:hAnsi="Arial" w:cs="Arial"/>
          <w:sz w:val="22"/>
          <w:szCs w:val="22"/>
        </w:rPr>
        <w:t>a Home Insulation Guide</w:t>
      </w:r>
      <w:r w:rsidR="0006001A">
        <w:rPr>
          <w:rFonts w:ascii="Arial" w:hAnsi="Arial" w:cs="Arial"/>
          <w:sz w:val="22"/>
          <w:szCs w:val="22"/>
        </w:rPr>
        <w:t>.</w:t>
      </w:r>
      <w:r w:rsidR="005E430C">
        <w:rPr>
          <w:rFonts w:ascii="Arial" w:hAnsi="Arial" w:cs="Arial"/>
          <w:sz w:val="22"/>
          <w:szCs w:val="22"/>
        </w:rPr>
        <w:t xml:space="preserve"> </w:t>
      </w:r>
      <w:r w:rsidR="0006001A">
        <w:rPr>
          <w:rFonts w:ascii="Arial" w:hAnsi="Arial" w:cs="Arial"/>
          <w:sz w:val="22"/>
          <w:szCs w:val="22"/>
        </w:rPr>
        <w:t>H</w:t>
      </w:r>
      <w:r w:rsidRPr="005E430C">
        <w:rPr>
          <w:rFonts w:ascii="Arial" w:hAnsi="Arial" w:cs="Arial"/>
          <w:sz w:val="22"/>
          <w:szCs w:val="22"/>
        </w:rPr>
        <w:t xml:space="preserve">ome energy </w:t>
      </w:r>
      <w:r w:rsidR="005E430C" w:rsidRPr="005E430C">
        <w:rPr>
          <w:rFonts w:ascii="Arial" w:hAnsi="Arial" w:cs="Arial"/>
          <w:sz w:val="22"/>
          <w:szCs w:val="22"/>
        </w:rPr>
        <w:t>efficiency advice was provided</w:t>
      </w:r>
      <w:r w:rsidR="0006001A">
        <w:rPr>
          <w:rFonts w:ascii="Arial" w:hAnsi="Arial" w:cs="Arial"/>
          <w:sz w:val="22"/>
          <w:szCs w:val="22"/>
        </w:rPr>
        <w:t xml:space="preserve"> also</w:t>
      </w:r>
      <w:r w:rsidRPr="005E430C">
        <w:rPr>
          <w:rFonts w:ascii="Arial" w:hAnsi="Arial" w:cs="Arial"/>
          <w:sz w:val="22"/>
          <w:szCs w:val="22"/>
        </w:rPr>
        <w:t xml:space="preserve"> on the Council website, on the bespoke ‘Greenourherts.org.uk’ website, in </w:t>
      </w:r>
      <w:r w:rsidRPr="005E430C">
        <w:rPr>
          <w:rFonts w:ascii="Arial" w:hAnsi="Arial" w:cs="Arial"/>
          <w:i/>
          <w:sz w:val="22"/>
          <w:szCs w:val="22"/>
        </w:rPr>
        <w:t>Three Rivers Times</w:t>
      </w:r>
      <w:r w:rsidRPr="005E430C">
        <w:rPr>
          <w:rFonts w:ascii="Arial" w:hAnsi="Arial" w:cs="Arial"/>
          <w:sz w:val="22"/>
          <w:szCs w:val="22"/>
        </w:rPr>
        <w:t xml:space="preserve"> delivered to all hou</w:t>
      </w:r>
      <w:r w:rsidR="0006001A">
        <w:rPr>
          <w:rFonts w:ascii="Arial" w:hAnsi="Arial" w:cs="Arial"/>
          <w:sz w:val="22"/>
          <w:szCs w:val="22"/>
        </w:rPr>
        <w:t>seholds, through social media</w:t>
      </w:r>
      <w:r w:rsidRPr="005E430C">
        <w:rPr>
          <w:rFonts w:ascii="Arial" w:hAnsi="Arial" w:cs="Arial"/>
          <w:sz w:val="22"/>
          <w:szCs w:val="22"/>
        </w:rPr>
        <w:t xml:space="preserve">, at events and in the Environment Newsletter. </w:t>
      </w:r>
    </w:p>
    <w:p w:rsidR="00A973C9" w:rsidRDefault="00A973C9" w:rsidP="000B5ADF">
      <w:pPr>
        <w:rPr>
          <w:rFonts w:ascii="Arial" w:hAnsi="Arial" w:cs="Arial"/>
          <w:sz w:val="22"/>
          <w:szCs w:val="22"/>
          <w:highlight w:val="yellow"/>
        </w:rPr>
      </w:pPr>
    </w:p>
    <w:p w:rsidR="008D1A61" w:rsidRPr="00A8377E" w:rsidRDefault="00A8377E" w:rsidP="007E5B5D">
      <w:pPr>
        <w:rPr>
          <w:rFonts w:ascii="Arial" w:hAnsi="Arial" w:cs="Arial"/>
          <w:sz w:val="22"/>
          <w:szCs w:val="22"/>
          <w:u w:val="single"/>
        </w:rPr>
      </w:pPr>
      <w:r w:rsidRPr="00A8377E">
        <w:rPr>
          <w:rFonts w:ascii="Arial" w:hAnsi="Arial" w:cs="Arial"/>
          <w:sz w:val="22"/>
          <w:szCs w:val="22"/>
          <w:u w:val="single"/>
        </w:rPr>
        <w:t>Renewable Energy</w:t>
      </w:r>
    </w:p>
    <w:p w:rsidR="00A8377E" w:rsidRPr="00A8377E" w:rsidRDefault="00A8377E" w:rsidP="007E5B5D">
      <w:pPr>
        <w:rPr>
          <w:rFonts w:ascii="Arial" w:hAnsi="Arial" w:cs="Arial"/>
          <w:sz w:val="22"/>
          <w:szCs w:val="22"/>
          <w:u w:val="single"/>
        </w:rPr>
      </w:pPr>
    </w:p>
    <w:p w:rsidR="00A8377E" w:rsidRDefault="00A8377E" w:rsidP="007E5B5D">
      <w:pPr>
        <w:rPr>
          <w:rFonts w:ascii="Arial" w:hAnsi="Arial" w:cs="Arial"/>
          <w:sz w:val="22"/>
          <w:szCs w:val="22"/>
        </w:rPr>
      </w:pPr>
      <w:r w:rsidRPr="00A8377E">
        <w:rPr>
          <w:rFonts w:ascii="Arial" w:hAnsi="Arial" w:cs="Arial"/>
          <w:sz w:val="22"/>
          <w:szCs w:val="22"/>
        </w:rPr>
        <w:t>As of December 2016</w:t>
      </w:r>
      <w:r>
        <w:rPr>
          <w:rFonts w:ascii="Arial" w:hAnsi="Arial" w:cs="Arial"/>
          <w:sz w:val="22"/>
          <w:szCs w:val="22"/>
        </w:rPr>
        <w:t>,</w:t>
      </w:r>
      <w:r w:rsidRPr="00A8377E">
        <w:rPr>
          <w:rFonts w:ascii="Arial" w:hAnsi="Arial" w:cs="Arial"/>
          <w:sz w:val="22"/>
          <w:szCs w:val="22"/>
        </w:rPr>
        <w:t xml:space="preserve"> 55</w:t>
      </w:r>
      <w:r w:rsidR="00A160B1">
        <w:rPr>
          <w:rFonts w:ascii="Arial" w:hAnsi="Arial" w:cs="Arial"/>
          <w:sz w:val="22"/>
          <w:szCs w:val="22"/>
        </w:rPr>
        <w:t>7</w:t>
      </w:r>
      <w:r w:rsidRPr="00A8377E">
        <w:rPr>
          <w:rFonts w:ascii="Arial" w:hAnsi="Arial" w:cs="Arial"/>
          <w:sz w:val="22"/>
          <w:szCs w:val="22"/>
        </w:rPr>
        <w:t xml:space="preserve"> households in Three Rivers had installed Solar PV</w:t>
      </w:r>
      <w:r w:rsidR="00A160B1">
        <w:rPr>
          <w:rFonts w:ascii="Arial" w:hAnsi="Arial" w:cs="Arial"/>
          <w:sz w:val="22"/>
          <w:szCs w:val="22"/>
        </w:rPr>
        <w:t xml:space="preserve"> capacity of 1,656kw</w:t>
      </w:r>
      <w:r w:rsidR="00ED58CE">
        <w:rPr>
          <w:rFonts w:ascii="Arial" w:hAnsi="Arial" w:cs="Arial"/>
          <w:sz w:val="22"/>
          <w:szCs w:val="22"/>
        </w:rPr>
        <w:t xml:space="preserve"> and were claiming a Feed-</w:t>
      </w:r>
      <w:r>
        <w:rPr>
          <w:rFonts w:ascii="Arial" w:hAnsi="Arial" w:cs="Arial"/>
          <w:sz w:val="22"/>
          <w:szCs w:val="22"/>
        </w:rPr>
        <w:t>in Tariff</w:t>
      </w:r>
      <w:r>
        <w:rPr>
          <w:rStyle w:val="FootnoteReference"/>
          <w:rFonts w:ascii="Arial" w:hAnsi="Arial"/>
          <w:sz w:val="22"/>
          <w:szCs w:val="22"/>
        </w:rPr>
        <w:footnoteReference w:id="11"/>
      </w:r>
      <w:r>
        <w:rPr>
          <w:rFonts w:ascii="Arial" w:hAnsi="Arial" w:cs="Arial"/>
          <w:sz w:val="22"/>
          <w:szCs w:val="22"/>
        </w:rPr>
        <w:t>.  This is equivalent to 151.3 per 10,000 households which is low compared to the national average of 278.7.</w:t>
      </w:r>
      <w:r w:rsidR="00A160B1">
        <w:rPr>
          <w:rFonts w:ascii="Arial" w:hAnsi="Arial" w:cs="Arial"/>
          <w:sz w:val="22"/>
          <w:szCs w:val="22"/>
        </w:rPr>
        <w:t xml:space="preserve">  </w:t>
      </w:r>
    </w:p>
    <w:p w:rsidR="00A160B1" w:rsidRDefault="00A160B1" w:rsidP="007E5B5D">
      <w:pPr>
        <w:rPr>
          <w:rFonts w:ascii="Arial" w:hAnsi="Arial" w:cs="Arial"/>
          <w:sz w:val="22"/>
          <w:szCs w:val="22"/>
        </w:rPr>
      </w:pPr>
    </w:p>
    <w:p w:rsidR="00200B51" w:rsidRPr="00A8377E" w:rsidRDefault="00200B51" w:rsidP="007E5B5D">
      <w:pPr>
        <w:rPr>
          <w:rFonts w:ascii="Arial" w:hAnsi="Arial" w:cs="Arial"/>
          <w:sz w:val="22"/>
          <w:szCs w:val="22"/>
        </w:rPr>
        <w:sectPr w:rsidR="00200B51" w:rsidRPr="00A8377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pPr>
      <w:r>
        <w:rPr>
          <w:rFonts w:ascii="Arial" w:hAnsi="Arial" w:cs="Arial"/>
          <w:sz w:val="22"/>
          <w:szCs w:val="22"/>
        </w:rPr>
        <w:t xml:space="preserve">Between April 2014 and December 2016 there were 27 accredited Renewable Heat Incentive (RHI) </w:t>
      </w:r>
      <w:r w:rsidR="00BA50EA">
        <w:rPr>
          <w:rFonts w:ascii="Arial" w:hAnsi="Arial" w:cs="Arial"/>
          <w:sz w:val="22"/>
          <w:szCs w:val="22"/>
        </w:rPr>
        <w:t xml:space="preserve">installations </w:t>
      </w:r>
      <w:r>
        <w:rPr>
          <w:rFonts w:ascii="Arial" w:hAnsi="Arial" w:cs="Arial"/>
          <w:sz w:val="22"/>
          <w:szCs w:val="22"/>
        </w:rPr>
        <w:t>in the District</w:t>
      </w:r>
      <w:r w:rsidR="004B18A2">
        <w:rPr>
          <w:rStyle w:val="FootnoteReference"/>
          <w:rFonts w:ascii="Arial" w:hAnsi="Arial"/>
          <w:sz w:val="22"/>
          <w:szCs w:val="22"/>
        </w:rPr>
        <w:footnoteReference w:id="12"/>
      </w:r>
      <w:r>
        <w:rPr>
          <w:rFonts w:ascii="Arial" w:hAnsi="Arial" w:cs="Arial"/>
          <w:sz w:val="22"/>
          <w:szCs w:val="22"/>
        </w:rPr>
        <w:t>. RHI is applicable to a range of technologies such as biomass boilers, small solar thermal, ground and air source heat pumps, and CHP</w:t>
      </w:r>
      <w:r w:rsidR="00481091">
        <w:rPr>
          <w:rFonts w:ascii="Arial" w:hAnsi="Arial" w:cs="Arial"/>
          <w:sz w:val="22"/>
          <w:szCs w:val="22"/>
        </w:rPr>
        <w:t xml:space="preserve"> (combined heat and power)</w:t>
      </w:r>
    </w:p>
    <w:p w:rsidR="00A973C9" w:rsidRPr="005D0992" w:rsidRDefault="00A973C9" w:rsidP="004E24AF">
      <w:pPr>
        <w:rPr>
          <w:rFonts w:ascii="Arial" w:hAnsi="Arial" w:cs="Arial"/>
          <w:b/>
          <w:sz w:val="22"/>
          <w:szCs w:val="22"/>
        </w:rPr>
      </w:pPr>
      <w:r>
        <w:rPr>
          <w:rFonts w:ascii="Arial" w:hAnsi="Arial" w:cs="Arial"/>
          <w:b/>
          <w:sz w:val="22"/>
          <w:szCs w:val="22"/>
        </w:rPr>
        <w:lastRenderedPageBreak/>
        <w:t xml:space="preserve">Progress and </w:t>
      </w:r>
      <w:r w:rsidRPr="005D0992">
        <w:rPr>
          <w:rFonts w:ascii="Arial" w:hAnsi="Arial" w:cs="Arial"/>
          <w:b/>
          <w:sz w:val="22"/>
          <w:szCs w:val="22"/>
        </w:rPr>
        <w:t>Action Plan</w:t>
      </w:r>
    </w:p>
    <w:p w:rsidR="00A973C9" w:rsidRDefault="00A973C9" w:rsidP="004E24AF">
      <w:pPr>
        <w:rPr>
          <w:rFonts w:ascii="Arial" w:hAnsi="Arial" w:cs="Arial"/>
          <w:sz w:val="22"/>
          <w:szCs w:val="22"/>
        </w:rPr>
      </w:pPr>
    </w:p>
    <w:p w:rsidR="00A973C9" w:rsidRPr="005D0992" w:rsidRDefault="00A973C9" w:rsidP="004E24AF">
      <w:pPr>
        <w:rPr>
          <w:rFonts w:ascii="Arial" w:hAnsi="Arial" w:cs="Arial"/>
          <w:sz w:val="22"/>
          <w:szCs w:val="22"/>
        </w:rPr>
      </w:pPr>
      <w:r w:rsidRPr="005D0992">
        <w:rPr>
          <w:rFonts w:ascii="Arial" w:hAnsi="Arial" w:cs="Arial"/>
          <w:sz w:val="22"/>
          <w:szCs w:val="22"/>
        </w:rPr>
        <w:t>In order to improve home energy efficiency in the Dis</w:t>
      </w:r>
      <w:r w:rsidR="00622AC7">
        <w:rPr>
          <w:rFonts w:ascii="Arial" w:hAnsi="Arial" w:cs="Arial"/>
          <w:sz w:val="22"/>
          <w:szCs w:val="22"/>
        </w:rPr>
        <w:t>trict actions and priorities for</w:t>
      </w:r>
      <w:r w:rsidR="00905ABF">
        <w:rPr>
          <w:rFonts w:ascii="Arial" w:hAnsi="Arial" w:cs="Arial"/>
          <w:sz w:val="22"/>
          <w:szCs w:val="22"/>
        </w:rPr>
        <w:t xml:space="preserve"> 2015-17</w:t>
      </w:r>
      <w:r w:rsidR="00622AC7">
        <w:rPr>
          <w:rFonts w:ascii="Arial" w:hAnsi="Arial" w:cs="Arial"/>
          <w:sz w:val="22"/>
          <w:szCs w:val="22"/>
        </w:rPr>
        <w:t xml:space="preserve"> were proposed</w:t>
      </w:r>
      <w:r w:rsidRPr="005D0992">
        <w:rPr>
          <w:rFonts w:ascii="Arial" w:hAnsi="Arial" w:cs="Arial"/>
          <w:sz w:val="22"/>
          <w:szCs w:val="22"/>
        </w:rPr>
        <w:t>. Pr</w:t>
      </w:r>
      <w:r w:rsidR="00622AC7">
        <w:rPr>
          <w:rFonts w:ascii="Arial" w:hAnsi="Arial" w:cs="Arial"/>
          <w:sz w:val="22"/>
          <w:szCs w:val="22"/>
        </w:rPr>
        <w:t>ogress against these actions is</w:t>
      </w:r>
      <w:r w:rsidRPr="005D0992">
        <w:rPr>
          <w:rFonts w:ascii="Arial" w:hAnsi="Arial" w:cs="Arial"/>
          <w:sz w:val="22"/>
          <w:szCs w:val="22"/>
        </w:rPr>
        <w:t xml:space="preserve"> indicated b</w:t>
      </w:r>
      <w:r w:rsidR="00905ABF">
        <w:rPr>
          <w:rFonts w:ascii="Arial" w:hAnsi="Arial" w:cs="Arial"/>
          <w:sz w:val="22"/>
          <w:szCs w:val="22"/>
        </w:rPr>
        <w:t>elow and future actions for 2017-19</w:t>
      </w:r>
      <w:r w:rsidRPr="005D0992">
        <w:rPr>
          <w:rFonts w:ascii="Arial" w:hAnsi="Arial" w:cs="Arial"/>
          <w:sz w:val="22"/>
          <w:szCs w:val="22"/>
        </w:rPr>
        <w:t xml:space="preserve"> are set out: </w:t>
      </w:r>
    </w:p>
    <w:p w:rsidR="00A973C9" w:rsidRPr="005D0992" w:rsidRDefault="00A973C9" w:rsidP="004E24AF">
      <w:pPr>
        <w:rPr>
          <w:rFonts w:ascii="Arial" w:hAnsi="Arial" w:cs="Arial"/>
          <w:sz w:val="22"/>
          <w:szCs w:val="22"/>
        </w:rPr>
      </w:pPr>
    </w:p>
    <w:p w:rsidR="00A973C9" w:rsidRPr="005D0992" w:rsidRDefault="00A973C9" w:rsidP="004E24AF">
      <w:pPr>
        <w:rPr>
          <w:rFonts w:ascii="Arial" w:hAnsi="Arial" w:cs="Arial"/>
          <w:sz w:val="22"/>
          <w:szCs w:val="22"/>
          <w:u w:val="single"/>
        </w:rPr>
      </w:pPr>
      <w:r w:rsidRPr="005D0992">
        <w:rPr>
          <w:rFonts w:ascii="Arial" w:hAnsi="Arial" w:cs="Arial"/>
          <w:sz w:val="22"/>
          <w:szCs w:val="22"/>
          <w:u w:val="single"/>
        </w:rPr>
        <w:t>Key:</w:t>
      </w:r>
    </w:p>
    <w:p w:rsidR="00A973C9" w:rsidRPr="005D0992" w:rsidRDefault="00A973C9" w:rsidP="00801950">
      <w:pPr>
        <w:jc w:val="center"/>
        <w:rPr>
          <w:rFonts w:ascii="Arial" w:hAnsi="Arial" w:cs="Arial"/>
          <w:color w:val="FFFF00"/>
          <w:sz w:val="22"/>
          <w:szCs w:val="22"/>
        </w:rPr>
      </w:pPr>
      <w:r w:rsidRPr="007A3C57">
        <w:rPr>
          <w:rFonts w:ascii="Arial" w:hAnsi="Arial" w:cs="Arial"/>
          <w:color w:val="99CC00"/>
          <w:sz w:val="72"/>
          <w:szCs w:val="72"/>
        </w:rPr>
        <w:sym w:font="Wingdings 2" w:char="F098"/>
      </w:r>
      <w:r w:rsidRPr="005D0992">
        <w:rPr>
          <w:rFonts w:ascii="Arial" w:hAnsi="Arial" w:cs="Arial"/>
          <w:color w:val="339966"/>
          <w:sz w:val="72"/>
          <w:szCs w:val="72"/>
        </w:rPr>
        <w:t xml:space="preserve"> </w:t>
      </w:r>
      <w:r w:rsidRPr="005D0992">
        <w:rPr>
          <w:rFonts w:ascii="Arial" w:hAnsi="Arial" w:cs="Arial"/>
          <w:sz w:val="22"/>
          <w:szCs w:val="22"/>
        </w:rPr>
        <w:t>Good progress</w:t>
      </w:r>
      <w:r w:rsidRPr="005D0992">
        <w:rPr>
          <w:rFonts w:ascii="Arial" w:hAnsi="Arial" w:cs="Arial"/>
          <w:sz w:val="22"/>
          <w:szCs w:val="22"/>
        </w:rPr>
        <w:tab/>
      </w:r>
      <w:r w:rsidRPr="005D0992">
        <w:rPr>
          <w:rFonts w:ascii="Arial" w:hAnsi="Arial" w:cs="Arial"/>
          <w:sz w:val="72"/>
          <w:szCs w:val="72"/>
        </w:rPr>
        <w:t xml:space="preserve">   </w:t>
      </w:r>
      <w:r w:rsidRPr="007A3C57">
        <w:rPr>
          <w:rFonts w:ascii="Arial" w:hAnsi="Arial" w:cs="Arial"/>
          <w:color w:val="FFFF00"/>
          <w:sz w:val="72"/>
          <w:szCs w:val="72"/>
        </w:rPr>
        <w:sym w:font="Wingdings 2" w:char="F098"/>
      </w:r>
      <w:r w:rsidRPr="005D0992">
        <w:rPr>
          <w:rFonts w:ascii="Arial" w:hAnsi="Arial" w:cs="Arial"/>
          <w:color w:val="FFFF00"/>
          <w:sz w:val="22"/>
          <w:szCs w:val="22"/>
        </w:rPr>
        <w:t xml:space="preserve"> </w:t>
      </w:r>
      <w:r w:rsidRPr="005D0992">
        <w:rPr>
          <w:rFonts w:ascii="Arial" w:hAnsi="Arial" w:cs="Arial"/>
          <w:sz w:val="22"/>
          <w:szCs w:val="22"/>
        </w:rPr>
        <w:t>Limited progress</w:t>
      </w:r>
      <w:r w:rsidRPr="005D0992">
        <w:rPr>
          <w:rFonts w:ascii="Arial" w:hAnsi="Arial" w:cs="Arial"/>
          <w:color w:val="FFFF00"/>
          <w:sz w:val="22"/>
          <w:szCs w:val="22"/>
        </w:rPr>
        <w:t xml:space="preserve">         </w:t>
      </w:r>
      <w:r>
        <w:rPr>
          <w:rFonts w:ascii="Arial" w:hAnsi="Arial" w:cs="Arial"/>
          <w:color w:val="FFFF00"/>
          <w:sz w:val="22"/>
          <w:szCs w:val="22"/>
        </w:rPr>
        <w:t xml:space="preserve">        </w:t>
      </w:r>
      <w:r w:rsidRPr="005D0992">
        <w:rPr>
          <w:rFonts w:ascii="Arial" w:hAnsi="Arial" w:cs="Arial"/>
          <w:color w:val="FF0000"/>
          <w:sz w:val="72"/>
          <w:szCs w:val="72"/>
        </w:rPr>
        <w:sym w:font="Wingdings 2" w:char="F098"/>
      </w:r>
      <w:r w:rsidRPr="005D0992">
        <w:rPr>
          <w:rFonts w:ascii="Arial" w:hAnsi="Arial" w:cs="Arial"/>
          <w:color w:val="FF0000"/>
          <w:sz w:val="72"/>
          <w:szCs w:val="72"/>
        </w:rPr>
        <w:t xml:space="preserve"> </w:t>
      </w:r>
      <w:r w:rsidRPr="005D0992">
        <w:rPr>
          <w:rFonts w:ascii="Arial" w:hAnsi="Arial" w:cs="Arial"/>
          <w:sz w:val="22"/>
          <w:szCs w:val="22"/>
        </w:rPr>
        <w:t>No progress</w:t>
      </w:r>
    </w:p>
    <w:p w:rsidR="00A973C9" w:rsidRPr="00A52129" w:rsidRDefault="00A973C9" w:rsidP="004E24AF">
      <w:pPr>
        <w:rPr>
          <w:rFonts w:ascii="Arial" w:hAnsi="Arial" w:cs="Arial"/>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6"/>
        <w:gridCol w:w="3344"/>
        <w:gridCol w:w="1559"/>
        <w:gridCol w:w="3402"/>
        <w:gridCol w:w="3544"/>
      </w:tblGrid>
      <w:tr w:rsidR="00654B00" w:rsidRPr="008B0691" w:rsidTr="007031E4">
        <w:trPr>
          <w:trHeight w:val="271"/>
        </w:trPr>
        <w:tc>
          <w:tcPr>
            <w:tcW w:w="1726" w:type="dxa"/>
            <w:tcBorders>
              <w:bottom w:val="single" w:sz="4" w:space="0" w:color="auto"/>
            </w:tcBorders>
            <w:shd w:val="clear" w:color="auto" w:fill="A6A6A6" w:themeFill="background1" w:themeFillShade="A6"/>
          </w:tcPr>
          <w:p w:rsidR="00654B00" w:rsidRPr="0090611D" w:rsidRDefault="00654B00" w:rsidP="004E24AF">
            <w:pPr>
              <w:rPr>
                <w:rFonts w:ascii="Arial" w:hAnsi="Arial" w:cs="Arial"/>
                <w:b/>
              </w:rPr>
            </w:pPr>
            <w:r w:rsidRPr="0090611D">
              <w:rPr>
                <w:rFonts w:ascii="Arial" w:hAnsi="Arial" w:cs="Arial"/>
                <w:b/>
              </w:rPr>
              <w:t>Action</w:t>
            </w:r>
          </w:p>
        </w:tc>
        <w:tc>
          <w:tcPr>
            <w:tcW w:w="3344" w:type="dxa"/>
            <w:tcBorders>
              <w:bottom w:val="single" w:sz="4" w:space="0" w:color="auto"/>
            </w:tcBorders>
            <w:shd w:val="clear" w:color="auto" w:fill="A6A6A6" w:themeFill="background1" w:themeFillShade="A6"/>
          </w:tcPr>
          <w:p w:rsidR="00654B00" w:rsidRPr="0090611D" w:rsidRDefault="00654B00" w:rsidP="004E24AF">
            <w:pPr>
              <w:rPr>
                <w:rFonts w:ascii="Arial" w:hAnsi="Arial" w:cs="Arial"/>
                <w:b/>
              </w:rPr>
            </w:pPr>
            <w:r>
              <w:rPr>
                <w:rFonts w:ascii="Arial" w:hAnsi="Arial" w:cs="Arial"/>
                <w:b/>
              </w:rPr>
              <w:t>2015</w:t>
            </w:r>
            <w:r w:rsidRPr="0090611D">
              <w:rPr>
                <w:rFonts w:ascii="Arial" w:hAnsi="Arial" w:cs="Arial"/>
                <w:b/>
              </w:rPr>
              <w:t>-201</w:t>
            </w:r>
            <w:r>
              <w:rPr>
                <w:rFonts w:ascii="Arial" w:hAnsi="Arial" w:cs="Arial"/>
                <w:b/>
              </w:rPr>
              <w:t>7</w:t>
            </w:r>
          </w:p>
        </w:tc>
        <w:tc>
          <w:tcPr>
            <w:tcW w:w="1559" w:type="dxa"/>
            <w:tcBorders>
              <w:bottom w:val="single" w:sz="4" w:space="0" w:color="auto"/>
            </w:tcBorders>
            <w:shd w:val="clear" w:color="auto" w:fill="A6A6A6" w:themeFill="background1" w:themeFillShade="A6"/>
          </w:tcPr>
          <w:p w:rsidR="00654B00" w:rsidRPr="0090611D" w:rsidRDefault="00654B00" w:rsidP="004E24AF">
            <w:pPr>
              <w:rPr>
                <w:rFonts w:ascii="Arial" w:hAnsi="Arial" w:cs="Arial"/>
                <w:b/>
              </w:rPr>
            </w:pPr>
            <w:r w:rsidRPr="0090611D">
              <w:rPr>
                <w:rFonts w:ascii="Arial" w:hAnsi="Arial" w:cs="Arial"/>
                <w:b/>
              </w:rPr>
              <w:t>Timing</w:t>
            </w:r>
          </w:p>
        </w:tc>
        <w:tc>
          <w:tcPr>
            <w:tcW w:w="3402" w:type="dxa"/>
            <w:tcBorders>
              <w:bottom w:val="single" w:sz="4" w:space="0" w:color="auto"/>
            </w:tcBorders>
            <w:shd w:val="clear" w:color="auto" w:fill="A6A6A6" w:themeFill="background1" w:themeFillShade="A6"/>
          </w:tcPr>
          <w:p w:rsidR="00654B00" w:rsidRPr="0090611D" w:rsidRDefault="00654B00" w:rsidP="004E24AF">
            <w:pPr>
              <w:rPr>
                <w:rFonts w:ascii="Arial" w:hAnsi="Arial" w:cs="Arial"/>
                <w:b/>
              </w:rPr>
            </w:pPr>
            <w:r>
              <w:rPr>
                <w:rFonts w:ascii="Arial" w:hAnsi="Arial" w:cs="Arial"/>
                <w:b/>
              </w:rPr>
              <w:t>Progress 2015</w:t>
            </w:r>
            <w:r w:rsidRPr="0090611D">
              <w:rPr>
                <w:rFonts w:ascii="Arial" w:hAnsi="Arial" w:cs="Arial"/>
                <w:b/>
              </w:rPr>
              <w:t>-201</w:t>
            </w:r>
            <w:r>
              <w:rPr>
                <w:rFonts w:ascii="Arial" w:hAnsi="Arial" w:cs="Arial"/>
                <w:b/>
              </w:rPr>
              <w:t>7</w:t>
            </w:r>
          </w:p>
        </w:tc>
        <w:tc>
          <w:tcPr>
            <w:tcW w:w="3544" w:type="dxa"/>
            <w:tcBorders>
              <w:bottom w:val="single" w:sz="4" w:space="0" w:color="auto"/>
            </w:tcBorders>
            <w:shd w:val="clear" w:color="auto" w:fill="A6A6A6" w:themeFill="background1" w:themeFillShade="A6"/>
          </w:tcPr>
          <w:p w:rsidR="00654B00" w:rsidRPr="0090611D" w:rsidRDefault="00654B00" w:rsidP="00905ABF">
            <w:pPr>
              <w:rPr>
                <w:rFonts w:ascii="Arial" w:hAnsi="Arial" w:cs="Arial"/>
                <w:b/>
              </w:rPr>
            </w:pPr>
            <w:r w:rsidRPr="0090611D">
              <w:rPr>
                <w:rFonts w:ascii="Arial" w:hAnsi="Arial" w:cs="Arial"/>
                <w:b/>
              </w:rPr>
              <w:t>Action 201</w:t>
            </w:r>
            <w:r>
              <w:rPr>
                <w:rFonts w:ascii="Arial" w:hAnsi="Arial" w:cs="Arial"/>
                <w:b/>
              </w:rPr>
              <w:t>7</w:t>
            </w:r>
            <w:r w:rsidRPr="0090611D">
              <w:rPr>
                <w:rFonts w:ascii="Arial" w:hAnsi="Arial" w:cs="Arial"/>
                <w:b/>
              </w:rPr>
              <w:t>-1</w:t>
            </w:r>
            <w:r>
              <w:rPr>
                <w:rFonts w:ascii="Arial" w:hAnsi="Arial" w:cs="Arial"/>
                <w:b/>
              </w:rPr>
              <w:t>9</w:t>
            </w:r>
          </w:p>
        </w:tc>
      </w:tr>
      <w:tr w:rsidR="0015527B" w:rsidRPr="00A6606E" w:rsidTr="00C813B7">
        <w:trPr>
          <w:trHeight w:val="699"/>
        </w:trPr>
        <w:tc>
          <w:tcPr>
            <w:tcW w:w="1726" w:type="dxa"/>
          </w:tcPr>
          <w:p w:rsidR="00DA06BE" w:rsidRDefault="0015527B" w:rsidP="00DA06BE">
            <w:pPr>
              <w:rPr>
                <w:rFonts w:ascii="Arial" w:hAnsi="Arial" w:cs="Arial"/>
              </w:rPr>
            </w:pPr>
            <w:r w:rsidRPr="0090611D">
              <w:rPr>
                <w:rFonts w:ascii="Arial" w:hAnsi="Arial" w:cs="Arial"/>
                <w:sz w:val="22"/>
                <w:szCs w:val="22"/>
              </w:rPr>
              <w:t>ECO</w:t>
            </w:r>
            <w:r w:rsidR="00DA06BE">
              <w:rPr>
                <w:rFonts w:ascii="Arial" w:hAnsi="Arial" w:cs="Arial"/>
                <w:sz w:val="22"/>
                <w:szCs w:val="22"/>
              </w:rPr>
              <w:t xml:space="preserve"> and Home Energy Efficiency Measures</w:t>
            </w:r>
          </w:p>
          <w:p w:rsidR="0015527B" w:rsidRPr="0090611D" w:rsidRDefault="0015527B" w:rsidP="002E4456">
            <w:pPr>
              <w:rPr>
                <w:rFonts w:ascii="Arial" w:hAnsi="Arial" w:cs="Arial"/>
              </w:rPr>
            </w:pPr>
          </w:p>
        </w:tc>
        <w:tc>
          <w:tcPr>
            <w:tcW w:w="3344" w:type="dxa"/>
          </w:tcPr>
          <w:p w:rsidR="0015527B" w:rsidRPr="0090611D" w:rsidRDefault="0015527B" w:rsidP="002E4456">
            <w:pPr>
              <w:rPr>
                <w:rFonts w:ascii="Arial" w:hAnsi="Arial" w:cs="Arial"/>
              </w:rPr>
            </w:pPr>
            <w:r w:rsidRPr="0090611D">
              <w:rPr>
                <w:rFonts w:ascii="Arial" w:hAnsi="Arial" w:cs="Arial"/>
                <w:sz w:val="22"/>
                <w:szCs w:val="22"/>
              </w:rPr>
              <w:t>A new partnership with Thrive Homes and Watford Borough Council was established to externally insulate a further 170 homes.  Due to the change in ECO funding this project later secured DECC Green Deal Communities funding as well as additional funding provided by the partners.</w:t>
            </w:r>
          </w:p>
          <w:p w:rsidR="00C648BF" w:rsidRDefault="00C648BF" w:rsidP="002E4456">
            <w:pPr>
              <w:rPr>
                <w:rFonts w:ascii="Arial" w:hAnsi="Arial" w:cs="Arial"/>
              </w:rPr>
            </w:pPr>
          </w:p>
          <w:p w:rsidR="00C648BF" w:rsidRPr="0090611D" w:rsidRDefault="00C648BF" w:rsidP="002E4456">
            <w:pPr>
              <w:rPr>
                <w:rFonts w:ascii="Arial" w:hAnsi="Arial" w:cs="Arial"/>
              </w:rPr>
            </w:pPr>
            <w:r w:rsidRPr="0090611D">
              <w:rPr>
                <w:rFonts w:ascii="Arial" w:hAnsi="Arial" w:cs="Arial"/>
                <w:sz w:val="22"/>
                <w:szCs w:val="22"/>
              </w:rPr>
              <w:t>The promotion of any Green Deal successor scheme will be considered, once it has been determined.</w:t>
            </w:r>
          </w:p>
        </w:tc>
        <w:tc>
          <w:tcPr>
            <w:tcW w:w="1559" w:type="dxa"/>
          </w:tcPr>
          <w:p w:rsidR="0015527B" w:rsidRPr="0090611D" w:rsidRDefault="0015527B" w:rsidP="002E4456">
            <w:pPr>
              <w:rPr>
                <w:rFonts w:ascii="Arial" w:hAnsi="Arial" w:cs="Arial"/>
              </w:rPr>
            </w:pPr>
            <w:r>
              <w:rPr>
                <w:rFonts w:ascii="Arial" w:hAnsi="Arial" w:cs="Arial"/>
                <w:sz w:val="22"/>
                <w:szCs w:val="22"/>
              </w:rPr>
              <w:t>April 2017- Sept 2018</w:t>
            </w:r>
          </w:p>
        </w:tc>
        <w:tc>
          <w:tcPr>
            <w:tcW w:w="3402" w:type="dxa"/>
          </w:tcPr>
          <w:p w:rsidR="00E100E1" w:rsidRDefault="00E100E1" w:rsidP="00E100E1">
            <w:pPr>
              <w:jc w:val="center"/>
              <w:rPr>
                <w:rFonts w:ascii="Arial" w:hAnsi="Arial" w:cs="Arial"/>
                <w:color w:val="FFFF00"/>
                <w:sz w:val="72"/>
                <w:szCs w:val="72"/>
              </w:rPr>
            </w:pPr>
            <w:r w:rsidRPr="007A3C57">
              <w:rPr>
                <w:rFonts w:ascii="Arial" w:hAnsi="Arial" w:cs="Arial"/>
                <w:color w:val="FFFF00"/>
                <w:sz w:val="72"/>
                <w:szCs w:val="72"/>
              </w:rPr>
              <w:sym w:font="Wingdings 2" w:char="F098"/>
            </w:r>
          </w:p>
          <w:p w:rsidR="0015527B" w:rsidRDefault="00C648BF" w:rsidP="002E4456">
            <w:pPr>
              <w:rPr>
                <w:rFonts w:ascii="Arial" w:hAnsi="Arial" w:cs="Arial"/>
              </w:rPr>
            </w:pPr>
            <w:r>
              <w:rPr>
                <w:rFonts w:ascii="Arial" w:hAnsi="Arial" w:cs="Arial"/>
                <w:sz w:val="22"/>
                <w:szCs w:val="22"/>
              </w:rPr>
              <w:t>156</w:t>
            </w:r>
            <w:r w:rsidR="0015527B" w:rsidRPr="00905ABF">
              <w:rPr>
                <w:rFonts w:ascii="Arial" w:hAnsi="Arial" w:cs="Arial"/>
                <w:sz w:val="22"/>
                <w:szCs w:val="22"/>
              </w:rPr>
              <w:t xml:space="preserve"> Wimpy No Fines homes </w:t>
            </w:r>
            <w:r w:rsidR="0015527B">
              <w:rPr>
                <w:rFonts w:ascii="Arial" w:hAnsi="Arial" w:cs="Arial"/>
                <w:sz w:val="22"/>
                <w:szCs w:val="22"/>
              </w:rPr>
              <w:t xml:space="preserve">in </w:t>
            </w:r>
            <w:r w:rsidR="0015527B" w:rsidRPr="00905ABF">
              <w:rPr>
                <w:rFonts w:ascii="Arial" w:hAnsi="Arial" w:cs="Arial"/>
                <w:sz w:val="22"/>
                <w:szCs w:val="22"/>
              </w:rPr>
              <w:t>were insulated in 2015/16</w:t>
            </w:r>
            <w:r w:rsidR="0015527B">
              <w:rPr>
                <w:rFonts w:ascii="Arial" w:hAnsi="Arial" w:cs="Arial"/>
                <w:sz w:val="22"/>
                <w:szCs w:val="22"/>
              </w:rPr>
              <w:t xml:space="preserve"> of which 115 were in Three Rivers. </w:t>
            </w:r>
          </w:p>
          <w:p w:rsidR="0015527B" w:rsidRDefault="0015527B" w:rsidP="002E4456">
            <w:pPr>
              <w:rPr>
                <w:rFonts w:ascii="Arial" w:hAnsi="Arial" w:cs="Arial"/>
              </w:rPr>
            </w:pPr>
          </w:p>
          <w:p w:rsidR="0015527B" w:rsidRDefault="00C648BF" w:rsidP="00C648BF">
            <w:pPr>
              <w:rPr>
                <w:rFonts w:ascii="Arial" w:hAnsi="Arial" w:cs="Arial"/>
              </w:rPr>
            </w:pPr>
            <w:r w:rsidRPr="009F1F79">
              <w:rPr>
                <w:rFonts w:ascii="Arial" w:hAnsi="Arial" w:cs="Arial"/>
                <w:sz w:val="22"/>
                <w:szCs w:val="22"/>
              </w:rPr>
              <w:t>Since the last HECA report there has been no replacement scheme to Green Deal announced</w:t>
            </w:r>
            <w:r>
              <w:rPr>
                <w:rFonts w:ascii="Arial" w:hAnsi="Arial" w:cs="Arial"/>
                <w:sz w:val="22"/>
                <w:szCs w:val="22"/>
              </w:rPr>
              <w:t xml:space="preserve">. </w:t>
            </w:r>
          </w:p>
          <w:p w:rsidR="00C648BF" w:rsidRDefault="00C648BF" w:rsidP="00C648BF">
            <w:pPr>
              <w:rPr>
                <w:rFonts w:ascii="Arial" w:hAnsi="Arial" w:cs="Arial"/>
              </w:rPr>
            </w:pPr>
          </w:p>
          <w:p w:rsidR="00C648BF" w:rsidRPr="0090611D" w:rsidRDefault="00C648BF" w:rsidP="00C648BF">
            <w:pPr>
              <w:rPr>
                <w:rFonts w:ascii="Arial" w:hAnsi="Arial" w:cs="Arial"/>
                <w:highlight w:val="yellow"/>
              </w:rPr>
            </w:pPr>
            <w:r>
              <w:rPr>
                <w:rFonts w:ascii="Arial" w:hAnsi="Arial" w:cs="Arial"/>
                <w:sz w:val="22"/>
                <w:szCs w:val="22"/>
              </w:rPr>
              <w:t>Between April 2015 and September 2016, 503 ECO measures were installed in the District.</w:t>
            </w:r>
          </w:p>
        </w:tc>
        <w:tc>
          <w:tcPr>
            <w:tcW w:w="3544" w:type="dxa"/>
          </w:tcPr>
          <w:p w:rsidR="00481091" w:rsidRDefault="00481091" w:rsidP="002E4456">
            <w:pPr>
              <w:rPr>
                <w:rFonts w:ascii="Arial" w:hAnsi="Arial" w:cs="Arial"/>
                <w:sz w:val="22"/>
                <w:szCs w:val="22"/>
              </w:rPr>
            </w:pPr>
            <w:r>
              <w:rPr>
                <w:rFonts w:ascii="Arial" w:hAnsi="Arial" w:cs="Arial"/>
                <w:sz w:val="22"/>
                <w:szCs w:val="22"/>
              </w:rPr>
              <w:t>Promote ECO and any other available funding for energy efficiency measures.</w:t>
            </w:r>
          </w:p>
          <w:p w:rsidR="00481091" w:rsidRDefault="00481091" w:rsidP="002E4456">
            <w:pPr>
              <w:rPr>
                <w:rFonts w:ascii="Arial" w:hAnsi="Arial" w:cs="Arial"/>
                <w:sz w:val="22"/>
                <w:szCs w:val="22"/>
              </w:rPr>
            </w:pPr>
          </w:p>
          <w:p w:rsidR="00886D47" w:rsidRDefault="00C648BF" w:rsidP="003B52EB">
            <w:pPr>
              <w:rPr>
                <w:rFonts w:ascii="Arial" w:hAnsi="Arial" w:cs="Arial"/>
                <w:sz w:val="22"/>
                <w:szCs w:val="22"/>
              </w:rPr>
            </w:pPr>
            <w:r>
              <w:rPr>
                <w:rFonts w:ascii="Arial" w:hAnsi="Arial" w:cs="Arial"/>
                <w:sz w:val="22"/>
                <w:szCs w:val="22"/>
              </w:rPr>
              <w:t>From April 2017</w:t>
            </w:r>
            <w:r w:rsidR="00622AC7">
              <w:rPr>
                <w:rFonts w:ascii="Arial" w:hAnsi="Arial" w:cs="Arial"/>
                <w:sz w:val="22"/>
                <w:szCs w:val="22"/>
              </w:rPr>
              <w:t xml:space="preserve"> ’</w:t>
            </w:r>
            <w:r w:rsidR="00A15CC3">
              <w:rPr>
                <w:rFonts w:ascii="Arial" w:hAnsi="Arial" w:cs="Arial"/>
                <w:sz w:val="22"/>
                <w:szCs w:val="22"/>
              </w:rPr>
              <w:t>ECO Flex</w:t>
            </w:r>
            <w:r w:rsidR="00622AC7">
              <w:rPr>
                <w:rFonts w:ascii="Arial" w:hAnsi="Arial" w:cs="Arial"/>
                <w:sz w:val="22"/>
                <w:szCs w:val="22"/>
              </w:rPr>
              <w:t>’</w:t>
            </w:r>
            <w:r w:rsidR="0015527B" w:rsidRPr="00981779">
              <w:rPr>
                <w:rFonts w:ascii="Arial" w:hAnsi="Arial" w:cs="Arial"/>
                <w:sz w:val="22"/>
                <w:szCs w:val="22"/>
              </w:rPr>
              <w:t xml:space="preserve"> will allow a Local Authority to provide a declaration to</w:t>
            </w:r>
            <w:r w:rsidR="00622AC7">
              <w:rPr>
                <w:rFonts w:ascii="Arial" w:hAnsi="Arial" w:cs="Arial"/>
                <w:sz w:val="22"/>
                <w:szCs w:val="22"/>
              </w:rPr>
              <w:t xml:space="preserve"> an energy supplier that the Authority</w:t>
            </w:r>
            <w:r w:rsidR="0015527B" w:rsidRPr="00981779">
              <w:rPr>
                <w:rFonts w:ascii="Arial" w:hAnsi="Arial" w:cs="Arial"/>
                <w:sz w:val="22"/>
                <w:szCs w:val="22"/>
              </w:rPr>
              <w:t xml:space="preserve"> had determined a household, or a number of households, as </w:t>
            </w:r>
            <w:r w:rsidR="00622AC7">
              <w:rPr>
                <w:rFonts w:ascii="Arial" w:hAnsi="Arial" w:cs="Arial"/>
                <w:sz w:val="22"/>
                <w:szCs w:val="22"/>
              </w:rPr>
              <w:t>eligible for funding</w:t>
            </w:r>
            <w:r w:rsidR="0015527B" w:rsidRPr="00981779">
              <w:rPr>
                <w:rFonts w:ascii="Arial" w:hAnsi="Arial" w:cs="Arial"/>
                <w:sz w:val="22"/>
                <w:szCs w:val="22"/>
              </w:rPr>
              <w:t>.</w:t>
            </w:r>
            <w:r w:rsidR="003B52EB">
              <w:rPr>
                <w:rFonts w:ascii="Arial" w:hAnsi="Arial" w:cs="Arial"/>
                <w:sz w:val="22"/>
                <w:szCs w:val="22"/>
              </w:rPr>
              <w:t xml:space="preserve"> </w:t>
            </w:r>
            <w:r w:rsidR="0015527B" w:rsidRPr="003B52EB">
              <w:rPr>
                <w:rFonts w:ascii="Arial" w:hAnsi="Arial" w:cs="Arial"/>
                <w:sz w:val="22"/>
                <w:szCs w:val="22"/>
              </w:rPr>
              <w:t>Following publishing of the Government guidance to</w:t>
            </w:r>
            <w:r w:rsidR="00622AC7">
              <w:rPr>
                <w:rFonts w:ascii="Arial" w:hAnsi="Arial" w:cs="Arial"/>
                <w:sz w:val="22"/>
                <w:szCs w:val="22"/>
              </w:rPr>
              <w:t xml:space="preserve"> local authorities, including</w:t>
            </w:r>
            <w:r w:rsidR="0015527B" w:rsidRPr="003B52EB">
              <w:rPr>
                <w:rFonts w:ascii="Arial" w:hAnsi="Arial" w:cs="Arial"/>
                <w:sz w:val="22"/>
                <w:szCs w:val="22"/>
              </w:rPr>
              <w:t xml:space="preserve"> the criteria to be used to identif</w:t>
            </w:r>
            <w:r w:rsidR="00886D47" w:rsidRPr="003B52EB">
              <w:rPr>
                <w:rFonts w:ascii="Arial" w:hAnsi="Arial" w:cs="Arial"/>
                <w:sz w:val="22"/>
                <w:szCs w:val="22"/>
              </w:rPr>
              <w:t xml:space="preserve">y the desired target groups, Three Rivers District Council </w:t>
            </w:r>
            <w:r w:rsidR="0015527B" w:rsidRPr="003B52EB">
              <w:rPr>
                <w:rFonts w:ascii="Arial" w:hAnsi="Arial" w:cs="Arial"/>
                <w:sz w:val="22"/>
                <w:szCs w:val="22"/>
              </w:rPr>
              <w:t xml:space="preserve">will seek to declare </w:t>
            </w:r>
            <w:r w:rsidR="00886D47" w:rsidRPr="003B52EB">
              <w:rPr>
                <w:rFonts w:ascii="Arial" w:hAnsi="Arial" w:cs="Arial"/>
                <w:sz w:val="22"/>
                <w:szCs w:val="22"/>
              </w:rPr>
              <w:t xml:space="preserve">the households </w:t>
            </w:r>
            <w:r w:rsidR="00622AC7">
              <w:rPr>
                <w:rFonts w:ascii="Arial" w:hAnsi="Arial" w:cs="Arial"/>
                <w:sz w:val="22"/>
                <w:szCs w:val="22"/>
              </w:rPr>
              <w:t>which are eligible under these</w:t>
            </w:r>
            <w:r w:rsidR="0015527B" w:rsidRPr="003B52EB">
              <w:rPr>
                <w:rFonts w:ascii="Arial" w:hAnsi="Arial" w:cs="Arial"/>
                <w:sz w:val="22"/>
                <w:szCs w:val="22"/>
              </w:rPr>
              <w:t xml:space="preserve"> criteria.</w:t>
            </w:r>
            <w:r w:rsidR="00835DE6" w:rsidRPr="003B52EB">
              <w:rPr>
                <w:rFonts w:ascii="Arial" w:hAnsi="Arial" w:cs="Arial"/>
                <w:sz w:val="22"/>
                <w:szCs w:val="22"/>
              </w:rPr>
              <w:t xml:space="preserve">  </w:t>
            </w:r>
            <w:r w:rsidR="00481091" w:rsidRPr="003B52EB">
              <w:rPr>
                <w:rFonts w:ascii="Arial" w:hAnsi="Arial" w:cs="Arial"/>
                <w:sz w:val="22"/>
                <w:szCs w:val="22"/>
              </w:rPr>
              <w:t xml:space="preserve">See </w:t>
            </w:r>
            <w:r w:rsidR="003B52EB" w:rsidRPr="003B52EB">
              <w:rPr>
                <w:rFonts w:ascii="Arial" w:hAnsi="Arial" w:cs="Arial"/>
                <w:sz w:val="22"/>
                <w:szCs w:val="22"/>
              </w:rPr>
              <w:t xml:space="preserve">later </w:t>
            </w:r>
            <w:r w:rsidR="00481091" w:rsidRPr="003B52EB">
              <w:rPr>
                <w:rFonts w:ascii="Arial" w:hAnsi="Arial" w:cs="Arial"/>
                <w:sz w:val="22"/>
                <w:szCs w:val="22"/>
              </w:rPr>
              <w:t>action</w:t>
            </w:r>
            <w:r w:rsidR="003B52EB" w:rsidRPr="003B52EB">
              <w:rPr>
                <w:rFonts w:ascii="Arial" w:hAnsi="Arial" w:cs="Arial"/>
                <w:sz w:val="22"/>
                <w:szCs w:val="22"/>
              </w:rPr>
              <w:t xml:space="preserve"> to identify potential areas.</w:t>
            </w:r>
          </w:p>
          <w:p w:rsidR="003B52EB" w:rsidRPr="003B52EB" w:rsidRDefault="003B52EB" w:rsidP="003B52EB">
            <w:pPr>
              <w:rPr>
                <w:rFonts w:ascii="Arial" w:hAnsi="Arial" w:cs="Arial"/>
              </w:rPr>
            </w:pPr>
          </w:p>
        </w:tc>
      </w:tr>
    </w:tbl>
    <w:p w:rsidR="005853A4" w:rsidRDefault="005853A4"/>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6"/>
        <w:gridCol w:w="3344"/>
        <w:gridCol w:w="1559"/>
        <w:gridCol w:w="3402"/>
        <w:gridCol w:w="3544"/>
      </w:tblGrid>
      <w:tr w:rsidR="0015527B" w:rsidRPr="00A6606E" w:rsidTr="00C813B7">
        <w:trPr>
          <w:trHeight w:val="699"/>
        </w:trPr>
        <w:tc>
          <w:tcPr>
            <w:tcW w:w="1726" w:type="dxa"/>
          </w:tcPr>
          <w:p w:rsidR="0015527B" w:rsidRPr="0090611D" w:rsidRDefault="0015527B" w:rsidP="004E24AF">
            <w:pPr>
              <w:rPr>
                <w:rFonts w:ascii="Arial" w:hAnsi="Arial" w:cs="Arial"/>
              </w:rPr>
            </w:pPr>
            <w:r>
              <w:rPr>
                <w:rFonts w:ascii="Arial" w:hAnsi="Arial" w:cs="Arial"/>
                <w:sz w:val="22"/>
                <w:szCs w:val="22"/>
              </w:rPr>
              <w:t xml:space="preserve">Reducing </w:t>
            </w:r>
            <w:r w:rsidRPr="0090611D">
              <w:rPr>
                <w:rFonts w:ascii="Arial" w:hAnsi="Arial" w:cs="Arial"/>
                <w:sz w:val="22"/>
                <w:szCs w:val="22"/>
              </w:rPr>
              <w:t>Carbon</w:t>
            </w:r>
            <w:r>
              <w:rPr>
                <w:rFonts w:ascii="Arial" w:hAnsi="Arial" w:cs="Arial"/>
                <w:sz w:val="22"/>
                <w:szCs w:val="22"/>
              </w:rPr>
              <w:t xml:space="preserve"> from New</w:t>
            </w:r>
            <w:r w:rsidRPr="0090611D">
              <w:rPr>
                <w:rFonts w:ascii="Arial" w:hAnsi="Arial" w:cs="Arial"/>
                <w:sz w:val="22"/>
                <w:szCs w:val="22"/>
              </w:rPr>
              <w:t xml:space="preserve"> Homes</w:t>
            </w:r>
          </w:p>
        </w:tc>
        <w:tc>
          <w:tcPr>
            <w:tcW w:w="3344" w:type="dxa"/>
          </w:tcPr>
          <w:p w:rsidR="0015527B" w:rsidRPr="0090611D" w:rsidRDefault="0015527B" w:rsidP="0090611D">
            <w:pPr>
              <w:tabs>
                <w:tab w:val="left" w:pos="1924"/>
              </w:tabs>
              <w:rPr>
                <w:rFonts w:ascii="Arial" w:hAnsi="Arial" w:cs="Arial"/>
              </w:rPr>
            </w:pPr>
            <w:r>
              <w:rPr>
                <w:rFonts w:ascii="Arial" w:hAnsi="Arial" w:cs="Arial"/>
                <w:sz w:val="22"/>
                <w:szCs w:val="22"/>
              </w:rPr>
              <w:t>A</w:t>
            </w:r>
            <w:r w:rsidRPr="0090611D">
              <w:rPr>
                <w:rFonts w:ascii="Arial" w:hAnsi="Arial" w:cs="Arial"/>
                <w:sz w:val="22"/>
                <w:szCs w:val="22"/>
              </w:rPr>
              <w:t>pplications will continue to be assessed through C-Plan to ensure they comply with the policy to demonstrate that development will produce 5% less carbon dioxide emissions than Building Regulations Part L requirements (2013) as set out in the Three Rivers District Council Local Plan. To show that these will be met, Three Rivers is leading the way by requiring applications to submit a ‘CPLAN Energy and Sustainability Statement’ demonstrating the extent to which sustainability principles have been incorporated into the location, design, construction and future use proposals, and the expected carbon emissions.</w:t>
            </w:r>
          </w:p>
          <w:p w:rsidR="0015527B" w:rsidRPr="0090611D" w:rsidRDefault="0015527B" w:rsidP="004E24AF">
            <w:pPr>
              <w:rPr>
                <w:rFonts w:ascii="Arial" w:hAnsi="Arial" w:cs="Arial"/>
                <w:u w:val="single"/>
              </w:rPr>
            </w:pPr>
          </w:p>
        </w:tc>
        <w:tc>
          <w:tcPr>
            <w:tcW w:w="1559" w:type="dxa"/>
          </w:tcPr>
          <w:p w:rsidR="0015527B" w:rsidRPr="0090611D" w:rsidRDefault="0015527B" w:rsidP="004E24AF">
            <w:pPr>
              <w:rPr>
                <w:rFonts w:ascii="Arial" w:hAnsi="Arial" w:cs="Arial"/>
              </w:rPr>
            </w:pPr>
            <w:r w:rsidRPr="0090611D">
              <w:rPr>
                <w:rFonts w:ascii="Arial" w:hAnsi="Arial" w:cs="Arial"/>
                <w:sz w:val="22"/>
                <w:szCs w:val="22"/>
              </w:rPr>
              <w:t>Ongoing</w:t>
            </w:r>
          </w:p>
        </w:tc>
        <w:tc>
          <w:tcPr>
            <w:tcW w:w="3402" w:type="dxa"/>
          </w:tcPr>
          <w:p w:rsidR="0015527B" w:rsidRPr="0090611D" w:rsidRDefault="0015527B" w:rsidP="0090611D">
            <w:pPr>
              <w:jc w:val="center"/>
              <w:rPr>
                <w:rFonts w:ascii="Arial" w:hAnsi="Arial" w:cs="Arial"/>
                <w:color w:val="99CC00"/>
                <w:sz w:val="72"/>
                <w:szCs w:val="72"/>
              </w:rPr>
            </w:pPr>
            <w:r w:rsidRPr="0090611D">
              <w:rPr>
                <w:rFonts w:ascii="Arial" w:hAnsi="Arial" w:cs="Arial"/>
                <w:color w:val="99CC00"/>
                <w:sz w:val="72"/>
                <w:szCs w:val="72"/>
              </w:rPr>
              <w:sym w:font="Wingdings 2" w:char="F098"/>
            </w:r>
          </w:p>
          <w:p w:rsidR="0015527B" w:rsidRDefault="0015527B" w:rsidP="00505726">
            <w:pPr>
              <w:rPr>
                <w:rFonts w:ascii="Arial" w:hAnsi="Arial" w:cs="Arial"/>
              </w:rPr>
            </w:pPr>
            <w:r>
              <w:rPr>
                <w:rFonts w:ascii="Arial" w:hAnsi="Arial" w:cs="Arial"/>
                <w:sz w:val="22"/>
                <w:szCs w:val="22"/>
              </w:rPr>
              <w:t>551</w:t>
            </w:r>
            <w:r w:rsidRPr="0090611D">
              <w:rPr>
                <w:rFonts w:ascii="Arial" w:hAnsi="Arial" w:cs="Arial"/>
                <w:sz w:val="22"/>
                <w:szCs w:val="22"/>
              </w:rPr>
              <w:t xml:space="preserve"> new homes we</w:t>
            </w:r>
            <w:r>
              <w:rPr>
                <w:rFonts w:ascii="Arial" w:hAnsi="Arial" w:cs="Arial"/>
                <w:sz w:val="22"/>
                <w:szCs w:val="22"/>
              </w:rPr>
              <w:t xml:space="preserve">re built in the District in 2014-16. </w:t>
            </w:r>
          </w:p>
          <w:p w:rsidR="0015527B" w:rsidRDefault="0015527B" w:rsidP="00505726">
            <w:pPr>
              <w:rPr>
                <w:rFonts w:ascii="Arial" w:hAnsi="Arial" w:cs="Arial"/>
              </w:rPr>
            </w:pPr>
          </w:p>
          <w:p w:rsidR="0015527B" w:rsidRDefault="0015527B" w:rsidP="00505726">
            <w:pPr>
              <w:rPr>
                <w:rFonts w:ascii="Arial" w:hAnsi="Arial" w:cs="Arial"/>
              </w:rPr>
            </w:pPr>
            <w:r w:rsidRPr="00BC1A95">
              <w:rPr>
                <w:rFonts w:ascii="Arial" w:hAnsi="Arial" w:cs="Arial"/>
                <w:sz w:val="22"/>
                <w:szCs w:val="22"/>
              </w:rPr>
              <w:t>From 21 March 2016 C-Plan was no longer available in Three Rivers. From this date, applicants have been required to submit an Energy Statement demonstrating the extent to which relevant proposals meet the requirements of Policy DM4 of the Development Management Policies document.  This is required before an application is Validated.</w:t>
            </w:r>
          </w:p>
          <w:p w:rsidR="0015527B" w:rsidRDefault="0015527B" w:rsidP="00505726">
            <w:pPr>
              <w:rPr>
                <w:rFonts w:ascii="Arial" w:hAnsi="Arial" w:cs="Arial"/>
              </w:rPr>
            </w:pPr>
          </w:p>
          <w:p w:rsidR="0015527B" w:rsidRDefault="0015527B" w:rsidP="000A0444">
            <w:pPr>
              <w:rPr>
                <w:rFonts w:ascii="Arial" w:hAnsi="Arial" w:cs="Arial"/>
              </w:rPr>
            </w:pPr>
            <w:r>
              <w:rPr>
                <w:rFonts w:ascii="Arial" w:hAnsi="Arial" w:cs="Arial"/>
                <w:sz w:val="22"/>
                <w:szCs w:val="22"/>
              </w:rPr>
              <w:t>All applications are required to mee</w:t>
            </w:r>
            <w:r w:rsidR="007F017C">
              <w:rPr>
                <w:rFonts w:ascii="Arial" w:hAnsi="Arial" w:cs="Arial"/>
                <w:sz w:val="22"/>
                <w:szCs w:val="22"/>
              </w:rPr>
              <w:t>t the policy and for major a</w:t>
            </w:r>
            <w:r>
              <w:rPr>
                <w:rFonts w:ascii="Arial" w:hAnsi="Arial" w:cs="Arial"/>
                <w:sz w:val="22"/>
                <w:szCs w:val="22"/>
              </w:rPr>
              <w:t xml:space="preserve">pplications the Sustainable Projects Officer is also consulted. </w:t>
            </w:r>
          </w:p>
          <w:p w:rsidR="0015527B" w:rsidRPr="0090611D" w:rsidRDefault="0015527B" w:rsidP="000A0444">
            <w:pPr>
              <w:rPr>
                <w:rFonts w:ascii="Arial" w:hAnsi="Arial" w:cs="Arial"/>
              </w:rPr>
            </w:pPr>
          </w:p>
        </w:tc>
        <w:tc>
          <w:tcPr>
            <w:tcW w:w="3544" w:type="dxa"/>
          </w:tcPr>
          <w:p w:rsidR="0015527B" w:rsidRDefault="0015527B" w:rsidP="00732345">
            <w:pPr>
              <w:rPr>
                <w:rFonts w:ascii="Arial" w:hAnsi="Arial" w:cs="Arial"/>
              </w:rPr>
            </w:pPr>
            <w:r w:rsidRPr="00732345">
              <w:rPr>
                <w:rFonts w:ascii="Arial" w:hAnsi="Arial" w:cs="Arial"/>
                <w:sz w:val="22"/>
                <w:szCs w:val="22"/>
              </w:rPr>
              <w:t>Assessment of Energy Statements for development</w:t>
            </w:r>
            <w:r>
              <w:rPr>
                <w:rFonts w:ascii="Arial" w:hAnsi="Arial" w:cs="Arial"/>
                <w:sz w:val="22"/>
                <w:szCs w:val="22"/>
              </w:rPr>
              <w:t xml:space="preserve"> proposals</w:t>
            </w:r>
            <w:r w:rsidRPr="00732345">
              <w:rPr>
                <w:rFonts w:ascii="Arial" w:hAnsi="Arial" w:cs="Arial"/>
                <w:sz w:val="22"/>
                <w:szCs w:val="22"/>
              </w:rPr>
              <w:t xml:space="preserve"> to ensure they comply with the policy to demonstrate that development will produce 5% less carbon dioxide emissions than Building Regulations Part L requirements (2013) as set out in the Three Rivers District Council Local Plan.</w:t>
            </w:r>
          </w:p>
          <w:p w:rsidR="0015527B" w:rsidRDefault="0015527B" w:rsidP="00732345">
            <w:pPr>
              <w:rPr>
                <w:rFonts w:ascii="Arial" w:hAnsi="Arial" w:cs="Arial"/>
              </w:rPr>
            </w:pPr>
          </w:p>
          <w:p w:rsidR="0015527B" w:rsidRPr="00732345" w:rsidRDefault="003B52EB" w:rsidP="003B52EB">
            <w:pPr>
              <w:rPr>
                <w:rFonts w:ascii="Arial" w:hAnsi="Arial" w:cs="Arial"/>
              </w:rPr>
            </w:pPr>
            <w:r>
              <w:rPr>
                <w:rFonts w:ascii="Arial" w:hAnsi="Arial" w:cs="Arial"/>
                <w:sz w:val="22"/>
                <w:szCs w:val="22"/>
              </w:rPr>
              <w:t xml:space="preserve">Consult </w:t>
            </w:r>
            <w:r w:rsidR="0015527B" w:rsidRPr="00B631FE">
              <w:rPr>
                <w:rFonts w:ascii="Arial" w:hAnsi="Arial" w:cs="Arial"/>
                <w:sz w:val="22"/>
                <w:szCs w:val="22"/>
              </w:rPr>
              <w:t xml:space="preserve">Sustainable Projects Officer </w:t>
            </w:r>
            <w:r>
              <w:rPr>
                <w:rFonts w:ascii="Arial" w:hAnsi="Arial" w:cs="Arial"/>
                <w:sz w:val="22"/>
                <w:szCs w:val="22"/>
              </w:rPr>
              <w:t>on major applications.</w:t>
            </w:r>
          </w:p>
        </w:tc>
      </w:tr>
      <w:tr w:rsidR="0015527B" w:rsidRPr="00A6606E" w:rsidTr="0044167E">
        <w:trPr>
          <w:trHeight w:val="3690"/>
        </w:trPr>
        <w:tc>
          <w:tcPr>
            <w:tcW w:w="1726" w:type="dxa"/>
          </w:tcPr>
          <w:p w:rsidR="0015527B" w:rsidRPr="0090611D" w:rsidRDefault="0015527B" w:rsidP="004E24AF">
            <w:pPr>
              <w:rPr>
                <w:rFonts w:ascii="Arial" w:hAnsi="Arial" w:cs="Arial"/>
              </w:rPr>
            </w:pPr>
            <w:r>
              <w:rPr>
                <w:rFonts w:ascii="Arial" w:hAnsi="Arial" w:cs="Arial"/>
                <w:sz w:val="22"/>
                <w:szCs w:val="22"/>
              </w:rPr>
              <w:lastRenderedPageBreak/>
              <w:t>Home Energy Efficiency Awareness</w:t>
            </w:r>
          </w:p>
        </w:tc>
        <w:tc>
          <w:tcPr>
            <w:tcW w:w="3344" w:type="dxa"/>
          </w:tcPr>
          <w:p w:rsidR="0015527B" w:rsidRPr="0090611D" w:rsidRDefault="0015527B" w:rsidP="009F1F79">
            <w:pPr>
              <w:rPr>
                <w:rFonts w:ascii="Arial" w:hAnsi="Arial" w:cs="Arial"/>
              </w:rPr>
            </w:pPr>
            <w:r w:rsidRPr="0090611D">
              <w:rPr>
                <w:rFonts w:ascii="Arial" w:hAnsi="Arial" w:cs="Arial"/>
                <w:sz w:val="22"/>
                <w:szCs w:val="22"/>
              </w:rPr>
              <w:t xml:space="preserve">To promote the benefits energy efficiency measures generally. </w:t>
            </w:r>
          </w:p>
          <w:p w:rsidR="0015527B" w:rsidRPr="00C813B7" w:rsidRDefault="0015527B" w:rsidP="00F34E0B">
            <w:pPr>
              <w:spacing w:after="100" w:afterAutospacing="1"/>
              <w:rPr>
                <w:rFonts w:ascii="Arial" w:hAnsi="Arial" w:cs="Arial"/>
              </w:rPr>
            </w:pPr>
            <w:r>
              <w:rPr>
                <w:rFonts w:ascii="Arial" w:hAnsi="Arial" w:cs="Arial"/>
              </w:rPr>
              <w:br/>
            </w:r>
          </w:p>
        </w:tc>
        <w:tc>
          <w:tcPr>
            <w:tcW w:w="1559" w:type="dxa"/>
          </w:tcPr>
          <w:p w:rsidR="0015527B" w:rsidRPr="0090611D" w:rsidRDefault="0015527B" w:rsidP="004E24AF">
            <w:pPr>
              <w:rPr>
                <w:rFonts w:ascii="Arial" w:hAnsi="Arial" w:cs="Arial"/>
                <w:highlight w:val="yellow"/>
              </w:rPr>
            </w:pPr>
            <w:r w:rsidRPr="009F1F79">
              <w:rPr>
                <w:rFonts w:ascii="Arial" w:hAnsi="Arial" w:cs="Arial"/>
              </w:rPr>
              <w:t>Ongoing</w:t>
            </w:r>
          </w:p>
        </w:tc>
        <w:tc>
          <w:tcPr>
            <w:tcW w:w="3402" w:type="dxa"/>
          </w:tcPr>
          <w:p w:rsidR="0015527B" w:rsidRPr="00F34E0B" w:rsidRDefault="0015527B" w:rsidP="00F34E0B">
            <w:pPr>
              <w:jc w:val="center"/>
              <w:rPr>
                <w:rFonts w:ascii="Arial" w:hAnsi="Arial" w:cs="Arial"/>
                <w:color w:val="99CC00"/>
                <w:sz w:val="72"/>
                <w:szCs w:val="72"/>
              </w:rPr>
            </w:pPr>
            <w:r w:rsidRPr="0090611D">
              <w:rPr>
                <w:rFonts w:ascii="Arial" w:hAnsi="Arial" w:cs="Arial"/>
                <w:color w:val="99CC00"/>
                <w:sz w:val="72"/>
                <w:szCs w:val="72"/>
              </w:rPr>
              <w:sym w:font="Wingdings 2" w:char="F098"/>
            </w:r>
          </w:p>
          <w:p w:rsidR="0015527B" w:rsidRDefault="0015527B" w:rsidP="004E24AF">
            <w:pPr>
              <w:rPr>
                <w:rFonts w:ascii="Arial" w:hAnsi="Arial" w:cs="Arial"/>
              </w:rPr>
            </w:pPr>
            <w:r w:rsidRPr="009F1F79">
              <w:rPr>
                <w:rFonts w:ascii="Arial" w:hAnsi="Arial" w:cs="Arial"/>
                <w:sz w:val="22"/>
                <w:szCs w:val="22"/>
              </w:rPr>
              <w:t>Energy Efficiency has continued to be promoted th</w:t>
            </w:r>
            <w:r w:rsidR="00B5406B">
              <w:rPr>
                <w:rFonts w:ascii="Arial" w:hAnsi="Arial" w:cs="Arial"/>
                <w:sz w:val="22"/>
                <w:szCs w:val="22"/>
              </w:rPr>
              <w:t>rough Three Rivers Times, on the Council</w:t>
            </w:r>
            <w:r w:rsidRPr="009F1F79">
              <w:rPr>
                <w:rFonts w:ascii="Arial" w:hAnsi="Arial" w:cs="Arial"/>
                <w:sz w:val="22"/>
                <w:szCs w:val="22"/>
              </w:rPr>
              <w:t xml:space="preserve"> website, on the Green our Herts website,</w:t>
            </w:r>
            <w:r w:rsidR="00B5406B">
              <w:rPr>
                <w:rFonts w:ascii="Arial" w:hAnsi="Arial" w:cs="Arial"/>
                <w:sz w:val="22"/>
                <w:szCs w:val="22"/>
              </w:rPr>
              <w:t xml:space="preserve"> through the </w:t>
            </w:r>
            <w:r>
              <w:rPr>
                <w:rFonts w:ascii="Arial" w:hAnsi="Arial" w:cs="Arial"/>
                <w:sz w:val="22"/>
                <w:szCs w:val="22"/>
              </w:rPr>
              <w:t>Environment Newsletter</w:t>
            </w:r>
            <w:r w:rsidRPr="009F1F79">
              <w:rPr>
                <w:rFonts w:ascii="Arial" w:hAnsi="Arial" w:cs="Arial"/>
                <w:sz w:val="22"/>
                <w:szCs w:val="22"/>
              </w:rPr>
              <w:t xml:space="preserve"> and through social media. </w:t>
            </w:r>
          </w:p>
          <w:p w:rsidR="0015527B" w:rsidRDefault="0015527B" w:rsidP="004E24AF">
            <w:pPr>
              <w:rPr>
                <w:rFonts w:ascii="Arial" w:hAnsi="Arial" w:cs="Arial"/>
              </w:rPr>
            </w:pPr>
          </w:p>
          <w:p w:rsidR="0015527B" w:rsidRPr="009F1F79" w:rsidRDefault="0015527B" w:rsidP="0044167E">
            <w:pPr>
              <w:rPr>
                <w:rFonts w:ascii="Arial" w:hAnsi="Arial" w:cs="Arial"/>
                <w:highlight w:val="yellow"/>
              </w:rPr>
            </w:pPr>
            <w:r w:rsidRPr="009F1F79">
              <w:rPr>
                <w:rFonts w:ascii="Arial" w:hAnsi="Arial" w:cs="Arial"/>
                <w:sz w:val="22"/>
                <w:szCs w:val="22"/>
              </w:rPr>
              <w:t xml:space="preserve">A Home Insulation Guide was produced in conjunction with other Hertfordshire authorities.  </w:t>
            </w:r>
          </w:p>
        </w:tc>
        <w:tc>
          <w:tcPr>
            <w:tcW w:w="3544" w:type="dxa"/>
          </w:tcPr>
          <w:p w:rsidR="0015527B" w:rsidRDefault="0015527B" w:rsidP="004E24AF">
            <w:pPr>
              <w:rPr>
                <w:rFonts w:ascii="Arial" w:hAnsi="Arial" w:cs="Arial"/>
              </w:rPr>
            </w:pPr>
            <w:r>
              <w:rPr>
                <w:rFonts w:ascii="Arial" w:hAnsi="Arial" w:cs="Arial"/>
                <w:sz w:val="22"/>
                <w:szCs w:val="22"/>
              </w:rPr>
              <w:t>P</w:t>
            </w:r>
            <w:r w:rsidRPr="009F1F79">
              <w:rPr>
                <w:rFonts w:ascii="Arial" w:hAnsi="Arial" w:cs="Arial"/>
                <w:sz w:val="22"/>
                <w:szCs w:val="22"/>
              </w:rPr>
              <w:t xml:space="preserve">romote the benefits of </w:t>
            </w:r>
            <w:r>
              <w:rPr>
                <w:rFonts w:ascii="Arial" w:hAnsi="Arial" w:cs="Arial"/>
                <w:sz w:val="22"/>
                <w:szCs w:val="22"/>
              </w:rPr>
              <w:t xml:space="preserve">home </w:t>
            </w:r>
            <w:r w:rsidRPr="009F1F79">
              <w:rPr>
                <w:rFonts w:ascii="Arial" w:hAnsi="Arial" w:cs="Arial"/>
                <w:sz w:val="22"/>
                <w:szCs w:val="22"/>
              </w:rPr>
              <w:t xml:space="preserve">energy efficiency </w:t>
            </w:r>
            <w:r>
              <w:rPr>
                <w:rFonts w:ascii="Arial" w:hAnsi="Arial" w:cs="Arial"/>
                <w:sz w:val="22"/>
                <w:szCs w:val="22"/>
              </w:rPr>
              <w:t xml:space="preserve">activity and </w:t>
            </w:r>
            <w:r w:rsidRPr="009F1F79">
              <w:rPr>
                <w:rFonts w:ascii="Arial" w:hAnsi="Arial" w:cs="Arial"/>
                <w:sz w:val="22"/>
                <w:szCs w:val="22"/>
              </w:rPr>
              <w:t>measures</w:t>
            </w:r>
            <w:r w:rsidR="003D45A9">
              <w:rPr>
                <w:rFonts w:ascii="Arial" w:hAnsi="Arial" w:cs="Arial"/>
                <w:sz w:val="22"/>
                <w:szCs w:val="22"/>
              </w:rPr>
              <w:t>, including</w:t>
            </w:r>
            <w:r>
              <w:rPr>
                <w:rFonts w:ascii="Arial" w:hAnsi="Arial" w:cs="Arial"/>
                <w:sz w:val="22"/>
                <w:szCs w:val="22"/>
              </w:rPr>
              <w:t xml:space="preserve"> smart meter technology</w:t>
            </w:r>
            <w:r w:rsidR="003D45A9">
              <w:rPr>
                <w:rFonts w:ascii="Arial" w:hAnsi="Arial" w:cs="Arial"/>
                <w:sz w:val="22"/>
                <w:szCs w:val="22"/>
              </w:rPr>
              <w:t>,</w:t>
            </w:r>
            <w:r>
              <w:rPr>
                <w:rFonts w:ascii="Arial" w:hAnsi="Arial" w:cs="Arial"/>
                <w:sz w:val="22"/>
                <w:szCs w:val="22"/>
              </w:rPr>
              <w:t xml:space="preserve"> to help residents manage their energy use.</w:t>
            </w:r>
          </w:p>
          <w:p w:rsidR="0015527B" w:rsidRDefault="0015527B" w:rsidP="004E24AF">
            <w:pPr>
              <w:rPr>
                <w:rFonts w:ascii="Arial" w:hAnsi="Arial" w:cs="Arial"/>
              </w:rPr>
            </w:pPr>
          </w:p>
          <w:p w:rsidR="0015527B" w:rsidRPr="009F1F79" w:rsidRDefault="0015527B" w:rsidP="004E24AF">
            <w:pPr>
              <w:rPr>
                <w:rFonts w:ascii="Arial" w:hAnsi="Arial" w:cs="Arial"/>
                <w:highlight w:val="yellow"/>
              </w:rPr>
            </w:pPr>
          </w:p>
        </w:tc>
      </w:tr>
      <w:tr w:rsidR="003F463F" w:rsidRPr="00A6606E" w:rsidTr="0044167E">
        <w:trPr>
          <w:trHeight w:val="2109"/>
        </w:trPr>
        <w:tc>
          <w:tcPr>
            <w:tcW w:w="1726" w:type="dxa"/>
          </w:tcPr>
          <w:p w:rsidR="003F463F" w:rsidRPr="00B631FE" w:rsidRDefault="00886D47" w:rsidP="004E24AF">
            <w:pPr>
              <w:rPr>
                <w:rFonts w:ascii="Arial" w:hAnsi="Arial" w:cs="Arial"/>
              </w:rPr>
            </w:pPr>
            <w:r w:rsidRPr="00B631FE">
              <w:rPr>
                <w:rFonts w:ascii="Arial" w:hAnsi="Arial" w:cs="Arial"/>
                <w:sz w:val="22"/>
                <w:szCs w:val="22"/>
              </w:rPr>
              <w:t>Identification of areas</w:t>
            </w:r>
            <w:r w:rsidR="00481091">
              <w:rPr>
                <w:rFonts w:ascii="Arial" w:hAnsi="Arial" w:cs="Arial"/>
                <w:sz w:val="22"/>
                <w:szCs w:val="22"/>
              </w:rPr>
              <w:t xml:space="preserve"> for funding opportunities</w:t>
            </w:r>
          </w:p>
        </w:tc>
        <w:tc>
          <w:tcPr>
            <w:tcW w:w="3344" w:type="dxa"/>
          </w:tcPr>
          <w:p w:rsidR="003F463F" w:rsidRPr="00B631FE" w:rsidRDefault="003F463F" w:rsidP="009F1F79">
            <w:pPr>
              <w:rPr>
                <w:rFonts w:ascii="Arial" w:hAnsi="Arial" w:cs="Arial"/>
              </w:rPr>
            </w:pPr>
          </w:p>
        </w:tc>
        <w:tc>
          <w:tcPr>
            <w:tcW w:w="1559" w:type="dxa"/>
          </w:tcPr>
          <w:p w:rsidR="003F463F" w:rsidRPr="00B631FE" w:rsidRDefault="003F463F" w:rsidP="004E24AF">
            <w:pPr>
              <w:rPr>
                <w:rFonts w:ascii="Arial" w:hAnsi="Arial" w:cs="Arial"/>
              </w:rPr>
            </w:pPr>
            <w:r w:rsidRPr="00B631FE">
              <w:rPr>
                <w:rFonts w:ascii="Arial" w:hAnsi="Arial" w:cs="Arial"/>
                <w:sz w:val="22"/>
                <w:szCs w:val="22"/>
              </w:rPr>
              <w:t>Ongoing</w:t>
            </w:r>
          </w:p>
        </w:tc>
        <w:tc>
          <w:tcPr>
            <w:tcW w:w="3402" w:type="dxa"/>
          </w:tcPr>
          <w:p w:rsidR="00B631FE" w:rsidRPr="00FB4D44" w:rsidRDefault="00B631FE" w:rsidP="00B631FE">
            <w:pPr>
              <w:jc w:val="center"/>
              <w:rPr>
                <w:rFonts w:ascii="Arial" w:hAnsi="Arial" w:cs="Arial"/>
                <w:color w:val="99CC00"/>
                <w:sz w:val="72"/>
                <w:szCs w:val="72"/>
              </w:rPr>
            </w:pPr>
            <w:r w:rsidRPr="0090611D">
              <w:rPr>
                <w:rFonts w:ascii="Arial" w:hAnsi="Arial" w:cs="Arial"/>
                <w:color w:val="99CC00"/>
                <w:sz w:val="72"/>
                <w:szCs w:val="72"/>
              </w:rPr>
              <w:sym w:font="Wingdings 2" w:char="F098"/>
            </w:r>
          </w:p>
          <w:p w:rsidR="003F463F" w:rsidRPr="00B631FE" w:rsidRDefault="00B631FE" w:rsidP="0044167E">
            <w:pPr>
              <w:rPr>
                <w:rFonts w:ascii="Arial" w:hAnsi="Arial" w:cs="Arial"/>
                <w:color w:val="FFFF00"/>
                <w:sz w:val="72"/>
                <w:szCs w:val="72"/>
              </w:rPr>
            </w:pPr>
            <w:r w:rsidRPr="00B631FE">
              <w:rPr>
                <w:rFonts w:ascii="Arial" w:hAnsi="Arial" w:cs="Arial"/>
                <w:sz w:val="22"/>
                <w:szCs w:val="22"/>
              </w:rPr>
              <w:t>EPC data has been mapped</w:t>
            </w:r>
            <w:r w:rsidR="00592B3C">
              <w:rPr>
                <w:rFonts w:ascii="Arial" w:hAnsi="Arial" w:cs="Arial"/>
                <w:sz w:val="22"/>
                <w:szCs w:val="22"/>
              </w:rPr>
              <w:t>.</w:t>
            </w:r>
          </w:p>
        </w:tc>
        <w:tc>
          <w:tcPr>
            <w:tcW w:w="3544" w:type="dxa"/>
          </w:tcPr>
          <w:p w:rsidR="003F463F" w:rsidRPr="00B631FE" w:rsidRDefault="00B631FE" w:rsidP="004E24AF">
            <w:pPr>
              <w:rPr>
                <w:rFonts w:ascii="Arial" w:hAnsi="Arial" w:cs="Arial"/>
              </w:rPr>
            </w:pPr>
            <w:r w:rsidRPr="00B631FE">
              <w:rPr>
                <w:rFonts w:ascii="Arial" w:hAnsi="Arial" w:cs="Arial"/>
                <w:sz w:val="22"/>
                <w:szCs w:val="22"/>
              </w:rPr>
              <w:t xml:space="preserve">EPC data and maps </w:t>
            </w:r>
            <w:r w:rsidR="003F463F" w:rsidRPr="00B631FE">
              <w:rPr>
                <w:rFonts w:ascii="Arial" w:hAnsi="Arial" w:cs="Arial"/>
                <w:sz w:val="22"/>
                <w:szCs w:val="22"/>
              </w:rPr>
              <w:t>will be used to identify key areas for potential future schemes.</w:t>
            </w:r>
          </w:p>
          <w:p w:rsidR="003F463F" w:rsidRPr="00B631FE" w:rsidRDefault="003F463F" w:rsidP="004E24AF">
            <w:pPr>
              <w:rPr>
                <w:rFonts w:ascii="Arial" w:hAnsi="Arial" w:cs="Arial"/>
              </w:rPr>
            </w:pPr>
          </w:p>
          <w:p w:rsidR="003F463F" w:rsidRDefault="003F463F" w:rsidP="004E24AF">
            <w:pPr>
              <w:rPr>
                <w:rFonts w:ascii="Arial" w:hAnsi="Arial" w:cs="Arial"/>
              </w:rPr>
            </w:pPr>
            <w:r w:rsidRPr="00B631FE">
              <w:rPr>
                <w:rFonts w:ascii="Arial" w:hAnsi="Arial" w:cs="Arial"/>
                <w:sz w:val="22"/>
                <w:szCs w:val="22"/>
              </w:rPr>
              <w:t>Opportunities for future schemes will be considered depending on availability of funding.</w:t>
            </w:r>
          </w:p>
          <w:p w:rsidR="003F463F" w:rsidRPr="009F1F79" w:rsidRDefault="003F463F" w:rsidP="004E24AF">
            <w:pPr>
              <w:rPr>
                <w:rFonts w:ascii="Arial" w:hAnsi="Arial" w:cs="Arial"/>
              </w:rPr>
            </w:pPr>
          </w:p>
        </w:tc>
      </w:tr>
      <w:tr w:rsidR="003F463F" w:rsidRPr="00A6606E" w:rsidTr="00C813B7">
        <w:trPr>
          <w:trHeight w:val="145"/>
        </w:trPr>
        <w:tc>
          <w:tcPr>
            <w:tcW w:w="1726" w:type="dxa"/>
          </w:tcPr>
          <w:p w:rsidR="003F463F" w:rsidRDefault="003F463F" w:rsidP="004E24AF">
            <w:pPr>
              <w:rPr>
                <w:rFonts w:ascii="Arial" w:hAnsi="Arial" w:cs="Arial"/>
              </w:rPr>
            </w:pPr>
            <w:r>
              <w:rPr>
                <w:rFonts w:ascii="Arial" w:hAnsi="Arial" w:cs="Arial"/>
                <w:sz w:val="22"/>
                <w:szCs w:val="22"/>
              </w:rPr>
              <w:t>Warmer Homes</w:t>
            </w:r>
          </w:p>
        </w:tc>
        <w:tc>
          <w:tcPr>
            <w:tcW w:w="3344" w:type="dxa"/>
          </w:tcPr>
          <w:p w:rsidR="003F463F" w:rsidRDefault="003F463F" w:rsidP="004E24AF">
            <w:pPr>
              <w:rPr>
                <w:rFonts w:ascii="Arial" w:hAnsi="Arial" w:cs="Arial"/>
              </w:rPr>
            </w:pPr>
            <w:r>
              <w:rPr>
                <w:rFonts w:ascii="Arial" w:hAnsi="Arial" w:cs="Arial"/>
                <w:sz w:val="22"/>
                <w:szCs w:val="22"/>
              </w:rPr>
              <w:t>New project</w:t>
            </w:r>
          </w:p>
        </w:tc>
        <w:tc>
          <w:tcPr>
            <w:tcW w:w="1559" w:type="dxa"/>
          </w:tcPr>
          <w:p w:rsidR="003F463F" w:rsidRDefault="003F463F" w:rsidP="004E24AF">
            <w:pPr>
              <w:rPr>
                <w:rFonts w:ascii="Arial" w:hAnsi="Arial" w:cs="Arial"/>
              </w:rPr>
            </w:pPr>
            <w:r>
              <w:rPr>
                <w:rFonts w:ascii="Arial" w:hAnsi="Arial" w:cs="Arial"/>
                <w:sz w:val="22"/>
                <w:szCs w:val="22"/>
              </w:rPr>
              <w:t>Sept 2017-Sept 2018</w:t>
            </w:r>
          </w:p>
        </w:tc>
        <w:tc>
          <w:tcPr>
            <w:tcW w:w="3402" w:type="dxa"/>
          </w:tcPr>
          <w:p w:rsidR="003F463F" w:rsidRPr="00FB4D44" w:rsidRDefault="003F463F" w:rsidP="00FB4D44">
            <w:pPr>
              <w:jc w:val="center"/>
              <w:rPr>
                <w:rFonts w:ascii="Arial" w:hAnsi="Arial" w:cs="Arial"/>
                <w:color w:val="99CC00"/>
                <w:sz w:val="72"/>
                <w:szCs w:val="72"/>
              </w:rPr>
            </w:pPr>
            <w:r w:rsidRPr="0090611D">
              <w:rPr>
                <w:rFonts w:ascii="Arial" w:hAnsi="Arial" w:cs="Arial"/>
                <w:color w:val="99CC00"/>
                <w:sz w:val="72"/>
                <w:szCs w:val="72"/>
              </w:rPr>
              <w:sym w:font="Wingdings 2" w:char="F098"/>
            </w:r>
          </w:p>
          <w:p w:rsidR="003F463F" w:rsidRPr="00FB4D44" w:rsidRDefault="003F463F" w:rsidP="00FB4D44">
            <w:pPr>
              <w:rPr>
                <w:rFonts w:ascii="Arial" w:hAnsi="Arial" w:cs="Arial"/>
              </w:rPr>
            </w:pPr>
            <w:r w:rsidRPr="00FB4D44">
              <w:rPr>
                <w:rFonts w:ascii="Arial" w:hAnsi="Arial" w:cs="Arial"/>
                <w:sz w:val="22"/>
                <w:szCs w:val="22"/>
              </w:rPr>
              <w:t>The</w:t>
            </w:r>
            <w:r>
              <w:rPr>
                <w:rFonts w:ascii="Arial" w:hAnsi="Arial" w:cs="Arial"/>
                <w:sz w:val="22"/>
                <w:szCs w:val="22"/>
              </w:rPr>
              <w:t xml:space="preserve"> Warmer Homes</w:t>
            </w:r>
            <w:r w:rsidRPr="00FB4D44">
              <w:rPr>
                <w:rFonts w:ascii="Arial" w:hAnsi="Arial" w:cs="Arial"/>
                <w:sz w:val="22"/>
                <w:szCs w:val="22"/>
              </w:rPr>
              <w:t xml:space="preserve"> project and core funding has been approved by Public Health and will be overseen by the Housing Quality Working Group.</w:t>
            </w:r>
            <w:r>
              <w:rPr>
                <w:rFonts w:ascii="Arial" w:hAnsi="Arial" w:cs="Arial"/>
                <w:sz w:val="22"/>
                <w:szCs w:val="22"/>
              </w:rPr>
              <w:br/>
            </w:r>
          </w:p>
        </w:tc>
        <w:tc>
          <w:tcPr>
            <w:tcW w:w="3544" w:type="dxa"/>
          </w:tcPr>
          <w:p w:rsidR="003F463F" w:rsidRPr="00057E93" w:rsidRDefault="003F463F" w:rsidP="00057E93">
            <w:pPr>
              <w:rPr>
                <w:rFonts w:ascii="Arial" w:hAnsi="Arial" w:cs="Arial"/>
              </w:rPr>
            </w:pPr>
            <w:r>
              <w:rPr>
                <w:rFonts w:ascii="Arial" w:hAnsi="Arial" w:cs="Arial"/>
                <w:sz w:val="22"/>
                <w:szCs w:val="22"/>
              </w:rPr>
              <w:t>TRDC will work together with other districts and the County Council to install energy efficiency</w:t>
            </w:r>
            <w:r w:rsidR="0078490C">
              <w:rPr>
                <w:rFonts w:ascii="Arial" w:hAnsi="Arial" w:cs="Arial"/>
                <w:sz w:val="22"/>
                <w:szCs w:val="22"/>
              </w:rPr>
              <w:t xml:space="preserve"> measures</w:t>
            </w:r>
            <w:r>
              <w:rPr>
                <w:rFonts w:ascii="Arial" w:hAnsi="Arial" w:cs="Arial"/>
                <w:sz w:val="22"/>
                <w:szCs w:val="22"/>
              </w:rPr>
              <w:t xml:space="preserve"> to low income private households. The project is aimed primarily at those living in excess cold with serious health implications.</w:t>
            </w:r>
          </w:p>
        </w:tc>
      </w:tr>
      <w:tr w:rsidR="003F463F" w:rsidRPr="00A6606E" w:rsidTr="00C813B7">
        <w:trPr>
          <w:trHeight w:val="145"/>
        </w:trPr>
        <w:tc>
          <w:tcPr>
            <w:tcW w:w="1726" w:type="dxa"/>
          </w:tcPr>
          <w:p w:rsidR="003F463F" w:rsidRPr="0090611D" w:rsidRDefault="003F463F" w:rsidP="004E24AF">
            <w:pPr>
              <w:rPr>
                <w:rFonts w:ascii="Arial" w:hAnsi="Arial" w:cs="Arial"/>
              </w:rPr>
            </w:pPr>
            <w:r>
              <w:rPr>
                <w:rFonts w:ascii="Arial" w:hAnsi="Arial" w:cs="Arial"/>
                <w:sz w:val="22"/>
                <w:szCs w:val="22"/>
              </w:rPr>
              <w:lastRenderedPageBreak/>
              <w:t>Keep Warm, Stay Well</w:t>
            </w:r>
          </w:p>
        </w:tc>
        <w:tc>
          <w:tcPr>
            <w:tcW w:w="3344" w:type="dxa"/>
          </w:tcPr>
          <w:p w:rsidR="003F463F" w:rsidRDefault="003F463F" w:rsidP="004E24AF">
            <w:pPr>
              <w:rPr>
                <w:rFonts w:ascii="Arial" w:hAnsi="Arial" w:cs="Arial"/>
              </w:rPr>
            </w:pPr>
            <w:r>
              <w:rPr>
                <w:rFonts w:ascii="Arial" w:hAnsi="Arial" w:cs="Arial"/>
                <w:sz w:val="22"/>
                <w:szCs w:val="22"/>
              </w:rPr>
              <w:t>W</w:t>
            </w:r>
            <w:r w:rsidRPr="0090611D">
              <w:rPr>
                <w:rFonts w:ascii="Arial" w:hAnsi="Arial" w:cs="Arial"/>
                <w:sz w:val="22"/>
                <w:szCs w:val="22"/>
              </w:rPr>
              <w:t>e will continue to work together with partners including home energy efficiency visits, and bid for funding when available.</w:t>
            </w:r>
          </w:p>
          <w:p w:rsidR="003F463F" w:rsidRPr="0090611D" w:rsidRDefault="003F463F" w:rsidP="004E24AF">
            <w:pPr>
              <w:rPr>
                <w:rFonts w:ascii="Arial" w:hAnsi="Arial" w:cs="Arial"/>
              </w:rPr>
            </w:pPr>
            <w:r>
              <w:rPr>
                <w:rFonts w:ascii="Arial" w:hAnsi="Arial" w:cs="Arial"/>
                <w:sz w:val="22"/>
                <w:szCs w:val="22"/>
              </w:rPr>
              <w:br/>
              <w:t>C</w:t>
            </w:r>
            <w:r w:rsidRPr="0090611D">
              <w:rPr>
                <w:rFonts w:ascii="Arial" w:hAnsi="Arial" w:cs="Arial"/>
                <w:sz w:val="22"/>
                <w:szCs w:val="22"/>
              </w:rPr>
              <w:t xml:space="preserve">ontinued monitoring of Excessive Winter Deaths. </w:t>
            </w:r>
          </w:p>
          <w:p w:rsidR="003F463F" w:rsidRPr="0090611D" w:rsidRDefault="003F463F" w:rsidP="004E24AF">
            <w:pPr>
              <w:rPr>
                <w:rFonts w:ascii="Arial" w:hAnsi="Arial" w:cs="Arial"/>
              </w:rPr>
            </w:pPr>
          </w:p>
        </w:tc>
        <w:tc>
          <w:tcPr>
            <w:tcW w:w="1559" w:type="dxa"/>
          </w:tcPr>
          <w:p w:rsidR="003F463F" w:rsidRPr="0090611D" w:rsidRDefault="003F463F" w:rsidP="004E24AF">
            <w:pPr>
              <w:rPr>
                <w:rFonts w:ascii="Arial" w:hAnsi="Arial" w:cs="Arial"/>
              </w:rPr>
            </w:pPr>
            <w:r>
              <w:rPr>
                <w:rFonts w:ascii="Arial" w:hAnsi="Arial" w:cs="Arial"/>
                <w:sz w:val="22"/>
                <w:szCs w:val="22"/>
              </w:rPr>
              <w:t>2017/18</w:t>
            </w:r>
          </w:p>
        </w:tc>
        <w:tc>
          <w:tcPr>
            <w:tcW w:w="3402" w:type="dxa"/>
          </w:tcPr>
          <w:p w:rsidR="003F463F" w:rsidRPr="0090611D" w:rsidRDefault="003F463F" w:rsidP="0090611D">
            <w:pPr>
              <w:jc w:val="center"/>
              <w:rPr>
                <w:rFonts w:ascii="Arial" w:hAnsi="Arial" w:cs="Arial"/>
                <w:color w:val="99CC00"/>
                <w:sz w:val="72"/>
                <w:szCs w:val="72"/>
              </w:rPr>
            </w:pPr>
            <w:r w:rsidRPr="0090611D">
              <w:rPr>
                <w:rFonts w:ascii="Arial" w:hAnsi="Arial" w:cs="Arial"/>
                <w:color w:val="99CC00"/>
                <w:sz w:val="72"/>
                <w:szCs w:val="72"/>
              </w:rPr>
              <w:sym w:font="Wingdings 2" w:char="F098"/>
            </w:r>
          </w:p>
          <w:p w:rsidR="003F463F" w:rsidRPr="0094015D" w:rsidRDefault="003F463F" w:rsidP="004E24AF">
            <w:pPr>
              <w:rPr>
                <w:rFonts w:ascii="Arial" w:hAnsi="Arial" w:cs="Arial"/>
              </w:rPr>
            </w:pPr>
            <w:r>
              <w:rPr>
                <w:rFonts w:ascii="Arial" w:hAnsi="Arial" w:cs="Arial"/>
                <w:sz w:val="22"/>
                <w:szCs w:val="22"/>
              </w:rPr>
              <w:t xml:space="preserve">Keep Warm Stay Well was rebranded to Herts Healthy Homes and </w:t>
            </w:r>
            <w:r w:rsidRPr="00B62457">
              <w:rPr>
                <w:rFonts w:ascii="Arial" w:hAnsi="Arial" w:cs="Arial"/>
                <w:sz w:val="22"/>
                <w:szCs w:val="22"/>
              </w:rPr>
              <w:t>77 vulnerable households have received a free energy efficiency advice home visit since October 2014.</w:t>
            </w:r>
            <w:r w:rsidR="00C86DF8" w:rsidRPr="00057E93">
              <w:rPr>
                <w:rFonts w:ascii="Arial" w:hAnsi="Arial" w:cs="Arial"/>
                <w:sz w:val="22"/>
                <w:szCs w:val="22"/>
              </w:rPr>
              <w:t xml:space="preserve"> The Herts Healthy Homes project is now closing and is being replaced with Safe and Well visits</w:t>
            </w:r>
            <w:r w:rsidR="00C86DF8">
              <w:rPr>
                <w:rFonts w:ascii="Arial" w:hAnsi="Arial" w:cs="Arial"/>
                <w:sz w:val="22"/>
                <w:szCs w:val="22"/>
              </w:rPr>
              <w:t>.</w:t>
            </w:r>
          </w:p>
          <w:p w:rsidR="003F463F" w:rsidRDefault="003F463F" w:rsidP="004E24AF">
            <w:pPr>
              <w:rPr>
                <w:rFonts w:ascii="Arial" w:hAnsi="Arial" w:cs="Arial"/>
              </w:rPr>
            </w:pPr>
          </w:p>
          <w:p w:rsidR="006E6A65" w:rsidRPr="006E6A65" w:rsidRDefault="00AF7818" w:rsidP="004E24AF">
            <w:pPr>
              <w:rPr>
                <w:rFonts w:ascii="Arial" w:hAnsi="Arial" w:cs="Arial"/>
              </w:rPr>
            </w:pPr>
            <w:r w:rsidRPr="00AF7818">
              <w:rPr>
                <w:rFonts w:ascii="Arial" w:hAnsi="Arial" w:cs="Arial"/>
                <w:sz w:val="22"/>
                <w:szCs w:val="22"/>
              </w:rPr>
              <w:t xml:space="preserve">Beat the Killer Cold provided assistance to 121 households in 2015/16 and 115 in 2016/17. </w:t>
            </w:r>
          </w:p>
          <w:p w:rsidR="006E6A65" w:rsidRPr="0094015D" w:rsidRDefault="006E6A65" w:rsidP="004E24AF">
            <w:pPr>
              <w:rPr>
                <w:rFonts w:ascii="Arial" w:hAnsi="Arial" w:cs="Arial"/>
              </w:rPr>
            </w:pPr>
          </w:p>
          <w:p w:rsidR="003F463F" w:rsidRDefault="003F463F" w:rsidP="004E24AF">
            <w:pPr>
              <w:rPr>
                <w:rFonts w:ascii="Arial" w:hAnsi="Arial" w:cs="Arial"/>
              </w:rPr>
            </w:pPr>
            <w:r w:rsidRPr="0094015D">
              <w:rPr>
                <w:rFonts w:ascii="Arial" w:hAnsi="Arial" w:cs="Arial"/>
                <w:sz w:val="22"/>
                <w:szCs w:val="22"/>
              </w:rPr>
              <w:t>Excessive winter deaths fell to just 10 in 20 in 2013/14 before rising again, in line with the national trend, to 70 in 2014/15.</w:t>
            </w:r>
          </w:p>
          <w:p w:rsidR="003F463F" w:rsidRPr="0090611D" w:rsidRDefault="003F463F" w:rsidP="004E24AF">
            <w:pPr>
              <w:rPr>
                <w:rFonts w:ascii="Arial" w:hAnsi="Arial" w:cs="Arial"/>
              </w:rPr>
            </w:pPr>
          </w:p>
        </w:tc>
        <w:tc>
          <w:tcPr>
            <w:tcW w:w="3544" w:type="dxa"/>
          </w:tcPr>
          <w:p w:rsidR="003F463F" w:rsidRPr="00933591" w:rsidRDefault="00C86DF8" w:rsidP="00057E93">
            <w:pPr>
              <w:rPr>
                <w:rFonts w:ascii="Arial" w:hAnsi="Arial" w:cs="Arial"/>
              </w:rPr>
            </w:pPr>
            <w:r>
              <w:rPr>
                <w:rFonts w:ascii="Arial" w:hAnsi="Arial" w:cs="Arial"/>
                <w:sz w:val="22"/>
                <w:szCs w:val="22"/>
              </w:rPr>
              <w:t xml:space="preserve">Promote </w:t>
            </w:r>
            <w:r w:rsidR="003F463F" w:rsidRPr="00057E93">
              <w:rPr>
                <w:rFonts w:ascii="Arial" w:hAnsi="Arial" w:cs="Arial"/>
                <w:sz w:val="22"/>
                <w:szCs w:val="22"/>
              </w:rPr>
              <w:t>Safe and Well visits,</w:t>
            </w:r>
            <w:r w:rsidR="003F463F" w:rsidRPr="00057E93">
              <w:rPr>
                <w:rFonts w:ascii="Arial" w:hAnsi="Arial" w:cs="Arial"/>
                <w:sz w:val="22"/>
                <w:szCs w:val="22"/>
                <w:shd w:val="clear" w:color="auto" w:fill="FFFFFF"/>
              </w:rPr>
              <w:t xml:space="preserve"> a joint initiative run by the county council’s fire and rescue service and public health department, which will </w:t>
            </w:r>
            <w:r w:rsidR="003F463F" w:rsidRPr="00057E93">
              <w:rPr>
                <w:rFonts w:ascii="Arial" w:hAnsi="Arial" w:cs="Arial"/>
                <w:sz w:val="22"/>
                <w:szCs w:val="22"/>
              </w:rPr>
              <w:t>to give advice to vulnerable residen</w:t>
            </w:r>
            <w:r w:rsidR="00A44D96">
              <w:rPr>
                <w:rFonts w:ascii="Arial" w:hAnsi="Arial" w:cs="Arial"/>
                <w:sz w:val="22"/>
                <w:szCs w:val="22"/>
              </w:rPr>
              <w:t xml:space="preserve">ts on a range of health issues </w:t>
            </w:r>
            <w:r w:rsidR="003F463F">
              <w:rPr>
                <w:rFonts w:ascii="Arial" w:hAnsi="Arial" w:cs="Arial"/>
                <w:sz w:val="22"/>
                <w:szCs w:val="22"/>
              </w:rPr>
              <w:t>including</w:t>
            </w:r>
            <w:r w:rsidR="003F463F" w:rsidRPr="00057E93">
              <w:rPr>
                <w:rFonts w:ascii="Arial" w:hAnsi="Arial" w:cs="Arial"/>
                <w:sz w:val="22"/>
                <w:szCs w:val="22"/>
              </w:rPr>
              <w:t xml:space="preserve"> keeping a home warm en</w:t>
            </w:r>
            <w:r w:rsidR="003F463F">
              <w:rPr>
                <w:rFonts w:ascii="Arial" w:hAnsi="Arial" w:cs="Arial"/>
                <w:sz w:val="22"/>
                <w:szCs w:val="22"/>
              </w:rPr>
              <w:t xml:space="preserve">ough </w:t>
            </w:r>
            <w:r w:rsidR="003F463F" w:rsidRPr="00057E93">
              <w:rPr>
                <w:rFonts w:ascii="Arial" w:hAnsi="Arial" w:cs="Arial"/>
                <w:sz w:val="22"/>
                <w:szCs w:val="22"/>
              </w:rPr>
              <w:t>and</w:t>
            </w:r>
            <w:r w:rsidR="003F463F">
              <w:rPr>
                <w:rFonts w:ascii="Arial" w:hAnsi="Arial" w:cs="Arial"/>
                <w:sz w:val="22"/>
                <w:szCs w:val="22"/>
              </w:rPr>
              <w:t xml:space="preserve"> will</w:t>
            </w:r>
            <w:r w:rsidR="003F463F" w:rsidRPr="00057E93">
              <w:rPr>
                <w:rFonts w:ascii="Arial" w:hAnsi="Arial" w:cs="Arial"/>
                <w:sz w:val="22"/>
                <w:szCs w:val="22"/>
              </w:rPr>
              <w:t xml:space="preserve"> point them towards the specialist support services available.</w:t>
            </w:r>
            <w:r w:rsidR="008A0772">
              <w:rPr>
                <w:rFonts w:ascii="Arial" w:hAnsi="Arial" w:cs="Arial"/>
                <w:sz w:val="22"/>
                <w:szCs w:val="22"/>
              </w:rPr>
              <w:t xml:space="preserve"> Where appropriate residents will be </w:t>
            </w:r>
            <w:r w:rsidR="008A0772" w:rsidRPr="00933591">
              <w:rPr>
                <w:rFonts w:ascii="Arial" w:hAnsi="Arial" w:cs="Arial"/>
                <w:sz w:val="22"/>
                <w:szCs w:val="22"/>
              </w:rPr>
              <w:t>directed to the new Warmer Homes project.</w:t>
            </w:r>
          </w:p>
          <w:p w:rsidR="003F463F" w:rsidRDefault="003F463F" w:rsidP="00057E93">
            <w:pPr>
              <w:rPr>
                <w:rFonts w:ascii="Arial" w:hAnsi="Arial" w:cs="Arial"/>
              </w:rPr>
            </w:pPr>
          </w:p>
          <w:p w:rsidR="00933591" w:rsidRPr="00F97A23" w:rsidRDefault="00933591" w:rsidP="00057E93">
            <w:pPr>
              <w:rPr>
                <w:rFonts w:ascii="Arial" w:hAnsi="Arial" w:cs="Arial"/>
              </w:rPr>
            </w:pPr>
            <w:r w:rsidRPr="00F97A23">
              <w:rPr>
                <w:rFonts w:ascii="Arial" w:hAnsi="Arial" w:cs="Arial"/>
                <w:sz w:val="22"/>
                <w:szCs w:val="22"/>
              </w:rPr>
              <w:t>The Beat the Killer Cold scheme will continue to support</w:t>
            </w:r>
            <w:r w:rsidR="00F97A23" w:rsidRPr="00F97A23">
              <w:rPr>
                <w:rFonts w:ascii="Arial" w:hAnsi="Arial" w:cs="Arial"/>
                <w:sz w:val="22"/>
                <w:szCs w:val="22"/>
              </w:rPr>
              <w:t xml:space="preserve"> those of pensionable age</w:t>
            </w:r>
            <w:r w:rsidR="00FA2224" w:rsidRPr="00F97A23">
              <w:rPr>
                <w:rFonts w:ascii="Arial" w:hAnsi="Arial" w:cs="Arial"/>
                <w:sz w:val="22"/>
                <w:szCs w:val="22"/>
              </w:rPr>
              <w:t xml:space="preserve"> on qualifying benefits</w:t>
            </w:r>
            <w:r w:rsidR="00F97A23">
              <w:rPr>
                <w:rFonts w:ascii="Arial" w:hAnsi="Arial" w:cs="Arial"/>
                <w:sz w:val="22"/>
                <w:szCs w:val="22"/>
              </w:rPr>
              <w:t xml:space="preserve"> who apply for assistance.</w:t>
            </w:r>
          </w:p>
          <w:p w:rsidR="00933591" w:rsidRPr="0090611D" w:rsidRDefault="00933591" w:rsidP="00057E93">
            <w:pPr>
              <w:rPr>
                <w:rFonts w:ascii="Arial" w:hAnsi="Arial" w:cs="Arial"/>
              </w:rPr>
            </w:pPr>
          </w:p>
        </w:tc>
      </w:tr>
    </w:tbl>
    <w:p w:rsidR="00C86DF8" w:rsidRDefault="00C86DF8">
      <w:r>
        <w:br w:type="page"/>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6"/>
        <w:gridCol w:w="3344"/>
        <w:gridCol w:w="1559"/>
        <w:gridCol w:w="3402"/>
        <w:gridCol w:w="3544"/>
      </w:tblGrid>
      <w:tr w:rsidR="005853A4" w:rsidRPr="00A6606E" w:rsidTr="00372BE5">
        <w:trPr>
          <w:trHeight w:val="145"/>
        </w:trPr>
        <w:tc>
          <w:tcPr>
            <w:tcW w:w="1726" w:type="dxa"/>
            <w:tcBorders>
              <w:bottom w:val="single" w:sz="4" w:space="0" w:color="auto"/>
            </w:tcBorders>
          </w:tcPr>
          <w:p w:rsidR="005853A4" w:rsidRPr="00E02CB9" w:rsidRDefault="005853A4" w:rsidP="004E24AF">
            <w:pPr>
              <w:rPr>
                <w:rFonts w:ascii="Arial" w:hAnsi="Arial" w:cs="Arial"/>
              </w:rPr>
            </w:pPr>
            <w:r w:rsidRPr="00E02CB9">
              <w:rPr>
                <w:rFonts w:ascii="Arial" w:hAnsi="Arial" w:cs="Arial"/>
                <w:sz w:val="22"/>
                <w:szCs w:val="22"/>
              </w:rPr>
              <w:lastRenderedPageBreak/>
              <w:t>Minimum Energy Efficiency Standards in the Private Rented Sector</w:t>
            </w:r>
          </w:p>
        </w:tc>
        <w:tc>
          <w:tcPr>
            <w:tcW w:w="3344" w:type="dxa"/>
            <w:tcBorders>
              <w:bottom w:val="single" w:sz="4" w:space="0" w:color="auto"/>
            </w:tcBorders>
          </w:tcPr>
          <w:p w:rsidR="005853A4" w:rsidRPr="00E02CB9" w:rsidRDefault="005853A4" w:rsidP="002220F8">
            <w:pPr>
              <w:rPr>
                <w:rFonts w:ascii="Arial" w:hAnsi="Arial" w:cs="Arial"/>
              </w:rPr>
            </w:pPr>
          </w:p>
        </w:tc>
        <w:tc>
          <w:tcPr>
            <w:tcW w:w="1559" w:type="dxa"/>
            <w:tcBorders>
              <w:bottom w:val="single" w:sz="4" w:space="0" w:color="auto"/>
            </w:tcBorders>
          </w:tcPr>
          <w:p w:rsidR="005853A4" w:rsidRPr="00E02CB9" w:rsidRDefault="005853A4" w:rsidP="004E24AF">
            <w:pPr>
              <w:rPr>
                <w:rFonts w:ascii="Arial" w:hAnsi="Arial" w:cs="Arial"/>
              </w:rPr>
            </w:pPr>
            <w:r w:rsidRPr="00E02CB9">
              <w:rPr>
                <w:rFonts w:ascii="Arial" w:hAnsi="Arial" w:cs="Arial"/>
                <w:sz w:val="22"/>
                <w:szCs w:val="22"/>
              </w:rPr>
              <w:t>2017-18</w:t>
            </w:r>
          </w:p>
        </w:tc>
        <w:tc>
          <w:tcPr>
            <w:tcW w:w="3402" w:type="dxa"/>
            <w:tcBorders>
              <w:bottom w:val="single" w:sz="4" w:space="0" w:color="auto"/>
            </w:tcBorders>
          </w:tcPr>
          <w:p w:rsidR="005853A4" w:rsidRPr="00E02CB9" w:rsidRDefault="005853A4" w:rsidP="0090611D">
            <w:pPr>
              <w:jc w:val="center"/>
              <w:rPr>
                <w:rFonts w:ascii="Arial" w:hAnsi="Arial" w:cs="Arial"/>
              </w:rPr>
            </w:pPr>
            <w:r w:rsidRPr="00E02CB9">
              <w:rPr>
                <w:rFonts w:ascii="Arial" w:hAnsi="Arial" w:cs="Arial"/>
                <w:sz w:val="22"/>
                <w:szCs w:val="22"/>
              </w:rPr>
              <w:t>n/a</w:t>
            </w:r>
          </w:p>
        </w:tc>
        <w:tc>
          <w:tcPr>
            <w:tcW w:w="3544" w:type="dxa"/>
            <w:tcBorders>
              <w:bottom w:val="single" w:sz="4" w:space="0" w:color="auto"/>
            </w:tcBorders>
          </w:tcPr>
          <w:p w:rsidR="005853A4" w:rsidRPr="00E02CB9" w:rsidRDefault="005853A4" w:rsidP="00CE7805">
            <w:pPr>
              <w:rPr>
                <w:rFonts w:ascii="Arial" w:hAnsi="Arial" w:cs="Arial"/>
              </w:rPr>
            </w:pPr>
            <w:r w:rsidRPr="00E02CB9">
              <w:rPr>
                <w:rFonts w:ascii="Arial" w:hAnsi="Arial" w:cs="Arial"/>
                <w:sz w:val="22"/>
                <w:szCs w:val="22"/>
              </w:rPr>
              <w:t>Housing standards are currently enforced across the District and, following clarification of requirements, an assessment will be undertaken regarding any implications on staffing and resources, as a result of the requirements</w:t>
            </w:r>
            <w:r w:rsidRPr="00E02CB9">
              <w:rPr>
                <w:rFonts w:ascii="Arial" w:hAnsi="Arial" w:cs="Arial"/>
                <w:sz w:val="22"/>
                <w:szCs w:val="22"/>
                <w:shd w:val="clear" w:color="auto" w:fill="FFFFFF"/>
              </w:rPr>
              <w:t xml:space="preserve"> from the 1st April 2018 for any properties rented out in the private rented sector to normally have a minimum energy performance rating of E on an Energy Performance Certificate (EPC) for new lets and renewals and the impo</w:t>
            </w:r>
            <w:r w:rsidR="00622AC7">
              <w:rPr>
                <w:rFonts w:ascii="Arial" w:hAnsi="Arial" w:cs="Arial"/>
                <w:sz w:val="22"/>
                <w:szCs w:val="22"/>
                <w:shd w:val="clear" w:color="auto" w:fill="FFFFFF"/>
              </w:rPr>
              <w:t xml:space="preserve">sition of a civil penalty </w:t>
            </w:r>
            <w:r w:rsidRPr="00E02CB9">
              <w:rPr>
                <w:rFonts w:ascii="Arial" w:hAnsi="Arial" w:cs="Arial"/>
                <w:sz w:val="22"/>
                <w:szCs w:val="22"/>
                <w:shd w:val="clear" w:color="auto" w:fill="FFFFFF"/>
              </w:rPr>
              <w:t>for breaches.</w:t>
            </w:r>
            <w:r w:rsidRPr="00E02CB9">
              <w:rPr>
                <w:rFonts w:ascii="Arial" w:hAnsi="Arial" w:cs="Arial"/>
                <w:sz w:val="22"/>
                <w:szCs w:val="22"/>
                <w:shd w:val="clear" w:color="auto" w:fill="FFFFFF"/>
              </w:rPr>
              <w:br/>
            </w:r>
          </w:p>
        </w:tc>
      </w:tr>
      <w:tr w:rsidR="005853A4" w:rsidRPr="00A6606E" w:rsidTr="00372BE5">
        <w:trPr>
          <w:trHeight w:val="145"/>
        </w:trPr>
        <w:tc>
          <w:tcPr>
            <w:tcW w:w="1726" w:type="dxa"/>
            <w:tcBorders>
              <w:bottom w:val="single" w:sz="4" w:space="0" w:color="auto"/>
            </w:tcBorders>
          </w:tcPr>
          <w:p w:rsidR="005853A4" w:rsidRPr="00E02CB9" w:rsidRDefault="005853A4" w:rsidP="004E24AF">
            <w:pPr>
              <w:rPr>
                <w:rFonts w:ascii="Arial" w:hAnsi="Arial" w:cs="Arial"/>
              </w:rPr>
            </w:pPr>
            <w:r w:rsidRPr="00E02CB9">
              <w:rPr>
                <w:rFonts w:ascii="Arial" w:hAnsi="Arial" w:cs="Arial"/>
                <w:sz w:val="22"/>
                <w:szCs w:val="22"/>
              </w:rPr>
              <w:t>Hertfordshire Building Futures</w:t>
            </w:r>
          </w:p>
        </w:tc>
        <w:tc>
          <w:tcPr>
            <w:tcW w:w="3344" w:type="dxa"/>
            <w:tcBorders>
              <w:bottom w:val="single" w:sz="4" w:space="0" w:color="auto"/>
            </w:tcBorders>
          </w:tcPr>
          <w:p w:rsidR="005853A4" w:rsidRPr="00E02CB9" w:rsidRDefault="005853A4" w:rsidP="002220F8">
            <w:pPr>
              <w:rPr>
                <w:rFonts w:ascii="Arial" w:hAnsi="Arial" w:cs="Arial"/>
              </w:rPr>
            </w:pPr>
            <w:r w:rsidRPr="00E02CB9">
              <w:rPr>
                <w:rFonts w:ascii="Arial" w:hAnsi="Arial" w:cs="Arial"/>
                <w:sz w:val="22"/>
                <w:szCs w:val="22"/>
              </w:rPr>
              <w:t>Guidance is available to help maximise sustainability and practical tips to meet policy requirements in ‘Building Futures: A Hertfordshire Guide to Promoting Sustainability in Development.’</w:t>
            </w:r>
          </w:p>
          <w:p w:rsidR="005853A4" w:rsidRPr="00E02CB9" w:rsidRDefault="005853A4" w:rsidP="002220F8">
            <w:pPr>
              <w:rPr>
                <w:rFonts w:ascii="Arial" w:hAnsi="Arial" w:cs="Arial"/>
              </w:rPr>
            </w:pPr>
          </w:p>
        </w:tc>
        <w:tc>
          <w:tcPr>
            <w:tcW w:w="1559" w:type="dxa"/>
            <w:tcBorders>
              <w:bottom w:val="single" w:sz="4" w:space="0" w:color="auto"/>
            </w:tcBorders>
          </w:tcPr>
          <w:p w:rsidR="005853A4" w:rsidRPr="00E02CB9" w:rsidRDefault="005853A4" w:rsidP="004E24AF">
            <w:pPr>
              <w:rPr>
                <w:rFonts w:ascii="Arial" w:hAnsi="Arial" w:cs="Arial"/>
              </w:rPr>
            </w:pPr>
            <w:r w:rsidRPr="00E02CB9">
              <w:rPr>
                <w:rFonts w:ascii="Arial" w:hAnsi="Arial" w:cs="Arial"/>
                <w:sz w:val="22"/>
                <w:szCs w:val="22"/>
              </w:rPr>
              <w:t>Ongoing</w:t>
            </w:r>
          </w:p>
        </w:tc>
        <w:tc>
          <w:tcPr>
            <w:tcW w:w="3402" w:type="dxa"/>
            <w:tcBorders>
              <w:bottom w:val="single" w:sz="4" w:space="0" w:color="auto"/>
            </w:tcBorders>
          </w:tcPr>
          <w:p w:rsidR="005853A4" w:rsidRPr="00E02CB9" w:rsidRDefault="005853A4" w:rsidP="0090611D">
            <w:pPr>
              <w:jc w:val="center"/>
              <w:rPr>
                <w:rFonts w:ascii="Arial" w:hAnsi="Arial" w:cs="Arial"/>
                <w:color w:val="99CC00"/>
                <w:sz w:val="72"/>
                <w:szCs w:val="72"/>
              </w:rPr>
            </w:pPr>
            <w:r w:rsidRPr="00E02CB9">
              <w:rPr>
                <w:rFonts w:ascii="Arial" w:hAnsi="Arial" w:cs="Arial"/>
                <w:color w:val="99CC00"/>
                <w:sz w:val="72"/>
                <w:szCs w:val="72"/>
              </w:rPr>
              <w:sym w:font="Wingdings 2" w:char="F098"/>
            </w:r>
          </w:p>
          <w:p w:rsidR="005853A4" w:rsidRPr="00E02CB9" w:rsidRDefault="005853A4" w:rsidP="004E24AF">
            <w:pPr>
              <w:rPr>
                <w:rFonts w:ascii="Arial" w:hAnsi="Arial" w:cs="Arial"/>
              </w:rPr>
            </w:pPr>
            <w:r w:rsidRPr="00E02CB9">
              <w:rPr>
                <w:rFonts w:ascii="Arial" w:hAnsi="Arial" w:cs="Arial"/>
                <w:sz w:val="22"/>
                <w:szCs w:val="22"/>
              </w:rPr>
              <w:t>Guidance is signposted.</w:t>
            </w:r>
          </w:p>
        </w:tc>
        <w:tc>
          <w:tcPr>
            <w:tcW w:w="3544" w:type="dxa"/>
            <w:tcBorders>
              <w:bottom w:val="single" w:sz="4" w:space="0" w:color="auto"/>
            </w:tcBorders>
          </w:tcPr>
          <w:p w:rsidR="00E02CB9" w:rsidRPr="00E02CB9" w:rsidRDefault="00E02CB9" w:rsidP="00E02CB9">
            <w:pPr>
              <w:rPr>
                <w:rFonts w:ascii="Arial" w:hAnsi="Arial" w:cs="Arial"/>
              </w:rPr>
            </w:pPr>
            <w:r w:rsidRPr="00E02CB9">
              <w:rPr>
                <w:rFonts w:ascii="Arial" w:hAnsi="Arial" w:cs="Arial"/>
                <w:sz w:val="22"/>
                <w:szCs w:val="22"/>
              </w:rPr>
              <w:t>Guidance is available to help maximise sustainability and practical tips to meet policy requirements in ‘Building Futures: A Hertfordshire Guide to Promoting Sustainability in Development.’</w:t>
            </w:r>
          </w:p>
          <w:p w:rsidR="005853A4" w:rsidRPr="008174D9" w:rsidRDefault="005853A4" w:rsidP="004E24AF">
            <w:pPr>
              <w:rPr>
                <w:rFonts w:ascii="Arial" w:hAnsi="Arial" w:cs="Arial"/>
                <w:color w:val="FF0000"/>
              </w:rPr>
            </w:pPr>
          </w:p>
        </w:tc>
      </w:tr>
    </w:tbl>
    <w:p w:rsidR="00A973C9" w:rsidRPr="00A6606E" w:rsidRDefault="00A973C9">
      <w:pPr>
        <w:rPr>
          <w:sz w:val="22"/>
          <w:szCs w:val="22"/>
        </w:rPr>
      </w:pPr>
    </w:p>
    <w:sectPr w:rsidR="00A973C9" w:rsidRPr="00A6606E" w:rsidSect="007E5B5D">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C9" w:rsidRDefault="00A973C9">
      <w:r>
        <w:separator/>
      </w:r>
    </w:p>
  </w:endnote>
  <w:endnote w:type="continuationSeparator" w:id="0">
    <w:p w:rsidR="00A973C9" w:rsidRDefault="00A9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GroteskPro-Ligh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4D" w:rsidRDefault="001C5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3C9" w:rsidRPr="00445B20" w:rsidRDefault="00A973C9" w:rsidP="00445B20">
    <w:pPr>
      <w:pStyle w:val="Footer"/>
      <w:jc w:val="center"/>
      <w:rPr>
        <w:rFonts w:ascii="Arial" w:hAnsi="Arial" w:cs="Arial"/>
      </w:rPr>
    </w:pPr>
    <w:r w:rsidRPr="00445B20">
      <w:rPr>
        <w:rStyle w:val="PageNumber"/>
        <w:rFonts w:ascii="Arial" w:hAnsi="Arial" w:cs="Arial"/>
      </w:rPr>
      <w:fldChar w:fldCharType="begin"/>
    </w:r>
    <w:r w:rsidRPr="00445B20">
      <w:rPr>
        <w:rStyle w:val="PageNumber"/>
        <w:rFonts w:ascii="Arial" w:hAnsi="Arial" w:cs="Arial"/>
      </w:rPr>
      <w:instrText xml:space="preserve"> PAGE </w:instrText>
    </w:r>
    <w:r w:rsidRPr="00445B20">
      <w:rPr>
        <w:rStyle w:val="PageNumber"/>
        <w:rFonts w:ascii="Arial" w:hAnsi="Arial" w:cs="Arial"/>
      </w:rPr>
      <w:fldChar w:fldCharType="separate"/>
    </w:r>
    <w:r w:rsidR="00D47306">
      <w:rPr>
        <w:rStyle w:val="PageNumber"/>
        <w:rFonts w:ascii="Arial" w:hAnsi="Arial" w:cs="Arial"/>
        <w:noProof/>
      </w:rPr>
      <w:t>1</w:t>
    </w:r>
    <w:r w:rsidRPr="00445B20">
      <w:rPr>
        <w:rStyle w:val="PageNumbe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4D" w:rsidRDefault="001C5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C9" w:rsidRDefault="00A973C9">
      <w:r>
        <w:separator/>
      </w:r>
    </w:p>
  </w:footnote>
  <w:footnote w:type="continuationSeparator" w:id="0">
    <w:p w:rsidR="00A973C9" w:rsidRDefault="00A973C9">
      <w:r>
        <w:continuationSeparator/>
      </w:r>
    </w:p>
  </w:footnote>
  <w:footnote w:id="1">
    <w:p w:rsidR="00D10461" w:rsidRPr="00DB3AF4" w:rsidRDefault="00A973C9">
      <w:pPr>
        <w:pStyle w:val="FootnoteText"/>
        <w:rPr>
          <w:rFonts w:ascii="Arial" w:hAnsi="Arial" w:cs="Arial"/>
        </w:rPr>
      </w:pPr>
      <w:r w:rsidRPr="00862B33">
        <w:rPr>
          <w:rStyle w:val="FootnoteReference"/>
          <w:rFonts w:ascii="Arial" w:hAnsi="Arial" w:cs="Arial"/>
        </w:rPr>
        <w:footnoteRef/>
      </w:r>
      <w:r w:rsidRPr="00862B33">
        <w:rPr>
          <w:rFonts w:ascii="Arial" w:hAnsi="Arial" w:cs="Arial"/>
        </w:rPr>
        <w:t xml:space="preserve"> </w:t>
      </w:r>
      <w:r w:rsidR="005275CC">
        <w:rPr>
          <w:rFonts w:ascii="Arial" w:hAnsi="Arial" w:cs="Arial"/>
        </w:rPr>
        <w:t xml:space="preserve">Department of Energy and Climate Change - </w:t>
      </w:r>
      <w:r w:rsidR="00D10461" w:rsidRPr="00D10461">
        <w:rPr>
          <w:rFonts w:ascii="Arial" w:hAnsi="Arial" w:cs="Arial"/>
        </w:rPr>
        <w:t>UK local authority and regional carbon dioxide emissions national statistics: 2005-2014</w:t>
      </w:r>
      <w:r w:rsidR="00D10461">
        <w:rPr>
          <w:rFonts w:ascii="Arial" w:hAnsi="Arial" w:cs="Arial"/>
        </w:rPr>
        <w:t xml:space="preserve"> </w:t>
      </w:r>
      <w:hyperlink r:id="rId1" w:history="1">
        <w:r w:rsidR="00D10461" w:rsidRPr="00DB3AF4">
          <w:rPr>
            <w:rStyle w:val="Hyperlink"/>
            <w:rFonts w:ascii="Arial" w:hAnsi="Arial" w:cs="Arial"/>
          </w:rPr>
          <w:t>https://www.gov.uk/government/statistics/uk-local-authority-and-regional-carbon-dioxide-emissions-national-statistics-2005-2014</w:t>
        </w:r>
      </w:hyperlink>
      <w:r w:rsidR="00D10461" w:rsidRPr="00DB3AF4">
        <w:rPr>
          <w:rFonts w:ascii="Arial" w:hAnsi="Arial" w:cs="Arial"/>
        </w:rPr>
        <w:t xml:space="preserve"> </w:t>
      </w:r>
    </w:p>
  </w:footnote>
  <w:footnote w:id="2">
    <w:p w:rsidR="00DB3AF4" w:rsidRDefault="00DB3AF4">
      <w:pPr>
        <w:pStyle w:val="FootnoteText"/>
      </w:pPr>
      <w:r w:rsidRPr="00DB3AF4">
        <w:rPr>
          <w:rStyle w:val="FootnoteReference"/>
          <w:rFonts w:ascii="Arial" w:hAnsi="Arial" w:cs="Arial"/>
        </w:rPr>
        <w:footnoteRef/>
      </w:r>
      <w:r w:rsidRPr="00DB3AF4">
        <w:rPr>
          <w:rFonts w:ascii="Arial" w:hAnsi="Arial" w:cs="Arial"/>
        </w:rPr>
        <w:t xml:space="preserve"> </w:t>
      </w:r>
      <w:r w:rsidR="005275CC">
        <w:rPr>
          <w:rFonts w:ascii="Arial" w:hAnsi="Arial" w:cs="Arial"/>
        </w:rPr>
        <w:t xml:space="preserve">Department of Energy and Climate Change - </w:t>
      </w:r>
      <w:r w:rsidRPr="00DB3AF4">
        <w:rPr>
          <w:rFonts w:ascii="Arial" w:hAnsi="Arial" w:cs="Arial"/>
        </w:rPr>
        <w:t xml:space="preserve">2014 UK Greenhouse Gas Emissions, Final Figures </w:t>
      </w:r>
      <w:hyperlink r:id="rId2" w:history="1">
        <w:r w:rsidRPr="00DB3AF4">
          <w:rPr>
            <w:rStyle w:val="Hyperlink"/>
            <w:rFonts w:ascii="Arial" w:hAnsi="Arial" w:cs="Arial"/>
          </w:rPr>
          <w:t>https://www.gov.uk/government/uploads/system/uploads/attachment_data/file/496942/2014_Final_Emissions_Statistics_Release.pdf</w:t>
        </w:r>
      </w:hyperlink>
      <w:r>
        <w:t xml:space="preserve"> </w:t>
      </w:r>
    </w:p>
  </w:footnote>
  <w:footnote w:id="3">
    <w:p w:rsidR="00A973C9" w:rsidRDefault="00A973C9">
      <w:pPr>
        <w:pStyle w:val="FootnoteText"/>
      </w:pPr>
      <w:r w:rsidRPr="00862B33">
        <w:rPr>
          <w:rStyle w:val="FootnoteReference"/>
          <w:rFonts w:ascii="Arial" w:hAnsi="Arial" w:cs="Arial"/>
        </w:rPr>
        <w:footnoteRef/>
      </w:r>
      <w:r w:rsidRPr="00862B33">
        <w:rPr>
          <w:rFonts w:ascii="Arial" w:hAnsi="Arial" w:cs="Arial"/>
        </w:rPr>
        <w:t xml:space="preserve"> Census 2011- Accommodation Type, Households</w:t>
      </w:r>
      <w:r w:rsidR="00781BF4">
        <w:rPr>
          <w:rFonts w:ascii="Arial" w:hAnsi="Arial" w:cs="Arial"/>
        </w:rPr>
        <w:t xml:space="preserve"> </w:t>
      </w:r>
    </w:p>
  </w:footnote>
  <w:footnote w:id="4">
    <w:p w:rsidR="00A973C9" w:rsidRDefault="00A973C9">
      <w:pPr>
        <w:pStyle w:val="FootnoteText"/>
      </w:pPr>
      <w:r w:rsidRPr="00862B33">
        <w:rPr>
          <w:rStyle w:val="FootnoteReference"/>
          <w:rFonts w:ascii="Arial" w:hAnsi="Arial" w:cs="Arial"/>
        </w:rPr>
        <w:footnoteRef/>
      </w:r>
      <w:r w:rsidRPr="00862B33">
        <w:rPr>
          <w:rFonts w:ascii="Arial" w:hAnsi="Arial" w:cs="Arial"/>
        </w:rPr>
        <w:t xml:space="preserve"> Sub Re</w:t>
      </w:r>
      <w:r>
        <w:rPr>
          <w:rFonts w:ascii="Arial" w:hAnsi="Arial" w:cs="Arial"/>
        </w:rPr>
        <w:t>gional Fuel Poverty England 2014</w:t>
      </w:r>
      <w:r w:rsidRPr="00862B33">
        <w:rPr>
          <w:rFonts w:ascii="Arial" w:hAnsi="Arial" w:cs="Arial"/>
        </w:rPr>
        <w:t>, Low Income High Costs (LHIC) Definition, DECC</w:t>
      </w:r>
      <w:r w:rsidR="008237B9">
        <w:rPr>
          <w:rFonts w:ascii="Arial" w:hAnsi="Arial" w:cs="Arial"/>
        </w:rPr>
        <w:t xml:space="preserve"> </w:t>
      </w:r>
      <w:hyperlink r:id="rId3" w:history="1">
        <w:r w:rsidR="008237B9" w:rsidRPr="00515C56">
          <w:rPr>
            <w:rStyle w:val="Hyperlink"/>
            <w:rFonts w:ascii="Arial" w:hAnsi="Arial" w:cs="Arial"/>
          </w:rPr>
          <w:t>https://www.gov.uk/government/statistics/2014-sub-regional-fuel-poverty-data-low-income-high-costs-indicator</w:t>
        </w:r>
      </w:hyperlink>
      <w:r w:rsidR="008237B9">
        <w:rPr>
          <w:rFonts w:ascii="Arial" w:hAnsi="Arial" w:cs="Arial"/>
        </w:rPr>
        <w:t xml:space="preserve"> </w:t>
      </w:r>
    </w:p>
  </w:footnote>
  <w:footnote w:id="5">
    <w:p w:rsidR="006C7144" w:rsidRPr="006C7144" w:rsidRDefault="006C7144" w:rsidP="006C7144">
      <w:pPr>
        <w:pStyle w:val="FootnoteText"/>
        <w:rPr>
          <w:rFonts w:ascii="Arial" w:hAnsi="Arial" w:cs="Arial"/>
        </w:rPr>
      </w:pPr>
      <w:r w:rsidRPr="006C7144">
        <w:rPr>
          <w:rStyle w:val="FootnoteReference"/>
          <w:rFonts w:ascii="Arial" w:hAnsi="Arial" w:cs="Arial"/>
        </w:rPr>
        <w:footnoteRef/>
      </w:r>
      <w:r w:rsidRPr="006C7144">
        <w:rPr>
          <w:rFonts w:ascii="Arial" w:hAnsi="Arial" w:cs="Arial"/>
        </w:rPr>
        <w:t xml:space="preserve"> </w:t>
      </w:r>
      <w:r w:rsidR="005275CC">
        <w:rPr>
          <w:rFonts w:ascii="Arial" w:hAnsi="Arial" w:cs="Arial"/>
        </w:rPr>
        <w:t xml:space="preserve">Office for National Statistics - </w:t>
      </w:r>
      <w:r w:rsidRPr="006C7144">
        <w:rPr>
          <w:rFonts w:ascii="Arial" w:hAnsi="Arial" w:cs="Arial"/>
        </w:rPr>
        <w:t>Excess winter mortality data, England and Wales, 2015/16 (provisional) and 2014/15 (final)</w:t>
      </w:r>
      <w:r w:rsidR="00326A68">
        <w:rPr>
          <w:rFonts w:ascii="Arial" w:hAnsi="Arial" w:cs="Arial"/>
        </w:rPr>
        <w:t xml:space="preserve"> </w:t>
      </w:r>
      <w:hyperlink r:id="rId4" w:history="1">
        <w:r w:rsidR="006A02E4" w:rsidRPr="00515C56">
          <w:rPr>
            <w:rStyle w:val="Hyperlink"/>
            <w:rFonts w:ascii="Arial" w:hAnsi="Arial" w:cs="Arial"/>
          </w:rPr>
          <w:t>https://www.ons.gov.uk/peoplepopulationandcommunity/birthsdeathsandmarriages/deaths/datasets/excesswintermortalityinenglandandwalesreferencetables</w:t>
        </w:r>
      </w:hyperlink>
      <w:r w:rsidR="006A02E4">
        <w:rPr>
          <w:rFonts w:ascii="Arial" w:hAnsi="Arial" w:cs="Arial"/>
        </w:rPr>
        <w:t xml:space="preserve"> </w:t>
      </w:r>
    </w:p>
  </w:footnote>
  <w:footnote w:id="6">
    <w:p w:rsidR="00967B94" w:rsidRPr="006C7144" w:rsidRDefault="00967B94">
      <w:pPr>
        <w:pStyle w:val="FootnoteText"/>
        <w:rPr>
          <w:rFonts w:ascii="Arial" w:hAnsi="Arial" w:cs="Arial"/>
        </w:rPr>
      </w:pPr>
      <w:r w:rsidRPr="00CA2405">
        <w:rPr>
          <w:rStyle w:val="FootnoteReference"/>
          <w:rFonts w:ascii="Arial" w:hAnsi="Arial" w:cs="Arial"/>
        </w:rPr>
        <w:footnoteRef/>
      </w:r>
      <w:r w:rsidR="006A02E4" w:rsidRPr="00CA2405">
        <w:rPr>
          <w:rFonts w:ascii="Arial" w:hAnsi="Arial" w:cs="Arial"/>
        </w:rPr>
        <w:t xml:space="preserve"> </w:t>
      </w:r>
      <w:r w:rsidR="005275CC">
        <w:rPr>
          <w:rFonts w:ascii="Arial" w:hAnsi="Arial" w:cs="Arial"/>
        </w:rPr>
        <w:t xml:space="preserve">Office for National Statistics - </w:t>
      </w:r>
      <w:r w:rsidR="00CA2405" w:rsidRPr="00CA2405">
        <w:rPr>
          <w:rFonts w:ascii="Arial" w:hAnsi="Arial" w:cs="Arial"/>
          <w:lang w:val="en"/>
        </w:rPr>
        <w:t>Excess winter mortality in England and Wales: 20</w:t>
      </w:r>
      <w:r w:rsidR="00CA2405">
        <w:rPr>
          <w:rFonts w:ascii="Arial" w:hAnsi="Arial" w:cs="Arial"/>
          <w:lang w:val="en"/>
        </w:rPr>
        <w:t>15/16 (provisional) and 2014/15</w:t>
      </w:r>
      <w:r w:rsidR="00CA2405" w:rsidRPr="00CA2405">
        <w:rPr>
          <w:rFonts w:ascii="Arial" w:hAnsi="Arial" w:cs="Arial"/>
          <w:lang w:val="en"/>
        </w:rPr>
        <w:t xml:space="preserve">(final) </w:t>
      </w:r>
      <w:hyperlink r:id="rId5" w:history="1">
        <w:r w:rsidR="00CA2405" w:rsidRPr="00515C56">
          <w:rPr>
            <w:rStyle w:val="Hyperlink"/>
            <w:rFonts w:ascii="Arial" w:hAnsi="Arial" w:cs="Arial"/>
          </w:rPr>
          <w:t>https://www.ons.gov.uk/peoplepopulationandcommunity/birthsdeathsandmarriages/deaths/bulletins/excesswintermortalityinenglandandwales/2015to2016provisionaland2014to2015final</w:t>
        </w:r>
      </w:hyperlink>
      <w:r w:rsidR="00CA2405">
        <w:rPr>
          <w:rFonts w:ascii="Arial" w:hAnsi="Arial" w:cs="Arial"/>
        </w:rPr>
        <w:t xml:space="preserve"> </w:t>
      </w:r>
    </w:p>
  </w:footnote>
  <w:footnote w:id="7">
    <w:p w:rsidR="00D0440C" w:rsidRPr="00824EBB" w:rsidRDefault="00D0440C" w:rsidP="00824EBB">
      <w:pPr>
        <w:pStyle w:val="Default"/>
        <w:rPr>
          <w:sz w:val="20"/>
          <w:szCs w:val="20"/>
          <w:lang w:val="en-GB" w:eastAsia="en-GB"/>
        </w:rPr>
      </w:pPr>
      <w:r w:rsidRPr="00824EBB">
        <w:rPr>
          <w:rStyle w:val="FootnoteReference"/>
          <w:rFonts w:cs="Arial"/>
          <w:sz w:val="20"/>
          <w:szCs w:val="20"/>
        </w:rPr>
        <w:footnoteRef/>
      </w:r>
      <w:r w:rsidR="00824EBB">
        <w:rPr>
          <w:sz w:val="20"/>
          <w:szCs w:val="20"/>
        </w:rPr>
        <w:t xml:space="preserve"> </w:t>
      </w:r>
      <w:r w:rsidR="005275CC">
        <w:rPr>
          <w:sz w:val="20"/>
          <w:szCs w:val="20"/>
        </w:rPr>
        <w:t xml:space="preserve">Public Health England - </w:t>
      </w:r>
      <w:r w:rsidR="00824EBB" w:rsidRPr="00824EBB">
        <w:rPr>
          <w:sz w:val="20"/>
          <w:szCs w:val="20"/>
        </w:rPr>
        <w:t xml:space="preserve">Local action on health inequalities: Fuel Poverty and cold home-related health problems </w:t>
      </w:r>
      <w:hyperlink r:id="rId6" w:history="1">
        <w:r w:rsidR="00824EBB" w:rsidRPr="00824EBB">
          <w:rPr>
            <w:rStyle w:val="Hyperlink"/>
            <w:rFonts w:cs="Arial"/>
            <w:sz w:val="20"/>
            <w:szCs w:val="20"/>
          </w:rPr>
          <w:t>https://www.gov.uk/government/uploads/system/uploads/attachment_data/file/355790/Briefing7_Fuel_poverty_health_inequalities.pdf</w:t>
        </w:r>
      </w:hyperlink>
      <w:r w:rsidR="00824EBB" w:rsidRPr="00824EBB">
        <w:rPr>
          <w:sz w:val="20"/>
          <w:szCs w:val="20"/>
        </w:rPr>
        <w:t xml:space="preserve"> </w:t>
      </w:r>
    </w:p>
  </w:footnote>
  <w:footnote w:id="8">
    <w:p w:rsidR="00A15CC3" w:rsidRPr="004B18A2" w:rsidRDefault="00A15CC3" w:rsidP="00A15CC3">
      <w:pPr>
        <w:pStyle w:val="FootnoteText"/>
        <w:rPr>
          <w:rFonts w:ascii="Arial" w:hAnsi="Arial" w:cs="Arial"/>
        </w:rPr>
      </w:pPr>
      <w:r w:rsidRPr="006C7144">
        <w:rPr>
          <w:rStyle w:val="FootnoteReference"/>
          <w:rFonts w:ascii="Arial" w:hAnsi="Arial" w:cs="Arial"/>
        </w:rPr>
        <w:footnoteRef/>
      </w:r>
      <w:r w:rsidRPr="006C7144">
        <w:rPr>
          <w:rFonts w:ascii="Arial" w:hAnsi="Arial" w:cs="Arial"/>
        </w:rPr>
        <w:t xml:space="preserve"> Annual Monito</w:t>
      </w:r>
      <w:r w:rsidR="005275CC">
        <w:rPr>
          <w:rFonts w:ascii="Arial" w:hAnsi="Arial" w:cs="Arial"/>
        </w:rPr>
        <w:t xml:space="preserve">ring Report 2014-15 and 2015-16 Three </w:t>
      </w:r>
      <w:r w:rsidRPr="006C7144">
        <w:rPr>
          <w:rFonts w:ascii="Arial" w:hAnsi="Arial" w:cs="Arial"/>
        </w:rPr>
        <w:t xml:space="preserve">Rivers District Council </w:t>
      </w:r>
      <w:hyperlink r:id="rId7" w:history="1">
        <w:r w:rsidRPr="006C7144">
          <w:rPr>
            <w:rStyle w:val="Hyperlink"/>
            <w:rFonts w:ascii="Arial" w:hAnsi="Arial" w:cs="Arial"/>
          </w:rPr>
          <w:t>http://www.threerivers.gov.uk/egcl-page/annual-monitoring-report</w:t>
        </w:r>
      </w:hyperlink>
    </w:p>
  </w:footnote>
  <w:footnote w:id="9">
    <w:p w:rsidR="00BB2DE8" w:rsidRPr="006C7144" w:rsidRDefault="00BB2DE8" w:rsidP="00BB2DE8">
      <w:pPr>
        <w:pStyle w:val="FootnoteText"/>
        <w:rPr>
          <w:rFonts w:ascii="Arial" w:hAnsi="Arial" w:cs="Arial"/>
        </w:rPr>
      </w:pPr>
      <w:r w:rsidRPr="006C7144">
        <w:rPr>
          <w:rStyle w:val="FootnoteReference"/>
          <w:rFonts w:ascii="Arial" w:hAnsi="Arial" w:cs="Arial"/>
        </w:rPr>
        <w:footnoteRef/>
      </w:r>
      <w:r w:rsidR="005275CC">
        <w:rPr>
          <w:rFonts w:ascii="Arial" w:hAnsi="Arial" w:cs="Arial"/>
        </w:rPr>
        <w:t xml:space="preserve"> Department for Business, Energy and Industrial Strategy - Household Energy Efficiency National Statistics </w:t>
      </w:r>
      <w:hyperlink r:id="rId8" w:history="1">
        <w:r w:rsidR="005275CC" w:rsidRPr="00515C56">
          <w:rPr>
            <w:rStyle w:val="Hyperlink"/>
            <w:rFonts w:ascii="Arial" w:hAnsi="Arial" w:cs="Arial"/>
          </w:rPr>
          <w:t>https://www.gov.uk/government/statistics/household-energy-efficiency-national-statistics-headline-release-february-2017</w:t>
        </w:r>
      </w:hyperlink>
      <w:r w:rsidR="005275CC">
        <w:rPr>
          <w:rFonts w:ascii="Arial" w:hAnsi="Arial" w:cs="Arial"/>
        </w:rPr>
        <w:t xml:space="preserve"> </w:t>
      </w:r>
    </w:p>
  </w:footnote>
  <w:footnote w:id="10">
    <w:p w:rsidR="00676F9C" w:rsidRPr="00676F9C" w:rsidRDefault="00676F9C">
      <w:pPr>
        <w:pStyle w:val="FootnoteText"/>
        <w:rPr>
          <w:rFonts w:ascii="Arial" w:hAnsi="Arial" w:cs="Arial"/>
        </w:rPr>
      </w:pPr>
      <w:r w:rsidRPr="00676F9C">
        <w:rPr>
          <w:rStyle w:val="FootnoteReference"/>
          <w:rFonts w:ascii="Arial" w:hAnsi="Arial" w:cs="Arial"/>
        </w:rPr>
        <w:footnoteRef/>
      </w:r>
      <w:r w:rsidRPr="00676F9C">
        <w:rPr>
          <w:rFonts w:ascii="Arial" w:hAnsi="Arial" w:cs="Arial"/>
        </w:rPr>
        <w:t>https://www.gov.uk/government/uploads/system/uploads/attachment_data/file/586260/ECO_Help_to_Heat_Government_response_FINAL_26_Jan_17.pdf</w:t>
      </w:r>
    </w:p>
  </w:footnote>
  <w:footnote w:id="11">
    <w:p w:rsidR="00A8377E" w:rsidRPr="00A8377E" w:rsidRDefault="00A8377E">
      <w:pPr>
        <w:pStyle w:val="FootnoteText"/>
        <w:rPr>
          <w:rFonts w:ascii="Arial" w:hAnsi="Arial" w:cs="Arial"/>
        </w:rPr>
      </w:pPr>
      <w:r w:rsidRPr="00A8377E">
        <w:rPr>
          <w:rStyle w:val="FootnoteReference"/>
          <w:rFonts w:ascii="Arial" w:hAnsi="Arial" w:cs="Arial"/>
        </w:rPr>
        <w:footnoteRef/>
      </w:r>
      <w:r w:rsidRPr="00A8377E">
        <w:rPr>
          <w:rFonts w:ascii="Arial" w:hAnsi="Arial" w:cs="Arial"/>
        </w:rPr>
        <w:t xml:space="preserve"> BEIS Sub-national Feed-in Tariff Statistics </w:t>
      </w:r>
      <w:hyperlink r:id="rId9" w:history="1">
        <w:r w:rsidR="005275CC" w:rsidRPr="00515C56">
          <w:rPr>
            <w:rStyle w:val="Hyperlink"/>
            <w:rFonts w:ascii="Arial" w:hAnsi="Arial" w:cs="Arial"/>
          </w:rPr>
          <w:t>https://www.gov.uk/government/statistical-data-sets/sub-regional-feed-in-tariffs-confirmed-on-the-cfr-statistics</w:t>
        </w:r>
      </w:hyperlink>
      <w:r w:rsidR="005275CC">
        <w:rPr>
          <w:rFonts w:ascii="Arial" w:hAnsi="Arial" w:cs="Arial"/>
        </w:rPr>
        <w:t xml:space="preserve"> </w:t>
      </w:r>
    </w:p>
  </w:footnote>
  <w:footnote w:id="12">
    <w:p w:rsidR="004B18A2" w:rsidRDefault="004B18A2">
      <w:pPr>
        <w:pStyle w:val="FootnoteText"/>
        <w:rPr>
          <w:rFonts w:ascii="Arial" w:hAnsi="Arial" w:cs="Arial"/>
        </w:rPr>
      </w:pPr>
      <w:r w:rsidRPr="004B18A2">
        <w:rPr>
          <w:rStyle w:val="FootnoteReference"/>
          <w:rFonts w:ascii="Arial" w:hAnsi="Arial" w:cs="Arial"/>
        </w:rPr>
        <w:footnoteRef/>
      </w:r>
      <w:r w:rsidRPr="004B18A2">
        <w:rPr>
          <w:rFonts w:ascii="Arial" w:hAnsi="Arial" w:cs="Arial"/>
        </w:rPr>
        <w:t xml:space="preserve"> </w:t>
      </w:r>
      <w:r>
        <w:rPr>
          <w:rFonts w:ascii="Arial" w:hAnsi="Arial" w:cs="Arial"/>
        </w:rPr>
        <w:t>BEIS RHI Deployment Data</w:t>
      </w:r>
      <w:r w:rsidRPr="004B18A2">
        <w:rPr>
          <w:rFonts w:ascii="Arial" w:hAnsi="Arial" w:cs="Arial"/>
        </w:rPr>
        <w:t xml:space="preserve">: December 2016 and Q4 </w:t>
      </w:r>
      <w:r>
        <w:rPr>
          <w:rFonts w:ascii="Arial" w:hAnsi="Arial" w:cs="Arial"/>
        </w:rPr>
        <w:t xml:space="preserve">2016 </w:t>
      </w:r>
      <w:hyperlink r:id="rId10" w:history="1">
        <w:r w:rsidRPr="00515C56">
          <w:rPr>
            <w:rStyle w:val="Hyperlink"/>
            <w:rFonts w:ascii="Arial" w:hAnsi="Arial" w:cs="Arial"/>
          </w:rPr>
          <w:t>www.gov.uk/government/statistics/rhi-deployment-data-december-2016</w:t>
        </w:r>
      </w:hyperlink>
    </w:p>
    <w:p w:rsidR="004B18A2" w:rsidRPr="004B18A2" w:rsidRDefault="004B18A2">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4D" w:rsidRDefault="001C5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4D" w:rsidRPr="001C594D" w:rsidRDefault="001C594D">
    <w:pPr>
      <w:pStyle w:val="Header"/>
      <w:rPr>
        <w:rFonts w:ascii="Arial" w:hAnsi="Arial" w:cs="Arial"/>
        <w:b/>
      </w:rPr>
    </w:pPr>
    <w:r w:rsidRPr="001C594D">
      <w:rPr>
        <w:rFonts w:ascii="Arial" w:hAnsi="Arial" w:cs="Arial"/>
        <w:b/>
      </w:rPr>
      <w:t>APPENDIX 1</w:t>
    </w:r>
  </w:p>
  <w:p w:rsidR="001C594D" w:rsidRDefault="001C59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4D" w:rsidRDefault="001C5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3226"/>
    <w:multiLevelType w:val="hybridMultilevel"/>
    <w:tmpl w:val="1CCC103C"/>
    <w:lvl w:ilvl="0" w:tplc="B3B0DC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8E33DA"/>
    <w:multiLevelType w:val="hybridMultilevel"/>
    <w:tmpl w:val="FE06C4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601CD6"/>
    <w:multiLevelType w:val="multilevel"/>
    <w:tmpl w:val="817028AE"/>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0996D7A"/>
    <w:multiLevelType w:val="hybridMultilevel"/>
    <w:tmpl w:val="288AB1FA"/>
    <w:lvl w:ilvl="0" w:tplc="46F0E1C8">
      <w:start w:val="1"/>
      <w:numFmt w:val="decimal"/>
      <w:lvlText w:val="%1."/>
      <w:lvlJc w:val="left"/>
      <w:pPr>
        <w:ind w:left="720" w:hanging="360"/>
      </w:pPr>
      <w:rPr>
        <w:rFonts w:ascii="Calibri" w:hAnsi="Calibri" w:cs="Calibri" w:hint="default"/>
        <w:b w:val="0"/>
        <w:color w:val="auto"/>
        <w:sz w:val="20"/>
        <w:szCs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1F80BA8"/>
    <w:multiLevelType w:val="hybridMultilevel"/>
    <w:tmpl w:val="4BCA17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79639C"/>
    <w:multiLevelType w:val="hybridMultilevel"/>
    <w:tmpl w:val="3CE22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8165E2"/>
    <w:multiLevelType w:val="hybridMultilevel"/>
    <w:tmpl w:val="A2E6DA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3A63EBF"/>
    <w:multiLevelType w:val="hybridMultilevel"/>
    <w:tmpl w:val="B63C8F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42F640D"/>
    <w:multiLevelType w:val="hybridMultilevel"/>
    <w:tmpl w:val="49523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3E57730"/>
    <w:multiLevelType w:val="hybridMultilevel"/>
    <w:tmpl w:val="817028AE"/>
    <w:lvl w:ilvl="0" w:tplc="639CCEAC">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7DB6E47"/>
    <w:multiLevelType w:val="hybridMultilevel"/>
    <w:tmpl w:val="B2EE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B11AB1"/>
    <w:multiLevelType w:val="hybridMultilevel"/>
    <w:tmpl w:val="58D66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60" w:hanging="360"/>
      </w:pPr>
      <w:rPr>
        <w:rFonts w:ascii="Courier New" w:hAnsi="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2">
    <w:nsid w:val="55A61660"/>
    <w:multiLevelType w:val="multilevel"/>
    <w:tmpl w:val="C956911C"/>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8811544"/>
    <w:multiLevelType w:val="multilevel"/>
    <w:tmpl w:val="B63C8F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1CC13DF"/>
    <w:multiLevelType w:val="hybridMultilevel"/>
    <w:tmpl w:val="F2705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3BA75AE"/>
    <w:multiLevelType w:val="hybridMultilevel"/>
    <w:tmpl w:val="C956911C"/>
    <w:lvl w:ilvl="0" w:tplc="639CCEAC">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67A7918"/>
    <w:multiLevelType w:val="hybridMultilevel"/>
    <w:tmpl w:val="9CD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DA56629"/>
    <w:multiLevelType w:val="hybridMultilevel"/>
    <w:tmpl w:val="FA0094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
  </w:num>
  <w:num w:numId="3">
    <w:abstractNumId w:val="14"/>
  </w:num>
  <w:num w:numId="4">
    <w:abstractNumId w:val="1"/>
  </w:num>
  <w:num w:numId="5">
    <w:abstractNumId w:val="5"/>
  </w:num>
  <w:num w:numId="6">
    <w:abstractNumId w:val="10"/>
  </w:num>
  <w:num w:numId="7">
    <w:abstractNumId w:val="3"/>
  </w:num>
  <w:num w:numId="8">
    <w:abstractNumId w:val="15"/>
  </w:num>
  <w:num w:numId="9">
    <w:abstractNumId w:val="12"/>
  </w:num>
  <w:num w:numId="10">
    <w:abstractNumId w:val="8"/>
  </w:num>
  <w:num w:numId="11">
    <w:abstractNumId w:val="16"/>
  </w:num>
  <w:num w:numId="12">
    <w:abstractNumId w:val="7"/>
  </w:num>
  <w:num w:numId="13">
    <w:abstractNumId w:val="13"/>
  </w:num>
  <w:num w:numId="14">
    <w:abstractNumId w:val="17"/>
  </w:num>
  <w:num w:numId="15">
    <w:abstractNumId w:val="4"/>
  </w:num>
  <w:num w:numId="16">
    <w:abstractNumId w:val="6"/>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13"/>
    <w:rsid w:val="00001D74"/>
    <w:rsid w:val="00011D12"/>
    <w:rsid w:val="000120C2"/>
    <w:rsid w:val="00017F02"/>
    <w:rsid w:val="0003008D"/>
    <w:rsid w:val="00034DBF"/>
    <w:rsid w:val="00057E93"/>
    <w:rsid w:val="0006001A"/>
    <w:rsid w:val="000719FF"/>
    <w:rsid w:val="00077803"/>
    <w:rsid w:val="00095CAC"/>
    <w:rsid w:val="000A0444"/>
    <w:rsid w:val="000B5ADF"/>
    <w:rsid w:val="000D06D6"/>
    <w:rsid w:val="000D0770"/>
    <w:rsid w:val="000E5D83"/>
    <w:rsid w:val="000F3141"/>
    <w:rsid w:val="000F398F"/>
    <w:rsid w:val="000F6FD2"/>
    <w:rsid w:val="00106268"/>
    <w:rsid w:val="001123DB"/>
    <w:rsid w:val="00117125"/>
    <w:rsid w:val="00137B41"/>
    <w:rsid w:val="001452D4"/>
    <w:rsid w:val="0014617B"/>
    <w:rsid w:val="00151942"/>
    <w:rsid w:val="0015527B"/>
    <w:rsid w:val="00173FC4"/>
    <w:rsid w:val="001944A8"/>
    <w:rsid w:val="00194828"/>
    <w:rsid w:val="001A07D3"/>
    <w:rsid w:val="001B093D"/>
    <w:rsid w:val="001C594D"/>
    <w:rsid w:val="001D1411"/>
    <w:rsid w:val="001E7DFA"/>
    <w:rsid w:val="001F254C"/>
    <w:rsid w:val="00200B51"/>
    <w:rsid w:val="00201D4D"/>
    <w:rsid w:val="00203738"/>
    <w:rsid w:val="002220F8"/>
    <w:rsid w:val="00241C92"/>
    <w:rsid w:val="0024696C"/>
    <w:rsid w:val="00250A8C"/>
    <w:rsid w:val="00252BE9"/>
    <w:rsid w:val="00273176"/>
    <w:rsid w:val="00290966"/>
    <w:rsid w:val="00292C59"/>
    <w:rsid w:val="002978DA"/>
    <w:rsid w:val="002A6D4C"/>
    <w:rsid w:val="002C1147"/>
    <w:rsid w:val="002C3CAA"/>
    <w:rsid w:val="002C458B"/>
    <w:rsid w:val="002C5542"/>
    <w:rsid w:val="002D57F4"/>
    <w:rsid w:val="002E3C9A"/>
    <w:rsid w:val="002F7314"/>
    <w:rsid w:val="003073C8"/>
    <w:rsid w:val="003121C9"/>
    <w:rsid w:val="003171F3"/>
    <w:rsid w:val="00326A68"/>
    <w:rsid w:val="00340520"/>
    <w:rsid w:val="00363E01"/>
    <w:rsid w:val="003720E8"/>
    <w:rsid w:val="00372BE5"/>
    <w:rsid w:val="00373BEF"/>
    <w:rsid w:val="003754C2"/>
    <w:rsid w:val="003859FE"/>
    <w:rsid w:val="00393ED2"/>
    <w:rsid w:val="003A228E"/>
    <w:rsid w:val="003B3393"/>
    <w:rsid w:val="003B52EB"/>
    <w:rsid w:val="003C1E8D"/>
    <w:rsid w:val="003D45A9"/>
    <w:rsid w:val="003F463F"/>
    <w:rsid w:val="00401E54"/>
    <w:rsid w:val="00404E80"/>
    <w:rsid w:val="00407CE7"/>
    <w:rsid w:val="004269B8"/>
    <w:rsid w:val="00434CA6"/>
    <w:rsid w:val="00435704"/>
    <w:rsid w:val="0044167E"/>
    <w:rsid w:val="00442498"/>
    <w:rsid w:val="00445B20"/>
    <w:rsid w:val="00470B90"/>
    <w:rsid w:val="00470C66"/>
    <w:rsid w:val="004730DE"/>
    <w:rsid w:val="00481091"/>
    <w:rsid w:val="004817A5"/>
    <w:rsid w:val="00486125"/>
    <w:rsid w:val="00495224"/>
    <w:rsid w:val="004B18A2"/>
    <w:rsid w:val="004B1D61"/>
    <w:rsid w:val="004C453A"/>
    <w:rsid w:val="004C55CD"/>
    <w:rsid w:val="004E1F54"/>
    <w:rsid w:val="004E24AF"/>
    <w:rsid w:val="004E632C"/>
    <w:rsid w:val="004F1087"/>
    <w:rsid w:val="004F527F"/>
    <w:rsid w:val="004F7789"/>
    <w:rsid w:val="00505726"/>
    <w:rsid w:val="00510D84"/>
    <w:rsid w:val="005136DC"/>
    <w:rsid w:val="005269AA"/>
    <w:rsid w:val="005275CC"/>
    <w:rsid w:val="005362A3"/>
    <w:rsid w:val="00536A56"/>
    <w:rsid w:val="00537BF9"/>
    <w:rsid w:val="00547437"/>
    <w:rsid w:val="005607F9"/>
    <w:rsid w:val="00570405"/>
    <w:rsid w:val="00580AAE"/>
    <w:rsid w:val="005853A4"/>
    <w:rsid w:val="005856E8"/>
    <w:rsid w:val="00592B3C"/>
    <w:rsid w:val="00596942"/>
    <w:rsid w:val="005A1162"/>
    <w:rsid w:val="005B3B6C"/>
    <w:rsid w:val="005B5B74"/>
    <w:rsid w:val="005C49BF"/>
    <w:rsid w:val="005D0992"/>
    <w:rsid w:val="005D24CE"/>
    <w:rsid w:val="005E430C"/>
    <w:rsid w:val="005F3935"/>
    <w:rsid w:val="00600A6A"/>
    <w:rsid w:val="00602252"/>
    <w:rsid w:val="006214DF"/>
    <w:rsid w:val="00621890"/>
    <w:rsid w:val="00622AC7"/>
    <w:rsid w:val="00631135"/>
    <w:rsid w:val="00634F10"/>
    <w:rsid w:val="00642F61"/>
    <w:rsid w:val="00646C28"/>
    <w:rsid w:val="00651E5C"/>
    <w:rsid w:val="00654B00"/>
    <w:rsid w:val="00676F9C"/>
    <w:rsid w:val="0069479D"/>
    <w:rsid w:val="006972E2"/>
    <w:rsid w:val="006A02E4"/>
    <w:rsid w:val="006A2674"/>
    <w:rsid w:val="006B4FB1"/>
    <w:rsid w:val="006B5908"/>
    <w:rsid w:val="006C41F3"/>
    <w:rsid w:val="006C60A6"/>
    <w:rsid w:val="006C7144"/>
    <w:rsid w:val="006E6A65"/>
    <w:rsid w:val="007007A5"/>
    <w:rsid w:val="00702075"/>
    <w:rsid w:val="007031E4"/>
    <w:rsid w:val="007071EB"/>
    <w:rsid w:val="00711CC9"/>
    <w:rsid w:val="00715672"/>
    <w:rsid w:val="00720C94"/>
    <w:rsid w:val="00723541"/>
    <w:rsid w:val="00732345"/>
    <w:rsid w:val="00754BA5"/>
    <w:rsid w:val="00756B8A"/>
    <w:rsid w:val="007657B6"/>
    <w:rsid w:val="00781917"/>
    <w:rsid w:val="00781BF4"/>
    <w:rsid w:val="0078490C"/>
    <w:rsid w:val="00792287"/>
    <w:rsid w:val="0079410E"/>
    <w:rsid w:val="00794CA6"/>
    <w:rsid w:val="007A25B6"/>
    <w:rsid w:val="007A3C57"/>
    <w:rsid w:val="007B0120"/>
    <w:rsid w:val="007B1F0A"/>
    <w:rsid w:val="007C00EB"/>
    <w:rsid w:val="007C266C"/>
    <w:rsid w:val="007C5FBB"/>
    <w:rsid w:val="007D3915"/>
    <w:rsid w:val="007D52F3"/>
    <w:rsid w:val="007E5B5D"/>
    <w:rsid w:val="007F017C"/>
    <w:rsid w:val="007F1D0B"/>
    <w:rsid w:val="007F28C1"/>
    <w:rsid w:val="007F6891"/>
    <w:rsid w:val="00801950"/>
    <w:rsid w:val="00801D3B"/>
    <w:rsid w:val="008174D9"/>
    <w:rsid w:val="00820586"/>
    <w:rsid w:val="008237B9"/>
    <w:rsid w:val="00824EBB"/>
    <w:rsid w:val="00835DE6"/>
    <w:rsid w:val="00847428"/>
    <w:rsid w:val="00850B5D"/>
    <w:rsid w:val="00851736"/>
    <w:rsid w:val="00853995"/>
    <w:rsid w:val="00853B0E"/>
    <w:rsid w:val="008555B1"/>
    <w:rsid w:val="00862B33"/>
    <w:rsid w:val="008722CE"/>
    <w:rsid w:val="00875553"/>
    <w:rsid w:val="00886D47"/>
    <w:rsid w:val="008A0772"/>
    <w:rsid w:val="008A3BC8"/>
    <w:rsid w:val="008A574F"/>
    <w:rsid w:val="008A7F3C"/>
    <w:rsid w:val="008B0691"/>
    <w:rsid w:val="008B11EF"/>
    <w:rsid w:val="008D0A5C"/>
    <w:rsid w:val="008D1A61"/>
    <w:rsid w:val="008D3042"/>
    <w:rsid w:val="008D3C86"/>
    <w:rsid w:val="008D787F"/>
    <w:rsid w:val="008F468B"/>
    <w:rsid w:val="00900C23"/>
    <w:rsid w:val="00905ABF"/>
    <w:rsid w:val="0090611D"/>
    <w:rsid w:val="00907927"/>
    <w:rsid w:val="00911B8C"/>
    <w:rsid w:val="00933591"/>
    <w:rsid w:val="0094015D"/>
    <w:rsid w:val="00943EE7"/>
    <w:rsid w:val="009467F1"/>
    <w:rsid w:val="00954F28"/>
    <w:rsid w:val="00967714"/>
    <w:rsid w:val="00967B94"/>
    <w:rsid w:val="00967C64"/>
    <w:rsid w:val="00981779"/>
    <w:rsid w:val="0098429C"/>
    <w:rsid w:val="00991709"/>
    <w:rsid w:val="00993D0A"/>
    <w:rsid w:val="00994159"/>
    <w:rsid w:val="009A1849"/>
    <w:rsid w:val="009A59A4"/>
    <w:rsid w:val="009A798F"/>
    <w:rsid w:val="009B04DA"/>
    <w:rsid w:val="009B382F"/>
    <w:rsid w:val="009B7DC4"/>
    <w:rsid w:val="009C6890"/>
    <w:rsid w:val="009D3EE7"/>
    <w:rsid w:val="009E493E"/>
    <w:rsid w:val="009F1F79"/>
    <w:rsid w:val="009F2A75"/>
    <w:rsid w:val="009F3D3D"/>
    <w:rsid w:val="00A00A38"/>
    <w:rsid w:val="00A07D53"/>
    <w:rsid w:val="00A07DCB"/>
    <w:rsid w:val="00A15CC3"/>
    <w:rsid w:val="00A160B1"/>
    <w:rsid w:val="00A266D3"/>
    <w:rsid w:val="00A3127B"/>
    <w:rsid w:val="00A44D96"/>
    <w:rsid w:val="00A52129"/>
    <w:rsid w:val="00A6606E"/>
    <w:rsid w:val="00A8377E"/>
    <w:rsid w:val="00A874B5"/>
    <w:rsid w:val="00A973C9"/>
    <w:rsid w:val="00AA3BFF"/>
    <w:rsid w:val="00AA5954"/>
    <w:rsid w:val="00AA7493"/>
    <w:rsid w:val="00AB3070"/>
    <w:rsid w:val="00AB3C13"/>
    <w:rsid w:val="00AD3AD8"/>
    <w:rsid w:val="00AD7332"/>
    <w:rsid w:val="00AF65A2"/>
    <w:rsid w:val="00AF7074"/>
    <w:rsid w:val="00AF7818"/>
    <w:rsid w:val="00B05F5E"/>
    <w:rsid w:val="00B117AF"/>
    <w:rsid w:val="00B12FDF"/>
    <w:rsid w:val="00B26334"/>
    <w:rsid w:val="00B30367"/>
    <w:rsid w:val="00B420BD"/>
    <w:rsid w:val="00B467EA"/>
    <w:rsid w:val="00B472C2"/>
    <w:rsid w:val="00B50A5E"/>
    <w:rsid w:val="00B5406B"/>
    <w:rsid w:val="00B62457"/>
    <w:rsid w:val="00B631FE"/>
    <w:rsid w:val="00B67E97"/>
    <w:rsid w:val="00B67FD4"/>
    <w:rsid w:val="00B807F1"/>
    <w:rsid w:val="00B90366"/>
    <w:rsid w:val="00B93179"/>
    <w:rsid w:val="00BA040A"/>
    <w:rsid w:val="00BA0AEC"/>
    <w:rsid w:val="00BA50EA"/>
    <w:rsid w:val="00BA644D"/>
    <w:rsid w:val="00BB2DE8"/>
    <w:rsid w:val="00BB7054"/>
    <w:rsid w:val="00BC118C"/>
    <w:rsid w:val="00BC134C"/>
    <w:rsid w:val="00BC1A95"/>
    <w:rsid w:val="00BC5855"/>
    <w:rsid w:val="00BC5976"/>
    <w:rsid w:val="00BD2DF1"/>
    <w:rsid w:val="00BD736B"/>
    <w:rsid w:val="00BE289A"/>
    <w:rsid w:val="00BF2900"/>
    <w:rsid w:val="00C01FF9"/>
    <w:rsid w:val="00C03E82"/>
    <w:rsid w:val="00C14F12"/>
    <w:rsid w:val="00C15CC9"/>
    <w:rsid w:val="00C30DD7"/>
    <w:rsid w:val="00C367AA"/>
    <w:rsid w:val="00C430FF"/>
    <w:rsid w:val="00C57BCA"/>
    <w:rsid w:val="00C648BF"/>
    <w:rsid w:val="00C80277"/>
    <w:rsid w:val="00C813B7"/>
    <w:rsid w:val="00C82B68"/>
    <w:rsid w:val="00C85BF3"/>
    <w:rsid w:val="00C86DF8"/>
    <w:rsid w:val="00C92CBD"/>
    <w:rsid w:val="00C95513"/>
    <w:rsid w:val="00CA2405"/>
    <w:rsid w:val="00CB4033"/>
    <w:rsid w:val="00CD267A"/>
    <w:rsid w:val="00CD587E"/>
    <w:rsid w:val="00CD5FA5"/>
    <w:rsid w:val="00CE5D1B"/>
    <w:rsid w:val="00CE7805"/>
    <w:rsid w:val="00CF5069"/>
    <w:rsid w:val="00CF5E52"/>
    <w:rsid w:val="00D03DB5"/>
    <w:rsid w:val="00D0440C"/>
    <w:rsid w:val="00D10461"/>
    <w:rsid w:val="00D12D50"/>
    <w:rsid w:val="00D2357B"/>
    <w:rsid w:val="00D24CD9"/>
    <w:rsid w:val="00D40ED8"/>
    <w:rsid w:val="00D40EDF"/>
    <w:rsid w:val="00D47306"/>
    <w:rsid w:val="00D646D2"/>
    <w:rsid w:val="00D75681"/>
    <w:rsid w:val="00D95EE5"/>
    <w:rsid w:val="00DA06BE"/>
    <w:rsid w:val="00DA46CF"/>
    <w:rsid w:val="00DB3AF4"/>
    <w:rsid w:val="00DD3D3D"/>
    <w:rsid w:val="00DF28E7"/>
    <w:rsid w:val="00E02CB9"/>
    <w:rsid w:val="00E0601E"/>
    <w:rsid w:val="00E100E1"/>
    <w:rsid w:val="00E10974"/>
    <w:rsid w:val="00E3386E"/>
    <w:rsid w:val="00E35730"/>
    <w:rsid w:val="00E40CC1"/>
    <w:rsid w:val="00E43BA0"/>
    <w:rsid w:val="00E62956"/>
    <w:rsid w:val="00E8032D"/>
    <w:rsid w:val="00E81CBE"/>
    <w:rsid w:val="00E82C2B"/>
    <w:rsid w:val="00E84F0C"/>
    <w:rsid w:val="00EB26A6"/>
    <w:rsid w:val="00EC459E"/>
    <w:rsid w:val="00EC6F2D"/>
    <w:rsid w:val="00ED5653"/>
    <w:rsid w:val="00ED58CE"/>
    <w:rsid w:val="00EE38CD"/>
    <w:rsid w:val="00EF45AA"/>
    <w:rsid w:val="00F0252C"/>
    <w:rsid w:val="00F06471"/>
    <w:rsid w:val="00F07303"/>
    <w:rsid w:val="00F121FF"/>
    <w:rsid w:val="00F30E90"/>
    <w:rsid w:val="00F32E94"/>
    <w:rsid w:val="00F34E0B"/>
    <w:rsid w:val="00F42300"/>
    <w:rsid w:val="00F63103"/>
    <w:rsid w:val="00F63149"/>
    <w:rsid w:val="00F73AE7"/>
    <w:rsid w:val="00F76C36"/>
    <w:rsid w:val="00F8268A"/>
    <w:rsid w:val="00F82C59"/>
    <w:rsid w:val="00F9037D"/>
    <w:rsid w:val="00F91B21"/>
    <w:rsid w:val="00F97A23"/>
    <w:rsid w:val="00FA2224"/>
    <w:rsid w:val="00FB04AE"/>
    <w:rsid w:val="00FB2F72"/>
    <w:rsid w:val="00FB4D44"/>
    <w:rsid w:val="00FC1D42"/>
    <w:rsid w:val="00FC69A7"/>
    <w:rsid w:val="00FD1C63"/>
    <w:rsid w:val="00FE4027"/>
    <w:rsid w:val="00FE6285"/>
    <w:rsid w:val="00FF6D28"/>
    <w:rsid w:val="00FF6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1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5269AA"/>
    <w:pPr>
      <w:tabs>
        <w:tab w:val="left" w:pos="1260"/>
        <w:tab w:val="left" w:pos="1980"/>
        <w:tab w:val="left" w:pos="2700"/>
        <w:tab w:val="left" w:pos="3420"/>
      </w:tabs>
      <w:ind w:left="1260" w:hanging="1260"/>
    </w:pPr>
    <w:rPr>
      <w:rFonts w:ascii="Arial" w:hAnsi="Arial"/>
      <w:sz w:val="22"/>
      <w:szCs w:val="20"/>
      <w:lang w:eastAsia="en-US"/>
    </w:rPr>
  </w:style>
  <w:style w:type="character" w:customStyle="1" w:styleId="BodyTextIndent2Char">
    <w:name w:val="Body Text Indent 2 Char"/>
    <w:basedOn w:val="DefaultParagraphFont"/>
    <w:link w:val="BodyTextIndent2"/>
    <w:uiPriority w:val="99"/>
    <w:semiHidden/>
    <w:rsid w:val="00A74CA3"/>
    <w:rPr>
      <w:sz w:val="24"/>
      <w:szCs w:val="24"/>
    </w:rPr>
  </w:style>
  <w:style w:type="paragraph" w:styleId="ListParagraph">
    <w:name w:val="List Paragraph"/>
    <w:basedOn w:val="Normal"/>
    <w:uiPriority w:val="99"/>
    <w:qFormat/>
    <w:rsid w:val="00875553"/>
    <w:pPr>
      <w:spacing w:after="200" w:line="276" w:lineRule="auto"/>
      <w:ind w:left="720"/>
      <w:contextualSpacing/>
    </w:pPr>
    <w:rPr>
      <w:rFonts w:ascii="Calibri" w:hAnsi="Calibri"/>
      <w:sz w:val="22"/>
      <w:szCs w:val="22"/>
      <w:lang w:eastAsia="en-US"/>
    </w:rPr>
  </w:style>
  <w:style w:type="paragraph" w:styleId="FootnoteText">
    <w:name w:val="footnote text"/>
    <w:basedOn w:val="Normal"/>
    <w:link w:val="FootnoteTextChar"/>
    <w:uiPriority w:val="99"/>
    <w:semiHidden/>
    <w:rsid w:val="00FF6F1F"/>
    <w:rPr>
      <w:sz w:val="20"/>
      <w:szCs w:val="20"/>
    </w:rPr>
  </w:style>
  <w:style w:type="character" w:customStyle="1" w:styleId="FootnoteTextChar">
    <w:name w:val="Footnote Text Char"/>
    <w:basedOn w:val="DefaultParagraphFont"/>
    <w:link w:val="FootnoteText"/>
    <w:uiPriority w:val="99"/>
    <w:semiHidden/>
    <w:rsid w:val="00A74CA3"/>
    <w:rPr>
      <w:sz w:val="20"/>
      <w:szCs w:val="20"/>
    </w:rPr>
  </w:style>
  <w:style w:type="character" w:styleId="FootnoteReference">
    <w:name w:val="footnote reference"/>
    <w:basedOn w:val="DefaultParagraphFont"/>
    <w:uiPriority w:val="99"/>
    <w:semiHidden/>
    <w:rsid w:val="00FF6F1F"/>
    <w:rPr>
      <w:rFonts w:cs="Times New Roman"/>
      <w:vertAlign w:val="superscript"/>
    </w:rPr>
  </w:style>
  <w:style w:type="table" w:styleId="TableGrid">
    <w:name w:val="Table Grid"/>
    <w:basedOn w:val="TableNormal"/>
    <w:uiPriority w:val="99"/>
    <w:rsid w:val="003720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220F8"/>
    <w:rPr>
      <w:rFonts w:cs="Times New Roman"/>
      <w:color w:val="200006"/>
      <w:u w:val="single"/>
    </w:rPr>
  </w:style>
  <w:style w:type="paragraph" w:styleId="BalloonText">
    <w:name w:val="Balloon Text"/>
    <w:basedOn w:val="Normal"/>
    <w:link w:val="BalloonTextChar"/>
    <w:uiPriority w:val="99"/>
    <w:semiHidden/>
    <w:rsid w:val="001A07D3"/>
    <w:rPr>
      <w:rFonts w:ascii="Tahoma" w:hAnsi="Tahoma" w:cs="Tahoma"/>
      <w:sz w:val="16"/>
      <w:szCs w:val="16"/>
    </w:rPr>
  </w:style>
  <w:style w:type="character" w:customStyle="1" w:styleId="BalloonTextChar">
    <w:name w:val="Balloon Text Char"/>
    <w:basedOn w:val="DefaultParagraphFont"/>
    <w:link w:val="BalloonText"/>
    <w:uiPriority w:val="99"/>
    <w:semiHidden/>
    <w:rsid w:val="00A74CA3"/>
    <w:rPr>
      <w:sz w:val="0"/>
      <w:szCs w:val="0"/>
    </w:rPr>
  </w:style>
  <w:style w:type="character" w:styleId="CommentReference">
    <w:name w:val="annotation reference"/>
    <w:basedOn w:val="DefaultParagraphFont"/>
    <w:uiPriority w:val="99"/>
    <w:semiHidden/>
    <w:rsid w:val="008B0691"/>
    <w:rPr>
      <w:rFonts w:cs="Times New Roman"/>
      <w:sz w:val="16"/>
      <w:szCs w:val="16"/>
    </w:rPr>
  </w:style>
  <w:style w:type="paragraph" w:styleId="CommentText">
    <w:name w:val="annotation text"/>
    <w:basedOn w:val="Normal"/>
    <w:link w:val="CommentTextChar"/>
    <w:uiPriority w:val="99"/>
    <w:semiHidden/>
    <w:rsid w:val="008B0691"/>
    <w:rPr>
      <w:sz w:val="20"/>
      <w:szCs w:val="20"/>
    </w:rPr>
  </w:style>
  <w:style w:type="character" w:customStyle="1" w:styleId="CommentTextChar">
    <w:name w:val="Comment Text Char"/>
    <w:basedOn w:val="DefaultParagraphFont"/>
    <w:link w:val="CommentText"/>
    <w:uiPriority w:val="99"/>
    <w:semiHidden/>
    <w:rsid w:val="00A74CA3"/>
    <w:rPr>
      <w:sz w:val="20"/>
      <w:szCs w:val="20"/>
    </w:rPr>
  </w:style>
  <w:style w:type="paragraph" w:styleId="CommentSubject">
    <w:name w:val="annotation subject"/>
    <w:basedOn w:val="CommentText"/>
    <w:next w:val="CommentText"/>
    <w:link w:val="CommentSubjectChar"/>
    <w:uiPriority w:val="99"/>
    <w:semiHidden/>
    <w:rsid w:val="008B0691"/>
    <w:rPr>
      <w:b/>
      <w:bCs/>
    </w:rPr>
  </w:style>
  <w:style w:type="character" w:customStyle="1" w:styleId="CommentSubjectChar">
    <w:name w:val="Comment Subject Char"/>
    <w:basedOn w:val="CommentTextChar"/>
    <w:link w:val="CommentSubject"/>
    <w:uiPriority w:val="99"/>
    <w:semiHidden/>
    <w:rsid w:val="00A74CA3"/>
    <w:rPr>
      <w:b/>
      <w:bCs/>
      <w:sz w:val="20"/>
      <w:szCs w:val="20"/>
    </w:rPr>
  </w:style>
  <w:style w:type="paragraph" w:styleId="Header">
    <w:name w:val="header"/>
    <w:basedOn w:val="Normal"/>
    <w:link w:val="HeaderChar"/>
    <w:uiPriority w:val="99"/>
    <w:rsid w:val="004817A5"/>
    <w:pPr>
      <w:tabs>
        <w:tab w:val="center" w:pos="4320"/>
        <w:tab w:val="right" w:pos="8640"/>
      </w:tabs>
    </w:pPr>
  </w:style>
  <w:style w:type="character" w:customStyle="1" w:styleId="HeaderChar">
    <w:name w:val="Header Char"/>
    <w:basedOn w:val="DefaultParagraphFont"/>
    <w:link w:val="Header"/>
    <w:uiPriority w:val="99"/>
    <w:rsid w:val="00A74CA3"/>
    <w:rPr>
      <w:sz w:val="24"/>
      <w:szCs w:val="24"/>
    </w:rPr>
  </w:style>
  <w:style w:type="paragraph" w:styleId="Footer">
    <w:name w:val="footer"/>
    <w:basedOn w:val="Normal"/>
    <w:link w:val="FooterChar"/>
    <w:uiPriority w:val="99"/>
    <w:rsid w:val="004817A5"/>
    <w:pPr>
      <w:tabs>
        <w:tab w:val="center" w:pos="4320"/>
        <w:tab w:val="right" w:pos="8640"/>
      </w:tabs>
    </w:pPr>
  </w:style>
  <w:style w:type="character" w:customStyle="1" w:styleId="FooterChar">
    <w:name w:val="Footer Char"/>
    <w:basedOn w:val="DefaultParagraphFont"/>
    <w:link w:val="Footer"/>
    <w:uiPriority w:val="99"/>
    <w:semiHidden/>
    <w:rsid w:val="00A74CA3"/>
    <w:rPr>
      <w:sz w:val="24"/>
      <w:szCs w:val="24"/>
    </w:rPr>
  </w:style>
  <w:style w:type="paragraph" w:styleId="NormalWeb">
    <w:name w:val="Normal (Web)"/>
    <w:basedOn w:val="Normal"/>
    <w:uiPriority w:val="99"/>
    <w:rsid w:val="00BD2DF1"/>
    <w:pPr>
      <w:spacing w:before="100" w:beforeAutospacing="1" w:after="100" w:afterAutospacing="1"/>
    </w:pPr>
    <w:rPr>
      <w:lang w:val="en-US" w:eastAsia="en-US"/>
    </w:rPr>
  </w:style>
  <w:style w:type="paragraph" w:customStyle="1" w:styleId="Default">
    <w:name w:val="Default"/>
    <w:rsid w:val="00BE289A"/>
    <w:pPr>
      <w:autoSpaceDE w:val="0"/>
      <w:autoSpaceDN w:val="0"/>
      <w:adjustRightInd w:val="0"/>
    </w:pPr>
    <w:rPr>
      <w:rFonts w:ascii="Arial" w:hAnsi="Arial" w:cs="Arial"/>
      <w:color w:val="000000"/>
      <w:sz w:val="24"/>
      <w:szCs w:val="24"/>
      <w:lang w:val="en-US" w:eastAsia="en-US"/>
    </w:rPr>
  </w:style>
  <w:style w:type="character" w:styleId="PageNumber">
    <w:name w:val="page number"/>
    <w:basedOn w:val="DefaultParagraphFont"/>
    <w:uiPriority w:val="99"/>
    <w:rsid w:val="00445B20"/>
    <w:rPr>
      <w:rFonts w:cs="Times New Roman"/>
    </w:rPr>
  </w:style>
  <w:style w:type="paragraph" w:styleId="EndnoteText">
    <w:name w:val="endnote text"/>
    <w:basedOn w:val="Normal"/>
    <w:link w:val="EndnoteTextChar"/>
    <w:uiPriority w:val="99"/>
    <w:semiHidden/>
    <w:unhideWhenUsed/>
    <w:rsid w:val="000E5D83"/>
    <w:rPr>
      <w:sz w:val="20"/>
      <w:szCs w:val="20"/>
    </w:rPr>
  </w:style>
  <w:style w:type="character" w:customStyle="1" w:styleId="EndnoteTextChar">
    <w:name w:val="Endnote Text Char"/>
    <w:basedOn w:val="DefaultParagraphFont"/>
    <w:link w:val="EndnoteText"/>
    <w:uiPriority w:val="99"/>
    <w:semiHidden/>
    <w:rsid w:val="000E5D83"/>
    <w:rPr>
      <w:sz w:val="20"/>
      <w:szCs w:val="20"/>
    </w:rPr>
  </w:style>
  <w:style w:type="character" w:styleId="EndnoteReference">
    <w:name w:val="endnote reference"/>
    <w:basedOn w:val="DefaultParagraphFont"/>
    <w:uiPriority w:val="99"/>
    <w:semiHidden/>
    <w:unhideWhenUsed/>
    <w:rsid w:val="000E5D83"/>
    <w:rPr>
      <w:vertAlign w:val="superscript"/>
    </w:rPr>
  </w:style>
  <w:style w:type="character" w:customStyle="1" w:styleId="apple-converted-space">
    <w:name w:val="apple-converted-space"/>
    <w:rsid w:val="00CF5E52"/>
  </w:style>
  <w:style w:type="character" w:styleId="FollowedHyperlink">
    <w:name w:val="FollowedHyperlink"/>
    <w:basedOn w:val="DefaultParagraphFont"/>
    <w:uiPriority w:val="99"/>
    <w:semiHidden/>
    <w:unhideWhenUsed/>
    <w:rsid w:val="00CA24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1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5269AA"/>
    <w:pPr>
      <w:tabs>
        <w:tab w:val="left" w:pos="1260"/>
        <w:tab w:val="left" w:pos="1980"/>
        <w:tab w:val="left" w:pos="2700"/>
        <w:tab w:val="left" w:pos="3420"/>
      </w:tabs>
      <w:ind w:left="1260" w:hanging="1260"/>
    </w:pPr>
    <w:rPr>
      <w:rFonts w:ascii="Arial" w:hAnsi="Arial"/>
      <w:sz w:val="22"/>
      <w:szCs w:val="20"/>
      <w:lang w:eastAsia="en-US"/>
    </w:rPr>
  </w:style>
  <w:style w:type="character" w:customStyle="1" w:styleId="BodyTextIndent2Char">
    <w:name w:val="Body Text Indent 2 Char"/>
    <w:basedOn w:val="DefaultParagraphFont"/>
    <w:link w:val="BodyTextIndent2"/>
    <w:uiPriority w:val="99"/>
    <w:semiHidden/>
    <w:rsid w:val="00A74CA3"/>
    <w:rPr>
      <w:sz w:val="24"/>
      <w:szCs w:val="24"/>
    </w:rPr>
  </w:style>
  <w:style w:type="paragraph" w:styleId="ListParagraph">
    <w:name w:val="List Paragraph"/>
    <w:basedOn w:val="Normal"/>
    <w:uiPriority w:val="99"/>
    <w:qFormat/>
    <w:rsid w:val="00875553"/>
    <w:pPr>
      <w:spacing w:after="200" w:line="276" w:lineRule="auto"/>
      <w:ind w:left="720"/>
      <w:contextualSpacing/>
    </w:pPr>
    <w:rPr>
      <w:rFonts w:ascii="Calibri" w:hAnsi="Calibri"/>
      <w:sz w:val="22"/>
      <w:szCs w:val="22"/>
      <w:lang w:eastAsia="en-US"/>
    </w:rPr>
  </w:style>
  <w:style w:type="paragraph" w:styleId="FootnoteText">
    <w:name w:val="footnote text"/>
    <w:basedOn w:val="Normal"/>
    <w:link w:val="FootnoteTextChar"/>
    <w:uiPriority w:val="99"/>
    <w:semiHidden/>
    <w:rsid w:val="00FF6F1F"/>
    <w:rPr>
      <w:sz w:val="20"/>
      <w:szCs w:val="20"/>
    </w:rPr>
  </w:style>
  <w:style w:type="character" w:customStyle="1" w:styleId="FootnoteTextChar">
    <w:name w:val="Footnote Text Char"/>
    <w:basedOn w:val="DefaultParagraphFont"/>
    <w:link w:val="FootnoteText"/>
    <w:uiPriority w:val="99"/>
    <w:semiHidden/>
    <w:rsid w:val="00A74CA3"/>
    <w:rPr>
      <w:sz w:val="20"/>
      <w:szCs w:val="20"/>
    </w:rPr>
  </w:style>
  <w:style w:type="character" w:styleId="FootnoteReference">
    <w:name w:val="footnote reference"/>
    <w:basedOn w:val="DefaultParagraphFont"/>
    <w:uiPriority w:val="99"/>
    <w:semiHidden/>
    <w:rsid w:val="00FF6F1F"/>
    <w:rPr>
      <w:rFonts w:cs="Times New Roman"/>
      <w:vertAlign w:val="superscript"/>
    </w:rPr>
  </w:style>
  <w:style w:type="table" w:styleId="TableGrid">
    <w:name w:val="Table Grid"/>
    <w:basedOn w:val="TableNormal"/>
    <w:uiPriority w:val="99"/>
    <w:rsid w:val="003720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220F8"/>
    <w:rPr>
      <w:rFonts w:cs="Times New Roman"/>
      <w:color w:val="200006"/>
      <w:u w:val="single"/>
    </w:rPr>
  </w:style>
  <w:style w:type="paragraph" w:styleId="BalloonText">
    <w:name w:val="Balloon Text"/>
    <w:basedOn w:val="Normal"/>
    <w:link w:val="BalloonTextChar"/>
    <w:uiPriority w:val="99"/>
    <w:semiHidden/>
    <w:rsid w:val="001A07D3"/>
    <w:rPr>
      <w:rFonts w:ascii="Tahoma" w:hAnsi="Tahoma" w:cs="Tahoma"/>
      <w:sz w:val="16"/>
      <w:szCs w:val="16"/>
    </w:rPr>
  </w:style>
  <w:style w:type="character" w:customStyle="1" w:styleId="BalloonTextChar">
    <w:name w:val="Balloon Text Char"/>
    <w:basedOn w:val="DefaultParagraphFont"/>
    <w:link w:val="BalloonText"/>
    <w:uiPriority w:val="99"/>
    <w:semiHidden/>
    <w:rsid w:val="00A74CA3"/>
    <w:rPr>
      <w:sz w:val="0"/>
      <w:szCs w:val="0"/>
    </w:rPr>
  </w:style>
  <w:style w:type="character" w:styleId="CommentReference">
    <w:name w:val="annotation reference"/>
    <w:basedOn w:val="DefaultParagraphFont"/>
    <w:uiPriority w:val="99"/>
    <w:semiHidden/>
    <w:rsid w:val="008B0691"/>
    <w:rPr>
      <w:rFonts w:cs="Times New Roman"/>
      <w:sz w:val="16"/>
      <w:szCs w:val="16"/>
    </w:rPr>
  </w:style>
  <w:style w:type="paragraph" w:styleId="CommentText">
    <w:name w:val="annotation text"/>
    <w:basedOn w:val="Normal"/>
    <w:link w:val="CommentTextChar"/>
    <w:uiPriority w:val="99"/>
    <w:semiHidden/>
    <w:rsid w:val="008B0691"/>
    <w:rPr>
      <w:sz w:val="20"/>
      <w:szCs w:val="20"/>
    </w:rPr>
  </w:style>
  <w:style w:type="character" w:customStyle="1" w:styleId="CommentTextChar">
    <w:name w:val="Comment Text Char"/>
    <w:basedOn w:val="DefaultParagraphFont"/>
    <w:link w:val="CommentText"/>
    <w:uiPriority w:val="99"/>
    <w:semiHidden/>
    <w:rsid w:val="00A74CA3"/>
    <w:rPr>
      <w:sz w:val="20"/>
      <w:szCs w:val="20"/>
    </w:rPr>
  </w:style>
  <w:style w:type="paragraph" w:styleId="CommentSubject">
    <w:name w:val="annotation subject"/>
    <w:basedOn w:val="CommentText"/>
    <w:next w:val="CommentText"/>
    <w:link w:val="CommentSubjectChar"/>
    <w:uiPriority w:val="99"/>
    <w:semiHidden/>
    <w:rsid w:val="008B0691"/>
    <w:rPr>
      <w:b/>
      <w:bCs/>
    </w:rPr>
  </w:style>
  <w:style w:type="character" w:customStyle="1" w:styleId="CommentSubjectChar">
    <w:name w:val="Comment Subject Char"/>
    <w:basedOn w:val="CommentTextChar"/>
    <w:link w:val="CommentSubject"/>
    <w:uiPriority w:val="99"/>
    <w:semiHidden/>
    <w:rsid w:val="00A74CA3"/>
    <w:rPr>
      <w:b/>
      <w:bCs/>
      <w:sz w:val="20"/>
      <w:szCs w:val="20"/>
    </w:rPr>
  </w:style>
  <w:style w:type="paragraph" w:styleId="Header">
    <w:name w:val="header"/>
    <w:basedOn w:val="Normal"/>
    <w:link w:val="HeaderChar"/>
    <w:uiPriority w:val="99"/>
    <w:rsid w:val="004817A5"/>
    <w:pPr>
      <w:tabs>
        <w:tab w:val="center" w:pos="4320"/>
        <w:tab w:val="right" w:pos="8640"/>
      </w:tabs>
    </w:pPr>
  </w:style>
  <w:style w:type="character" w:customStyle="1" w:styleId="HeaderChar">
    <w:name w:val="Header Char"/>
    <w:basedOn w:val="DefaultParagraphFont"/>
    <w:link w:val="Header"/>
    <w:uiPriority w:val="99"/>
    <w:rsid w:val="00A74CA3"/>
    <w:rPr>
      <w:sz w:val="24"/>
      <w:szCs w:val="24"/>
    </w:rPr>
  </w:style>
  <w:style w:type="paragraph" w:styleId="Footer">
    <w:name w:val="footer"/>
    <w:basedOn w:val="Normal"/>
    <w:link w:val="FooterChar"/>
    <w:uiPriority w:val="99"/>
    <w:rsid w:val="004817A5"/>
    <w:pPr>
      <w:tabs>
        <w:tab w:val="center" w:pos="4320"/>
        <w:tab w:val="right" w:pos="8640"/>
      </w:tabs>
    </w:pPr>
  </w:style>
  <w:style w:type="character" w:customStyle="1" w:styleId="FooterChar">
    <w:name w:val="Footer Char"/>
    <w:basedOn w:val="DefaultParagraphFont"/>
    <w:link w:val="Footer"/>
    <w:uiPriority w:val="99"/>
    <w:semiHidden/>
    <w:rsid w:val="00A74CA3"/>
    <w:rPr>
      <w:sz w:val="24"/>
      <w:szCs w:val="24"/>
    </w:rPr>
  </w:style>
  <w:style w:type="paragraph" w:styleId="NormalWeb">
    <w:name w:val="Normal (Web)"/>
    <w:basedOn w:val="Normal"/>
    <w:uiPriority w:val="99"/>
    <w:rsid w:val="00BD2DF1"/>
    <w:pPr>
      <w:spacing w:before="100" w:beforeAutospacing="1" w:after="100" w:afterAutospacing="1"/>
    </w:pPr>
    <w:rPr>
      <w:lang w:val="en-US" w:eastAsia="en-US"/>
    </w:rPr>
  </w:style>
  <w:style w:type="paragraph" w:customStyle="1" w:styleId="Default">
    <w:name w:val="Default"/>
    <w:rsid w:val="00BE289A"/>
    <w:pPr>
      <w:autoSpaceDE w:val="0"/>
      <w:autoSpaceDN w:val="0"/>
      <w:adjustRightInd w:val="0"/>
    </w:pPr>
    <w:rPr>
      <w:rFonts w:ascii="Arial" w:hAnsi="Arial" w:cs="Arial"/>
      <w:color w:val="000000"/>
      <w:sz w:val="24"/>
      <w:szCs w:val="24"/>
      <w:lang w:val="en-US" w:eastAsia="en-US"/>
    </w:rPr>
  </w:style>
  <w:style w:type="character" w:styleId="PageNumber">
    <w:name w:val="page number"/>
    <w:basedOn w:val="DefaultParagraphFont"/>
    <w:uiPriority w:val="99"/>
    <w:rsid w:val="00445B20"/>
    <w:rPr>
      <w:rFonts w:cs="Times New Roman"/>
    </w:rPr>
  </w:style>
  <w:style w:type="paragraph" w:styleId="EndnoteText">
    <w:name w:val="endnote text"/>
    <w:basedOn w:val="Normal"/>
    <w:link w:val="EndnoteTextChar"/>
    <w:uiPriority w:val="99"/>
    <w:semiHidden/>
    <w:unhideWhenUsed/>
    <w:rsid w:val="000E5D83"/>
    <w:rPr>
      <w:sz w:val="20"/>
      <w:szCs w:val="20"/>
    </w:rPr>
  </w:style>
  <w:style w:type="character" w:customStyle="1" w:styleId="EndnoteTextChar">
    <w:name w:val="Endnote Text Char"/>
    <w:basedOn w:val="DefaultParagraphFont"/>
    <w:link w:val="EndnoteText"/>
    <w:uiPriority w:val="99"/>
    <w:semiHidden/>
    <w:rsid w:val="000E5D83"/>
    <w:rPr>
      <w:sz w:val="20"/>
      <w:szCs w:val="20"/>
    </w:rPr>
  </w:style>
  <w:style w:type="character" w:styleId="EndnoteReference">
    <w:name w:val="endnote reference"/>
    <w:basedOn w:val="DefaultParagraphFont"/>
    <w:uiPriority w:val="99"/>
    <w:semiHidden/>
    <w:unhideWhenUsed/>
    <w:rsid w:val="000E5D83"/>
    <w:rPr>
      <w:vertAlign w:val="superscript"/>
    </w:rPr>
  </w:style>
  <w:style w:type="character" w:customStyle="1" w:styleId="apple-converted-space">
    <w:name w:val="apple-converted-space"/>
    <w:rsid w:val="00CF5E52"/>
  </w:style>
  <w:style w:type="character" w:styleId="FollowedHyperlink">
    <w:name w:val="FollowedHyperlink"/>
    <w:basedOn w:val="DefaultParagraphFont"/>
    <w:uiPriority w:val="99"/>
    <w:semiHidden/>
    <w:unhideWhenUsed/>
    <w:rsid w:val="00CA24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1037">
      <w:bodyDiv w:val="1"/>
      <w:marLeft w:val="0"/>
      <w:marRight w:val="0"/>
      <w:marTop w:val="0"/>
      <w:marBottom w:val="0"/>
      <w:divBdr>
        <w:top w:val="none" w:sz="0" w:space="0" w:color="auto"/>
        <w:left w:val="none" w:sz="0" w:space="0" w:color="auto"/>
        <w:bottom w:val="none" w:sz="0" w:space="0" w:color="auto"/>
        <w:right w:val="none" w:sz="0" w:space="0" w:color="auto"/>
      </w:divBdr>
    </w:div>
    <w:div w:id="680013153">
      <w:bodyDiv w:val="1"/>
      <w:marLeft w:val="0"/>
      <w:marRight w:val="0"/>
      <w:marTop w:val="0"/>
      <w:marBottom w:val="0"/>
      <w:divBdr>
        <w:top w:val="none" w:sz="0" w:space="0" w:color="auto"/>
        <w:left w:val="none" w:sz="0" w:space="0" w:color="auto"/>
        <w:bottom w:val="none" w:sz="0" w:space="0" w:color="auto"/>
        <w:right w:val="none" w:sz="0" w:space="0" w:color="auto"/>
      </w:divBdr>
    </w:div>
    <w:div w:id="1450205583">
      <w:marLeft w:val="0"/>
      <w:marRight w:val="0"/>
      <w:marTop w:val="0"/>
      <w:marBottom w:val="0"/>
      <w:divBdr>
        <w:top w:val="none" w:sz="0" w:space="0" w:color="auto"/>
        <w:left w:val="none" w:sz="0" w:space="0" w:color="auto"/>
        <w:bottom w:val="none" w:sz="0" w:space="0" w:color="auto"/>
        <w:right w:val="none" w:sz="0" w:space="0" w:color="auto"/>
      </w:divBdr>
      <w:divsChild>
        <w:div w:id="1450205582">
          <w:marLeft w:val="0"/>
          <w:marRight w:val="0"/>
          <w:marTop w:val="0"/>
          <w:marBottom w:val="0"/>
          <w:divBdr>
            <w:top w:val="none" w:sz="0" w:space="0" w:color="auto"/>
            <w:left w:val="none" w:sz="0" w:space="0" w:color="auto"/>
            <w:bottom w:val="none" w:sz="0" w:space="0" w:color="auto"/>
            <w:right w:val="none" w:sz="0" w:space="0" w:color="auto"/>
          </w:divBdr>
          <w:divsChild>
            <w:div w:id="1450205587">
              <w:marLeft w:val="0"/>
              <w:marRight w:val="0"/>
              <w:marTop w:val="0"/>
              <w:marBottom w:val="0"/>
              <w:divBdr>
                <w:top w:val="none" w:sz="0" w:space="0" w:color="auto"/>
                <w:left w:val="none" w:sz="0" w:space="0" w:color="auto"/>
                <w:bottom w:val="none" w:sz="0" w:space="0" w:color="auto"/>
                <w:right w:val="none" w:sz="0" w:space="0" w:color="auto"/>
              </w:divBdr>
              <w:divsChild>
                <w:div w:id="1450205588">
                  <w:marLeft w:val="0"/>
                  <w:marRight w:val="0"/>
                  <w:marTop w:val="0"/>
                  <w:marBottom w:val="0"/>
                  <w:divBdr>
                    <w:top w:val="none" w:sz="0" w:space="0" w:color="auto"/>
                    <w:left w:val="none" w:sz="0" w:space="0" w:color="auto"/>
                    <w:bottom w:val="none" w:sz="0" w:space="0" w:color="auto"/>
                    <w:right w:val="none" w:sz="0" w:space="0" w:color="auto"/>
                  </w:divBdr>
                  <w:divsChild>
                    <w:div w:id="1450205586">
                      <w:marLeft w:val="0"/>
                      <w:marRight w:val="0"/>
                      <w:marTop w:val="0"/>
                      <w:marBottom w:val="0"/>
                      <w:divBdr>
                        <w:top w:val="none" w:sz="0" w:space="0" w:color="auto"/>
                        <w:left w:val="none" w:sz="0" w:space="0" w:color="auto"/>
                        <w:bottom w:val="none" w:sz="0" w:space="0" w:color="auto"/>
                        <w:right w:val="none" w:sz="0" w:space="0" w:color="auto"/>
                      </w:divBdr>
                      <w:divsChild>
                        <w:div w:id="1450205578">
                          <w:marLeft w:val="0"/>
                          <w:marRight w:val="-30"/>
                          <w:marTop w:val="0"/>
                          <w:marBottom w:val="0"/>
                          <w:divBdr>
                            <w:top w:val="single" w:sz="6" w:space="0" w:color="D9E1E5"/>
                            <w:left w:val="single" w:sz="6" w:space="0" w:color="D9E1E5"/>
                            <w:bottom w:val="single" w:sz="6" w:space="0" w:color="D9E1E5"/>
                            <w:right w:val="single" w:sz="6" w:space="0" w:color="D9E1E5"/>
                          </w:divBdr>
                          <w:divsChild>
                            <w:div w:id="1450205589">
                              <w:marLeft w:val="0"/>
                              <w:marRight w:val="0"/>
                              <w:marTop w:val="0"/>
                              <w:marBottom w:val="0"/>
                              <w:divBdr>
                                <w:top w:val="none" w:sz="0" w:space="0" w:color="auto"/>
                                <w:left w:val="none" w:sz="0" w:space="0" w:color="auto"/>
                                <w:bottom w:val="none" w:sz="0" w:space="0" w:color="auto"/>
                                <w:right w:val="none" w:sz="0" w:space="0" w:color="auto"/>
                              </w:divBdr>
                              <w:divsChild>
                                <w:div w:id="1450205585">
                                  <w:marLeft w:val="0"/>
                                  <w:marRight w:val="0"/>
                                  <w:marTop w:val="0"/>
                                  <w:marBottom w:val="0"/>
                                  <w:divBdr>
                                    <w:top w:val="none" w:sz="0" w:space="0" w:color="auto"/>
                                    <w:left w:val="none" w:sz="0" w:space="0" w:color="auto"/>
                                    <w:bottom w:val="none" w:sz="0" w:space="0" w:color="auto"/>
                                    <w:right w:val="none" w:sz="0" w:space="0" w:color="auto"/>
                                  </w:divBdr>
                                  <w:divsChild>
                                    <w:div w:id="1450205580">
                                      <w:marLeft w:val="0"/>
                                      <w:marRight w:val="0"/>
                                      <w:marTop w:val="0"/>
                                      <w:marBottom w:val="0"/>
                                      <w:divBdr>
                                        <w:top w:val="none" w:sz="0" w:space="0" w:color="auto"/>
                                        <w:left w:val="single" w:sz="6" w:space="0" w:color="D9E1E5"/>
                                        <w:bottom w:val="none" w:sz="0" w:space="0" w:color="auto"/>
                                        <w:right w:val="none" w:sz="0" w:space="0" w:color="auto"/>
                                      </w:divBdr>
                                      <w:divsChild>
                                        <w:div w:id="1450205581">
                                          <w:marLeft w:val="0"/>
                                          <w:marRight w:val="0"/>
                                          <w:marTop w:val="0"/>
                                          <w:marBottom w:val="0"/>
                                          <w:divBdr>
                                            <w:top w:val="none" w:sz="0" w:space="0" w:color="auto"/>
                                            <w:left w:val="none" w:sz="0" w:space="0" w:color="auto"/>
                                            <w:bottom w:val="none" w:sz="0" w:space="0" w:color="auto"/>
                                            <w:right w:val="none" w:sz="0" w:space="0" w:color="auto"/>
                                          </w:divBdr>
                                          <w:divsChild>
                                            <w:div w:id="1450205579">
                                              <w:marLeft w:val="0"/>
                                              <w:marRight w:val="0"/>
                                              <w:marTop w:val="0"/>
                                              <w:marBottom w:val="0"/>
                                              <w:divBdr>
                                                <w:top w:val="none" w:sz="0" w:space="0" w:color="auto"/>
                                                <w:left w:val="none" w:sz="0" w:space="0" w:color="auto"/>
                                                <w:bottom w:val="none" w:sz="0" w:space="0" w:color="auto"/>
                                                <w:right w:val="none" w:sz="0" w:space="0" w:color="auto"/>
                                              </w:divBdr>
                                              <w:divsChild>
                                                <w:div w:id="14502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0583958">
      <w:bodyDiv w:val="1"/>
      <w:marLeft w:val="0"/>
      <w:marRight w:val="0"/>
      <w:marTop w:val="0"/>
      <w:marBottom w:val="0"/>
      <w:divBdr>
        <w:top w:val="none" w:sz="0" w:space="0" w:color="auto"/>
        <w:left w:val="none" w:sz="0" w:space="0" w:color="auto"/>
        <w:bottom w:val="none" w:sz="0" w:space="0" w:color="auto"/>
        <w:right w:val="none" w:sz="0" w:space="0" w:color="auto"/>
      </w:divBdr>
      <w:divsChild>
        <w:div w:id="1897081498">
          <w:marLeft w:val="0"/>
          <w:marRight w:val="0"/>
          <w:marTop w:val="0"/>
          <w:marBottom w:val="0"/>
          <w:divBdr>
            <w:top w:val="none" w:sz="0" w:space="0" w:color="auto"/>
            <w:left w:val="none" w:sz="0" w:space="0" w:color="auto"/>
            <w:bottom w:val="none" w:sz="0" w:space="0" w:color="auto"/>
            <w:right w:val="none" w:sz="0" w:space="0" w:color="auto"/>
          </w:divBdr>
          <w:divsChild>
            <w:div w:id="1273978809">
              <w:marLeft w:val="0"/>
              <w:marRight w:val="0"/>
              <w:marTop w:val="0"/>
              <w:marBottom w:val="0"/>
              <w:divBdr>
                <w:top w:val="single" w:sz="2" w:space="0" w:color="DDDDDD"/>
                <w:left w:val="single" w:sz="2" w:space="0" w:color="DDDDDD"/>
                <w:bottom w:val="single" w:sz="6" w:space="0" w:color="DDDDDD"/>
                <w:right w:val="single" w:sz="2" w:space="0" w:color="DDDDDD"/>
              </w:divBdr>
              <w:divsChild>
                <w:div w:id="1101684578">
                  <w:marLeft w:val="0"/>
                  <w:marRight w:val="0"/>
                  <w:marTop w:val="0"/>
                  <w:marBottom w:val="0"/>
                  <w:divBdr>
                    <w:top w:val="none" w:sz="0" w:space="0" w:color="auto"/>
                    <w:left w:val="none" w:sz="0" w:space="0" w:color="auto"/>
                    <w:bottom w:val="none" w:sz="0" w:space="0" w:color="auto"/>
                    <w:right w:val="none" w:sz="0" w:space="0" w:color="auto"/>
                  </w:divBdr>
                  <w:divsChild>
                    <w:div w:id="2044089118">
                      <w:marLeft w:val="0"/>
                      <w:marRight w:val="0"/>
                      <w:marTop w:val="0"/>
                      <w:marBottom w:val="0"/>
                      <w:divBdr>
                        <w:top w:val="none" w:sz="0" w:space="0" w:color="auto"/>
                        <w:left w:val="none" w:sz="0" w:space="0" w:color="auto"/>
                        <w:bottom w:val="none" w:sz="0" w:space="0" w:color="auto"/>
                        <w:right w:val="none" w:sz="0" w:space="0" w:color="auto"/>
                      </w:divBdr>
                      <w:divsChild>
                        <w:div w:id="1254895676">
                          <w:marLeft w:val="0"/>
                          <w:marRight w:val="0"/>
                          <w:marTop w:val="0"/>
                          <w:marBottom w:val="0"/>
                          <w:divBdr>
                            <w:top w:val="none" w:sz="0" w:space="0" w:color="auto"/>
                            <w:left w:val="none" w:sz="0" w:space="0" w:color="auto"/>
                            <w:bottom w:val="none" w:sz="0" w:space="0" w:color="auto"/>
                            <w:right w:val="none" w:sz="0" w:space="0" w:color="auto"/>
                          </w:divBdr>
                          <w:divsChild>
                            <w:div w:id="1731609600">
                              <w:marLeft w:val="0"/>
                              <w:marRight w:val="0"/>
                              <w:marTop w:val="0"/>
                              <w:marBottom w:val="0"/>
                              <w:divBdr>
                                <w:top w:val="none" w:sz="0" w:space="0" w:color="auto"/>
                                <w:left w:val="none" w:sz="0" w:space="0" w:color="auto"/>
                                <w:bottom w:val="none" w:sz="0" w:space="0" w:color="auto"/>
                                <w:right w:val="none" w:sz="0" w:space="0" w:color="auto"/>
                              </w:divBdr>
                              <w:divsChild>
                                <w:div w:id="1290938010">
                                  <w:marLeft w:val="0"/>
                                  <w:marRight w:val="0"/>
                                  <w:marTop w:val="0"/>
                                  <w:marBottom w:val="0"/>
                                  <w:divBdr>
                                    <w:top w:val="none" w:sz="0" w:space="0" w:color="auto"/>
                                    <w:left w:val="none" w:sz="0" w:space="0" w:color="auto"/>
                                    <w:bottom w:val="none" w:sz="0" w:space="0" w:color="auto"/>
                                    <w:right w:val="none" w:sz="0" w:space="0" w:color="auto"/>
                                  </w:divBdr>
                                  <w:divsChild>
                                    <w:div w:id="1423642357">
                                      <w:marLeft w:val="0"/>
                                      <w:marRight w:val="0"/>
                                      <w:marTop w:val="0"/>
                                      <w:marBottom w:val="0"/>
                                      <w:divBdr>
                                        <w:top w:val="none" w:sz="0" w:space="0" w:color="auto"/>
                                        <w:left w:val="none" w:sz="0" w:space="0" w:color="auto"/>
                                        <w:bottom w:val="none" w:sz="0" w:space="0" w:color="auto"/>
                                        <w:right w:val="none" w:sz="0" w:space="0" w:color="auto"/>
                                      </w:divBdr>
                                      <w:divsChild>
                                        <w:div w:id="4385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901235">
      <w:bodyDiv w:val="1"/>
      <w:marLeft w:val="0"/>
      <w:marRight w:val="0"/>
      <w:marTop w:val="0"/>
      <w:marBottom w:val="0"/>
      <w:divBdr>
        <w:top w:val="none" w:sz="0" w:space="0" w:color="auto"/>
        <w:left w:val="none" w:sz="0" w:space="0" w:color="auto"/>
        <w:bottom w:val="none" w:sz="0" w:space="0" w:color="auto"/>
        <w:right w:val="none" w:sz="0" w:space="0" w:color="auto"/>
      </w:divBdr>
    </w:div>
    <w:div w:id="185337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statistics/household-energy-efficiency-national-statistics-headline-release-february-2017" TargetMode="External"/><Relationship Id="rId3" Type="http://schemas.openxmlformats.org/officeDocument/2006/relationships/hyperlink" Target="https://www.gov.uk/government/statistics/2014-sub-regional-fuel-poverty-data-low-income-high-costs-indicator" TargetMode="External"/><Relationship Id="rId7" Type="http://schemas.openxmlformats.org/officeDocument/2006/relationships/hyperlink" Target="http://www.threerivers.gov.uk/egcl-page/annual-monitoring-report" TargetMode="External"/><Relationship Id="rId2" Type="http://schemas.openxmlformats.org/officeDocument/2006/relationships/hyperlink" Target="https://www.gov.uk/government/uploads/system/uploads/attachment_data/file/496942/2014_Final_Emissions_Statistics_Release.pdf" TargetMode="External"/><Relationship Id="rId1" Type="http://schemas.openxmlformats.org/officeDocument/2006/relationships/hyperlink" Target="https://www.gov.uk/government/statistics/uk-local-authority-and-regional-carbon-dioxide-emissions-national-statistics-2005-2014" TargetMode="External"/><Relationship Id="rId6" Type="http://schemas.openxmlformats.org/officeDocument/2006/relationships/hyperlink" Target="https://www.gov.uk/government/uploads/system/uploads/attachment_data/file/355790/Briefing7_Fuel_poverty_health_inequalities.pdf" TargetMode="External"/><Relationship Id="rId5" Type="http://schemas.openxmlformats.org/officeDocument/2006/relationships/hyperlink" Target="https://www.ons.gov.uk/peoplepopulationandcommunity/birthsdeathsandmarriages/deaths/bulletins/excesswintermortalityinenglandandwales/2015to2016provisionaland2014to2015final" TargetMode="External"/><Relationship Id="rId10" Type="http://schemas.openxmlformats.org/officeDocument/2006/relationships/hyperlink" Target="http://www.gov.uk/government/statistics/rhi-deployment-data-december-2016" TargetMode="External"/><Relationship Id="rId4" Type="http://schemas.openxmlformats.org/officeDocument/2006/relationships/hyperlink" Target="https://www.ons.gov.uk/peoplepopulationandcommunity/birthsdeathsandmarriages/deaths/datasets/excesswintermortalityinenglandandwalesreferencetables" TargetMode="External"/><Relationship Id="rId9" Type="http://schemas.openxmlformats.org/officeDocument/2006/relationships/hyperlink" Target="https://www.gov.uk/government/statistical-data-sets/sub-regional-feed-in-tariffs-confirmed-on-the-cfr-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103EF-26F9-43BD-8064-0A3974F3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2715</Words>
  <Characters>15481</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HECA</vt:lpstr>
    </vt:vector>
  </TitlesOfParts>
  <Company>Three Rivers District Council</Company>
  <LinksUpToDate>false</LinksUpToDate>
  <CharactersWithSpaces>18160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HECA</dc:title>
  <dc:creator>FrostK</dc:creator>
  <cp:lastModifiedBy>Helen Wailling</cp:lastModifiedBy>
  <cp:revision>2</cp:revision>
  <cp:lastPrinted>2017-02-21T09:14:00Z</cp:lastPrinted>
  <dcterms:created xsi:type="dcterms:W3CDTF">2017-03-03T16:31:00Z</dcterms:created>
  <dcterms:modified xsi:type="dcterms:W3CDTF">2017-03-03T16:31:00Z</dcterms:modified>
</cp:coreProperties>
</file>