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EC" w:rsidRPr="009975CD" w:rsidRDefault="00730BE2" w:rsidP="00A431EC">
      <w:pPr>
        <w:widowControl w:val="0"/>
        <w:ind w:right="-760" w:hanging="567"/>
        <w:jc w:val="center"/>
        <w:outlineLvl w:val="0"/>
        <w:rPr>
          <w:b/>
          <w:sz w:val="22"/>
          <w:szCs w:val="22"/>
        </w:rPr>
      </w:pPr>
      <w:r>
        <w:rPr>
          <w:b/>
          <w:sz w:val="22"/>
          <w:szCs w:val="22"/>
        </w:rPr>
        <w:t xml:space="preserve"> </w:t>
      </w:r>
      <w:r w:rsidR="00DD7537">
        <w:rPr>
          <w:b/>
          <w:sz w:val="22"/>
          <w:szCs w:val="22"/>
        </w:rPr>
        <w:t>POLICY AND RESOURCES</w:t>
      </w:r>
      <w:r w:rsidR="00A431EC" w:rsidRPr="009975CD">
        <w:rPr>
          <w:b/>
          <w:sz w:val="22"/>
          <w:szCs w:val="22"/>
        </w:rPr>
        <w:t xml:space="preserve"> COMMITTEE – 2</w:t>
      </w:r>
      <w:r w:rsidR="00CF7499">
        <w:rPr>
          <w:b/>
          <w:sz w:val="22"/>
          <w:szCs w:val="22"/>
        </w:rPr>
        <w:t>3</w:t>
      </w:r>
      <w:r w:rsidR="00A431EC" w:rsidRPr="009975CD">
        <w:rPr>
          <w:b/>
          <w:sz w:val="22"/>
          <w:szCs w:val="22"/>
        </w:rPr>
        <w:t xml:space="preserve"> JANUARY </w:t>
      </w:r>
      <w:r w:rsidR="00CF7499">
        <w:rPr>
          <w:b/>
          <w:sz w:val="22"/>
          <w:szCs w:val="22"/>
        </w:rPr>
        <w:t>2017</w:t>
      </w:r>
    </w:p>
    <w:p w:rsidR="00A431EC" w:rsidRPr="009975CD" w:rsidRDefault="00A431EC" w:rsidP="00A431EC">
      <w:pPr>
        <w:jc w:val="center"/>
      </w:pPr>
    </w:p>
    <w:p w:rsidR="00A431EC" w:rsidRPr="009975CD" w:rsidRDefault="00A431EC" w:rsidP="00A431EC">
      <w:pPr>
        <w:jc w:val="center"/>
        <w:rPr>
          <w:i/>
          <w:sz w:val="22"/>
          <w:szCs w:val="22"/>
        </w:rPr>
      </w:pPr>
      <w:r w:rsidRPr="009975CD">
        <w:rPr>
          <w:b/>
          <w:sz w:val="22"/>
          <w:szCs w:val="22"/>
        </w:rPr>
        <w:t xml:space="preserve">PART </w:t>
      </w:r>
      <w:r w:rsidRPr="009975CD">
        <w:rPr>
          <w:b/>
          <w:sz w:val="22"/>
          <w:szCs w:val="22"/>
        </w:rPr>
        <w:fldChar w:fldCharType="begin"/>
      </w:r>
      <w:r w:rsidRPr="009975CD">
        <w:rPr>
          <w:b/>
          <w:sz w:val="22"/>
          <w:szCs w:val="22"/>
        </w:rPr>
        <w:instrText xml:space="preserve">  </w:instrText>
      </w:r>
      <w:r w:rsidRPr="009975CD">
        <w:rPr>
          <w:b/>
          <w:sz w:val="22"/>
          <w:szCs w:val="22"/>
        </w:rPr>
        <w:fldChar w:fldCharType="end"/>
      </w:r>
      <w:r w:rsidRPr="009975CD">
        <w:rPr>
          <w:b/>
          <w:sz w:val="22"/>
          <w:szCs w:val="22"/>
        </w:rPr>
        <w:t>I -</w:t>
      </w:r>
      <w:r w:rsidRPr="009975CD">
        <w:rPr>
          <w:b/>
          <w:sz w:val="22"/>
          <w:szCs w:val="22"/>
        </w:rPr>
        <w:fldChar w:fldCharType="begin"/>
      </w:r>
      <w:r w:rsidRPr="009975CD">
        <w:rPr>
          <w:b/>
          <w:sz w:val="22"/>
          <w:szCs w:val="22"/>
        </w:rPr>
        <w:instrText xml:space="preserve">  </w:instrText>
      </w:r>
      <w:r w:rsidRPr="009975CD">
        <w:rPr>
          <w:b/>
          <w:sz w:val="22"/>
          <w:szCs w:val="22"/>
        </w:rPr>
        <w:fldChar w:fldCharType="end"/>
      </w:r>
      <w:r w:rsidRPr="009975CD">
        <w:rPr>
          <w:b/>
          <w:sz w:val="22"/>
          <w:szCs w:val="22"/>
        </w:rPr>
        <w:fldChar w:fldCharType="begin"/>
      </w:r>
      <w:r w:rsidRPr="009975CD">
        <w:rPr>
          <w:b/>
          <w:sz w:val="22"/>
          <w:szCs w:val="22"/>
        </w:rPr>
        <w:instrText xml:space="preserve">  </w:instrText>
      </w:r>
      <w:r w:rsidRPr="009975CD">
        <w:rPr>
          <w:b/>
          <w:sz w:val="22"/>
          <w:szCs w:val="22"/>
        </w:rPr>
        <w:fldChar w:fldCharType="end"/>
      </w:r>
      <w:r w:rsidRPr="009975CD">
        <w:rPr>
          <w:b/>
          <w:sz w:val="22"/>
          <w:szCs w:val="22"/>
        </w:rPr>
        <w:t xml:space="preserve"> NOT DELEGATED</w:t>
      </w:r>
    </w:p>
    <w:p w:rsidR="00A431EC" w:rsidRPr="009975CD" w:rsidRDefault="00A431EC" w:rsidP="00A431EC">
      <w:pPr>
        <w:jc w:val="center"/>
        <w:rPr>
          <w:i/>
          <w:sz w:val="22"/>
          <w:szCs w:val="22"/>
        </w:rPr>
      </w:pPr>
    </w:p>
    <w:p w:rsidR="00A431EC" w:rsidRPr="009975CD" w:rsidRDefault="005D28CE" w:rsidP="0011004D">
      <w:pPr>
        <w:keepNext/>
        <w:ind w:left="851" w:hanging="851"/>
        <w:rPr>
          <w:i/>
          <w:sz w:val="22"/>
          <w:szCs w:val="22"/>
        </w:rPr>
      </w:pPr>
      <w:r>
        <w:rPr>
          <w:b/>
          <w:sz w:val="22"/>
          <w:szCs w:val="22"/>
        </w:rPr>
        <w:t>8</w:t>
      </w:r>
      <w:r w:rsidR="00A431EC" w:rsidRPr="0011004D">
        <w:rPr>
          <w:b/>
          <w:sz w:val="22"/>
          <w:szCs w:val="22"/>
        </w:rPr>
        <w:t>.</w:t>
      </w:r>
      <w:r w:rsidR="00A431EC" w:rsidRPr="009975CD">
        <w:rPr>
          <w:b/>
          <w:sz w:val="22"/>
          <w:szCs w:val="22"/>
        </w:rPr>
        <w:fldChar w:fldCharType="begin"/>
      </w:r>
      <w:r w:rsidR="00A431EC" w:rsidRPr="009975CD">
        <w:rPr>
          <w:b/>
          <w:sz w:val="22"/>
          <w:szCs w:val="22"/>
        </w:rPr>
        <w:instrText xml:space="preserve">  </w:instrText>
      </w:r>
      <w:r w:rsidR="00A431EC" w:rsidRPr="009975CD">
        <w:rPr>
          <w:b/>
          <w:sz w:val="22"/>
          <w:szCs w:val="22"/>
        </w:rPr>
        <w:fldChar w:fldCharType="end"/>
      </w:r>
      <w:r w:rsidR="00A431EC" w:rsidRPr="009975CD">
        <w:rPr>
          <w:b/>
          <w:sz w:val="22"/>
          <w:szCs w:val="22"/>
        </w:rPr>
        <w:tab/>
        <w:t>FINANCIAL PLANNING – REVENUE</w:t>
      </w:r>
      <w:r w:rsidR="00A431EC" w:rsidRPr="009975CD">
        <w:rPr>
          <w:b/>
          <w:sz w:val="22"/>
        </w:rPr>
        <w:t xml:space="preserve"> SERVICES</w:t>
      </w:r>
      <w:r w:rsidR="00A431EC" w:rsidRPr="009975CD">
        <w:rPr>
          <w:b/>
          <w:sz w:val="22"/>
          <w:szCs w:val="22"/>
        </w:rPr>
        <w:t xml:space="preserve"> </w:t>
      </w:r>
      <w:r w:rsidR="00A431EC" w:rsidRPr="009975CD">
        <w:rPr>
          <w:b/>
          <w:sz w:val="22"/>
          <w:szCs w:val="22"/>
        </w:rPr>
        <w:fldChar w:fldCharType="begin"/>
      </w:r>
      <w:r w:rsidR="00A431EC" w:rsidRPr="009975CD">
        <w:rPr>
          <w:b/>
          <w:sz w:val="22"/>
          <w:szCs w:val="22"/>
        </w:rPr>
        <w:instrText xml:space="preserve">  </w:instrText>
      </w:r>
      <w:r w:rsidR="00A431EC" w:rsidRPr="009975CD">
        <w:rPr>
          <w:b/>
          <w:sz w:val="22"/>
          <w:szCs w:val="22"/>
        </w:rPr>
        <w:fldChar w:fldCharType="end"/>
      </w:r>
    </w:p>
    <w:p w:rsidR="00A431EC" w:rsidRPr="00CF7499" w:rsidRDefault="00A431EC" w:rsidP="00A01C4C">
      <w:pPr>
        <w:keepNext/>
        <w:ind w:left="851" w:hanging="1267"/>
        <w:rPr>
          <w:i/>
          <w:color w:val="4F81BD" w:themeColor="accent1"/>
          <w:sz w:val="22"/>
          <w:szCs w:val="22"/>
        </w:rPr>
      </w:pPr>
      <w:r w:rsidRPr="00CF7499">
        <w:rPr>
          <w:b/>
          <w:color w:val="4F81BD" w:themeColor="accent1"/>
          <w:sz w:val="22"/>
          <w:szCs w:val="22"/>
        </w:rPr>
        <w:tab/>
      </w:r>
      <w:r w:rsidRPr="0074504B">
        <w:rPr>
          <w:sz w:val="22"/>
          <w:szCs w:val="22"/>
        </w:rPr>
        <w:t>(</w:t>
      </w:r>
      <w:proofErr w:type="spellStart"/>
      <w:r w:rsidRPr="0074504B">
        <w:rPr>
          <w:sz w:val="22"/>
          <w:szCs w:val="22"/>
        </w:rPr>
        <w:t>D</w:t>
      </w:r>
      <w:r w:rsidR="00B313B0">
        <w:rPr>
          <w:sz w:val="22"/>
          <w:szCs w:val="22"/>
        </w:rPr>
        <w:t>o</w:t>
      </w:r>
      <w:r w:rsidRPr="0074504B">
        <w:rPr>
          <w:sz w:val="22"/>
          <w:szCs w:val="22"/>
        </w:rPr>
        <w:t>F</w:t>
      </w:r>
      <w:proofErr w:type="spellEnd"/>
      <w:r w:rsidRPr="0074504B">
        <w:rPr>
          <w:sz w:val="22"/>
          <w:szCs w:val="22"/>
        </w:rPr>
        <w:fldChar w:fldCharType="begin"/>
      </w:r>
      <w:r w:rsidRPr="0074504B">
        <w:rPr>
          <w:sz w:val="22"/>
          <w:szCs w:val="22"/>
        </w:rPr>
        <w:instrText xml:space="preserve">  </w:instrText>
      </w:r>
      <w:r w:rsidRPr="0074504B">
        <w:rPr>
          <w:sz w:val="22"/>
          <w:szCs w:val="22"/>
        </w:rPr>
        <w:fldChar w:fldCharType="end"/>
      </w:r>
      <w:r w:rsidRPr="0074504B">
        <w:rPr>
          <w:sz w:val="22"/>
          <w:szCs w:val="22"/>
        </w:rPr>
        <w:t>)</w:t>
      </w:r>
      <w:r w:rsidRPr="00CF7499">
        <w:rPr>
          <w:b/>
          <w:i/>
          <w:color w:val="4F81BD" w:themeColor="accent1"/>
          <w:sz w:val="22"/>
          <w:szCs w:val="22"/>
        </w:rPr>
        <w:fldChar w:fldCharType="begin"/>
      </w:r>
      <w:r w:rsidRPr="00CF7499">
        <w:rPr>
          <w:b/>
          <w:i/>
          <w:color w:val="4F81BD" w:themeColor="accent1"/>
          <w:sz w:val="22"/>
          <w:szCs w:val="22"/>
        </w:rPr>
        <w:instrText xml:space="preserve">  </w:instrText>
      </w:r>
      <w:r w:rsidRPr="00CF7499">
        <w:rPr>
          <w:b/>
          <w:i/>
          <w:color w:val="4F81BD" w:themeColor="accent1"/>
          <w:sz w:val="22"/>
          <w:szCs w:val="22"/>
        </w:rPr>
        <w:fldChar w:fldCharType="end"/>
      </w:r>
      <w:r w:rsidRPr="00CF7499">
        <w:rPr>
          <w:b/>
          <w:i/>
          <w:color w:val="4F81BD" w:themeColor="accent1"/>
          <w:sz w:val="22"/>
          <w:szCs w:val="22"/>
        </w:rPr>
        <w:fldChar w:fldCharType="begin"/>
      </w:r>
      <w:r w:rsidRPr="00CF7499">
        <w:rPr>
          <w:b/>
          <w:i/>
          <w:color w:val="4F81BD" w:themeColor="accent1"/>
          <w:sz w:val="22"/>
          <w:szCs w:val="22"/>
        </w:rPr>
        <w:instrText xml:space="preserve">  </w:instrText>
      </w:r>
      <w:r w:rsidRPr="00CF7499">
        <w:rPr>
          <w:b/>
          <w:i/>
          <w:color w:val="4F81BD" w:themeColor="accent1"/>
          <w:sz w:val="22"/>
          <w:szCs w:val="22"/>
        </w:rPr>
        <w:fldChar w:fldCharType="end"/>
      </w:r>
    </w:p>
    <w:p w:rsidR="00B67F70" w:rsidRPr="00CF7499" w:rsidRDefault="00B67F70" w:rsidP="00B67F70">
      <w:pPr>
        <w:jc w:val="both"/>
        <w:rPr>
          <w:rFonts w:cs="Arial"/>
          <w:color w:val="4F81BD" w:themeColor="accent1"/>
          <w:sz w:val="22"/>
          <w:szCs w:val="22"/>
        </w:rPr>
      </w:pPr>
    </w:p>
    <w:tbl>
      <w:tblPr>
        <w:tblStyle w:val="TableColumns3"/>
        <w:tblW w:w="10065" w:type="dxa"/>
        <w:tblInd w:w="-34" w:type="dxa"/>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34"/>
        <w:gridCol w:w="959"/>
        <w:gridCol w:w="9072"/>
      </w:tblGrid>
      <w:tr w:rsidR="00CF7499" w:rsidRPr="00CF7499" w:rsidTr="001E5BA7">
        <w:trPr>
          <w:gridBefore w:val="1"/>
          <w:cnfStyle w:val="100000000000" w:firstRow="1" w:lastRow="0" w:firstColumn="0" w:lastColumn="0" w:oddVBand="0" w:evenVBand="0" w:oddHBand="0" w:evenHBand="0" w:firstRowFirstColumn="0" w:firstRowLastColumn="0" w:lastRowFirstColumn="0" w:lastRowLastColumn="0"/>
          <w:wBefore w:w="34" w:type="dxa"/>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B67F70" w:rsidRPr="007C1C6B" w:rsidRDefault="00B67F70" w:rsidP="00C80E97">
            <w:pPr>
              <w:jc w:val="both"/>
              <w:rPr>
                <w:rFonts w:cs="Arial"/>
                <w:color w:val="auto"/>
                <w:sz w:val="22"/>
                <w:szCs w:val="22"/>
              </w:rPr>
            </w:pPr>
            <w:r w:rsidRPr="007C1C6B">
              <w:rPr>
                <w:rFonts w:cs="Arial"/>
                <w:color w:val="auto"/>
                <w:sz w:val="22"/>
                <w:szCs w:val="22"/>
              </w:rPr>
              <w:t>1.</w:t>
            </w:r>
          </w:p>
        </w:tc>
        <w:tc>
          <w:tcPr>
            <w:cnfStyle w:val="000100001000" w:firstRow="0" w:lastRow="0" w:firstColumn="0" w:lastColumn="1" w:oddVBand="0" w:evenVBand="0" w:oddHBand="0" w:evenHBand="0" w:firstRowFirstColumn="0" w:firstRowLastColumn="1" w:lastRowFirstColumn="0" w:lastRowLastColumn="0"/>
            <w:tcW w:w="9072" w:type="dxa"/>
            <w:shd w:val="clear" w:color="auto" w:fill="auto"/>
          </w:tcPr>
          <w:p w:rsidR="00A431EC" w:rsidRPr="007C1C6B" w:rsidRDefault="00A431EC" w:rsidP="00A431EC">
            <w:pPr>
              <w:keepNext/>
              <w:ind w:left="1267" w:hanging="1267"/>
              <w:jc w:val="both"/>
              <w:rPr>
                <w:color w:val="auto"/>
                <w:sz w:val="22"/>
                <w:szCs w:val="22"/>
              </w:rPr>
            </w:pPr>
            <w:r w:rsidRPr="007C1C6B">
              <w:rPr>
                <w:color w:val="auto"/>
                <w:sz w:val="22"/>
                <w:szCs w:val="22"/>
              </w:rPr>
              <w:t>Summary</w:t>
            </w:r>
          </w:p>
          <w:p w:rsidR="00B67F70" w:rsidRPr="007C1C6B" w:rsidRDefault="00B67F70" w:rsidP="00C80E97">
            <w:pPr>
              <w:jc w:val="both"/>
              <w:rPr>
                <w:rFonts w:cs="Arial"/>
                <w:b w:val="0"/>
                <w:color w:val="auto"/>
                <w:sz w:val="22"/>
                <w:szCs w:val="22"/>
              </w:rPr>
            </w:pPr>
          </w:p>
        </w:tc>
      </w:tr>
      <w:tr w:rsidR="00CF7499" w:rsidRPr="00CF7499" w:rsidTr="001E5BA7">
        <w:trPr>
          <w:gridBefore w:val="1"/>
          <w:wBefore w:w="34" w:type="dxa"/>
          <w:trHeight w:val="767"/>
        </w:trPr>
        <w:tc>
          <w:tcPr>
            <w:cnfStyle w:val="001000000000" w:firstRow="0" w:lastRow="0" w:firstColumn="1" w:lastColumn="0" w:oddVBand="0" w:evenVBand="0" w:oddHBand="0" w:evenHBand="0" w:firstRowFirstColumn="0" w:firstRowLastColumn="0" w:lastRowFirstColumn="0" w:lastRowLastColumn="0"/>
            <w:tcW w:w="959" w:type="dxa"/>
          </w:tcPr>
          <w:p w:rsidR="00B67F70" w:rsidRPr="007C1C6B" w:rsidRDefault="00B67F70" w:rsidP="00C80E97">
            <w:pPr>
              <w:rPr>
                <w:rFonts w:cs="Arial"/>
                <w:sz w:val="22"/>
                <w:szCs w:val="22"/>
              </w:rPr>
            </w:pPr>
            <w:r w:rsidRPr="007C1C6B">
              <w:rPr>
                <w:rFonts w:cs="Arial"/>
                <w:sz w:val="22"/>
                <w:szCs w:val="22"/>
              </w:rPr>
              <w:t>1.1</w:t>
            </w:r>
          </w:p>
        </w:tc>
        <w:tc>
          <w:tcPr>
            <w:cnfStyle w:val="000100000000" w:firstRow="0" w:lastRow="0" w:firstColumn="0" w:lastColumn="1" w:oddVBand="0" w:evenVBand="0" w:oddHBand="0" w:evenHBand="0" w:firstRowFirstColumn="0" w:firstRowLastColumn="0" w:lastRowFirstColumn="0" w:lastRowLastColumn="0"/>
            <w:tcW w:w="9072" w:type="dxa"/>
          </w:tcPr>
          <w:p w:rsidR="00B67F70" w:rsidRDefault="00A431EC" w:rsidP="00A76366">
            <w:pPr>
              <w:ind w:left="34"/>
              <w:jc w:val="both"/>
              <w:rPr>
                <w:sz w:val="22"/>
                <w:szCs w:val="22"/>
              </w:rPr>
            </w:pPr>
            <w:r w:rsidRPr="007C1C6B">
              <w:rPr>
                <w:sz w:val="22"/>
                <w:szCs w:val="22"/>
              </w:rPr>
              <w:t xml:space="preserve">The purpose of this report is to enable the </w:t>
            </w:r>
            <w:r w:rsidR="00DD7537" w:rsidRPr="007C1C6B">
              <w:rPr>
                <w:sz w:val="22"/>
                <w:szCs w:val="22"/>
              </w:rPr>
              <w:t>Policy and Resources</w:t>
            </w:r>
            <w:r w:rsidRPr="007C1C6B">
              <w:rPr>
                <w:sz w:val="22"/>
                <w:szCs w:val="22"/>
              </w:rPr>
              <w:t xml:space="preserve"> Committee to recommend to the Council the medium term revenue budget</w:t>
            </w:r>
            <w:r w:rsidR="00E038A0" w:rsidRPr="007C1C6B">
              <w:rPr>
                <w:sz w:val="22"/>
                <w:szCs w:val="22"/>
              </w:rPr>
              <w:t>s</w:t>
            </w:r>
            <w:r w:rsidRPr="007C1C6B">
              <w:rPr>
                <w:sz w:val="22"/>
                <w:szCs w:val="22"/>
              </w:rPr>
              <w:t xml:space="preserve">. </w:t>
            </w:r>
            <w:r w:rsidR="004D6E45">
              <w:rPr>
                <w:sz w:val="22"/>
                <w:szCs w:val="22"/>
              </w:rPr>
              <w:t xml:space="preserve"> This report is </w:t>
            </w:r>
            <w:r w:rsidR="00A76366">
              <w:rPr>
                <w:sz w:val="22"/>
                <w:szCs w:val="22"/>
              </w:rPr>
              <w:t>the first</w:t>
            </w:r>
            <w:r w:rsidR="004D6E45">
              <w:rPr>
                <w:sz w:val="22"/>
                <w:szCs w:val="22"/>
              </w:rPr>
              <w:t xml:space="preserve"> of three that is tied to together under the recommendations report at </w:t>
            </w:r>
            <w:r w:rsidR="004D6E45" w:rsidRPr="0011004D">
              <w:rPr>
                <w:sz w:val="22"/>
                <w:szCs w:val="22"/>
              </w:rPr>
              <w:t xml:space="preserve">Item </w:t>
            </w:r>
            <w:r w:rsidR="00FF48D6">
              <w:rPr>
                <w:sz w:val="22"/>
                <w:szCs w:val="22"/>
              </w:rPr>
              <w:t>11</w:t>
            </w:r>
            <w:r w:rsidR="0074504B">
              <w:rPr>
                <w:sz w:val="22"/>
                <w:szCs w:val="22"/>
              </w:rPr>
              <w:t xml:space="preserve"> on this agenda</w:t>
            </w:r>
            <w:r w:rsidR="004D6E45">
              <w:rPr>
                <w:sz w:val="22"/>
                <w:szCs w:val="22"/>
              </w:rPr>
              <w:t>.</w:t>
            </w:r>
          </w:p>
          <w:p w:rsidR="00522A9C" w:rsidRPr="007C1C6B" w:rsidRDefault="00522A9C" w:rsidP="00A76366">
            <w:pPr>
              <w:ind w:left="34"/>
              <w:jc w:val="both"/>
              <w:rPr>
                <w:rFonts w:cs="Arial"/>
                <w:i/>
                <w:sz w:val="22"/>
                <w:szCs w:val="22"/>
              </w:rPr>
            </w:pPr>
          </w:p>
        </w:tc>
      </w:tr>
      <w:tr w:rsidR="00CF7499" w:rsidRPr="00CF7499" w:rsidTr="001E5BA7">
        <w:trPr>
          <w:gridBefore w:val="1"/>
          <w:wBefore w:w="34" w:type="dxa"/>
          <w:trHeight w:val="282"/>
        </w:trPr>
        <w:tc>
          <w:tcPr>
            <w:cnfStyle w:val="001000000000" w:firstRow="0" w:lastRow="0" w:firstColumn="1" w:lastColumn="0" w:oddVBand="0" w:evenVBand="0" w:oddHBand="0" w:evenHBand="0" w:firstRowFirstColumn="0" w:firstRowLastColumn="0" w:lastRowFirstColumn="0" w:lastRowLastColumn="0"/>
            <w:tcW w:w="959" w:type="dxa"/>
          </w:tcPr>
          <w:p w:rsidR="00B67F70" w:rsidRPr="007C1C6B" w:rsidRDefault="00B67F70" w:rsidP="00C80E97">
            <w:pPr>
              <w:jc w:val="both"/>
              <w:rPr>
                <w:rFonts w:cs="Arial"/>
                <w:sz w:val="22"/>
                <w:szCs w:val="22"/>
              </w:rPr>
            </w:pPr>
            <w:r w:rsidRPr="007C1C6B">
              <w:rPr>
                <w:rFonts w:cs="Arial"/>
                <w:sz w:val="22"/>
                <w:szCs w:val="22"/>
              </w:rPr>
              <w:t>2.</w:t>
            </w:r>
          </w:p>
        </w:tc>
        <w:tc>
          <w:tcPr>
            <w:cnfStyle w:val="000100000000" w:firstRow="0" w:lastRow="0" w:firstColumn="0" w:lastColumn="1" w:oddVBand="0" w:evenVBand="0" w:oddHBand="0" w:evenHBand="0" w:firstRowFirstColumn="0" w:firstRowLastColumn="0" w:lastRowFirstColumn="0" w:lastRowLastColumn="0"/>
            <w:tcW w:w="9072" w:type="dxa"/>
          </w:tcPr>
          <w:p w:rsidR="006F1EEE" w:rsidRPr="007C1C6B" w:rsidRDefault="00A431EC" w:rsidP="00A431EC">
            <w:pPr>
              <w:jc w:val="both"/>
              <w:rPr>
                <w:rFonts w:cs="Arial"/>
                <w:b/>
                <w:sz w:val="22"/>
                <w:szCs w:val="22"/>
              </w:rPr>
            </w:pPr>
            <w:r w:rsidRPr="007C1C6B">
              <w:rPr>
                <w:rFonts w:cs="Arial"/>
                <w:b/>
                <w:sz w:val="22"/>
                <w:szCs w:val="22"/>
              </w:rPr>
              <w:t>Details</w:t>
            </w:r>
          </w:p>
          <w:p w:rsidR="00A431EC" w:rsidRPr="007C1C6B" w:rsidRDefault="00A431EC" w:rsidP="00A431EC">
            <w:pPr>
              <w:jc w:val="both"/>
              <w:rPr>
                <w:rFonts w:cs="Arial"/>
                <w:b/>
                <w:sz w:val="22"/>
                <w:szCs w:val="22"/>
              </w:rPr>
            </w:pPr>
          </w:p>
        </w:tc>
      </w:tr>
      <w:tr w:rsidR="005E6727" w:rsidRPr="00CF7499" w:rsidTr="001E5BA7">
        <w:trPr>
          <w:gridBefore w:val="1"/>
          <w:wBefore w:w="34" w:type="dxa"/>
          <w:trHeight w:val="1013"/>
        </w:trPr>
        <w:tc>
          <w:tcPr>
            <w:cnfStyle w:val="001000000000" w:firstRow="0" w:lastRow="0" w:firstColumn="1" w:lastColumn="0" w:oddVBand="0" w:evenVBand="0" w:oddHBand="0" w:evenHBand="0" w:firstRowFirstColumn="0" w:firstRowLastColumn="0" w:lastRowFirstColumn="0" w:lastRowLastColumn="0"/>
            <w:tcW w:w="959" w:type="dxa"/>
          </w:tcPr>
          <w:p w:rsidR="005E6727" w:rsidRDefault="005E6727" w:rsidP="005E6727">
            <w:pPr>
              <w:jc w:val="both"/>
              <w:rPr>
                <w:rFonts w:cs="Arial"/>
                <w:sz w:val="22"/>
                <w:szCs w:val="22"/>
              </w:rPr>
            </w:pPr>
            <w:r w:rsidRPr="007C1C6B">
              <w:rPr>
                <w:rFonts w:cs="Arial"/>
                <w:sz w:val="22"/>
                <w:szCs w:val="22"/>
              </w:rPr>
              <w:t>2.1</w:t>
            </w:r>
          </w:p>
          <w:p w:rsidR="005E6727" w:rsidRPr="007C1C6B" w:rsidRDefault="005E6727" w:rsidP="00C80E97">
            <w:pPr>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5E6727" w:rsidRDefault="005E6727" w:rsidP="005E6727">
            <w:pPr>
              <w:tabs>
                <w:tab w:val="left" w:pos="360"/>
                <w:tab w:val="left" w:pos="900"/>
              </w:tabs>
              <w:jc w:val="both"/>
              <w:rPr>
                <w:rFonts w:cs="Arial"/>
                <w:sz w:val="22"/>
                <w:szCs w:val="22"/>
              </w:rPr>
            </w:pPr>
            <w:r w:rsidRPr="007C1C6B">
              <w:rPr>
                <w:rFonts w:cs="Arial"/>
                <w:sz w:val="22"/>
                <w:szCs w:val="22"/>
              </w:rPr>
              <w:t>Officers have prepared</w:t>
            </w:r>
            <w:r w:rsidR="000D543E">
              <w:rPr>
                <w:rFonts w:cs="Arial"/>
                <w:sz w:val="22"/>
                <w:szCs w:val="22"/>
              </w:rPr>
              <w:t xml:space="preserve"> a</w:t>
            </w:r>
            <w:r w:rsidR="000D543E" w:rsidRPr="007C1C6B">
              <w:rPr>
                <w:rFonts w:cs="Arial"/>
                <w:sz w:val="22"/>
                <w:szCs w:val="22"/>
              </w:rPr>
              <w:t xml:space="preserve"> three-year Medium Term Financial Plan (MTFP) </w:t>
            </w:r>
            <w:r w:rsidR="000D543E">
              <w:rPr>
                <w:rFonts w:cs="Arial"/>
                <w:sz w:val="22"/>
                <w:szCs w:val="22"/>
              </w:rPr>
              <w:t xml:space="preserve">base budget </w:t>
            </w:r>
            <w:r w:rsidR="000D543E" w:rsidRPr="007C1C6B">
              <w:rPr>
                <w:rFonts w:cs="Arial"/>
                <w:sz w:val="22"/>
                <w:szCs w:val="22"/>
              </w:rPr>
              <w:t>for 2017</w:t>
            </w:r>
            <w:r w:rsidR="00584D3D">
              <w:rPr>
                <w:rFonts w:cs="Arial"/>
                <w:sz w:val="22"/>
                <w:szCs w:val="22"/>
              </w:rPr>
              <w:t xml:space="preserve"> </w:t>
            </w:r>
            <w:r w:rsidR="000D543E" w:rsidRPr="007C1C6B">
              <w:rPr>
                <w:rFonts w:cs="Arial"/>
                <w:sz w:val="22"/>
                <w:szCs w:val="22"/>
              </w:rPr>
              <w:t>-</w:t>
            </w:r>
            <w:r w:rsidR="00584D3D">
              <w:rPr>
                <w:rFonts w:cs="Arial"/>
                <w:sz w:val="22"/>
                <w:szCs w:val="22"/>
              </w:rPr>
              <w:t xml:space="preserve"> </w:t>
            </w:r>
            <w:r w:rsidR="000D543E" w:rsidRPr="007C1C6B">
              <w:rPr>
                <w:rFonts w:cs="Arial"/>
                <w:sz w:val="22"/>
                <w:szCs w:val="22"/>
              </w:rPr>
              <w:t>2020</w:t>
            </w:r>
            <w:r w:rsidR="000D543E">
              <w:rPr>
                <w:rFonts w:cs="Arial"/>
                <w:sz w:val="22"/>
                <w:szCs w:val="22"/>
              </w:rPr>
              <w:t xml:space="preserve"> </w:t>
            </w:r>
            <w:r w:rsidR="000D543E" w:rsidRPr="007C1C6B">
              <w:rPr>
                <w:rFonts w:cs="Arial"/>
                <w:sz w:val="22"/>
                <w:szCs w:val="22"/>
              </w:rPr>
              <w:t>which includes a revised estimate for the current year</w:t>
            </w:r>
            <w:r w:rsidR="000D543E">
              <w:rPr>
                <w:rFonts w:cs="Arial"/>
                <w:sz w:val="22"/>
                <w:szCs w:val="22"/>
              </w:rPr>
              <w:t xml:space="preserve">. </w:t>
            </w:r>
            <w:r w:rsidR="00522A9C">
              <w:rPr>
                <w:rFonts w:cs="Arial"/>
                <w:sz w:val="22"/>
                <w:szCs w:val="22"/>
              </w:rPr>
              <w:t xml:space="preserve"> </w:t>
            </w:r>
            <w:r w:rsidR="000D543E">
              <w:rPr>
                <w:rFonts w:cs="Arial"/>
                <w:sz w:val="22"/>
                <w:szCs w:val="22"/>
              </w:rPr>
              <w:t xml:space="preserve">This is attached at </w:t>
            </w:r>
            <w:r w:rsidRPr="003A11F0">
              <w:rPr>
                <w:rFonts w:cs="Arial"/>
                <w:b/>
                <w:sz w:val="22"/>
                <w:szCs w:val="22"/>
              </w:rPr>
              <w:t>Appendix 1</w:t>
            </w:r>
            <w:r w:rsidR="000D543E" w:rsidRPr="003A11F0">
              <w:rPr>
                <w:rFonts w:cs="Arial"/>
                <w:b/>
                <w:sz w:val="22"/>
                <w:szCs w:val="22"/>
              </w:rPr>
              <w:t>.</w:t>
            </w:r>
            <w:r w:rsidRPr="007C1C6B">
              <w:rPr>
                <w:rFonts w:cs="Arial"/>
                <w:sz w:val="22"/>
                <w:szCs w:val="22"/>
              </w:rPr>
              <w:t xml:space="preserve"> </w:t>
            </w:r>
            <w:r w:rsidR="00522A9C">
              <w:rPr>
                <w:rFonts w:cs="Arial"/>
                <w:sz w:val="22"/>
                <w:szCs w:val="22"/>
              </w:rPr>
              <w:t xml:space="preserve"> </w:t>
            </w:r>
            <w:r w:rsidR="000D543E">
              <w:rPr>
                <w:rFonts w:cs="Arial"/>
                <w:sz w:val="22"/>
                <w:szCs w:val="22"/>
              </w:rPr>
              <w:t>At this stage,</w:t>
            </w:r>
            <w:r w:rsidRPr="007C1C6B">
              <w:rPr>
                <w:rFonts w:cs="Arial"/>
                <w:sz w:val="22"/>
                <w:szCs w:val="22"/>
              </w:rPr>
              <w:t xml:space="preserve"> revised internal recharges </w:t>
            </w:r>
            <w:r w:rsidR="00522A9C">
              <w:rPr>
                <w:rFonts w:cs="Arial"/>
                <w:sz w:val="22"/>
                <w:szCs w:val="22"/>
              </w:rPr>
              <w:t>have not been recalculated and t</w:t>
            </w:r>
            <w:r w:rsidRPr="007C1C6B">
              <w:rPr>
                <w:rFonts w:cs="Arial"/>
                <w:sz w:val="22"/>
                <w:szCs w:val="22"/>
              </w:rPr>
              <w:t xml:space="preserve">hese have no overall </w:t>
            </w:r>
            <w:r w:rsidR="00874FD2">
              <w:rPr>
                <w:rFonts w:cs="Arial"/>
                <w:sz w:val="22"/>
                <w:szCs w:val="22"/>
              </w:rPr>
              <w:t>e</w:t>
            </w:r>
            <w:r w:rsidR="00874FD2" w:rsidRPr="007C1C6B">
              <w:rPr>
                <w:rFonts w:cs="Arial"/>
                <w:sz w:val="22"/>
                <w:szCs w:val="22"/>
              </w:rPr>
              <w:t>ffect</w:t>
            </w:r>
            <w:r w:rsidRPr="007C1C6B">
              <w:rPr>
                <w:rFonts w:cs="Arial"/>
                <w:sz w:val="22"/>
                <w:szCs w:val="22"/>
              </w:rPr>
              <w:t xml:space="preserve"> on the Council’s net revenue budget</w:t>
            </w:r>
            <w:r w:rsidR="00522A9C">
              <w:rPr>
                <w:rFonts w:cs="Arial"/>
                <w:sz w:val="22"/>
                <w:szCs w:val="22"/>
              </w:rPr>
              <w:t>.</w:t>
            </w:r>
            <w:r>
              <w:rPr>
                <w:rFonts w:cs="Arial"/>
                <w:sz w:val="22"/>
                <w:szCs w:val="22"/>
              </w:rPr>
              <w:t xml:space="preserve">  </w:t>
            </w:r>
          </w:p>
          <w:p w:rsidR="005E6727" w:rsidRPr="007C1C6B" w:rsidRDefault="005E6727" w:rsidP="00926417">
            <w:pPr>
              <w:tabs>
                <w:tab w:val="left" w:pos="360"/>
                <w:tab w:val="left" w:pos="900"/>
              </w:tabs>
              <w:jc w:val="both"/>
              <w:rPr>
                <w:rFonts w:cs="Arial"/>
                <w:sz w:val="22"/>
                <w:szCs w:val="22"/>
              </w:rPr>
            </w:pPr>
          </w:p>
        </w:tc>
      </w:tr>
      <w:tr w:rsidR="005E6727" w:rsidRPr="00CF7499" w:rsidTr="001E5BA7">
        <w:trPr>
          <w:gridBefore w:val="1"/>
          <w:wBefore w:w="34" w:type="dxa"/>
          <w:trHeight w:val="1013"/>
        </w:trPr>
        <w:tc>
          <w:tcPr>
            <w:cnfStyle w:val="001000000000" w:firstRow="0" w:lastRow="0" w:firstColumn="1" w:lastColumn="0" w:oddVBand="0" w:evenVBand="0" w:oddHBand="0" w:evenHBand="0" w:firstRowFirstColumn="0" w:firstRowLastColumn="0" w:lastRowFirstColumn="0" w:lastRowLastColumn="0"/>
            <w:tcW w:w="959" w:type="dxa"/>
          </w:tcPr>
          <w:p w:rsidR="005E6727" w:rsidRPr="007C1C6B" w:rsidRDefault="005E6727" w:rsidP="005E6727">
            <w:pPr>
              <w:jc w:val="both"/>
              <w:rPr>
                <w:rFonts w:cs="Arial"/>
                <w:sz w:val="22"/>
                <w:szCs w:val="22"/>
              </w:rPr>
            </w:pPr>
            <w:r>
              <w:rPr>
                <w:rFonts w:cs="Arial"/>
                <w:sz w:val="22"/>
                <w:szCs w:val="22"/>
              </w:rPr>
              <w:t>2.2</w:t>
            </w:r>
          </w:p>
          <w:p w:rsidR="005E6727" w:rsidRDefault="005E6727" w:rsidP="00C80E97">
            <w:pPr>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5E6727" w:rsidRPr="005E6727" w:rsidRDefault="005E6727" w:rsidP="005E6727">
            <w:pPr>
              <w:tabs>
                <w:tab w:val="left" w:pos="360"/>
                <w:tab w:val="left" w:pos="900"/>
              </w:tabs>
              <w:jc w:val="both"/>
              <w:rPr>
                <w:rFonts w:cs="Arial"/>
                <w:b/>
                <w:i/>
                <w:sz w:val="22"/>
                <w:szCs w:val="22"/>
                <w:u w:val="single"/>
              </w:rPr>
            </w:pPr>
            <w:r w:rsidRPr="005E6727">
              <w:rPr>
                <w:rFonts w:cs="Arial"/>
                <w:b/>
                <w:i/>
                <w:sz w:val="22"/>
                <w:szCs w:val="22"/>
                <w:u w:val="single"/>
              </w:rPr>
              <w:t>2016/17</w:t>
            </w:r>
          </w:p>
          <w:p w:rsidR="005E6727" w:rsidRDefault="005E6727" w:rsidP="005E6727">
            <w:pPr>
              <w:tabs>
                <w:tab w:val="left" w:pos="360"/>
                <w:tab w:val="left" w:pos="900"/>
              </w:tabs>
              <w:jc w:val="both"/>
              <w:rPr>
                <w:rFonts w:cs="Arial"/>
                <w:b/>
                <w:i/>
                <w:sz w:val="22"/>
                <w:szCs w:val="22"/>
              </w:rPr>
            </w:pPr>
          </w:p>
          <w:p w:rsidR="005E6727" w:rsidRPr="005E6727" w:rsidRDefault="005E6727" w:rsidP="005E6727">
            <w:pPr>
              <w:tabs>
                <w:tab w:val="left" w:pos="360"/>
                <w:tab w:val="left" w:pos="900"/>
              </w:tabs>
              <w:jc w:val="both"/>
              <w:rPr>
                <w:rFonts w:cs="Arial"/>
                <w:b/>
                <w:i/>
                <w:sz w:val="22"/>
                <w:szCs w:val="22"/>
              </w:rPr>
            </w:pPr>
            <w:r w:rsidRPr="00BF159E">
              <w:rPr>
                <w:sz w:val="22"/>
                <w:lang w:eastAsia="en-GB"/>
              </w:rPr>
              <w:t xml:space="preserve">The original net revenue budget for 2016/17 was </w:t>
            </w:r>
            <w:r w:rsidRPr="00BF159E">
              <w:rPr>
                <w:b/>
                <w:sz w:val="22"/>
                <w:lang w:eastAsia="en-GB"/>
              </w:rPr>
              <w:t>£11.782 million</w:t>
            </w:r>
            <w:r w:rsidRPr="00BF159E">
              <w:rPr>
                <w:sz w:val="22"/>
                <w:lang w:eastAsia="en-GB"/>
              </w:rPr>
              <w:t>. The latest approved budget is £</w:t>
            </w:r>
            <w:r w:rsidRPr="00BF159E">
              <w:rPr>
                <w:b/>
                <w:sz w:val="22"/>
                <w:lang w:eastAsia="en-GB"/>
              </w:rPr>
              <w:t>12.</w:t>
            </w:r>
            <w:r>
              <w:rPr>
                <w:b/>
                <w:sz w:val="22"/>
                <w:lang w:eastAsia="en-GB"/>
              </w:rPr>
              <w:t>795</w:t>
            </w:r>
            <w:r w:rsidRPr="00BF159E">
              <w:rPr>
                <w:b/>
                <w:sz w:val="22"/>
                <w:lang w:eastAsia="en-GB"/>
              </w:rPr>
              <w:t xml:space="preserve"> million</w:t>
            </w:r>
            <w:r>
              <w:rPr>
                <w:b/>
                <w:sz w:val="22"/>
                <w:lang w:eastAsia="en-GB"/>
              </w:rPr>
              <w:t xml:space="preserve"> </w:t>
            </w:r>
            <w:r>
              <w:rPr>
                <w:sz w:val="22"/>
                <w:lang w:eastAsia="en-GB"/>
              </w:rPr>
              <w:t xml:space="preserve">(approved by Council on 13 December 2016); </w:t>
            </w:r>
            <w:r w:rsidRPr="00BF159E">
              <w:rPr>
                <w:sz w:val="22"/>
                <w:lang w:eastAsia="en-GB"/>
              </w:rPr>
              <w:t xml:space="preserve">the table below shows the approved changes to date and the Quarter </w:t>
            </w:r>
            <w:r>
              <w:rPr>
                <w:sz w:val="22"/>
                <w:lang w:eastAsia="en-GB"/>
              </w:rPr>
              <w:t>3</w:t>
            </w:r>
            <w:r w:rsidRPr="00BF159E">
              <w:rPr>
                <w:sz w:val="22"/>
                <w:lang w:eastAsia="en-GB"/>
              </w:rPr>
              <w:t xml:space="preserve"> variances reported for this period to give a </w:t>
            </w:r>
            <w:r w:rsidR="00522A9C">
              <w:rPr>
                <w:sz w:val="22"/>
                <w:lang w:eastAsia="en-GB"/>
              </w:rPr>
              <w:t xml:space="preserve">proposed </w:t>
            </w:r>
            <w:r>
              <w:rPr>
                <w:sz w:val="22"/>
                <w:lang w:eastAsia="en-GB"/>
              </w:rPr>
              <w:t>revised budget</w:t>
            </w:r>
            <w:r w:rsidRPr="00BF159E">
              <w:rPr>
                <w:sz w:val="22"/>
                <w:lang w:eastAsia="en-GB"/>
              </w:rPr>
              <w:t xml:space="preserve"> of </w:t>
            </w:r>
            <w:r w:rsidRPr="00BF159E">
              <w:rPr>
                <w:b/>
                <w:sz w:val="22"/>
                <w:lang w:eastAsia="en-GB"/>
              </w:rPr>
              <w:t>£</w:t>
            </w:r>
            <w:r w:rsidR="002C3587">
              <w:rPr>
                <w:b/>
                <w:sz w:val="22"/>
                <w:lang w:eastAsia="en-GB"/>
              </w:rPr>
              <w:t>12.</w:t>
            </w:r>
            <w:r w:rsidR="00321417">
              <w:rPr>
                <w:b/>
                <w:sz w:val="22"/>
                <w:lang w:eastAsia="en-GB"/>
              </w:rPr>
              <w:t>472</w:t>
            </w:r>
            <w:r w:rsidRPr="00BF159E">
              <w:rPr>
                <w:b/>
                <w:sz w:val="22"/>
                <w:lang w:eastAsia="en-GB"/>
              </w:rPr>
              <w:t xml:space="preserve"> million</w:t>
            </w:r>
            <w:r w:rsidRPr="00BF159E">
              <w:rPr>
                <w:sz w:val="22"/>
                <w:lang w:eastAsia="en-GB"/>
              </w:rPr>
              <w:t xml:space="preserve">.   </w:t>
            </w:r>
          </w:p>
          <w:p w:rsidR="005E6727" w:rsidRPr="00BF159E" w:rsidRDefault="005E6727" w:rsidP="005E6727">
            <w:pPr>
              <w:tabs>
                <w:tab w:val="left" w:pos="1260"/>
                <w:tab w:val="left" w:pos="1980"/>
                <w:tab w:val="left" w:pos="2700"/>
                <w:tab w:val="left" w:pos="3420"/>
              </w:tabs>
              <w:ind w:left="1267" w:hanging="1267"/>
              <w:jc w:val="both"/>
              <w:rPr>
                <w:sz w:val="22"/>
                <w:lang w:eastAsia="en-GB"/>
              </w:rPr>
            </w:pPr>
          </w:p>
          <w:tbl>
            <w:tblPr>
              <w:tblStyle w:val="TableGrid"/>
              <w:tblW w:w="7230" w:type="dxa"/>
              <w:tblInd w:w="454" w:type="dxa"/>
              <w:tblLayout w:type="fixed"/>
              <w:tblLook w:val="04A0" w:firstRow="1" w:lastRow="0" w:firstColumn="1" w:lastColumn="0" w:noHBand="0" w:noVBand="1"/>
            </w:tblPr>
            <w:tblGrid>
              <w:gridCol w:w="5954"/>
              <w:gridCol w:w="1276"/>
            </w:tblGrid>
            <w:tr w:rsidR="005E6727" w:rsidRPr="00BF159E" w:rsidTr="005E6727">
              <w:trPr>
                <w:trHeight w:val="601"/>
              </w:trPr>
              <w:tc>
                <w:tcPr>
                  <w:tcW w:w="5954" w:type="dxa"/>
                  <w:vAlign w:val="center"/>
                </w:tcPr>
                <w:p w:rsidR="005E6727" w:rsidRPr="00BF159E" w:rsidRDefault="005E6727" w:rsidP="005E6727">
                  <w:pPr>
                    <w:tabs>
                      <w:tab w:val="left" w:pos="1260"/>
                      <w:tab w:val="left" w:pos="1980"/>
                      <w:tab w:val="left" w:pos="2700"/>
                      <w:tab w:val="left" w:pos="3420"/>
                    </w:tabs>
                    <w:jc w:val="center"/>
                    <w:rPr>
                      <w:b/>
                      <w:sz w:val="22"/>
                      <w:lang w:eastAsia="en-GB"/>
                    </w:rPr>
                  </w:pPr>
                  <w:r w:rsidRPr="00BF159E">
                    <w:rPr>
                      <w:b/>
                      <w:sz w:val="22"/>
                      <w:lang w:eastAsia="en-GB"/>
                    </w:rPr>
                    <w:t>Net Revenue Budget 2016/17</w:t>
                  </w:r>
                </w:p>
              </w:tc>
              <w:tc>
                <w:tcPr>
                  <w:tcW w:w="1276" w:type="dxa"/>
                  <w:vAlign w:val="center"/>
                </w:tcPr>
                <w:p w:rsidR="005E6727" w:rsidRPr="00BF159E" w:rsidRDefault="005E6727" w:rsidP="002063C0">
                  <w:pPr>
                    <w:tabs>
                      <w:tab w:val="left" w:pos="1260"/>
                      <w:tab w:val="left" w:pos="1980"/>
                      <w:tab w:val="left" w:pos="2700"/>
                      <w:tab w:val="left" w:pos="3420"/>
                    </w:tabs>
                    <w:jc w:val="center"/>
                    <w:rPr>
                      <w:b/>
                      <w:sz w:val="22"/>
                      <w:lang w:eastAsia="en-GB"/>
                    </w:rPr>
                  </w:pPr>
                  <w:r w:rsidRPr="00BF159E">
                    <w:rPr>
                      <w:b/>
                      <w:sz w:val="22"/>
                      <w:lang w:eastAsia="en-GB"/>
                    </w:rPr>
                    <w:t>£</w:t>
                  </w:r>
                  <w:r w:rsidR="002063C0">
                    <w:rPr>
                      <w:b/>
                      <w:sz w:val="22"/>
                      <w:lang w:eastAsia="en-GB"/>
                    </w:rPr>
                    <w:t xml:space="preserve"> million</w:t>
                  </w:r>
                </w:p>
              </w:tc>
            </w:tr>
            <w:tr w:rsidR="005E6727" w:rsidRPr="00BF159E" w:rsidTr="005E6727">
              <w:trPr>
                <w:trHeight w:val="412"/>
              </w:trPr>
              <w:tc>
                <w:tcPr>
                  <w:tcW w:w="5954" w:type="dxa"/>
                  <w:vAlign w:val="center"/>
                </w:tcPr>
                <w:p w:rsidR="005E6727" w:rsidRPr="00BF159E" w:rsidRDefault="005E6727" w:rsidP="005E6727">
                  <w:pPr>
                    <w:tabs>
                      <w:tab w:val="left" w:pos="1260"/>
                      <w:tab w:val="left" w:pos="1980"/>
                      <w:tab w:val="left" w:pos="2700"/>
                      <w:tab w:val="left" w:pos="3420"/>
                    </w:tabs>
                    <w:ind w:right="-313"/>
                    <w:rPr>
                      <w:b/>
                      <w:sz w:val="22"/>
                      <w:lang w:eastAsia="en-GB"/>
                    </w:rPr>
                  </w:pPr>
                  <w:r w:rsidRPr="00BF159E">
                    <w:rPr>
                      <w:b/>
                      <w:sz w:val="22"/>
                      <w:lang w:eastAsia="en-GB"/>
                    </w:rPr>
                    <w:t>Original Net Revenue Budget</w:t>
                  </w:r>
                </w:p>
              </w:tc>
              <w:tc>
                <w:tcPr>
                  <w:tcW w:w="1276" w:type="dxa"/>
                  <w:vAlign w:val="center"/>
                </w:tcPr>
                <w:p w:rsidR="005E6727" w:rsidRPr="00BF159E" w:rsidRDefault="005E6727" w:rsidP="005E6727">
                  <w:pPr>
                    <w:tabs>
                      <w:tab w:val="left" w:pos="1260"/>
                      <w:tab w:val="left" w:pos="1980"/>
                      <w:tab w:val="left" w:pos="2700"/>
                      <w:tab w:val="left" w:pos="3420"/>
                    </w:tabs>
                    <w:jc w:val="right"/>
                    <w:rPr>
                      <w:sz w:val="22"/>
                      <w:lang w:eastAsia="en-GB"/>
                    </w:rPr>
                  </w:pPr>
                  <w:r w:rsidRPr="00BF159E">
                    <w:rPr>
                      <w:b/>
                      <w:sz w:val="22"/>
                      <w:lang w:eastAsia="en-GB"/>
                    </w:rPr>
                    <w:t>11.782</w:t>
                  </w:r>
                </w:p>
              </w:tc>
            </w:tr>
            <w:tr w:rsidR="005E6727" w:rsidRPr="00BF159E" w:rsidTr="005E6727">
              <w:trPr>
                <w:trHeight w:val="417"/>
              </w:trPr>
              <w:tc>
                <w:tcPr>
                  <w:tcW w:w="5954" w:type="dxa"/>
                  <w:vAlign w:val="center"/>
                </w:tcPr>
                <w:p w:rsidR="005E6727" w:rsidRPr="00BF159E" w:rsidRDefault="005E6727" w:rsidP="005E6727">
                  <w:pPr>
                    <w:tabs>
                      <w:tab w:val="left" w:pos="1260"/>
                      <w:tab w:val="left" w:pos="1980"/>
                      <w:tab w:val="left" w:pos="2700"/>
                      <w:tab w:val="left" w:pos="3420"/>
                    </w:tabs>
                    <w:ind w:right="1309"/>
                    <w:rPr>
                      <w:sz w:val="22"/>
                      <w:lang w:eastAsia="en-GB"/>
                    </w:rPr>
                  </w:pPr>
                  <w:r w:rsidRPr="00BF159E">
                    <w:rPr>
                      <w:sz w:val="22"/>
                      <w:lang w:eastAsia="en-GB"/>
                    </w:rPr>
                    <w:t>Variances Previously Reported</w:t>
                  </w:r>
                </w:p>
              </w:tc>
              <w:tc>
                <w:tcPr>
                  <w:tcW w:w="1276" w:type="dxa"/>
                  <w:vAlign w:val="center"/>
                </w:tcPr>
                <w:p w:rsidR="005E6727" w:rsidRPr="00BF159E" w:rsidRDefault="00320DE8" w:rsidP="005E6727">
                  <w:pPr>
                    <w:tabs>
                      <w:tab w:val="left" w:pos="1260"/>
                      <w:tab w:val="left" w:pos="1980"/>
                      <w:tab w:val="left" w:pos="2700"/>
                      <w:tab w:val="left" w:pos="3420"/>
                    </w:tabs>
                    <w:jc w:val="right"/>
                    <w:rPr>
                      <w:sz w:val="22"/>
                      <w:lang w:eastAsia="en-GB"/>
                    </w:rPr>
                  </w:pPr>
                  <w:r>
                    <w:rPr>
                      <w:sz w:val="22"/>
                      <w:lang w:eastAsia="en-GB"/>
                    </w:rPr>
                    <w:t>1.013</w:t>
                  </w:r>
                </w:p>
              </w:tc>
            </w:tr>
            <w:tr w:rsidR="00F56632" w:rsidRPr="00BF159E" w:rsidTr="005E6727">
              <w:trPr>
                <w:trHeight w:val="417"/>
              </w:trPr>
              <w:tc>
                <w:tcPr>
                  <w:tcW w:w="5954" w:type="dxa"/>
                  <w:vAlign w:val="center"/>
                </w:tcPr>
                <w:p w:rsidR="00F56632" w:rsidRPr="00F56632" w:rsidRDefault="00F56632" w:rsidP="005E6727">
                  <w:pPr>
                    <w:tabs>
                      <w:tab w:val="left" w:pos="1260"/>
                      <w:tab w:val="left" w:pos="1980"/>
                      <w:tab w:val="left" w:pos="2700"/>
                      <w:tab w:val="left" w:pos="3420"/>
                    </w:tabs>
                    <w:ind w:right="1309"/>
                    <w:rPr>
                      <w:b/>
                      <w:sz w:val="22"/>
                      <w:lang w:eastAsia="en-GB"/>
                    </w:rPr>
                  </w:pPr>
                  <w:r w:rsidRPr="00F56632">
                    <w:rPr>
                      <w:b/>
                      <w:sz w:val="22"/>
                      <w:lang w:eastAsia="en-GB"/>
                    </w:rPr>
                    <w:t>Latest Approved Budget</w:t>
                  </w:r>
                </w:p>
              </w:tc>
              <w:tc>
                <w:tcPr>
                  <w:tcW w:w="1276" w:type="dxa"/>
                  <w:vAlign w:val="center"/>
                </w:tcPr>
                <w:p w:rsidR="00F56632" w:rsidRPr="00F56632" w:rsidRDefault="00F56632" w:rsidP="005E6727">
                  <w:pPr>
                    <w:tabs>
                      <w:tab w:val="left" w:pos="1260"/>
                      <w:tab w:val="left" w:pos="1980"/>
                      <w:tab w:val="left" w:pos="2700"/>
                      <w:tab w:val="left" w:pos="3420"/>
                    </w:tabs>
                    <w:jc w:val="right"/>
                    <w:rPr>
                      <w:b/>
                      <w:sz w:val="22"/>
                      <w:lang w:eastAsia="en-GB"/>
                    </w:rPr>
                  </w:pPr>
                  <w:r w:rsidRPr="00F56632">
                    <w:rPr>
                      <w:b/>
                      <w:sz w:val="22"/>
                      <w:lang w:eastAsia="en-GB"/>
                    </w:rPr>
                    <w:t>12.795</w:t>
                  </w:r>
                </w:p>
              </w:tc>
            </w:tr>
            <w:tr w:rsidR="005E6727" w:rsidRPr="00BF159E" w:rsidTr="005E6727">
              <w:trPr>
                <w:trHeight w:val="409"/>
              </w:trPr>
              <w:tc>
                <w:tcPr>
                  <w:tcW w:w="5954" w:type="dxa"/>
                  <w:vAlign w:val="center"/>
                </w:tcPr>
                <w:p w:rsidR="005E6727" w:rsidRPr="00BF159E" w:rsidRDefault="00320DE8" w:rsidP="00320DE8">
                  <w:pPr>
                    <w:tabs>
                      <w:tab w:val="left" w:pos="1260"/>
                      <w:tab w:val="left" w:pos="1980"/>
                      <w:tab w:val="left" w:pos="2700"/>
                      <w:tab w:val="left" w:pos="3420"/>
                    </w:tabs>
                    <w:rPr>
                      <w:sz w:val="22"/>
                      <w:lang w:eastAsia="en-GB"/>
                    </w:rPr>
                  </w:pPr>
                  <w:r>
                    <w:rPr>
                      <w:sz w:val="22"/>
                      <w:lang w:eastAsia="en-GB"/>
                    </w:rPr>
                    <w:t>Service Variances Reported This Period (Quarter 3)</w:t>
                  </w:r>
                </w:p>
              </w:tc>
              <w:tc>
                <w:tcPr>
                  <w:tcW w:w="1276" w:type="dxa"/>
                  <w:vAlign w:val="center"/>
                </w:tcPr>
                <w:p w:rsidR="005E6727" w:rsidRPr="00BF159E" w:rsidRDefault="00320DE8" w:rsidP="005E6727">
                  <w:pPr>
                    <w:tabs>
                      <w:tab w:val="left" w:pos="1260"/>
                      <w:tab w:val="left" w:pos="1980"/>
                      <w:tab w:val="left" w:pos="2700"/>
                      <w:tab w:val="left" w:pos="3420"/>
                    </w:tabs>
                    <w:jc w:val="right"/>
                    <w:rPr>
                      <w:sz w:val="22"/>
                      <w:lang w:eastAsia="en-GB"/>
                    </w:rPr>
                  </w:pPr>
                  <w:r>
                    <w:rPr>
                      <w:sz w:val="22"/>
                      <w:lang w:eastAsia="en-GB"/>
                    </w:rPr>
                    <w:t>(0.050)</w:t>
                  </w:r>
                </w:p>
              </w:tc>
            </w:tr>
            <w:tr w:rsidR="005E6727" w:rsidRPr="00BF159E" w:rsidTr="005E6727">
              <w:trPr>
                <w:trHeight w:val="429"/>
              </w:trPr>
              <w:tc>
                <w:tcPr>
                  <w:tcW w:w="5954" w:type="dxa"/>
                  <w:vAlign w:val="center"/>
                </w:tcPr>
                <w:p w:rsidR="005E6727" w:rsidRPr="00320DE8" w:rsidRDefault="00320DE8" w:rsidP="005E6727">
                  <w:pPr>
                    <w:tabs>
                      <w:tab w:val="left" w:pos="1260"/>
                      <w:tab w:val="left" w:pos="1980"/>
                      <w:tab w:val="left" w:pos="2700"/>
                      <w:tab w:val="left" w:pos="3420"/>
                    </w:tabs>
                    <w:ind w:right="255"/>
                    <w:rPr>
                      <w:b/>
                      <w:sz w:val="22"/>
                      <w:lang w:eastAsia="en-GB"/>
                    </w:rPr>
                  </w:pPr>
                  <w:r>
                    <w:rPr>
                      <w:b/>
                      <w:sz w:val="22"/>
                      <w:lang w:eastAsia="en-GB"/>
                    </w:rPr>
                    <w:t>Net Expenditure Requirement</w:t>
                  </w:r>
                  <w:r w:rsidR="005E6727" w:rsidRPr="00320DE8">
                    <w:rPr>
                      <w:b/>
                      <w:sz w:val="22"/>
                      <w:lang w:eastAsia="en-GB"/>
                    </w:rPr>
                    <w:t xml:space="preserve"> </w:t>
                  </w:r>
                </w:p>
              </w:tc>
              <w:tc>
                <w:tcPr>
                  <w:tcW w:w="1276" w:type="dxa"/>
                  <w:vAlign w:val="center"/>
                </w:tcPr>
                <w:p w:rsidR="005E6727" w:rsidRPr="00320DE8" w:rsidRDefault="00320DE8" w:rsidP="005E6727">
                  <w:pPr>
                    <w:tabs>
                      <w:tab w:val="left" w:pos="1260"/>
                      <w:tab w:val="left" w:pos="1980"/>
                      <w:tab w:val="left" w:pos="2700"/>
                      <w:tab w:val="left" w:pos="3420"/>
                    </w:tabs>
                    <w:jc w:val="right"/>
                    <w:rPr>
                      <w:b/>
                      <w:sz w:val="22"/>
                      <w:lang w:eastAsia="en-GB"/>
                    </w:rPr>
                  </w:pPr>
                  <w:r w:rsidRPr="00320DE8">
                    <w:rPr>
                      <w:b/>
                      <w:sz w:val="22"/>
                      <w:lang w:eastAsia="en-GB"/>
                    </w:rPr>
                    <w:t>12.745</w:t>
                  </w:r>
                </w:p>
              </w:tc>
            </w:tr>
            <w:tr w:rsidR="005E6727" w:rsidRPr="00BF159E" w:rsidTr="005E6727">
              <w:trPr>
                <w:trHeight w:val="408"/>
              </w:trPr>
              <w:tc>
                <w:tcPr>
                  <w:tcW w:w="5954" w:type="dxa"/>
                  <w:vAlign w:val="center"/>
                </w:tcPr>
                <w:p w:rsidR="005E6727" w:rsidRPr="00BF159E" w:rsidRDefault="00320DE8" w:rsidP="00320DE8">
                  <w:pPr>
                    <w:tabs>
                      <w:tab w:val="left" w:pos="1260"/>
                      <w:tab w:val="left" w:pos="1980"/>
                      <w:tab w:val="left" w:pos="2700"/>
                      <w:tab w:val="left" w:pos="3420"/>
                    </w:tabs>
                    <w:rPr>
                      <w:b/>
                      <w:sz w:val="22"/>
                      <w:lang w:eastAsia="en-GB"/>
                    </w:rPr>
                  </w:pPr>
                  <w:r>
                    <w:rPr>
                      <w:sz w:val="22"/>
                      <w:lang w:eastAsia="en-GB"/>
                    </w:rPr>
                    <w:t>Funding Variance Reported This Period (Quarter 3)</w:t>
                  </w:r>
                </w:p>
              </w:tc>
              <w:tc>
                <w:tcPr>
                  <w:tcW w:w="1276" w:type="dxa"/>
                  <w:vAlign w:val="center"/>
                </w:tcPr>
                <w:p w:rsidR="005E6727" w:rsidRPr="008E6700" w:rsidRDefault="00320DE8" w:rsidP="00320DE8">
                  <w:pPr>
                    <w:tabs>
                      <w:tab w:val="left" w:pos="1260"/>
                      <w:tab w:val="left" w:pos="1980"/>
                      <w:tab w:val="left" w:pos="2700"/>
                      <w:tab w:val="left" w:pos="3420"/>
                    </w:tabs>
                    <w:jc w:val="right"/>
                    <w:rPr>
                      <w:sz w:val="22"/>
                      <w:lang w:eastAsia="en-GB"/>
                    </w:rPr>
                  </w:pPr>
                  <w:r>
                    <w:rPr>
                      <w:sz w:val="22"/>
                      <w:lang w:eastAsia="en-GB"/>
                    </w:rPr>
                    <w:t>(</w:t>
                  </w:r>
                  <w:r w:rsidR="005E6727" w:rsidRPr="008E6700">
                    <w:rPr>
                      <w:sz w:val="22"/>
                      <w:lang w:eastAsia="en-GB"/>
                    </w:rPr>
                    <w:t>0.</w:t>
                  </w:r>
                  <w:r>
                    <w:rPr>
                      <w:sz w:val="22"/>
                      <w:lang w:eastAsia="en-GB"/>
                    </w:rPr>
                    <w:t>273)</w:t>
                  </w:r>
                </w:p>
              </w:tc>
            </w:tr>
            <w:tr w:rsidR="00F56632" w:rsidRPr="00BF159E" w:rsidTr="005E6727">
              <w:trPr>
                <w:trHeight w:val="408"/>
              </w:trPr>
              <w:tc>
                <w:tcPr>
                  <w:tcW w:w="5954" w:type="dxa"/>
                  <w:vAlign w:val="center"/>
                </w:tcPr>
                <w:p w:rsidR="00F56632" w:rsidRPr="00F56632" w:rsidRDefault="00F56632" w:rsidP="00320DE8">
                  <w:pPr>
                    <w:tabs>
                      <w:tab w:val="left" w:pos="1260"/>
                      <w:tab w:val="left" w:pos="1980"/>
                      <w:tab w:val="left" w:pos="2700"/>
                      <w:tab w:val="left" w:pos="3420"/>
                    </w:tabs>
                    <w:rPr>
                      <w:b/>
                      <w:sz w:val="22"/>
                      <w:lang w:eastAsia="en-GB"/>
                    </w:rPr>
                  </w:pPr>
                  <w:r>
                    <w:rPr>
                      <w:b/>
                      <w:sz w:val="22"/>
                      <w:lang w:eastAsia="en-GB"/>
                    </w:rPr>
                    <w:t>Revised Net Revenue Budget</w:t>
                  </w:r>
                </w:p>
              </w:tc>
              <w:tc>
                <w:tcPr>
                  <w:tcW w:w="1276" w:type="dxa"/>
                  <w:vAlign w:val="center"/>
                </w:tcPr>
                <w:p w:rsidR="00F56632" w:rsidRPr="00F56632" w:rsidRDefault="00F56632" w:rsidP="00320DE8">
                  <w:pPr>
                    <w:tabs>
                      <w:tab w:val="left" w:pos="1260"/>
                      <w:tab w:val="left" w:pos="1980"/>
                      <w:tab w:val="left" w:pos="2700"/>
                      <w:tab w:val="left" w:pos="3420"/>
                    </w:tabs>
                    <w:jc w:val="right"/>
                    <w:rPr>
                      <w:b/>
                      <w:sz w:val="22"/>
                      <w:lang w:eastAsia="en-GB"/>
                    </w:rPr>
                  </w:pPr>
                  <w:r w:rsidRPr="00F56632">
                    <w:rPr>
                      <w:b/>
                      <w:sz w:val="22"/>
                      <w:lang w:eastAsia="en-GB"/>
                    </w:rPr>
                    <w:t>12.472</w:t>
                  </w:r>
                </w:p>
              </w:tc>
            </w:tr>
          </w:tbl>
          <w:p w:rsidR="005E6727" w:rsidRDefault="005E6727" w:rsidP="00926417">
            <w:pPr>
              <w:tabs>
                <w:tab w:val="left" w:pos="360"/>
                <w:tab w:val="left" w:pos="900"/>
              </w:tabs>
              <w:jc w:val="both"/>
              <w:rPr>
                <w:rFonts w:cs="Arial"/>
                <w:sz w:val="22"/>
                <w:szCs w:val="22"/>
              </w:rPr>
            </w:pPr>
          </w:p>
        </w:tc>
      </w:tr>
      <w:tr w:rsidR="00CF7499" w:rsidRPr="00CF7499" w:rsidTr="001E5BA7">
        <w:trPr>
          <w:gridBefore w:val="1"/>
          <w:wBefore w:w="34" w:type="dxa"/>
          <w:trHeight w:val="1013"/>
        </w:trPr>
        <w:tc>
          <w:tcPr>
            <w:cnfStyle w:val="001000000000" w:firstRow="0" w:lastRow="0" w:firstColumn="1" w:lastColumn="0" w:oddVBand="0" w:evenVBand="0" w:oddHBand="0" w:evenHBand="0" w:firstRowFirstColumn="0" w:firstRowLastColumn="0" w:lastRowFirstColumn="0" w:lastRowLastColumn="0"/>
            <w:tcW w:w="959" w:type="dxa"/>
          </w:tcPr>
          <w:p w:rsidR="005E6727" w:rsidRDefault="005E6727" w:rsidP="00C80E97">
            <w:pPr>
              <w:jc w:val="both"/>
              <w:rPr>
                <w:rFonts w:cs="Arial"/>
                <w:sz w:val="22"/>
                <w:szCs w:val="22"/>
              </w:rPr>
            </w:pPr>
          </w:p>
          <w:p w:rsidR="005E6727" w:rsidRDefault="005E6727" w:rsidP="00C80E97">
            <w:pPr>
              <w:jc w:val="both"/>
              <w:rPr>
                <w:rFonts w:cs="Arial"/>
                <w:sz w:val="22"/>
                <w:szCs w:val="22"/>
              </w:rPr>
            </w:pPr>
            <w:r>
              <w:rPr>
                <w:rFonts w:cs="Arial"/>
                <w:sz w:val="22"/>
                <w:szCs w:val="22"/>
              </w:rPr>
              <w:t>2.3</w:t>
            </w:r>
          </w:p>
          <w:p w:rsidR="005E6727" w:rsidRDefault="005E6727" w:rsidP="00C80E97">
            <w:pPr>
              <w:jc w:val="both"/>
              <w:rPr>
                <w:rFonts w:cs="Arial"/>
                <w:sz w:val="22"/>
                <w:szCs w:val="22"/>
              </w:rPr>
            </w:pPr>
          </w:p>
          <w:p w:rsidR="00B67F70" w:rsidRPr="007C1C6B" w:rsidRDefault="00B67F70" w:rsidP="00C80E97">
            <w:pPr>
              <w:jc w:val="both"/>
              <w:rPr>
                <w:rFonts w:cs="Arial"/>
                <w:sz w:val="22"/>
                <w:szCs w:val="22"/>
              </w:rPr>
            </w:pPr>
          </w:p>
          <w:p w:rsidR="00B67F70" w:rsidRPr="007C1C6B" w:rsidRDefault="00B67F70" w:rsidP="00C80E97">
            <w:pPr>
              <w:rPr>
                <w:rFonts w:cs="Arial"/>
                <w:sz w:val="22"/>
                <w:szCs w:val="22"/>
              </w:rPr>
            </w:pPr>
          </w:p>
          <w:p w:rsidR="00B67F70" w:rsidRPr="007C1C6B" w:rsidRDefault="00B67F70" w:rsidP="00BF159E">
            <w:pPr>
              <w:ind w:right="2"/>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BF159E" w:rsidRDefault="00BF159E" w:rsidP="00926417">
            <w:pPr>
              <w:tabs>
                <w:tab w:val="left" w:pos="360"/>
                <w:tab w:val="left" w:pos="900"/>
              </w:tabs>
              <w:jc w:val="both"/>
              <w:rPr>
                <w:rFonts w:cs="Arial"/>
                <w:sz w:val="22"/>
                <w:szCs w:val="22"/>
              </w:rPr>
            </w:pPr>
          </w:p>
          <w:p w:rsidR="00353FEC" w:rsidRDefault="00E675BC" w:rsidP="00BF4BEF">
            <w:pPr>
              <w:tabs>
                <w:tab w:val="left" w:pos="1260"/>
                <w:tab w:val="left" w:pos="1980"/>
                <w:tab w:val="left" w:pos="2700"/>
                <w:tab w:val="left" w:pos="3420"/>
              </w:tabs>
              <w:jc w:val="both"/>
              <w:rPr>
                <w:b/>
                <w:sz w:val="22"/>
                <w:lang w:eastAsia="en-GB"/>
              </w:rPr>
            </w:pPr>
            <w:r>
              <w:rPr>
                <w:sz w:val="22"/>
                <w:lang w:eastAsia="en-GB"/>
              </w:rPr>
              <w:t>At Quarter 3 (31 December 2016) t</w:t>
            </w:r>
            <w:r w:rsidR="00BF159E" w:rsidRPr="00BF159E">
              <w:rPr>
                <w:sz w:val="22"/>
                <w:lang w:eastAsia="en-GB"/>
              </w:rPr>
              <w:t xml:space="preserve">he </w:t>
            </w:r>
            <w:r w:rsidR="00835709">
              <w:rPr>
                <w:sz w:val="22"/>
                <w:lang w:eastAsia="en-GB"/>
              </w:rPr>
              <w:t>revised</w:t>
            </w:r>
            <w:r w:rsidR="00321417">
              <w:rPr>
                <w:sz w:val="22"/>
                <w:lang w:eastAsia="en-GB"/>
              </w:rPr>
              <w:t xml:space="preserve"> service</w:t>
            </w:r>
            <w:r w:rsidR="00835709">
              <w:rPr>
                <w:sz w:val="22"/>
                <w:lang w:eastAsia="en-GB"/>
              </w:rPr>
              <w:t xml:space="preserve"> budget</w:t>
            </w:r>
            <w:r>
              <w:rPr>
                <w:sz w:val="22"/>
                <w:lang w:eastAsia="en-GB"/>
              </w:rPr>
              <w:t>s show an e</w:t>
            </w:r>
            <w:r w:rsidR="00BF159E" w:rsidRPr="002357BB">
              <w:rPr>
                <w:sz w:val="22"/>
                <w:lang w:eastAsia="en-GB"/>
              </w:rPr>
              <w:t xml:space="preserve">stimated </w:t>
            </w:r>
            <w:r w:rsidR="00321417" w:rsidRPr="002357BB">
              <w:rPr>
                <w:sz w:val="22"/>
                <w:lang w:eastAsia="en-GB"/>
              </w:rPr>
              <w:t>favourable</w:t>
            </w:r>
            <w:r w:rsidR="00321417">
              <w:rPr>
                <w:sz w:val="22"/>
                <w:lang w:eastAsia="en-GB"/>
              </w:rPr>
              <w:t xml:space="preserve"> </w:t>
            </w:r>
            <w:r w:rsidR="00BF159E" w:rsidRPr="002357BB">
              <w:rPr>
                <w:sz w:val="22"/>
                <w:lang w:eastAsia="en-GB"/>
              </w:rPr>
              <w:t xml:space="preserve">variance of </w:t>
            </w:r>
            <w:r w:rsidR="00BF159E" w:rsidRPr="002357BB">
              <w:rPr>
                <w:b/>
                <w:sz w:val="22"/>
                <w:lang w:eastAsia="en-GB"/>
              </w:rPr>
              <w:t>£0</w:t>
            </w:r>
            <w:r w:rsidR="00F70683" w:rsidRPr="002357BB">
              <w:rPr>
                <w:b/>
                <w:sz w:val="22"/>
                <w:lang w:eastAsia="en-GB"/>
              </w:rPr>
              <w:t>.</w:t>
            </w:r>
            <w:r w:rsidR="00321417">
              <w:rPr>
                <w:b/>
                <w:sz w:val="22"/>
                <w:lang w:eastAsia="en-GB"/>
              </w:rPr>
              <w:t>050 million</w:t>
            </w:r>
            <w:r w:rsidR="00321417" w:rsidRPr="00BF159E">
              <w:rPr>
                <w:sz w:val="22"/>
                <w:lang w:eastAsia="en-GB"/>
              </w:rPr>
              <w:t>.</w:t>
            </w:r>
            <w:r w:rsidR="00321417">
              <w:rPr>
                <w:sz w:val="22"/>
                <w:lang w:eastAsia="en-GB"/>
              </w:rPr>
              <w:t xml:space="preserve"> </w:t>
            </w:r>
            <w:r w:rsidR="00321417" w:rsidRPr="00BF159E">
              <w:rPr>
                <w:sz w:val="22"/>
                <w:lang w:eastAsia="en-GB"/>
              </w:rPr>
              <w:t xml:space="preserve"> </w:t>
            </w:r>
            <w:r w:rsidR="00321417">
              <w:rPr>
                <w:sz w:val="22"/>
                <w:lang w:eastAsia="en-GB"/>
              </w:rPr>
              <w:t xml:space="preserve">In addition, the Council has recently received notification </w:t>
            </w:r>
            <w:r>
              <w:rPr>
                <w:sz w:val="22"/>
                <w:lang w:eastAsia="en-GB"/>
              </w:rPr>
              <w:t xml:space="preserve">of a further distribution of </w:t>
            </w:r>
            <w:r w:rsidR="00321417">
              <w:rPr>
                <w:sz w:val="22"/>
                <w:lang w:eastAsia="en-GB"/>
              </w:rPr>
              <w:t xml:space="preserve">New Homes Bonus grant funding </w:t>
            </w:r>
            <w:r>
              <w:rPr>
                <w:sz w:val="22"/>
                <w:lang w:eastAsia="en-GB"/>
              </w:rPr>
              <w:t>for 2016/17</w:t>
            </w:r>
            <w:r w:rsidR="00321417">
              <w:rPr>
                <w:sz w:val="22"/>
                <w:lang w:eastAsia="en-GB"/>
              </w:rPr>
              <w:t xml:space="preserve"> resulting in additional windfall income of </w:t>
            </w:r>
            <w:r w:rsidR="00321417" w:rsidRPr="00321417">
              <w:rPr>
                <w:b/>
                <w:sz w:val="22"/>
                <w:lang w:eastAsia="en-GB"/>
              </w:rPr>
              <w:t>£0.273 million</w:t>
            </w:r>
            <w:r w:rsidR="00321417">
              <w:rPr>
                <w:sz w:val="22"/>
                <w:lang w:eastAsia="en-GB"/>
              </w:rPr>
              <w:t xml:space="preserve">. </w:t>
            </w:r>
            <w:r>
              <w:rPr>
                <w:sz w:val="22"/>
                <w:lang w:eastAsia="en-GB"/>
              </w:rPr>
              <w:t xml:space="preserve"> </w:t>
            </w:r>
            <w:r w:rsidR="00321417">
              <w:rPr>
                <w:sz w:val="22"/>
                <w:lang w:eastAsia="en-GB"/>
              </w:rPr>
              <w:t xml:space="preserve">This increases the favourable variance to </w:t>
            </w:r>
            <w:r w:rsidR="00321417" w:rsidRPr="00321417">
              <w:rPr>
                <w:b/>
                <w:sz w:val="22"/>
                <w:lang w:eastAsia="en-GB"/>
              </w:rPr>
              <w:t>£0.323 million</w:t>
            </w:r>
            <w:r w:rsidR="00321417">
              <w:rPr>
                <w:sz w:val="22"/>
                <w:lang w:eastAsia="en-GB"/>
              </w:rPr>
              <w:t>.</w:t>
            </w:r>
          </w:p>
          <w:p w:rsidR="0053567A" w:rsidRDefault="0053567A" w:rsidP="00BF4BEF">
            <w:pPr>
              <w:tabs>
                <w:tab w:val="left" w:pos="1260"/>
                <w:tab w:val="left" w:pos="1980"/>
                <w:tab w:val="left" w:pos="2700"/>
                <w:tab w:val="left" w:pos="3420"/>
              </w:tabs>
              <w:jc w:val="both"/>
              <w:rPr>
                <w:b/>
                <w:sz w:val="22"/>
                <w:lang w:eastAsia="en-GB"/>
              </w:rPr>
            </w:pPr>
          </w:p>
          <w:p w:rsidR="0053567A" w:rsidRDefault="0053567A" w:rsidP="00BF4BEF">
            <w:pPr>
              <w:tabs>
                <w:tab w:val="left" w:pos="1260"/>
                <w:tab w:val="left" w:pos="1980"/>
                <w:tab w:val="left" w:pos="2700"/>
                <w:tab w:val="left" w:pos="3420"/>
              </w:tabs>
              <w:jc w:val="both"/>
              <w:rPr>
                <w:sz w:val="22"/>
                <w:lang w:eastAsia="en-GB"/>
              </w:rPr>
            </w:pPr>
            <w:r>
              <w:rPr>
                <w:b/>
                <w:sz w:val="22"/>
                <w:lang w:eastAsia="en-GB"/>
              </w:rPr>
              <w:t xml:space="preserve">Appendix </w:t>
            </w:r>
            <w:r w:rsidR="002357BB">
              <w:rPr>
                <w:b/>
                <w:sz w:val="22"/>
                <w:lang w:eastAsia="en-GB"/>
              </w:rPr>
              <w:t>2</w:t>
            </w:r>
            <w:r>
              <w:rPr>
                <w:b/>
                <w:sz w:val="22"/>
                <w:lang w:eastAsia="en-GB"/>
              </w:rPr>
              <w:t xml:space="preserve"> </w:t>
            </w:r>
            <w:r w:rsidR="002357BB" w:rsidRPr="002357BB">
              <w:rPr>
                <w:sz w:val="22"/>
                <w:lang w:eastAsia="en-GB"/>
              </w:rPr>
              <w:t>details each service committee’s net direct revenue budgets over the medium term</w:t>
            </w:r>
            <w:r w:rsidR="002357BB">
              <w:rPr>
                <w:sz w:val="22"/>
                <w:lang w:eastAsia="en-GB"/>
              </w:rPr>
              <w:t>.</w:t>
            </w:r>
            <w:r w:rsidRPr="002357BB">
              <w:rPr>
                <w:sz w:val="22"/>
                <w:lang w:eastAsia="en-GB"/>
              </w:rPr>
              <w:t xml:space="preserve"> </w:t>
            </w:r>
          </w:p>
          <w:p w:rsidR="00F56632" w:rsidRDefault="00F56632" w:rsidP="00BF4BEF">
            <w:pPr>
              <w:tabs>
                <w:tab w:val="left" w:pos="1260"/>
                <w:tab w:val="left" w:pos="1980"/>
                <w:tab w:val="left" w:pos="2700"/>
                <w:tab w:val="left" w:pos="3420"/>
              </w:tabs>
              <w:jc w:val="both"/>
              <w:rPr>
                <w:b/>
                <w:sz w:val="22"/>
                <w:lang w:eastAsia="en-GB"/>
              </w:rPr>
            </w:pPr>
          </w:p>
          <w:p w:rsidR="00E43629" w:rsidRDefault="00BF159E" w:rsidP="00BF4BEF">
            <w:pPr>
              <w:tabs>
                <w:tab w:val="left" w:pos="1260"/>
                <w:tab w:val="left" w:pos="1980"/>
                <w:tab w:val="left" w:pos="2700"/>
                <w:tab w:val="left" w:pos="3420"/>
              </w:tabs>
              <w:jc w:val="both"/>
              <w:rPr>
                <w:sz w:val="22"/>
                <w:lang w:eastAsia="en-GB"/>
              </w:rPr>
            </w:pPr>
            <w:r w:rsidRPr="00BF159E">
              <w:rPr>
                <w:sz w:val="22"/>
                <w:lang w:eastAsia="en-GB"/>
              </w:rPr>
              <w:t>The table below shows the net direct expenditure budgets</w:t>
            </w:r>
            <w:r w:rsidR="00E675BC">
              <w:rPr>
                <w:sz w:val="22"/>
                <w:lang w:eastAsia="en-GB"/>
              </w:rPr>
              <w:t xml:space="preserve"> (after </w:t>
            </w:r>
            <w:r w:rsidR="00F56632">
              <w:rPr>
                <w:sz w:val="22"/>
                <w:lang w:eastAsia="en-GB"/>
              </w:rPr>
              <w:t>removing non</w:t>
            </w:r>
            <w:r w:rsidR="00E675BC">
              <w:rPr>
                <w:sz w:val="22"/>
                <w:lang w:eastAsia="en-GB"/>
              </w:rPr>
              <w:t>-service costs)</w:t>
            </w:r>
            <w:r w:rsidRPr="00BF159E">
              <w:rPr>
                <w:sz w:val="22"/>
                <w:lang w:eastAsia="en-GB"/>
              </w:rPr>
              <w:t xml:space="preserve">, </w:t>
            </w:r>
            <w:r w:rsidR="00E675BC">
              <w:rPr>
                <w:sz w:val="22"/>
                <w:lang w:eastAsia="en-GB"/>
              </w:rPr>
              <w:t xml:space="preserve">actuals to date, </w:t>
            </w:r>
            <w:r w:rsidR="007469DC">
              <w:rPr>
                <w:sz w:val="22"/>
                <w:lang w:eastAsia="en-GB"/>
              </w:rPr>
              <w:t>revised budget</w:t>
            </w:r>
            <w:r w:rsidRPr="00BF159E">
              <w:rPr>
                <w:sz w:val="22"/>
                <w:lang w:eastAsia="en-GB"/>
              </w:rPr>
              <w:t xml:space="preserve"> and variance for each service committee.</w:t>
            </w:r>
          </w:p>
          <w:p w:rsidR="00F56632" w:rsidRDefault="00F56632" w:rsidP="00BF4BEF">
            <w:pPr>
              <w:tabs>
                <w:tab w:val="left" w:pos="1260"/>
                <w:tab w:val="left" w:pos="1980"/>
                <w:tab w:val="left" w:pos="2700"/>
                <w:tab w:val="left" w:pos="3420"/>
              </w:tabs>
              <w:jc w:val="both"/>
              <w:rPr>
                <w:sz w:val="22"/>
                <w:lang w:eastAsia="en-GB"/>
              </w:rPr>
            </w:pPr>
          </w:p>
          <w:p w:rsidR="00F56632" w:rsidRDefault="00F56632" w:rsidP="00BF4BEF">
            <w:pPr>
              <w:tabs>
                <w:tab w:val="left" w:pos="1260"/>
                <w:tab w:val="left" w:pos="1980"/>
                <w:tab w:val="left" w:pos="2700"/>
                <w:tab w:val="left" w:pos="3420"/>
              </w:tabs>
              <w:jc w:val="both"/>
              <w:rPr>
                <w:sz w:val="22"/>
                <w:lang w:eastAsia="en-GB"/>
              </w:rPr>
            </w:pPr>
          </w:p>
          <w:p w:rsidR="00323EA2" w:rsidRDefault="00323EA2" w:rsidP="00BF4BEF">
            <w:pPr>
              <w:tabs>
                <w:tab w:val="left" w:pos="1260"/>
                <w:tab w:val="left" w:pos="1980"/>
                <w:tab w:val="left" w:pos="2700"/>
                <w:tab w:val="left" w:pos="3420"/>
              </w:tabs>
              <w:jc w:val="both"/>
              <w:rPr>
                <w:sz w:val="22"/>
                <w:lang w:eastAsia="en-GB"/>
              </w:rPr>
            </w:pPr>
          </w:p>
          <w:p w:rsidR="00F56632" w:rsidRDefault="00F56632" w:rsidP="00BF4BEF">
            <w:pPr>
              <w:tabs>
                <w:tab w:val="left" w:pos="1260"/>
                <w:tab w:val="left" w:pos="1980"/>
                <w:tab w:val="left" w:pos="2700"/>
                <w:tab w:val="left" w:pos="3420"/>
              </w:tabs>
              <w:jc w:val="both"/>
              <w:rPr>
                <w:sz w:val="22"/>
                <w:lang w:eastAsia="en-GB"/>
              </w:rPr>
            </w:pPr>
          </w:p>
          <w:p w:rsidR="00427E4A" w:rsidRPr="00BF159E" w:rsidRDefault="00427E4A" w:rsidP="00BF4BEF">
            <w:pPr>
              <w:tabs>
                <w:tab w:val="left" w:pos="1260"/>
                <w:tab w:val="left" w:pos="1980"/>
                <w:tab w:val="left" w:pos="2700"/>
                <w:tab w:val="left" w:pos="3420"/>
              </w:tabs>
              <w:jc w:val="both"/>
              <w:rPr>
                <w:sz w:val="22"/>
                <w:lang w:eastAsia="en-GB"/>
              </w:rPr>
            </w:pPr>
          </w:p>
          <w:p w:rsidR="005E6727" w:rsidRPr="00BF159E" w:rsidRDefault="005E6727" w:rsidP="00BF159E">
            <w:pPr>
              <w:tabs>
                <w:tab w:val="left" w:pos="1260"/>
                <w:tab w:val="left" w:pos="1980"/>
                <w:tab w:val="left" w:pos="2700"/>
                <w:tab w:val="left" w:pos="3420"/>
              </w:tabs>
              <w:ind w:left="1267" w:hanging="1267"/>
              <w:jc w:val="both"/>
              <w:rPr>
                <w:rFonts w:cs="Arial"/>
                <w:sz w:val="22"/>
                <w:szCs w:val="22"/>
                <w:lang w:eastAsia="en-GB"/>
              </w:rPr>
            </w:pPr>
          </w:p>
          <w:tbl>
            <w:tblPr>
              <w:tblW w:w="8930" w:type="dxa"/>
              <w:tblLayout w:type="fixed"/>
              <w:tblLook w:val="04A0" w:firstRow="1" w:lastRow="0" w:firstColumn="1" w:lastColumn="0" w:noHBand="0" w:noVBand="1"/>
            </w:tblPr>
            <w:tblGrid>
              <w:gridCol w:w="4252"/>
              <w:gridCol w:w="1134"/>
              <w:gridCol w:w="1134"/>
              <w:gridCol w:w="1134"/>
              <w:gridCol w:w="1276"/>
            </w:tblGrid>
            <w:tr w:rsidR="00BF159E" w:rsidRPr="00BF159E" w:rsidTr="00B313B0">
              <w:trPr>
                <w:trHeight w:val="293"/>
              </w:trPr>
              <w:tc>
                <w:tcPr>
                  <w:tcW w:w="8930" w:type="dxa"/>
                  <w:gridSpan w:val="5"/>
                  <w:vMerge w:val="restart"/>
                  <w:tcBorders>
                    <w:top w:val="single" w:sz="4" w:space="0" w:color="auto"/>
                    <w:left w:val="single" w:sz="4" w:space="0" w:color="auto"/>
                    <w:bottom w:val="nil"/>
                    <w:right w:val="single" w:sz="4" w:space="0" w:color="000000"/>
                  </w:tcBorders>
                  <w:vAlign w:val="center"/>
                  <w:hideMark/>
                </w:tcPr>
                <w:p w:rsidR="00BF159E" w:rsidRPr="00BF159E" w:rsidRDefault="00BF159E" w:rsidP="008E6700">
                  <w:pPr>
                    <w:ind w:left="-896"/>
                    <w:jc w:val="center"/>
                    <w:rPr>
                      <w:rFonts w:cs="Arial"/>
                      <w:b/>
                      <w:bCs/>
                      <w:sz w:val="22"/>
                      <w:szCs w:val="22"/>
                      <w:lang w:eastAsia="en-GB"/>
                    </w:rPr>
                  </w:pPr>
                  <w:r w:rsidRPr="00BF159E">
                    <w:rPr>
                      <w:rFonts w:cs="Arial"/>
                      <w:b/>
                      <w:bCs/>
                      <w:sz w:val="22"/>
                      <w:szCs w:val="22"/>
                      <w:lang w:eastAsia="en-GB"/>
                    </w:rPr>
                    <w:lastRenderedPageBreak/>
                    <w:t>2016/17 Revenue  Account – General Fund Summary</w:t>
                  </w:r>
                </w:p>
              </w:tc>
            </w:tr>
            <w:tr w:rsidR="00BF159E" w:rsidRPr="00BF159E" w:rsidTr="00B313B0">
              <w:trPr>
                <w:trHeight w:val="573"/>
              </w:trPr>
              <w:tc>
                <w:tcPr>
                  <w:tcW w:w="8930" w:type="dxa"/>
                  <w:gridSpan w:val="5"/>
                  <w:vMerge/>
                  <w:tcBorders>
                    <w:top w:val="single" w:sz="4" w:space="0" w:color="auto"/>
                    <w:left w:val="single" w:sz="4" w:space="0" w:color="auto"/>
                    <w:bottom w:val="nil"/>
                    <w:right w:val="single" w:sz="4" w:space="0" w:color="000000"/>
                  </w:tcBorders>
                  <w:vAlign w:val="center"/>
                  <w:hideMark/>
                </w:tcPr>
                <w:p w:rsidR="00BF159E" w:rsidRPr="00BF159E" w:rsidRDefault="00BF159E" w:rsidP="00BF159E">
                  <w:pPr>
                    <w:rPr>
                      <w:rFonts w:cs="Arial"/>
                      <w:b/>
                      <w:bCs/>
                      <w:sz w:val="22"/>
                      <w:szCs w:val="22"/>
                      <w:lang w:eastAsia="en-GB"/>
                    </w:rPr>
                  </w:pPr>
                </w:p>
              </w:tc>
            </w:tr>
            <w:tr w:rsidR="00E675BC" w:rsidRPr="00BF159E" w:rsidTr="00B313B0">
              <w:trPr>
                <w:trHeight w:val="978"/>
              </w:trPr>
              <w:tc>
                <w:tcPr>
                  <w:tcW w:w="425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675BC" w:rsidRPr="00BF159E" w:rsidRDefault="00E675BC" w:rsidP="008E6700">
                  <w:pPr>
                    <w:ind w:left="-471"/>
                    <w:jc w:val="center"/>
                    <w:rPr>
                      <w:rFonts w:cs="Arial"/>
                      <w:b/>
                      <w:bCs/>
                      <w:sz w:val="22"/>
                      <w:szCs w:val="22"/>
                      <w:lang w:eastAsia="en-GB"/>
                    </w:rPr>
                  </w:pPr>
                  <w:r w:rsidRPr="00BF159E">
                    <w:rPr>
                      <w:rFonts w:cs="Arial"/>
                      <w:b/>
                      <w:bCs/>
                      <w:sz w:val="22"/>
                      <w:szCs w:val="22"/>
                      <w:lang w:eastAsia="en-GB"/>
                    </w:rPr>
                    <w:t>Service Area</w:t>
                  </w:r>
                </w:p>
              </w:tc>
              <w:tc>
                <w:tcPr>
                  <w:tcW w:w="1134" w:type="dxa"/>
                  <w:tcBorders>
                    <w:top w:val="single" w:sz="4" w:space="0" w:color="auto"/>
                    <w:left w:val="nil"/>
                    <w:bottom w:val="nil"/>
                    <w:right w:val="single" w:sz="4" w:space="0" w:color="auto"/>
                  </w:tcBorders>
                  <w:shd w:val="clear" w:color="auto" w:fill="auto"/>
                  <w:vAlign w:val="center"/>
                  <w:hideMark/>
                </w:tcPr>
                <w:p w:rsidR="00E675BC" w:rsidRPr="00BF159E" w:rsidRDefault="002415D6" w:rsidP="00BF159E">
                  <w:pPr>
                    <w:jc w:val="center"/>
                    <w:rPr>
                      <w:rFonts w:cs="Arial"/>
                      <w:b/>
                      <w:bCs/>
                      <w:sz w:val="22"/>
                      <w:szCs w:val="22"/>
                      <w:lang w:eastAsia="en-GB"/>
                    </w:rPr>
                  </w:pPr>
                  <w:r>
                    <w:rPr>
                      <w:rFonts w:cs="Arial"/>
                      <w:b/>
                      <w:bCs/>
                      <w:sz w:val="22"/>
                      <w:szCs w:val="22"/>
                      <w:lang w:eastAsia="en-GB"/>
                    </w:rPr>
                    <w:t xml:space="preserve"> Latest </w:t>
                  </w:r>
                  <w:r w:rsidR="00E675BC" w:rsidRPr="00BF159E">
                    <w:rPr>
                      <w:rFonts w:cs="Arial"/>
                      <w:b/>
                      <w:bCs/>
                      <w:sz w:val="22"/>
                      <w:szCs w:val="22"/>
                      <w:lang w:eastAsia="en-GB"/>
                    </w:rPr>
                    <w:t xml:space="preserve">Budget </w:t>
                  </w:r>
                </w:p>
              </w:tc>
              <w:tc>
                <w:tcPr>
                  <w:tcW w:w="1134" w:type="dxa"/>
                  <w:tcBorders>
                    <w:top w:val="single" w:sz="4" w:space="0" w:color="auto"/>
                    <w:left w:val="nil"/>
                    <w:bottom w:val="nil"/>
                    <w:right w:val="single" w:sz="4" w:space="0" w:color="auto"/>
                  </w:tcBorders>
                </w:tcPr>
                <w:p w:rsidR="00E675BC" w:rsidRPr="00BF159E" w:rsidRDefault="00E675BC" w:rsidP="00835709">
                  <w:pPr>
                    <w:jc w:val="center"/>
                    <w:rPr>
                      <w:rFonts w:cs="Arial"/>
                      <w:b/>
                      <w:bCs/>
                      <w:sz w:val="22"/>
                      <w:szCs w:val="22"/>
                      <w:lang w:eastAsia="en-GB"/>
                    </w:rPr>
                  </w:pPr>
                  <w:r w:rsidRPr="00BF159E">
                    <w:rPr>
                      <w:rFonts w:cs="Arial"/>
                      <w:b/>
                      <w:bCs/>
                      <w:sz w:val="22"/>
                      <w:szCs w:val="22"/>
                      <w:lang w:eastAsia="en-GB"/>
                    </w:rPr>
                    <w:t xml:space="preserve">ActualsTo Period </w:t>
                  </w:r>
                  <w:r>
                    <w:rPr>
                      <w:rFonts w:cs="Arial"/>
                      <w:b/>
                      <w:bCs/>
                      <w:sz w:val="22"/>
                      <w:szCs w:val="22"/>
                      <w:lang w:eastAsia="en-GB"/>
                    </w:rPr>
                    <w:t>9</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E675BC" w:rsidRPr="00BF159E" w:rsidRDefault="00E675BC" w:rsidP="00835709">
                  <w:pPr>
                    <w:jc w:val="center"/>
                    <w:rPr>
                      <w:rFonts w:cs="Arial"/>
                      <w:b/>
                      <w:bCs/>
                      <w:sz w:val="22"/>
                      <w:szCs w:val="22"/>
                      <w:lang w:eastAsia="en-GB"/>
                    </w:rPr>
                  </w:pPr>
                  <w:r w:rsidRPr="00BF159E">
                    <w:rPr>
                      <w:rFonts w:cs="Arial"/>
                      <w:b/>
                      <w:bCs/>
                      <w:sz w:val="22"/>
                      <w:szCs w:val="22"/>
                      <w:lang w:eastAsia="en-GB"/>
                    </w:rPr>
                    <w:t xml:space="preserve"> </w:t>
                  </w:r>
                  <w:r>
                    <w:rPr>
                      <w:rFonts w:cs="Arial"/>
                      <w:b/>
                      <w:bCs/>
                      <w:sz w:val="22"/>
                      <w:szCs w:val="22"/>
                      <w:lang w:eastAsia="en-GB"/>
                    </w:rPr>
                    <w:t>Revised Budget</w:t>
                  </w:r>
                  <w:r w:rsidRPr="00BF159E">
                    <w:rPr>
                      <w:rFonts w:cs="Arial"/>
                      <w:b/>
                      <w:bCs/>
                      <w:sz w:val="22"/>
                      <w:szCs w:val="22"/>
                      <w:lang w:eastAsia="en-GB"/>
                    </w:rPr>
                    <w:t xml:space="preserve"> </w:t>
                  </w:r>
                </w:p>
              </w:tc>
              <w:tc>
                <w:tcPr>
                  <w:tcW w:w="1276" w:type="dxa"/>
                  <w:tcBorders>
                    <w:top w:val="single" w:sz="4" w:space="0" w:color="auto"/>
                    <w:left w:val="nil"/>
                    <w:bottom w:val="nil"/>
                    <w:right w:val="single" w:sz="4" w:space="0" w:color="auto"/>
                  </w:tcBorders>
                  <w:shd w:val="clear" w:color="auto" w:fill="auto"/>
                  <w:vAlign w:val="center"/>
                  <w:hideMark/>
                </w:tcPr>
                <w:p w:rsidR="00E675BC" w:rsidRPr="00BF159E" w:rsidRDefault="00E675BC" w:rsidP="00E43629">
                  <w:pPr>
                    <w:jc w:val="center"/>
                    <w:rPr>
                      <w:rFonts w:cs="Arial"/>
                      <w:b/>
                      <w:bCs/>
                      <w:sz w:val="22"/>
                      <w:szCs w:val="22"/>
                      <w:lang w:eastAsia="en-GB"/>
                    </w:rPr>
                  </w:pPr>
                  <w:r w:rsidRPr="00BF159E">
                    <w:rPr>
                      <w:rFonts w:cs="Arial"/>
                      <w:b/>
                      <w:bCs/>
                      <w:sz w:val="22"/>
                      <w:szCs w:val="22"/>
                      <w:lang w:eastAsia="en-GB"/>
                    </w:rPr>
                    <w:t xml:space="preserve"> Variance</w:t>
                  </w:r>
                </w:p>
              </w:tc>
            </w:tr>
            <w:tr w:rsidR="00E675BC" w:rsidRPr="00BF159E" w:rsidTr="00B313B0">
              <w:trPr>
                <w:trHeight w:val="60"/>
              </w:trPr>
              <w:tc>
                <w:tcPr>
                  <w:tcW w:w="4252" w:type="dxa"/>
                  <w:vMerge/>
                  <w:tcBorders>
                    <w:top w:val="single" w:sz="4" w:space="0" w:color="auto"/>
                    <w:left w:val="single" w:sz="4" w:space="0" w:color="auto"/>
                    <w:bottom w:val="single" w:sz="4" w:space="0" w:color="000000"/>
                    <w:right w:val="nil"/>
                  </w:tcBorders>
                  <w:vAlign w:val="center"/>
                  <w:hideMark/>
                </w:tcPr>
                <w:p w:rsidR="00E675BC" w:rsidRPr="00BF159E" w:rsidRDefault="00E675BC" w:rsidP="00BF159E">
                  <w:pPr>
                    <w:rPr>
                      <w:rFonts w:cs="Arial"/>
                      <w:b/>
                      <w:bCs/>
                      <w:sz w:val="22"/>
                      <w:szCs w:val="22"/>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rsidR="00E675BC" w:rsidRPr="00BF159E" w:rsidRDefault="00E675BC" w:rsidP="00BF159E">
                  <w:pPr>
                    <w:jc w:val="center"/>
                    <w:rPr>
                      <w:rFonts w:cs="Arial"/>
                      <w:b/>
                      <w:bCs/>
                      <w:sz w:val="22"/>
                      <w:szCs w:val="22"/>
                      <w:lang w:eastAsia="en-GB"/>
                    </w:rPr>
                  </w:pPr>
                  <w:r w:rsidRPr="00BF159E">
                    <w:rPr>
                      <w:rFonts w:cs="Arial"/>
                      <w:b/>
                      <w:bCs/>
                      <w:sz w:val="22"/>
                      <w:szCs w:val="22"/>
                      <w:lang w:eastAsia="en-GB"/>
                    </w:rPr>
                    <w:t xml:space="preserve"> £000 </w:t>
                  </w:r>
                </w:p>
              </w:tc>
              <w:tc>
                <w:tcPr>
                  <w:tcW w:w="1134" w:type="dxa"/>
                  <w:tcBorders>
                    <w:top w:val="nil"/>
                    <w:left w:val="nil"/>
                    <w:bottom w:val="single" w:sz="4" w:space="0" w:color="auto"/>
                    <w:right w:val="single" w:sz="4" w:space="0" w:color="auto"/>
                  </w:tcBorders>
                </w:tcPr>
                <w:p w:rsidR="00E675BC" w:rsidRPr="00BF159E" w:rsidRDefault="00E675BC" w:rsidP="00BF159E">
                  <w:pPr>
                    <w:jc w:val="center"/>
                    <w:rPr>
                      <w:rFonts w:cs="Arial"/>
                      <w:b/>
                      <w:bCs/>
                      <w:sz w:val="22"/>
                      <w:szCs w:val="22"/>
                      <w:lang w:eastAsia="en-GB"/>
                    </w:rPr>
                  </w:pPr>
                  <w:r w:rsidRPr="00BF159E">
                    <w:rPr>
                      <w:rFonts w:cs="Arial"/>
                      <w:b/>
                      <w:bCs/>
                      <w:sz w:val="22"/>
                      <w:szCs w:val="22"/>
                      <w:lang w:eastAsia="en-GB"/>
                    </w:rPr>
                    <w:t>£000</w:t>
                  </w:r>
                </w:p>
              </w:tc>
              <w:tc>
                <w:tcPr>
                  <w:tcW w:w="1134" w:type="dxa"/>
                  <w:tcBorders>
                    <w:top w:val="nil"/>
                    <w:left w:val="single" w:sz="4" w:space="0" w:color="auto"/>
                    <w:bottom w:val="single" w:sz="4" w:space="0" w:color="auto"/>
                    <w:right w:val="nil"/>
                  </w:tcBorders>
                  <w:shd w:val="clear" w:color="auto" w:fill="auto"/>
                  <w:noWrap/>
                  <w:vAlign w:val="bottom"/>
                  <w:hideMark/>
                </w:tcPr>
                <w:p w:rsidR="00E675BC" w:rsidRPr="00BF159E" w:rsidRDefault="00E675BC" w:rsidP="00AC6689">
                  <w:pPr>
                    <w:ind w:left="-250"/>
                    <w:jc w:val="center"/>
                    <w:rPr>
                      <w:rFonts w:cs="Arial"/>
                      <w:b/>
                      <w:bCs/>
                      <w:sz w:val="22"/>
                      <w:szCs w:val="22"/>
                      <w:lang w:eastAsia="en-GB"/>
                    </w:rPr>
                  </w:pPr>
                  <w:r w:rsidRPr="00BF159E">
                    <w:rPr>
                      <w:rFonts w:cs="Arial"/>
                      <w:b/>
                      <w:bCs/>
                      <w:sz w:val="22"/>
                      <w:szCs w:val="22"/>
                      <w:lang w:eastAsia="en-GB"/>
                    </w:rPr>
                    <w:t xml:space="preserve"> £000 </w:t>
                  </w:r>
                </w:p>
              </w:tc>
              <w:tc>
                <w:tcPr>
                  <w:tcW w:w="1276" w:type="dxa"/>
                  <w:tcBorders>
                    <w:top w:val="nil"/>
                    <w:left w:val="single" w:sz="4" w:space="0" w:color="auto"/>
                    <w:bottom w:val="nil"/>
                    <w:right w:val="single" w:sz="4" w:space="0" w:color="auto"/>
                  </w:tcBorders>
                  <w:shd w:val="clear" w:color="auto" w:fill="auto"/>
                  <w:noWrap/>
                  <w:vAlign w:val="bottom"/>
                  <w:hideMark/>
                </w:tcPr>
                <w:p w:rsidR="00E675BC" w:rsidRPr="00BF159E" w:rsidRDefault="00E675BC" w:rsidP="00BF159E">
                  <w:pPr>
                    <w:jc w:val="center"/>
                    <w:rPr>
                      <w:rFonts w:cs="Arial"/>
                      <w:b/>
                      <w:bCs/>
                      <w:sz w:val="22"/>
                      <w:szCs w:val="22"/>
                      <w:lang w:eastAsia="en-GB"/>
                    </w:rPr>
                  </w:pPr>
                  <w:r w:rsidRPr="00BF159E">
                    <w:rPr>
                      <w:rFonts w:cs="Arial"/>
                      <w:b/>
                      <w:bCs/>
                      <w:sz w:val="22"/>
                      <w:szCs w:val="22"/>
                      <w:lang w:eastAsia="en-GB"/>
                    </w:rPr>
                    <w:t xml:space="preserve"> £000 </w:t>
                  </w:r>
                </w:p>
              </w:tc>
            </w:tr>
            <w:tr w:rsidR="00E675BC" w:rsidRPr="00BF159E" w:rsidTr="00B313B0">
              <w:trPr>
                <w:trHeight w:val="60"/>
              </w:trPr>
              <w:tc>
                <w:tcPr>
                  <w:tcW w:w="4252" w:type="dxa"/>
                  <w:tcBorders>
                    <w:top w:val="nil"/>
                    <w:left w:val="single" w:sz="4" w:space="0" w:color="auto"/>
                    <w:bottom w:val="nil"/>
                    <w:right w:val="nil"/>
                  </w:tcBorders>
                  <w:shd w:val="clear" w:color="auto" w:fill="auto"/>
                  <w:noWrap/>
                  <w:vAlign w:val="center"/>
                  <w:hideMark/>
                </w:tcPr>
                <w:p w:rsidR="00E675BC" w:rsidRPr="00BF159E" w:rsidRDefault="00E675BC" w:rsidP="00BF159E">
                  <w:pPr>
                    <w:rPr>
                      <w:rFonts w:cs="Arial"/>
                      <w:sz w:val="22"/>
                      <w:szCs w:val="22"/>
                      <w:lang w:eastAsia="en-GB"/>
                    </w:rPr>
                  </w:pPr>
                  <w:r w:rsidRPr="00BF159E">
                    <w:rPr>
                      <w:rFonts w:cs="Arial"/>
                      <w:sz w:val="22"/>
                      <w:szCs w:val="22"/>
                      <w:lang w:eastAsia="en-GB"/>
                    </w:rPr>
                    <w:t>Leisure, Wellbeing &amp; Health</w:t>
                  </w:r>
                </w:p>
              </w:tc>
              <w:tc>
                <w:tcPr>
                  <w:tcW w:w="1134" w:type="dxa"/>
                  <w:tcBorders>
                    <w:top w:val="nil"/>
                    <w:left w:val="nil"/>
                    <w:bottom w:val="nil"/>
                    <w:right w:val="single" w:sz="4" w:space="0" w:color="auto"/>
                  </w:tcBorders>
                  <w:shd w:val="clear" w:color="auto" w:fill="auto"/>
                  <w:noWrap/>
                  <w:vAlign w:val="center"/>
                  <w:hideMark/>
                </w:tcPr>
                <w:p w:rsidR="00E675BC" w:rsidRPr="00BF159E" w:rsidRDefault="00E675BC" w:rsidP="00835709">
                  <w:pPr>
                    <w:jc w:val="right"/>
                    <w:rPr>
                      <w:rFonts w:cs="Arial"/>
                      <w:sz w:val="22"/>
                      <w:szCs w:val="22"/>
                      <w:lang w:eastAsia="en-GB"/>
                    </w:rPr>
                  </w:pPr>
                  <w:r w:rsidRPr="00BF159E">
                    <w:rPr>
                      <w:rFonts w:cs="Arial"/>
                      <w:sz w:val="22"/>
                      <w:szCs w:val="22"/>
                      <w:lang w:eastAsia="en-GB"/>
                    </w:rPr>
                    <w:t>2,</w:t>
                  </w:r>
                  <w:r>
                    <w:rPr>
                      <w:rFonts w:cs="Arial"/>
                      <w:sz w:val="22"/>
                      <w:szCs w:val="22"/>
                      <w:lang w:eastAsia="en-GB"/>
                    </w:rPr>
                    <w:t>271</w:t>
                  </w:r>
                </w:p>
              </w:tc>
              <w:tc>
                <w:tcPr>
                  <w:tcW w:w="1134" w:type="dxa"/>
                  <w:tcBorders>
                    <w:top w:val="nil"/>
                    <w:left w:val="nil"/>
                    <w:bottom w:val="nil"/>
                    <w:right w:val="single" w:sz="4" w:space="0" w:color="auto"/>
                  </w:tcBorders>
                  <w:vAlign w:val="center"/>
                </w:tcPr>
                <w:p w:rsidR="00E675BC" w:rsidRPr="00BF159E" w:rsidRDefault="00E675BC" w:rsidP="00BF159E">
                  <w:pPr>
                    <w:jc w:val="right"/>
                    <w:rPr>
                      <w:rFonts w:cs="Arial"/>
                      <w:sz w:val="22"/>
                      <w:szCs w:val="22"/>
                      <w:lang w:eastAsia="en-GB"/>
                    </w:rPr>
                  </w:pPr>
                  <w:r>
                    <w:rPr>
                      <w:rFonts w:cs="Arial"/>
                      <w:sz w:val="22"/>
                      <w:szCs w:val="22"/>
                      <w:lang w:eastAsia="en-GB"/>
                    </w:rPr>
                    <w:t>1,092</w:t>
                  </w:r>
                </w:p>
              </w:tc>
              <w:tc>
                <w:tcPr>
                  <w:tcW w:w="1134" w:type="dxa"/>
                  <w:tcBorders>
                    <w:top w:val="nil"/>
                    <w:left w:val="single" w:sz="4" w:space="0" w:color="auto"/>
                    <w:bottom w:val="nil"/>
                    <w:right w:val="nil"/>
                  </w:tcBorders>
                  <w:shd w:val="clear" w:color="auto" w:fill="auto"/>
                  <w:noWrap/>
                  <w:vAlign w:val="center"/>
                </w:tcPr>
                <w:p w:rsidR="00E675BC" w:rsidRPr="00BF159E" w:rsidRDefault="00E675BC" w:rsidP="0042564F">
                  <w:pPr>
                    <w:jc w:val="right"/>
                    <w:rPr>
                      <w:rFonts w:cs="Arial"/>
                      <w:sz w:val="22"/>
                      <w:szCs w:val="22"/>
                      <w:lang w:eastAsia="en-GB"/>
                    </w:rPr>
                  </w:pPr>
                  <w:r>
                    <w:rPr>
                      <w:rFonts w:cs="Arial"/>
                      <w:sz w:val="22"/>
                      <w:szCs w:val="22"/>
                      <w:lang w:eastAsia="en-GB"/>
                    </w:rPr>
                    <w:t>2,219</w:t>
                  </w:r>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E675BC" w:rsidRPr="00BF159E" w:rsidRDefault="00E675BC" w:rsidP="0042564F">
                  <w:pPr>
                    <w:jc w:val="right"/>
                    <w:rPr>
                      <w:rFonts w:cs="Arial"/>
                      <w:sz w:val="22"/>
                      <w:szCs w:val="22"/>
                      <w:lang w:eastAsia="en-GB"/>
                    </w:rPr>
                  </w:pPr>
                  <w:r>
                    <w:rPr>
                      <w:rFonts w:cs="Arial"/>
                      <w:sz w:val="22"/>
                      <w:szCs w:val="22"/>
                      <w:lang w:eastAsia="en-GB"/>
                    </w:rPr>
                    <w:t>(52)</w:t>
                  </w:r>
                </w:p>
              </w:tc>
            </w:tr>
            <w:tr w:rsidR="00E675BC" w:rsidRPr="00BF159E" w:rsidTr="00B313B0">
              <w:trPr>
                <w:trHeight w:val="300"/>
              </w:trPr>
              <w:tc>
                <w:tcPr>
                  <w:tcW w:w="4252" w:type="dxa"/>
                  <w:tcBorders>
                    <w:top w:val="nil"/>
                    <w:left w:val="single" w:sz="4" w:space="0" w:color="auto"/>
                    <w:bottom w:val="nil"/>
                    <w:right w:val="nil"/>
                  </w:tcBorders>
                  <w:shd w:val="clear" w:color="auto" w:fill="auto"/>
                  <w:noWrap/>
                  <w:vAlign w:val="center"/>
                  <w:hideMark/>
                </w:tcPr>
                <w:p w:rsidR="00E675BC" w:rsidRPr="00BF159E" w:rsidRDefault="00E675BC" w:rsidP="00BF159E">
                  <w:pPr>
                    <w:rPr>
                      <w:rFonts w:cs="Arial"/>
                      <w:sz w:val="22"/>
                      <w:szCs w:val="22"/>
                      <w:lang w:eastAsia="en-GB"/>
                    </w:rPr>
                  </w:pPr>
                  <w:r w:rsidRPr="00BF159E">
                    <w:rPr>
                      <w:rFonts w:cs="Arial"/>
                      <w:sz w:val="22"/>
                      <w:szCs w:val="22"/>
                      <w:lang w:eastAsia="en-GB"/>
                    </w:rPr>
                    <w:t xml:space="preserve">Sustainable Development, </w:t>
                  </w:r>
                </w:p>
                <w:p w:rsidR="00E675BC" w:rsidRPr="00BF159E" w:rsidRDefault="00E675BC" w:rsidP="00BF159E">
                  <w:pPr>
                    <w:rPr>
                      <w:rFonts w:cs="Arial"/>
                      <w:sz w:val="22"/>
                      <w:szCs w:val="22"/>
                      <w:lang w:eastAsia="en-GB"/>
                    </w:rPr>
                  </w:pPr>
                  <w:r w:rsidRPr="00BF159E">
                    <w:rPr>
                      <w:rFonts w:cs="Arial"/>
                      <w:sz w:val="22"/>
                      <w:szCs w:val="22"/>
                      <w:lang w:eastAsia="en-GB"/>
                    </w:rPr>
                    <w:t>Planning &amp; Transport</w:t>
                  </w:r>
                </w:p>
              </w:tc>
              <w:tc>
                <w:tcPr>
                  <w:tcW w:w="1134" w:type="dxa"/>
                  <w:tcBorders>
                    <w:top w:val="nil"/>
                    <w:left w:val="nil"/>
                    <w:bottom w:val="nil"/>
                    <w:right w:val="single" w:sz="4" w:space="0" w:color="auto"/>
                  </w:tcBorders>
                  <w:shd w:val="clear" w:color="auto" w:fill="auto"/>
                  <w:noWrap/>
                  <w:vAlign w:val="center"/>
                  <w:hideMark/>
                </w:tcPr>
                <w:p w:rsidR="00E675BC" w:rsidRPr="00BF159E" w:rsidRDefault="00E675BC" w:rsidP="00835709">
                  <w:pPr>
                    <w:jc w:val="right"/>
                    <w:rPr>
                      <w:rFonts w:cs="Arial"/>
                      <w:sz w:val="22"/>
                      <w:szCs w:val="22"/>
                      <w:lang w:eastAsia="en-GB"/>
                    </w:rPr>
                  </w:pPr>
                  <w:r>
                    <w:rPr>
                      <w:rFonts w:cs="Arial"/>
                      <w:sz w:val="22"/>
                      <w:szCs w:val="22"/>
                      <w:lang w:eastAsia="en-GB"/>
                    </w:rPr>
                    <w:t>2</w:t>
                  </w:r>
                  <w:r w:rsidRPr="00BF159E">
                    <w:rPr>
                      <w:rFonts w:cs="Arial"/>
                      <w:sz w:val="22"/>
                      <w:szCs w:val="22"/>
                      <w:lang w:eastAsia="en-GB"/>
                    </w:rPr>
                    <w:t>,</w:t>
                  </w:r>
                  <w:r>
                    <w:rPr>
                      <w:rFonts w:cs="Arial"/>
                      <w:sz w:val="22"/>
                      <w:szCs w:val="22"/>
                      <w:lang w:eastAsia="en-GB"/>
                    </w:rPr>
                    <w:t>043</w:t>
                  </w:r>
                </w:p>
              </w:tc>
              <w:tc>
                <w:tcPr>
                  <w:tcW w:w="1134" w:type="dxa"/>
                  <w:tcBorders>
                    <w:top w:val="nil"/>
                    <w:left w:val="nil"/>
                    <w:bottom w:val="nil"/>
                    <w:right w:val="single" w:sz="4" w:space="0" w:color="auto"/>
                  </w:tcBorders>
                  <w:vAlign w:val="center"/>
                </w:tcPr>
                <w:p w:rsidR="00E675BC" w:rsidRPr="00BF159E" w:rsidRDefault="00E675BC" w:rsidP="00BF159E">
                  <w:pPr>
                    <w:jc w:val="right"/>
                    <w:rPr>
                      <w:rFonts w:cs="Arial"/>
                      <w:sz w:val="22"/>
                      <w:szCs w:val="22"/>
                      <w:lang w:eastAsia="en-GB"/>
                    </w:rPr>
                  </w:pPr>
                  <w:r>
                    <w:rPr>
                      <w:rFonts w:cs="Arial"/>
                      <w:sz w:val="22"/>
                      <w:szCs w:val="22"/>
                      <w:lang w:eastAsia="en-GB"/>
                    </w:rPr>
                    <w:t>810</w:t>
                  </w:r>
                </w:p>
              </w:tc>
              <w:tc>
                <w:tcPr>
                  <w:tcW w:w="1134" w:type="dxa"/>
                  <w:tcBorders>
                    <w:top w:val="nil"/>
                    <w:left w:val="single" w:sz="4" w:space="0" w:color="auto"/>
                    <w:bottom w:val="nil"/>
                    <w:right w:val="nil"/>
                  </w:tcBorders>
                  <w:shd w:val="clear" w:color="auto" w:fill="auto"/>
                  <w:noWrap/>
                  <w:vAlign w:val="center"/>
                </w:tcPr>
                <w:p w:rsidR="00E675BC" w:rsidRPr="00BF159E" w:rsidRDefault="00E675BC" w:rsidP="00BF159E">
                  <w:pPr>
                    <w:jc w:val="right"/>
                    <w:rPr>
                      <w:rFonts w:cs="Arial"/>
                      <w:sz w:val="22"/>
                      <w:szCs w:val="22"/>
                      <w:lang w:eastAsia="en-GB"/>
                    </w:rPr>
                  </w:pPr>
                  <w:r>
                    <w:rPr>
                      <w:rFonts w:cs="Arial"/>
                      <w:sz w:val="22"/>
                      <w:szCs w:val="22"/>
                      <w:lang w:eastAsia="en-GB"/>
                    </w:rPr>
                    <w:t>1,952</w:t>
                  </w:r>
                </w:p>
              </w:tc>
              <w:tc>
                <w:tcPr>
                  <w:tcW w:w="1276" w:type="dxa"/>
                  <w:tcBorders>
                    <w:top w:val="nil"/>
                    <w:left w:val="single" w:sz="4" w:space="0" w:color="auto"/>
                    <w:bottom w:val="nil"/>
                    <w:right w:val="single" w:sz="4" w:space="0" w:color="auto"/>
                  </w:tcBorders>
                  <w:shd w:val="clear" w:color="auto" w:fill="auto"/>
                  <w:noWrap/>
                  <w:vAlign w:val="center"/>
                </w:tcPr>
                <w:p w:rsidR="00E675BC" w:rsidRPr="00BF159E" w:rsidRDefault="00E675BC" w:rsidP="0042564F">
                  <w:pPr>
                    <w:jc w:val="right"/>
                    <w:rPr>
                      <w:rFonts w:cs="Arial"/>
                      <w:sz w:val="22"/>
                      <w:szCs w:val="22"/>
                      <w:lang w:eastAsia="en-GB"/>
                    </w:rPr>
                  </w:pPr>
                  <w:r>
                    <w:rPr>
                      <w:rFonts w:cs="Arial"/>
                      <w:sz w:val="22"/>
                      <w:szCs w:val="22"/>
                      <w:lang w:eastAsia="en-GB"/>
                    </w:rPr>
                    <w:t>(91)</w:t>
                  </w:r>
                </w:p>
              </w:tc>
            </w:tr>
            <w:tr w:rsidR="00E675BC" w:rsidRPr="00BF159E" w:rsidTr="00B313B0">
              <w:trPr>
                <w:trHeight w:val="300"/>
              </w:trPr>
              <w:tc>
                <w:tcPr>
                  <w:tcW w:w="4252" w:type="dxa"/>
                  <w:tcBorders>
                    <w:top w:val="nil"/>
                    <w:left w:val="single" w:sz="4" w:space="0" w:color="auto"/>
                    <w:bottom w:val="nil"/>
                    <w:right w:val="nil"/>
                  </w:tcBorders>
                  <w:shd w:val="clear" w:color="auto" w:fill="auto"/>
                  <w:noWrap/>
                  <w:vAlign w:val="center"/>
                  <w:hideMark/>
                </w:tcPr>
                <w:p w:rsidR="00E675BC" w:rsidRPr="00BF159E" w:rsidRDefault="00E675BC" w:rsidP="00BF159E">
                  <w:pPr>
                    <w:rPr>
                      <w:rFonts w:cs="Arial"/>
                      <w:sz w:val="22"/>
                      <w:szCs w:val="22"/>
                      <w:lang w:eastAsia="en-GB"/>
                    </w:rPr>
                  </w:pPr>
                  <w:r w:rsidRPr="00BF159E">
                    <w:rPr>
                      <w:rFonts w:cs="Arial"/>
                      <w:sz w:val="22"/>
                      <w:szCs w:val="22"/>
                      <w:lang w:eastAsia="en-GB"/>
                    </w:rPr>
                    <w:t>General Public Services &amp; Community Safety</w:t>
                  </w:r>
                </w:p>
              </w:tc>
              <w:tc>
                <w:tcPr>
                  <w:tcW w:w="1134" w:type="dxa"/>
                  <w:tcBorders>
                    <w:top w:val="nil"/>
                    <w:left w:val="nil"/>
                    <w:bottom w:val="nil"/>
                    <w:right w:val="single" w:sz="4" w:space="0" w:color="auto"/>
                  </w:tcBorders>
                  <w:shd w:val="clear" w:color="auto" w:fill="auto"/>
                  <w:noWrap/>
                  <w:vAlign w:val="center"/>
                  <w:hideMark/>
                </w:tcPr>
                <w:p w:rsidR="00E675BC" w:rsidRPr="00BF159E" w:rsidRDefault="00E675BC" w:rsidP="00835709">
                  <w:pPr>
                    <w:jc w:val="right"/>
                    <w:rPr>
                      <w:rFonts w:cs="Arial"/>
                      <w:sz w:val="22"/>
                      <w:szCs w:val="22"/>
                      <w:lang w:eastAsia="en-GB"/>
                    </w:rPr>
                  </w:pPr>
                  <w:r w:rsidRPr="00BF159E">
                    <w:rPr>
                      <w:rFonts w:cs="Arial"/>
                      <w:sz w:val="22"/>
                      <w:szCs w:val="22"/>
                      <w:lang w:eastAsia="en-GB"/>
                    </w:rPr>
                    <w:t>2,2</w:t>
                  </w:r>
                  <w:r>
                    <w:rPr>
                      <w:rFonts w:cs="Arial"/>
                      <w:sz w:val="22"/>
                      <w:szCs w:val="22"/>
                      <w:lang w:eastAsia="en-GB"/>
                    </w:rPr>
                    <w:t>39</w:t>
                  </w:r>
                </w:p>
              </w:tc>
              <w:tc>
                <w:tcPr>
                  <w:tcW w:w="1134" w:type="dxa"/>
                  <w:tcBorders>
                    <w:top w:val="nil"/>
                    <w:left w:val="nil"/>
                    <w:bottom w:val="nil"/>
                    <w:right w:val="single" w:sz="4" w:space="0" w:color="auto"/>
                  </w:tcBorders>
                  <w:vAlign w:val="center"/>
                </w:tcPr>
                <w:p w:rsidR="00E675BC" w:rsidRPr="00BF159E" w:rsidRDefault="00E675BC" w:rsidP="00BF159E">
                  <w:pPr>
                    <w:jc w:val="right"/>
                    <w:rPr>
                      <w:rFonts w:cs="Arial"/>
                      <w:sz w:val="22"/>
                      <w:szCs w:val="22"/>
                      <w:lang w:eastAsia="en-GB"/>
                    </w:rPr>
                  </w:pPr>
                  <w:r>
                    <w:rPr>
                      <w:rFonts w:cs="Arial"/>
                      <w:sz w:val="22"/>
                      <w:szCs w:val="22"/>
                      <w:lang w:eastAsia="en-GB"/>
                    </w:rPr>
                    <w:t>1,143</w:t>
                  </w:r>
                </w:p>
              </w:tc>
              <w:tc>
                <w:tcPr>
                  <w:tcW w:w="1134" w:type="dxa"/>
                  <w:tcBorders>
                    <w:top w:val="nil"/>
                    <w:left w:val="single" w:sz="4" w:space="0" w:color="auto"/>
                    <w:bottom w:val="nil"/>
                    <w:right w:val="nil"/>
                  </w:tcBorders>
                  <w:shd w:val="clear" w:color="auto" w:fill="auto"/>
                  <w:noWrap/>
                  <w:vAlign w:val="center"/>
                </w:tcPr>
                <w:p w:rsidR="00E675BC" w:rsidRPr="00BF159E" w:rsidRDefault="00E675BC" w:rsidP="0042564F">
                  <w:pPr>
                    <w:jc w:val="right"/>
                    <w:rPr>
                      <w:rFonts w:cs="Arial"/>
                      <w:sz w:val="22"/>
                      <w:szCs w:val="22"/>
                      <w:lang w:eastAsia="en-GB"/>
                    </w:rPr>
                  </w:pPr>
                  <w:r>
                    <w:rPr>
                      <w:rFonts w:cs="Arial"/>
                      <w:sz w:val="22"/>
                      <w:szCs w:val="22"/>
                      <w:lang w:eastAsia="en-GB"/>
                    </w:rPr>
                    <w:t>2,054</w:t>
                  </w:r>
                </w:p>
              </w:tc>
              <w:tc>
                <w:tcPr>
                  <w:tcW w:w="1276" w:type="dxa"/>
                  <w:tcBorders>
                    <w:top w:val="nil"/>
                    <w:left w:val="single" w:sz="4" w:space="0" w:color="auto"/>
                    <w:bottom w:val="nil"/>
                    <w:right w:val="single" w:sz="4" w:space="0" w:color="auto"/>
                  </w:tcBorders>
                  <w:shd w:val="clear" w:color="auto" w:fill="auto"/>
                  <w:noWrap/>
                  <w:vAlign w:val="center"/>
                </w:tcPr>
                <w:p w:rsidR="00E675BC" w:rsidRPr="00BF159E" w:rsidRDefault="00E675BC" w:rsidP="0042564F">
                  <w:pPr>
                    <w:ind w:right="34"/>
                    <w:jc w:val="right"/>
                    <w:rPr>
                      <w:rFonts w:cs="Arial"/>
                      <w:sz w:val="22"/>
                      <w:szCs w:val="22"/>
                      <w:lang w:eastAsia="en-GB"/>
                    </w:rPr>
                  </w:pPr>
                  <w:r>
                    <w:rPr>
                      <w:rFonts w:cs="Arial"/>
                      <w:sz w:val="22"/>
                      <w:szCs w:val="22"/>
                      <w:lang w:eastAsia="en-GB"/>
                    </w:rPr>
                    <w:t xml:space="preserve">  (185)</w:t>
                  </w:r>
                </w:p>
              </w:tc>
            </w:tr>
            <w:tr w:rsidR="00E675BC" w:rsidRPr="00BF159E" w:rsidTr="00B313B0">
              <w:trPr>
                <w:trHeight w:val="286"/>
              </w:trPr>
              <w:tc>
                <w:tcPr>
                  <w:tcW w:w="4252" w:type="dxa"/>
                  <w:tcBorders>
                    <w:top w:val="nil"/>
                    <w:left w:val="single" w:sz="4" w:space="0" w:color="auto"/>
                    <w:bottom w:val="single" w:sz="4" w:space="0" w:color="auto"/>
                    <w:right w:val="nil"/>
                  </w:tcBorders>
                  <w:shd w:val="clear" w:color="auto" w:fill="auto"/>
                  <w:noWrap/>
                  <w:hideMark/>
                </w:tcPr>
                <w:p w:rsidR="00E675BC" w:rsidRPr="00BF159E" w:rsidRDefault="00E675BC" w:rsidP="00BF159E">
                  <w:pPr>
                    <w:rPr>
                      <w:rFonts w:cs="Arial"/>
                      <w:sz w:val="22"/>
                      <w:szCs w:val="22"/>
                      <w:lang w:eastAsia="en-GB"/>
                    </w:rPr>
                  </w:pPr>
                  <w:r w:rsidRPr="00BF159E">
                    <w:rPr>
                      <w:rFonts w:cs="Arial"/>
                      <w:sz w:val="22"/>
                      <w:szCs w:val="22"/>
                      <w:lang w:eastAsia="en-GB"/>
                    </w:rPr>
                    <w:t>Policy &amp; Resources</w:t>
                  </w:r>
                </w:p>
              </w:tc>
              <w:tc>
                <w:tcPr>
                  <w:tcW w:w="1134" w:type="dxa"/>
                  <w:tcBorders>
                    <w:top w:val="nil"/>
                    <w:left w:val="nil"/>
                    <w:bottom w:val="single" w:sz="4" w:space="0" w:color="auto"/>
                    <w:right w:val="single" w:sz="4" w:space="0" w:color="auto"/>
                  </w:tcBorders>
                  <w:shd w:val="clear" w:color="auto" w:fill="auto"/>
                  <w:noWrap/>
                  <w:hideMark/>
                </w:tcPr>
                <w:p w:rsidR="00E675BC" w:rsidRPr="00BF159E" w:rsidRDefault="00E675BC" w:rsidP="00835709">
                  <w:pPr>
                    <w:jc w:val="right"/>
                    <w:rPr>
                      <w:rFonts w:cs="Arial"/>
                      <w:sz w:val="22"/>
                      <w:szCs w:val="22"/>
                      <w:lang w:eastAsia="en-GB"/>
                    </w:rPr>
                  </w:pPr>
                  <w:r>
                    <w:rPr>
                      <w:rFonts w:cs="Arial"/>
                      <w:sz w:val="22"/>
                      <w:szCs w:val="22"/>
                      <w:lang w:eastAsia="en-GB"/>
                    </w:rPr>
                    <w:t>5</w:t>
                  </w:r>
                  <w:r w:rsidRPr="00BF159E">
                    <w:rPr>
                      <w:rFonts w:cs="Arial"/>
                      <w:sz w:val="22"/>
                      <w:szCs w:val="22"/>
                      <w:lang w:eastAsia="en-GB"/>
                    </w:rPr>
                    <w:t>,</w:t>
                  </w:r>
                  <w:r>
                    <w:rPr>
                      <w:rFonts w:cs="Arial"/>
                      <w:sz w:val="22"/>
                      <w:szCs w:val="22"/>
                      <w:lang w:eastAsia="en-GB"/>
                    </w:rPr>
                    <w:t>116</w:t>
                  </w:r>
                </w:p>
              </w:tc>
              <w:tc>
                <w:tcPr>
                  <w:tcW w:w="1134" w:type="dxa"/>
                  <w:tcBorders>
                    <w:top w:val="nil"/>
                    <w:left w:val="nil"/>
                    <w:bottom w:val="single" w:sz="4" w:space="0" w:color="auto"/>
                    <w:right w:val="single" w:sz="4" w:space="0" w:color="auto"/>
                  </w:tcBorders>
                </w:tcPr>
                <w:p w:rsidR="00E675BC" w:rsidRPr="00BF159E" w:rsidRDefault="00E675BC" w:rsidP="00BF159E">
                  <w:pPr>
                    <w:jc w:val="right"/>
                    <w:rPr>
                      <w:rFonts w:cs="Arial"/>
                      <w:sz w:val="22"/>
                      <w:szCs w:val="22"/>
                      <w:lang w:eastAsia="en-GB"/>
                    </w:rPr>
                  </w:pPr>
                  <w:r>
                    <w:rPr>
                      <w:rFonts w:cs="Arial"/>
                      <w:sz w:val="22"/>
                      <w:szCs w:val="22"/>
                      <w:lang w:eastAsia="en-GB"/>
                    </w:rPr>
                    <w:t>4,936</w:t>
                  </w:r>
                </w:p>
              </w:tc>
              <w:tc>
                <w:tcPr>
                  <w:tcW w:w="1134" w:type="dxa"/>
                  <w:tcBorders>
                    <w:top w:val="nil"/>
                    <w:left w:val="single" w:sz="4" w:space="0" w:color="auto"/>
                    <w:bottom w:val="single" w:sz="4" w:space="0" w:color="auto"/>
                    <w:right w:val="nil"/>
                  </w:tcBorders>
                  <w:shd w:val="clear" w:color="auto" w:fill="auto"/>
                  <w:noWrap/>
                </w:tcPr>
                <w:p w:rsidR="00E675BC" w:rsidRPr="00BF159E" w:rsidRDefault="00E675BC" w:rsidP="00BF159E">
                  <w:pPr>
                    <w:jc w:val="right"/>
                    <w:rPr>
                      <w:rFonts w:cs="Arial"/>
                      <w:sz w:val="22"/>
                      <w:szCs w:val="22"/>
                      <w:lang w:eastAsia="en-GB"/>
                    </w:rPr>
                  </w:pPr>
                  <w:r>
                    <w:rPr>
                      <w:rFonts w:cs="Arial"/>
                      <w:sz w:val="22"/>
                      <w:szCs w:val="22"/>
                      <w:lang w:eastAsia="en-GB"/>
                    </w:rPr>
                    <w:t>5,394</w:t>
                  </w:r>
                </w:p>
              </w:tc>
              <w:tc>
                <w:tcPr>
                  <w:tcW w:w="1276" w:type="dxa"/>
                  <w:tcBorders>
                    <w:top w:val="nil"/>
                    <w:left w:val="single" w:sz="4" w:space="0" w:color="auto"/>
                    <w:bottom w:val="single" w:sz="4" w:space="0" w:color="auto"/>
                    <w:right w:val="single" w:sz="4" w:space="0" w:color="auto"/>
                  </w:tcBorders>
                  <w:shd w:val="clear" w:color="auto" w:fill="auto"/>
                  <w:noWrap/>
                </w:tcPr>
                <w:p w:rsidR="00E675BC" w:rsidRPr="00BF159E" w:rsidRDefault="00E675BC" w:rsidP="00BF159E">
                  <w:pPr>
                    <w:jc w:val="right"/>
                    <w:rPr>
                      <w:rFonts w:cs="Arial"/>
                      <w:sz w:val="22"/>
                      <w:szCs w:val="22"/>
                      <w:lang w:eastAsia="en-GB"/>
                    </w:rPr>
                  </w:pPr>
                  <w:r>
                    <w:rPr>
                      <w:rFonts w:cs="Arial"/>
                      <w:sz w:val="22"/>
                      <w:szCs w:val="22"/>
                      <w:lang w:eastAsia="en-GB"/>
                    </w:rPr>
                    <w:t>278</w:t>
                  </w:r>
                </w:p>
              </w:tc>
            </w:tr>
            <w:tr w:rsidR="00E675BC" w:rsidRPr="00BF159E" w:rsidTr="00B313B0">
              <w:trPr>
                <w:trHeight w:val="340"/>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5BC" w:rsidRPr="00BF159E" w:rsidRDefault="00E675BC" w:rsidP="00BF159E">
                  <w:pPr>
                    <w:rPr>
                      <w:rFonts w:cs="Arial"/>
                      <w:b/>
                      <w:bCs/>
                      <w:sz w:val="22"/>
                      <w:szCs w:val="22"/>
                      <w:lang w:eastAsia="en-GB"/>
                    </w:rPr>
                  </w:pPr>
                  <w:r w:rsidRPr="00BF159E">
                    <w:rPr>
                      <w:rFonts w:cs="Arial"/>
                      <w:b/>
                      <w:bCs/>
                      <w:sz w:val="22"/>
                      <w:szCs w:val="22"/>
                      <w:lang w:eastAsia="en-GB"/>
                    </w:rPr>
                    <w:t>Net General Fund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75BC" w:rsidRPr="00BF159E" w:rsidRDefault="00E675BC" w:rsidP="00835709">
                  <w:pPr>
                    <w:jc w:val="right"/>
                    <w:rPr>
                      <w:rFonts w:cs="Arial"/>
                      <w:b/>
                      <w:bCs/>
                      <w:sz w:val="22"/>
                      <w:szCs w:val="22"/>
                      <w:lang w:eastAsia="en-GB"/>
                    </w:rPr>
                  </w:pPr>
                  <w:r w:rsidRPr="00BF159E">
                    <w:rPr>
                      <w:rFonts w:cs="Arial"/>
                      <w:b/>
                      <w:bCs/>
                      <w:sz w:val="22"/>
                      <w:szCs w:val="22"/>
                      <w:lang w:eastAsia="en-GB"/>
                    </w:rPr>
                    <w:t>11,</w:t>
                  </w:r>
                  <w:r>
                    <w:rPr>
                      <w:rFonts w:cs="Arial"/>
                      <w:b/>
                      <w:bCs/>
                      <w:sz w:val="22"/>
                      <w:szCs w:val="22"/>
                      <w:lang w:eastAsia="en-GB"/>
                    </w:rPr>
                    <w:t>669</w:t>
                  </w:r>
                </w:p>
              </w:tc>
              <w:tc>
                <w:tcPr>
                  <w:tcW w:w="1134" w:type="dxa"/>
                  <w:tcBorders>
                    <w:top w:val="single" w:sz="4" w:space="0" w:color="auto"/>
                    <w:left w:val="nil"/>
                    <w:bottom w:val="single" w:sz="4" w:space="0" w:color="auto"/>
                    <w:right w:val="single" w:sz="4" w:space="0" w:color="auto"/>
                  </w:tcBorders>
                  <w:vAlign w:val="center"/>
                </w:tcPr>
                <w:p w:rsidR="00E675BC" w:rsidRPr="00BF159E" w:rsidRDefault="00E675BC" w:rsidP="00BF159E">
                  <w:pPr>
                    <w:jc w:val="right"/>
                    <w:rPr>
                      <w:rFonts w:cs="Arial"/>
                      <w:b/>
                      <w:bCs/>
                      <w:sz w:val="22"/>
                      <w:szCs w:val="22"/>
                      <w:lang w:eastAsia="en-GB"/>
                    </w:rPr>
                  </w:pPr>
                  <w:r>
                    <w:rPr>
                      <w:rFonts w:cs="Arial"/>
                      <w:b/>
                      <w:bCs/>
                      <w:sz w:val="22"/>
                      <w:szCs w:val="22"/>
                      <w:lang w:eastAsia="en-GB"/>
                    </w:rPr>
                    <w:t>7,981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5BC" w:rsidRPr="00BF159E" w:rsidRDefault="00E675BC" w:rsidP="00BF159E">
                  <w:pPr>
                    <w:jc w:val="right"/>
                    <w:rPr>
                      <w:rFonts w:cs="Arial"/>
                      <w:b/>
                      <w:bCs/>
                      <w:sz w:val="22"/>
                      <w:szCs w:val="22"/>
                      <w:lang w:eastAsia="en-GB"/>
                    </w:rPr>
                  </w:pPr>
                  <w:r>
                    <w:rPr>
                      <w:rFonts w:cs="Arial"/>
                      <w:b/>
                      <w:bCs/>
                      <w:sz w:val="22"/>
                      <w:szCs w:val="22"/>
                      <w:lang w:eastAsia="en-GB"/>
                    </w:rPr>
                    <w:t>11,619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75BC" w:rsidRPr="00BF159E" w:rsidRDefault="00E675BC" w:rsidP="002C3587">
                  <w:pPr>
                    <w:jc w:val="right"/>
                    <w:rPr>
                      <w:rFonts w:cs="Arial"/>
                      <w:b/>
                      <w:bCs/>
                      <w:sz w:val="22"/>
                      <w:szCs w:val="22"/>
                      <w:lang w:eastAsia="en-GB"/>
                    </w:rPr>
                  </w:pPr>
                  <w:r>
                    <w:rPr>
                      <w:rFonts w:cs="Arial"/>
                      <w:b/>
                      <w:bCs/>
                      <w:sz w:val="22"/>
                      <w:szCs w:val="22"/>
                      <w:lang w:eastAsia="en-GB"/>
                    </w:rPr>
                    <w:t>(50)</w:t>
                  </w:r>
                </w:p>
              </w:tc>
            </w:tr>
            <w:tr w:rsidR="00E675BC" w:rsidRPr="00BF159E" w:rsidTr="00B313B0">
              <w:trPr>
                <w:trHeight w:val="340"/>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5BC" w:rsidRPr="00BF159E" w:rsidRDefault="00E675BC" w:rsidP="00BF159E">
                  <w:pPr>
                    <w:rPr>
                      <w:rFonts w:cs="Arial"/>
                      <w:b/>
                      <w:bCs/>
                      <w:sz w:val="22"/>
                      <w:szCs w:val="22"/>
                      <w:lang w:eastAsia="en-GB"/>
                    </w:rPr>
                  </w:pPr>
                  <w:r>
                    <w:rPr>
                      <w:rFonts w:cs="Arial"/>
                      <w:sz w:val="22"/>
                      <w:szCs w:val="22"/>
                      <w:lang w:eastAsia="en-GB"/>
                    </w:rPr>
                    <w:t xml:space="preserve">Funding </w:t>
                  </w:r>
                  <w:r w:rsidRPr="00321417">
                    <w:rPr>
                      <w:rFonts w:cs="Arial"/>
                      <w:sz w:val="20"/>
                      <w:lang w:eastAsia="en-GB"/>
                    </w:rPr>
                    <w:t>(New Homes Bonus)</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675BC" w:rsidRPr="002A18F3" w:rsidRDefault="00E675BC" w:rsidP="00835709">
                  <w:pPr>
                    <w:jc w:val="right"/>
                    <w:rPr>
                      <w:rFonts w:cs="Arial"/>
                      <w:b/>
                      <w:bCs/>
                      <w:sz w:val="22"/>
                      <w:szCs w:val="22"/>
                      <w:highlight w:val="lightGray"/>
                      <w:lang w:eastAsia="en-GB"/>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675BC" w:rsidRPr="002A18F3" w:rsidRDefault="00E675BC" w:rsidP="00BF159E">
                  <w:pPr>
                    <w:jc w:val="right"/>
                    <w:rPr>
                      <w:rFonts w:cs="Arial"/>
                      <w:b/>
                      <w:bCs/>
                      <w:sz w:val="22"/>
                      <w:szCs w:val="22"/>
                      <w:highlight w:val="lightGray"/>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75BC" w:rsidRPr="002A18F3" w:rsidRDefault="00E675BC" w:rsidP="00BF159E">
                  <w:pPr>
                    <w:jc w:val="right"/>
                    <w:rPr>
                      <w:rFonts w:cs="Arial"/>
                      <w:b/>
                      <w:bCs/>
                      <w:sz w:val="22"/>
                      <w:szCs w:val="22"/>
                      <w:highlight w:val="lightGray"/>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675BC" w:rsidRDefault="00E675BC" w:rsidP="002C3587">
                  <w:pPr>
                    <w:jc w:val="right"/>
                    <w:rPr>
                      <w:rFonts w:cs="Arial"/>
                      <w:b/>
                      <w:bCs/>
                      <w:sz w:val="22"/>
                      <w:szCs w:val="22"/>
                      <w:lang w:eastAsia="en-GB"/>
                    </w:rPr>
                  </w:pPr>
                  <w:r>
                    <w:rPr>
                      <w:rFonts w:cs="Arial"/>
                      <w:b/>
                      <w:bCs/>
                      <w:sz w:val="22"/>
                      <w:szCs w:val="22"/>
                      <w:lang w:eastAsia="en-GB"/>
                    </w:rPr>
                    <w:t>(273)</w:t>
                  </w:r>
                </w:p>
              </w:tc>
            </w:tr>
            <w:tr w:rsidR="00E675BC" w:rsidRPr="00BF159E" w:rsidTr="00B313B0">
              <w:trPr>
                <w:trHeight w:val="340"/>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5BC" w:rsidRPr="002A18F3" w:rsidRDefault="00E675BC" w:rsidP="00BF159E">
                  <w:pPr>
                    <w:rPr>
                      <w:rFonts w:cs="Arial"/>
                      <w:b/>
                      <w:sz w:val="22"/>
                      <w:szCs w:val="22"/>
                      <w:lang w:eastAsia="en-GB"/>
                    </w:rPr>
                  </w:pPr>
                  <w:r w:rsidRPr="002A18F3">
                    <w:rPr>
                      <w:rFonts w:cs="Arial"/>
                      <w:b/>
                      <w:sz w:val="22"/>
                      <w:szCs w:val="22"/>
                      <w:lang w:eastAsia="en-GB"/>
                    </w:rPr>
                    <w:t>Total</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675BC" w:rsidRPr="002A18F3" w:rsidRDefault="00E675BC" w:rsidP="00835709">
                  <w:pPr>
                    <w:jc w:val="right"/>
                    <w:rPr>
                      <w:rFonts w:cs="Arial"/>
                      <w:b/>
                      <w:bCs/>
                      <w:sz w:val="22"/>
                      <w:szCs w:val="22"/>
                      <w:highlight w:val="lightGray"/>
                      <w:lang w:eastAsia="en-GB"/>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675BC" w:rsidRPr="002A18F3" w:rsidRDefault="00E675BC" w:rsidP="00BF159E">
                  <w:pPr>
                    <w:jc w:val="right"/>
                    <w:rPr>
                      <w:rFonts w:cs="Arial"/>
                      <w:b/>
                      <w:bCs/>
                      <w:sz w:val="22"/>
                      <w:szCs w:val="22"/>
                      <w:highlight w:val="lightGray"/>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75BC" w:rsidRPr="002A18F3" w:rsidRDefault="00E675BC" w:rsidP="00BF159E">
                  <w:pPr>
                    <w:jc w:val="right"/>
                    <w:rPr>
                      <w:rFonts w:cs="Arial"/>
                      <w:b/>
                      <w:bCs/>
                      <w:sz w:val="22"/>
                      <w:szCs w:val="22"/>
                      <w:highlight w:val="lightGray"/>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675BC" w:rsidRDefault="00E675BC" w:rsidP="002C3587">
                  <w:pPr>
                    <w:jc w:val="right"/>
                    <w:rPr>
                      <w:rFonts w:cs="Arial"/>
                      <w:b/>
                      <w:bCs/>
                      <w:sz w:val="22"/>
                      <w:szCs w:val="22"/>
                      <w:lang w:eastAsia="en-GB"/>
                    </w:rPr>
                  </w:pPr>
                  <w:r>
                    <w:rPr>
                      <w:rFonts w:cs="Arial"/>
                      <w:b/>
                      <w:bCs/>
                      <w:sz w:val="22"/>
                      <w:szCs w:val="22"/>
                      <w:lang w:eastAsia="en-GB"/>
                    </w:rPr>
                    <w:t>(323)</w:t>
                  </w:r>
                </w:p>
              </w:tc>
            </w:tr>
          </w:tbl>
          <w:p w:rsidR="00F33EA4" w:rsidRPr="00F33EA4" w:rsidRDefault="00F33EA4" w:rsidP="005E6727">
            <w:pPr>
              <w:tabs>
                <w:tab w:val="left" w:pos="1260"/>
                <w:tab w:val="left" w:pos="1980"/>
                <w:tab w:val="left" w:pos="2700"/>
                <w:tab w:val="left" w:pos="3420"/>
              </w:tabs>
              <w:ind w:left="1267" w:firstLine="9"/>
              <w:jc w:val="both"/>
              <w:rPr>
                <w:rFonts w:cs="Arial"/>
                <w:b/>
                <w:i/>
                <w:sz w:val="22"/>
                <w:szCs w:val="22"/>
              </w:rPr>
            </w:pPr>
          </w:p>
        </w:tc>
      </w:tr>
      <w:tr w:rsidR="005E6727" w:rsidRPr="00CF7499" w:rsidTr="001E5BA7">
        <w:trPr>
          <w:gridBefore w:val="1"/>
          <w:wBefore w:w="34" w:type="dxa"/>
          <w:trHeight w:val="1013"/>
        </w:trPr>
        <w:tc>
          <w:tcPr>
            <w:cnfStyle w:val="001000000000" w:firstRow="0" w:lastRow="0" w:firstColumn="1" w:lastColumn="0" w:oddVBand="0" w:evenVBand="0" w:oddHBand="0" w:evenHBand="0" w:firstRowFirstColumn="0" w:firstRowLastColumn="0" w:lastRowFirstColumn="0" w:lastRowLastColumn="0"/>
            <w:tcW w:w="959" w:type="dxa"/>
          </w:tcPr>
          <w:p w:rsidR="005E6727" w:rsidRDefault="005E6727" w:rsidP="00C80E97">
            <w:pPr>
              <w:jc w:val="both"/>
              <w:rPr>
                <w:rFonts w:cs="Arial"/>
                <w:sz w:val="22"/>
                <w:szCs w:val="22"/>
              </w:rPr>
            </w:pPr>
          </w:p>
          <w:p w:rsidR="005E6727" w:rsidRDefault="005E6727" w:rsidP="00C80E97">
            <w:pPr>
              <w:jc w:val="both"/>
              <w:rPr>
                <w:rFonts w:cs="Arial"/>
                <w:sz w:val="22"/>
                <w:szCs w:val="22"/>
              </w:rPr>
            </w:pPr>
            <w:r>
              <w:rPr>
                <w:rFonts w:cs="Arial"/>
                <w:sz w:val="22"/>
                <w:szCs w:val="22"/>
              </w:rPr>
              <w:t>2.4</w:t>
            </w:r>
          </w:p>
        </w:tc>
        <w:tc>
          <w:tcPr>
            <w:cnfStyle w:val="000100000000" w:firstRow="0" w:lastRow="0" w:firstColumn="0" w:lastColumn="1" w:oddVBand="0" w:evenVBand="0" w:oddHBand="0" w:evenHBand="0" w:firstRowFirstColumn="0" w:firstRowLastColumn="0" w:lastRowFirstColumn="0" w:lastRowLastColumn="0"/>
            <w:tcW w:w="9072" w:type="dxa"/>
          </w:tcPr>
          <w:p w:rsidR="005E6727" w:rsidRDefault="005E6727" w:rsidP="005E6727">
            <w:pPr>
              <w:tabs>
                <w:tab w:val="left" w:pos="1980"/>
                <w:tab w:val="left" w:pos="2700"/>
                <w:tab w:val="left" w:pos="3420"/>
              </w:tabs>
              <w:contextualSpacing/>
              <w:jc w:val="both"/>
              <w:rPr>
                <w:rFonts w:cs="Arial"/>
                <w:sz w:val="22"/>
                <w:szCs w:val="22"/>
                <w:lang w:eastAsia="en-GB"/>
              </w:rPr>
            </w:pPr>
          </w:p>
          <w:p w:rsidR="005E6727" w:rsidRPr="00BF159E" w:rsidRDefault="005E6727" w:rsidP="005E6727">
            <w:pPr>
              <w:tabs>
                <w:tab w:val="left" w:pos="1980"/>
                <w:tab w:val="left" w:pos="2700"/>
                <w:tab w:val="left" w:pos="3420"/>
              </w:tabs>
              <w:contextualSpacing/>
              <w:jc w:val="both"/>
              <w:rPr>
                <w:rFonts w:cs="Arial"/>
                <w:sz w:val="22"/>
                <w:szCs w:val="22"/>
                <w:lang w:eastAsia="en-GB"/>
              </w:rPr>
            </w:pPr>
            <w:r w:rsidRPr="00BF159E">
              <w:rPr>
                <w:rFonts w:cs="Arial"/>
                <w:sz w:val="22"/>
                <w:szCs w:val="22"/>
                <w:lang w:eastAsia="en-GB"/>
              </w:rPr>
              <w:t xml:space="preserve">The main </w:t>
            </w:r>
            <w:r w:rsidR="002C3587">
              <w:rPr>
                <w:rFonts w:cs="Arial"/>
                <w:sz w:val="22"/>
                <w:szCs w:val="22"/>
                <w:lang w:eastAsia="en-GB"/>
              </w:rPr>
              <w:t>items</w:t>
            </w:r>
            <w:r w:rsidRPr="00BF159E">
              <w:rPr>
                <w:rFonts w:cs="Arial"/>
                <w:sz w:val="22"/>
                <w:szCs w:val="22"/>
                <w:lang w:eastAsia="en-GB"/>
              </w:rPr>
              <w:t xml:space="preserve"> that contribute to th</w:t>
            </w:r>
            <w:r w:rsidR="002C3587">
              <w:rPr>
                <w:rFonts w:cs="Arial"/>
                <w:sz w:val="22"/>
                <w:szCs w:val="22"/>
                <w:lang w:eastAsia="en-GB"/>
              </w:rPr>
              <w:t>e</w:t>
            </w:r>
            <w:r w:rsidR="000D543E">
              <w:rPr>
                <w:rFonts w:cs="Arial"/>
                <w:sz w:val="22"/>
                <w:szCs w:val="22"/>
                <w:lang w:eastAsia="en-GB"/>
              </w:rPr>
              <w:t xml:space="preserve"> net</w:t>
            </w:r>
            <w:r w:rsidR="002C3587">
              <w:rPr>
                <w:rFonts w:cs="Arial"/>
                <w:sz w:val="22"/>
                <w:szCs w:val="22"/>
                <w:lang w:eastAsia="en-GB"/>
              </w:rPr>
              <w:t xml:space="preserve"> favourable </w:t>
            </w:r>
            <w:r w:rsidR="00DB3A3E">
              <w:rPr>
                <w:rFonts w:cs="Arial"/>
                <w:sz w:val="22"/>
                <w:szCs w:val="22"/>
                <w:lang w:eastAsia="en-GB"/>
              </w:rPr>
              <w:t xml:space="preserve">services </w:t>
            </w:r>
            <w:r w:rsidR="002C3587">
              <w:rPr>
                <w:rFonts w:cs="Arial"/>
                <w:sz w:val="22"/>
                <w:szCs w:val="22"/>
                <w:lang w:eastAsia="en-GB"/>
              </w:rPr>
              <w:t>variance of £50,000</w:t>
            </w:r>
            <w:r w:rsidRPr="00BF159E">
              <w:rPr>
                <w:rFonts w:cs="Arial"/>
                <w:sz w:val="22"/>
                <w:szCs w:val="22"/>
                <w:lang w:eastAsia="en-GB"/>
              </w:rPr>
              <w:t xml:space="preserve"> are;</w:t>
            </w:r>
          </w:p>
          <w:p w:rsidR="005E6727" w:rsidRPr="00BF4BEF" w:rsidRDefault="005E6727" w:rsidP="005E6727">
            <w:pPr>
              <w:tabs>
                <w:tab w:val="left" w:pos="1260"/>
                <w:tab w:val="left" w:pos="1980"/>
                <w:tab w:val="left" w:pos="2700"/>
                <w:tab w:val="left" w:pos="3420"/>
              </w:tabs>
              <w:contextualSpacing/>
              <w:jc w:val="both"/>
              <w:rPr>
                <w:rFonts w:cs="Arial"/>
                <w:b/>
                <w:sz w:val="22"/>
                <w:szCs w:val="22"/>
                <w:highlight w:val="yellow"/>
                <w:lang w:eastAsia="en-GB"/>
              </w:rPr>
            </w:pPr>
          </w:p>
          <w:p w:rsidR="0019557F" w:rsidRDefault="0019557F" w:rsidP="0019557F">
            <w:pPr>
              <w:numPr>
                <w:ilvl w:val="0"/>
                <w:numId w:val="20"/>
              </w:numPr>
              <w:tabs>
                <w:tab w:val="left" w:pos="1260"/>
                <w:tab w:val="left" w:pos="1980"/>
                <w:tab w:val="left" w:pos="2700"/>
                <w:tab w:val="left" w:pos="3420"/>
              </w:tabs>
              <w:ind w:left="1985" w:hanging="709"/>
              <w:contextualSpacing/>
              <w:jc w:val="both"/>
              <w:rPr>
                <w:rFonts w:cs="Arial"/>
                <w:sz w:val="22"/>
                <w:szCs w:val="22"/>
                <w:lang w:eastAsia="en-GB"/>
              </w:rPr>
            </w:pPr>
            <w:r>
              <w:rPr>
                <w:rFonts w:cs="Arial"/>
                <w:sz w:val="22"/>
                <w:szCs w:val="22"/>
                <w:lang w:eastAsia="en-GB"/>
              </w:rPr>
              <w:t>Additional insurance costs £54,400</w:t>
            </w:r>
          </w:p>
          <w:p w:rsidR="00F752FF" w:rsidRPr="00BF159E" w:rsidRDefault="00F752FF" w:rsidP="0019557F">
            <w:pPr>
              <w:numPr>
                <w:ilvl w:val="0"/>
                <w:numId w:val="20"/>
              </w:numPr>
              <w:tabs>
                <w:tab w:val="left" w:pos="1260"/>
                <w:tab w:val="left" w:pos="1980"/>
                <w:tab w:val="left" w:pos="2700"/>
                <w:tab w:val="left" w:pos="3420"/>
              </w:tabs>
              <w:ind w:left="1985" w:hanging="709"/>
              <w:contextualSpacing/>
              <w:jc w:val="both"/>
              <w:rPr>
                <w:rFonts w:cs="Arial"/>
                <w:sz w:val="22"/>
                <w:szCs w:val="22"/>
                <w:lang w:eastAsia="en-GB"/>
              </w:rPr>
            </w:pPr>
            <w:r>
              <w:rPr>
                <w:rFonts w:cs="Arial"/>
                <w:sz w:val="22"/>
                <w:szCs w:val="22"/>
                <w:lang w:eastAsia="en-GB"/>
              </w:rPr>
              <w:t>Employment of East of England consultant to progress the Council</w:t>
            </w:r>
            <w:r w:rsidR="007E191E">
              <w:rPr>
                <w:rFonts w:cs="Arial"/>
                <w:sz w:val="22"/>
                <w:szCs w:val="22"/>
                <w:lang w:eastAsia="en-GB"/>
              </w:rPr>
              <w:t>’</w:t>
            </w:r>
            <w:r>
              <w:rPr>
                <w:rFonts w:cs="Arial"/>
                <w:sz w:val="22"/>
                <w:szCs w:val="22"/>
                <w:lang w:eastAsia="en-GB"/>
              </w:rPr>
              <w:t xml:space="preserve">s </w:t>
            </w:r>
            <w:r w:rsidR="007E191E">
              <w:rPr>
                <w:rFonts w:cs="Arial"/>
                <w:sz w:val="22"/>
                <w:szCs w:val="22"/>
                <w:lang w:eastAsia="en-GB"/>
              </w:rPr>
              <w:t>c</w:t>
            </w:r>
            <w:r>
              <w:rPr>
                <w:rFonts w:cs="Arial"/>
                <w:sz w:val="22"/>
                <w:szCs w:val="22"/>
                <w:lang w:eastAsia="en-GB"/>
              </w:rPr>
              <w:t>ommercial activities £45,000, (further detail is shown at paragraph 3.2 below)</w:t>
            </w:r>
          </w:p>
          <w:p w:rsidR="005E6727" w:rsidRDefault="007E191E" w:rsidP="005E6727">
            <w:pPr>
              <w:numPr>
                <w:ilvl w:val="0"/>
                <w:numId w:val="20"/>
              </w:numPr>
              <w:tabs>
                <w:tab w:val="left" w:pos="1260"/>
                <w:tab w:val="left" w:pos="1980"/>
                <w:tab w:val="left" w:pos="2700"/>
                <w:tab w:val="left" w:pos="3420"/>
              </w:tabs>
              <w:ind w:left="1985" w:hanging="709"/>
              <w:contextualSpacing/>
              <w:jc w:val="both"/>
              <w:rPr>
                <w:rFonts w:cs="Arial"/>
                <w:sz w:val="22"/>
                <w:szCs w:val="22"/>
                <w:lang w:eastAsia="en-GB"/>
              </w:rPr>
            </w:pPr>
            <w:r>
              <w:rPr>
                <w:rFonts w:cs="Arial"/>
                <w:sz w:val="22"/>
                <w:szCs w:val="22"/>
                <w:lang w:eastAsia="en-GB"/>
              </w:rPr>
              <w:t>Increase in g</w:t>
            </w:r>
            <w:r w:rsidR="0019557F">
              <w:rPr>
                <w:rFonts w:cs="Arial"/>
                <w:sz w:val="22"/>
                <w:szCs w:val="22"/>
                <w:lang w:eastAsia="en-GB"/>
              </w:rPr>
              <w:t>arden waste income (£20,000)</w:t>
            </w:r>
          </w:p>
          <w:p w:rsidR="0019557F" w:rsidRDefault="0019557F" w:rsidP="005E6727">
            <w:pPr>
              <w:numPr>
                <w:ilvl w:val="0"/>
                <w:numId w:val="20"/>
              </w:numPr>
              <w:tabs>
                <w:tab w:val="left" w:pos="1260"/>
                <w:tab w:val="left" w:pos="1980"/>
                <w:tab w:val="left" w:pos="2700"/>
                <w:tab w:val="left" w:pos="3420"/>
              </w:tabs>
              <w:ind w:left="1985" w:hanging="709"/>
              <w:contextualSpacing/>
              <w:jc w:val="both"/>
              <w:rPr>
                <w:rFonts w:cs="Arial"/>
                <w:sz w:val="22"/>
                <w:szCs w:val="22"/>
                <w:lang w:eastAsia="en-GB"/>
              </w:rPr>
            </w:pPr>
            <w:r>
              <w:rPr>
                <w:rFonts w:cs="Arial"/>
                <w:sz w:val="22"/>
                <w:szCs w:val="22"/>
                <w:lang w:eastAsia="en-GB"/>
              </w:rPr>
              <w:t xml:space="preserve">Increase in </w:t>
            </w:r>
            <w:r w:rsidR="007E191E">
              <w:rPr>
                <w:rFonts w:cs="Arial"/>
                <w:sz w:val="22"/>
                <w:szCs w:val="22"/>
                <w:lang w:eastAsia="en-GB"/>
              </w:rPr>
              <w:t>p</w:t>
            </w:r>
            <w:r>
              <w:rPr>
                <w:rFonts w:cs="Arial"/>
                <w:sz w:val="22"/>
                <w:szCs w:val="22"/>
                <w:lang w:eastAsia="en-GB"/>
              </w:rPr>
              <w:t>lanning application fees (£139,460)</w:t>
            </w:r>
          </w:p>
          <w:p w:rsidR="005E6727" w:rsidRPr="00BF159E" w:rsidRDefault="005E6727" w:rsidP="005E6727">
            <w:pPr>
              <w:tabs>
                <w:tab w:val="left" w:pos="1260"/>
                <w:tab w:val="left" w:pos="1980"/>
                <w:tab w:val="left" w:pos="2700"/>
                <w:tab w:val="left" w:pos="3420"/>
              </w:tabs>
              <w:ind w:left="720"/>
              <w:contextualSpacing/>
              <w:jc w:val="both"/>
              <w:rPr>
                <w:rFonts w:cs="Arial"/>
                <w:b/>
                <w:sz w:val="22"/>
                <w:szCs w:val="22"/>
                <w:lang w:eastAsia="en-GB"/>
              </w:rPr>
            </w:pPr>
          </w:p>
          <w:p w:rsidR="005E6727" w:rsidRPr="00BF159E" w:rsidRDefault="005E6727" w:rsidP="00346D39">
            <w:pPr>
              <w:tabs>
                <w:tab w:val="left" w:pos="1260"/>
                <w:tab w:val="left" w:pos="1980"/>
                <w:tab w:val="left" w:pos="2700"/>
                <w:tab w:val="left" w:pos="3420"/>
              </w:tabs>
              <w:jc w:val="both"/>
              <w:rPr>
                <w:rFonts w:cs="Arial"/>
                <w:sz w:val="22"/>
                <w:szCs w:val="22"/>
                <w:lang w:eastAsia="en-GB"/>
              </w:rPr>
            </w:pPr>
            <w:r w:rsidRPr="00BF159E">
              <w:rPr>
                <w:rFonts w:cs="Arial"/>
                <w:sz w:val="22"/>
                <w:szCs w:val="22"/>
                <w:lang w:eastAsia="en-GB"/>
              </w:rPr>
              <w:t xml:space="preserve">The details of all </w:t>
            </w:r>
            <w:r w:rsidR="00333C45">
              <w:rPr>
                <w:rFonts w:cs="Arial"/>
                <w:sz w:val="22"/>
                <w:szCs w:val="22"/>
                <w:lang w:eastAsia="en-GB"/>
              </w:rPr>
              <w:t xml:space="preserve">the variances over the medium term </w:t>
            </w:r>
            <w:r w:rsidRPr="00BF159E">
              <w:rPr>
                <w:rFonts w:cs="Arial"/>
                <w:sz w:val="22"/>
                <w:szCs w:val="22"/>
                <w:lang w:eastAsia="en-GB"/>
              </w:rPr>
              <w:t xml:space="preserve">are shown at </w:t>
            </w:r>
            <w:r w:rsidRPr="00BF159E">
              <w:rPr>
                <w:rFonts w:cs="Arial"/>
                <w:b/>
                <w:sz w:val="22"/>
                <w:szCs w:val="22"/>
                <w:lang w:eastAsia="en-GB"/>
              </w:rPr>
              <w:t xml:space="preserve">Appendix </w:t>
            </w:r>
            <w:r w:rsidR="0053567A">
              <w:rPr>
                <w:rFonts w:cs="Arial"/>
                <w:b/>
                <w:sz w:val="22"/>
                <w:szCs w:val="22"/>
                <w:lang w:eastAsia="en-GB"/>
              </w:rPr>
              <w:t>3</w:t>
            </w:r>
            <w:r w:rsidRPr="00BF159E">
              <w:rPr>
                <w:rFonts w:cs="Arial"/>
                <w:b/>
                <w:sz w:val="22"/>
                <w:szCs w:val="22"/>
                <w:lang w:eastAsia="en-GB"/>
              </w:rPr>
              <w:t>.</w:t>
            </w:r>
          </w:p>
          <w:p w:rsidR="005E6727" w:rsidRDefault="005E6727" w:rsidP="005E6727">
            <w:pPr>
              <w:tabs>
                <w:tab w:val="left" w:pos="1260"/>
                <w:tab w:val="left" w:pos="1980"/>
                <w:tab w:val="left" w:pos="2700"/>
                <w:tab w:val="left" w:pos="3420"/>
              </w:tabs>
              <w:ind w:left="1267" w:firstLine="9"/>
              <w:jc w:val="both"/>
              <w:rPr>
                <w:rFonts w:cs="Arial"/>
                <w:sz w:val="22"/>
                <w:szCs w:val="22"/>
              </w:rPr>
            </w:pPr>
          </w:p>
        </w:tc>
      </w:tr>
      <w:tr w:rsidR="005E6727" w:rsidRPr="00CF7499" w:rsidTr="001E5BA7">
        <w:trPr>
          <w:gridBefore w:val="1"/>
          <w:wBefore w:w="34" w:type="dxa"/>
          <w:trHeight w:val="1013"/>
        </w:trPr>
        <w:tc>
          <w:tcPr>
            <w:cnfStyle w:val="001000000000" w:firstRow="0" w:lastRow="0" w:firstColumn="1" w:lastColumn="0" w:oddVBand="0" w:evenVBand="0" w:oddHBand="0" w:evenHBand="0" w:firstRowFirstColumn="0" w:firstRowLastColumn="0" w:lastRowFirstColumn="0" w:lastRowLastColumn="0"/>
            <w:tcW w:w="959" w:type="dxa"/>
          </w:tcPr>
          <w:p w:rsidR="005E6727" w:rsidRDefault="005E6727" w:rsidP="00C80E97">
            <w:pPr>
              <w:jc w:val="both"/>
              <w:rPr>
                <w:rFonts w:cs="Arial"/>
                <w:sz w:val="22"/>
                <w:szCs w:val="22"/>
              </w:rPr>
            </w:pPr>
            <w:r>
              <w:rPr>
                <w:rFonts w:cs="Arial"/>
                <w:sz w:val="22"/>
                <w:szCs w:val="22"/>
              </w:rPr>
              <w:t>2.5</w:t>
            </w:r>
          </w:p>
          <w:p w:rsidR="005E6727" w:rsidRDefault="005E6727" w:rsidP="00C80E97">
            <w:pPr>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5E6727" w:rsidRDefault="005E6727" w:rsidP="005E6727">
            <w:pPr>
              <w:tabs>
                <w:tab w:val="left" w:pos="1260"/>
                <w:tab w:val="left" w:pos="1980"/>
                <w:tab w:val="left" w:pos="2700"/>
                <w:tab w:val="left" w:pos="3420"/>
              </w:tabs>
              <w:ind w:left="1276" w:hanging="1276"/>
              <w:jc w:val="both"/>
              <w:rPr>
                <w:rFonts w:cs="Arial"/>
                <w:sz w:val="22"/>
                <w:szCs w:val="22"/>
                <w:lang w:eastAsia="en-GB"/>
              </w:rPr>
            </w:pPr>
            <w:r w:rsidRPr="00BF159E">
              <w:rPr>
                <w:rFonts w:cs="Arial"/>
                <w:sz w:val="22"/>
                <w:szCs w:val="22"/>
                <w:lang w:eastAsia="en-GB"/>
              </w:rPr>
              <w:t>The trend over the financial year (2016/17) is plotted on the graph below;</w:t>
            </w:r>
          </w:p>
          <w:p w:rsidR="005E6727" w:rsidRPr="00BF159E" w:rsidRDefault="005E6727" w:rsidP="005E6727">
            <w:pPr>
              <w:tabs>
                <w:tab w:val="left" w:pos="1260"/>
                <w:tab w:val="left" w:pos="1980"/>
                <w:tab w:val="left" w:pos="2700"/>
                <w:tab w:val="left" w:pos="3420"/>
              </w:tabs>
              <w:ind w:left="1276" w:hanging="1276"/>
              <w:jc w:val="both"/>
              <w:rPr>
                <w:rFonts w:cs="Arial"/>
                <w:sz w:val="22"/>
                <w:szCs w:val="22"/>
                <w:lang w:eastAsia="en-GB"/>
              </w:rPr>
            </w:pPr>
          </w:p>
          <w:p w:rsidR="002540C2" w:rsidRDefault="005E6727" w:rsidP="005E6727">
            <w:pPr>
              <w:tabs>
                <w:tab w:val="left" w:pos="1260"/>
                <w:tab w:val="left" w:pos="1980"/>
                <w:tab w:val="left" w:pos="2700"/>
                <w:tab w:val="left" w:pos="3420"/>
              </w:tabs>
              <w:ind w:left="360"/>
              <w:contextualSpacing/>
              <w:jc w:val="both"/>
              <w:rPr>
                <w:rFonts w:cs="Arial"/>
                <w:sz w:val="22"/>
                <w:szCs w:val="22"/>
                <w:lang w:eastAsia="en-GB"/>
              </w:rPr>
            </w:pPr>
            <w:r w:rsidRPr="00BF159E">
              <w:rPr>
                <w:rFonts w:cs="Arial"/>
                <w:noProof/>
                <w:sz w:val="22"/>
                <w:szCs w:val="22"/>
                <w:lang w:eastAsia="en-GB"/>
              </w:rPr>
              <w:drawing>
                <wp:inline distT="0" distB="0" distL="0" distR="0" wp14:anchorId="43244756" wp14:editId="61D1927F">
                  <wp:extent cx="4723075" cy="2234869"/>
                  <wp:effectExtent l="0" t="0" r="20955" b="133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6727" w:rsidRDefault="005E6727" w:rsidP="00926417">
            <w:pPr>
              <w:tabs>
                <w:tab w:val="left" w:pos="360"/>
                <w:tab w:val="left" w:pos="900"/>
              </w:tabs>
              <w:jc w:val="both"/>
              <w:rPr>
                <w:rFonts w:cs="Arial"/>
                <w:sz w:val="22"/>
                <w:szCs w:val="22"/>
              </w:rPr>
            </w:pPr>
          </w:p>
        </w:tc>
      </w:tr>
      <w:tr w:rsidR="00CF7499" w:rsidRPr="00CF7499" w:rsidTr="001E5BA7">
        <w:trPr>
          <w:gridBefore w:val="1"/>
          <w:wBefore w:w="34" w:type="dxa"/>
          <w:trHeight w:val="1160"/>
        </w:trPr>
        <w:tc>
          <w:tcPr>
            <w:cnfStyle w:val="001000000000" w:firstRow="0" w:lastRow="0" w:firstColumn="1" w:lastColumn="0" w:oddVBand="0" w:evenVBand="0" w:oddHBand="0" w:evenHBand="0" w:firstRowFirstColumn="0" w:firstRowLastColumn="0" w:lastRowFirstColumn="0" w:lastRowLastColumn="0"/>
            <w:tcW w:w="959" w:type="dxa"/>
          </w:tcPr>
          <w:p w:rsidR="009A7768" w:rsidRDefault="009A7768" w:rsidP="005E6727">
            <w:pPr>
              <w:jc w:val="both"/>
              <w:rPr>
                <w:rFonts w:cs="Arial"/>
                <w:sz w:val="22"/>
                <w:szCs w:val="22"/>
              </w:rPr>
            </w:pPr>
          </w:p>
          <w:p w:rsidR="009A7768" w:rsidRDefault="009A7768" w:rsidP="005E6727">
            <w:pPr>
              <w:jc w:val="both"/>
              <w:rPr>
                <w:rFonts w:cs="Arial"/>
                <w:sz w:val="22"/>
                <w:szCs w:val="22"/>
              </w:rPr>
            </w:pPr>
          </w:p>
          <w:p w:rsidR="007941B8" w:rsidRDefault="007941B8" w:rsidP="005E6727">
            <w:pPr>
              <w:jc w:val="both"/>
              <w:rPr>
                <w:rFonts w:cs="Arial"/>
                <w:sz w:val="22"/>
                <w:szCs w:val="22"/>
              </w:rPr>
            </w:pPr>
            <w:r w:rsidRPr="007C1C6B">
              <w:rPr>
                <w:rFonts w:cs="Arial"/>
                <w:sz w:val="22"/>
                <w:szCs w:val="22"/>
              </w:rPr>
              <w:t>2.</w:t>
            </w:r>
            <w:r w:rsidR="005E6727">
              <w:rPr>
                <w:rFonts w:cs="Arial"/>
                <w:sz w:val="22"/>
                <w:szCs w:val="22"/>
              </w:rPr>
              <w:t>6</w:t>
            </w:r>
          </w:p>
          <w:p w:rsidR="008E3095" w:rsidRDefault="008E3095" w:rsidP="005E6727">
            <w:pPr>
              <w:jc w:val="both"/>
              <w:rPr>
                <w:rFonts w:cs="Arial"/>
                <w:sz w:val="22"/>
                <w:szCs w:val="22"/>
              </w:rPr>
            </w:pPr>
          </w:p>
          <w:p w:rsidR="008E3095" w:rsidRDefault="008E3095" w:rsidP="005E6727">
            <w:pPr>
              <w:jc w:val="both"/>
              <w:rPr>
                <w:rFonts w:cs="Arial"/>
                <w:sz w:val="22"/>
                <w:szCs w:val="22"/>
              </w:rPr>
            </w:pPr>
          </w:p>
          <w:p w:rsidR="008E3095" w:rsidRDefault="008E3095" w:rsidP="005E6727">
            <w:pPr>
              <w:jc w:val="both"/>
              <w:rPr>
                <w:rFonts w:cs="Arial"/>
                <w:sz w:val="22"/>
                <w:szCs w:val="22"/>
              </w:rPr>
            </w:pPr>
          </w:p>
          <w:p w:rsidR="008E3095" w:rsidRPr="007C1C6B" w:rsidRDefault="008E3095" w:rsidP="005E6727">
            <w:pPr>
              <w:jc w:val="both"/>
              <w:rPr>
                <w:rFonts w:cs="Arial"/>
                <w:sz w:val="22"/>
                <w:szCs w:val="22"/>
              </w:rPr>
            </w:pPr>
            <w:r>
              <w:rPr>
                <w:rFonts w:cs="Arial"/>
                <w:sz w:val="22"/>
                <w:szCs w:val="22"/>
              </w:rPr>
              <w:t>2.7</w:t>
            </w:r>
          </w:p>
        </w:tc>
        <w:tc>
          <w:tcPr>
            <w:cnfStyle w:val="000100000000" w:firstRow="0" w:lastRow="0" w:firstColumn="0" w:lastColumn="1" w:oddVBand="0" w:evenVBand="0" w:oddHBand="0" w:evenHBand="0" w:firstRowFirstColumn="0" w:firstRowLastColumn="0" w:lastRowFirstColumn="0" w:lastRowLastColumn="0"/>
            <w:tcW w:w="9072" w:type="dxa"/>
          </w:tcPr>
          <w:p w:rsidR="005E6727" w:rsidRDefault="005E6727" w:rsidP="005E6727">
            <w:pPr>
              <w:tabs>
                <w:tab w:val="left" w:pos="360"/>
                <w:tab w:val="left" w:pos="900"/>
              </w:tabs>
              <w:jc w:val="both"/>
              <w:rPr>
                <w:rFonts w:cs="Arial"/>
                <w:b/>
                <w:i/>
                <w:sz w:val="22"/>
                <w:szCs w:val="22"/>
                <w:u w:val="single"/>
              </w:rPr>
            </w:pPr>
            <w:r w:rsidRPr="00F33EA4">
              <w:rPr>
                <w:rFonts w:cs="Arial"/>
                <w:b/>
                <w:i/>
                <w:sz w:val="22"/>
                <w:szCs w:val="22"/>
                <w:u w:val="single"/>
              </w:rPr>
              <w:t>2017/18 - 2019/20</w:t>
            </w:r>
            <w:r>
              <w:rPr>
                <w:rFonts w:cs="Arial"/>
                <w:b/>
                <w:i/>
                <w:sz w:val="22"/>
                <w:szCs w:val="22"/>
                <w:u w:val="single"/>
              </w:rPr>
              <w:t xml:space="preserve"> - The Medium Term</w:t>
            </w:r>
            <w:r w:rsidR="00AA1ECA">
              <w:rPr>
                <w:rFonts w:cs="Arial"/>
                <w:b/>
                <w:i/>
                <w:sz w:val="22"/>
                <w:szCs w:val="22"/>
                <w:u w:val="single"/>
              </w:rPr>
              <w:t xml:space="preserve"> Financial Plan (MTFP)</w:t>
            </w:r>
          </w:p>
          <w:p w:rsidR="005E6727" w:rsidRPr="00F33EA4" w:rsidRDefault="005E6727" w:rsidP="005E6727">
            <w:pPr>
              <w:tabs>
                <w:tab w:val="left" w:pos="360"/>
                <w:tab w:val="left" w:pos="900"/>
              </w:tabs>
              <w:jc w:val="both"/>
              <w:rPr>
                <w:rFonts w:cs="Arial"/>
                <w:b/>
                <w:i/>
                <w:sz w:val="22"/>
                <w:szCs w:val="22"/>
                <w:u w:val="single"/>
              </w:rPr>
            </w:pPr>
          </w:p>
          <w:p w:rsidR="00F62ECE" w:rsidRDefault="008B0042" w:rsidP="00F86AA0">
            <w:pPr>
              <w:tabs>
                <w:tab w:val="left" w:pos="360"/>
                <w:tab w:val="left" w:pos="900"/>
              </w:tabs>
              <w:jc w:val="both"/>
              <w:rPr>
                <w:rFonts w:cs="Arial"/>
                <w:sz w:val="22"/>
                <w:szCs w:val="22"/>
              </w:rPr>
            </w:pPr>
            <w:r>
              <w:rPr>
                <w:rFonts w:cs="Arial"/>
                <w:sz w:val="22"/>
                <w:szCs w:val="22"/>
              </w:rPr>
              <w:t xml:space="preserve">Looking ahead </w:t>
            </w:r>
            <w:r w:rsidR="00F33EA4">
              <w:rPr>
                <w:rFonts w:cs="Arial"/>
                <w:sz w:val="22"/>
                <w:szCs w:val="22"/>
              </w:rPr>
              <w:t xml:space="preserve">over the </w:t>
            </w:r>
            <w:r w:rsidR="004F4DAA">
              <w:rPr>
                <w:rFonts w:cs="Arial"/>
                <w:sz w:val="22"/>
                <w:szCs w:val="22"/>
              </w:rPr>
              <w:t>next three</w:t>
            </w:r>
            <w:r w:rsidR="00F33EA4">
              <w:rPr>
                <w:rFonts w:cs="Arial"/>
                <w:sz w:val="22"/>
                <w:szCs w:val="22"/>
              </w:rPr>
              <w:t xml:space="preserve"> years</w:t>
            </w:r>
            <w:r w:rsidR="00480C71">
              <w:rPr>
                <w:rFonts w:cs="Arial"/>
                <w:sz w:val="22"/>
                <w:szCs w:val="22"/>
              </w:rPr>
              <w:t>, the</w:t>
            </w:r>
            <w:r w:rsidR="000C07E2" w:rsidRPr="00DD6E29">
              <w:rPr>
                <w:rFonts w:cs="Arial"/>
                <w:sz w:val="22"/>
                <w:szCs w:val="22"/>
              </w:rPr>
              <w:t xml:space="preserve"> MTFP has been prepared against a backdrop of further cuts in Government funding, increasing pressure on services and increasing expectations from stakeholders.</w:t>
            </w:r>
          </w:p>
          <w:p w:rsidR="006D4761" w:rsidRDefault="006D4761" w:rsidP="00F86AA0">
            <w:pPr>
              <w:tabs>
                <w:tab w:val="left" w:pos="360"/>
                <w:tab w:val="left" w:pos="900"/>
              </w:tabs>
              <w:jc w:val="both"/>
              <w:rPr>
                <w:rFonts w:cs="Arial"/>
                <w:sz w:val="22"/>
                <w:szCs w:val="22"/>
              </w:rPr>
            </w:pPr>
          </w:p>
          <w:p w:rsidR="008E3095" w:rsidRDefault="006D4761" w:rsidP="00F86AA0">
            <w:pPr>
              <w:tabs>
                <w:tab w:val="left" w:pos="360"/>
                <w:tab w:val="left" w:pos="900"/>
              </w:tabs>
              <w:jc w:val="both"/>
              <w:rPr>
                <w:rFonts w:cs="Arial"/>
                <w:sz w:val="22"/>
                <w:szCs w:val="22"/>
              </w:rPr>
            </w:pPr>
            <w:r w:rsidRPr="00480C71">
              <w:rPr>
                <w:rFonts w:cs="Arial"/>
                <w:sz w:val="22"/>
                <w:szCs w:val="22"/>
              </w:rPr>
              <w:t xml:space="preserve">The main budget pressure facing the Council is the requirement for </w:t>
            </w:r>
            <w:r w:rsidR="00B835FD" w:rsidRPr="00480C71">
              <w:rPr>
                <w:rFonts w:cs="Arial"/>
                <w:sz w:val="22"/>
                <w:szCs w:val="22"/>
              </w:rPr>
              <w:t>temporary</w:t>
            </w:r>
            <w:r w:rsidRPr="00480C71">
              <w:rPr>
                <w:rFonts w:cs="Arial"/>
                <w:sz w:val="22"/>
                <w:szCs w:val="22"/>
              </w:rPr>
              <w:t xml:space="preserve"> accommodation. </w:t>
            </w:r>
            <w:r w:rsidR="00AA1ECA">
              <w:rPr>
                <w:rFonts w:cs="Arial"/>
                <w:sz w:val="22"/>
                <w:szCs w:val="22"/>
              </w:rPr>
              <w:t xml:space="preserve"> </w:t>
            </w:r>
            <w:r w:rsidR="002A1193" w:rsidRPr="00480C71">
              <w:rPr>
                <w:rFonts w:cs="Arial"/>
                <w:sz w:val="22"/>
                <w:szCs w:val="22"/>
              </w:rPr>
              <w:t xml:space="preserve">This is being felt by </w:t>
            </w:r>
            <w:r w:rsidR="00AB1BB3" w:rsidRPr="00480C71">
              <w:rPr>
                <w:rFonts w:cs="Arial"/>
                <w:sz w:val="22"/>
                <w:szCs w:val="22"/>
              </w:rPr>
              <w:t xml:space="preserve">many </w:t>
            </w:r>
            <w:proofErr w:type="gramStart"/>
            <w:r w:rsidR="00B313B0">
              <w:rPr>
                <w:rFonts w:cs="Arial"/>
                <w:sz w:val="22"/>
                <w:szCs w:val="22"/>
              </w:rPr>
              <w:t>C</w:t>
            </w:r>
            <w:r w:rsidR="00B373E3" w:rsidRPr="00480C71">
              <w:rPr>
                <w:rFonts w:cs="Arial"/>
                <w:sz w:val="22"/>
                <w:szCs w:val="22"/>
              </w:rPr>
              <w:t>ouncils</w:t>
            </w:r>
            <w:proofErr w:type="gramEnd"/>
            <w:r w:rsidR="002A1193" w:rsidRPr="00480C71">
              <w:rPr>
                <w:rFonts w:cs="Arial"/>
                <w:sz w:val="22"/>
                <w:szCs w:val="22"/>
              </w:rPr>
              <w:t xml:space="preserve"> nationally </w:t>
            </w:r>
            <w:r w:rsidR="00AB1BB3" w:rsidRPr="00480C71">
              <w:rPr>
                <w:rFonts w:cs="Arial"/>
                <w:sz w:val="22"/>
                <w:szCs w:val="22"/>
              </w:rPr>
              <w:t>and it is forecasted that this will continue to grow as the impli</w:t>
            </w:r>
            <w:r w:rsidR="00AA1ECA">
              <w:rPr>
                <w:rFonts w:cs="Arial"/>
                <w:sz w:val="22"/>
                <w:szCs w:val="22"/>
              </w:rPr>
              <w:t xml:space="preserve">cations of benefit reforms </w:t>
            </w:r>
            <w:r w:rsidR="00AB1BB3" w:rsidRPr="00480C71">
              <w:rPr>
                <w:rFonts w:cs="Arial"/>
                <w:sz w:val="22"/>
                <w:szCs w:val="22"/>
              </w:rPr>
              <w:t xml:space="preserve">start to impact. </w:t>
            </w:r>
            <w:r w:rsidR="00D66A31">
              <w:rPr>
                <w:rFonts w:cs="Arial"/>
                <w:sz w:val="22"/>
                <w:szCs w:val="22"/>
              </w:rPr>
              <w:t xml:space="preserve"> </w:t>
            </w:r>
            <w:r w:rsidR="00D53F80">
              <w:rPr>
                <w:rFonts w:cs="Arial"/>
                <w:sz w:val="22"/>
                <w:szCs w:val="22"/>
              </w:rPr>
              <w:t>To</w:t>
            </w:r>
            <w:r w:rsidR="00AB1BB3" w:rsidRPr="00480C71">
              <w:rPr>
                <w:rFonts w:cs="Arial"/>
                <w:sz w:val="22"/>
                <w:szCs w:val="22"/>
              </w:rPr>
              <w:t xml:space="preserve"> mitigate the rising cost the Council has and continues to identify suitable locations to construct its own </w:t>
            </w:r>
            <w:r w:rsidR="00AA1ECA">
              <w:rPr>
                <w:rFonts w:cs="Arial"/>
                <w:sz w:val="22"/>
                <w:szCs w:val="22"/>
              </w:rPr>
              <w:t xml:space="preserve">temporary </w:t>
            </w:r>
            <w:r w:rsidR="00AB1BB3" w:rsidRPr="00480C71">
              <w:rPr>
                <w:rFonts w:cs="Arial"/>
                <w:sz w:val="22"/>
                <w:szCs w:val="22"/>
              </w:rPr>
              <w:t xml:space="preserve">accommodation and reduce the requirement to use the </w:t>
            </w:r>
            <w:r w:rsidR="00AA1ECA">
              <w:rPr>
                <w:rFonts w:cs="Arial"/>
                <w:sz w:val="22"/>
                <w:szCs w:val="22"/>
              </w:rPr>
              <w:t xml:space="preserve">more </w:t>
            </w:r>
            <w:r w:rsidR="00AB1BB3" w:rsidRPr="00480C71">
              <w:rPr>
                <w:rFonts w:cs="Arial"/>
                <w:sz w:val="22"/>
                <w:szCs w:val="22"/>
              </w:rPr>
              <w:t xml:space="preserve">expensive private </w:t>
            </w:r>
            <w:r w:rsidR="00AB1BB3" w:rsidRPr="00480C71">
              <w:rPr>
                <w:rFonts w:cs="Arial"/>
                <w:sz w:val="22"/>
                <w:szCs w:val="22"/>
              </w:rPr>
              <w:lastRenderedPageBreak/>
              <w:t>sector.</w:t>
            </w:r>
            <w:r w:rsidR="00346D39">
              <w:rPr>
                <w:rFonts w:cs="Arial"/>
                <w:sz w:val="22"/>
                <w:szCs w:val="22"/>
              </w:rPr>
              <w:t xml:space="preserve">  </w:t>
            </w:r>
            <w:r w:rsidRPr="00480C71">
              <w:rPr>
                <w:rFonts w:cs="Arial"/>
                <w:sz w:val="22"/>
                <w:szCs w:val="22"/>
              </w:rPr>
              <w:t xml:space="preserve">The table below shows the predicted increase in cost. </w:t>
            </w:r>
          </w:p>
          <w:p w:rsidR="00DB3A3E" w:rsidRPr="00480C71" w:rsidRDefault="00DB3A3E" w:rsidP="00F86AA0">
            <w:pPr>
              <w:tabs>
                <w:tab w:val="left" w:pos="360"/>
                <w:tab w:val="left" w:pos="900"/>
              </w:tabs>
              <w:jc w:val="both"/>
              <w:rPr>
                <w:rFonts w:cs="Arial"/>
                <w:sz w:val="22"/>
                <w:szCs w:val="22"/>
              </w:rPr>
            </w:pPr>
          </w:p>
          <w:p w:rsidR="006D4761" w:rsidRDefault="000C7058" w:rsidP="00F86AA0">
            <w:pPr>
              <w:tabs>
                <w:tab w:val="left" w:pos="360"/>
                <w:tab w:val="left" w:pos="900"/>
              </w:tabs>
              <w:jc w:val="both"/>
              <w:rPr>
                <w:rFonts w:cs="Arial"/>
                <w:sz w:val="22"/>
                <w:szCs w:val="22"/>
              </w:rPr>
            </w:pPr>
            <w:r>
              <w:rPr>
                <w:rFonts w:cs="Arial"/>
                <w:noProof/>
                <w:sz w:val="22"/>
                <w:szCs w:val="22"/>
                <w:lang w:eastAsia="en-GB"/>
              </w:rPr>
              <w:drawing>
                <wp:inline distT="0" distB="0" distL="0" distR="0">
                  <wp:extent cx="5621655" cy="18846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1655" cy="1884680"/>
                          </a:xfrm>
                          <a:prstGeom prst="rect">
                            <a:avLst/>
                          </a:prstGeom>
                          <a:noFill/>
                          <a:ln>
                            <a:noFill/>
                          </a:ln>
                        </pic:spPr>
                      </pic:pic>
                    </a:graphicData>
                  </a:graphic>
                </wp:inline>
              </w:drawing>
            </w:r>
          </w:p>
          <w:p w:rsidR="00480C71" w:rsidRDefault="00480C71" w:rsidP="00F86AA0">
            <w:pPr>
              <w:tabs>
                <w:tab w:val="left" w:pos="360"/>
                <w:tab w:val="left" w:pos="900"/>
              </w:tabs>
              <w:jc w:val="both"/>
              <w:rPr>
                <w:rFonts w:cs="Arial"/>
                <w:sz w:val="22"/>
                <w:szCs w:val="22"/>
              </w:rPr>
            </w:pPr>
          </w:p>
          <w:p w:rsidR="00DB183E" w:rsidRPr="003C44E5" w:rsidRDefault="000D543E" w:rsidP="00F86AA0">
            <w:pPr>
              <w:tabs>
                <w:tab w:val="left" w:pos="360"/>
                <w:tab w:val="left" w:pos="900"/>
              </w:tabs>
              <w:jc w:val="both"/>
              <w:rPr>
                <w:rFonts w:cs="Arial"/>
                <w:sz w:val="22"/>
                <w:szCs w:val="22"/>
              </w:rPr>
            </w:pPr>
            <w:r>
              <w:rPr>
                <w:rFonts w:cs="Arial"/>
                <w:sz w:val="22"/>
                <w:szCs w:val="22"/>
              </w:rPr>
              <w:t xml:space="preserve">The table below shows if the Council decides to invest </w:t>
            </w:r>
            <w:r w:rsidR="00847089">
              <w:rPr>
                <w:rFonts w:cs="Arial"/>
                <w:sz w:val="22"/>
                <w:szCs w:val="22"/>
              </w:rPr>
              <w:t>in</w:t>
            </w:r>
            <w:r>
              <w:rPr>
                <w:rFonts w:cs="Arial"/>
                <w:sz w:val="22"/>
                <w:szCs w:val="22"/>
              </w:rPr>
              <w:t xml:space="preserve"> providing </w:t>
            </w:r>
            <w:r w:rsidR="00847089">
              <w:rPr>
                <w:rFonts w:cs="Arial"/>
                <w:sz w:val="22"/>
                <w:szCs w:val="22"/>
              </w:rPr>
              <w:t>further</w:t>
            </w:r>
            <w:r>
              <w:rPr>
                <w:rFonts w:cs="Arial"/>
                <w:sz w:val="22"/>
                <w:szCs w:val="22"/>
              </w:rPr>
              <w:t xml:space="preserve"> temporary accommodation this will reduce the budget pressure above.</w:t>
            </w:r>
            <w:r w:rsidRPr="00480C71">
              <w:rPr>
                <w:rFonts w:cs="Arial"/>
                <w:sz w:val="22"/>
                <w:szCs w:val="22"/>
              </w:rPr>
              <w:t xml:space="preserve"> </w:t>
            </w:r>
            <w:r w:rsidR="003C44E5">
              <w:rPr>
                <w:rFonts w:cs="Arial"/>
                <w:sz w:val="22"/>
                <w:szCs w:val="22"/>
              </w:rPr>
              <w:t xml:space="preserve">This is </w:t>
            </w:r>
            <w:r w:rsidR="003C44E5">
              <w:rPr>
                <w:rFonts w:cs="Arial"/>
                <w:b/>
                <w:sz w:val="22"/>
                <w:szCs w:val="22"/>
              </w:rPr>
              <w:t xml:space="preserve">not </w:t>
            </w:r>
            <w:r w:rsidR="003C44E5">
              <w:rPr>
                <w:rFonts w:cs="Arial"/>
                <w:sz w:val="22"/>
                <w:szCs w:val="22"/>
              </w:rPr>
              <w:t xml:space="preserve">included in the base budgets. </w:t>
            </w:r>
          </w:p>
          <w:p w:rsidR="00DB3A3E" w:rsidRDefault="00DB3A3E" w:rsidP="00F86AA0">
            <w:pPr>
              <w:tabs>
                <w:tab w:val="left" w:pos="360"/>
                <w:tab w:val="left" w:pos="900"/>
              </w:tabs>
              <w:jc w:val="both"/>
              <w:rPr>
                <w:rFonts w:cs="Arial"/>
                <w:sz w:val="22"/>
                <w:szCs w:val="22"/>
              </w:rPr>
            </w:pPr>
          </w:p>
          <w:p w:rsidR="00DB183E" w:rsidRDefault="000C7058" w:rsidP="00F86AA0">
            <w:pPr>
              <w:tabs>
                <w:tab w:val="left" w:pos="360"/>
                <w:tab w:val="left" w:pos="900"/>
              </w:tabs>
              <w:jc w:val="both"/>
              <w:rPr>
                <w:rFonts w:cs="Arial"/>
                <w:sz w:val="22"/>
                <w:szCs w:val="22"/>
              </w:rPr>
            </w:pPr>
            <w:r>
              <w:rPr>
                <w:rFonts w:cs="Arial"/>
                <w:noProof/>
                <w:sz w:val="22"/>
                <w:szCs w:val="22"/>
                <w:lang w:eastAsia="en-GB"/>
              </w:rPr>
              <w:drawing>
                <wp:inline distT="0" distB="0" distL="0" distR="0">
                  <wp:extent cx="5621655" cy="10337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1655" cy="1033780"/>
                          </a:xfrm>
                          <a:prstGeom prst="rect">
                            <a:avLst/>
                          </a:prstGeom>
                          <a:noFill/>
                          <a:ln>
                            <a:noFill/>
                          </a:ln>
                        </pic:spPr>
                      </pic:pic>
                    </a:graphicData>
                  </a:graphic>
                </wp:inline>
              </w:drawing>
            </w:r>
          </w:p>
          <w:p w:rsidR="000D543E" w:rsidRDefault="000D543E" w:rsidP="00F86AA0">
            <w:pPr>
              <w:tabs>
                <w:tab w:val="left" w:pos="360"/>
                <w:tab w:val="left" w:pos="900"/>
              </w:tabs>
              <w:jc w:val="both"/>
              <w:rPr>
                <w:rFonts w:cs="Arial"/>
                <w:sz w:val="22"/>
                <w:szCs w:val="22"/>
              </w:rPr>
            </w:pPr>
          </w:p>
          <w:p w:rsidR="00DB183E" w:rsidRDefault="00480C71" w:rsidP="00F86AA0">
            <w:pPr>
              <w:tabs>
                <w:tab w:val="left" w:pos="360"/>
                <w:tab w:val="left" w:pos="900"/>
              </w:tabs>
              <w:jc w:val="both"/>
              <w:rPr>
                <w:rFonts w:cs="Arial"/>
                <w:sz w:val="22"/>
                <w:szCs w:val="22"/>
              </w:rPr>
            </w:pPr>
            <w:r>
              <w:rPr>
                <w:rFonts w:cs="Arial"/>
                <w:sz w:val="22"/>
                <w:szCs w:val="22"/>
              </w:rPr>
              <w:t xml:space="preserve">The additional units </w:t>
            </w:r>
            <w:r w:rsidR="004C329B">
              <w:rPr>
                <w:rFonts w:cs="Arial"/>
                <w:sz w:val="22"/>
                <w:szCs w:val="22"/>
              </w:rPr>
              <w:t xml:space="preserve">potentially </w:t>
            </w:r>
            <w:r>
              <w:rPr>
                <w:rFonts w:cs="Arial"/>
                <w:sz w:val="22"/>
                <w:szCs w:val="22"/>
              </w:rPr>
              <w:t xml:space="preserve">relate to </w:t>
            </w:r>
            <w:r w:rsidR="009A7768">
              <w:rPr>
                <w:rFonts w:cs="Arial"/>
                <w:sz w:val="22"/>
                <w:szCs w:val="22"/>
              </w:rPr>
              <w:t>two</w:t>
            </w:r>
            <w:r>
              <w:rPr>
                <w:rFonts w:cs="Arial"/>
                <w:sz w:val="22"/>
                <w:szCs w:val="22"/>
              </w:rPr>
              <w:t xml:space="preserve"> ex</w:t>
            </w:r>
            <w:r w:rsidR="009A7768">
              <w:rPr>
                <w:rFonts w:cs="Arial"/>
                <w:sz w:val="22"/>
                <w:szCs w:val="22"/>
              </w:rPr>
              <w:t>-</w:t>
            </w:r>
            <w:r>
              <w:rPr>
                <w:rFonts w:cs="Arial"/>
                <w:sz w:val="22"/>
                <w:szCs w:val="22"/>
              </w:rPr>
              <w:t xml:space="preserve">garage sites. This </w:t>
            </w:r>
            <w:r w:rsidR="00CA0584">
              <w:rPr>
                <w:rFonts w:cs="Arial"/>
                <w:sz w:val="22"/>
                <w:szCs w:val="22"/>
              </w:rPr>
              <w:t xml:space="preserve">project </w:t>
            </w:r>
            <w:r>
              <w:rPr>
                <w:rFonts w:cs="Arial"/>
                <w:sz w:val="22"/>
                <w:szCs w:val="22"/>
              </w:rPr>
              <w:t xml:space="preserve">is subject to a detailed business case and </w:t>
            </w:r>
            <w:r w:rsidR="004C329B">
              <w:rPr>
                <w:rFonts w:cs="Arial"/>
                <w:sz w:val="22"/>
                <w:szCs w:val="22"/>
              </w:rPr>
              <w:t xml:space="preserve">a </w:t>
            </w:r>
            <w:r>
              <w:rPr>
                <w:rFonts w:cs="Arial"/>
                <w:sz w:val="22"/>
                <w:szCs w:val="22"/>
              </w:rPr>
              <w:t>capital bid</w:t>
            </w:r>
            <w:r w:rsidR="00CA0584">
              <w:rPr>
                <w:rFonts w:cs="Arial"/>
                <w:sz w:val="22"/>
                <w:szCs w:val="22"/>
              </w:rPr>
              <w:t xml:space="preserve"> of approximately £2.26 million.</w:t>
            </w:r>
            <w:r w:rsidR="00346D39">
              <w:rPr>
                <w:rFonts w:cs="Arial"/>
                <w:sz w:val="22"/>
                <w:szCs w:val="22"/>
              </w:rPr>
              <w:t xml:space="preserve"> </w:t>
            </w:r>
            <w:r w:rsidR="00CA0584">
              <w:rPr>
                <w:rFonts w:cs="Arial"/>
                <w:sz w:val="22"/>
                <w:szCs w:val="22"/>
              </w:rPr>
              <w:t xml:space="preserve"> </w:t>
            </w:r>
            <w:r>
              <w:rPr>
                <w:rFonts w:cs="Arial"/>
                <w:sz w:val="22"/>
                <w:szCs w:val="22"/>
              </w:rPr>
              <w:t xml:space="preserve">At this stage </w:t>
            </w:r>
            <w:r w:rsidR="009A7768">
              <w:rPr>
                <w:rFonts w:cs="Arial"/>
                <w:sz w:val="22"/>
                <w:szCs w:val="22"/>
              </w:rPr>
              <w:t xml:space="preserve">these are </w:t>
            </w:r>
            <w:r w:rsidR="009A7768" w:rsidRPr="003C44E5">
              <w:rPr>
                <w:rFonts w:cs="Arial"/>
                <w:b/>
                <w:sz w:val="22"/>
                <w:szCs w:val="22"/>
              </w:rPr>
              <w:t>not included</w:t>
            </w:r>
            <w:r w:rsidR="009A7768">
              <w:rPr>
                <w:rFonts w:cs="Arial"/>
                <w:sz w:val="22"/>
                <w:szCs w:val="22"/>
              </w:rPr>
              <w:t xml:space="preserve"> in the</w:t>
            </w:r>
            <w:r w:rsidR="003C44E5">
              <w:rPr>
                <w:rFonts w:cs="Arial"/>
                <w:sz w:val="22"/>
                <w:szCs w:val="22"/>
              </w:rPr>
              <w:t xml:space="preserve"> revenue </w:t>
            </w:r>
            <w:r w:rsidR="009A7768">
              <w:rPr>
                <w:rFonts w:cs="Arial"/>
                <w:sz w:val="22"/>
                <w:szCs w:val="22"/>
              </w:rPr>
              <w:t>base budget figures</w:t>
            </w:r>
            <w:r w:rsidR="004C329B">
              <w:rPr>
                <w:rFonts w:cs="Arial"/>
                <w:sz w:val="22"/>
                <w:szCs w:val="22"/>
              </w:rPr>
              <w:t xml:space="preserve"> </w:t>
            </w:r>
            <w:r w:rsidR="004C329B" w:rsidRPr="003C44E5">
              <w:rPr>
                <w:rFonts w:cs="Arial"/>
                <w:b/>
                <w:sz w:val="22"/>
                <w:szCs w:val="22"/>
              </w:rPr>
              <w:t>or</w:t>
            </w:r>
            <w:r w:rsidR="004C329B">
              <w:rPr>
                <w:rFonts w:cs="Arial"/>
                <w:sz w:val="22"/>
                <w:szCs w:val="22"/>
              </w:rPr>
              <w:t xml:space="preserve"> the capital programme</w:t>
            </w:r>
            <w:r w:rsidR="009A7768">
              <w:rPr>
                <w:rFonts w:cs="Arial"/>
                <w:sz w:val="22"/>
                <w:szCs w:val="22"/>
              </w:rPr>
              <w:t xml:space="preserve">. </w:t>
            </w:r>
            <w:r w:rsidR="00346D39">
              <w:rPr>
                <w:rFonts w:cs="Arial"/>
                <w:sz w:val="22"/>
                <w:szCs w:val="22"/>
              </w:rPr>
              <w:t xml:space="preserve"> </w:t>
            </w:r>
            <w:r w:rsidR="004C329B">
              <w:rPr>
                <w:rFonts w:cs="Arial"/>
                <w:sz w:val="22"/>
                <w:szCs w:val="22"/>
              </w:rPr>
              <w:t>If agreed, t</w:t>
            </w:r>
            <w:r w:rsidR="009A7768">
              <w:rPr>
                <w:rFonts w:cs="Arial"/>
                <w:sz w:val="22"/>
                <w:szCs w:val="22"/>
              </w:rPr>
              <w:t>hese are planned to become operational in February 2018.</w:t>
            </w:r>
            <w:r w:rsidR="008E3095">
              <w:rPr>
                <w:rFonts w:cs="Arial"/>
                <w:sz w:val="22"/>
                <w:szCs w:val="22"/>
              </w:rPr>
              <w:t xml:space="preserve"> </w:t>
            </w:r>
          </w:p>
          <w:p w:rsidR="00DB183E" w:rsidRDefault="00DB183E" w:rsidP="00F86AA0">
            <w:pPr>
              <w:tabs>
                <w:tab w:val="left" w:pos="360"/>
                <w:tab w:val="left" w:pos="900"/>
              </w:tabs>
              <w:jc w:val="both"/>
              <w:rPr>
                <w:rFonts w:cs="Arial"/>
                <w:sz w:val="22"/>
                <w:szCs w:val="22"/>
              </w:rPr>
            </w:pPr>
          </w:p>
          <w:p w:rsidR="009A7768" w:rsidRDefault="009A7768" w:rsidP="00F86AA0">
            <w:pPr>
              <w:tabs>
                <w:tab w:val="left" w:pos="360"/>
                <w:tab w:val="left" w:pos="900"/>
              </w:tabs>
              <w:jc w:val="both"/>
              <w:rPr>
                <w:rFonts w:cs="Arial"/>
                <w:sz w:val="22"/>
                <w:szCs w:val="22"/>
              </w:rPr>
            </w:pPr>
            <w:r>
              <w:rPr>
                <w:rFonts w:cs="Arial"/>
                <w:sz w:val="22"/>
                <w:szCs w:val="22"/>
              </w:rPr>
              <w:t>In summary, the pressure over the</w:t>
            </w:r>
            <w:r w:rsidR="00DB183E">
              <w:rPr>
                <w:rFonts w:cs="Arial"/>
                <w:sz w:val="22"/>
                <w:szCs w:val="22"/>
              </w:rPr>
              <w:t xml:space="preserve"> next three </w:t>
            </w:r>
            <w:r w:rsidR="00640DA5">
              <w:rPr>
                <w:rFonts w:cs="Arial"/>
                <w:sz w:val="22"/>
                <w:szCs w:val="22"/>
              </w:rPr>
              <w:t>years (2017/18 – 2019/20)</w:t>
            </w:r>
            <w:r>
              <w:rPr>
                <w:rFonts w:cs="Arial"/>
                <w:sz w:val="22"/>
                <w:szCs w:val="22"/>
              </w:rPr>
              <w:t xml:space="preserve"> is an additional</w:t>
            </w:r>
            <w:r w:rsidR="00DB183E">
              <w:rPr>
                <w:rFonts w:cs="Arial"/>
                <w:sz w:val="22"/>
                <w:szCs w:val="22"/>
              </w:rPr>
              <w:t xml:space="preserve"> cost of</w:t>
            </w:r>
            <w:r>
              <w:rPr>
                <w:rFonts w:cs="Arial"/>
                <w:sz w:val="22"/>
                <w:szCs w:val="22"/>
              </w:rPr>
              <w:t xml:space="preserve"> £</w:t>
            </w:r>
            <w:r w:rsidR="00DB3A3E">
              <w:rPr>
                <w:rFonts w:cs="Arial"/>
                <w:sz w:val="22"/>
                <w:szCs w:val="22"/>
              </w:rPr>
              <w:t>1</w:t>
            </w:r>
            <w:r>
              <w:rPr>
                <w:rFonts w:cs="Arial"/>
                <w:sz w:val="22"/>
                <w:szCs w:val="22"/>
              </w:rPr>
              <w:t>.</w:t>
            </w:r>
            <w:r w:rsidR="00DB3A3E">
              <w:rPr>
                <w:rFonts w:cs="Arial"/>
                <w:sz w:val="22"/>
                <w:szCs w:val="22"/>
              </w:rPr>
              <w:t>374</w:t>
            </w:r>
            <w:r>
              <w:rPr>
                <w:rFonts w:cs="Arial"/>
                <w:sz w:val="22"/>
                <w:szCs w:val="22"/>
              </w:rPr>
              <w:t xml:space="preserve"> million.  If the addition</w:t>
            </w:r>
            <w:r w:rsidR="00640DA5">
              <w:rPr>
                <w:rFonts w:cs="Arial"/>
                <w:sz w:val="22"/>
                <w:szCs w:val="22"/>
              </w:rPr>
              <w:t>al development is undertaken it will re</w:t>
            </w:r>
            <w:r>
              <w:rPr>
                <w:rFonts w:cs="Arial"/>
                <w:sz w:val="22"/>
                <w:szCs w:val="22"/>
              </w:rPr>
              <w:t xml:space="preserve">duce the pressure </w:t>
            </w:r>
            <w:r w:rsidR="00346D39">
              <w:rPr>
                <w:rFonts w:cs="Arial"/>
                <w:sz w:val="22"/>
                <w:szCs w:val="22"/>
              </w:rPr>
              <w:t>to</w:t>
            </w:r>
            <w:r>
              <w:rPr>
                <w:rFonts w:cs="Arial"/>
                <w:sz w:val="22"/>
                <w:szCs w:val="22"/>
              </w:rPr>
              <w:t xml:space="preserve"> £</w:t>
            </w:r>
            <w:r w:rsidR="00DB183E">
              <w:rPr>
                <w:rFonts w:cs="Arial"/>
                <w:sz w:val="22"/>
                <w:szCs w:val="22"/>
              </w:rPr>
              <w:t>0</w:t>
            </w:r>
            <w:r>
              <w:rPr>
                <w:rFonts w:cs="Arial"/>
                <w:sz w:val="22"/>
                <w:szCs w:val="22"/>
              </w:rPr>
              <w:t>.</w:t>
            </w:r>
            <w:r w:rsidR="00DB3A3E">
              <w:rPr>
                <w:rFonts w:cs="Arial"/>
                <w:sz w:val="22"/>
                <w:szCs w:val="22"/>
              </w:rPr>
              <w:t>025</w:t>
            </w:r>
            <w:r>
              <w:rPr>
                <w:rFonts w:cs="Arial"/>
                <w:sz w:val="22"/>
                <w:szCs w:val="22"/>
              </w:rPr>
              <w:t xml:space="preserve"> million.</w:t>
            </w:r>
          </w:p>
          <w:p w:rsidR="005A4AF2" w:rsidRPr="00850A19" w:rsidRDefault="005A4AF2" w:rsidP="009A7768">
            <w:pPr>
              <w:tabs>
                <w:tab w:val="left" w:pos="360"/>
                <w:tab w:val="left" w:pos="900"/>
              </w:tabs>
              <w:jc w:val="both"/>
              <w:rPr>
                <w:rFonts w:cs="Arial"/>
                <w:sz w:val="22"/>
                <w:szCs w:val="22"/>
              </w:rPr>
            </w:pPr>
          </w:p>
        </w:tc>
      </w:tr>
      <w:tr w:rsidR="009A7768" w:rsidRPr="00CF7499" w:rsidTr="001E5BA7">
        <w:trPr>
          <w:gridBefore w:val="1"/>
          <w:wBefore w:w="34" w:type="dxa"/>
          <w:trHeight w:val="1160"/>
        </w:trPr>
        <w:tc>
          <w:tcPr>
            <w:cnfStyle w:val="001000000000" w:firstRow="0" w:lastRow="0" w:firstColumn="1" w:lastColumn="0" w:oddVBand="0" w:evenVBand="0" w:oddHBand="0" w:evenHBand="0" w:firstRowFirstColumn="0" w:firstRowLastColumn="0" w:lastRowFirstColumn="0" w:lastRowLastColumn="0"/>
            <w:tcW w:w="959" w:type="dxa"/>
          </w:tcPr>
          <w:p w:rsidR="009A7768" w:rsidRDefault="009A7768" w:rsidP="008E3095">
            <w:pPr>
              <w:jc w:val="both"/>
              <w:rPr>
                <w:rFonts w:cs="Arial"/>
                <w:sz w:val="22"/>
                <w:szCs w:val="22"/>
              </w:rPr>
            </w:pPr>
            <w:r>
              <w:rPr>
                <w:rFonts w:cs="Arial"/>
                <w:sz w:val="22"/>
                <w:szCs w:val="22"/>
              </w:rPr>
              <w:lastRenderedPageBreak/>
              <w:t>2.</w:t>
            </w:r>
            <w:r w:rsidR="008E3095">
              <w:rPr>
                <w:rFonts w:cs="Arial"/>
                <w:sz w:val="22"/>
                <w:szCs w:val="22"/>
              </w:rPr>
              <w:t>8</w:t>
            </w:r>
          </w:p>
        </w:tc>
        <w:tc>
          <w:tcPr>
            <w:cnfStyle w:val="000100000000" w:firstRow="0" w:lastRow="0" w:firstColumn="0" w:lastColumn="1" w:oddVBand="0" w:evenVBand="0" w:oddHBand="0" w:evenHBand="0" w:firstRowFirstColumn="0" w:firstRowLastColumn="0" w:lastRowFirstColumn="0" w:lastRowLastColumn="0"/>
            <w:tcW w:w="9072" w:type="dxa"/>
          </w:tcPr>
          <w:p w:rsidR="009A7768" w:rsidRDefault="009D299C" w:rsidP="009D299C">
            <w:pPr>
              <w:tabs>
                <w:tab w:val="left" w:pos="360"/>
                <w:tab w:val="left" w:pos="900"/>
              </w:tabs>
              <w:jc w:val="both"/>
              <w:rPr>
                <w:sz w:val="22"/>
                <w:szCs w:val="22"/>
              </w:rPr>
            </w:pPr>
            <w:r>
              <w:rPr>
                <w:sz w:val="22"/>
                <w:szCs w:val="22"/>
              </w:rPr>
              <w:t>A further budget pressure relates to p</w:t>
            </w:r>
            <w:r w:rsidR="009A7768">
              <w:rPr>
                <w:sz w:val="22"/>
                <w:szCs w:val="22"/>
              </w:rPr>
              <w:t>ension</w:t>
            </w:r>
            <w:r>
              <w:rPr>
                <w:sz w:val="22"/>
                <w:szCs w:val="22"/>
              </w:rPr>
              <w:t xml:space="preserve"> costs, where the </w:t>
            </w:r>
            <w:r w:rsidR="00993603">
              <w:rPr>
                <w:sz w:val="22"/>
                <w:szCs w:val="22"/>
              </w:rPr>
              <w:t>actuaries have</w:t>
            </w:r>
            <w:r>
              <w:rPr>
                <w:sz w:val="22"/>
                <w:szCs w:val="22"/>
              </w:rPr>
              <w:t xml:space="preserve"> recently </w:t>
            </w:r>
            <w:r w:rsidR="009A7768">
              <w:rPr>
                <w:sz w:val="22"/>
                <w:szCs w:val="22"/>
              </w:rPr>
              <w:t xml:space="preserve"> completed their triennial review</w:t>
            </w:r>
            <w:r>
              <w:rPr>
                <w:sz w:val="22"/>
                <w:szCs w:val="22"/>
              </w:rPr>
              <w:t xml:space="preserve"> which results in an increase in the e</w:t>
            </w:r>
            <w:r w:rsidR="009A7768">
              <w:rPr>
                <w:sz w:val="22"/>
                <w:szCs w:val="22"/>
              </w:rPr>
              <w:t>mployers contribution rate from 16.1% to 18.2%</w:t>
            </w:r>
            <w:r>
              <w:rPr>
                <w:sz w:val="22"/>
                <w:szCs w:val="22"/>
              </w:rPr>
              <w:t xml:space="preserve"> from 1 April 2017.  </w:t>
            </w:r>
            <w:r w:rsidR="009A7768" w:rsidRPr="00850A19">
              <w:rPr>
                <w:sz w:val="22"/>
                <w:szCs w:val="22"/>
              </w:rPr>
              <w:t xml:space="preserve">This </w:t>
            </w:r>
            <w:r w:rsidR="009A7768">
              <w:rPr>
                <w:sz w:val="22"/>
                <w:szCs w:val="22"/>
              </w:rPr>
              <w:t xml:space="preserve">has </w:t>
            </w:r>
            <w:r>
              <w:rPr>
                <w:sz w:val="22"/>
                <w:szCs w:val="22"/>
              </w:rPr>
              <w:t>the effect of increasing</w:t>
            </w:r>
            <w:r w:rsidR="009A7768">
              <w:rPr>
                <w:sz w:val="22"/>
                <w:szCs w:val="22"/>
              </w:rPr>
              <w:t xml:space="preserve"> </w:t>
            </w:r>
            <w:r>
              <w:rPr>
                <w:sz w:val="22"/>
                <w:szCs w:val="22"/>
              </w:rPr>
              <w:t xml:space="preserve">service </w:t>
            </w:r>
            <w:r w:rsidR="009A7768">
              <w:rPr>
                <w:sz w:val="22"/>
                <w:szCs w:val="22"/>
              </w:rPr>
              <w:t xml:space="preserve">staffing budgets </w:t>
            </w:r>
            <w:r w:rsidR="006362EC">
              <w:rPr>
                <w:sz w:val="22"/>
                <w:szCs w:val="22"/>
              </w:rPr>
              <w:t xml:space="preserve">by approximately </w:t>
            </w:r>
            <w:r w:rsidR="009A7768">
              <w:rPr>
                <w:sz w:val="22"/>
                <w:szCs w:val="22"/>
              </w:rPr>
              <w:t>£</w:t>
            </w:r>
            <w:r w:rsidR="006362EC">
              <w:rPr>
                <w:sz w:val="22"/>
                <w:szCs w:val="22"/>
              </w:rPr>
              <w:t>180</w:t>
            </w:r>
            <w:r w:rsidR="00993603">
              <w:rPr>
                <w:sz w:val="22"/>
                <w:szCs w:val="22"/>
              </w:rPr>
              <w:t>,000</w:t>
            </w:r>
            <w:r w:rsidR="009A7768">
              <w:rPr>
                <w:sz w:val="22"/>
                <w:szCs w:val="22"/>
              </w:rPr>
              <w:t xml:space="preserve"> per annum</w:t>
            </w:r>
            <w:r>
              <w:rPr>
                <w:sz w:val="22"/>
                <w:szCs w:val="22"/>
              </w:rPr>
              <w:t xml:space="preserve">. </w:t>
            </w:r>
            <w:r w:rsidR="00603F09">
              <w:rPr>
                <w:sz w:val="22"/>
                <w:szCs w:val="22"/>
              </w:rPr>
              <w:t xml:space="preserve"> T</w:t>
            </w:r>
            <w:r w:rsidR="00993603">
              <w:rPr>
                <w:sz w:val="22"/>
                <w:szCs w:val="22"/>
              </w:rPr>
              <w:t xml:space="preserve">he lump sum payable to the pension </w:t>
            </w:r>
            <w:r w:rsidR="00786988">
              <w:rPr>
                <w:sz w:val="22"/>
                <w:szCs w:val="22"/>
              </w:rPr>
              <w:t>fund for</w:t>
            </w:r>
            <w:r>
              <w:rPr>
                <w:sz w:val="22"/>
                <w:szCs w:val="22"/>
              </w:rPr>
              <w:t xml:space="preserve"> past service deficits has also increased </w:t>
            </w:r>
            <w:r w:rsidR="00993603">
              <w:rPr>
                <w:sz w:val="22"/>
                <w:szCs w:val="22"/>
              </w:rPr>
              <w:t>by £30,000 per annum.</w:t>
            </w:r>
            <w:r w:rsidR="009A7768">
              <w:rPr>
                <w:sz w:val="22"/>
                <w:szCs w:val="22"/>
              </w:rPr>
              <w:t xml:space="preserve"> </w:t>
            </w:r>
            <w:r w:rsidR="00603F09">
              <w:rPr>
                <w:sz w:val="22"/>
                <w:szCs w:val="22"/>
              </w:rPr>
              <w:t xml:space="preserve"> </w:t>
            </w:r>
            <w:r w:rsidR="004C329B">
              <w:rPr>
                <w:sz w:val="22"/>
                <w:szCs w:val="22"/>
              </w:rPr>
              <w:t>This is unavoidable growth and has</w:t>
            </w:r>
            <w:r w:rsidR="009A7768">
              <w:rPr>
                <w:sz w:val="22"/>
                <w:szCs w:val="22"/>
              </w:rPr>
              <w:t xml:space="preserve"> been included in the base budgets.</w:t>
            </w:r>
          </w:p>
          <w:p w:rsidR="00786988" w:rsidRPr="00AA1ECA" w:rsidRDefault="00786988" w:rsidP="009D299C">
            <w:pPr>
              <w:tabs>
                <w:tab w:val="left" w:pos="360"/>
                <w:tab w:val="left" w:pos="900"/>
              </w:tabs>
              <w:jc w:val="both"/>
              <w:rPr>
                <w:sz w:val="22"/>
                <w:szCs w:val="22"/>
              </w:rPr>
            </w:pPr>
          </w:p>
        </w:tc>
      </w:tr>
      <w:tr w:rsidR="008E3095" w:rsidRPr="00CF7499" w:rsidTr="001E5BA7">
        <w:trPr>
          <w:gridBefore w:val="1"/>
          <w:wBefore w:w="34" w:type="dxa"/>
          <w:trHeight w:val="1160"/>
        </w:trPr>
        <w:tc>
          <w:tcPr>
            <w:cnfStyle w:val="001000000000" w:firstRow="0" w:lastRow="0" w:firstColumn="1" w:lastColumn="0" w:oddVBand="0" w:evenVBand="0" w:oddHBand="0" w:evenHBand="0" w:firstRowFirstColumn="0" w:firstRowLastColumn="0" w:lastRowFirstColumn="0" w:lastRowLastColumn="0"/>
            <w:tcW w:w="959" w:type="dxa"/>
          </w:tcPr>
          <w:p w:rsidR="008E3095" w:rsidRDefault="008E3095" w:rsidP="008E3095">
            <w:pPr>
              <w:jc w:val="both"/>
              <w:rPr>
                <w:rFonts w:cs="Arial"/>
                <w:sz w:val="22"/>
                <w:szCs w:val="22"/>
              </w:rPr>
            </w:pPr>
            <w:r>
              <w:rPr>
                <w:rFonts w:cs="Arial"/>
                <w:sz w:val="22"/>
                <w:szCs w:val="22"/>
              </w:rPr>
              <w:t>2.9</w:t>
            </w:r>
          </w:p>
        </w:tc>
        <w:tc>
          <w:tcPr>
            <w:cnfStyle w:val="000100000000" w:firstRow="0" w:lastRow="0" w:firstColumn="0" w:lastColumn="1" w:oddVBand="0" w:evenVBand="0" w:oddHBand="0" w:evenHBand="0" w:firstRowFirstColumn="0" w:firstRowLastColumn="0" w:lastRowFirstColumn="0" w:lastRowLastColumn="0"/>
            <w:tcW w:w="9072" w:type="dxa"/>
          </w:tcPr>
          <w:p w:rsidR="00734524" w:rsidRDefault="00786988" w:rsidP="002540C2">
            <w:pPr>
              <w:tabs>
                <w:tab w:val="left" w:pos="360"/>
                <w:tab w:val="left" w:pos="900"/>
              </w:tabs>
              <w:jc w:val="both"/>
              <w:rPr>
                <w:sz w:val="22"/>
                <w:szCs w:val="22"/>
              </w:rPr>
            </w:pPr>
            <w:r w:rsidRPr="00786988">
              <w:rPr>
                <w:sz w:val="22"/>
                <w:szCs w:val="22"/>
              </w:rPr>
              <w:t xml:space="preserve">The interest earned on the investments made by the Council supports the funding of the services it provides.  </w:t>
            </w:r>
            <w:r>
              <w:rPr>
                <w:sz w:val="22"/>
                <w:szCs w:val="22"/>
              </w:rPr>
              <w:t>The bank base rate was reduced to 0.25 in August 2016, which in turn reduces the investment rates offered from approved institutions. The Council</w:t>
            </w:r>
            <w:r w:rsidR="00C118BA">
              <w:rPr>
                <w:sz w:val="22"/>
                <w:szCs w:val="22"/>
              </w:rPr>
              <w:t>’</w:t>
            </w:r>
            <w:r>
              <w:rPr>
                <w:sz w:val="22"/>
                <w:szCs w:val="22"/>
              </w:rPr>
              <w:t>s treasury advisors (Capita</w:t>
            </w:r>
            <w:r w:rsidR="00F12926">
              <w:rPr>
                <w:sz w:val="22"/>
                <w:szCs w:val="22"/>
              </w:rPr>
              <w:t xml:space="preserve"> Treasury Solutions</w:t>
            </w:r>
            <w:r>
              <w:rPr>
                <w:sz w:val="22"/>
                <w:szCs w:val="22"/>
              </w:rPr>
              <w:t xml:space="preserve">) are currently predicting that </w:t>
            </w:r>
            <w:r w:rsidR="00C16C0C">
              <w:rPr>
                <w:sz w:val="22"/>
                <w:szCs w:val="22"/>
              </w:rPr>
              <w:t xml:space="preserve">the very </w:t>
            </w:r>
            <w:r>
              <w:rPr>
                <w:sz w:val="22"/>
                <w:szCs w:val="22"/>
              </w:rPr>
              <w:t>low interest rates will continue over the medium term</w:t>
            </w:r>
            <w:r w:rsidRPr="00786988">
              <w:rPr>
                <w:sz w:val="22"/>
                <w:szCs w:val="22"/>
              </w:rPr>
              <w:t xml:space="preserve"> </w:t>
            </w:r>
            <w:r>
              <w:rPr>
                <w:sz w:val="22"/>
                <w:szCs w:val="22"/>
              </w:rPr>
              <w:t xml:space="preserve">and the interest earned budgets have now been </w:t>
            </w:r>
            <w:r w:rsidR="00C16C0C">
              <w:rPr>
                <w:sz w:val="22"/>
                <w:szCs w:val="22"/>
              </w:rPr>
              <w:t>revised</w:t>
            </w:r>
            <w:r>
              <w:rPr>
                <w:sz w:val="22"/>
                <w:szCs w:val="22"/>
              </w:rPr>
              <w:t xml:space="preserve"> accordingly by </w:t>
            </w:r>
            <w:r w:rsidRPr="00C16C0C">
              <w:rPr>
                <w:sz w:val="22"/>
                <w:szCs w:val="22"/>
              </w:rPr>
              <w:t>£</w:t>
            </w:r>
            <w:r w:rsidR="00C16C0C">
              <w:rPr>
                <w:sz w:val="22"/>
                <w:szCs w:val="22"/>
              </w:rPr>
              <w:t>100,000 in 2017/18, £70,000 in 2018/19 and £50,000 in 2019/20</w:t>
            </w:r>
            <w:r w:rsidR="00C51E35">
              <w:rPr>
                <w:sz w:val="22"/>
                <w:szCs w:val="22"/>
              </w:rPr>
              <w:t>, add</w:t>
            </w:r>
            <w:r w:rsidR="00C118BA">
              <w:rPr>
                <w:sz w:val="22"/>
                <w:szCs w:val="22"/>
              </w:rPr>
              <w:t>ing</w:t>
            </w:r>
            <w:r w:rsidR="00C51E35">
              <w:rPr>
                <w:sz w:val="22"/>
                <w:szCs w:val="22"/>
              </w:rPr>
              <w:t xml:space="preserve"> further budgetary pressure.</w:t>
            </w:r>
          </w:p>
          <w:p w:rsidR="002540C2" w:rsidRDefault="002540C2" w:rsidP="002540C2">
            <w:pPr>
              <w:tabs>
                <w:tab w:val="left" w:pos="360"/>
                <w:tab w:val="left" w:pos="900"/>
              </w:tabs>
              <w:jc w:val="both"/>
              <w:rPr>
                <w:sz w:val="22"/>
                <w:szCs w:val="22"/>
              </w:rPr>
            </w:pPr>
          </w:p>
        </w:tc>
      </w:tr>
      <w:tr w:rsidR="000D0106" w:rsidRPr="00CF7499" w:rsidTr="003A11F0">
        <w:trPr>
          <w:gridBefore w:val="1"/>
          <w:wBefore w:w="34" w:type="dxa"/>
          <w:trHeight w:val="942"/>
        </w:trPr>
        <w:tc>
          <w:tcPr>
            <w:cnfStyle w:val="001000000000" w:firstRow="0" w:lastRow="0" w:firstColumn="1" w:lastColumn="0" w:oddVBand="0" w:evenVBand="0" w:oddHBand="0" w:evenHBand="0" w:firstRowFirstColumn="0" w:firstRowLastColumn="0" w:lastRowFirstColumn="0" w:lastRowLastColumn="0"/>
            <w:tcW w:w="959" w:type="dxa"/>
          </w:tcPr>
          <w:p w:rsidR="000D0106" w:rsidRDefault="000D0106" w:rsidP="008E3095">
            <w:pPr>
              <w:jc w:val="both"/>
              <w:rPr>
                <w:rFonts w:cs="Arial"/>
                <w:sz w:val="22"/>
                <w:szCs w:val="22"/>
              </w:rPr>
            </w:pPr>
            <w:r>
              <w:rPr>
                <w:rFonts w:cs="Arial"/>
                <w:sz w:val="22"/>
                <w:szCs w:val="22"/>
              </w:rPr>
              <w:t>2.10</w:t>
            </w:r>
          </w:p>
        </w:tc>
        <w:tc>
          <w:tcPr>
            <w:cnfStyle w:val="000100000000" w:firstRow="0" w:lastRow="0" w:firstColumn="0" w:lastColumn="1" w:oddVBand="0" w:evenVBand="0" w:oddHBand="0" w:evenHBand="0" w:firstRowFirstColumn="0" w:firstRowLastColumn="0" w:lastRowFirstColumn="0" w:lastRowLastColumn="0"/>
            <w:tcW w:w="9072" w:type="dxa"/>
          </w:tcPr>
          <w:p w:rsidR="000D0106" w:rsidRDefault="000D0106" w:rsidP="000D0106">
            <w:pPr>
              <w:tabs>
                <w:tab w:val="left" w:pos="1260"/>
                <w:tab w:val="left" w:pos="1980"/>
                <w:tab w:val="left" w:pos="2700"/>
                <w:tab w:val="left" w:pos="3420"/>
              </w:tabs>
              <w:jc w:val="both"/>
              <w:rPr>
                <w:sz w:val="22"/>
                <w:szCs w:val="22"/>
              </w:rPr>
            </w:pPr>
            <w:r>
              <w:rPr>
                <w:sz w:val="22"/>
                <w:szCs w:val="22"/>
              </w:rPr>
              <w:t xml:space="preserve">To help </w:t>
            </w:r>
            <w:r w:rsidR="00675178">
              <w:rPr>
                <w:sz w:val="22"/>
                <w:szCs w:val="22"/>
              </w:rPr>
              <w:t>alleviate</w:t>
            </w:r>
            <w:r>
              <w:rPr>
                <w:sz w:val="22"/>
                <w:szCs w:val="22"/>
              </w:rPr>
              <w:t xml:space="preserve"> these pressures</w:t>
            </w:r>
            <w:r w:rsidR="00675178">
              <w:rPr>
                <w:sz w:val="22"/>
                <w:szCs w:val="22"/>
              </w:rPr>
              <w:t>,</w:t>
            </w:r>
            <w:r>
              <w:rPr>
                <w:sz w:val="22"/>
                <w:szCs w:val="22"/>
              </w:rPr>
              <w:t xml:space="preserve"> Officers have identified the following additional income which has been included in the base budgets;</w:t>
            </w:r>
          </w:p>
          <w:p w:rsidR="000D0106" w:rsidRPr="000D0106" w:rsidRDefault="000D0106" w:rsidP="000D0106">
            <w:pPr>
              <w:tabs>
                <w:tab w:val="left" w:pos="1260"/>
                <w:tab w:val="left" w:pos="1980"/>
                <w:tab w:val="left" w:pos="2700"/>
                <w:tab w:val="left" w:pos="3420"/>
              </w:tabs>
              <w:jc w:val="both"/>
              <w:rPr>
                <w:rFonts w:cs="Arial"/>
                <w:sz w:val="22"/>
                <w:szCs w:val="22"/>
              </w:rPr>
            </w:pPr>
          </w:p>
          <w:p w:rsidR="000D0106" w:rsidRPr="00603F09" w:rsidRDefault="000D0106" w:rsidP="000D0106">
            <w:pPr>
              <w:pStyle w:val="ListParagraph"/>
              <w:numPr>
                <w:ilvl w:val="0"/>
                <w:numId w:val="22"/>
              </w:numPr>
              <w:tabs>
                <w:tab w:val="left" w:pos="1260"/>
                <w:tab w:val="left" w:pos="1980"/>
                <w:tab w:val="left" w:pos="2700"/>
                <w:tab w:val="left" w:pos="3420"/>
              </w:tabs>
              <w:jc w:val="both"/>
              <w:rPr>
                <w:sz w:val="22"/>
                <w:szCs w:val="22"/>
              </w:rPr>
            </w:pPr>
            <w:r w:rsidRPr="00675178">
              <w:rPr>
                <w:rFonts w:ascii="Arial" w:hAnsi="Arial" w:cs="Arial"/>
                <w:sz w:val="22"/>
                <w:szCs w:val="22"/>
              </w:rPr>
              <w:t>Additional planning fees of £0.100 million</w:t>
            </w:r>
            <w:r w:rsidR="00874FD2">
              <w:rPr>
                <w:rFonts w:ascii="Arial" w:hAnsi="Arial" w:cs="Arial"/>
                <w:sz w:val="22"/>
                <w:szCs w:val="22"/>
              </w:rPr>
              <w:t xml:space="preserve"> per annum</w:t>
            </w:r>
            <w:r w:rsidRPr="00675178">
              <w:rPr>
                <w:rFonts w:ascii="Arial" w:hAnsi="Arial" w:cs="Arial"/>
                <w:sz w:val="22"/>
                <w:szCs w:val="22"/>
              </w:rPr>
              <w:t xml:space="preserve"> from 2017/18 due to a combination of higher volumes and </w:t>
            </w:r>
            <w:r w:rsidR="00874FD2">
              <w:rPr>
                <w:rFonts w:ascii="Arial" w:hAnsi="Arial" w:cs="Arial"/>
                <w:sz w:val="22"/>
                <w:szCs w:val="22"/>
              </w:rPr>
              <w:t xml:space="preserve">the </w:t>
            </w:r>
            <w:r w:rsidRPr="00675178">
              <w:rPr>
                <w:rFonts w:ascii="Arial" w:hAnsi="Arial" w:cs="Arial"/>
                <w:sz w:val="22"/>
                <w:szCs w:val="22"/>
              </w:rPr>
              <w:t xml:space="preserve">scale of expected planning applications. These include </w:t>
            </w:r>
            <w:proofErr w:type="spellStart"/>
            <w:r w:rsidRPr="00675178">
              <w:rPr>
                <w:rFonts w:ascii="Arial" w:hAnsi="Arial" w:cs="Arial"/>
                <w:sz w:val="22"/>
                <w:szCs w:val="22"/>
              </w:rPr>
              <w:t>Leavesden</w:t>
            </w:r>
            <w:proofErr w:type="spellEnd"/>
            <w:r w:rsidRPr="00675178">
              <w:rPr>
                <w:rFonts w:ascii="Arial" w:hAnsi="Arial" w:cs="Arial"/>
                <w:sz w:val="22"/>
                <w:szCs w:val="22"/>
              </w:rPr>
              <w:t xml:space="preserve"> studios, the South </w:t>
            </w:r>
            <w:proofErr w:type="spellStart"/>
            <w:r w:rsidRPr="00675178">
              <w:rPr>
                <w:rFonts w:ascii="Arial" w:hAnsi="Arial" w:cs="Arial"/>
                <w:sz w:val="22"/>
                <w:szCs w:val="22"/>
              </w:rPr>
              <w:t>Oxhey</w:t>
            </w:r>
            <w:proofErr w:type="spellEnd"/>
            <w:r w:rsidRPr="00675178">
              <w:rPr>
                <w:rFonts w:ascii="Arial" w:hAnsi="Arial" w:cs="Arial"/>
                <w:sz w:val="22"/>
                <w:szCs w:val="22"/>
              </w:rPr>
              <w:t xml:space="preserve"> initiative and the new secondary school site in Croxley Green.</w:t>
            </w:r>
          </w:p>
          <w:p w:rsidR="00603F09" w:rsidRPr="00675178" w:rsidRDefault="00603F09" w:rsidP="00603F09">
            <w:pPr>
              <w:pStyle w:val="ListParagraph"/>
              <w:tabs>
                <w:tab w:val="left" w:pos="1260"/>
                <w:tab w:val="left" w:pos="1980"/>
                <w:tab w:val="left" w:pos="2700"/>
                <w:tab w:val="left" w:pos="3420"/>
              </w:tabs>
              <w:jc w:val="both"/>
              <w:rPr>
                <w:sz w:val="22"/>
                <w:szCs w:val="22"/>
              </w:rPr>
            </w:pPr>
          </w:p>
          <w:p w:rsidR="00675178" w:rsidRPr="00AA17A1" w:rsidRDefault="000D0106" w:rsidP="00675178">
            <w:pPr>
              <w:pStyle w:val="ListParagraph"/>
              <w:numPr>
                <w:ilvl w:val="0"/>
                <w:numId w:val="22"/>
              </w:numPr>
              <w:tabs>
                <w:tab w:val="left" w:pos="1260"/>
                <w:tab w:val="left" w:pos="1980"/>
                <w:tab w:val="left" w:pos="2700"/>
                <w:tab w:val="left" w:pos="3420"/>
              </w:tabs>
              <w:jc w:val="both"/>
              <w:rPr>
                <w:rFonts w:ascii="Arial" w:hAnsi="Arial" w:cs="Arial"/>
                <w:b/>
                <w:bCs/>
                <w:sz w:val="22"/>
                <w:szCs w:val="22"/>
              </w:rPr>
            </w:pPr>
            <w:r w:rsidRPr="00675178">
              <w:rPr>
                <w:rFonts w:ascii="Arial" w:hAnsi="Arial" w:cs="Arial"/>
                <w:sz w:val="22"/>
                <w:szCs w:val="22"/>
              </w:rPr>
              <w:t xml:space="preserve">Increase in the management fee payable to the Council of £0.130 million </w:t>
            </w:r>
            <w:r w:rsidR="00874FD2">
              <w:rPr>
                <w:rFonts w:ascii="Arial" w:hAnsi="Arial" w:cs="Arial"/>
                <w:sz w:val="22"/>
                <w:szCs w:val="22"/>
              </w:rPr>
              <w:t xml:space="preserve">per </w:t>
            </w:r>
            <w:r w:rsidR="00874FD2">
              <w:rPr>
                <w:rFonts w:ascii="Arial" w:hAnsi="Arial" w:cs="Arial"/>
                <w:sz w:val="22"/>
                <w:szCs w:val="22"/>
              </w:rPr>
              <w:lastRenderedPageBreak/>
              <w:t xml:space="preserve">annum </w:t>
            </w:r>
            <w:r w:rsidRPr="00675178">
              <w:rPr>
                <w:rFonts w:ascii="Arial" w:hAnsi="Arial" w:cs="Arial"/>
                <w:sz w:val="22"/>
                <w:szCs w:val="22"/>
              </w:rPr>
              <w:t xml:space="preserve">from 2018/19 for the retender of the leisure facilities contract. This is a prudent estimate based on the affordability level that bidders are </w:t>
            </w:r>
            <w:r w:rsidR="00874FD2">
              <w:rPr>
                <w:rFonts w:ascii="Arial" w:hAnsi="Arial" w:cs="Arial"/>
                <w:sz w:val="22"/>
                <w:szCs w:val="22"/>
              </w:rPr>
              <w:t xml:space="preserve">currently </w:t>
            </w:r>
            <w:r w:rsidRPr="00675178">
              <w:rPr>
                <w:rFonts w:ascii="Arial" w:hAnsi="Arial" w:cs="Arial"/>
                <w:sz w:val="22"/>
                <w:szCs w:val="22"/>
              </w:rPr>
              <w:t>being evaluated against.</w:t>
            </w:r>
          </w:p>
          <w:p w:rsidR="00AA17A1" w:rsidRPr="00675178" w:rsidRDefault="00AA17A1" w:rsidP="00AA17A1">
            <w:pPr>
              <w:pStyle w:val="ListParagraph"/>
              <w:tabs>
                <w:tab w:val="left" w:pos="1260"/>
                <w:tab w:val="left" w:pos="1980"/>
                <w:tab w:val="left" w:pos="2700"/>
                <w:tab w:val="left" w:pos="3420"/>
              </w:tabs>
              <w:jc w:val="both"/>
              <w:rPr>
                <w:rFonts w:ascii="Arial" w:hAnsi="Arial" w:cs="Arial"/>
                <w:b/>
                <w:bCs/>
                <w:sz w:val="22"/>
                <w:szCs w:val="22"/>
              </w:rPr>
            </w:pPr>
            <w:bookmarkStart w:id="0" w:name="_GoBack"/>
            <w:bookmarkEnd w:id="0"/>
          </w:p>
          <w:p w:rsidR="00675178" w:rsidRDefault="00675178" w:rsidP="000D0106">
            <w:pPr>
              <w:pStyle w:val="ListParagraph"/>
              <w:numPr>
                <w:ilvl w:val="0"/>
                <w:numId w:val="22"/>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Increase in car parking charges of £0.300 million</w:t>
            </w:r>
            <w:r w:rsidR="00874FD2">
              <w:rPr>
                <w:rFonts w:ascii="Arial" w:hAnsi="Arial" w:cs="Arial"/>
                <w:sz w:val="22"/>
                <w:szCs w:val="22"/>
              </w:rPr>
              <w:t xml:space="preserve"> per annum</w:t>
            </w:r>
            <w:r>
              <w:rPr>
                <w:rFonts w:ascii="Arial" w:hAnsi="Arial" w:cs="Arial"/>
                <w:sz w:val="22"/>
                <w:szCs w:val="22"/>
              </w:rPr>
              <w:t xml:space="preserve"> from 2017/18 due to implementing new charging regimes f</w:t>
            </w:r>
            <w:r w:rsidR="00874FD2">
              <w:rPr>
                <w:rFonts w:ascii="Arial" w:hAnsi="Arial" w:cs="Arial"/>
                <w:sz w:val="22"/>
                <w:szCs w:val="22"/>
              </w:rPr>
              <w:t>or</w:t>
            </w:r>
            <w:r>
              <w:rPr>
                <w:rFonts w:ascii="Arial" w:hAnsi="Arial" w:cs="Arial"/>
                <w:sz w:val="22"/>
                <w:szCs w:val="22"/>
              </w:rPr>
              <w:t xml:space="preserve"> off</w:t>
            </w:r>
            <w:r w:rsidR="00874FD2">
              <w:rPr>
                <w:rFonts w:ascii="Arial" w:hAnsi="Arial" w:cs="Arial"/>
                <w:sz w:val="22"/>
                <w:szCs w:val="22"/>
              </w:rPr>
              <w:t>-</w:t>
            </w:r>
            <w:r>
              <w:rPr>
                <w:rFonts w:ascii="Arial" w:hAnsi="Arial" w:cs="Arial"/>
                <w:sz w:val="22"/>
                <w:szCs w:val="22"/>
              </w:rPr>
              <w:t>street parking and an increase in public parking provision.</w:t>
            </w:r>
            <w:r w:rsidR="00DC1D05">
              <w:rPr>
                <w:rFonts w:ascii="Arial" w:hAnsi="Arial" w:cs="Arial"/>
                <w:sz w:val="22"/>
                <w:szCs w:val="22"/>
              </w:rPr>
              <w:t xml:space="preserve"> The £0.050 million capital outlay relating to this initiative has also been included in the capital programme base budget for 2017/18.</w:t>
            </w:r>
          </w:p>
          <w:p w:rsidR="000D0106" w:rsidRPr="000D0106" w:rsidRDefault="000D0106" w:rsidP="000D0106">
            <w:pPr>
              <w:tabs>
                <w:tab w:val="left" w:pos="1260"/>
                <w:tab w:val="left" w:pos="1980"/>
                <w:tab w:val="left" w:pos="2700"/>
                <w:tab w:val="left" w:pos="3420"/>
              </w:tabs>
              <w:jc w:val="both"/>
              <w:rPr>
                <w:sz w:val="22"/>
                <w:szCs w:val="22"/>
              </w:rPr>
            </w:pPr>
          </w:p>
        </w:tc>
      </w:tr>
      <w:tr w:rsidR="002540C2" w:rsidRPr="00CF7499" w:rsidTr="003A11F0">
        <w:trPr>
          <w:gridBefore w:val="1"/>
          <w:wBefore w:w="34" w:type="dxa"/>
          <w:trHeight w:val="942"/>
        </w:trPr>
        <w:tc>
          <w:tcPr>
            <w:cnfStyle w:val="001000000000" w:firstRow="0" w:lastRow="0" w:firstColumn="1" w:lastColumn="0" w:oddVBand="0" w:evenVBand="0" w:oddHBand="0" w:evenHBand="0" w:firstRowFirstColumn="0" w:firstRowLastColumn="0" w:lastRowFirstColumn="0" w:lastRowLastColumn="0"/>
            <w:tcW w:w="959" w:type="dxa"/>
          </w:tcPr>
          <w:p w:rsidR="002540C2" w:rsidRDefault="002540C2" w:rsidP="00675178">
            <w:pPr>
              <w:jc w:val="both"/>
              <w:rPr>
                <w:rFonts w:cs="Arial"/>
                <w:sz w:val="22"/>
                <w:szCs w:val="22"/>
              </w:rPr>
            </w:pPr>
            <w:r>
              <w:rPr>
                <w:rFonts w:cs="Arial"/>
                <w:sz w:val="22"/>
                <w:szCs w:val="22"/>
              </w:rPr>
              <w:lastRenderedPageBreak/>
              <w:t>2.1</w:t>
            </w:r>
            <w:r w:rsidR="0067517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2540C2" w:rsidRPr="00786988" w:rsidRDefault="002540C2" w:rsidP="00644D2E">
            <w:pPr>
              <w:tabs>
                <w:tab w:val="left" w:pos="1260"/>
                <w:tab w:val="left" w:pos="1980"/>
                <w:tab w:val="left" w:pos="2700"/>
                <w:tab w:val="left" w:pos="3420"/>
              </w:tabs>
              <w:jc w:val="both"/>
              <w:rPr>
                <w:sz w:val="22"/>
                <w:szCs w:val="22"/>
              </w:rPr>
            </w:pPr>
            <w:r w:rsidRPr="003A11F0">
              <w:rPr>
                <w:sz w:val="22"/>
                <w:szCs w:val="22"/>
              </w:rPr>
              <w:t xml:space="preserve">Appendix </w:t>
            </w:r>
            <w:r w:rsidR="00BD7656" w:rsidRPr="003A11F0">
              <w:rPr>
                <w:sz w:val="22"/>
                <w:szCs w:val="22"/>
              </w:rPr>
              <w:t>3</w:t>
            </w:r>
            <w:r>
              <w:rPr>
                <w:sz w:val="22"/>
                <w:szCs w:val="22"/>
              </w:rPr>
              <w:t xml:space="preserve"> includes the </w:t>
            </w:r>
            <w:r w:rsidRPr="00850A19">
              <w:rPr>
                <w:sz w:val="22"/>
                <w:szCs w:val="22"/>
              </w:rPr>
              <w:t xml:space="preserve">variances </w:t>
            </w:r>
            <w:r>
              <w:rPr>
                <w:sz w:val="22"/>
                <w:szCs w:val="22"/>
              </w:rPr>
              <w:t xml:space="preserve">reported </w:t>
            </w:r>
            <w:r w:rsidRPr="00850A19">
              <w:rPr>
                <w:sz w:val="22"/>
                <w:szCs w:val="22"/>
              </w:rPr>
              <w:t>for the current period</w:t>
            </w:r>
            <w:r w:rsidR="00333C45">
              <w:rPr>
                <w:sz w:val="22"/>
                <w:szCs w:val="22"/>
              </w:rPr>
              <w:t xml:space="preserve"> (end of December)</w:t>
            </w:r>
            <w:r>
              <w:rPr>
                <w:sz w:val="22"/>
                <w:szCs w:val="22"/>
              </w:rPr>
              <w:t xml:space="preserve"> that </w:t>
            </w:r>
            <w:r w:rsidR="003A11F0">
              <w:rPr>
                <w:sz w:val="22"/>
                <w:szCs w:val="22"/>
              </w:rPr>
              <w:t>a</w:t>
            </w:r>
            <w:r>
              <w:rPr>
                <w:sz w:val="22"/>
                <w:szCs w:val="22"/>
              </w:rPr>
              <w:t>ffect</w:t>
            </w:r>
            <w:r w:rsidR="003A11F0">
              <w:rPr>
                <w:sz w:val="22"/>
                <w:szCs w:val="22"/>
              </w:rPr>
              <w:t>s</w:t>
            </w:r>
            <w:r>
              <w:rPr>
                <w:sz w:val="22"/>
                <w:szCs w:val="22"/>
              </w:rPr>
              <w:t xml:space="preserve"> all years</w:t>
            </w:r>
            <w:r w:rsidRPr="00850A19">
              <w:rPr>
                <w:sz w:val="22"/>
                <w:szCs w:val="22"/>
              </w:rPr>
              <w:t xml:space="preserve">. </w:t>
            </w:r>
            <w:r>
              <w:rPr>
                <w:sz w:val="22"/>
                <w:szCs w:val="22"/>
              </w:rPr>
              <w:t xml:space="preserve"> </w:t>
            </w:r>
            <w:r w:rsidR="00D067E7">
              <w:rPr>
                <w:sz w:val="22"/>
                <w:szCs w:val="22"/>
              </w:rPr>
              <w:t>The</w:t>
            </w:r>
            <w:r w:rsidRPr="00BF159E">
              <w:rPr>
                <w:rFonts w:cs="Arial"/>
                <w:sz w:val="22"/>
                <w:szCs w:val="22"/>
                <w:lang w:eastAsia="en-GB"/>
              </w:rPr>
              <w:t xml:space="preserve"> </w:t>
            </w:r>
            <w:r w:rsidR="00644D2E">
              <w:rPr>
                <w:rFonts w:cs="Arial"/>
                <w:sz w:val="22"/>
                <w:szCs w:val="22"/>
                <w:lang w:eastAsia="en-GB"/>
              </w:rPr>
              <w:t>e</w:t>
            </w:r>
            <w:r w:rsidR="00644D2E" w:rsidRPr="00BF159E">
              <w:rPr>
                <w:rFonts w:cs="Arial"/>
                <w:sz w:val="22"/>
                <w:szCs w:val="22"/>
                <w:lang w:eastAsia="en-GB"/>
              </w:rPr>
              <w:t>ffect</w:t>
            </w:r>
            <w:r w:rsidRPr="00BF159E">
              <w:rPr>
                <w:rFonts w:cs="Arial"/>
                <w:sz w:val="22"/>
                <w:szCs w:val="22"/>
                <w:lang w:eastAsia="en-GB"/>
              </w:rPr>
              <w:t xml:space="preserve"> of the </w:t>
            </w:r>
            <w:r>
              <w:rPr>
                <w:rFonts w:cs="Arial"/>
                <w:sz w:val="22"/>
                <w:szCs w:val="22"/>
                <w:lang w:eastAsia="en-GB"/>
              </w:rPr>
              <w:t xml:space="preserve">all </w:t>
            </w:r>
            <w:r w:rsidRPr="00BF159E">
              <w:rPr>
                <w:rFonts w:cs="Arial"/>
                <w:sz w:val="22"/>
                <w:szCs w:val="22"/>
                <w:lang w:eastAsia="en-GB"/>
              </w:rPr>
              <w:t>variances on the Council’s (surplus)/deficit for the year and the general fund balance over the medium term is shown in the table below.</w:t>
            </w:r>
          </w:p>
        </w:tc>
      </w:tr>
      <w:tr w:rsidR="009A7768" w:rsidRPr="00CF7499" w:rsidTr="002540C2">
        <w:trPr>
          <w:gridBefore w:val="1"/>
          <w:wBefore w:w="34" w:type="dxa"/>
          <w:trHeight w:val="3553"/>
        </w:trPr>
        <w:tc>
          <w:tcPr>
            <w:cnfStyle w:val="001000000000" w:firstRow="0" w:lastRow="0" w:firstColumn="1" w:lastColumn="0" w:oddVBand="0" w:evenVBand="0" w:oddHBand="0" w:evenHBand="0" w:firstRowFirstColumn="0" w:firstRowLastColumn="0" w:lastRowFirstColumn="0" w:lastRowLastColumn="0"/>
            <w:tcW w:w="959" w:type="dxa"/>
          </w:tcPr>
          <w:p w:rsidR="009A7768" w:rsidRDefault="009A7768" w:rsidP="00353FEC">
            <w:pPr>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9A7768" w:rsidRPr="00BF159E" w:rsidRDefault="009A7768" w:rsidP="009A7768">
            <w:pPr>
              <w:tabs>
                <w:tab w:val="left" w:pos="1260"/>
                <w:tab w:val="left" w:pos="1980"/>
                <w:tab w:val="left" w:pos="2700"/>
                <w:tab w:val="left" w:pos="3420"/>
              </w:tabs>
              <w:ind w:left="1267" w:hanging="1267"/>
              <w:jc w:val="both"/>
              <w:rPr>
                <w:rFonts w:cs="Arial"/>
                <w:sz w:val="22"/>
                <w:szCs w:val="22"/>
                <w:lang w:eastAsia="en-GB"/>
              </w:rPr>
            </w:pPr>
          </w:p>
          <w:tbl>
            <w:tblPr>
              <w:tblStyle w:val="TableGrid"/>
              <w:tblW w:w="7683" w:type="dxa"/>
              <w:tblLayout w:type="fixed"/>
              <w:tblLook w:val="04A0" w:firstRow="1" w:lastRow="0" w:firstColumn="1" w:lastColumn="0" w:noHBand="0" w:noVBand="1"/>
            </w:tblPr>
            <w:tblGrid>
              <w:gridCol w:w="1843"/>
              <w:gridCol w:w="1275"/>
              <w:gridCol w:w="1134"/>
              <w:gridCol w:w="1163"/>
              <w:gridCol w:w="1134"/>
              <w:gridCol w:w="1134"/>
            </w:tblGrid>
            <w:tr w:rsidR="005640FC" w:rsidRPr="00BF159E" w:rsidTr="005640FC">
              <w:trPr>
                <w:trHeight w:val="575"/>
              </w:trPr>
              <w:tc>
                <w:tcPr>
                  <w:tcW w:w="1843" w:type="dxa"/>
                  <w:vMerge w:val="restart"/>
                </w:tcPr>
                <w:p w:rsidR="005640FC" w:rsidRPr="00BF159E" w:rsidRDefault="005640FC" w:rsidP="009A7768">
                  <w:pPr>
                    <w:tabs>
                      <w:tab w:val="left" w:pos="1260"/>
                      <w:tab w:val="left" w:pos="1980"/>
                      <w:tab w:val="left" w:pos="2700"/>
                      <w:tab w:val="left" w:pos="3420"/>
                    </w:tabs>
                    <w:jc w:val="center"/>
                    <w:rPr>
                      <w:rFonts w:cs="Arial"/>
                      <w:b/>
                      <w:sz w:val="22"/>
                      <w:szCs w:val="22"/>
                      <w:lang w:eastAsia="en-GB"/>
                    </w:rPr>
                  </w:pPr>
                </w:p>
                <w:p w:rsidR="005640FC" w:rsidRPr="00BF159E" w:rsidRDefault="005640FC" w:rsidP="009A7768">
                  <w:pPr>
                    <w:tabs>
                      <w:tab w:val="left" w:pos="1260"/>
                      <w:tab w:val="left" w:pos="1980"/>
                      <w:tab w:val="left" w:pos="2700"/>
                      <w:tab w:val="left" w:pos="3420"/>
                    </w:tabs>
                    <w:jc w:val="center"/>
                    <w:rPr>
                      <w:rFonts w:cs="Arial"/>
                      <w:b/>
                      <w:sz w:val="22"/>
                      <w:szCs w:val="22"/>
                      <w:lang w:eastAsia="en-GB"/>
                    </w:rPr>
                  </w:pPr>
                </w:p>
                <w:p w:rsidR="005640FC" w:rsidRPr="00BF159E" w:rsidRDefault="005640FC" w:rsidP="009A7768">
                  <w:pPr>
                    <w:tabs>
                      <w:tab w:val="left" w:pos="1260"/>
                      <w:tab w:val="left" w:pos="1980"/>
                      <w:tab w:val="left" w:pos="2700"/>
                      <w:tab w:val="left" w:pos="3420"/>
                    </w:tabs>
                    <w:jc w:val="center"/>
                    <w:rPr>
                      <w:rFonts w:cs="Arial"/>
                      <w:b/>
                      <w:sz w:val="22"/>
                      <w:szCs w:val="22"/>
                      <w:lang w:eastAsia="en-GB"/>
                    </w:rPr>
                  </w:pPr>
                  <w:r w:rsidRPr="00BF159E">
                    <w:rPr>
                      <w:rFonts w:cs="Arial"/>
                      <w:b/>
                      <w:sz w:val="22"/>
                      <w:szCs w:val="22"/>
                      <w:lang w:eastAsia="en-GB"/>
                    </w:rPr>
                    <w:t>Movement  on            General Fund</w:t>
                  </w:r>
                </w:p>
              </w:tc>
              <w:tc>
                <w:tcPr>
                  <w:tcW w:w="1275" w:type="dxa"/>
                  <w:vAlign w:val="center"/>
                </w:tcPr>
                <w:p w:rsidR="005640FC" w:rsidRPr="00BF159E" w:rsidRDefault="005640FC" w:rsidP="009A7768">
                  <w:pPr>
                    <w:tabs>
                      <w:tab w:val="left" w:pos="1260"/>
                      <w:tab w:val="left" w:pos="1980"/>
                      <w:tab w:val="left" w:pos="2700"/>
                      <w:tab w:val="left" w:pos="3420"/>
                    </w:tabs>
                    <w:jc w:val="center"/>
                    <w:rPr>
                      <w:rFonts w:cs="Arial"/>
                      <w:b/>
                      <w:sz w:val="22"/>
                      <w:szCs w:val="22"/>
                      <w:lang w:eastAsia="en-GB"/>
                    </w:rPr>
                  </w:pPr>
                  <w:r w:rsidRPr="00BF159E">
                    <w:rPr>
                      <w:rFonts w:cs="Arial"/>
                      <w:b/>
                      <w:sz w:val="22"/>
                      <w:szCs w:val="22"/>
                      <w:lang w:eastAsia="en-GB"/>
                    </w:rPr>
                    <w:t>2016/17</w:t>
                  </w:r>
                </w:p>
              </w:tc>
              <w:tc>
                <w:tcPr>
                  <w:tcW w:w="1134" w:type="dxa"/>
                  <w:vAlign w:val="center"/>
                </w:tcPr>
                <w:p w:rsidR="005640FC" w:rsidRPr="00BF159E" w:rsidRDefault="005640FC" w:rsidP="009A7768">
                  <w:pPr>
                    <w:tabs>
                      <w:tab w:val="left" w:pos="1260"/>
                      <w:tab w:val="left" w:pos="1980"/>
                      <w:tab w:val="left" w:pos="2700"/>
                      <w:tab w:val="left" w:pos="3420"/>
                    </w:tabs>
                    <w:jc w:val="center"/>
                    <w:rPr>
                      <w:rFonts w:cs="Arial"/>
                      <w:b/>
                      <w:sz w:val="22"/>
                      <w:szCs w:val="22"/>
                      <w:lang w:eastAsia="en-GB"/>
                    </w:rPr>
                  </w:pPr>
                  <w:r w:rsidRPr="00BF159E">
                    <w:rPr>
                      <w:rFonts w:cs="Arial"/>
                      <w:b/>
                      <w:sz w:val="22"/>
                      <w:szCs w:val="22"/>
                      <w:lang w:eastAsia="en-GB"/>
                    </w:rPr>
                    <w:t>2016/17</w:t>
                  </w:r>
                </w:p>
              </w:tc>
              <w:tc>
                <w:tcPr>
                  <w:tcW w:w="1163" w:type="dxa"/>
                  <w:vAlign w:val="center"/>
                </w:tcPr>
                <w:p w:rsidR="005640FC" w:rsidRPr="00BF159E" w:rsidRDefault="005640FC" w:rsidP="009A7768">
                  <w:pPr>
                    <w:tabs>
                      <w:tab w:val="left" w:pos="1260"/>
                      <w:tab w:val="left" w:pos="1980"/>
                      <w:tab w:val="left" w:pos="2700"/>
                      <w:tab w:val="left" w:pos="3420"/>
                    </w:tabs>
                    <w:jc w:val="center"/>
                    <w:rPr>
                      <w:rFonts w:cs="Arial"/>
                      <w:b/>
                      <w:sz w:val="22"/>
                      <w:szCs w:val="22"/>
                      <w:lang w:eastAsia="en-GB"/>
                    </w:rPr>
                  </w:pPr>
                  <w:r w:rsidRPr="00BF159E">
                    <w:rPr>
                      <w:rFonts w:cs="Arial"/>
                      <w:b/>
                      <w:sz w:val="22"/>
                      <w:szCs w:val="22"/>
                      <w:lang w:eastAsia="en-GB"/>
                    </w:rPr>
                    <w:t>2017/18</w:t>
                  </w:r>
                </w:p>
              </w:tc>
              <w:tc>
                <w:tcPr>
                  <w:tcW w:w="1134" w:type="dxa"/>
                  <w:vAlign w:val="center"/>
                </w:tcPr>
                <w:p w:rsidR="005640FC" w:rsidRPr="00BF159E" w:rsidRDefault="005640FC" w:rsidP="00241DBE">
                  <w:pPr>
                    <w:tabs>
                      <w:tab w:val="left" w:pos="1260"/>
                      <w:tab w:val="left" w:pos="1980"/>
                      <w:tab w:val="left" w:pos="2700"/>
                      <w:tab w:val="left" w:pos="3420"/>
                    </w:tabs>
                    <w:jc w:val="center"/>
                    <w:rPr>
                      <w:rFonts w:cs="Arial"/>
                      <w:b/>
                      <w:sz w:val="22"/>
                      <w:szCs w:val="22"/>
                      <w:lang w:eastAsia="en-GB"/>
                    </w:rPr>
                  </w:pPr>
                  <w:r w:rsidRPr="00BF159E">
                    <w:rPr>
                      <w:rFonts w:cs="Arial"/>
                      <w:b/>
                      <w:sz w:val="22"/>
                      <w:szCs w:val="22"/>
                      <w:lang w:eastAsia="en-GB"/>
                    </w:rPr>
                    <w:t>201</w:t>
                  </w:r>
                  <w:r>
                    <w:rPr>
                      <w:rFonts w:cs="Arial"/>
                      <w:b/>
                      <w:sz w:val="22"/>
                      <w:szCs w:val="22"/>
                      <w:lang w:eastAsia="en-GB"/>
                    </w:rPr>
                    <w:t>8</w:t>
                  </w:r>
                  <w:r w:rsidRPr="00BF159E">
                    <w:rPr>
                      <w:rFonts w:cs="Arial"/>
                      <w:b/>
                      <w:sz w:val="22"/>
                      <w:szCs w:val="22"/>
                      <w:lang w:eastAsia="en-GB"/>
                    </w:rPr>
                    <w:t>/1</w:t>
                  </w:r>
                  <w:r>
                    <w:rPr>
                      <w:rFonts w:cs="Arial"/>
                      <w:b/>
                      <w:sz w:val="22"/>
                      <w:szCs w:val="22"/>
                      <w:lang w:eastAsia="en-GB"/>
                    </w:rPr>
                    <w:t>9</w:t>
                  </w:r>
                </w:p>
              </w:tc>
              <w:tc>
                <w:tcPr>
                  <w:tcW w:w="1134" w:type="dxa"/>
                </w:tcPr>
                <w:p w:rsidR="005640FC" w:rsidRDefault="005640FC" w:rsidP="009A7768">
                  <w:pPr>
                    <w:tabs>
                      <w:tab w:val="left" w:pos="1260"/>
                      <w:tab w:val="left" w:pos="1980"/>
                      <w:tab w:val="left" w:pos="2700"/>
                      <w:tab w:val="left" w:pos="3420"/>
                    </w:tabs>
                    <w:jc w:val="center"/>
                    <w:rPr>
                      <w:rFonts w:cs="Arial"/>
                      <w:b/>
                      <w:sz w:val="22"/>
                      <w:szCs w:val="22"/>
                      <w:lang w:eastAsia="en-GB"/>
                    </w:rPr>
                  </w:pPr>
                </w:p>
                <w:p w:rsidR="005640FC" w:rsidRPr="00BF159E" w:rsidRDefault="005640FC" w:rsidP="00F933B6">
                  <w:pPr>
                    <w:tabs>
                      <w:tab w:val="left" w:pos="1260"/>
                      <w:tab w:val="left" w:pos="1980"/>
                      <w:tab w:val="left" w:pos="2700"/>
                      <w:tab w:val="left" w:pos="3420"/>
                    </w:tabs>
                    <w:jc w:val="center"/>
                    <w:rPr>
                      <w:rFonts w:cs="Arial"/>
                      <w:b/>
                      <w:sz w:val="22"/>
                      <w:szCs w:val="22"/>
                      <w:lang w:eastAsia="en-GB"/>
                    </w:rPr>
                  </w:pPr>
                  <w:r w:rsidRPr="00BF159E">
                    <w:rPr>
                      <w:rFonts w:cs="Arial"/>
                      <w:b/>
                      <w:sz w:val="22"/>
                      <w:szCs w:val="22"/>
                      <w:lang w:eastAsia="en-GB"/>
                    </w:rPr>
                    <w:t>201</w:t>
                  </w:r>
                  <w:r>
                    <w:rPr>
                      <w:rFonts w:cs="Arial"/>
                      <w:b/>
                      <w:sz w:val="22"/>
                      <w:szCs w:val="22"/>
                      <w:lang w:eastAsia="en-GB"/>
                    </w:rPr>
                    <w:t>9</w:t>
                  </w:r>
                  <w:r w:rsidRPr="00BF159E">
                    <w:rPr>
                      <w:rFonts w:cs="Arial"/>
                      <w:b/>
                      <w:sz w:val="22"/>
                      <w:szCs w:val="22"/>
                      <w:lang w:eastAsia="en-GB"/>
                    </w:rPr>
                    <w:t>/</w:t>
                  </w:r>
                  <w:r>
                    <w:rPr>
                      <w:rFonts w:cs="Arial"/>
                      <w:b/>
                      <w:sz w:val="22"/>
                      <w:szCs w:val="22"/>
                      <w:lang w:eastAsia="en-GB"/>
                    </w:rPr>
                    <w:t>20</w:t>
                  </w:r>
                </w:p>
              </w:tc>
            </w:tr>
            <w:tr w:rsidR="005640FC" w:rsidRPr="00BF159E" w:rsidTr="005640FC">
              <w:tc>
                <w:tcPr>
                  <w:tcW w:w="1843" w:type="dxa"/>
                  <w:vMerge/>
                </w:tcPr>
                <w:p w:rsidR="005640FC" w:rsidRPr="00BF159E" w:rsidRDefault="005640FC" w:rsidP="009A7768">
                  <w:pPr>
                    <w:tabs>
                      <w:tab w:val="left" w:pos="1260"/>
                      <w:tab w:val="left" w:pos="1980"/>
                      <w:tab w:val="left" w:pos="2700"/>
                      <w:tab w:val="left" w:pos="3420"/>
                    </w:tabs>
                    <w:jc w:val="both"/>
                    <w:rPr>
                      <w:rFonts w:cs="Arial"/>
                      <w:b/>
                      <w:sz w:val="22"/>
                      <w:szCs w:val="22"/>
                      <w:lang w:eastAsia="en-GB"/>
                    </w:rPr>
                  </w:pPr>
                </w:p>
              </w:tc>
              <w:tc>
                <w:tcPr>
                  <w:tcW w:w="1275" w:type="dxa"/>
                </w:tcPr>
                <w:p w:rsidR="005640FC" w:rsidRPr="00BF159E" w:rsidRDefault="005640FC" w:rsidP="00102165">
                  <w:pPr>
                    <w:tabs>
                      <w:tab w:val="left" w:pos="1260"/>
                      <w:tab w:val="left" w:pos="1980"/>
                      <w:tab w:val="left" w:pos="2700"/>
                      <w:tab w:val="left" w:pos="3420"/>
                    </w:tabs>
                    <w:jc w:val="center"/>
                    <w:rPr>
                      <w:rFonts w:cs="Arial"/>
                      <w:b/>
                      <w:sz w:val="22"/>
                      <w:szCs w:val="22"/>
                      <w:lang w:eastAsia="en-GB"/>
                    </w:rPr>
                  </w:pPr>
                  <w:r w:rsidRPr="00BF159E">
                    <w:rPr>
                      <w:rFonts w:cs="Arial"/>
                      <w:b/>
                      <w:sz w:val="22"/>
                      <w:szCs w:val="22"/>
                      <w:lang w:eastAsia="en-GB"/>
                    </w:rPr>
                    <w:t xml:space="preserve">Latest </w:t>
                  </w:r>
                  <w:r w:rsidR="00102165">
                    <w:rPr>
                      <w:rFonts w:cs="Arial"/>
                      <w:b/>
                      <w:sz w:val="22"/>
                      <w:szCs w:val="22"/>
                      <w:lang w:eastAsia="en-GB"/>
                    </w:rPr>
                    <w:t>Budget</w:t>
                  </w:r>
                </w:p>
              </w:tc>
              <w:tc>
                <w:tcPr>
                  <w:tcW w:w="1134" w:type="dxa"/>
                </w:tcPr>
                <w:p w:rsidR="005640FC" w:rsidRPr="00BF159E" w:rsidRDefault="005640FC" w:rsidP="009A7768">
                  <w:pPr>
                    <w:tabs>
                      <w:tab w:val="left" w:pos="1260"/>
                      <w:tab w:val="left" w:pos="1980"/>
                      <w:tab w:val="left" w:pos="2700"/>
                      <w:tab w:val="left" w:pos="3420"/>
                    </w:tabs>
                    <w:jc w:val="center"/>
                    <w:rPr>
                      <w:rFonts w:cs="Arial"/>
                      <w:b/>
                      <w:sz w:val="22"/>
                      <w:szCs w:val="22"/>
                      <w:lang w:eastAsia="en-GB"/>
                    </w:rPr>
                  </w:pPr>
                  <w:r>
                    <w:rPr>
                      <w:rFonts w:cs="Arial"/>
                      <w:b/>
                      <w:sz w:val="22"/>
                      <w:szCs w:val="22"/>
                      <w:lang w:eastAsia="en-GB"/>
                    </w:rPr>
                    <w:t>Revised Budget</w:t>
                  </w:r>
                </w:p>
              </w:tc>
              <w:tc>
                <w:tcPr>
                  <w:tcW w:w="1163" w:type="dxa"/>
                </w:tcPr>
                <w:p w:rsidR="005640FC" w:rsidRPr="00BF159E" w:rsidRDefault="005640FC" w:rsidP="009A7768">
                  <w:pPr>
                    <w:tabs>
                      <w:tab w:val="left" w:pos="1260"/>
                      <w:tab w:val="left" w:pos="1980"/>
                      <w:tab w:val="left" w:pos="2700"/>
                      <w:tab w:val="left" w:pos="3420"/>
                    </w:tabs>
                    <w:jc w:val="center"/>
                    <w:rPr>
                      <w:rFonts w:cs="Arial"/>
                      <w:b/>
                      <w:sz w:val="22"/>
                      <w:szCs w:val="22"/>
                      <w:lang w:eastAsia="en-GB"/>
                    </w:rPr>
                  </w:pPr>
                  <w:r>
                    <w:rPr>
                      <w:rFonts w:cs="Arial"/>
                      <w:b/>
                      <w:sz w:val="22"/>
                      <w:szCs w:val="22"/>
                      <w:lang w:eastAsia="en-GB"/>
                    </w:rPr>
                    <w:t>Draft Budget</w:t>
                  </w:r>
                </w:p>
              </w:tc>
              <w:tc>
                <w:tcPr>
                  <w:tcW w:w="1134" w:type="dxa"/>
                </w:tcPr>
                <w:p w:rsidR="005640FC" w:rsidRPr="00BF159E" w:rsidRDefault="005640FC" w:rsidP="009A7768">
                  <w:pPr>
                    <w:tabs>
                      <w:tab w:val="left" w:pos="1260"/>
                      <w:tab w:val="left" w:pos="1980"/>
                      <w:tab w:val="left" w:pos="2700"/>
                      <w:tab w:val="left" w:pos="3420"/>
                    </w:tabs>
                    <w:jc w:val="center"/>
                    <w:rPr>
                      <w:rFonts w:cs="Arial"/>
                      <w:b/>
                      <w:sz w:val="22"/>
                      <w:szCs w:val="22"/>
                      <w:lang w:eastAsia="en-GB"/>
                    </w:rPr>
                  </w:pPr>
                  <w:r>
                    <w:rPr>
                      <w:rFonts w:cs="Arial"/>
                      <w:b/>
                      <w:sz w:val="22"/>
                      <w:szCs w:val="22"/>
                      <w:lang w:eastAsia="en-GB"/>
                    </w:rPr>
                    <w:t>Draft Budget</w:t>
                  </w:r>
                </w:p>
              </w:tc>
              <w:tc>
                <w:tcPr>
                  <w:tcW w:w="1134" w:type="dxa"/>
                </w:tcPr>
                <w:p w:rsidR="005640FC" w:rsidRPr="00E43629" w:rsidRDefault="005640FC" w:rsidP="009A7768">
                  <w:pPr>
                    <w:tabs>
                      <w:tab w:val="left" w:pos="1260"/>
                      <w:tab w:val="left" w:pos="1980"/>
                      <w:tab w:val="left" w:pos="2700"/>
                      <w:tab w:val="left" w:pos="3420"/>
                    </w:tabs>
                    <w:jc w:val="center"/>
                    <w:rPr>
                      <w:rFonts w:cs="Arial"/>
                      <w:b/>
                      <w:sz w:val="22"/>
                      <w:szCs w:val="22"/>
                      <w:lang w:eastAsia="en-GB"/>
                    </w:rPr>
                  </w:pPr>
                  <w:r w:rsidRPr="00E43629">
                    <w:rPr>
                      <w:rFonts w:cs="Arial"/>
                      <w:b/>
                      <w:sz w:val="22"/>
                      <w:szCs w:val="22"/>
                      <w:lang w:eastAsia="en-GB"/>
                    </w:rPr>
                    <w:t>Draft Budget</w:t>
                  </w:r>
                </w:p>
              </w:tc>
            </w:tr>
            <w:tr w:rsidR="005640FC" w:rsidRPr="00BF159E" w:rsidTr="005640FC">
              <w:tc>
                <w:tcPr>
                  <w:tcW w:w="1843" w:type="dxa"/>
                  <w:vMerge/>
                </w:tcPr>
                <w:p w:rsidR="005640FC" w:rsidRPr="00BF159E" w:rsidRDefault="005640FC" w:rsidP="009A7768">
                  <w:pPr>
                    <w:tabs>
                      <w:tab w:val="left" w:pos="1260"/>
                      <w:tab w:val="left" w:pos="1980"/>
                      <w:tab w:val="left" w:pos="2700"/>
                      <w:tab w:val="left" w:pos="3420"/>
                    </w:tabs>
                    <w:jc w:val="both"/>
                    <w:rPr>
                      <w:rFonts w:cs="Arial"/>
                      <w:b/>
                      <w:sz w:val="22"/>
                      <w:szCs w:val="22"/>
                      <w:lang w:eastAsia="en-GB"/>
                    </w:rPr>
                  </w:pPr>
                </w:p>
              </w:tc>
              <w:tc>
                <w:tcPr>
                  <w:tcW w:w="1275" w:type="dxa"/>
                </w:tcPr>
                <w:p w:rsidR="005640FC" w:rsidRPr="00BF159E" w:rsidRDefault="005640FC" w:rsidP="009A7768">
                  <w:pPr>
                    <w:tabs>
                      <w:tab w:val="left" w:pos="1260"/>
                      <w:tab w:val="left" w:pos="1980"/>
                      <w:tab w:val="left" w:pos="2700"/>
                      <w:tab w:val="left" w:pos="3420"/>
                    </w:tabs>
                    <w:jc w:val="center"/>
                    <w:rPr>
                      <w:rFonts w:cs="Arial"/>
                      <w:b/>
                      <w:sz w:val="22"/>
                      <w:szCs w:val="22"/>
                      <w:lang w:eastAsia="en-GB"/>
                    </w:rPr>
                  </w:pPr>
                  <w:r w:rsidRPr="00BF159E">
                    <w:rPr>
                      <w:rFonts w:cs="Arial"/>
                      <w:b/>
                      <w:sz w:val="22"/>
                      <w:szCs w:val="22"/>
                      <w:lang w:eastAsia="en-GB"/>
                    </w:rPr>
                    <w:t>£000</w:t>
                  </w:r>
                </w:p>
              </w:tc>
              <w:tc>
                <w:tcPr>
                  <w:tcW w:w="1134" w:type="dxa"/>
                </w:tcPr>
                <w:p w:rsidR="005640FC" w:rsidRPr="00BF159E" w:rsidRDefault="005640FC" w:rsidP="009A7768">
                  <w:pPr>
                    <w:tabs>
                      <w:tab w:val="left" w:pos="1260"/>
                      <w:tab w:val="left" w:pos="1980"/>
                      <w:tab w:val="left" w:pos="2700"/>
                      <w:tab w:val="left" w:pos="3420"/>
                    </w:tabs>
                    <w:jc w:val="center"/>
                    <w:rPr>
                      <w:rFonts w:cs="Arial"/>
                      <w:b/>
                      <w:sz w:val="22"/>
                      <w:szCs w:val="22"/>
                      <w:lang w:eastAsia="en-GB"/>
                    </w:rPr>
                  </w:pPr>
                  <w:r w:rsidRPr="00BF159E">
                    <w:rPr>
                      <w:rFonts w:cs="Arial"/>
                      <w:b/>
                      <w:sz w:val="22"/>
                      <w:szCs w:val="22"/>
                      <w:lang w:eastAsia="en-GB"/>
                    </w:rPr>
                    <w:t>£000</w:t>
                  </w:r>
                </w:p>
              </w:tc>
              <w:tc>
                <w:tcPr>
                  <w:tcW w:w="1163" w:type="dxa"/>
                </w:tcPr>
                <w:p w:rsidR="005640FC" w:rsidRPr="00BF159E" w:rsidRDefault="005640FC" w:rsidP="009A7768">
                  <w:pPr>
                    <w:tabs>
                      <w:tab w:val="left" w:pos="1260"/>
                      <w:tab w:val="left" w:pos="1980"/>
                      <w:tab w:val="left" w:pos="2700"/>
                      <w:tab w:val="left" w:pos="3420"/>
                    </w:tabs>
                    <w:jc w:val="center"/>
                    <w:rPr>
                      <w:rFonts w:cs="Arial"/>
                      <w:b/>
                      <w:sz w:val="22"/>
                      <w:szCs w:val="22"/>
                      <w:lang w:eastAsia="en-GB"/>
                    </w:rPr>
                  </w:pPr>
                  <w:r w:rsidRPr="00BF159E">
                    <w:rPr>
                      <w:rFonts w:cs="Arial"/>
                      <w:b/>
                      <w:sz w:val="22"/>
                      <w:szCs w:val="22"/>
                      <w:lang w:eastAsia="en-GB"/>
                    </w:rPr>
                    <w:t>£000</w:t>
                  </w:r>
                </w:p>
              </w:tc>
              <w:tc>
                <w:tcPr>
                  <w:tcW w:w="1134" w:type="dxa"/>
                </w:tcPr>
                <w:p w:rsidR="005640FC" w:rsidRPr="00BF159E" w:rsidRDefault="005640FC" w:rsidP="009A7768">
                  <w:pPr>
                    <w:tabs>
                      <w:tab w:val="left" w:pos="1260"/>
                      <w:tab w:val="left" w:pos="1980"/>
                      <w:tab w:val="left" w:pos="2700"/>
                      <w:tab w:val="left" w:pos="3420"/>
                    </w:tabs>
                    <w:jc w:val="center"/>
                    <w:rPr>
                      <w:rFonts w:cs="Arial"/>
                      <w:b/>
                      <w:sz w:val="22"/>
                      <w:szCs w:val="22"/>
                      <w:lang w:eastAsia="en-GB"/>
                    </w:rPr>
                  </w:pPr>
                  <w:r w:rsidRPr="00BF159E">
                    <w:rPr>
                      <w:rFonts w:cs="Arial"/>
                      <w:b/>
                      <w:sz w:val="22"/>
                      <w:szCs w:val="22"/>
                      <w:lang w:eastAsia="en-GB"/>
                    </w:rPr>
                    <w:t>£000</w:t>
                  </w:r>
                </w:p>
              </w:tc>
              <w:tc>
                <w:tcPr>
                  <w:tcW w:w="1134" w:type="dxa"/>
                </w:tcPr>
                <w:p w:rsidR="005640FC" w:rsidRPr="00E43629" w:rsidRDefault="005640FC" w:rsidP="009A7768">
                  <w:pPr>
                    <w:tabs>
                      <w:tab w:val="left" w:pos="1260"/>
                      <w:tab w:val="left" w:pos="1980"/>
                      <w:tab w:val="left" w:pos="2700"/>
                      <w:tab w:val="left" w:pos="3420"/>
                    </w:tabs>
                    <w:jc w:val="center"/>
                    <w:rPr>
                      <w:rFonts w:cs="Arial"/>
                      <w:b/>
                      <w:sz w:val="22"/>
                      <w:szCs w:val="22"/>
                      <w:lang w:eastAsia="en-GB"/>
                    </w:rPr>
                  </w:pPr>
                  <w:r w:rsidRPr="00E43629">
                    <w:rPr>
                      <w:rFonts w:cs="Arial"/>
                      <w:b/>
                      <w:sz w:val="22"/>
                      <w:szCs w:val="22"/>
                      <w:lang w:eastAsia="en-GB"/>
                    </w:rPr>
                    <w:t>£000</w:t>
                  </w:r>
                </w:p>
              </w:tc>
            </w:tr>
            <w:tr w:rsidR="005640FC" w:rsidRPr="00BF159E" w:rsidTr="005640FC">
              <w:tc>
                <w:tcPr>
                  <w:tcW w:w="1843" w:type="dxa"/>
                </w:tcPr>
                <w:p w:rsidR="005640FC" w:rsidRPr="00BF159E" w:rsidRDefault="005640FC" w:rsidP="001E5A52">
                  <w:pPr>
                    <w:tabs>
                      <w:tab w:val="left" w:pos="1260"/>
                      <w:tab w:val="left" w:pos="1980"/>
                      <w:tab w:val="left" w:pos="2700"/>
                      <w:tab w:val="left" w:pos="3420"/>
                    </w:tabs>
                    <w:jc w:val="center"/>
                    <w:rPr>
                      <w:rFonts w:cs="Arial"/>
                      <w:sz w:val="22"/>
                      <w:szCs w:val="22"/>
                      <w:lang w:eastAsia="en-GB"/>
                    </w:rPr>
                  </w:pPr>
                  <w:r w:rsidRPr="00BF159E">
                    <w:rPr>
                      <w:rFonts w:cs="Arial"/>
                      <w:sz w:val="22"/>
                      <w:szCs w:val="22"/>
                      <w:lang w:eastAsia="en-GB"/>
                    </w:rPr>
                    <w:t>Balance at</w:t>
                  </w:r>
                  <w:r>
                    <w:rPr>
                      <w:rFonts w:cs="Arial"/>
                      <w:sz w:val="22"/>
                      <w:szCs w:val="22"/>
                      <w:lang w:eastAsia="en-GB"/>
                    </w:rPr>
                    <w:t xml:space="preserve">        </w:t>
                  </w:r>
                  <w:r w:rsidRPr="00BF159E">
                    <w:rPr>
                      <w:rFonts w:cs="Arial"/>
                      <w:sz w:val="22"/>
                      <w:szCs w:val="22"/>
                      <w:lang w:eastAsia="en-GB"/>
                    </w:rPr>
                    <w:t xml:space="preserve"> 1 April</w:t>
                  </w:r>
                </w:p>
              </w:tc>
              <w:tc>
                <w:tcPr>
                  <w:tcW w:w="1275" w:type="dxa"/>
                </w:tcPr>
                <w:p w:rsidR="005640FC" w:rsidRPr="00BF159E" w:rsidRDefault="005640FC" w:rsidP="009A7768">
                  <w:pPr>
                    <w:tabs>
                      <w:tab w:val="left" w:pos="1260"/>
                      <w:tab w:val="left" w:pos="1980"/>
                      <w:tab w:val="left" w:pos="2700"/>
                      <w:tab w:val="left" w:pos="3420"/>
                    </w:tabs>
                    <w:jc w:val="right"/>
                    <w:rPr>
                      <w:rFonts w:cs="Arial"/>
                      <w:sz w:val="22"/>
                      <w:szCs w:val="22"/>
                      <w:lang w:eastAsia="en-GB"/>
                    </w:rPr>
                  </w:pPr>
                  <w:r w:rsidRPr="00BF159E">
                    <w:rPr>
                      <w:rFonts w:cs="Arial"/>
                      <w:sz w:val="22"/>
                      <w:szCs w:val="22"/>
                      <w:lang w:eastAsia="en-GB"/>
                    </w:rPr>
                    <w:t>(4,396)</w:t>
                  </w:r>
                </w:p>
              </w:tc>
              <w:tc>
                <w:tcPr>
                  <w:tcW w:w="1134" w:type="dxa"/>
                </w:tcPr>
                <w:p w:rsidR="005640FC" w:rsidRPr="00BF159E" w:rsidRDefault="005640FC" w:rsidP="009A7768">
                  <w:pPr>
                    <w:tabs>
                      <w:tab w:val="left" w:pos="1260"/>
                      <w:tab w:val="left" w:pos="1980"/>
                      <w:tab w:val="left" w:pos="2700"/>
                      <w:tab w:val="left" w:pos="3420"/>
                    </w:tabs>
                    <w:jc w:val="right"/>
                    <w:rPr>
                      <w:rFonts w:cs="Arial"/>
                      <w:sz w:val="22"/>
                      <w:szCs w:val="22"/>
                      <w:lang w:eastAsia="en-GB"/>
                    </w:rPr>
                  </w:pPr>
                  <w:r w:rsidRPr="00BF159E">
                    <w:rPr>
                      <w:rFonts w:cs="Arial"/>
                      <w:sz w:val="22"/>
                      <w:szCs w:val="22"/>
                      <w:lang w:eastAsia="en-GB"/>
                    </w:rPr>
                    <w:t>(4,396)</w:t>
                  </w:r>
                </w:p>
              </w:tc>
              <w:tc>
                <w:tcPr>
                  <w:tcW w:w="1163" w:type="dxa"/>
                </w:tcPr>
                <w:p w:rsidR="005640FC" w:rsidRPr="00BF159E" w:rsidRDefault="005640FC" w:rsidP="003A11F0">
                  <w:pPr>
                    <w:tabs>
                      <w:tab w:val="left" w:pos="1260"/>
                      <w:tab w:val="left" w:pos="1980"/>
                      <w:tab w:val="left" w:pos="2700"/>
                      <w:tab w:val="left" w:pos="3420"/>
                    </w:tabs>
                    <w:jc w:val="right"/>
                    <w:rPr>
                      <w:rFonts w:cs="Arial"/>
                      <w:sz w:val="22"/>
                      <w:szCs w:val="22"/>
                      <w:lang w:eastAsia="en-GB"/>
                    </w:rPr>
                  </w:pPr>
                  <w:r w:rsidRPr="00BF159E">
                    <w:rPr>
                      <w:rFonts w:cs="Arial"/>
                      <w:sz w:val="22"/>
                      <w:szCs w:val="22"/>
                      <w:lang w:eastAsia="en-GB"/>
                    </w:rPr>
                    <w:t>(3,</w:t>
                  </w:r>
                  <w:r w:rsidR="003A11F0">
                    <w:rPr>
                      <w:rFonts w:cs="Arial"/>
                      <w:sz w:val="22"/>
                      <w:szCs w:val="22"/>
                      <w:lang w:eastAsia="en-GB"/>
                    </w:rPr>
                    <w:t>712</w:t>
                  </w:r>
                  <w:r w:rsidRPr="00BF159E">
                    <w:rPr>
                      <w:rFonts w:cs="Arial"/>
                      <w:sz w:val="22"/>
                      <w:szCs w:val="22"/>
                      <w:lang w:eastAsia="en-GB"/>
                    </w:rPr>
                    <w:t>)</w:t>
                  </w:r>
                </w:p>
              </w:tc>
              <w:tc>
                <w:tcPr>
                  <w:tcW w:w="1134" w:type="dxa"/>
                </w:tcPr>
                <w:p w:rsidR="003A11F0" w:rsidRDefault="003A11F0" w:rsidP="00D067E7">
                  <w:pPr>
                    <w:tabs>
                      <w:tab w:val="left" w:pos="1260"/>
                      <w:tab w:val="left" w:pos="1980"/>
                      <w:tab w:val="left" w:pos="2700"/>
                      <w:tab w:val="left" w:pos="3420"/>
                    </w:tabs>
                    <w:jc w:val="right"/>
                    <w:rPr>
                      <w:rFonts w:cs="Arial"/>
                      <w:sz w:val="22"/>
                      <w:szCs w:val="22"/>
                      <w:lang w:eastAsia="en-GB"/>
                    </w:rPr>
                  </w:pPr>
                  <w:r>
                    <w:rPr>
                      <w:rFonts w:cs="Arial"/>
                      <w:sz w:val="22"/>
                      <w:szCs w:val="22"/>
                      <w:lang w:eastAsia="en-GB"/>
                    </w:rPr>
                    <w:t>(3,</w:t>
                  </w:r>
                  <w:r w:rsidR="00102165">
                    <w:rPr>
                      <w:rFonts w:cs="Arial"/>
                      <w:sz w:val="22"/>
                      <w:szCs w:val="22"/>
                      <w:lang w:eastAsia="en-GB"/>
                    </w:rPr>
                    <w:t>375</w:t>
                  </w:r>
                  <w:r>
                    <w:rPr>
                      <w:rFonts w:cs="Arial"/>
                      <w:sz w:val="22"/>
                      <w:szCs w:val="22"/>
                      <w:lang w:eastAsia="en-GB"/>
                    </w:rPr>
                    <w:t>)</w:t>
                  </w:r>
                </w:p>
                <w:p w:rsidR="003A11F0" w:rsidRPr="00BF159E" w:rsidRDefault="003A11F0" w:rsidP="00D067E7">
                  <w:pPr>
                    <w:tabs>
                      <w:tab w:val="left" w:pos="1260"/>
                      <w:tab w:val="left" w:pos="1980"/>
                      <w:tab w:val="left" w:pos="2700"/>
                      <w:tab w:val="left" w:pos="3420"/>
                    </w:tabs>
                    <w:jc w:val="right"/>
                    <w:rPr>
                      <w:rFonts w:cs="Arial"/>
                      <w:sz w:val="22"/>
                      <w:szCs w:val="22"/>
                      <w:lang w:eastAsia="en-GB"/>
                    </w:rPr>
                  </w:pPr>
                </w:p>
              </w:tc>
              <w:tc>
                <w:tcPr>
                  <w:tcW w:w="1134" w:type="dxa"/>
                </w:tcPr>
                <w:p w:rsidR="005640FC" w:rsidRPr="00BF159E" w:rsidRDefault="005640FC" w:rsidP="00102165">
                  <w:pPr>
                    <w:tabs>
                      <w:tab w:val="left" w:pos="1260"/>
                      <w:tab w:val="left" w:pos="1980"/>
                      <w:tab w:val="left" w:pos="2700"/>
                      <w:tab w:val="left" w:pos="3420"/>
                    </w:tabs>
                    <w:jc w:val="right"/>
                    <w:rPr>
                      <w:rFonts w:cs="Arial"/>
                      <w:sz w:val="22"/>
                      <w:szCs w:val="22"/>
                      <w:lang w:eastAsia="en-GB"/>
                    </w:rPr>
                  </w:pPr>
                  <w:r>
                    <w:rPr>
                      <w:rFonts w:cs="Arial"/>
                      <w:sz w:val="22"/>
                      <w:szCs w:val="22"/>
                      <w:lang w:eastAsia="en-GB"/>
                    </w:rPr>
                    <w:t>(</w:t>
                  </w:r>
                  <w:r w:rsidR="00102165">
                    <w:rPr>
                      <w:rFonts w:cs="Arial"/>
                      <w:sz w:val="22"/>
                      <w:szCs w:val="22"/>
                      <w:lang w:eastAsia="en-GB"/>
                    </w:rPr>
                    <w:t>2,601</w:t>
                  </w:r>
                  <w:r>
                    <w:rPr>
                      <w:rFonts w:cs="Arial"/>
                      <w:sz w:val="22"/>
                      <w:szCs w:val="22"/>
                      <w:lang w:eastAsia="en-GB"/>
                    </w:rPr>
                    <w:t>)</w:t>
                  </w:r>
                </w:p>
              </w:tc>
            </w:tr>
            <w:tr w:rsidR="005640FC" w:rsidRPr="00BF159E" w:rsidTr="0038328B">
              <w:tc>
                <w:tcPr>
                  <w:tcW w:w="1843" w:type="dxa"/>
                </w:tcPr>
                <w:p w:rsidR="005640FC" w:rsidRPr="00BF159E" w:rsidRDefault="005640FC" w:rsidP="001E5A52">
                  <w:pPr>
                    <w:tabs>
                      <w:tab w:val="left" w:pos="1260"/>
                      <w:tab w:val="left" w:pos="1980"/>
                      <w:tab w:val="left" w:pos="2700"/>
                      <w:tab w:val="left" w:pos="3420"/>
                    </w:tabs>
                    <w:jc w:val="center"/>
                    <w:rPr>
                      <w:rFonts w:cs="Arial"/>
                      <w:sz w:val="22"/>
                      <w:szCs w:val="22"/>
                      <w:lang w:eastAsia="en-GB"/>
                    </w:rPr>
                  </w:pPr>
                  <w:r w:rsidRPr="00BF159E">
                    <w:rPr>
                      <w:rFonts w:cs="Arial"/>
                      <w:sz w:val="22"/>
                      <w:szCs w:val="22"/>
                      <w:lang w:eastAsia="en-GB"/>
                    </w:rPr>
                    <w:t>(Surplus)/deficit for year</w:t>
                  </w:r>
                </w:p>
              </w:tc>
              <w:tc>
                <w:tcPr>
                  <w:tcW w:w="1275" w:type="dxa"/>
                  <w:tcBorders>
                    <w:bottom w:val="single" w:sz="4" w:space="0" w:color="auto"/>
                  </w:tcBorders>
                </w:tcPr>
                <w:p w:rsidR="005640FC" w:rsidRPr="00BF159E" w:rsidRDefault="005640FC" w:rsidP="009A7768">
                  <w:pPr>
                    <w:tabs>
                      <w:tab w:val="left" w:pos="1260"/>
                      <w:tab w:val="left" w:pos="1980"/>
                      <w:tab w:val="left" w:pos="2700"/>
                      <w:tab w:val="left" w:pos="3420"/>
                    </w:tabs>
                    <w:jc w:val="right"/>
                    <w:rPr>
                      <w:rFonts w:cs="Arial"/>
                      <w:sz w:val="22"/>
                      <w:szCs w:val="22"/>
                      <w:lang w:eastAsia="en-GB"/>
                    </w:rPr>
                  </w:pPr>
                  <w:r>
                    <w:rPr>
                      <w:rFonts w:cs="Arial"/>
                      <w:sz w:val="22"/>
                      <w:szCs w:val="22"/>
                      <w:lang w:eastAsia="en-GB"/>
                    </w:rPr>
                    <w:t>1,007</w:t>
                  </w:r>
                </w:p>
              </w:tc>
              <w:tc>
                <w:tcPr>
                  <w:tcW w:w="1134" w:type="dxa"/>
                  <w:tcBorders>
                    <w:bottom w:val="single" w:sz="4" w:space="0" w:color="auto"/>
                  </w:tcBorders>
                </w:tcPr>
                <w:p w:rsidR="005640FC" w:rsidRPr="00BF159E" w:rsidRDefault="003A11F0" w:rsidP="009A7768">
                  <w:pPr>
                    <w:tabs>
                      <w:tab w:val="left" w:pos="1260"/>
                      <w:tab w:val="left" w:pos="1980"/>
                      <w:tab w:val="left" w:pos="2700"/>
                      <w:tab w:val="left" w:pos="3420"/>
                    </w:tabs>
                    <w:jc w:val="right"/>
                    <w:rPr>
                      <w:rFonts w:cs="Arial"/>
                      <w:sz w:val="22"/>
                      <w:szCs w:val="22"/>
                      <w:lang w:eastAsia="en-GB"/>
                    </w:rPr>
                  </w:pPr>
                  <w:r>
                    <w:rPr>
                      <w:rFonts w:cs="Arial"/>
                      <w:sz w:val="22"/>
                      <w:szCs w:val="22"/>
                      <w:lang w:eastAsia="en-GB"/>
                    </w:rPr>
                    <w:t>684</w:t>
                  </w:r>
                </w:p>
              </w:tc>
              <w:tc>
                <w:tcPr>
                  <w:tcW w:w="1163" w:type="dxa"/>
                  <w:tcBorders>
                    <w:bottom w:val="single" w:sz="4" w:space="0" w:color="auto"/>
                  </w:tcBorders>
                </w:tcPr>
                <w:p w:rsidR="005640FC" w:rsidRPr="00BF159E" w:rsidRDefault="00102165" w:rsidP="009A7768">
                  <w:pPr>
                    <w:tabs>
                      <w:tab w:val="left" w:pos="1260"/>
                      <w:tab w:val="left" w:pos="1980"/>
                      <w:tab w:val="left" w:pos="2700"/>
                      <w:tab w:val="left" w:pos="3420"/>
                    </w:tabs>
                    <w:jc w:val="right"/>
                    <w:rPr>
                      <w:rFonts w:cs="Arial"/>
                      <w:sz w:val="22"/>
                      <w:szCs w:val="22"/>
                      <w:lang w:eastAsia="en-GB"/>
                    </w:rPr>
                  </w:pPr>
                  <w:r>
                    <w:rPr>
                      <w:rFonts w:cs="Arial"/>
                      <w:sz w:val="22"/>
                      <w:szCs w:val="22"/>
                      <w:lang w:eastAsia="en-GB"/>
                    </w:rPr>
                    <w:t>337</w:t>
                  </w:r>
                </w:p>
              </w:tc>
              <w:tc>
                <w:tcPr>
                  <w:tcW w:w="1134" w:type="dxa"/>
                  <w:tcBorders>
                    <w:bottom w:val="single" w:sz="4" w:space="0" w:color="auto"/>
                  </w:tcBorders>
                </w:tcPr>
                <w:p w:rsidR="005640FC" w:rsidRPr="00BF159E" w:rsidRDefault="00102165" w:rsidP="00574218">
                  <w:pPr>
                    <w:tabs>
                      <w:tab w:val="left" w:pos="1260"/>
                      <w:tab w:val="left" w:pos="1980"/>
                      <w:tab w:val="left" w:pos="2700"/>
                      <w:tab w:val="left" w:pos="3420"/>
                    </w:tabs>
                    <w:jc w:val="right"/>
                    <w:rPr>
                      <w:rFonts w:cs="Arial"/>
                      <w:sz w:val="22"/>
                      <w:szCs w:val="22"/>
                      <w:lang w:eastAsia="en-GB"/>
                    </w:rPr>
                  </w:pPr>
                  <w:r>
                    <w:rPr>
                      <w:rFonts w:cs="Arial"/>
                      <w:sz w:val="22"/>
                      <w:szCs w:val="22"/>
                      <w:lang w:eastAsia="en-GB"/>
                    </w:rPr>
                    <w:t>774</w:t>
                  </w:r>
                </w:p>
              </w:tc>
              <w:tc>
                <w:tcPr>
                  <w:tcW w:w="1134" w:type="dxa"/>
                  <w:tcBorders>
                    <w:bottom w:val="single" w:sz="4" w:space="0" w:color="auto"/>
                  </w:tcBorders>
                </w:tcPr>
                <w:p w:rsidR="005640FC" w:rsidRPr="00BF159E" w:rsidRDefault="00102165" w:rsidP="00534318">
                  <w:pPr>
                    <w:tabs>
                      <w:tab w:val="left" w:pos="1260"/>
                      <w:tab w:val="left" w:pos="1980"/>
                      <w:tab w:val="left" w:pos="2700"/>
                      <w:tab w:val="left" w:pos="3420"/>
                    </w:tabs>
                    <w:jc w:val="right"/>
                    <w:rPr>
                      <w:rFonts w:cs="Arial"/>
                      <w:sz w:val="22"/>
                      <w:szCs w:val="22"/>
                      <w:lang w:eastAsia="en-GB"/>
                    </w:rPr>
                  </w:pPr>
                  <w:r>
                    <w:rPr>
                      <w:rFonts w:cs="Arial"/>
                      <w:sz w:val="22"/>
                      <w:szCs w:val="22"/>
                      <w:lang w:eastAsia="en-GB"/>
                    </w:rPr>
                    <w:t>1,137</w:t>
                  </w:r>
                </w:p>
              </w:tc>
            </w:tr>
            <w:tr w:rsidR="005640FC" w:rsidRPr="00BF159E" w:rsidTr="0038328B">
              <w:tc>
                <w:tcPr>
                  <w:tcW w:w="1843" w:type="dxa"/>
                </w:tcPr>
                <w:p w:rsidR="005640FC" w:rsidRPr="00BF159E" w:rsidRDefault="005640FC" w:rsidP="001E5A52">
                  <w:pPr>
                    <w:tabs>
                      <w:tab w:val="left" w:pos="1260"/>
                      <w:tab w:val="left" w:pos="1980"/>
                      <w:tab w:val="left" w:pos="2700"/>
                      <w:tab w:val="left" w:pos="3420"/>
                    </w:tabs>
                    <w:jc w:val="center"/>
                    <w:rPr>
                      <w:rFonts w:cs="Arial"/>
                      <w:sz w:val="22"/>
                      <w:szCs w:val="22"/>
                      <w:lang w:eastAsia="en-GB"/>
                    </w:rPr>
                  </w:pPr>
                  <w:r w:rsidRPr="00BF159E">
                    <w:rPr>
                      <w:rFonts w:cs="Arial"/>
                      <w:sz w:val="22"/>
                      <w:szCs w:val="22"/>
                      <w:lang w:eastAsia="en-GB"/>
                    </w:rPr>
                    <w:t xml:space="preserve">Balance at </w:t>
                  </w:r>
                  <w:r>
                    <w:rPr>
                      <w:rFonts w:cs="Arial"/>
                      <w:sz w:val="22"/>
                      <w:szCs w:val="22"/>
                      <w:lang w:eastAsia="en-GB"/>
                    </w:rPr>
                    <w:t xml:space="preserve">      </w:t>
                  </w:r>
                  <w:r w:rsidRPr="00BF159E">
                    <w:rPr>
                      <w:rFonts w:cs="Arial"/>
                      <w:sz w:val="22"/>
                      <w:szCs w:val="22"/>
                      <w:lang w:eastAsia="en-GB"/>
                    </w:rPr>
                    <w:t>31 March</w:t>
                  </w:r>
                </w:p>
              </w:tc>
              <w:tc>
                <w:tcPr>
                  <w:tcW w:w="1275" w:type="dxa"/>
                  <w:shd w:val="clear" w:color="auto" w:fill="92D050"/>
                </w:tcPr>
                <w:p w:rsidR="005640FC" w:rsidRPr="00BF159E" w:rsidRDefault="005640FC" w:rsidP="009B375D">
                  <w:pPr>
                    <w:tabs>
                      <w:tab w:val="left" w:pos="1260"/>
                      <w:tab w:val="left" w:pos="1980"/>
                      <w:tab w:val="left" w:pos="2700"/>
                      <w:tab w:val="left" w:pos="3420"/>
                    </w:tabs>
                    <w:jc w:val="right"/>
                    <w:rPr>
                      <w:rFonts w:cs="Arial"/>
                      <w:b/>
                      <w:sz w:val="22"/>
                      <w:szCs w:val="22"/>
                      <w:lang w:eastAsia="en-GB"/>
                    </w:rPr>
                  </w:pPr>
                  <w:r>
                    <w:rPr>
                      <w:rFonts w:cs="Arial"/>
                      <w:b/>
                      <w:sz w:val="22"/>
                      <w:szCs w:val="22"/>
                      <w:lang w:eastAsia="en-GB"/>
                    </w:rPr>
                    <w:t>(3,389)</w:t>
                  </w:r>
                </w:p>
              </w:tc>
              <w:tc>
                <w:tcPr>
                  <w:tcW w:w="1134" w:type="dxa"/>
                  <w:shd w:val="clear" w:color="auto" w:fill="92D050"/>
                </w:tcPr>
                <w:p w:rsidR="005640FC" w:rsidRPr="00BF159E" w:rsidRDefault="005640FC" w:rsidP="003A11F0">
                  <w:pPr>
                    <w:tabs>
                      <w:tab w:val="left" w:pos="1260"/>
                      <w:tab w:val="left" w:pos="1980"/>
                      <w:tab w:val="left" w:pos="2700"/>
                      <w:tab w:val="left" w:pos="3420"/>
                    </w:tabs>
                    <w:jc w:val="right"/>
                    <w:rPr>
                      <w:rFonts w:cs="Arial"/>
                      <w:b/>
                      <w:sz w:val="22"/>
                      <w:szCs w:val="22"/>
                      <w:lang w:eastAsia="en-GB"/>
                    </w:rPr>
                  </w:pPr>
                  <w:r>
                    <w:rPr>
                      <w:rFonts w:cs="Arial"/>
                      <w:b/>
                      <w:sz w:val="22"/>
                      <w:szCs w:val="22"/>
                      <w:lang w:eastAsia="en-GB"/>
                    </w:rPr>
                    <w:t>(3,</w:t>
                  </w:r>
                  <w:r w:rsidR="003A11F0">
                    <w:rPr>
                      <w:rFonts w:cs="Arial"/>
                      <w:b/>
                      <w:sz w:val="22"/>
                      <w:szCs w:val="22"/>
                      <w:lang w:eastAsia="en-GB"/>
                    </w:rPr>
                    <w:t>712</w:t>
                  </w:r>
                  <w:r>
                    <w:rPr>
                      <w:rFonts w:cs="Arial"/>
                      <w:b/>
                      <w:sz w:val="22"/>
                      <w:szCs w:val="22"/>
                      <w:lang w:eastAsia="en-GB"/>
                    </w:rPr>
                    <w:t>)</w:t>
                  </w:r>
                </w:p>
              </w:tc>
              <w:tc>
                <w:tcPr>
                  <w:tcW w:w="1163" w:type="dxa"/>
                  <w:shd w:val="clear" w:color="auto" w:fill="92D050"/>
                </w:tcPr>
                <w:p w:rsidR="005640FC" w:rsidRPr="00BF159E" w:rsidRDefault="005640FC" w:rsidP="00102165">
                  <w:pPr>
                    <w:tabs>
                      <w:tab w:val="left" w:pos="1260"/>
                      <w:tab w:val="left" w:pos="1980"/>
                      <w:tab w:val="left" w:pos="2700"/>
                      <w:tab w:val="left" w:pos="3420"/>
                    </w:tabs>
                    <w:jc w:val="right"/>
                    <w:rPr>
                      <w:rFonts w:cs="Arial"/>
                      <w:b/>
                      <w:sz w:val="22"/>
                      <w:szCs w:val="22"/>
                      <w:lang w:eastAsia="en-GB"/>
                    </w:rPr>
                  </w:pPr>
                  <w:r>
                    <w:rPr>
                      <w:rFonts w:cs="Arial"/>
                      <w:b/>
                      <w:sz w:val="22"/>
                      <w:szCs w:val="22"/>
                      <w:lang w:eastAsia="en-GB"/>
                    </w:rPr>
                    <w:t>(</w:t>
                  </w:r>
                  <w:r w:rsidR="003A11F0">
                    <w:rPr>
                      <w:rFonts w:cs="Arial"/>
                      <w:b/>
                      <w:sz w:val="22"/>
                      <w:szCs w:val="22"/>
                      <w:lang w:eastAsia="en-GB"/>
                    </w:rPr>
                    <w:t>3</w:t>
                  </w:r>
                  <w:r>
                    <w:rPr>
                      <w:rFonts w:cs="Arial"/>
                      <w:b/>
                      <w:sz w:val="22"/>
                      <w:szCs w:val="22"/>
                      <w:lang w:eastAsia="en-GB"/>
                    </w:rPr>
                    <w:t>,</w:t>
                  </w:r>
                  <w:r w:rsidR="00102165">
                    <w:rPr>
                      <w:rFonts w:cs="Arial"/>
                      <w:b/>
                      <w:sz w:val="22"/>
                      <w:szCs w:val="22"/>
                      <w:lang w:eastAsia="en-GB"/>
                    </w:rPr>
                    <w:t>375</w:t>
                  </w:r>
                  <w:r>
                    <w:rPr>
                      <w:rFonts w:cs="Arial"/>
                      <w:b/>
                      <w:sz w:val="22"/>
                      <w:szCs w:val="22"/>
                      <w:lang w:eastAsia="en-GB"/>
                    </w:rPr>
                    <w:t>)</w:t>
                  </w:r>
                </w:p>
              </w:tc>
              <w:tc>
                <w:tcPr>
                  <w:tcW w:w="1134" w:type="dxa"/>
                  <w:shd w:val="clear" w:color="auto" w:fill="92D050"/>
                </w:tcPr>
                <w:p w:rsidR="005640FC" w:rsidRPr="00BF159E" w:rsidRDefault="005640FC" w:rsidP="00102165">
                  <w:pPr>
                    <w:tabs>
                      <w:tab w:val="left" w:pos="1260"/>
                      <w:tab w:val="left" w:pos="1980"/>
                      <w:tab w:val="left" w:pos="2700"/>
                      <w:tab w:val="left" w:pos="3420"/>
                    </w:tabs>
                    <w:jc w:val="right"/>
                    <w:rPr>
                      <w:rFonts w:cs="Arial"/>
                      <w:b/>
                      <w:sz w:val="22"/>
                      <w:szCs w:val="22"/>
                      <w:lang w:eastAsia="en-GB"/>
                    </w:rPr>
                  </w:pPr>
                  <w:r>
                    <w:rPr>
                      <w:rFonts w:cs="Arial"/>
                      <w:b/>
                      <w:sz w:val="22"/>
                      <w:szCs w:val="22"/>
                      <w:lang w:eastAsia="en-GB"/>
                    </w:rPr>
                    <w:t>(</w:t>
                  </w:r>
                  <w:r w:rsidR="00102165">
                    <w:rPr>
                      <w:rFonts w:cs="Arial"/>
                      <w:b/>
                      <w:sz w:val="22"/>
                      <w:szCs w:val="22"/>
                      <w:lang w:eastAsia="en-GB"/>
                    </w:rPr>
                    <w:t>2</w:t>
                  </w:r>
                  <w:r w:rsidR="003A11F0">
                    <w:rPr>
                      <w:rFonts w:cs="Arial"/>
                      <w:b/>
                      <w:sz w:val="22"/>
                      <w:szCs w:val="22"/>
                      <w:lang w:eastAsia="en-GB"/>
                    </w:rPr>
                    <w:t>,</w:t>
                  </w:r>
                  <w:r w:rsidR="00102165">
                    <w:rPr>
                      <w:rFonts w:cs="Arial"/>
                      <w:b/>
                      <w:sz w:val="22"/>
                      <w:szCs w:val="22"/>
                      <w:lang w:eastAsia="en-GB"/>
                    </w:rPr>
                    <w:t>601</w:t>
                  </w:r>
                  <w:r>
                    <w:rPr>
                      <w:rFonts w:cs="Arial"/>
                      <w:b/>
                      <w:sz w:val="22"/>
                      <w:szCs w:val="22"/>
                      <w:lang w:eastAsia="en-GB"/>
                    </w:rPr>
                    <w:t>)</w:t>
                  </w:r>
                </w:p>
              </w:tc>
              <w:tc>
                <w:tcPr>
                  <w:tcW w:w="1134" w:type="dxa"/>
                  <w:shd w:val="clear" w:color="auto" w:fill="F79646" w:themeFill="accent6"/>
                </w:tcPr>
                <w:p w:rsidR="005640FC" w:rsidRPr="00BF159E" w:rsidRDefault="003A11F0" w:rsidP="00102165">
                  <w:pPr>
                    <w:tabs>
                      <w:tab w:val="left" w:pos="1260"/>
                      <w:tab w:val="left" w:pos="1980"/>
                      <w:tab w:val="left" w:pos="2700"/>
                      <w:tab w:val="left" w:pos="3420"/>
                    </w:tabs>
                    <w:jc w:val="right"/>
                    <w:rPr>
                      <w:rFonts w:cs="Arial"/>
                      <w:b/>
                      <w:sz w:val="22"/>
                      <w:szCs w:val="22"/>
                      <w:lang w:eastAsia="en-GB"/>
                    </w:rPr>
                  </w:pPr>
                  <w:r>
                    <w:rPr>
                      <w:rFonts w:cs="Arial"/>
                      <w:b/>
                      <w:sz w:val="22"/>
                      <w:szCs w:val="22"/>
                      <w:lang w:eastAsia="en-GB"/>
                    </w:rPr>
                    <w:t>(</w:t>
                  </w:r>
                  <w:r w:rsidR="00102165">
                    <w:rPr>
                      <w:rFonts w:cs="Arial"/>
                      <w:b/>
                      <w:sz w:val="22"/>
                      <w:szCs w:val="22"/>
                      <w:lang w:eastAsia="en-GB"/>
                    </w:rPr>
                    <w:t>1,464</w:t>
                  </w:r>
                  <w:r>
                    <w:rPr>
                      <w:rFonts w:cs="Arial"/>
                      <w:b/>
                      <w:sz w:val="22"/>
                      <w:szCs w:val="22"/>
                      <w:lang w:eastAsia="en-GB"/>
                    </w:rPr>
                    <w:t>)</w:t>
                  </w:r>
                </w:p>
              </w:tc>
            </w:tr>
          </w:tbl>
          <w:p w:rsidR="00AA1ECA" w:rsidRPr="00F33EA4" w:rsidRDefault="00AA1ECA" w:rsidP="008E3095">
            <w:pPr>
              <w:tabs>
                <w:tab w:val="left" w:pos="360"/>
                <w:tab w:val="left" w:pos="900"/>
              </w:tabs>
              <w:jc w:val="both"/>
              <w:rPr>
                <w:rFonts w:cs="Arial"/>
                <w:b/>
                <w:i/>
                <w:sz w:val="22"/>
                <w:szCs w:val="22"/>
                <w:u w:val="single"/>
              </w:rPr>
            </w:pPr>
          </w:p>
        </w:tc>
      </w:tr>
      <w:tr w:rsidR="008E3095" w:rsidRPr="00CF7499" w:rsidTr="001E5BA7">
        <w:trPr>
          <w:gridBefore w:val="1"/>
          <w:wBefore w:w="34" w:type="dxa"/>
          <w:trHeight w:val="1160"/>
        </w:trPr>
        <w:tc>
          <w:tcPr>
            <w:cnfStyle w:val="001000000000" w:firstRow="0" w:lastRow="0" w:firstColumn="1" w:lastColumn="0" w:oddVBand="0" w:evenVBand="0" w:oddHBand="0" w:evenHBand="0" w:firstRowFirstColumn="0" w:firstRowLastColumn="0" w:lastRowFirstColumn="0" w:lastRowLastColumn="0"/>
            <w:tcW w:w="959" w:type="dxa"/>
          </w:tcPr>
          <w:p w:rsidR="008E3095" w:rsidRDefault="00DB00E6" w:rsidP="00675178">
            <w:pPr>
              <w:jc w:val="both"/>
              <w:rPr>
                <w:rFonts w:cs="Arial"/>
                <w:sz w:val="22"/>
                <w:szCs w:val="22"/>
              </w:rPr>
            </w:pPr>
            <w:r>
              <w:rPr>
                <w:rFonts w:cs="Arial"/>
                <w:sz w:val="22"/>
                <w:szCs w:val="22"/>
              </w:rPr>
              <w:t>2.1</w:t>
            </w:r>
            <w:r w:rsidR="00675178">
              <w:rPr>
                <w:rFonts w:cs="Arial"/>
                <w:sz w:val="22"/>
                <w:szCs w:val="22"/>
              </w:rPr>
              <w:t>2</w:t>
            </w:r>
          </w:p>
        </w:tc>
        <w:tc>
          <w:tcPr>
            <w:cnfStyle w:val="000100000000" w:firstRow="0" w:lastRow="0" w:firstColumn="0" w:lastColumn="1" w:oddVBand="0" w:evenVBand="0" w:oddHBand="0" w:evenHBand="0" w:firstRowFirstColumn="0" w:firstRowLastColumn="0" w:lastRowFirstColumn="0" w:lastRowLastColumn="0"/>
            <w:tcW w:w="9072" w:type="dxa"/>
          </w:tcPr>
          <w:p w:rsidR="00864DA5" w:rsidRDefault="00DB00E6" w:rsidP="00864DA5">
            <w:pPr>
              <w:jc w:val="both"/>
              <w:rPr>
                <w:sz w:val="22"/>
                <w:szCs w:val="22"/>
              </w:rPr>
            </w:pPr>
            <w:r w:rsidRPr="00DB00E6">
              <w:rPr>
                <w:sz w:val="22"/>
                <w:szCs w:val="22"/>
              </w:rPr>
              <w:t xml:space="preserve">It is recommended that </w:t>
            </w:r>
            <w:r w:rsidR="00603F09">
              <w:rPr>
                <w:sz w:val="22"/>
                <w:szCs w:val="22"/>
              </w:rPr>
              <w:t xml:space="preserve">for contingencies a balance of £2.000 million </w:t>
            </w:r>
            <w:r w:rsidRPr="00DB00E6">
              <w:rPr>
                <w:sz w:val="22"/>
                <w:szCs w:val="22"/>
              </w:rPr>
              <w:t>be retained in the General Fund</w:t>
            </w:r>
            <w:r w:rsidR="00603F09">
              <w:rPr>
                <w:sz w:val="22"/>
                <w:szCs w:val="22"/>
              </w:rPr>
              <w:t>.</w:t>
            </w:r>
            <w:r w:rsidRPr="00DB00E6">
              <w:rPr>
                <w:sz w:val="22"/>
                <w:szCs w:val="22"/>
              </w:rPr>
              <w:t xml:space="preserve"> </w:t>
            </w:r>
            <w:r w:rsidR="00603F09">
              <w:rPr>
                <w:sz w:val="22"/>
                <w:szCs w:val="22"/>
              </w:rPr>
              <w:t xml:space="preserve"> The</w:t>
            </w:r>
            <w:r w:rsidR="00603F09" w:rsidRPr="00DB00E6">
              <w:rPr>
                <w:sz w:val="22"/>
                <w:szCs w:val="22"/>
              </w:rPr>
              <w:t xml:space="preserve"> Council </w:t>
            </w:r>
            <w:r w:rsidR="00603F09">
              <w:rPr>
                <w:sz w:val="22"/>
                <w:szCs w:val="22"/>
              </w:rPr>
              <w:t xml:space="preserve">has </w:t>
            </w:r>
            <w:r w:rsidR="00603F09" w:rsidRPr="00DB00E6">
              <w:rPr>
                <w:sz w:val="22"/>
                <w:szCs w:val="22"/>
              </w:rPr>
              <w:t>an earmarked reserve of £2,000,000 to set against future economic downturn/loss of business rates</w:t>
            </w:r>
            <w:r w:rsidR="00603F09">
              <w:rPr>
                <w:sz w:val="22"/>
                <w:szCs w:val="22"/>
              </w:rPr>
              <w:t xml:space="preserve"> </w:t>
            </w:r>
            <w:r w:rsidR="00603F09" w:rsidRPr="00DB00E6">
              <w:rPr>
                <w:sz w:val="22"/>
                <w:szCs w:val="22"/>
              </w:rPr>
              <w:t>(Minute No. CL67/15 refers</w:t>
            </w:r>
            <w:r w:rsidR="00603F09">
              <w:rPr>
                <w:sz w:val="22"/>
                <w:szCs w:val="22"/>
              </w:rPr>
              <w:t xml:space="preserve">) and this is anticipated to be used in the final year if required to maintain a prudent level of General Fund balance.   </w:t>
            </w:r>
            <w:r w:rsidR="00603F09" w:rsidRPr="00AA1ECA">
              <w:rPr>
                <w:sz w:val="22"/>
                <w:szCs w:val="22"/>
              </w:rPr>
              <w:t>It should be noted that long term use of reserves</w:t>
            </w:r>
            <w:r w:rsidR="00603F09">
              <w:rPr>
                <w:sz w:val="22"/>
                <w:szCs w:val="22"/>
              </w:rPr>
              <w:t xml:space="preserve"> to offset deficits is not sustainable or prudent.</w:t>
            </w:r>
          </w:p>
          <w:p w:rsidR="00241DBE" w:rsidRDefault="00241DBE" w:rsidP="00864DA5">
            <w:pPr>
              <w:jc w:val="both"/>
              <w:rPr>
                <w:sz w:val="22"/>
                <w:szCs w:val="22"/>
              </w:rPr>
            </w:pPr>
          </w:p>
        </w:tc>
      </w:tr>
      <w:tr w:rsidR="00CF7499" w:rsidRPr="00CF7499" w:rsidTr="001E5BA7">
        <w:trPr>
          <w:gridBefore w:val="1"/>
          <w:wBefore w:w="34" w:type="dxa"/>
          <w:trHeight w:val="522"/>
        </w:trPr>
        <w:tc>
          <w:tcPr>
            <w:cnfStyle w:val="001000000000" w:firstRow="0" w:lastRow="0" w:firstColumn="1" w:lastColumn="0" w:oddVBand="0" w:evenVBand="0" w:oddHBand="0" w:evenHBand="0" w:firstRowFirstColumn="0" w:firstRowLastColumn="0" w:lastRowFirstColumn="0" w:lastRowLastColumn="0"/>
            <w:tcW w:w="959" w:type="dxa"/>
          </w:tcPr>
          <w:p w:rsidR="00B338D6" w:rsidRPr="00B16F41" w:rsidRDefault="00B338D6" w:rsidP="001E0F67">
            <w:pPr>
              <w:jc w:val="both"/>
              <w:rPr>
                <w:rFonts w:cs="Arial"/>
                <w:sz w:val="22"/>
                <w:szCs w:val="22"/>
              </w:rPr>
            </w:pPr>
            <w:r w:rsidRPr="00B16F41">
              <w:rPr>
                <w:rFonts w:cs="Arial"/>
                <w:sz w:val="22"/>
                <w:szCs w:val="22"/>
              </w:rPr>
              <w:t>3.</w:t>
            </w:r>
          </w:p>
          <w:p w:rsidR="00B338D6" w:rsidRPr="00B16F41" w:rsidRDefault="00B338D6" w:rsidP="001E0F67">
            <w:pPr>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B338D6" w:rsidRPr="00850A19" w:rsidRDefault="00DD7537" w:rsidP="001E0F67">
            <w:pPr>
              <w:jc w:val="both"/>
              <w:rPr>
                <w:rFonts w:cs="Arial"/>
                <w:b/>
                <w:sz w:val="22"/>
                <w:szCs w:val="22"/>
              </w:rPr>
            </w:pPr>
            <w:r w:rsidRPr="00850A19">
              <w:rPr>
                <w:rFonts w:cs="Arial"/>
                <w:b/>
                <w:sz w:val="22"/>
                <w:szCs w:val="22"/>
              </w:rPr>
              <w:t>Service Reviews</w:t>
            </w:r>
            <w:r w:rsidR="00B338D6" w:rsidRPr="00850A19">
              <w:rPr>
                <w:rFonts w:cs="Arial"/>
                <w:b/>
                <w:sz w:val="22"/>
                <w:szCs w:val="22"/>
              </w:rPr>
              <w:t xml:space="preserve"> </w:t>
            </w:r>
            <w:r w:rsidR="00F865FB">
              <w:rPr>
                <w:rFonts w:cs="Arial"/>
                <w:b/>
                <w:sz w:val="22"/>
                <w:szCs w:val="22"/>
              </w:rPr>
              <w:t>and Efficiency Savings</w:t>
            </w:r>
          </w:p>
        </w:tc>
      </w:tr>
      <w:tr w:rsidR="00CF7499" w:rsidRPr="00CF7499" w:rsidTr="001E5BA7">
        <w:trPr>
          <w:gridBefore w:val="1"/>
          <w:wBefore w:w="34" w:type="dxa"/>
          <w:trHeight w:val="70"/>
        </w:trPr>
        <w:tc>
          <w:tcPr>
            <w:cnfStyle w:val="001000000000" w:firstRow="0" w:lastRow="0" w:firstColumn="1" w:lastColumn="0" w:oddVBand="0" w:evenVBand="0" w:oddHBand="0" w:evenHBand="0" w:firstRowFirstColumn="0" w:firstRowLastColumn="0" w:lastRowFirstColumn="0" w:lastRowLastColumn="0"/>
            <w:tcW w:w="959" w:type="dxa"/>
          </w:tcPr>
          <w:p w:rsidR="00E650B2" w:rsidRPr="00B16F41" w:rsidRDefault="00B338D6" w:rsidP="00C80E97">
            <w:pPr>
              <w:rPr>
                <w:rFonts w:cs="Arial"/>
                <w:sz w:val="22"/>
                <w:szCs w:val="22"/>
              </w:rPr>
            </w:pPr>
            <w:r w:rsidRPr="00B16F41">
              <w:rPr>
                <w:rFonts w:cs="Arial"/>
                <w:sz w:val="22"/>
                <w:szCs w:val="22"/>
              </w:rPr>
              <w:t>3.1</w:t>
            </w:r>
          </w:p>
        </w:tc>
        <w:tc>
          <w:tcPr>
            <w:cnfStyle w:val="000100000000" w:firstRow="0" w:lastRow="0" w:firstColumn="0" w:lastColumn="1" w:oddVBand="0" w:evenVBand="0" w:oddHBand="0" w:evenHBand="0" w:firstRowFirstColumn="0" w:firstRowLastColumn="0" w:lastRowFirstColumn="0" w:lastRowLastColumn="0"/>
            <w:tcW w:w="9072" w:type="dxa"/>
          </w:tcPr>
          <w:p w:rsidR="00512D49" w:rsidRPr="00AA1ECA" w:rsidRDefault="00512D49" w:rsidP="00AA1ECA">
            <w:pPr>
              <w:jc w:val="both"/>
              <w:rPr>
                <w:rFonts w:cs="Arial"/>
                <w:sz w:val="22"/>
                <w:szCs w:val="22"/>
              </w:rPr>
            </w:pPr>
            <w:r w:rsidRPr="00AA1ECA">
              <w:rPr>
                <w:rFonts w:cs="Arial"/>
                <w:sz w:val="22"/>
                <w:szCs w:val="22"/>
              </w:rPr>
              <w:t>T</w:t>
            </w:r>
            <w:r w:rsidR="006E17A3" w:rsidRPr="00AA1ECA">
              <w:rPr>
                <w:rFonts w:cs="Arial"/>
                <w:sz w:val="22"/>
                <w:szCs w:val="22"/>
              </w:rPr>
              <w:t xml:space="preserve">he Strategic Service Review Working Party </w:t>
            </w:r>
            <w:r w:rsidR="000E5D46">
              <w:rPr>
                <w:rFonts w:cs="Arial"/>
                <w:sz w:val="22"/>
                <w:szCs w:val="22"/>
              </w:rPr>
              <w:t xml:space="preserve">(SSRWP) </w:t>
            </w:r>
            <w:r w:rsidR="006E17A3" w:rsidRPr="00AA1ECA">
              <w:rPr>
                <w:rFonts w:cs="Arial"/>
                <w:sz w:val="22"/>
                <w:szCs w:val="22"/>
              </w:rPr>
              <w:t>continue</w:t>
            </w:r>
            <w:r w:rsidRPr="00AA1ECA">
              <w:rPr>
                <w:rFonts w:cs="Arial"/>
                <w:sz w:val="22"/>
                <w:szCs w:val="22"/>
              </w:rPr>
              <w:t>d</w:t>
            </w:r>
            <w:r w:rsidR="006E17A3" w:rsidRPr="00AA1ECA">
              <w:rPr>
                <w:rFonts w:cs="Arial"/>
                <w:sz w:val="22"/>
                <w:szCs w:val="22"/>
              </w:rPr>
              <w:t xml:space="preserve"> to meet during </w:t>
            </w:r>
            <w:r w:rsidRPr="00AA1ECA">
              <w:rPr>
                <w:rFonts w:cs="Arial"/>
                <w:sz w:val="22"/>
                <w:szCs w:val="22"/>
              </w:rPr>
              <w:t>2016/17</w:t>
            </w:r>
            <w:r w:rsidR="006E17A3" w:rsidRPr="00AA1ECA">
              <w:rPr>
                <w:rFonts w:cs="Arial"/>
                <w:sz w:val="22"/>
                <w:szCs w:val="22"/>
              </w:rPr>
              <w:t xml:space="preserve"> in order to </w:t>
            </w:r>
            <w:r w:rsidRPr="00AA1ECA">
              <w:rPr>
                <w:rFonts w:cs="Arial"/>
                <w:sz w:val="22"/>
                <w:szCs w:val="22"/>
              </w:rPr>
              <w:t>m</w:t>
            </w:r>
            <w:r w:rsidR="006E17A3" w:rsidRPr="00AA1ECA">
              <w:rPr>
                <w:rFonts w:cs="Arial"/>
                <w:sz w:val="22"/>
                <w:szCs w:val="22"/>
              </w:rPr>
              <w:t xml:space="preserve">onitor </w:t>
            </w:r>
            <w:r w:rsidRPr="00AA1ECA">
              <w:rPr>
                <w:rFonts w:cs="Arial"/>
                <w:sz w:val="22"/>
                <w:szCs w:val="22"/>
              </w:rPr>
              <w:t xml:space="preserve">the </w:t>
            </w:r>
            <w:r w:rsidR="006E17A3" w:rsidRPr="00AA1ECA">
              <w:rPr>
                <w:rFonts w:cs="Arial"/>
                <w:sz w:val="22"/>
                <w:szCs w:val="22"/>
              </w:rPr>
              <w:t xml:space="preserve">progress with the savings and additional income incorporated into the Council’s </w:t>
            </w:r>
            <w:r w:rsidRPr="00AA1ECA">
              <w:rPr>
                <w:rFonts w:cs="Arial"/>
                <w:sz w:val="22"/>
                <w:szCs w:val="22"/>
              </w:rPr>
              <w:t xml:space="preserve">base </w:t>
            </w:r>
            <w:r w:rsidR="006E17A3" w:rsidRPr="00AA1ECA">
              <w:rPr>
                <w:rFonts w:cs="Arial"/>
                <w:sz w:val="22"/>
                <w:szCs w:val="22"/>
              </w:rPr>
              <w:t>budget</w:t>
            </w:r>
            <w:r w:rsidRPr="00AA1ECA">
              <w:rPr>
                <w:rFonts w:cs="Arial"/>
                <w:sz w:val="22"/>
                <w:szCs w:val="22"/>
              </w:rPr>
              <w:t>s.</w:t>
            </w:r>
            <w:r w:rsidR="00AA1ECA">
              <w:rPr>
                <w:rFonts w:cs="Arial"/>
                <w:sz w:val="22"/>
                <w:szCs w:val="22"/>
              </w:rPr>
              <w:t xml:space="preserve"> </w:t>
            </w:r>
            <w:r w:rsidRPr="00AA1ECA">
              <w:rPr>
                <w:rFonts w:cs="Arial"/>
                <w:sz w:val="22"/>
                <w:szCs w:val="22"/>
              </w:rPr>
              <w:t xml:space="preserve"> The </w:t>
            </w:r>
            <w:r w:rsidR="000E5D46">
              <w:rPr>
                <w:rFonts w:cs="Arial"/>
                <w:sz w:val="22"/>
                <w:szCs w:val="22"/>
              </w:rPr>
              <w:t>g</w:t>
            </w:r>
            <w:r w:rsidRPr="00AA1ECA">
              <w:rPr>
                <w:rFonts w:cs="Arial"/>
                <w:sz w:val="22"/>
                <w:szCs w:val="22"/>
              </w:rPr>
              <w:t>arden waste initiative has</w:t>
            </w:r>
            <w:r w:rsidR="00AA1ECA">
              <w:rPr>
                <w:rFonts w:cs="Arial"/>
                <w:sz w:val="22"/>
                <w:szCs w:val="22"/>
              </w:rPr>
              <w:t xml:space="preserve"> proved to be </w:t>
            </w:r>
            <w:r w:rsidRPr="00AA1ECA">
              <w:rPr>
                <w:rFonts w:cs="Arial"/>
                <w:sz w:val="22"/>
                <w:szCs w:val="22"/>
              </w:rPr>
              <w:t xml:space="preserve">extremely </w:t>
            </w:r>
            <w:r w:rsidR="00AA1ECA">
              <w:rPr>
                <w:rFonts w:cs="Arial"/>
                <w:sz w:val="22"/>
                <w:szCs w:val="22"/>
              </w:rPr>
              <w:t>successful</w:t>
            </w:r>
            <w:r w:rsidRPr="00AA1ECA">
              <w:rPr>
                <w:rFonts w:cs="Arial"/>
                <w:sz w:val="22"/>
                <w:szCs w:val="22"/>
              </w:rPr>
              <w:t xml:space="preserve"> and </w:t>
            </w:r>
            <w:r w:rsidR="00AA1ECA">
              <w:rPr>
                <w:rFonts w:cs="Arial"/>
                <w:sz w:val="22"/>
                <w:szCs w:val="22"/>
              </w:rPr>
              <w:t xml:space="preserve">current demand </w:t>
            </w:r>
            <w:r w:rsidRPr="00AA1ECA">
              <w:rPr>
                <w:rFonts w:cs="Arial"/>
                <w:sz w:val="22"/>
                <w:szCs w:val="22"/>
              </w:rPr>
              <w:t xml:space="preserve">has </w:t>
            </w:r>
            <w:r w:rsidR="00AA1ECA">
              <w:rPr>
                <w:rFonts w:cs="Arial"/>
                <w:sz w:val="22"/>
                <w:szCs w:val="22"/>
              </w:rPr>
              <w:t xml:space="preserve">far </w:t>
            </w:r>
            <w:r w:rsidRPr="00AA1ECA">
              <w:rPr>
                <w:rFonts w:cs="Arial"/>
                <w:sz w:val="22"/>
                <w:szCs w:val="22"/>
              </w:rPr>
              <w:t xml:space="preserve">outstripped </w:t>
            </w:r>
            <w:r w:rsidR="00AA1ECA">
              <w:rPr>
                <w:rFonts w:cs="Arial"/>
                <w:sz w:val="22"/>
                <w:szCs w:val="22"/>
              </w:rPr>
              <w:t xml:space="preserve">the </w:t>
            </w:r>
            <w:r w:rsidR="00907EFE" w:rsidRPr="00AA1ECA">
              <w:rPr>
                <w:rFonts w:cs="Arial"/>
                <w:sz w:val="22"/>
                <w:szCs w:val="22"/>
              </w:rPr>
              <w:t>expected</w:t>
            </w:r>
            <w:r w:rsidRPr="00AA1ECA">
              <w:rPr>
                <w:rFonts w:cs="Arial"/>
                <w:sz w:val="22"/>
                <w:szCs w:val="22"/>
              </w:rPr>
              <w:t xml:space="preserve"> participation</w:t>
            </w:r>
            <w:r w:rsidR="00AA1ECA">
              <w:rPr>
                <w:rFonts w:cs="Arial"/>
                <w:sz w:val="22"/>
                <w:szCs w:val="22"/>
              </w:rPr>
              <w:t xml:space="preserve"> and take-up</w:t>
            </w:r>
            <w:r w:rsidRPr="00AA1ECA">
              <w:rPr>
                <w:rFonts w:cs="Arial"/>
                <w:sz w:val="22"/>
                <w:szCs w:val="22"/>
              </w:rPr>
              <w:t xml:space="preserve"> rates. Both the </w:t>
            </w:r>
            <w:r w:rsidR="00850A19" w:rsidRPr="00AA1ECA">
              <w:rPr>
                <w:rFonts w:cs="Arial"/>
                <w:sz w:val="22"/>
                <w:szCs w:val="22"/>
              </w:rPr>
              <w:t>parking and</w:t>
            </w:r>
            <w:r w:rsidRPr="00AA1ECA">
              <w:rPr>
                <w:rFonts w:cs="Arial"/>
                <w:sz w:val="22"/>
                <w:szCs w:val="22"/>
              </w:rPr>
              <w:t xml:space="preserve"> garages services </w:t>
            </w:r>
            <w:r w:rsidR="00850A19" w:rsidRPr="00AA1ECA">
              <w:rPr>
                <w:rFonts w:cs="Arial"/>
                <w:sz w:val="22"/>
                <w:szCs w:val="22"/>
              </w:rPr>
              <w:t>are</w:t>
            </w:r>
            <w:r w:rsidRPr="00AA1ECA">
              <w:rPr>
                <w:rFonts w:cs="Arial"/>
                <w:sz w:val="22"/>
                <w:szCs w:val="22"/>
              </w:rPr>
              <w:t xml:space="preserve"> currently under review to ensure </w:t>
            </w:r>
            <w:r w:rsidR="000E5D46">
              <w:rPr>
                <w:rFonts w:cs="Arial"/>
                <w:sz w:val="22"/>
                <w:szCs w:val="22"/>
              </w:rPr>
              <w:t xml:space="preserve">they are able to </w:t>
            </w:r>
            <w:r w:rsidRPr="00AA1ECA">
              <w:rPr>
                <w:rFonts w:cs="Arial"/>
                <w:sz w:val="22"/>
                <w:szCs w:val="22"/>
              </w:rPr>
              <w:t xml:space="preserve">achieve the savings </w:t>
            </w:r>
            <w:r w:rsidR="000E5D46">
              <w:rPr>
                <w:rFonts w:cs="Arial"/>
                <w:sz w:val="22"/>
                <w:szCs w:val="22"/>
              </w:rPr>
              <w:t xml:space="preserve">previously mandated and agreed.  </w:t>
            </w:r>
          </w:p>
          <w:p w:rsidR="00011BC4" w:rsidRPr="00AA1ECA" w:rsidRDefault="00011BC4" w:rsidP="00AA1ECA">
            <w:pPr>
              <w:jc w:val="both"/>
              <w:rPr>
                <w:rFonts w:cs="Arial"/>
                <w:sz w:val="22"/>
                <w:szCs w:val="22"/>
              </w:rPr>
            </w:pPr>
            <w:r w:rsidRPr="00AA1ECA">
              <w:rPr>
                <w:rFonts w:cs="Arial"/>
                <w:sz w:val="22"/>
                <w:szCs w:val="22"/>
              </w:rPr>
              <w:t xml:space="preserve"> </w:t>
            </w:r>
          </w:p>
          <w:p w:rsidR="009F3C0B" w:rsidRPr="00AA1ECA" w:rsidRDefault="000E5D46" w:rsidP="00AA1ECA">
            <w:pPr>
              <w:jc w:val="both"/>
              <w:rPr>
                <w:rFonts w:cs="Arial"/>
                <w:sz w:val="22"/>
                <w:szCs w:val="22"/>
              </w:rPr>
            </w:pPr>
            <w:r>
              <w:rPr>
                <w:rFonts w:cs="Arial"/>
                <w:sz w:val="22"/>
                <w:szCs w:val="22"/>
              </w:rPr>
              <w:t>T</w:t>
            </w:r>
            <w:r w:rsidR="00512D49" w:rsidRPr="00AA1ECA">
              <w:rPr>
                <w:rFonts w:cs="Arial"/>
                <w:sz w:val="22"/>
                <w:szCs w:val="22"/>
              </w:rPr>
              <w:t>he</w:t>
            </w:r>
            <w:r w:rsidR="00D03A09" w:rsidRPr="00AA1ECA">
              <w:rPr>
                <w:rFonts w:cs="Arial"/>
                <w:sz w:val="22"/>
                <w:szCs w:val="22"/>
              </w:rPr>
              <w:t xml:space="preserve"> base budgets also inc</w:t>
            </w:r>
            <w:r w:rsidR="00512D49" w:rsidRPr="00AA1ECA">
              <w:rPr>
                <w:rFonts w:cs="Arial"/>
                <w:sz w:val="22"/>
                <w:szCs w:val="22"/>
              </w:rPr>
              <w:t>lude efficiency savings of £250,000 in 2017/18 and £500,000 in both 2018/19 and 2019/</w:t>
            </w:r>
            <w:r w:rsidR="004C65D5" w:rsidRPr="00AA1ECA">
              <w:rPr>
                <w:rFonts w:cs="Arial"/>
                <w:sz w:val="22"/>
                <w:szCs w:val="22"/>
              </w:rPr>
              <w:t>20</w:t>
            </w:r>
            <w:r w:rsidR="00512D49" w:rsidRPr="00AA1ECA">
              <w:rPr>
                <w:rFonts w:cs="Arial"/>
                <w:sz w:val="22"/>
                <w:szCs w:val="22"/>
              </w:rPr>
              <w:t xml:space="preserve">. </w:t>
            </w:r>
            <w:r>
              <w:rPr>
                <w:rFonts w:cs="Arial"/>
                <w:sz w:val="22"/>
                <w:szCs w:val="22"/>
              </w:rPr>
              <w:t xml:space="preserve"> </w:t>
            </w:r>
            <w:r w:rsidR="00D03A09" w:rsidRPr="00AA1ECA">
              <w:rPr>
                <w:rFonts w:cs="Arial"/>
                <w:sz w:val="22"/>
                <w:szCs w:val="22"/>
              </w:rPr>
              <w:t>These have yet to be</w:t>
            </w:r>
            <w:r w:rsidR="00512D49" w:rsidRPr="00AA1ECA">
              <w:rPr>
                <w:rFonts w:cs="Arial"/>
                <w:sz w:val="22"/>
                <w:szCs w:val="22"/>
              </w:rPr>
              <w:t xml:space="preserve"> specifically</w:t>
            </w:r>
            <w:r w:rsidR="00D03A09" w:rsidRPr="00AA1ECA">
              <w:rPr>
                <w:rFonts w:cs="Arial"/>
                <w:sz w:val="22"/>
                <w:szCs w:val="22"/>
              </w:rPr>
              <w:t xml:space="preserve"> identified</w:t>
            </w:r>
            <w:r w:rsidR="00CE5251" w:rsidRPr="00AA1ECA">
              <w:rPr>
                <w:rFonts w:cs="Arial"/>
                <w:sz w:val="22"/>
                <w:szCs w:val="22"/>
              </w:rPr>
              <w:t xml:space="preserve"> </w:t>
            </w:r>
            <w:r>
              <w:rPr>
                <w:rFonts w:cs="Arial"/>
                <w:sz w:val="22"/>
                <w:szCs w:val="22"/>
              </w:rPr>
              <w:t xml:space="preserve">by the SSWRP and further allocated to individual </w:t>
            </w:r>
            <w:r w:rsidR="00CE5251" w:rsidRPr="00AA1ECA">
              <w:rPr>
                <w:rFonts w:cs="Arial"/>
                <w:sz w:val="22"/>
                <w:szCs w:val="22"/>
              </w:rPr>
              <w:t>services.</w:t>
            </w:r>
          </w:p>
          <w:p w:rsidR="009F3C0B" w:rsidRPr="00850A19" w:rsidRDefault="009F3C0B" w:rsidP="00D928F7">
            <w:pPr>
              <w:tabs>
                <w:tab w:val="left" w:pos="360"/>
                <w:tab w:val="left" w:pos="900"/>
              </w:tabs>
              <w:jc w:val="both"/>
              <w:rPr>
                <w:sz w:val="22"/>
                <w:szCs w:val="22"/>
              </w:rPr>
            </w:pP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0738B4" w:rsidRPr="00B16F41" w:rsidRDefault="000738B4" w:rsidP="00C80E97">
            <w:pPr>
              <w:rPr>
                <w:rFonts w:cs="Arial"/>
                <w:sz w:val="22"/>
                <w:szCs w:val="22"/>
              </w:rPr>
            </w:pPr>
            <w:r w:rsidRPr="00B16F41">
              <w:rPr>
                <w:rFonts w:cs="Arial"/>
                <w:sz w:val="22"/>
                <w:szCs w:val="22"/>
              </w:rPr>
              <w:t>3.</w:t>
            </w:r>
            <w:r w:rsidR="00CC1F66" w:rsidRPr="00B16F41">
              <w:rPr>
                <w:rFonts w:cs="Arial"/>
                <w:sz w:val="22"/>
                <w:szCs w:val="22"/>
              </w:rPr>
              <w:t>2</w:t>
            </w:r>
          </w:p>
        </w:tc>
        <w:tc>
          <w:tcPr>
            <w:cnfStyle w:val="000100000000" w:firstRow="0" w:lastRow="0" w:firstColumn="0" w:lastColumn="1" w:oddVBand="0" w:evenVBand="0" w:oddHBand="0" w:evenHBand="0" w:firstRowFirstColumn="0" w:firstRowLastColumn="0" w:lastRowFirstColumn="0" w:lastRowLastColumn="0"/>
            <w:tcW w:w="9072" w:type="dxa"/>
          </w:tcPr>
          <w:p w:rsidR="00333C45" w:rsidRDefault="00512D49" w:rsidP="00413873">
            <w:pPr>
              <w:jc w:val="both"/>
              <w:rPr>
                <w:rFonts w:cs="Arial"/>
                <w:sz w:val="22"/>
                <w:szCs w:val="22"/>
                <w:lang w:eastAsia="en-GB"/>
              </w:rPr>
            </w:pPr>
            <w:r w:rsidRPr="00850A19">
              <w:rPr>
                <w:rFonts w:cs="Arial"/>
                <w:sz w:val="22"/>
                <w:szCs w:val="22"/>
              </w:rPr>
              <w:t xml:space="preserve">The Council has </w:t>
            </w:r>
            <w:r w:rsidR="00850A19" w:rsidRPr="00850A19">
              <w:rPr>
                <w:rFonts w:cs="Arial"/>
                <w:sz w:val="22"/>
                <w:szCs w:val="22"/>
              </w:rPr>
              <w:t xml:space="preserve">recently </w:t>
            </w:r>
            <w:r w:rsidRPr="00850A19">
              <w:rPr>
                <w:rFonts w:cs="Arial"/>
                <w:sz w:val="22"/>
                <w:szCs w:val="22"/>
              </w:rPr>
              <w:t xml:space="preserve">commissioned the East of England </w:t>
            </w:r>
            <w:r w:rsidR="00850A19" w:rsidRPr="00850A19">
              <w:rPr>
                <w:rFonts w:cs="Arial"/>
                <w:sz w:val="22"/>
                <w:szCs w:val="22"/>
              </w:rPr>
              <w:t>LGA to</w:t>
            </w:r>
            <w:r w:rsidR="00850A19" w:rsidRPr="00850A19">
              <w:rPr>
                <w:rFonts w:cs="Arial"/>
                <w:sz w:val="22"/>
                <w:szCs w:val="22"/>
                <w:lang w:eastAsia="en-GB"/>
              </w:rPr>
              <w:t xml:space="preserve"> provide further commercial services by offering professional advice and support to develop the appropriate business case for each key scheme to move to implementation. </w:t>
            </w:r>
            <w:r w:rsidR="0097182F">
              <w:rPr>
                <w:rFonts w:cs="Arial"/>
                <w:sz w:val="22"/>
                <w:szCs w:val="22"/>
                <w:lang w:eastAsia="en-GB"/>
              </w:rPr>
              <w:t xml:space="preserve"> It is envisaged that these services will generate further income over the medium term that may contribute to the above efficiency savings. </w:t>
            </w:r>
          </w:p>
          <w:p w:rsidR="00413873" w:rsidRPr="00850A19" w:rsidRDefault="00413873" w:rsidP="00413873">
            <w:pPr>
              <w:jc w:val="both"/>
              <w:rPr>
                <w:sz w:val="22"/>
                <w:szCs w:val="22"/>
              </w:rPr>
            </w:pPr>
          </w:p>
        </w:tc>
      </w:tr>
      <w:tr w:rsidR="00CF7499" w:rsidRPr="00CF7499" w:rsidTr="001E5BA7">
        <w:trPr>
          <w:gridBefore w:val="1"/>
          <w:wBefore w:w="34" w:type="dxa"/>
          <w:trHeight w:val="488"/>
        </w:trPr>
        <w:tc>
          <w:tcPr>
            <w:cnfStyle w:val="001000000000" w:firstRow="0" w:lastRow="0" w:firstColumn="1" w:lastColumn="0" w:oddVBand="0" w:evenVBand="0" w:oddHBand="0" w:evenHBand="0" w:firstRowFirstColumn="0" w:firstRowLastColumn="0" w:lastRowFirstColumn="0" w:lastRowLastColumn="0"/>
            <w:tcW w:w="959" w:type="dxa"/>
          </w:tcPr>
          <w:p w:rsidR="003A79EB" w:rsidRPr="007C1C6B" w:rsidRDefault="003A79EB" w:rsidP="001E0F67">
            <w:pPr>
              <w:rPr>
                <w:rFonts w:cs="Arial"/>
                <w:sz w:val="22"/>
                <w:szCs w:val="22"/>
              </w:rPr>
            </w:pPr>
            <w:r w:rsidRPr="007C1C6B">
              <w:rPr>
                <w:rFonts w:cs="Arial"/>
                <w:sz w:val="22"/>
                <w:szCs w:val="22"/>
              </w:rPr>
              <w:t>4.</w:t>
            </w:r>
          </w:p>
        </w:tc>
        <w:tc>
          <w:tcPr>
            <w:cnfStyle w:val="000100000000" w:firstRow="0" w:lastRow="0" w:firstColumn="0" w:lastColumn="1" w:oddVBand="0" w:evenVBand="0" w:oddHBand="0" w:evenHBand="0" w:firstRowFirstColumn="0" w:firstRowLastColumn="0" w:lastRowFirstColumn="0" w:lastRowLastColumn="0"/>
            <w:tcW w:w="9072" w:type="dxa"/>
          </w:tcPr>
          <w:p w:rsidR="003A79EB" w:rsidRPr="007C1C6B" w:rsidRDefault="003A79EB" w:rsidP="001E0F67">
            <w:pPr>
              <w:rPr>
                <w:rFonts w:cs="Arial"/>
                <w:b/>
                <w:sz w:val="22"/>
                <w:szCs w:val="22"/>
              </w:rPr>
            </w:pPr>
            <w:r w:rsidRPr="007C1C6B">
              <w:rPr>
                <w:rFonts w:cs="Arial"/>
                <w:b/>
                <w:sz w:val="22"/>
                <w:szCs w:val="22"/>
              </w:rPr>
              <w:t>Potential Growth</w:t>
            </w:r>
          </w:p>
        </w:tc>
      </w:tr>
      <w:tr w:rsidR="00CF7499" w:rsidRPr="00CF7499" w:rsidTr="00333C45">
        <w:trPr>
          <w:gridBefore w:val="1"/>
          <w:wBefore w:w="34" w:type="dxa"/>
          <w:trHeight w:val="374"/>
        </w:trPr>
        <w:tc>
          <w:tcPr>
            <w:cnfStyle w:val="001000000000" w:firstRow="0" w:lastRow="0" w:firstColumn="1" w:lastColumn="0" w:oddVBand="0" w:evenVBand="0" w:oddHBand="0" w:evenHBand="0" w:firstRowFirstColumn="0" w:firstRowLastColumn="0" w:lastRowFirstColumn="0" w:lastRowLastColumn="0"/>
            <w:tcW w:w="959" w:type="dxa"/>
          </w:tcPr>
          <w:p w:rsidR="003A79EB" w:rsidRPr="007C1C6B" w:rsidRDefault="003A79EB" w:rsidP="001E0F67">
            <w:pPr>
              <w:rPr>
                <w:rFonts w:cs="Arial"/>
                <w:sz w:val="22"/>
                <w:szCs w:val="22"/>
              </w:rPr>
            </w:pPr>
            <w:r w:rsidRPr="007C1C6B">
              <w:rPr>
                <w:rFonts w:cs="Arial"/>
                <w:sz w:val="22"/>
                <w:szCs w:val="22"/>
              </w:rPr>
              <w:t>4.1</w:t>
            </w:r>
          </w:p>
          <w:p w:rsidR="003A79EB" w:rsidRPr="00CF7499" w:rsidRDefault="003A79EB" w:rsidP="001E0F67">
            <w:pPr>
              <w:rPr>
                <w:rFonts w:cs="Arial"/>
                <w:color w:val="4F81BD" w:themeColor="accent1"/>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3A79EB" w:rsidRDefault="003A79EB" w:rsidP="00333C45">
            <w:pPr>
              <w:pStyle w:val="Default"/>
              <w:jc w:val="both"/>
              <w:rPr>
                <w:b/>
                <w:color w:val="4F81BD" w:themeColor="accent1"/>
                <w:sz w:val="22"/>
                <w:szCs w:val="22"/>
              </w:rPr>
            </w:pPr>
            <w:r w:rsidRPr="007C1C6B">
              <w:rPr>
                <w:color w:val="auto"/>
                <w:sz w:val="22"/>
                <w:szCs w:val="22"/>
              </w:rPr>
              <w:t xml:space="preserve">Officers have made every effort to cash limit expenditure without affecting service delivery. </w:t>
            </w:r>
            <w:r w:rsidR="000E5D46">
              <w:rPr>
                <w:color w:val="auto"/>
                <w:sz w:val="22"/>
                <w:szCs w:val="22"/>
              </w:rPr>
              <w:t xml:space="preserve">  Unavoidable growth (eg: statutory and contractual requirements) have been included into the based budgets.</w:t>
            </w:r>
            <w:r w:rsidR="00B9370D" w:rsidRPr="007C1C6B">
              <w:rPr>
                <w:color w:val="auto"/>
                <w:sz w:val="22"/>
                <w:szCs w:val="22"/>
              </w:rPr>
              <w:t xml:space="preserve">  T</w:t>
            </w:r>
            <w:r w:rsidR="00577388" w:rsidRPr="007C1C6B">
              <w:rPr>
                <w:color w:val="auto"/>
                <w:sz w:val="22"/>
                <w:szCs w:val="22"/>
              </w:rPr>
              <w:t xml:space="preserve">he scheme for prioritising </w:t>
            </w:r>
            <w:r w:rsidR="000E5D46">
              <w:rPr>
                <w:color w:val="auto"/>
                <w:sz w:val="22"/>
                <w:szCs w:val="22"/>
              </w:rPr>
              <w:t xml:space="preserve">discretionary </w:t>
            </w:r>
            <w:r w:rsidR="00577388" w:rsidRPr="007C1C6B">
              <w:rPr>
                <w:color w:val="auto"/>
                <w:sz w:val="22"/>
                <w:szCs w:val="22"/>
              </w:rPr>
              <w:t xml:space="preserve">growth is shown at </w:t>
            </w:r>
            <w:r w:rsidR="00577388" w:rsidRPr="00CC17D2">
              <w:rPr>
                <w:b/>
                <w:color w:val="auto"/>
                <w:sz w:val="22"/>
                <w:szCs w:val="22"/>
              </w:rPr>
              <w:t xml:space="preserve">Appendix </w:t>
            </w:r>
            <w:r w:rsidR="007411A3" w:rsidRPr="00CC17D2">
              <w:rPr>
                <w:b/>
                <w:color w:val="auto"/>
                <w:sz w:val="22"/>
                <w:szCs w:val="22"/>
              </w:rPr>
              <w:t>4</w:t>
            </w:r>
            <w:r w:rsidR="00172DC5">
              <w:rPr>
                <w:b/>
                <w:color w:val="auto"/>
                <w:sz w:val="22"/>
                <w:szCs w:val="22"/>
              </w:rPr>
              <w:t xml:space="preserve">. </w:t>
            </w:r>
            <w:r w:rsidR="00413873">
              <w:rPr>
                <w:b/>
                <w:color w:val="auto"/>
                <w:sz w:val="22"/>
                <w:szCs w:val="22"/>
              </w:rPr>
              <w:t xml:space="preserve"> </w:t>
            </w:r>
            <w:r w:rsidR="00172DC5">
              <w:rPr>
                <w:color w:val="auto"/>
                <w:sz w:val="22"/>
                <w:szCs w:val="22"/>
              </w:rPr>
              <w:t xml:space="preserve">There are </w:t>
            </w:r>
            <w:r w:rsidR="00172DC5" w:rsidRPr="00782CC2">
              <w:rPr>
                <w:color w:val="auto"/>
                <w:sz w:val="22"/>
                <w:szCs w:val="22"/>
              </w:rPr>
              <w:t>s</w:t>
            </w:r>
            <w:r w:rsidR="00DC1D05" w:rsidRPr="00782CC2">
              <w:rPr>
                <w:color w:val="auto"/>
                <w:sz w:val="22"/>
                <w:szCs w:val="22"/>
              </w:rPr>
              <w:t>even</w:t>
            </w:r>
            <w:r w:rsidR="0086191B" w:rsidRPr="00CC17D2">
              <w:rPr>
                <w:color w:val="auto"/>
                <w:sz w:val="22"/>
                <w:szCs w:val="22"/>
              </w:rPr>
              <w:t xml:space="preserve"> </w:t>
            </w:r>
            <w:r w:rsidR="00353FEC">
              <w:rPr>
                <w:color w:val="auto"/>
                <w:sz w:val="22"/>
                <w:szCs w:val="22"/>
              </w:rPr>
              <w:t xml:space="preserve">proposed </w:t>
            </w:r>
            <w:r w:rsidR="0086191B" w:rsidRPr="00CC17D2">
              <w:rPr>
                <w:color w:val="auto"/>
                <w:sz w:val="22"/>
                <w:szCs w:val="22"/>
              </w:rPr>
              <w:t>growth items</w:t>
            </w:r>
            <w:r w:rsidR="00172DC5">
              <w:rPr>
                <w:color w:val="auto"/>
                <w:sz w:val="22"/>
                <w:szCs w:val="22"/>
              </w:rPr>
              <w:t xml:space="preserve"> </w:t>
            </w:r>
            <w:r w:rsidR="0086191B" w:rsidRPr="00CC17D2">
              <w:rPr>
                <w:color w:val="auto"/>
                <w:sz w:val="22"/>
                <w:szCs w:val="22"/>
              </w:rPr>
              <w:t xml:space="preserve">shown at </w:t>
            </w:r>
            <w:r w:rsidR="0086191B" w:rsidRPr="00CC17D2">
              <w:rPr>
                <w:b/>
                <w:color w:val="auto"/>
                <w:sz w:val="22"/>
                <w:szCs w:val="22"/>
              </w:rPr>
              <w:t xml:space="preserve">Appendix </w:t>
            </w:r>
            <w:r w:rsidR="007411A3" w:rsidRPr="00CC17D2">
              <w:rPr>
                <w:b/>
                <w:color w:val="auto"/>
                <w:sz w:val="22"/>
                <w:szCs w:val="22"/>
              </w:rPr>
              <w:t>5</w:t>
            </w:r>
            <w:r w:rsidR="00172DC5">
              <w:rPr>
                <w:b/>
                <w:color w:val="auto"/>
                <w:sz w:val="22"/>
                <w:szCs w:val="22"/>
              </w:rPr>
              <w:t xml:space="preserve">. </w:t>
            </w:r>
            <w:r w:rsidR="00413873">
              <w:rPr>
                <w:b/>
                <w:color w:val="auto"/>
                <w:sz w:val="22"/>
                <w:szCs w:val="22"/>
              </w:rPr>
              <w:t xml:space="preserve"> </w:t>
            </w:r>
            <w:r w:rsidR="00172DC5" w:rsidRPr="004C0ABF">
              <w:rPr>
                <w:color w:val="auto"/>
                <w:sz w:val="22"/>
                <w:szCs w:val="22"/>
              </w:rPr>
              <w:t>These total £</w:t>
            </w:r>
            <w:r w:rsidR="00A67140">
              <w:rPr>
                <w:color w:val="auto"/>
                <w:sz w:val="22"/>
                <w:szCs w:val="22"/>
              </w:rPr>
              <w:t>396,270</w:t>
            </w:r>
            <w:r w:rsidR="004C0ABF" w:rsidRPr="004C0ABF">
              <w:rPr>
                <w:color w:val="auto"/>
                <w:sz w:val="22"/>
                <w:szCs w:val="22"/>
              </w:rPr>
              <w:t xml:space="preserve"> </w:t>
            </w:r>
            <w:r w:rsidR="004C0ABF" w:rsidRPr="004C0ABF">
              <w:rPr>
                <w:color w:val="auto"/>
                <w:sz w:val="22"/>
                <w:szCs w:val="22"/>
              </w:rPr>
              <w:lastRenderedPageBreak/>
              <w:t>in 2017/18 and £</w:t>
            </w:r>
            <w:r w:rsidR="00A67140">
              <w:rPr>
                <w:color w:val="auto"/>
                <w:sz w:val="22"/>
                <w:szCs w:val="22"/>
              </w:rPr>
              <w:t>315,590</w:t>
            </w:r>
            <w:r w:rsidR="004C0ABF" w:rsidRPr="004C0ABF">
              <w:rPr>
                <w:color w:val="auto"/>
                <w:sz w:val="22"/>
                <w:szCs w:val="22"/>
              </w:rPr>
              <w:t xml:space="preserve"> in future years</w:t>
            </w:r>
            <w:r w:rsidR="004C0ABF">
              <w:rPr>
                <w:color w:val="auto"/>
                <w:sz w:val="22"/>
                <w:szCs w:val="22"/>
              </w:rPr>
              <w:t>. T</w:t>
            </w:r>
            <w:r w:rsidR="00172DC5">
              <w:rPr>
                <w:color w:val="auto"/>
                <w:sz w:val="22"/>
                <w:szCs w:val="22"/>
              </w:rPr>
              <w:t>hree</w:t>
            </w:r>
            <w:r w:rsidR="004C0ABF">
              <w:rPr>
                <w:color w:val="auto"/>
                <w:sz w:val="22"/>
                <w:szCs w:val="22"/>
              </w:rPr>
              <w:t xml:space="preserve"> of these bids</w:t>
            </w:r>
            <w:r w:rsidR="006053A9">
              <w:rPr>
                <w:color w:val="auto"/>
                <w:sz w:val="22"/>
                <w:szCs w:val="22"/>
              </w:rPr>
              <w:t xml:space="preserve"> </w:t>
            </w:r>
            <w:r w:rsidR="00E343F1">
              <w:rPr>
                <w:color w:val="auto"/>
                <w:sz w:val="22"/>
                <w:szCs w:val="22"/>
              </w:rPr>
              <w:t>depend on the approval to fund their respective new</w:t>
            </w:r>
            <w:r w:rsidR="006053A9">
              <w:rPr>
                <w:color w:val="auto"/>
                <w:sz w:val="22"/>
                <w:szCs w:val="22"/>
              </w:rPr>
              <w:t xml:space="preserve"> capital schemes</w:t>
            </w:r>
            <w:r w:rsidR="0074504B">
              <w:rPr>
                <w:color w:val="auto"/>
                <w:sz w:val="22"/>
                <w:szCs w:val="22"/>
              </w:rPr>
              <w:t xml:space="preserve"> (see </w:t>
            </w:r>
            <w:r w:rsidR="00616477">
              <w:rPr>
                <w:color w:val="auto"/>
                <w:sz w:val="22"/>
                <w:szCs w:val="22"/>
              </w:rPr>
              <w:t xml:space="preserve">Item </w:t>
            </w:r>
            <w:r w:rsidR="00FF48D6">
              <w:rPr>
                <w:color w:val="auto"/>
                <w:sz w:val="22"/>
                <w:szCs w:val="22"/>
              </w:rPr>
              <w:t>9</w:t>
            </w:r>
            <w:r w:rsidR="0074504B" w:rsidRPr="0011004D">
              <w:rPr>
                <w:color w:val="auto"/>
                <w:sz w:val="22"/>
                <w:szCs w:val="22"/>
              </w:rPr>
              <w:t xml:space="preserve"> on this agenda)</w:t>
            </w:r>
            <w:r w:rsidR="006053A9" w:rsidRPr="0011004D">
              <w:rPr>
                <w:color w:val="auto"/>
                <w:sz w:val="22"/>
                <w:szCs w:val="22"/>
              </w:rPr>
              <w:t xml:space="preserve">. </w:t>
            </w:r>
            <w:r w:rsidR="0074504B" w:rsidRPr="0011004D">
              <w:rPr>
                <w:color w:val="auto"/>
                <w:sz w:val="22"/>
                <w:szCs w:val="22"/>
              </w:rPr>
              <w:t xml:space="preserve"> </w:t>
            </w:r>
            <w:r w:rsidR="001E10C1" w:rsidRPr="0011004D">
              <w:rPr>
                <w:color w:val="auto"/>
                <w:sz w:val="22"/>
                <w:szCs w:val="22"/>
              </w:rPr>
              <w:t>A Project Initiation Document (PID</w:t>
            </w:r>
            <w:r w:rsidR="00450601" w:rsidRPr="0011004D">
              <w:rPr>
                <w:color w:val="auto"/>
                <w:sz w:val="22"/>
                <w:szCs w:val="22"/>
              </w:rPr>
              <w:t>) for</w:t>
            </w:r>
            <w:r w:rsidR="001E10C1" w:rsidRPr="0011004D">
              <w:rPr>
                <w:color w:val="auto"/>
                <w:sz w:val="22"/>
                <w:szCs w:val="22"/>
              </w:rPr>
              <w:t xml:space="preserve"> each bid is shown separately </w:t>
            </w:r>
            <w:r w:rsidR="00450601" w:rsidRPr="0011004D">
              <w:rPr>
                <w:color w:val="auto"/>
                <w:sz w:val="22"/>
                <w:szCs w:val="22"/>
              </w:rPr>
              <w:t>at Item</w:t>
            </w:r>
            <w:r w:rsidR="004C0ABF" w:rsidRPr="0011004D">
              <w:rPr>
                <w:color w:val="auto"/>
                <w:sz w:val="22"/>
                <w:szCs w:val="22"/>
              </w:rPr>
              <w:t xml:space="preserve"> </w:t>
            </w:r>
            <w:r w:rsidR="00616477">
              <w:rPr>
                <w:color w:val="auto"/>
                <w:sz w:val="22"/>
                <w:szCs w:val="22"/>
              </w:rPr>
              <w:t>1</w:t>
            </w:r>
            <w:r w:rsidR="00FF48D6">
              <w:rPr>
                <w:color w:val="auto"/>
                <w:sz w:val="22"/>
                <w:szCs w:val="22"/>
              </w:rPr>
              <w:t>2</w:t>
            </w:r>
            <w:r w:rsidR="004C0ABF">
              <w:rPr>
                <w:color w:val="auto"/>
                <w:sz w:val="22"/>
                <w:szCs w:val="22"/>
              </w:rPr>
              <w:t xml:space="preserve"> </w:t>
            </w:r>
            <w:r w:rsidR="001E10C1">
              <w:rPr>
                <w:color w:val="auto"/>
                <w:sz w:val="22"/>
                <w:szCs w:val="22"/>
              </w:rPr>
              <w:t>on this agenda.</w:t>
            </w:r>
            <w:r w:rsidR="004C0ABF">
              <w:rPr>
                <w:color w:val="auto"/>
                <w:sz w:val="22"/>
                <w:szCs w:val="22"/>
              </w:rPr>
              <w:t xml:space="preserve"> It should be noted that n</w:t>
            </w:r>
            <w:r w:rsidR="006053A9">
              <w:rPr>
                <w:color w:val="auto"/>
                <w:sz w:val="22"/>
                <w:szCs w:val="22"/>
              </w:rPr>
              <w:t xml:space="preserve">one of the growth bids have been included </w:t>
            </w:r>
            <w:r w:rsidR="0086191B" w:rsidRPr="00CC17D2">
              <w:rPr>
                <w:color w:val="auto"/>
                <w:sz w:val="22"/>
                <w:szCs w:val="22"/>
              </w:rPr>
              <w:t xml:space="preserve">in the </w:t>
            </w:r>
            <w:r w:rsidR="00644E56" w:rsidRPr="00CC17D2">
              <w:rPr>
                <w:color w:val="auto"/>
                <w:sz w:val="22"/>
                <w:szCs w:val="22"/>
              </w:rPr>
              <w:t>base</w:t>
            </w:r>
            <w:r w:rsidR="0086191B" w:rsidRPr="00CC17D2">
              <w:rPr>
                <w:color w:val="auto"/>
                <w:sz w:val="22"/>
                <w:szCs w:val="22"/>
              </w:rPr>
              <w:t xml:space="preserve"> </w:t>
            </w:r>
            <w:r w:rsidR="000704C9" w:rsidRPr="00CC17D2">
              <w:rPr>
                <w:color w:val="auto"/>
                <w:sz w:val="22"/>
                <w:szCs w:val="22"/>
              </w:rPr>
              <w:t>b</w:t>
            </w:r>
            <w:r w:rsidR="0086191B" w:rsidRPr="00CC17D2">
              <w:rPr>
                <w:color w:val="auto"/>
                <w:sz w:val="22"/>
                <w:szCs w:val="22"/>
              </w:rPr>
              <w:t>udget</w:t>
            </w:r>
            <w:r w:rsidR="00621785" w:rsidRPr="00CC17D2">
              <w:rPr>
                <w:color w:val="auto"/>
                <w:sz w:val="22"/>
                <w:szCs w:val="22"/>
              </w:rPr>
              <w:t>s</w:t>
            </w:r>
            <w:r w:rsidR="0086191B" w:rsidRPr="00CC17D2">
              <w:rPr>
                <w:color w:val="4F81BD" w:themeColor="accent1"/>
                <w:sz w:val="22"/>
                <w:szCs w:val="22"/>
              </w:rPr>
              <w:t>.</w:t>
            </w:r>
            <w:r w:rsidR="00577388" w:rsidRPr="00CF7499">
              <w:rPr>
                <w:b/>
                <w:color w:val="4F81BD" w:themeColor="accent1"/>
                <w:sz w:val="22"/>
                <w:szCs w:val="22"/>
              </w:rPr>
              <w:t xml:space="preserve"> </w:t>
            </w:r>
          </w:p>
          <w:p w:rsidR="00333C45" w:rsidRPr="00CF7499" w:rsidRDefault="00333C45" w:rsidP="00333C45">
            <w:pPr>
              <w:pStyle w:val="Default"/>
              <w:jc w:val="both"/>
              <w:rPr>
                <w:color w:val="4F81BD" w:themeColor="accent1"/>
                <w:sz w:val="22"/>
                <w:szCs w:val="22"/>
              </w:rPr>
            </w:pPr>
          </w:p>
        </w:tc>
      </w:tr>
      <w:tr w:rsidR="00CF7499" w:rsidRPr="00CF7499" w:rsidTr="001E5BA7">
        <w:trPr>
          <w:gridBefore w:val="1"/>
          <w:wBefore w:w="34" w:type="dxa"/>
          <w:trHeight w:val="350"/>
        </w:trPr>
        <w:tc>
          <w:tcPr>
            <w:cnfStyle w:val="001000000000" w:firstRow="0" w:lastRow="0" w:firstColumn="1" w:lastColumn="0" w:oddVBand="0" w:evenVBand="0" w:oddHBand="0" w:evenHBand="0" w:firstRowFirstColumn="0" w:firstRowLastColumn="0" w:lastRowFirstColumn="0" w:lastRowLastColumn="0"/>
            <w:tcW w:w="959" w:type="dxa"/>
          </w:tcPr>
          <w:p w:rsidR="0086191B" w:rsidRPr="007C1C6B" w:rsidRDefault="0086191B" w:rsidP="001E0F67">
            <w:pPr>
              <w:tabs>
                <w:tab w:val="left" w:pos="1020"/>
              </w:tabs>
              <w:jc w:val="both"/>
              <w:rPr>
                <w:rFonts w:cs="Arial"/>
                <w:sz w:val="22"/>
                <w:szCs w:val="22"/>
              </w:rPr>
            </w:pPr>
            <w:r w:rsidRPr="007C1C6B">
              <w:rPr>
                <w:rFonts w:cs="Arial"/>
                <w:sz w:val="22"/>
                <w:szCs w:val="22"/>
              </w:rPr>
              <w:lastRenderedPageBreak/>
              <w:t>5.</w:t>
            </w:r>
            <w:r w:rsidRPr="007C1C6B">
              <w:rPr>
                <w:rFonts w:cs="Arial"/>
                <w:sz w:val="22"/>
                <w:szCs w:val="22"/>
              </w:rPr>
              <w:tab/>
            </w:r>
          </w:p>
          <w:p w:rsidR="0086191B" w:rsidRPr="007C1C6B" w:rsidRDefault="0086191B" w:rsidP="001E0F67">
            <w:pPr>
              <w:tabs>
                <w:tab w:val="left" w:pos="2835"/>
              </w:tabs>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86191B" w:rsidRPr="007C1C6B" w:rsidRDefault="0086191B" w:rsidP="001E0F67">
            <w:pPr>
              <w:jc w:val="both"/>
              <w:rPr>
                <w:b/>
                <w:sz w:val="22"/>
                <w:szCs w:val="22"/>
              </w:rPr>
            </w:pPr>
            <w:r w:rsidRPr="007C1C6B">
              <w:rPr>
                <w:b/>
                <w:sz w:val="22"/>
                <w:szCs w:val="22"/>
              </w:rPr>
              <w:t>Fees and Charges</w:t>
            </w: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86191B" w:rsidRPr="007C1C6B" w:rsidRDefault="0086191B" w:rsidP="001E0F67">
            <w:pPr>
              <w:tabs>
                <w:tab w:val="left" w:pos="2835"/>
              </w:tabs>
              <w:jc w:val="both"/>
              <w:rPr>
                <w:rFonts w:cs="Arial"/>
                <w:sz w:val="22"/>
                <w:szCs w:val="22"/>
              </w:rPr>
            </w:pPr>
            <w:r w:rsidRPr="007C1C6B">
              <w:rPr>
                <w:rFonts w:cs="Arial"/>
                <w:sz w:val="22"/>
                <w:szCs w:val="22"/>
              </w:rPr>
              <w:t>5.1</w:t>
            </w:r>
          </w:p>
          <w:p w:rsidR="0086191B" w:rsidRPr="007C1C6B" w:rsidRDefault="0086191B" w:rsidP="001E0F67">
            <w:pPr>
              <w:tabs>
                <w:tab w:val="left" w:pos="2835"/>
              </w:tabs>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621785" w:rsidRDefault="0086191B" w:rsidP="001E0F67">
            <w:pPr>
              <w:jc w:val="both"/>
              <w:rPr>
                <w:rFonts w:cs="Arial"/>
                <w:b/>
                <w:sz w:val="22"/>
                <w:szCs w:val="22"/>
              </w:rPr>
            </w:pPr>
            <w:r w:rsidRPr="007C1C6B">
              <w:rPr>
                <w:rFonts w:cs="Arial"/>
                <w:sz w:val="22"/>
                <w:szCs w:val="22"/>
              </w:rPr>
              <w:t xml:space="preserve">Details of the proposed fees &amp; charges were presented to </w:t>
            </w:r>
            <w:r w:rsidR="000E5D46">
              <w:rPr>
                <w:rFonts w:cs="Arial"/>
                <w:sz w:val="22"/>
                <w:szCs w:val="22"/>
              </w:rPr>
              <w:t>service c</w:t>
            </w:r>
            <w:r w:rsidRPr="007C1C6B">
              <w:rPr>
                <w:rFonts w:cs="Arial"/>
                <w:sz w:val="22"/>
                <w:szCs w:val="22"/>
              </w:rPr>
              <w:t xml:space="preserve">ommittees in November </w:t>
            </w:r>
            <w:r w:rsidRPr="007C1C6B">
              <w:rPr>
                <w:sz w:val="22"/>
                <w:szCs w:val="22"/>
              </w:rPr>
              <w:t>and</w:t>
            </w:r>
            <w:r w:rsidR="00336AE7" w:rsidRPr="007C1C6B">
              <w:rPr>
                <w:sz w:val="22"/>
                <w:szCs w:val="22"/>
              </w:rPr>
              <w:t xml:space="preserve"> have been included in the base budgets where agreed. </w:t>
            </w:r>
            <w:r w:rsidR="00831AA7">
              <w:rPr>
                <w:sz w:val="22"/>
                <w:szCs w:val="22"/>
              </w:rPr>
              <w:t xml:space="preserve"> </w:t>
            </w:r>
            <w:r w:rsidR="00336AE7" w:rsidRPr="007C1C6B">
              <w:rPr>
                <w:rFonts w:cs="Arial"/>
                <w:sz w:val="22"/>
                <w:szCs w:val="22"/>
              </w:rPr>
              <w:t>The</w:t>
            </w:r>
            <w:r w:rsidRPr="007C1C6B">
              <w:rPr>
                <w:rFonts w:cs="Arial"/>
                <w:sz w:val="22"/>
                <w:szCs w:val="22"/>
              </w:rPr>
              <w:t xml:space="preserve"> latest budgets for fees and charges are shown at </w:t>
            </w:r>
            <w:r w:rsidRPr="00527BBC">
              <w:rPr>
                <w:rFonts w:cs="Arial"/>
                <w:b/>
                <w:sz w:val="22"/>
                <w:szCs w:val="22"/>
              </w:rPr>
              <w:t xml:space="preserve">Appendix </w:t>
            </w:r>
            <w:r w:rsidR="007411A3" w:rsidRPr="00527BBC">
              <w:rPr>
                <w:rFonts w:cs="Arial"/>
                <w:b/>
                <w:sz w:val="22"/>
                <w:szCs w:val="22"/>
              </w:rPr>
              <w:t>6</w:t>
            </w:r>
            <w:r w:rsidRPr="00527BBC">
              <w:rPr>
                <w:rFonts w:cs="Arial"/>
                <w:b/>
                <w:sz w:val="22"/>
                <w:szCs w:val="22"/>
              </w:rPr>
              <w:t>.</w:t>
            </w:r>
            <w:r w:rsidRPr="007C1C6B">
              <w:rPr>
                <w:rFonts w:cs="Arial"/>
                <w:b/>
                <w:sz w:val="22"/>
                <w:szCs w:val="22"/>
              </w:rPr>
              <w:t xml:space="preserve"> </w:t>
            </w:r>
          </w:p>
          <w:p w:rsidR="0086191B" w:rsidRPr="007C1C6B" w:rsidRDefault="0086191B" w:rsidP="001E0F67">
            <w:pPr>
              <w:jc w:val="both"/>
              <w:rPr>
                <w:rFonts w:cs="Arial"/>
                <w:b/>
                <w:i/>
                <w:sz w:val="22"/>
                <w:szCs w:val="22"/>
              </w:rPr>
            </w:pPr>
          </w:p>
        </w:tc>
      </w:tr>
      <w:tr w:rsidR="00CF7499" w:rsidRPr="00CF7499" w:rsidTr="001E5BA7">
        <w:trPr>
          <w:gridBefore w:val="1"/>
          <w:wBefore w:w="34" w:type="dxa"/>
          <w:trHeight w:val="433"/>
        </w:trPr>
        <w:tc>
          <w:tcPr>
            <w:cnfStyle w:val="001000000000" w:firstRow="0" w:lastRow="0" w:firstColumn="1" w:lastColumn="0" w:oddVBand="0" w:evenVBand="0" w:oddHBand="0" w:evenHBand="0" w:firstRowFirstColumn="0" w:firstRowLastColumn="0" w:lastRowFirstColumn="0" w:lastRowLastColumn="0"/>
            <w:tcW w:w="959" w:type="dxa"/>
          </w:tcPr>
          <w:p w:rsidR="0086191B" w:rsidRPr="007C1C6B" w:rsidRDefault="0086191B" w:rsidP="001E0F67">
            <w:pPr>
              <w:tabs>
                <w:tab w:val="left" w:pos="2835"/>
              </w:tabs>
              <w:jc w:val="both"/>
              <w:rPr>
                <w:rFonts w:cs="Arial"/>
                <w:sz w:val="22"/>
                <w:szCs w:val="22"/>
              </w:rPr>
            </w:pPr>
            <w:r w:rsidRPr="007C1C6B">
              <w:rPr>
                <w:rFonts w:cs="Arial"/>
                <w:sz w:val="22"/>
                <w:szCs w:val="22"/>
              </w:rPr>
              <w:t>6.</w:t>
            </w:r>
          </w:p>
          <w:p w:rsidR="0086191B" w:rsidRPr="007C1C6B" w:rsidRDefault="0086191B" w:rsidP="001E0F67">
            <w:pPr>
              <w:tabs>
                <w:tab w:val="left" w:pos="2835"/>
              </w:tabs>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86191B" w:rsidRPr="007C1C6B" w:rsidRDefault="0086191B" w:rsidP="001E0F67">
            <w:pPr>
              <w:jc w:val="both"/>
              <w:rPr>
                <w:rFonts w:cs="Arial"/>
                <w:sz w:val="22"/>
                <w:szCs w:val="22"/>
              </w:rPr>
            </w:pPr>
            <w:r w:rsidRPr="007C1C6B">
              <w:rPr>
                <w:b/>
                <w:sz w:val="22"/>
                <w:szCs w:val="22"/>
              </w:rPr>
              <w:t>Funding the Revenue Budget</w:t>
            </w: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86191B" w:rsidRPr="00B16F41" w:rsidRDefault="0086191B" w:rsidP="001E0F67">
            <w:pPr>
              <w:tabs>
                <w:tab w:val="left" w:pos="2835"/>
              </w:tabs>
              <w:jc w:val="both"/>
              <w:rPr>
                <w:rFonts w:cs="Arial"/>
                <w:sz w:val="22"/>
                <w:szCs w:val="22"/>
              </w:rPr>
            </w:pPr>
            <w:r w:rsidRPr="00B16F41">
              <w:rPr>
                <w:rFonts w:cs="Arial"/>
                <w:sz w:val="22"/>
                <w:szCs w:val="22"/>
              </w:rPr>
              <w:t>6.1</w:t>
            </w:r>
          </w:p>
        </w:tc>
        <w:tc>
          <w:tcPr>
            <w:cnfStyle w:val="000100000000" w:firstRow="0" w:lastRow="0" w:firstColumn="0" w:lastColumn="1" w:oddVBand="0" w:evenVBand="0" w:oddHBand="0" w:evenHBand="0" w:firstRowFirstColumn="0" w:firstRowLastColumn="0" w:lastRowFirstColumn="0" w:lastRowLastColumn="0"/>
            <w:tcW w:w="9072" w:type="dxa"/>
          </w:tcPr>
          <w:p w:rsidR="0086191B" w:rsidRDefault="0086191B" w:rsidP="00346D39">
            <w:pPr>
              <w:jc w:val="both"/>
              <w:rPr>
                <w:sz w:val="22"/>
                <w:szCs w:val="22"/>
              </w:rPr>
            </w:pPr>
            <w:r w:rsidRPr="007C1C6B">
              <w:rPr>
                <w:sz w:val="22"/>
                <w:szCs w:val="22"/>
              </w:rPr>
              <w:t xml:space="preserve">The </w:t>
            </w:r>
            <w:r w:rsidR="0053567A">
              <w:rPr>
                <w:sz w:val="22"/>
                <w:szCs w:val="22"/>
              </w:rPr>
              <w:t xml:space="preserve">overall Council </w:t>
            </w:r>
            <w:r w:rsidRPr="007C1C6B">
              <w:rPr>
                <w:sz w:val="22"/>
                <w:szCs w:val="22"/>
              </w:rPr>
              <w:t xml:space="preserve">Medium Term Financial </w:t>
            </w:r>
            <w:r w:rsidR="00667FF6" w:rsidRPr="007C1C6B">
              <w:rPr>
                <w:sz w:val="22"/>
                <w:szCs w:val="22"/>
              </w:rPr>
              <w:t>Plan</w:t>
            </w:r>
            <w:r w:rsidRPr="007C1C6B">
              <w:rPr>
                <w:sz w:val="22"/>
                <w:szCs w:val="22"/>
              </w:rPr>
              <w:t xml:space="preserve"> (MTF</w:t>
            </w:r>
            <w:r w:rsidR="00667FF6" w:rsidRPr="007C1C6B">
              <w:rPr>
                <w:sz w:val="22"/>
                <w:szCs w:val="22"/>
              </w:rPr>
              <w:t>P</w:t>
            </w:r>
            <w:r w:rsidRPr="007C1C6B">
              <w:rPr>
                <w:sz w:val="22"/>
                <w:szCs w:val="22"/>
              </w:rPr>
              <w:t xml:space="preserve">) </w:t>
            </w:r>
            <w:r w:rsidRPr="003F7458">
              <w:rPr>
                <w:sz w:val="22"/>
                <w:szCs w:val="22"/>
              </w:rPr>
              <w:t xml:space="preserve">at </w:t>
            </w:r>
            <w:r w:rsidRPr="003F7458">
              <w:rPr>
                <w:b/>
                <w:sz w:val="22"/>
                <w:szCs w:val="22"/>
              </w:rPr>
              <w:t>Appendix 1</w:t>
            </w:r>
            <w:r w:rsidRPr="002A1193">
              <w:rPr>
                <w:sz w:val="22"/>
                <w:szCs w:val="22"/>
              </w:rPr>
              <w:t xml:space="preserve"> </w:t>
            </w:r>
            <w:r w:rsidRPr="007C1C6B">
              <w:rPr>
                <w:sz w:val="22"/>
                <w:szCs w:val="22"/>
              </w:rPr>
              <w:t>indicates a budget requirement</w:t>
            </w:r>
            <w:r w:rsidR="00C40134" w:rsidRPr="007C1C6B">
              <w:rPr>
                <w:sz w:val="22"/>
                <w:szCs w:val="22"/>
              </w:rPr>
              <w:t xml:space="preserve"> (net expenditure)</w:t>
            </w:r>
            <w:r w:rsidRPr="007C1C6B">
              <w:rPr>
                <w:sz w:val="22"/>
                <w:szCs w:val="22"/>
              </w:rPr>
              <w:t xml:space="preserve"> for </w:t>
            </w:r>
            <w:r w:rsidR="007C1C6B" w:rsidRPr="007C1C6B">
              <w:rPr>
                <w:sz w:val="22"/>
                <w:szCs w:val="22"/>
              </w:rPr>
              <w:t>2017/18</w:t>
            </w:r>
            <w:r w:rsidRPr="007C1C6B">
              <w:rPr>
                <w:sz w:val="22"/>
                <w:szCs w:val="22"/>
              </w:rPr>
              <w:t xml:space="preserve"> </w:t>
            </w:r>
            <w:r w:rsidRPr="00782CC2">
              <w:rPr>
                <w:sz w:val="22"/>
                <w:szCs w:val="22"/>
              </w:rPr>
              <w:t xml:space="preserve">of </w:t>
            </w:r>
            <w:r w:rsidRPr="00782CC2">
              <w:rPr>
                <w:b/>
                <w:sz w:val="22"/>
                <w:szCs w:val="22"/>
              </w:rPr>
              <w:t>£</w:t>
            </w:r>
            <w:r w:rsidR="00534318" w:rsidRPr="00782CC2">
              <w:rPr>
                <w:b/>
                <w:sz w:val="22"/>
                <w:szCs w:val="22"/>
              </w:rPr>
              <w:t>1</w:t>
            </w:r>
            <w:r w:rsidR="00FC6C60" w:rsidRPr="00782CC2">
              <w:rPr>
                <w:b/>
                <w:sz w:val="22"/>
                <w:szCs w:val="22"/>
              </w:rPr>
              <w:t>1</w:t>
            </w:r>
            <w:r w:rsidR="00534318" w:rsidRPr="00782CC2">
              <w:rPr>
                <w:b/>
                <w:sz w:val="22"/>
                <w:szCs w:val="22"/>
              </w:rPr>
              <w:t>,</w:t>
            </w:r>
            <w:r w:rsidR="00FC6C60" w:rsidRPr="00782CC2">
              <w:rPr>
                <w:b/>
                <w:sz w:val="22"/>
                <w:szCs w:val="22"/>
              </w:rPr>
              <w:t>8</w:t>
            </w:r>
            <w:r w:rsidR="00EC04CE" w:rsidRPr="00782CC2">
              <w:rPr>
                <w:b/>
                <w:sz w:val="22"/>
                <w:szCs w:val="22"/>
              </w:rPr>
              <w:t>44</w:t>
            </w:r>
            <w:r w:rsidR="00534318" w:rsidRPr="00782CC2">
              <w:rPr>
                <w:b/>
                <w:sz w:val="22"/>
                <w:szCs w:val="22"/>
              </w:rPr>
              <w:t>,</w:t>
            </w:r>
            <w:r w:rsidR="009275DA" w:rsidRPr="00782CC2">
              <w:rPr>
                <w:b/>
                <w:sz w:val="22"/>
                <w:szCs w:val="22"/>
              </w:rPr>
              <w:t>6</w:t>
            </w:r>
            <w:r w:rsidR="00EC04CE" w:rsidRPr="00782CC2">
              <w:rPr>
                <w:b/>
                <w:sz w:val="22"/>
                <w:szCs w:val="22"/>
              </w:rPr>
              <w:t>2</w:t>
            </w:r>
            <w:r w:rsidR="00534318" w:rsidRPr="00782CC2">
              <w:rPr>
                <w:b/>
                <w:sz w:val="22"/>
                <w:szCs w:val="22"/>
              </w:rPr>
              <w:t>2</w:t>
            </w:r>
            <w:r w:rsidRPr="00782CC2">
              <w:rPr>
                <w:b/>
                <w:color w:val="4F81BD" w:themeColor="accent1"/>
                <w:sz w:val="22"/>
                <w:szCs w:val="22"/>
              </w:rPr>
              <w:t>.</w:t>
            </w:r>
            <w:r w:rsidR="009F3C0B">
              <w:rPr>
                <w:b/>
                <w:color w:val="4F81BD" w:themeColor="accent1"/>
                <w:sz w:val="22"/>
                <w:szCs w:val="22"/>
              </w:rPr>
              <w:t xml:space="preserve"> </w:t>
            </w:r>
            <w:r w:rsidR="009F3C0B" w:rsidRPr="009F3C0B">
              <w:rPr>
                <w:sz w:val="22"/>
                <w:szCs w:val="22"/>
              </w:rPr>
              <w:t>This will be funded from a number of sources, which are detailed in</w:t>
            </w:r>
            <w:r w:rsidRPr="009F3C0B">
              <w:rPr>
                <w:sz w:val="22"/>
                <w:szCs w:val="22"/>
              </w:rPr>
              <w:t xml:space="preserve"> </w:t>
            </w:r>
            <w:r w:rsidR="009F3C0B" w:rsidRPr="009F3C0B">
              <w:rPr>
                <w:sz w:val="22"/>
                <w:szCs w:val="22"/>
              </w:rPr>
              <w:t>the following paragraphs</w:t>
            </w:r>
            <w:r w:rsidR="00B16F41">
              <w:rPr>
                <w:sz w:val="22"/>
                <w:szCs w:val="22"/>
              </w:rPr>
              <w:t>.</w:t>
            </w:r>
          </w:p>
          <w:p w:rsidR="00353FEC" w:rsidRPr="00CF7499" w:rsidRDefault="00353FEC" w:rsidP="00346D39">
            <w:pPr>
              <w:jc w:val="both"/>
              <w:rPr>
                <w:color w:val="4F81BD" w:themeColor="accent1"/>
                <w:sz w:val="22"/>
                <w:szCs w:val="22"/>
              </w:rPr>
            </w:pPr>
          </w:p>
        </w:tc>
      </w:tr>
      <w:tr w:rsidR="00CF7499" w:rsidRPr="00CF7499" w:rsidTr="001E5BA7">
        <w:trPr>
          <w:gridBefore w:val="1"/>
          <w:wBefore w:w="34" w:type="dxa"/>
          <w:trHeight w:val="508"/>
        </w:trPr>
        <w:tc>
          <w:tcPr>
            <w:cnfStyle w:val="001000000000" w:firstRow="0" w:lastRow="0" w:firstColumn="1" w:lastColumn="0" w:oddVBand="0" w:evenVBand="0" w:oddHBand="0" w:evenHBand="0" w:firstRowFirstColumn="0" w:firstRowLastColumn="0" w:lastRowFirstColumn="0" w:lastRowLastColumn="0"/>
            <w:tcW w:w="959" w:type="dxa"/>
          </w:tcPr>
          <w:p w:rsidR="0086191B" w:rsidRPr="00B16F41" w:rsidRDefault="0086191B" w:rsidP="001E0F67">
            <w:pPr>
              <w:tabs>
                <w:tab w:val="left" w:pos="2835"/>
              </w:tabs>
              <w:jc w:val="both"/>
              <w:rPr>
                <w:rFonts w:cs="Arial"/>
                <w:sz w:val="22"/>
                <w:szCs w:val="22"/>
              </w:rPr>
            </w:pPr>
            <w:r w:rsidRPr="00B16F41">
              <w:rPr>
                <w:rFonts w:cs="Arial"/>
                <w:sz w:val="22"/>
                <w:szCs w:val="22"/>
              </w:rPr>
              <w:t>6.2</w:t>
            </w:r>
          </w:p>
          <w:p w:rsidR="0086191B" w:rsidRPr="00B16F41" w:rsidRDefault="0086191B" w:rsidP="001E0F67">
            <w:pPr>
              <w:tabs>
                <w:tab w:val="left" w:pos="2835"/>
              </w:tabs>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86191B" w:rsidRPr="00A66EC8" w:rsidRDefault="0086191B" w:rsidP="00F47108">
            <w:pPr>
              <w:jc w:val="both"/>
              <w:rPr>
                <w:rFonts w:cs="Arial"/>
                <w:b/>
                <w:i/>
                <w:sz w:val="22"/>
                <w:szCs w:val="22"/>
              </w:rPr>
            </w:pPr>
            <w:r w:rsidRPr="00A66EC8">
              <w:rPr>
                <w:b/>
                <w:sz w:val="22"/>
                <w:szCs w:val="22"/>
              </w:rPr>
              <w:t xml:space="preserve">Government </w:t>
            </w:r>
            <w:r w:rsidR="00F47108">
              <w:rPr>
                <w:b/>
                <w:sz w:val="22"/>
                <w:szCs w:val="22"/>
              </w:rPr>
              <w:t xml:space="preserve">Grant </w:t>
            </w: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66249D" w:rsidRDefault="0066249D" w:rsidP="001E0F67">
            <w:pPr>
              <w:tabs>
                <w:tab w:val="left" w:pos="2835"/>
              </w:tabs>
              <w:jc w:val="both"/>
              <w:rPr>
                <w:rFonts w:cs="Arial"/>
                <w:sz w:val="22"/>
                <w:szCs w:val="22"/>
              </w:rPr>
            </w:pPr>
            <w:r w:rsidRPr="00B16F41">
              <w:rPr>
                <w:rFonts w:cs="Arial"/>
                <w:sz w:val="22"/>
                <w:szCs w:val="22"/>
              </w:rPr>
              <w:t>6.2.1</w:t>
            </w:r>
          </w:p>
          <w:p w:rsidR="00BC7E45" w:rsidRDefault="00BC7E45" w:rsidP="001E0F67">
            <w:pPr>
              <w:tabs>
                <w:tab w:val="left" w:pos="2835"/>
              </w:tabs>
              <w:jc w:val="both"/>
              <w:rPr>
                <w:rFonts w:cs="Arial"/>
                <w:sz w:val="22"/>
                <w:szCs w:val="22"/>
              </w:rPr>
            </w:pPr>
          </w:p>
          <w:p w:rsidR="00BC7E45" w:rsidRDefault="00BC7E45" w:rsidP="001E0F67">
            <w:pPr>
              <w:tabs>
                <w:tab w:val="left" w:pos="2835"/>
              </w:tabs>
              <w:jc w:val="both"/>
              <w:rPr>
                <w:rFonts w:cs="Arial"/>
                <w:sz w:val="22"/>
                <w:szCs w:val="22"/>
              </w:rPr>
            </w:pPr>
          </w:p>
          <w:p w:rsidR="00BC7E45" w:rsidRDefault="00BC7E45" w:rsidP="001E0F67">
            <w:pPr>
              <w:tabs>
                <w:tab w:val="left" w:pos="2835"/>
              </w:tabs>
              <w:jc w:val="both"/>
              <w:rPr>
                <w:rFonts w:cs="Arial"/>
                <w:sz w:val="22"/>
                <w:szCs w:val="22"/>
              </w:rPr>
            </w:pPr>
          </w:p>
          <w:p w:rsidR="00BC7E45" w:rsidRDefault="00BC7E45" w:rsidP="001E0F67">
            <w:pPr>
              <w:tabs>
                <w:tab w:val="left" w:pos="2835"/>
              </w:tabs>
              <w:jc w:val="both"/>
              <w:rPr>
                <w:rFonts w:cs="Arial"/>
                <w:sz w:val="22"/>
                <w:szCs w:val="22"/>
              </w:rPr>
            </w:pPr>
          </w:p>
          <w:p w:rsidR="00BC7E45" w:rsidRDefault="00BC7E45" w:rsidP="001E0F67">
            <w:pPr>
              <w:tabs>
                <w:tab w:val="left" w:pos="2835"/>
              </w:tabs>
              <w:jc w:val="both"/>
              <w:rPr>
                <w:rFonts w:cs="Arial"/>
                <w:sz w:val="22"/>
                <w:szCs w:val="22"/>
              </w:rPr>
            </w:pPr>
            <w:r>
              <w:rPr>
                <w:rFonts w:cs="Arial"/>
                <w:sz w:val="22"/>
                <w:szCs w:val="22"/>
              </w:rPr>
              <w:t>6.3</w:t>
            </w:r>
          </w:p>
          <w:p w:rsidR="00BC7E45" w:rsidRDefault="00BC7E45" w:rsidP="001E0F67">
            <w:pPr>
              <w:tabs>
                <w:tab w:val="left" w:pos="2835"/>
              </w:tabs>
              <w:jc w:val="both"/>
              <w:rPr>
                <w:rFonts w:cs="Arial"/>
                <w:sz w:val="22"/>
                <w:szCs w:val="22"/>
              </w:rPr>
            </w:pPr>
          </w:p>
          <w:p w:rsidR="00BC7E45" w:rsidRPr="00B16F41" w:rsidRDefault="00BC7E45" w:rsidP="001E0F67">
            <w:pPr>
              <w:tabs>
                <w:tab w:val="left" w:pos="2835"/>
              </w:tabs>
              <w:jc w:val="both"/>
              <w:rPr>
                <w:rFonts w:cs="Arial"/>
                <w:sz w:val="22"/>
                <w:szCs w:val="22"/>
              </w:rPr>
            </w:pPr>
            <w:r>
              <w:rPr>
                <w:rFonts w:cs="Arial"/>
                <w:sz w:val="22"/>
                <w:szCs w:val="22"/>
              </w:rPr>
              <w:t>6.3.1</w:t>
            </w:r>
          </w:p>
        </w:tc>
        <w:tc>
          <w:tcPr>
            <w:cnfStyle w:val="000100000000" w:firstRow="0" w:lastRow="0" w:firstColumn="0" w:lastColumn="1" w:oddVBand="0" w:evenVBand="0" w:oddHBand="0" w:evenHBand="0" w:firstRowFirstColumn="0" w:firstRowLastColumn="0" w:lastRowFirstColumn="0" w:lastRowLastColumn="0"/>
            <w:tcW w:w="9072" w:type="dxa"/>
          </w:tcPr>
          <w:p w:rsidR="0066249D" w:rsidRPr="00DD6E29" w:rsidRDefault="000C07E2" w:rsidP="0066249D">
            <w:pPr>
              <w:tabs>
                <w:tab w:val="left" w:pos="360"/>
                <w:tab w:val="left" w:pos="900"/>
              </w:tabs>
              <w:jc w:val="both"/>
              <w:rPr>
                <w:sz w:val="22"/>
                <w:szCs w:val="22"/>
              </w:rPr>
            </w:pPr>
            <w:r>
              <w:rPr>
                <w:rFonts w:cs="Arial"/>
                <w:sz w:val="22"/>
                <w:szCs w:val="22"/>
              </w:rPr>
              <w:t>Government funding has continued to diminish since the austerity measures were introduced in 2010.</w:t>
            </w:r>
            <w:r w:rsidR="002A1193">
              <w:rPr>
                <w:rFonts w:cs="Arial"/>
                <w:sz w:val="22"/>
                <w:szCs w:val="22"/>
              </w:rPr>
              <w:t xml:space="preserve"> </w:t>
            </w:r>
            <w:r w:rsidR="00B835FD">
              <w:rPr>
                <w:rFonts w:cs="Arial"/>
                <w:sz w:val="22"/>
                <w:szCs w:val="22"/>
              </w:rPr>
              <w:t xml:space="preserve"> </w:t>
            </w:r>
            <w:r w:rsidR="00281605" w:rsidRPr="00B835FD">
              <w:rPr>
                <w:rFonts w:cs="Arial"/>
                <w:sz w:val="22"/>
                <w:szCs w:val="22"/>
              </w:rPr>
              <w:t xml:space="preserve">To provide some </w:t>
            </w:r>
            <w:r w:rsidR="00F83758" w:rsidRPr="00B835FD">
              <w:rPr>
                <w:rFonts w:cs="Arial"/>
                <w:sz w:val="22"/>
                <w:szCs w:val="22"/>
              </w:rPr>
              <w:t>certainty</w:t>
            </w:r>
            <w:r w:rsidR="00281605" w:rsidRPr="00B835FD">
              <w:rPr>
                <w:rFonts w:cs="Arial"/>
                <w:sz w:val="22"/>
                <w:szCs w:val="22"/>
              </w:rPr>
              <w:t xml:space="preserve"> </w:t>
            </w:r>
            <w:r w:rsidR="00B835FD" w:rsidRPr="00B835FD">
              <w:rPr>
                <w:rFonts w:cs="Arial"/>
                <w:sz w:val="22"/>
                <w:szCs w:val="22"/>
              </w:rPr>
              <w:t>the Policy and Resources Committee</w:t>
            </w:r>
            <w:r w:rsidR="00F83758" w:rsidRPr="00B835FD">
              <w:rPr>
                <w:rFonts w:cs="Arial"/>
                <w:color w:val="4F81BD" w:themeColor="accent1"/>
                <w:sz w:val="22"/>
                <w:szCs w:val="22"/>
              </w:rPr>
              <w:t xml:space="preserve"> </w:t>
            </w:r>
            <w:r w:rsidR="00F83758" w:rsidRPr="00B835FD">
              <w:rPr>
                <w:rFonts w:cs="Arial"/>
                <w:sz w:val="22"/>
                <w:szCs w:val="22"/>
              </w:rPr>
              <w:t xml:space="preserve">agreed on </w:t>
            </w:r>
            <w:r w:rsidR="00B835FD" w:rsidRPr="00B835FD">
              <w:rPr>
                <w:rFonts w:cs="Arial"/>
                <w:sz w:val="22"/>
                <w:szCs w:val="22"/>
              </w:rPr>
              <w:t>6 October 2016</w:t>
            </w:r>
            <w:r w:rsidR="00F83758" w:rsidRPr="00B835FD">
              <w:rPr>
                <w:rFonts w:cs="Arial"/>
                <w:sz w:val="22"/>
                <w:szCs w:val="22"/>
              </w:rPr>
              <w:t xml:space="preserve"> (Minute No. </w:t>
            </w:r>
            <w:r w:rsidR="00B835FD" w:rsidRPr="00B835FD">
              <w:rPr>
                <w:rFonts w:cs="Arial"/>
                <w:sz w:val="22"/>
                <w:szCs w:val="22"/>
              </w:rPr>
              <w:t>PR54</w:t>
            </w:r>
            <w:r w:rsidR="00F83758" w:rsidRPr="00B835FD">
              <w:rPr>
                <w:rFonts w:cs="Arial"/>
                <w:sz w:val="22"/>
                <w:szCs w:val="22"/>
              </w:rPr>
              <w:t>/16 refers) to accept the Government’s offer of a four year settlement</w:t>
            </w:r>
            <w:r w:rsidR="0066249D" w:rsidRPr="00B835FD">
              <w:rPr>
                <w:rFonts w:cs="Arial"/>
                <w:sz w:val="22"/>
                <w:szCs w:val="22"/>
              </w:rPr>
              <w:t xml:space="preserve">. </w:t>
            </w:r>
            <w:r w:rsidR="0066249D" w:rsidRPr="00B835FD">
              <w:rPr>
                <w:sz w:val="22"/>
                <w:szCs w:val="22"/>
              </w:rPr>
              <w:t>These amounts have been included in the MTFP</w:t>
            </w:r>
            <w:r w:rsidR="0066249D" w:rsidRPr="00DD6E29">
              <w:rPr>
                <w:sz w:val="22"/>
                <w:szCs w:val="22"/>
              </w:rPr>
              <w:t>.</w:t>
            </w:r>
          </w:p>
          <w:p w:rsidR="00A42E4F" w:rsidRDefault="00A42E4F" w:rsidP="00A42E4F">
            <w:pPr>
              <w:tabs>
                <w:tab w:val="left" w:pos="2835"/>
              </w:tabs>
              <w:jc w:val="both"/>
              <w:rPr>
                <w:rFonts w:cs="Arial"/>
                <w:b/>
                <w:sz w:val="22"/>
                <w:szCs w:val="22"/>
              </w:rPr>
            </w:pPr>
          </w:p>
          <w:p w:rsidR="002A1193" w:rsidRDefault="0066249D" w:rsidP="00A42E4F">
            <w:pPr>
              <w:tabs>
                <w:tab w:val="left" w:pos="2835"/>
              </w:tabs>
              <w:jc w:val="both"/>
              <w:rPr>
                <w:rFonts w:cs="Arial"/>
                <w:sz w:val="22"/>
                <w:szCs w:val="22"/>
              </w:rPr>
            </w:pPr>
            <w:r w:rsidRPr="004776AF">
              <w:rPr>
                <w:rFonts w:cs="Arial"/>
                <w:b/>
                <w:sz w:val="22"/>
                <w:szCs w:val="22"/>
              </w:rPr>
              <w:t>Revenue Support Grant</w:t>
            </w:r>
            <w:r w:rsidR="0022044C">
              <w:rPr>
                <w:rFonts w:cs="Arial"/>
                <w:sz w:val="22"/>
                <w:szCs w:val="22"/>
              </w:rPr>
              <w:t xml:space="preserve"> (RSG)</w:t>
            </w:r>
            <w:r w:rsidR="00DD7F4E">
              <w:rPr>
                <w:rFonts w:cs="Arial"/>
                <w:sz w:val="22"/>
                <w:szCs w:val="22"/>
              </w:rPr>
              <w:t xml:space="preserve"> </w:t>
            </w:r>
          </w:p>
          <w:p w:rsidR="002A1193" w:rsidRDefault="002A1193" w:rsidP="0066249D">
            <w:pPr>
              <w:tabs>
                <w:tab w:val="left" w:pos="360"/>
                <w:tab w:val="left" w:pos="900"/>
              </w:tabs>
              <w:jc w:val="both"/>
              <w:rPr>
                <w:rFonts w:cs="Arial"/>
                <w:sz w:val="22"/>
                <w:szCs w:val="22"/>
              </w:rPr>
            </w:pPr>
          </w:p>
          <w:p w:rsidR="0066249D" w:rsidRDefault="002A1193" w:rsidP="0066249D">
            <w:pPr>
              <w:tabs>
                <w:tab w:val="left" w:pos="360"/>
                <w:tab w:val="left" w:pos="900"/>
              </w:tabs>
              <w:jc w:val="both"/>
              <w:rPr>
                <w:rFonts w:cs="Arial"/>
                <w:sz w:val="22"/>
                <w:szCs w:val="22"/>
              </w:rPr>
            </w:pPr>
            <w:r>
              <w:rPr>
                <w:rFonts w:cs="Arial"/>
                <w:sz w:val="22"/>
                <w:szCs w:val="22"/>
              </w:rPr>
              <w:t xml:space="preserve">The RSG </w:t>
            </w:r>
            <w:r w:rsidR="00DD7F4E">
              <w:rPr>
                <w:rFonts w:cs="Arial"/>
                <w:sz w:val="22"/>
                <w:szCs w:val="22"/>
              </w:rPr>
              <w:t xml:space="preserve">element of Government funding reduces to zero in 2019/20. The chart below shows the cumulative reductions </w:t>
            </w:r>
            <w:r w:rsidR="0066249D" w:rsidRPr="00167177">
              <w:rPr>
                <w:rFonts w:cs="Arial"/>
                <w:sz w:val="22"/>
                <w:szCs w:val="22"/>
              </w:rPr>
              <w:t xml:space="preserve">over the </w:t>
            </w:r>
            <w:r w:rsidR="00DD7F4E">
              <w:rPr>
                <w:rFonts w:cs="Arial"/>
                <w:sz w:val="22"/>
                <w:szCs w:val="22"/>
              </w:rPr>
              <w:t>medium term.</w:t>
            </w:r>
          </w:p>
          <w:p w:rsidR="003E53DC" w:rsidRPr="00167177" w:rsidRDefault="003E53DC" w:rsidP="0066249D">
            <w:pPr>
              <w:tabs>
                <w:tab w:val="left" w:pos="360"/>
                <w:tab w:val="left" w:pos="900"/>
              </w:tabs>
              <w:jc w:val="both"/>
              <w:rPr>
                <w:rFonts w:cs="Arial"/>
                <w:sz w:val="22"/>
                <w:szCs w:val="22"/>
              </w:rPr>
            </w:pPr>
          </w:p>
          <w:p w:rsidR="001D291A" w:rsidRPr="00CF7499" w:rsidRDefault="00DD7F4E" w:rsidP="00E066AB">
            <w:pPr>
              <w:jc w:val="both"/>
              <w:rPr>
                <w:color w:val="4F81BD" w:themeColor="accent1"/>
                <w:sz w:val="22"/>
                <w:szCs w:val="22"/>
              </w:rPr>
            </w:pPr>
            <w:r>
              <w:rPr>
                <w:rFonts w:cs="Arial"/>
                <w:noProof/>
                <w:sz w:val="22"/>
                <w:szCs w:val="22"/>
                <w:lang w:eastAsia="en-GB"/>
              </w:rPr>
              <w:drawing>
                <wp:inline distT="0" distB="0" distL="0" distR="0" wp14:anchorId="7AB3AE4D" wp14:editId="5A32AE0B">
                  <wp:extent cx="4834393" cy="1841279"/>
                  <wp:effectExtent l="0" t="0" r="23495" b="2603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CF7499" w:rsidRPr="00CF7499" w:rsidTr="001E5BA7">
        <w:trPr>
          <w:gridBefore w:val="1"/>
          <w:wBefore w:w="34" w:type="dxa"/>
          <w:trHeight w:val="463"/>
        </w:trPr>
        <w:tc>
          <w:tcPr>
            <w:cnfStyle w:val="001000000000" w:firstRow="0" w:lastRow="0" w:firstColumn="1" w:lastColumn="0" w:oddVBand="0" w:evenVBand="0" w:oddHBand="0" w:evenHBand="0" w:firstRowFirstColumn="0" w:firstRowLastColumn="0" w:lastRowFirstColumn="0" w:lastRowLastColumn="0"/>
            <w:tcW w:w="959" w:type="dxa"/>
          </w:tcPr>
          <w:p w:rsidR="0022044C" w:rsidRDefault="0022044C" w:rsidP="001E0F67">
            <w:pPr>
              <w:jc w:val="both"/>
              <w:rPr>
                <w:rFonts w:cs="Arial"/>
                <w:sz w:val="22"/>
                <w:szCs w:val="22"/>
              </w:rPr>
            </w:pPr>
          </w:p>
          <w:p w:rsidR="0022044C" w:rsidRDefault="0024522C" w:rsidP="001E0F67">
            <w:pPr>
              <w:jc w:val="both"/>
              <w:rPr>
                <w:rFonts w:cs="Arial"/>
                <w:sz w:val="22"/>
                <w:szCs w:val="22"/>
              </w:rPr>
            </w:pPr>
            <w:r>
              <w:rPr>
                <w:rFonts w:cs="Arial"/>
                <w:sz w:val="22"/>
                <w:szCs w:val="22"/>
              </w:rPr>
              <w:t>6.4</w:t>
            </w:r>
          </w:p>
          <w:p w:rsidR="004776AF" w:rsidRDefault="004776AF" w:rsidP="001E0F67">
            <w:pPr>
              <w:jc w:val="both"/>
              <w:rPr>
                <w:rFonts w:cs="Arial"/>
                <w:sz w:val="22"/>
                <w:szCs w:val="22"/>
              </w:rPr>
            </w:pPr>
          </w:p>
          <w:p w:rsidR="004776AF" w:rsidRDefault="0024522C" w:rsidP="001E0F67">
            <w:pPr>
              <w:jc w:val="both"/>
              <w:rPr>
                <w:rFonts w:cs="Arial"/>
                <w:sz w:val="22"/>
                <w:szCs w:val="22"/>
              </w:rPr>
            </w:pPr>
            <w:r>
              <w:rPr>
                <w:rFonts w:cs="Arial"/>
                <w:sz w:val="22"/>
                <w:szCs w:val="22"/>
              </w:rPr>
              <w:t>6.4.1</w:t>
            </w:r>
          </w:p>
          <w:p w:rsidR="004776AF" w:rsidRDefault="004776AF" w:rsidP="001E0F67">
            <w:pPr>
              <w:jc w:val="both"/>
              <w:rPr>
                <w:rFonts w:cs="Arial"/>
                <w:sz w:val="22"/>
                <w:szCs w:val="22"/>
              </w:rPr>
            </w:pPr>
          </w:p>
          <w:p w:rsidR="004776AF" w:rsidRDefault="004776AF" w:rsidP="001E0F67">
            <w:pPr>
              <w:jc w:val="both"/>
              <w:rPr>
                <w:rFonts w:cs="Arial"/>
                <w:sz w:val="22"/>
                <w:szCs w:val="22"/>
              </w:rPr>
            </w:pPr>
          </w:p>
          <w:p w:rsidR="004776AF" w:rsidRDefault="004776AF" w:rsidP="001E0F67">
            <w:pPr>
              <w:jc w:val="both"/>
              <w:rPr>
                <w:rFonts w:cs="Arial"/>
                <w:sz w:val="22"/>
                <w:szCs w:val="22"/>
              </w:rPr>
            </w:pPr>
          </w:p>
          <w:p w:rsidR="004776AF" w:rsidRDefault="004776AF" w:rsidP="001E0F67">
            <w:pPr>
              <w:jc w:val="both"/>
              <w:rPr>
                <w:rFonts w:cs="Arial"/>
                <w:sz w:val="22"/>
                <w:szCs w:val="22"/>
              </w:rPr>
            </w:pPr>
          </w:p>
          <w:p w:rsidR="00132A64" w:rsidRDefault="00132A64" w:rsidP="0083599F">
            <w:pPr>
              <w:jc w:val="both"/>
              <w:rPr>
                <w:rFonts w:cs="Arial"/>
                <w:sz w:val="22"/>
                <w:szCs w:val="22"/>
              </w:rPr>
            </w:pPr>
          </w:p>
          <w:p w:rsidR="000C07E2" w:rsidRDefault="000C07E2" w:rsidP="0083599F">
            <w:pPr>
              <w:jc w:val="both"/>
              <w:rPr>
                <w:rFonts w:cs="Arial"/>
                <w:sz w:val="22"/>
                <w:szCs w:val="22"/>
              </w:rPr>
            </w:pPr>
          </w:p>
          <w:p w:rsidR="000C07E2" w:rsidRDefault="000C07E2" w:rsidP="0083599F">
            <w:pPr>
              <w:jc w:val="both"/>
              <w:rPr>
                <w:rFonts w:cs="Arial"/>
                <w:sz w:val="22"/>
                <w:szCs w:val="22"/>
              </w:rPr>
            </w:pPr>
          </w:p>
          <w:p w:rsidR="002A1193" w:rsidRDefault="002A1193" w:rsidP="0083599F">
            <w:pPr>
              <w:jc w:val="both"/>
              <w:rPr>
                <w:rFonts w:cs="Arial"/>
                <w:sz w:val="22"/>
                <w:szCs w:val="22"/>
              </w:rPr>
            </w:pPr>
          </w:p>
          <w:p w:rsidR="002A1193" w:rsidRDefault="002A1193" w:rsidP="0083599F">
            <w:pPr>
              <w:jc w:val="both"/>
              <w:rPr>
                <w:rFonts w:cs="Arial"/>
                <w:sz w:val="22"/>
                <w:szCs w:val="22"/>
              </w:rPr>
            </w:pPr>
          </w:p>
          <w:p w:rsidR="001A12EB" w:rsidRDefault="001A12EB" w:rsidP="0083599F">
            <w:pPr>
              <w:jc w:val="both"/>
              <w:rPr>
                <w:rFonts w:cs="Arial"/>
                <w:sz w:val="22"/>
                <w:szCs w:val="22"/>
              </w:rPr>
            </w:pPr>
            <w:r w:rsidRPr="00DD6E29">
              <w:rPr>
                <w:rFonts w:cs="Arial"/>
                <w:sz w:val="22"/>
                <w:szCs w:val="22"/>
              </w:rPr>
              <w:t>6.</w:t>
            </w:r>
            <w:r w:rsidR="0024522C">
              <w:rPr>
                <w:rFonts w:cs="Arial"/>
                <w:sz w:val="22"/>
                <w:szCs w:val="22"/>
              </w:rPr>
              <w:t>5</w:t>
            </w:r>
          </w:p>
          <w:p w:rsidR="00AC5C20" w:rsidRDefault="00AC5C20" w:rsidP="0083599F">
            <w:pPr>
              <w:jc w:val="both"/>
              <w:rPr>
                <w:rFonts w:cs="Arial"/>
                <w:sz w:val="22"/>
                <w:szCs w:val="22"/>
              </w:rPr>
            </w:pPr>
          </w:p>
          <w:p w:rsidR="00AC5C20" w:rsidRDefault="0024522C" w:rsidP="0083599F">
            <w:pPr>
              <w:jc w:val="both"/>
              <w:rPr>
                <w:rFonts w:cs="Arial"/>
                <w:sz w:val="22"/>
                <w:szCs w:val="22"/>
              </w:rPr>
            </w:pPr>
            <w:r>
              <w:rPr>
                <w:rFonts w:cs="Arial"/>
                <w:sz w:val="22"/>
                <w:szCs w:val="22"/>
              </w:rPr>
              <w:t>6.5.1</w:t>
            </w:r>
          </w:p>
          <w:p w:rsidR="008E3095" w:rsidRDefault="008E3095" w:rsidP="0083599F">
            <w:pPr>
              <w:jc w:val="both"/>
              <w:rPr>
                <w:rFonts w:cs="Arial"/>
                <w:sz w:val="22"/>
                <w:szCs w:val="22"/>
              </w:rPr>
            </w:pPr>
          </w:p>
          <w:p w:rsidR="008E3095" w:rsidRDefault="008E3095" w:rsidP="0083599F">
            <w:pPr>
              <w:jc w:val="both"/>
              <w:rPr>
                <w:rFonts w:cs="Arial"/>
                <w:sz w:val="22"/>
                <w:szCs w:val="22"/>
              </w:rPr>
            </w:pPr>
          </w:p>
          <w:p w:rsidR="008E3095" w:rsidRPr="00DD6E29" w:rsidRDefault="008E3095" w:rsidP="0083599F">
            <w:pPr>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22044C" w:rsidRDefault="0022044C" w:rsidP="001E0F67">
            <w:pPr>
              <w:jc w:val="both"/>
              <w:rPr>
                <w:b/>
                <w:sz w:val="22"/>
              </w:rPr>
            </w:pPr>
          </w:p>
          <w:p w:rsidR="002A1193" w:rsidRDefault="004776AF" w:rsidP="000C07E2">
            <w:pPr>
              <w:tabs>
                <w:tab w:val="left" w:pos="1418"/>
                <w:tab w:val="left" w:pos="2520"/>
              </w:tabs>
              <w:jc w:val="both"/>
              <w:rPr>
                <w:rFonts w:cs="Arial"/>
                <w:b/>
                <w:sz w:val="22"/>
                <w:szCs w:val="22"/>
                <w:lang w:eastAsia="en-GB"/>
              </w:rPr>
            </w:pPr>
            <w:r w:rsidRPr="004776AF">
              <w:rPr>
                <w:rFonts w:cs="Arial"/>
                <w:b/>
                <w:sz w:val="22"/>
                <w:szCs w:val="22"/>
                <w:lang w:eastAsia="en-GB"/>
              </w:rPr>
              <w:t>Business rates</w:t>
            </w:r>
          </w:p>
          <w:p w:rsidR="002A1193" w:rsidRDefault="002A1193" w:rsidP="000C07E2">
            <w:pPr>
              <w:tabs>
                <w:tab w:val="left" w:pos="1418"/>
                <w:tab w:val="left" w:pos="2520"/>
              </w:tabs>
              <w:jc w:val="both"/>
              <w:rPr>
                <w:rFonts w:cs="Arial"/>
                <w:b/>
                <w:sz w:val="22"/>
                <w:szCs w:val="22"/>
                <w:lang w:eastAsia="en-GB"/>
              </w:rPr>
            </w:pPr>
          </w:p>
          <w:p w:rsidR="000D2D66" w:rsidRDefault="002A1193" w:rsidP="000C07E2">
            <w:pPr>
              <w:tabs>
                <w:tab w:val="left" w:pos="1418"/>
                <w:tab w:val="left" w:pos="2520"/>
              </w:tabs>
              <w:jc w:val="both"/>
              <w:rPr>
                <w:rFonts w:cs="Arial"/>
                <w:sz w:val="22"/>
                <w:szCs w:val="22"/>
                <w:lang w:eastAsia="en-GB"/>
              </w:rPr>
            </w:pPr>
            <w:r w:rsidRPr="002A1193">
              <w:rPr>
                <w:rFonts w:cs="Arial"/>
                <w:sz w:val="22"/>
                <w:szCs w:val="22"/>
                <w:lang w:eastAsia="en-GB"/>
              </w:rPr>
              <w:t>Business rates</w:t>
            </w:r>
            <w:r>
              <w:rPr>
                <w:rFonts w:cs="Arial"/>
                <w:b/>
                <w:sz w:val="22"/>
                <w:szCs w:val="22"/>
                <w:lang w:eastAsia="en-GB"/>
              </w:rPr>
              <w:t xml:space="preserve"> </w:t>
            </w:r>
            <w:r w:rsidR="004776AF" w:rsidRPr="004776AF">
              <w:rPr>
                <w:rFonts w:cs="Arial"/>
                <w:sz w:val="22"/>
                <w:szCs w:val="22"/>
                <w:lang w:eastAsia="en-GB"/>
              </w:rPr>
              <w:t xml:space="preserve">are collected by the Council, and the proceeds are shared between the Borough and County Councils, and Central Government to fund services.  There is an element of risk involved in the Business Rates scheme, which is designed to incentivise Councils to promote business growth within their areas. </w:t>
            </w:r>
            <w:r w:rsidR="00346D39">
              <w:rPr>
                <w:rFonts w:cs="Arial"/>
                <w:sz w:val="22"/>
                <w:szCs w:val="22"/>
                <w:lang w:eastAsia="en-GB"/>
              </w:rPr>
              <w:t xml:space="preserve"> </w:t>
            </w:r>
            <w:r w:rsidR="00A60AF3">
              <w:rPr>
                <w:rFonts w:cs="Arial"/>
                <w:sz w:val="22"/>
                <w:szCs w:val="22"/>
                <w:lang w:eastAsia="en-GB"/>
              </w:rPr>
              <w:t>T</w:t>
            </w:r>
            <w:r w:rsidR="004776AF" w:rsidRPr="004776AF">
              <w:rPr>
                <w:rFonts w:cs="Arial"/>
                <w:sz w:val="22"/>
                <w:szCs w:val="22"/>
                <w:lang w:eastAsia="en-GB"/>
              </w:rPr>
              <w:t xml:space="preserve">he Council expects its share of business rates to </w:t>
            </w:r>
            <w:r w:rsidR="004776AF" w:rsidRPr="00A60AF3">
              <w:rPr>
                <w:rFonts w:cs="Arial"/>
                <w:sz w:val="22"/>
                <w:szCs w:val="22"/>
                <w:lang w:eastAsia="en-GB"/>
              </w:rPr>
              <w:t>be £</w:t>
            </w:r>
            <w:r w:rsidR="00A60AF3" w:rsidRPr="00A60AF3">
              <w:rPr>
                <w:rFonts w:cs="Arial"/>
                <w:sz w:val="22"/>
                <w:szCs w:val="22"/>
                <w:lang w:eastAsia="en-GB"/>
              </w:rPr>
              <w:t>1</w:t>
            </w:r>
            <w:r w:rsidR="004776AF" w:rsidRPr="00A60AF3">
              <w:rPr>
                <w:rFonts w:cs="Arial"/>
                <w:sz w:val="22"/>
                <w:szCs w:val="22"/>
                <w:lang w:eastAsia="en-GB"/>
              </w:rPr>
              <w:t>.</w:t>
            </w:r>
            <w:r w:rsidR="00A60AF3" w:rsidRPr="00A60AF3">
              <w:rPr>
                <w:rFonts w:cs="Arial"/>
                <w:sz w:val="22"/>
                <w:szCs w:val="22"/>
                <w:lang w:eastAsia="en-GB"/>
              </w:rPr>
              <w:t>916</w:t>
            </w:r>
            <w:r w:rsidR="004776AF" w:rsidRPr="00A60AF3">
              <w:rPr>
                <w:rFonts w:cs="Arial"/>
                <w:sz w:val="22"/>
                <w:szCs w:val="22"/>
                <w:lang w:eastAsia="en-GB"/>
              </w:rPr>
              <w:t xml:space="preserve"> million</w:t>
            </w:r>
            <w:r w:rsidR="004776AF" w:rsidRPr="00A60AF3">
              <w:rPr>
                <w:rFonts w:cs="Arial"/>
                <w:b/>
                <w:sz w:val="22"/>
                <w:szCs w:val="22"/>
                <w:lang w:eastAsia="en-GB"/>
              </w:rPr>
              <w:t xml:space="preserve"> </w:t>
            </w:r>
            <w:r w:rsidR="004776AF" w:rsidRPr="004776AF">
              <w:rPr>
                <w:rFonts w:cs="Arial"/>
                <w:sz w:val="22"/>
                <w:szCs w:val="22"/>
                <w:lang w:eastAsia="en-GB"/>
              </w:rPr>
              <w:t xml:space="preserve">in 2017/18. </w:t>
            </w:r>
            <w:r w:rsidR="000C07E2" w:rsidRPr="00A66EC8">
              <w:rPr>
                <w:rFonts w:cs="Arial"/>
                <w:sz w:val="22"/>
                <w:szCs w:val="22"/>
              </w:rPr>
              <w:t>The business rates retention scheme is volatile and estimating the outturn is complex due to factors such as appeals, demolitions, new builds, occupation and reliefs.</w:t>
            </w:r>
            <w:r w:rsidR="000C07E2">
              <w:rPr>
                <w:rFonts w:cs="Arial"/>
                <w:sz w:val="22"/>
                <w:szCs w:val="22"/>
              </w:rPr>
              <w:t xml:space="preserve"> </w:t>
            </w:r>
            <w:r w:rsidR="004776AF" w:rsidRPr="004776AF">
              <w:rPr>
                <w:rFonts w:cs="Arial"/>
                <w:sz w:val="22"/>
                <w:szCs w:val="22"/>
                <w:lang w:eastAsia="en-GB"/>
              </w:rPr>
              <w:t>Future plans for 100% rate retention are yet to be published by Central Government.</w:t>
            </w:r>
            <w:r w:rsidR="00132A64">
              <w:rPr>
                <w:rFonts w:cs="Arial"/>
                <w:sz w:val="22"/>
                <w:szCs w:val="22"/>
                <w:lang w:eastAsia="en-GB"/>
              </w:rPr>
              <w:t xml:space="preserve"> </w:t>
            </w:r>
            <w:r w:rsidR="00346D39">
              <w:rPr>
                <w:rFonts w:cs="Arial"/>
                <w:sz w:val="22"/>
                <w:szCs w:val="22"/>
                <w:lang w:eastAsia="en-GB"/>
              </w:rPr>
              <w:t xml:space="preserve"> </w:t>
            </w:r>
            <w:r w:rsidR="00132A64" w:rsidRPr="004776AF">
              <w:rPr>
                <w:rFonts w:cs="Arial"/>
                <w:sz w:val="22"/>
                <w:szCs w:val="22"/>
                <w:lang w:eastAsia="en-GB"/>
              </w:rPr>
              <w:t xml:space="preserve">The </w:t>
            </w:r>
            <w:r w:rsidR="000C07E2">
              <w:rPr>
                <w:rFonts w:cs="Arial"/>
                <w:sz w:val="22"/>
                <w:szCs w:val="22"/>
                <w:lang w:eastAsia="en-GB"/>
              </w:rPr>
              <w:t xml:space="preserve">MTFP allows for business rate growth </w:t>
            </w:r>
            <w:r w:rsidR="00132A64" w:rsidRPr="004776AF">
              <w:rPr>
                <w:rFonts w:cs="Arial"/>
                <w:sz w:val="22"/>
                <w:szCs w:val="22"/>
                <w:lang w:eastAsia="en-GB"/>
              </w:rPr>
              <w:t xml:space="preserve">of </w:t>
            </w:r>
            <w:r w:rsidR="00132A64" w:rsidRPr="00A60AF3">
              <w:rPr>
                <w:rFonts w:cs="Arial"/>
                <w:sz w:val="22"/>
                <w:szCs w:val="22"/>
                <w:lang w:eastAsia="en-GB"/>
              </w:rPr>
              <w:t>£</w:t>
            </w:r>
            <w:r w:rsidR="00644D2E">
              <w:rPr>
                <w:rFonts w:cs="Arial"/>
                <w:sz w:val="22"/>
                <w:szCs w:val="22"/>
                <w:lang w:eastAsia="en-GB"/>
              </w:rPr>
              <w:t>500</w:t>
            </w:r>
            <w:r w:rsidR="00132A64" w:rsidRPr="00A60AF3">
              <w:rPr>
                <w:rFonts w:cs="Arial"/>
                <w:sz w:val="22"/>
                <w:szCs w:val="22"/>
                <w:lang w:eastAsia="en-GB"/>
              </w:rPr>
              <w:t>,000</w:t>
            </w:r>
            <w:r w:rsidR="00132A64" w:rsidRPr="004776AF">
              <w:rPr>
                <w:rFonts w:cs="Arial"/>
                <w:b/>
                <w:sz w:val="22"/>
                <w:szCs w:val="22"/>
                <w:lang w:eastAsia="en-GB"/>
              </w:rPr>
              <w:t xml:space="preserve"> </w:t>
            </w:r>
            <w:r w:rsidR="00132A64" w:rsidRPr="004776AF">
              <w:rPr>
                <w:rFonts w:cs="Arial"/>
                <w:sz w:val="22"/>
                <w:szCs w:val="22"/>
                <w:lang w:eastAsia="en-GB"/>
              </w:rPr>
              <w:t>in 2017/18</w:t>
            </w:r>
            <w:r w:rsidR="00132A64">
              <w:rPr>
                <w:rFonts w:cs="Arial"/>
                <w:sz w:val="22"/>
                <w:szCs w:val="22"/>
                <w:lang w:eastAsia="en-GB"/>
              </w:rPr>
              <w:t>.</w:t>
            </w:r>
          </w:p>
          <w:p w:rsidR="00BC7E45" w:rsidRDefault="00BC7E45" w:rsidP="000C07E2">
            <w:pPr>
              <w:tabs>
                <w:tab w:val="left" w:pos="1418"/>
                <w:tab w:val="left" w:pos="2520"/>
              </w:tabs>
              <w:jc w:val="both"/>
              <w:rPr>
                <w:rFonts w:cs="Arial"/>
                <w:sz w:val="22"/>
                <w:szCs w:val="22"/>
                <w:lang w:eastAsia="en-GB"/>
              </w:rPr>
            </w:pPr>
          </w:p>
          <w:p w:rsidR="004776AF" w:rsidRPr="00644D2E" w:rsidRDefault="004776AF" w:rsidP="004776AF">
            <w:pPr>
              <w:tabs>
                <w:tab w:val="left" w:pos="-1211"/>
              </w:tabs>
              <w:autoSpaceDE w:val="0"/>
              <w:autoSpaceDN w:val="0"/>
              <w:adjustRightInd w:val="0"/>
              <w:ind w:left="65"/>
              <w:jc w:val="both"/>
              <w:rPr>
                <w:b/>
                <w:sz w:val="22"/>
                <w:szCs w:val="22"/>
                <w:lang w:eastAsia="en-GB"/>
              </w:rPr>
            </w:pPr>
            <w:r w:rsidRPr="00644D2E">
              <w:rPr>
                <w:b/>
                <w:sz w:val="22"/>
                <w:szCs w:val="22"/>
                <w:lang w:eastAsia="en-GB"/>
              </w:rPr>
              <w:t>Business Rates Pooling</w:t>
            </w:r>
          </w:p>
          <w:p w:rsidR="004776AF" w:rsidRPr="00644D2E" w:rsidRDefault="004776AF" w:rsidP="004776AF">
            <w:pPr>
              <w:tabs>
                <w:tab w:val="left" w:pos="65"/>
              </w:tabs>
              <w:autoSpaceDE w:val="0"/>
              <w:autoSpaceDN w:val="0"/>
              <w:adjustRightInd w:val="0"/>
              <w:ind w:left="65"/>
              <w:jc w:val="both"/>
              <w:rPr>
                <w:sz w:val="22"/>
                <w:lang w:eastAsia="en-GB"/>
              </w:rPr>
            </w:pPr>
          </w:p>
          <w:p w:rsidR="00A60AF3" w:rsidRDefault="00644D2E" w:rsidP="001D175E">
            <w:pPr>
              <w:rPr>
                <w:sz w:val="22"/>
                <w:szCs w:val="22"/>
                <w:lang w:val="en"/>
              </w:rPr>
            </w:pPr>
            <w:r w:rsidRPr="00644D2E">
              <w:rPr>
                <w:sz w:val="22"/>
                <w:szCs w:val="22"/>
                <w:lang w:val="en"/>
              </w:rPr>
              <w:t xml:space="preserve">In 2016/17 the Council was part of a business rate pool consisting of the </w:t>
            </w:r>
            <w:r w:rsidR="007F47C7">
              <w:rPr>
                <w:sz w:val="22"/>
                <w:szCs w:val="22"/>
                <w:lang w:val="en"/>
              </w:rPr>
              <w:t>C</w:t>
            </w:r>
            <w:r w:rsidRPr="00644D2E">
              <w:rPr>
                <w:sz w:val="22"/>
                <w:szCs w:val="22"/>
                <w:lang w:val="en"/>
              </w:rPr>
              <w:t xml:space="preserve">ounty </w:t>
            </w:r>
            <w:r w:rsidR="007F47C7">
              <w:rPr>
                <w:sz w:val="22"/>
                <w:szCs w:val="22"/>
                <w:lang w:val="en"/>
              </w:rPr>
              <w:t>C</w:t>
            </w:r>
            <w:r w:rsidRPr="00644D2E">
              <w:rPr>
                <w:sz w:val="22"/>
                <w:szCs w:val="22"/>
                <w:lang w:val="en"/>
              </w:rPr>
              <w:t xml:space="preserve">ouncil and some of the other Hertfordshire districts/borough councils. </w:t>
            </w:r>
            <w:r w:rsidR="007F47C7">
              <w:rPr>
                <w:sz w:val="22"/>
                <w:szCs w:val="22"/>
                <w:lang w:val="en"/>
              </w:rPr>
              <w:t xml:space="preserve"> </w:t>
            </w:r>
            <w:r w:rsidRPr="00644D2E">
              <w:rPr>
                <w:sz w:val="22"/>
                <w:szCs w:val="22"/>
                <w:lang w:val="en"/>
              </w:rPr>
              <w:t xml:space="preserve">Due to the </w:t>
            </w:r>
            <w:r w:rsidR="007F47C7">
              <w:rPr>
                <w:sz w:val="22"/>
                <w:szCs w:val="22"/>
                <w:lang w:val="en"/>
              </w:rPr>
              <w:t xml:space="preserve">uncertainty around </w:t>
            </w:r>
            <w:r w:rsidRPr="00644D2E">
              <w:rPr>
                <w:sz w:val="22"/>
                <w:szCs w:val="22"/>
                <w:lang w:val="en"/>
              </w:rPr>
              <w:t xml:space="preserve">revaluation of business rates </w:t>
            </w:r>
            <w:r w:rsidR="001D175E">
              <w:rPr>
                <w:sz w:val="22"/>
                <w:szCs w:val="22"/>
                <w:lang w:val="en"/>
              </w:rPr>
              <w:t xml:space="preserve">it has been agreed that </w:t>
            </w:r>
            <w:r w:rsidRPr="00644D2E">
              <w:rPr>
                <w:sz w:val="22"/>
                <w:szCs w:val="22"/>
                <w:lang w:val="en"/>
              </w:rPr>
              <w:t xml:space="preserve">this pooling arrangement </w:t>
            </w:r>
            <w:r w:rsidR="001D175E">
              <w:rPr>
                <w:sz w:val="22"/>
                <w:szCs w:val="22"/>
                <w:lang w:val="en"/>
              </w:rPr>
              <w:t xml:space="preserve">will </w:t>
            </w:r>
            <w:r w:rsidR="001D175E">
              <w:rPr>
                <w:sz w:val="22"/>
                <w:szCs w:val="22"/>
                <w:lang w:val="en"/>
              </w:rPr>
              <w:lastRenderedPageBreak/>
              <w:t xml:space="preserve">be </w:t>
            </w:r>
            <w:r w:rsidRPr="00644D2E">
              <w:rPr>
                <w:sz w:val="22"/>
                <w:szCs w:val="22"/>
                <w:lang w:val="en"/>
              </w:rPr>
              <w:t>dissolved f</w:t>
            </w:r>
            <w:r w:rsidR="001D175E">
              <w:rPr>
                <w:sz w:val="22"/>
                <w:szCs w:val="22"/>
                <w:lang w:val="en"/>
              </w:rPr>
              <w:t xml:space="preserve">rom 1 April </w:t>
            </w:r>
            <w:r w:rsidRPr="00644D2E">
              <w:rPr>
                <w:sz w:val="22"/>
                <w:szCs w:val="22"/>
                <w:lang w:val="en"/>
              </w:rPr>
              <w:t>2017.</w:t>
            </w:r>
          </w:p>
          <w:p w:rsidR="006F4E27" w:rsidRPr="00DD6E29" w:rsidRDefault="006F4E27" w:rsidP="001D175E">
            <w:pPr>
              <w:rPr>
                <w:rFonts w:cs="Arial"/>
                <w:b/>
                <w:sz w:val="22"/>
                <w:szCs w:val="22"/>
              </w:rPr>
            </w:pPr>
          </w:p>
        </w:tc>
      </w:tr>
      <w:tr w:rsidR="00644D2E" w:rsidRPr="00CF7499" w:rsidTr="001E5BA7">
        <w:trPr>
          <w:gridBefore w:val="1"/>
          <w:wBefore w:w="34" w:type="dxa"/>
          <w:trHeight w:val="463"/>
        </w:trPr>
        <w:tc>
          <w:tcPr>
            <w:cnfStyle w:val="001000000000" w:firstRow="0" w:lastRow="0" w:firstColumn="1" w:lastColumn="0" w:oddVBand="0" w:evenVBand="0" w:oddHBand="0" w:evenHBand="0" w:firstRowFirstColumn="0" w:firstRowLastColumn="0" w:lastRowFirstColumn="0" w:lastRowLastColumn="0"/>
            <w:tcW w:w="959" w:type="dxa"/>
          </w:tcPr>
          <w:p w:rsidR="00644D2E" w:rsidRDefault="00644D2E" w:rsidP="001E0F67">
            <w:pPr>
              <w:jc w:val="both"/>
              <w:rPr>
                <w:rFonts w:cs="Arial"/>
                <w:sz w:val="22"/>
                <w:szCs w:val="22"/>
              </w:rPr>
            </w:pPr>
            <w:r>
              <w:rPr>
                <w:rFonts w:cs="Arial"/>
                <w:sz w:val="22"/>
                <w:szCs w:val="22"/>
              </w:rPr>
              <w:lastRenderedPageBreak/>
              <w:t>6.6</w:t>
            </w:r>
          </w:p>
        </w:tc>
        <w:tc>
          <w:tcPr>
            <w:cnfStyle w:val="000100000000" w:firstRow="0" w:lastRow="0" w:firstColumn="0" w:lastColumn="1" w:oddVBand="0" w:evenVBand="0" w:oddHBand="0" w:evenHBand="0" w:firstRowFirstColumn="0" w:firstRowLastColumn="0" w:lastRowFirstColumn="0" w:lastRowLastColumn="0"/>
            <w:tcW w:w="9072" w:type="dxa"/>
          </w:tcPr>
          <w:p w:rsidR="00644D2E" w:rsidRDefault="00644D2E" w:rsidP="00644D2E">
            <w:pPr>
              <w:jc w:val="both"/>
              <w:rPr>
                <w:b/>
                <w:sz w:val="22"/>
              </w:rPr>
            </w:pPr>
            <w:r w:rsidRPr="00DD6E29">
              <w:rPr>
                <w:b/>
                <w:sz w:val="22"/>
              </w:rPr>
              <w:t>New Homes Bonus</w:t>
            </w:r>
          </w:p>
          <w:p w:rsidR="00644D2E" w:rsidRDefault="00644D2E" w:rsidP="001E0F67">
            <w:pPr>
              <w:jc w:val="both"/>
              <w:rPr>
                <w:b/>
                <w:sz w:val="22"/>
              </w:rPr>
            </w:pPr>
          </w:p>
        </w:tc>
      </w:tr>
      <w:tr w:rsidR="00CF7499" w:rsidRPr="00CF7499" w:rsidTr="001E5BA7">
        <w:trPr>
          <w:gridBefore w:val="1"/>
          <w:wBefore w:w="34" w:type="dxa"/>
          <w:trHeight w:val="552"/>
        </w:trPr>
        <w:tc>
          <w:tcPr>
            <w:cnfStyle w:val="001000000000" w:firstRow="0" w:lastRow="0" w:firstColumn="1" w:lastColumn="0" w:oddVBand="0" w:evenVBand="0" w:oddHBand="0" w:evenHBand="0" w:firstRowFirstColumn="0" w:firstRowLastColumn="0" w:lastRowFirstColumn="0" w:lastRowLastColumn="0"/>
            <w:tcW w:w="959" w:type="dxa"/>
          </w:tcPr>
          <w:p w:rsidR="001A12EB" w:rsidRPr="00CF7499" w:rsidRDefault="008C1B22" w:rsidP="0024522C">
            <w:pPr>
              <w:jc w:val="both"/>
              <w:rPr>
                <w:rFonts w:cs="Arial"/>
                <w:color w:val="4F81BD" w:themeColor="accent1"/>
                <w:sz w:val="22"/>
                <w:szCs w:val="22"/>
              </w:rPr>
            </w:pPr>
            <w:r w:rsidRPr="00E67339">
              <w:rPr>
                <w:rFonts w:cs="Arial"/>
                <w:sz w:val="22"/>
                <w:szCs w:val="22"/>
              </w:rPr>
              <w:t>6.</w:t>
            </w:r>
            <w:r w:rsidR="0024522C">
              <w:rPr>
                <w:rFonts w:cs="Arial"/>
                <w:sz w:val="22"/>
                <w:szCs w:val="22"/>
              </w:rPr>
              <w:t>6</w:t>
            </w:r>
            <w:r w:rsidRPr="00E67339">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1A12EB" w:rsidRDefault="00011BC4" w:rsidP="0022044C">
            <w:pPr>
              <w:ind w:left="65"/>
              <w:rPr>
                <w:color w:val="4F81BD" w:themeColor="accent1"/>
                <w:sz w:val="22"/>
                <w:szCs w:val="22"/>
              </w:rPr>
            </w:pPr>
            <w:r w:rsidRPr="00011BC4">
              <w:rPr>
                <w:rFonts w:cs="Arial"/>
                <w:sz w:val="22"/>
                <w:szCs w:val="22"/>
                <w:lang w:eastAsia="en-GB"/>
              </w:rPr>
              <w:t xml:space="preserve">New Homes Bonus is a grant relating to the number of new homes delivered in a local authority area.  The Government consulted in December 2015 on possible changes to the scheme, and local authorities responded by 10 March 2016.  For 2017/18, based on the provisional settlement, the Council expects to </w:t>
            </w:r>
            <w:r w:rsidRPr="00B154B9">
              <w:rPr>
                <w:rFonts w:cs="Arial"/>
                <w:sz w:val="22"/>
                <w:szCs w:val="22"/>
                <w:lang w:eastAsia="en-GB"/>
              </w:rPr>
              <w:t>receive £</w:t>
            </w:r>
            <w:r w:rsidR="00E67339" w:rsidRPr="00B154B9">
              <w:rPr>
                <w:rFonts w:cs="Arial"/>
                <w:sz w:val="22"/>
                <w:szCs w:val="22"/>
                <w:lang w:eastAsia="en-GB"/>
              </w:rPr>
              <w:t>1.658</w:t>
            </w:r>
            <w:r w:rsidRPr="00B154B9">
              <w:rPr>
                <w:rFonts w:cs="Arial"/>
                <w:sz w:val="22"/>
                <w:szCs w:val="22"/>
                <w:lang w:eastAsia="en-GB"/>
              </w:rPr>
              <w:t xml:space="preserve"> million</w:t>
            </w:r>
            <w:r w:rsidR="00343642">
              <w:rPr>
                <w:rFonts w:cs="Arial"/>
                <w:sz w:val="22"/>
                <w:szCs w:val="22"/>
                <w:lang w:eastAsia="en-GB"/>
              </w:rPr>
              <w:t xml:space="preserve"> of which £</w:t>
            </w:r>
            <w:r w:rsidR="003F7458">
              <w:rPr>
                <w:rFonts w:cs="Arial"/>
                <w:sz w:val="22"/>
                <w:szCs w:val="22"/>
                <w:lang w:eastAsia="en-GB"/>
              </w:rPr>
              <w:t>0.794 million</w:t>
            </w:r>
            <w:r w:rsidR="00343642">
              <w:rPr>
                <w:rFonts w:cs="Arial"/>
                <w:sz w:val="22"/>
                <w:szCs w:val="22"/>
                <w:lang w:eastAsia="en-GB"/>
              </w:rPr>
              <w:t xml:space="preserve"> is apportioned to revenue funding and the balance to capital funding</w:t>
            </w:r>
            <w:r w:rsidRPr="00011BC4">
              <w:rPr>
                <w:rFonts w:cs="Arial"/>
                <w:b/>
                <w:sz w:val="22"/>
                <w:szCs w:val="22"/>
                <w:lang w:eastAsia="en-GB"/>
              </w:rPr>
              <w:t>.</w:t>
            </w:r>
            <w:r w:rsidR="00343642">
              <w:rPr>
                <w:rFonts w:cs="Arial"/>
                <w:b/>
                <w:sz w:val="22"/>
                <w:szCs w:val="22"/>
                <w:lang w:eastAsia="en-GB"/>
              </w:rPr>
              <w:t xml:space="preserve"> </w:t>
            </w:r>
            <w:r w:rsidR="001D175E">
              <w:rPr>
                <w:rFonts w:cs="Arial"/>
                <w:b/>
                <w:sz w:val="22"/>
                <w:szCs w:val="22"/>
                <w:lang w:eastAsia="en-GB"/>
              </w:rPr>
              <w:t xml:space="preserve"> </w:t>
            </w:r>
            <w:r w:rsidRPr="00011BC4">
              <w:rPr>
                <w:rFonts w:cs="Arial"/>
                <w:sz w:val="22"/>
                <w:szCs w:val="22"/>
                <w:lang w:eastAsia="en-GB"/>
              </w:rPr>
              <w:t>Estimates for future years are harder to predict due to factors around timing of qualifying developments coming on line, but the Council has made realistic estimates of income</w:t>
            </w:r>
            <w:r w:rsidR="00E67339">
              <w:rPr>
                <w:rFonts w:cs="Arial"/>
                <w:sz w:val="22"/>
                <w:szCs w:val="22"/>
                <w:lang w:eastAsia="en-GB"/>
              </w:rPr>
              <w:t xml:space="preserve"> and included these in the </w:t>
            </w:r>
            <w:r w:rsidR="00636494" w:rsidRPr="00E67339">
              <w:rPr>
                <w:sz w:val="22"/>
                <w:szCs w:val="22"/>
              </w:rPr>
              <w:t>MTFP</w:t>
            </w:r>
            <w:r w:rsidR="00636494" w:rsidRPr="00CF7499">
              <w:rPr>
                <w:color w:val="4F81BD" w:themeColor="accent1"/>
                <w:sz w:val="22"/>
                <w:szCs w:val="22"/>
              </w:rPr>
              <w:t>.</w:t>
            </w:r>
          </w:p>
          <w:p w:rsidR="00E066AB" w:rsidRPr="00CF7499" w:rsidRDefault="00E066AB" w:rsidP="0022044C">
            <w:pPr>
              <w:ind w:left="65"/>
              <w:rPr>
                <w:rFonts w:cs="Arial"/>
                <w:b/>
                <w:color w:val="4F81BD" w:themeColor="accent1"/>
                <w:sz w:val="22"/>
                <w:szCs w:val="22"/>
              </w:rPr>
            </w:pPr>
          </w:p>
        </w:tc>
      </w:tr>
      <w:tr w:rsidR="00CF7499" w:rsidRPr="00CF7499" w:rsidTr="001E5BA7">
        <w:trPr>
          <w:gridBefore w:val="1"/>
          <w:wBefore w:w="34" w:type="dxa"/>
          <w:trHeight w:val="552"/>
        </w:trPr>
        <w:tc>
          <w:tcPr>
            <w:cnfStyle w:val="001000000000" w:firstRow="0" w:lastRow="0" w:firstColumn="1" w:lastColumn="0" w:oddVBand="0" w:evenVBand="0" w:oddHBand="0" w:evenHBand="0" w:firstRowFirstColumn="0" w:firstRowLastColumn="0" w:lastRowFirstColumn="0" w:lastRowLastColumn="0"/>
            <w:tcW w:w="959" w:type="dxa"/>
          </w:tcPr>
          <w:p w:rsidR="00404AF7" w:rsidRPr="007C1C6B" w:rsidRDefault="00404AF7" w:rsidP="0024522C">
            <w:pPr>
              <w:jc w:val="both"/>
              <w:rPr>
                <w:rFonts w:cs="Arial"/>
                <w:sz w:val="22"/>
                <w:szCs w:val="22"/>
              </w:rPr>
            </w:pPr>
            <w:r w:rsidRPr="007C1C6B">
              <w:rPr>
                <w:rFonts w:cs="Arial"/>
                <w:sz w:val="22"/>
                <w:szCs w:val="22"/>
              </w:rPr>
              <w:t>6.</w:t>
            </w:r>
            <w:r w:rsidR="0024522C">
              <w:rPr>
                <w:rFonts w:cs="Arial"/>
                <w:sz w:val="22"/>
                <w:szCs w:val="22"/>
              </w:rPr>
              <w:t>7</w:t>
            </w:r>
          </w:p>
        </w:tc>
        <w:tc>
          <w:tcPr>
            <w:cnfStyle w:val="000100000000" w:firstRow="0" w:lastRow="0" w:firstColumn="0" w:lastColumn="1" w:oddVBand="0" w:evenVBand="0" w:oddHBand="0" w:evenHBand="0" w:firstRowFirstColumn="0" w:firstRowLastColumn="0" w:lastRowFirstColumn="0" w:lastRowLastColumn="0"/>
            <w:tcW w:w="9072" w:type="dxa"/>
          </w:tcPr>
          <w:p w:rsidR="00404AF7" w:rsidRPr="00E066AB" w:rsidRDefault="00404AF7" w:rsidP="00E066AB">
            <w:pPr>
              <w:tabs>
                <w:tab w:val="left" w:pos="0"/>
              </w:tabs>
              <w:autoSpaceDE w:val="0"/>
              <w:autoSpaceDN w:val="0"/>
              <w:adjustRightInd w:val="0"/>
              <w:jc w:val="both"/>
              <w:rPr>
                <w:b/>
                <w:sz w:val="22"/>
                <w:szCs w:val="22"/>
                <w:lang w:eastAsia="en-GB"/>
              </w:rPr>
            </w:pPr>
            <w:r w:rsidRPr="00E066AB">
              <w:rPr>
                <w:b/>
                <w:sz w:val="22"/>
                <w:szCs w:val="22"/>
                <w:lang w:eastAsia="en-GB"/>
              </w:rPr>
              <w:t xml:space="preserve">Council Tax for </w:t>
            </w:r>
            <w:r w:rsidR="007C1C6B" w:rsidRPr="00E066AB">
              <w:rPr>
                <w:b/>
                <w:sz w:val="22"/>
                <w:szCs w:val="22"/>
                <w:lang w:eastAsia="en-GB"/>
              </w:rPr>
              <w:t>2017/2018</w:t>
            </w:r>
          </w:p>
          <w:p w:rsidR="006A1B03" w:rsidRPr="007C1C6B" w:rsidRDefault="006A1B03" w:rsidP="006A1B03">
            <w:pPr>
              <w:jc w:val="both"/>
              <w:rPr>
                <w:rFonts w:cs="Arial"/>
                <w:sz w:val="22"/>
                <w:szCs w:val="22"/>
              </w:rPr>
            </w:pPr>
          </w:p>
        </w:tc>
      </w:tr>
      <w:tr w:rsidR="00CF7499" w:rsidRPr="00CF7499" w:rsidTr="001E5BA7">
        <w:trPr>
          <w:gridBefore w:val="1"/>
          <w:wBefore w:w="34" w:type="dxa"/>
          <w:trHeight w:val="567"/>
        </w:trPr>
        <w:tc>
          <w:tcPr>
            <w:cnfStyle w:val="001000000000" w:firstRow="0" w:lastRow="0" w:firstColumn="1" w:lastColumn="0" w:oddVBand="0" w:evenVBand="0" w:oddHBand="0" w:evenHBand="0" w:firstRowFirstColumn="0" w:firstRowLastColumn="0" w:lastRowFirstColumn="0" w:lastRowLastColumn="0"/>
            <w:tcW w:w="959" w:type="dxa"/>
          </w:tcPr>
          <w:p w:rsidR="00404AF7" w:rsidRPr="007C1C6B" w:rsidRDefault="00404AF7" w:rsidP="0024522C">
            <w:pPr>
              <w:jc w:val="both"/>
              <w:rPr>
                <w:rFonts w:cs="Arial"/>
                <w:sz w:val="22"/>
                <w:szCs w:val="22"/>
              </w:rPr>
            </w:pPr>
            <w:r w:rsidRPr="007C1C6B">
              <w:rPr>
                <w:rFonts w:cs="Arial"/>
                <w:sz w:val="22"/>
                <w:szCs w:val="22"/>
              </w:rPr>
              <w:t>6.</w:t>
            </w:r>
            <w:r w:rsidR="0024522C">
              <w:rPr>
                <w:rFonts w:cs="Arial"/>
                <w:sz w:val="22"/>
                <w:szCs w:val="22"/>
              </w:rPr>
              <w:t>7</w:t>
            </w:r>
            <w:r w:rsidRPr="007C1C6B">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404AF7" w:rsidRDefault="00404AF7" w:rsidP="00B373E3">
            <w:pPr>
              <w:jc w:val="both"/>
              <w:rPr>
                <w:sz w:val="22"/>
                <w:szCs w:val="22"/>
              </w:rPr>
            </w:pPr>
            <w:r w:rsidRPr="007C1C6B">
              <w:rPr>
                <w:sz w:val="22"/>
                <w:szCs w:val="22"/>
              </w:rPr>
              <w:t xml:space="preserve">The Council needs to set a budget that gives an acceptable level of council tax, and </w:t>
            </w:r>
            <w:r w:rsidR="002B65D9" w:rsidRPr="007C1C6B">
              <w:rPr>
                <w:sz w:val="22"/>
                <w:szCs w:val="22"/>
              </w:rPr>
              <w:t xml:space="preserve">is balanced </w:t>
            </w:r>
            <w:r w:rsidRPr="007C1C6B">
              <w:rPr>
                <w:sz w:val="22"/>
                <w:szCs w:val="22"/>
              </w:rPr>
              <w:t xml:space="preserve">in the medium to long term using the </w:t>
            </w:r>
            <w:r w:rsidR="002B65D9" w:rsidRPr="007C1C6B">
              <w:rPr>
                <w:sz w:val="22"/>
                <w:szCs w:val="22"/>
              </w:rPr>
              <w:t xml:space="preserve">resources </w:t>
            </w:r>
            <w:r w:rsidRPr="007C1C6B">
              <w:rPr>
                <w:sz w:val="22"/>
                <w:szCs w:val="22"/>
              </w:rPr>
              <w:t>at its disposal.</w:t>
            </w:r>
          </w:p>
          <w:p w:rsidR="00E066AB" w:rsidRPr="007C1C6B" w:rsidRDefault="00E066AB" w:rsidP="00B373E3">
            <w:pPr>
              <w:jc w:val="both"/>
              <w:rPr>
                <w:rFonts w:cs="Arial"/>
                <w:sz w:val="22"/>
                <w:szCs w:val="22"/>
              </w:rPr>
            </w:pP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404AF7" w:rsidRPr="007C1C6B" w:rsidRDefault="00404AF7" w:rsidP="0024522C">
            <w:pPr>
              <w:jc w:val="both"/>
              <w:rPr>
                <w:rFonts w:cs="Arial"/>
                <w:sz w:val="22"/>
                <w:szCs w:val="22"/>
              </w:rPr>
            </w:pPr>
            <w:r w:rsidRPr="007C1C6B">
              <w:rPr>
                <w:rFonts w:cs="Arial"/>
                <w:sz w:val="22"/>
                <w:szCs w:val="22"/>
              </w:rPr>
              <w:t>6.</w:t>
            </w:r>
            <w:r w:rsidR="0024522C">
              <w:rPr>
                <w:rFonts w:cs="Arial"/>
                <w:sz w:val="22"/>
                <w:szCs w:val="22"/>
              </w:rPr>
              <w:t>7</w:t>
            </w:r>
            <w:r w:rsidRPr="007C1C6B">
              <w:rPr>
                <w:rFonts w:cs="Arial"/>
                <w:sz w:val="22"/>
                <w:szCs w:val="22"/>
              </w:rPr>
              <w:t>.</w:t>
            </w:r>
            <w:r w:rsidR="0024522C">
              <w:rPr>
                <w:rFonts w:cs="Arial"/>
                <w:sz w:val="22"/>
                <w:szCs w:val="22"/>
              </w:rPr>
              <w:t>2</w:t>
            </w:r>
          </w:p>
        </w:tc>
        <w:tc>
          <w:tcPr>
            <w:cnfStyle w:val="000100000000" w:firstRow="0" w:lastRow="0" w:firstColumn="0" w:lastColumn="1" w:oddVBand="0" w:evenVBand="0" w:oddHBand="0" w:evenHBand="0" w:firstRowFirstColumn="0" w:firstRowLastColumn="0" w:lastRowFirstColumn="0" w:lastRowLastColumn="0"/>
            <w:tcW w:w="9072" w:type="dxa"/>
          </w:tcPr>
          <w:p w:rsidR="00E353B7" w:rsidRPr="007C1C6B" w:rsidRDefault="00E353B7" w:rsidP="00706F27">
            <w:pPr>
              <w:tabs>
                <w:tab w:val="left" w:pos="0"/>
              </w:tabs>
              <w:autoSpaceDE w:val="0"/>
              <w:autoSpaceDN w:val="0"/>
              <w:adjustRightInd w:val="0"/>
              <w:jc w:val="both"/>
              <w:rPr>
                <w:lang w:eastAsia="en-GB"/>
              </w:rPr>
            </w:pPr>
            <w:r w:rsidRPr="007C1C6B">
              <w:rPr>
                <w:sz w:val="22"/>
              </w:rPr>
              <w:t xml:space="preserve">A council tax increase of </w:t>
            </w:r>
            <w:r w:rsidR="000867E6">
              <w:rPr>
                <w:sz w:val="22"/>
              </w:rPr>
              <w:t>£5</w:t>
            </w:r>
            <w:r w:rsidRPr="007C1C6B">
              <w:rPr>
                <w:sz w:val="22"/>
              </w:rPr>
              <w:t xml:space="preserve"> has been assumed for </w:t>
            </w:r>
            <w:r w:rsidR="007C1C6B" w:rsidRPr="007C1C6B">
              <w:rPr>
                <w:sz w:val="22"/>
              </w:rPr>
              <w:t>2017/18</w:t>
            </w:r>
            <w:r w:rsidRPr="007C1C6B">
              <w:rPr>
                <w:sz w:val="22"/>
              </w:rPr>
              <w:t xml:space="preserve"> and subsequent years</w:t>
            </w:r>
            <w:r w:rsidR="004B0EBE" w:rsidRPr="007C1C6B">
              <w:rPr>
                <w:sz w:val="22"/>
              </w:rPr>
              <w:t>.</w:t>
            </w:r>
            <w:r w:rsidRPr="007C1C6B">
              <w:rPr>
                <w:sz w:val="22"/>
              </w:rPr>
              <w:t xml:space="preserve"> </w:t>
            </w:r>
            <w:r w:rsidR="00DA2F18">
              <w:rPr>
                <w:sz w:val="22"/>
              </w:rPr>
              <w:t xml:space="preserve">The </w:t>
            </w:r>
            <w:r w:rsidR="0039390E">
              <w:rPr>
                <w:sz w:val="22"/>
              </w:rPr>
              <w:t>Council expects to collect £6.1</w:t>
            </w:r>
            <w:r w:rsidR="000867E6">
              <w:rPr>
                <w:sz w:val="22"/>
              </w:rPr>
              <w:t>9</w:t>
            </w:r>
            <w:r w:rsidR="0039390E">
              <w:rPr>
                <w:sz w:val="22"/>
              </w:rPr>
              <w:t xml:space="preserve">7 million of council tax income in 2017/18.  </w:t>
            </w:r>
            <w:r w:rsidR="000867E6">
              <w:rPr>
                <w:rFonts w:cs="Arial"/>
                <w:sz w:val="22"/>
                <w:szCs w:val="22"/>
                <w:lang w:eastAsia="en-GB"/>
              </w:rPr>
              <w:t>A</w:t>
            </w:r>
            <w:r w:rsidR="00B16F41" w:rsidRPr="00B16F41">
              <w:rPr>
                <w:rFonts w:cs="Arial"/>
                <w:sz w:val="22"/>
                <w:szCs w:val="22"/>
                <w:lang w:eastAsia="en-GB"/>
              </w:rPr>
              <w:t xml:space="preserve"> one percentage increase in the </w:t>
            </w:r>
            <w:r w:rsidR="0039390E">
              <w:rPr>
                <w:rFonts w:cs="Arial"/>
                <w:sz w:val="22"/>
                <w:szCs w:val="22"/>
                <w:lang w:eastAsia="en-GB"/>
              </w:rPr>
              <w:t>c</w:t>
            </w:r>
            <w:r w:rsidR="00B16F41" w:rsidRPr="00B16F41">
              <w:rPr>
                <w:rFonts w:cs="Arial"/>
                <w:sz w:val="22"/>
                <w:szCs w:val="22"/>
                <w:lang w:eastAsia="en-GB"/>
              </w:rPr>
              <w:t xml:space="preserve">ouncil </w:t>
            </w:r>
            <w:r w:rsidR="0039390E">
              <w:rPr>
                <w:rFonts w:cs="Arial"/>
                <w:sz w:val="22"/>
                <w:szCs w:val="22"/>
                <w:lang w:eastAsia="en-GB"/>
              </w:rPr>
              <w:t>t</w:t>
            </w:r>
            <w:r w:rsidR="00B16F41" w:rsidRPr="00B16F41">
              <w:rPr>
                <w:rFonts w:cs="Arial"/>
                <w:sz w:val="22"/>
                <w:szCs w:val="22"/>
                <w:lang w:eastAsia="en-GB"/>
              </w:rPr>
              <w:t>ax rate generates approximately an £</w:t>
            </w:r>
            <w:r w:rsidR="00706F27">
              <w:rPr>
                <w:rFonts w:cs="Arial"/>
                <w:sz w:val="22"/>
                <w:szCs w:val="22"/>
                <w:lang w:eastAsia="en-GB"/>
              </w:rPr>
              <w:t>6</w:t>
            </w:r>
            <w:r w:rsidR="00B16F41" w:rsidRPr="00B16F41">
              <w:rPr>
                <w:rFonts w:cs="Arial"/>
                <w:sz w:val="22"/>
                <w:szCs w:val="22"/>
                <w:lang w:eastAsia="en-GB"/>
              </w:rPr>
              <w:t xml:space="preserve">0,000 increase in Council Tax revenue. </w:t>
            </w:r>
          </w:p>
          <w:p w:rsidR="00404AF7" w:rsidRPr="007C1C6B" w:rsidRDefault="00404AF7" w:rsidP="001E0F67">
            <w:pPr>
              <w:jc w:val="both"/>
              <w:rPr>
                <w:rFonts w:cs="Arial"/>
                <w:sz w:val="22"/>
                <w:szCs w:val="22"/>
              </w:rPr>
            </w:pP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E353B7" w:rsidRPr="00B16F41" w:rsidRDefault="00E353B7" w:rsidP="0024522C">
            <w:pPr>
              <w:jc w:val="both"/>
              <w:rPr>
                <w:rFonts w:cs="Arial"/>
                <w:sz w:val="22"/>
                <w:szCs w:val="22"/>
              </w:rPr>
            </w:pPr>
            <w:r w:rsidRPr="00B16F41">
              <w:rPr>
                <w:rFonts w:cs="Arial"/>
                <w:sz w:val="22"/>
                <w:szCs w:val="22"/>
              </w:rPr>
              <w:t>6.</w:t>
            </w:r>
            <w:r w:rsidR="0024522C">
              <w:rPr>
                <w:rFonts w:cs="Arial"/>
                <w:sz w:val="22"/>
                <w:szCs w:val="22"/>
              </w:rPr>
              <w:t>7</w:t>
            </w:r>
            <w:r w:rsidRPr="00B16F41">
              <w:rPr>
                <w:rFonts w:cs="Arial"/>
                <w:sz w:val="22"/>
                <w:szCs w:val="22"/>
              </w:rPr>
              <w:t>.</w:t>
            </w:r>
            <w:r w:rsidR="0024522C">
              <w:rPr>
                <w:rFonts w:cs="Arial"/>
                <w:sz w:val="22"/>
                <w:szCs w:val="22"/>
              </w:rPr>
              <w:t>3</w:t>
            </w:r>
          </w:p>
        </w:tc>
        <w:tc>
          <w:tcPr>
            <w:cnfStyle w:val="000100000000" w:firstRow="0" w:lastRow="0" w:firstColumn="0" w:lastColumn="1" w:oddVBand="0" w:evenVBand="0" w:oddHBand="0" w:evenHBand="0" w:firstRowFirstColumn="0" w:firstRowLastColumn="0" w:lastRowFirstColumn="0" w:lastRowLastColumn="0"/>
            <w:tcW w:w="9072" w:type="dxa"/>
          </w:tcPr>
          <w:p w:rsidR="00E353B7" w:rsidRPr="00B16F41" w:rsidRDefault="00636494" w:rsidP="00B16F41">
            <w:pPr>
              <w:tabs>
                <w:tab w:val="left" w:pos="0"/>
              </w:tabs>
              <w:autoSpaceDE w:val="0"/>
              <w:autoSpaceDN w:val="0"/>
              <w:adjustRightInd w:val="0"/>
              <w:jc w:val="both"/>
              <w:rPr>
                <w:sz w:val="22"/>
                <w:szCs w:val="22"/>
                <w:lang w:eastAsia="en-GB"/>
              </w:rPr>
            </w:pPr>
            <w:r w:rsidRPr="00B16F41">
              <w:rPr>
                <w:sz w:val="22"/>
                <w:szCs w:val="22"/>
                <w:lang w:eastAsia="en-GB"/>
              </w:rPr>
              <w:t>The Localism Act 2011 introduced a power for local electorates to approve or veto excessive council tax rises</w:t>
            </w:r>
            <w:r w:rsidR="006D68EE" w:rsidRPr="00B16F41">
              <w:rPr>
                <w:sz w:val="22"/>
                <w:szCs w:val="22"/>
                <w:lang w:eastAsia="en-GB"/>
              </w:rPr>
              <w:t>.</w:t>
            </w:r>
            <w:r w:rsidRPr="00B16F41">
              <w:rPr>
                <w:sz w:val="22"/>
                <w:szCs w:val="22"/>
                <w:lang w:eastAsia="en-GB"/>
              </w:rPr>
              <w:t xml:space="preserve"> </w:t>
            </w:r>
            <w:r w:rsidR="00346D39">
              <w:rPr>
                <w:sz w:val="22"/>
                <w:szCs w:val="22"/>
                <w:lang w:eastAsia="en-GB"/>
              </w:rPr>
              <w:t xml:space="preserve"> </w:t>
            </w:r>
            <w:r w:rsidRPr="00B16F41">
              <w:rPr>
                <w:sz w:val="22"/>
                <w:szCs w:val="22"/>
                <w:lang w:eastAsia="en-GB"/>
              </w:rPr>
              <w:t xml:space="preserve">Any authority setting a council tax increase </w:t>
            </w:r>
            <w:r w:rsidR="00B16F41" w:rsidRPr="00B16F41">
              <w:rPr>
                <w:sz w:val="22"/>
                <w:szCs w:val="22"/>
                <w:lang w:eastAsia="en-GB"/>
              </w:rPr>
              <w:t xml:space="preserve">of 2% or more </w:t>
            </w:r>
            <w:r w:rsidRPr="00B16F41">
              <w:rPr>
                <w:sz w:val="22"/>
                <w:szCs w:val="22"/>
                <w:lang w:eastAsia="en-GB"/>
              </w:rPr>
              <w:t xml:space="preserve">will be required to hold a council tax referendum. </w:t>
            </w:r>
          </w:p>
          <w:p w:rsidR="00B16F41" w:rsidRPr="00B16F41" w:rsidRDefault="00B16F41" w:rsidP="00B16F41">
            <w:pPr>
              <w:tabs>
                <w:tab w:val="left" w:pos="0"/>
              </w:tabs>
              <w:autoSpaceDE w:val="0"/>
              <w:autoSpaceDN w:val="0"/>
              <w:adjustRightInd w:val="0"/>
              <w:jc w:val="both"/>
              <w:rPr>
                <w:rFonts w:cs="Arial"/>
                <w:sz w:val="22"/>
                <w:szCs w:val="22"/>
              </w:rPr>
            </w:pPr>
          </w:p>
        </w:tc>
      </w:tr>
      <w:tr w:rsidR="00CF7499" w:rsidRPr="00CF7499" w:rsidTr="001E5BA7">
        <w:trPr>
          <w:gridBefore w:val="1"/>
          <w:wBefore w:w="34" w:type="dxa"/>
          <w:trHeight w:val="351"/>
        </w:trPr>
        <w:tc>
          <w:tcPr>
            <w:cnfStyle w:val="001000000000" w:firstRow="0" w:lastRow="0" w:firstColumn="1" w:lastColumn="0" w:oddVBand="0" w:evenVBand="0" w:oddHBand="0" w:evenHBand="0" w:firstRowFirstColumn="0" w:firstRowLastColumn="0" w:lastRowFirstColumn="0" w:lastRowLastColumn="0"/>
            <w:tcW w:w="959" w:type="dxa"/>
          </w:tcPr>
          <w:p w:rsidR="00E353B7" w:rsidRPr="00A66EC8" w:rsidRDefault="00E353B7" w:rsidP="0024522C">
            <w:pPr>
              <w:jc w:val="both"/>
              <w:rPr>
                <w:rFonts w:cs="Arial"/>
                <w:sz w:val="22"/>
                <w:szCs w:val="22"/>
              </w:rPr>
            </w:pPr>
            <w:r w:rsidRPr="00A66EC8">
              <w:rPr>
                <w:rFonts w:cs="Arial"/>
                <w:sz w:val="22"/>
                <w:szCs w:val="22"/>
              </w:rPr>
              <w:t>6.</w:t>
            </w:r>
            <w:r w:rsidR="0024522C">
              <w:rPr>
                <w:rFonts w:cs="Arial"/>
                <w:sz w:val="22"/>
                <w:szCs w:val="22"/>
              </w:rPr>
              <w:t>8</w:t>
            </w:r>
          </w:p>
        </w:tc>
        <w:tc>
          <w:tcPr>
            <w:cnfStyle w:val="000100000000" w:firstRow="0" w:lastRow="0" w:firstColumn="0" w:lastColumn="1" w:oddVBand="0" w:evenVBand="0" w:oddHBand="0" w:evenHBand="0" w:firstRowFirstColumn="0" w:firstRowLastColumn="0" w:lastRowFirstColumn="0" w:lastRowLastColumn="0"/>
            <w:tcW w:w="9072" w:type="dxa"/>
          </w:tcPr>
          <w:p w:rsidR="00E353B7" w:rsidRPr="00A66EC8" w:rsidRDefault="00E353B7" w:rsidP="00781D05">
            <w:pPr>
              <w:tabs>
                <w:tab w:val="left" w:pos="0"/>
              </w:tabs>
              <w:autoSpaceDE w:val="0"/>
              <w:autoSpaceDN w:val="0"/>
              <w:adjustRightInd w:val="0"/>
              <w:jc w:val="both"/>
              <w:rPr>
                <w:b/>
                <w:sz w:val="22"/>
                <w:szCs w:val="22"/>
                <w:lang w:eastAsia="en-GB"/>
              </w:rPr>
            </w:pPr>
            <w:r w:rsidRPr="00A66EC8">
              <w:rPr>
                <w:b/>
                <w:sz w:val="22"/>
                <w:szCs w:val="22"/>
                <w:lang w:eastAsia="en-GB"/>
              </w:rPr>
              <w:t>Council Tax Base</w:t>
            </w:r>
          </w:p>
          <w:p w:rsidR="000F138C" w:rsidRPr="00A66EC8" w:rsidRDefault="000F138C" w:rsidP="00781D05">
            <w:pPr>
              <w:tabs>
                <w:tab w:val="left" w:pos="0"/>
              </w:tabs>
              <w:autoSpaceDE w:val="0"/>
              <w:autoSpaceDN w:val="0"/>
              <w:adjustRightInd w:val="0"/>
              <w:jc w:val="both"/>
              <w:rPr>
                <w:b/>
                <w:sz w:val="22"/>
                <w:szCs w:val="22"/>
                <w:lang w:eastAsia="en-GB"/>
              </w:rPr>
            </w:pP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E353B7" w:rsidRPr="00CF7499" w:rsidRDefault="000F138C" w:rsidP="0024522C">
            <w:pPr>
              <w:jc w:val="both"/>
              <w:rPr>
                <w:rFonts w:cs="Arial"/>
                <w:color w:val="4F81BD" w:themeColor="accent1"/>
                <w:sz w:val="22"/>
                <w:szCs w:val="22"/>
              </w:rPr>
            </w:pPr>
            <w:r w:rsidRPr="00706F27">
              <w:rPr>
                <w:rFonts w:cs="Arial"/>
                <w:sz w:val="22"/>
                <w:szCs w:val="22"/>
              </w:rPr>
              <w:t>6.</w:t>
            </w:r>
            <w:r w:rsidR="0024522C">
              <w:rPr>
                <w:rFonts w:cs="Arial"/>
                <w:sz w:val="22"/>
                <w:szCs w:val="22"/>
              </w:rPr>
              <w:t>8</w:t>
            </w:r>
            <w:r w:rsidRPr="00706F27">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FA56D9" w:rsidRPr="00CF7499" w:rsidRDefault="000F138C" w:rsidP="002A1193">
            <w:pPr>
              <w:tabs>
                <w:tab w:val="left" w:pos="0"/>
              </w:tabs>
              <w:ind w:left="65"/>
              <w:jc w:val="both"/>
              <w:rPr>
                <w:rFonts w:cs="Arial"/>
                <w:color w:val="4F81BD" w:themeColor="accent1"/>
                <w:sz w:val="22"/>
                <w:szCs w:val="22"/>
              </w:rPr>
            </w:pPr>
            <w:r w:rsidRPr="007C1C6B">
              <w:rPr>
                <w:sz w:val="22"/>
                <w:szCs w:val="22"/>
                <w:lang w:eastAsia="en-GB"/>
              </w:rPr>
              <w:t xml:space="preserve">The Council Tax base for </w:t>
            </w:r>
            <w:r w:rsidR="007C1C6B" w:rsidRPr="007C1C6B">
              <w:rPr>
                <w:sz w:val="22"/>
                <w:szCs w:val="22"/>
                <w:lang w:eastAsia="en-GB"/>
              </w:rPr>
              <w:t>2017/18</w:t>
            </w:r>
            <w:r w:rsidRPr="007C1C6B">
              <w:rPr>
                <w:sz w:val="22"/>
                <w:szCs w:val="22"/>
                <w:lang w:eastAsia="en-GB"/>
              </w:rPr>
              <w:t xml:space="preserve"> was set at the </w:t>
            </w:r>
            <w:r w:rsidR="007C1C6B" w:rsidRPr="007C1C6B">
              <w:rPr>
                <w:sz w:val="22"/>
                <w:szCs w:val="22"/>
                <w:lang w:eastAsia="en-GB"/>
              </w:rPr>
              <w:t xml:space="preserve">Council </w:t>
            </w:r>
            <w:r w:rsidRPr="007C1C6B">
              <w:rPr>
                <w:sz w:val="22"/>
                <w:szCs w:val="22"/>
                <w:lang w:eastAsia="en-GB"/>
              </w:rPr>
              <w:t xml:space="preserve">meeting on </w:t>
            </w:r>
            <w:r w:rsidR="007C1C6B" w:rsidRPr="007C1C6B">
              <w:rPr>
                <w:sz w:val="22"/>
                <w:szCs w:val="22"/>
                <w:lang w:eastAsia="en-GB"/>
              </w:rPr>
              <w:t>13</w:t>
            </w:r>
            <w:r w:rsidRPr="007C1C6B">
              <w:rPr>
                <w:sz w:val="22"/>
                <w:szCs w:val="22"/>
                <w:lang w:eastAsia="en-GB"/>
              </w:rPr>
              <w:t xml:space="preserve"> December 201</w:t>
            </w:r>
            <w:r w:rsidR="007C1C6B" w:rsidRPr="007C1C6B">
              <w:rPr>
                <w:sz w:val="22"/>
                <w:szCs w:val="22"/>
                <w:lang w:eastAsia="en-GB"/>
              </w:rPr>
              <w:t>6</w:t>
            </w:r>
            <w:r w:rsidRPr="007C1C6B">
              <w:rPr>
                <w:sz w:val="22"/>
                <w:szCs w:val="22"/>
                <w:lang w:eastAsia="en-GB"/>
              </w:rPr>
              <w:t xml:space="preserve"> and totalled </w:t>
            </w:r>
            <w:r w:rsidR="00261019" w:rsidRPr="00706F27">
              <w:rPr>
                <w:sz w:val="22"/>
                <w:szCs w:val="22"/>
                <w:lang w:eastAsia="en-GB"/>
              </w:rPr>
              <w:t>37,</w:t>
            </w:r>
            <w:r w:rsidR="00706F27" w:rsidRPr="00706F27">
              <w:rPr>
                <w:sz w:val="22"/>
                <w:szCs w:val="22"/>
                <w:lang w:eastAsia="en-GB"/>
              </w:rPr>
              <w:t>812.1</w:t>
            </w:r>
            <w:r w:rsidRPr="00706F27">
              <w:rPr>
                <w:sz w:val="22"/>
                <w:szCs w:val="22"/>
                <w:lang w:eastAsia="en-GB"/>
              </w:rPr>
              <w:t xml:space="preserve"> using a collection rate of 99%.</w:t>
            </w:r>
            <w:r w:rsidR="00346D39">
              <w:rPr>
                <w:sz w:val="22"/>
                <w:szCs w:val="22"/>
                <w:lang w:eastAsia="en-GB"/>
              </w:rPr>
              <w:t xml:space="preserve"> </w:t>
            </w:r>
            <w:r w:rsidRPr="00706F27">
              <w:rPr>
                <w:sz w:val="22"/>
                <w:szCs w:val="22"/>
                <w:lang w:eastAsia="en-GB"/>
              </w:rPr>
              <w:t xml:space="preserve"> </w:t>
            </w:r>
            <w:r w:rsidRPr="007C1C6B">
              <w:rPr>
                <w:sz w:val="22"/>
                <w:szCs w:val="22"/>
                <w:lang w:eastAsia="en-GB"/>
              </w:rPr>
              <w:t xml:space="preserve">The base shows an increase </w:t>
            </w:r>
            <w:r w:rsidRPr="00706F27">
              <w:rPr>
                <w:sz w:val="22"/>
                <w:szCs w:val="22"/>
                <w:lang w:eastAsia="en-GB"/>
              </w:rPr>
              <w:t>of 1.</w:t>
            </w:r>
            <w:r w:rsidR="00706F27" w:rsidRPr="00706F27">
              <w:rPr>
                <w:sz w:val="22"/>
                <w:szCs w:val="22"/>
                <w:lang w:eastAsia="en-GB"/>
              </w:rPr>
              <w:t>18</w:t>
            </w:r>
            <w:r w:rsidRPr="00706F27">
              <w:rPr>
                <w:sz w:val="22"/>
                <w:szCs w:val="22"/>
                <w:lang w:eastAsia="en-GB"/>
              </w:rPr>
              <w:t xml:space="preserve">% over </w:t>
            </w:r>
            <w:r w:rsidR="007C1C6B" w:rsidRPr="00706F27">
              <w:rPr>
                <w:sz w:val="22"/>
                <w:szCs w:val="22"/>
                <w:lang w:eastAsia="en-GB"/>
              </w:rPr>
              <w:t>2016/17</w:t>
            </w:r>
            <w:r w:rsidRPr="00CF7499">
              <w:rPr>
                <w:color w:val="4F81BD" w:themeColor="accent1"/>
                <w:sz w:val="22"/>
                <w:szCs w:val="22"/>
                <w:lang w:eastAsia="en-GB"/>
              </w:rPr>
              <w:t xml:space="preserve">. </w:t>
            </w:r>
            <w:r w:rsidRPr="002A1193">
              <w:rPr>
                <w:sz w:val="22"/>
                <w:szCs w:val="22"/>
                <w:lang w:eastAsia="en-GB"/>
              </w:rPr>
              <w:t xml:space="preserve">(Minute No. </w:t>
            </w:r>
            <w:r w:rsidR="002A1193" w:rsidRPr="002A1193">
              <w:rPr>
                <w:sz w:val="22"/>
                <w:szCs w:val="22"/>
                <w:lang w:eastAsia="en-GB"/>
              </w:rPr>
              <w:t>CL67/16</w:t>
            </w:r>
            <w:r w:rsidR="00B16F41" w:rsidRPr="002A1193">
              <w:rPr>
                <w:sz w:val="22"/>
                <w:szCs w:val="22"/>
                <w:lang w:eastAsia="en-GB"/>
              </w:rPr>
              <w:t xml:space="preserve"> refers). </w:t>
            </w:r>
            <w:r w:rsidR="008817DC" w:rsidRPr="00D928F7">
              <w:rPr>
                <w:rFonts w:cs="Arial"/>
                <w:sz w:val="22"/>
                <w:szCs w:val="22"/>
                <w:lang w:eastAsia="en-GB"/>
              </w:rPr>
              <w:t xml:space="preserve">Where amounts of Council Tax collected exceed the estimates made, the surplus is shared between the relevant major precepting authorities (Hertfordshire County Council, Watford Borough, Council and Hertfordshire Police &amp; Crime Commissioner).  </w:t>
            </w:r>
          </w:p>
          <w:p w:rsidR="00FA56D9" w:rsidRPr="00CF7499" w:rsidRDefault="00FA56D9" w:rsidP="000F138C">
            <w:pPr>
              <w:jc w:val="both"/>
              <w:rPr>
                <w:rFonts w:cs="Arial"/>
                <w:color w:val="4F81BD" w:themeColor="accent1"/>
                <w:sz w:val="22"/>
                <w:szCs w:val="22"/>
              </w:rPr>
            </w:pPr>
          </w:p>
        </w:tc>
      </w:tr>
      <w:tr w:rsidR="00CF7499" w:rsidRPr="00CF7499" w:rsidTr="001E5BA7">
        <w:trPr>
          <w:gridBefore w:val="1"/>
          <w:wBefore w:w="34" w:type="dxa"/>
          <w:trHeight w:val="429"/>
        </w:trPr>
        <w:tc>
          <w:tcPr>
            <w:cnfStyle w:val="001000000000" w:firstRow="0" w:lastRow="0" w:firstColumn="1" w:lastColumn="0" w:oddVBand="0" w:evenVBand="0" w:oddHBand="0" w:evenHBand="0" w:firstRowFirstColumn="0" w:firstRowLastColumn="0" w:lastRowFirstColumn="0" w:lastRowLastColumn="0"/>
            <w:tcW w:w="959" w:type="dxa"/>
          </w:tcPr>
          <w:p w:rsidR="000F138C" w:rsidRPr="00A66EC8" w:rsidRDefault="000F138C" w:rsidP="0024522C">
            <w:pPr>
              <w:jc w:val="both"/>
              <w:rPr>
                <w:rFonts w:cs="Arial"/>
                <w:sz w:val="22"/>
                <w:szCs w:val="22"/>
              </w:rPr>
            </w:pPr>
            <w:r w:rsidRPr="00A66EC8">
              <w:rPr>
                <w:rFonts w:cs="Arial"/>
                <w:sz w:val="22"/>
                <w:szCs w:val="22"/>
              </w:rPr>
              <w:t>6.</w:t>
            </w:r>
            <w:r w:rsidR="0024522C">
              <w:rPr>
                <w:rFonts w:cs="Arial"/>
                <w:sz w:val="22"/>
                <w:szCs w:val="22"/>
              </w:rPr>
              <w:t>9</w:t>
            </w:r>
          </w:p>
        </w:tc>
        <w:tc>
          <w:tcPr>
            <w:cnfStyle w:val="000100000000" w:firstRow="0" w:lastRow="0" w:firstColumn="0" w:lastColumn="1" w:oddVBand="0" w:evenVBand="0" w:oddHBand="0" w:evenHBand="0" w:firstRowFirstColumn="0" w:firstRowLastColumn="0" w:lastRowFirstColumn="0" w:lastRowLastColumn="0"/>
            <w:tcW w:w="9072" w:type="dxa"/>
          </w:tcPr>
          <w:p w:rsidR="000F138C" w:rsidRPr="00A66EC8" w:rsidRDefault="000F138C" w:rsidP="00781D05">
            <w:pPr>
              <w:tabs>
                <w:tab w:val="left" w:pos="0"/>
              </w:tabs>
              <w:autoSpaceDE w:val="0"/>
              <w:autoSpaceDN w:val="0"/>
              <w:adjustRightInd w:val="0"/>
              <w:jc w:val="both"/>
              <w:rPr>
                <w:b/>
                <w:sz w:val="22"/>
                <w:szCs w:val="22"/>
                <w:lang w:eastAsia="en-GB"/>
              </w:rPr>
            </w:pPr>
            <w:r w:rsidRPr="00A66EC8">
              <w:rPr>
                <w:b/>
                <w:sz w:val="22"/>
                <w:szCs w:val="22"/>
                <w:lang w:eastAsia="en-GB"/>
              </w:rPr>
              <w:t>Local Council Tax Reduction Scheme</w:t>
            </w:r>
          </w:p>
          <w:p w:rsidR="000F138C" w:rsidRPr="00A66EC8" w:rsidRDefault="000F138C" w:rsidP="00781D05">
            <w:pPr>
              <w:tabs>
                <w:tab w:val="left" w:pos="0"/>
              </w:tabs>
              <w:autoSpaceDE w:val="0"/>
              <w:autoSpaceDN w:val="0"/>
              <w:adjustRightInd w:val="0"/>
              <w:jc w:val="both"/>
              <w:rPr>
                <w:b/>
                <w:sz w:val="22"/>
                <w:szCs w:val="22"/>
                <w:lang w:eastAsia="en-GB"/>
              </w:rPr>
            </w:pPr>
          </w:p>
        </w:tc>
      </w:tr>
      <w:tr w:rsidR="00CF7499" w:rsidRPr="00CF7499" w:rsidTr="001E5BA7">
        <w:trPr>
          <w:trHeight w:val="740"/>
        </w:trPr>
        <w:tc>
          <w:tcPr>
            <w:cnfStyle w:val="001000000000" w:firstRow="0" w:lastRow="0" w:firstColumn="1" w:lastColumn="0" w:oddVBand="0" w:evenVBand="0" w:oddHBand="0" w:evenHBand="0" w:firstRowFirstColumn="0" w:firstRowLastColumn="0" w:lastRowFirstColumn="0" w:lastRowLastColumn="0"/>
            <w:tcW w:w="993" w:type="dxa"/>
            <w:gridSpan w:val="2"/>
          </w:tcPr>
          <w:p w:rsidR="000F138C" w:rsidRPr="00CF7499" w:rsidRDefault="000F138C" w:rsidP="0024522C">
            <w:pPr>
              <w:jc w:val="both"/>
              <w:rPr>
                <w:rFonts w:cs="Arial"/>
                <w:color w:val="4F81BD" w:themeColor="accent1"/>
                <w:sz w:val="22"/>
                <w:szCs w:val="22"/>
              </w:rPr>
            </w:pPr>
            <w:r w:rsidRPr="00091604">
              <w:rPr>
                <w:rFonts w:cs="Arial"/>
                <w:sz w:val="22"/>
                <w:szCs w:val="22"/>
              </w:rPr>
              <w:t>6.</w:t>
            </w:r>
            <w:r w:rsidR="0024522C">
              <w:rPr>
                <w:rFonts w:cs="Arial"/>
                <w:sz w:val="22"/>
                <w:szCs w:val="22"/>
              </w:rPr>
              <w:t>9</w:t>
            </w:r>
            <w:r w:rsidRPr="00091604">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0F138C" w:rsidRPr="000B0040" w:rsidRDefault="000F138C" w:rsidP="00091604">
            <w:pPr>
              <w:tabs>
                <w:tab w:val="left" w:pos="0"/>
              </w:tabs>
              <w:autoSpaceDE w:val="0"/>
              <w:autoSpaceDN w:val="0"/>
              <w:adjustRightInd w:val="0"/>
              <w:jc w:val="both"/>
              <w:rPr>
                <w:sz w:val="22"/>
                <w:szCs w:val="22"/>
                <w:lang w:eastAsia="en-GB"/>
              </w:rPr>
            </w:pPr>
            <w:r w:rsidRPr="00A66EC8">
              <w:rPr>
                <w:sz w:val="22"/>
                <w:szCs w:val="22"/>
                <w:lang w:eastAsia="en-GB"/>
              </w:rPr>
              <w:t xml:space="preserve">At the </w:t>
            </w:r>
            <w:r w:rsidR="00A66EC8" w:rsidRPr="00A66EC8">
              <w:rPr>
                <w:sz w:val="22"/>
                <w:szCs w:val="22"/>
                <w:lang w:eastAsia="en-GB"/>
              </w:rPr>
              <w:t xml:space="preserve">Council </w:t>
            </w:r>
            <w:r w:rsidRPr="00A66EC8">
              <w:rPr>
                <w:sz w:val="22"/>
                <w:szCs w:val="22"/>
                <w:lang w:eastAsia="en-GB"/>
              </w:rPr>
              <w:t xml:space="preserve">meeting on </w:t>
            </w:r>
            <w:r w:rsidR="00A66EC8" w:rsidRPr="00A66EC8">
              <w:rPr>
                <w:sz w:val="22"/>
                <w:szCs w:val="22"/>
                <w:lang w:eastAsia="en-GB"/>
              </w:rPr>
              <w:t xml:space="preserve">13 </w:t>
            </w:r>
            <w:r w:rsidRPr="00A66EC8">
              <w:rPr>
                <w:sz w:val="22"/>
                <w:szCs w:val="22"/>
                <w:lang w:eastAsia="en-GB"/>
              </w:rPr>
              <w:t>December 201</w:t>
            </w:r>
            <w:r w:rsidR="00A66EC8" w:rsidRPr="00A66EC8">
              <w:rPr>
                <w:sz w:val="22"/>
                <w:szCs w:val="22"/>
                <w:lang w:eastAsia="en-GB"/>
              </w:rPr>
              <w:t>6</w:t>
            </w:r>
            <w:r w:rsidRPr="00A66EC8">
              <w:rPr>
                <w:sz w:val="22"/>
                <w:szCs w:val="22"/>
                <w:lang w:eastAsia="en-GB"/>
              </w:rPr>
              <w:t>, it was resolved to continue to apply the 201</w:t>
            </w:r>
            <w:r w:rsidR="00A66EC8" w:rsidRPr="00A66EC8">
              <w:rPr>
                <w:sz w:val="22"/>
                <w:szCs w:val="22"/>
                <w:lang w:eastAsia="en-GB"/>
              </w:rPr>
              <w:t>6/17</w:t>
            </w:r>
            <w:r w:rsidRPr="00A66EC8">
              <w:rPr>
                <w:sz w:val="22"/>
                <w:szCs w:val="22"/>
                <w:lang w:eastAsia="en-GB"/>
              </w:rPr>
              <w:t xml:space="preserve"> Local Council Tax Reduction Scheme for 201</w:t>
            </w:r>
            <w:r w:rsidR="00A66EC8" w:rsidRPr="00A66EC8">
              <w:rPr>
                <w:sz w:val="22"/>
                <w:szCs w:val="22"/>
                <w:lang w:eastAsia="en-GB"/>
              </w:rPr>
              <w:t>7/18</w:t>
            </w:r>
            <w:r w:rsidRPr="00CF7499">
              <w:rPr>
                <w:color w:val="4F81BD" w:themeColor="accent1"/>
                <w:sz w:val="22"/>
                <w:szCs w:val="22"/>
                <w:lang w:eastAsia="en-GB"/>
              </w:rPr>
              <w:t xml:space="preserve">. </w:t>
            </w:r>
            <w:r w:rsidRPr="000B0040">
              <w:rPr>
                <w:sz w:val="22"/>
                <w:szCs w:val="22"/>
                <w:lang w:eastAsia="en-GB"/>
              </w:rPr>
              <w:t>(Minute No.CL</w:t>
            </w:r>
            <w:r w:rsidR="000B0040" w:rsidRPr="000B0040">
              <w:rPr>
                <w:sz w:val="22"/>
                <w:szCs w:val="22"/>
                <w:lang w:eastAsia="en-GB"/>
              </w:rPr>
              <w:t>68</w:t>
            </w:r>
            <w:r w:rsidRPr="000B0040">
              <w:rPr>
                <w:sz w:val="22"/>
                <w:szCs w:val="22"/>
                <w:lang w:eastAsia="en-GB"/>
              </w:rPr>
              <w:t>/1</w:t>
            </w:r>
            <w:r w:rsidR="00091604" w:rsidRPr="000B0040">
              <w:rPr>
                <w:sz w:val="22"/>
                <w:szCs w:val="22"/>
                <w:lang w:eastAsia="en-GB"/>
              </w:rPr>
              <w:t>6</w:t>
            </w:r>
            <w:r w:rsidRPr="000B0040">
              <w:rPr>
                <w:sz w:val="22"/>
                <w:szCs w:val="22"/>
                <w:lang w:eastAsia="en-GB"/>
              </w:rPr>
              <w:t xml:space="preserve"> refers). </w:t>
            </w:r>
          </w:p>
          <w:p w:rsidR="00091604" w:rsidRPr="00091604" w:rsidRDefault="000B0040" w:rsidP="00091604">
            <w:pPr>
              <w:tabs>
                <w:tab w:val="left" w:pos="0"/>
              </w:tabs>
              <w:autoSpaceDE w:val="0"/>
              <w:autoSpaceDN w:val="0"/>
              <w:adjustRightInd w:val="0"/>
              <w:jc w:val="both"/>
              <w:rPr>
                <w:rFonts w:cs="Arial"/>
                <w:color w:val="4F81BD" w:themeColor="accent1"/>
                <w:sz w:val="22"/>
                <w:szCs w:val="22"/>
                <w:lang w:eastAsia="en-GB"/>
              </w:rPr>
            </w:pPr>
            <w:r>
              <w:rPr>
                <w:rFonts w:cs="Arial"/>
                <w:color w:val="4F81BD" w:themeColor="accent1"/>
                <w:sz w:val="22"/>
                <w:szCs w:val="22"/>
                <w:lang w:eastAsia="en-GB"/>
              </w:rPr>
              <w:t xml:space="preserve">  </w:t>
            </w:r>
          </w:p>
          <w:p w:rsidR="00091604" w:rsidRPr="00BE2FB5" w:rsidRDefault="00091604" w:rsidP="001D175E">
            <w:pPr>
              <w:tabs>
                <w:tab w:val="left" w:pos="65"/>
              </w:tabs>
              <w:jc w:val="both"/>
              <w:rPr>
                <w:rFonts w:cs="Arial"/>
                <w:sz w:val="22"/>
                <w:szCs w:val="22"/>
              </w:rPr>
            </w:pPr>
            <w:r w:rsidRPr="00091604">
              <w:rPr>
                <w:rFonts w:cs="Arial"/>
                <w:sz w:val="22"/>
                <w:szCs w:val="22"/>
                <w:lang w:eastAsia="en-GB"/>
              </w:rPr>
              <w:t>It is proposed that a full review of LCTR scheme op</w:t>
            </w:r>
            <w:r>
              <w:rPr>
                <w:rFonts w:cs="Arial"/>
                <w:sz w:val="22"/>
                <w:szCs w:val="22"/>
                <w:lang w:eastAsia="en-GB"/>
              </w:rPr>
              <w:t>tions is undertaken during 2017 a</w:t>
            </w:r>
            <w:r w:rsidRPr="00091604">
              <w:rPr>
                <w:rFonts w:cs="Arial"/>
                <w:sz w:val="22"/>
                <w:szCs w:val="22"/>
                <w:lang w:eastAsia="en-GB"/>
              </w:rPr>
              <w:t>nd if agreed to adopt a new scheme the necessary consultation carried out.</w:t>
            </w:r>
            <w:r w:rsidR="00346D39">
              <w:rPr>
                <w:rFonts w:cs="Arial"/>
                <w:sz w:val="22"/>
                <w:szCs w:val="22"/>
                <w:lang w:eastAsia="en-GB"/>
              </w:rPr>
              <w:t xml:space="preserve"> </w:t>
            </w:r>
            <w:r w:rsidRPr="00091604">
              <w:rPr>
                <w:rFonts w:cs="Arial"/>
                <w:sz w:val="22"/>
                <w:szCs w:val="22"/>
                <w:lang w:eastAsia="en-GB"/>
              </w:rPr>
              <w:t xml:space="preserve">  Any new scheme would need to be agreed by Council before 31 January 2017 for introduction in April 2018. </w:t>
            </w:r>
          </w:p>
          <w:p w:rsidR="000F138C" w:rsidRPr="00CF7499" w:rsidRDefault="000F138C" w:rsidP="001D175E">
            <w:pPr>
              <w:tabs>
                <w:tab w:val="left" w:pos="0"/>
              </w:tabs>
              <w:ind w:left="65"/>
              <w:jc w:val="both"/>
              <w:rPr>
                <w:b/>
                <w:color w:val="4F81BD" w:themeColor="accent1"/>
                <w:sz w:val="22"/>
                <w:szCs w:val="22"/>
                <w:lang w:eastAsia="en-GB"/>
              </w:rPr>
            </w:pPr>
          </w:p>
        </w:tc>
      </w:tr>
      <w:tr w:rsidR="00CF7499" w:rsidRPr="00CF7499" w:rsidTr="001E5BA7">
        <w:trPr>
          <w:gridBefore w:val="1"/>
          <w:wBefore w:w="34" w:type="dxa"/>
          <w:trHeight w:val="490"/>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24522C">
            <w:pPr>
              <w:tabs>
                <w:tab w:val="left" w:pos="2835"/>
              </w:tabs>
              <w:jc w:val="both"/>
              <w:rPr>
                <w:rFonts w:cs="Arial"/>
                <w:sz w:val="22"/>
                <w:szCs w:val="22"/>
              </w:rPr>
            </w:pPr>
            <w:r w:rsidRPr="00A66EC8">
              <w:rPr>
                <w:rFonts w:cs="Arial"/>
                <w:sz w:val="22"/>
                <w:szCs w:val="22"/>
              </w:rPr>
              <w:t>6.</w:t>
            </w:r>
            <w:r w:rsidR="0024522C">
              <w:rPr>
                <w:rFonts w:cs="Arial"/>
                <w:sz w:val="22"/>
                <w:szCs w:val="22"/>
              </w:rPr>
              <w:t>10</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rFonts w:cs="Arial"/>
                <w:b/>
                <w:sz w:val="22"/>
                <w:szCs w:val="22"/>
              </w:rPr>
            </w:pPr>
            <w:r w:rsidRPr="00A66EC8">
              <w:rPr>
                <w:rFonts w:cs="Arial"/>
                <w:b/>
                <w:sz w:val="22"/>
                <w:szCs w:val="22"/>
              </w:rPr>
              <w:t>Collection Fund</w:t>
            </w:r>
          </w:p>
          <w:p w:rsidR="00BC3FF3" w:rsidRPr="00A66EC8" w:rsidRDefault="00BC3FF3" w:rsidP="001E0F67">
            <w:pPr>
              <w:jc w:val="both"/>
              <w:rPr>
                <w:rFonts w:cs="Arial"/>
                <w:b/>
                <w:i/>
                <w:sz w:val="22"/>
                <w:szCs w:val="22"/>
              </w:rPr>
            </w:pPr>
          </w:p>
        </w:tc>
      </w:tr>
      <w:tr w:rsidR="00CF7499" w:rsidRPr="00CF7499" w:rsidTr="001E5BA7">
        <w:trPr>
          <w:gridBefore w:val="1"/>
          <w:wBefore w:w="34" w:type="dxa"/>
          <w:trHeight w:val="426"/>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24522C">
            <w:pPr>
              <w:tabs>
                <w:tab w:val="left" w:pos="2835"/>
              </w:tabs>
              <w:jc w:val="both"/>
              <w:rPr>
                <w:rFonts w:cs="Arial"/>
                <w:sz w:val="22"/>
                <w:szCs w:val="22"/>
              </w:rPr>
            </w:pPr>
            <w:r w:rsidRPr="00A66EC8">
              <w:rPr>
                <w:rFonts w:cs="Arial"/>
                <w:sz w:val="22"/>
                <w:szCs w:val="22"/>
              </w:rPr>
              <w:t>6.</w:t>
            </w:r>
            <w:r w:rsidR="0024522C">
              <w:rPr>
                <w:rFonts w:cs="Arial"/>
                <w:sz w:val="22"/>
                <w:szCs w:val="22"/>
              </w:rPr>
              <w:t>10</w:t>
            </w:r>
            <w:r w:rsidRPr="00A66EC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C3FF3" w:rsidRDefault="00BC3FF3" w:rsidP="004C65D5">
            <w:pPr>
              <w:tabs>
                <w:tab w:val="left" w:pos="1418"/>
                <w:tab w:val="left" w:pos="2520"/>
              </w:tabs>
              <w:jc w:val="both"/>
              <w:rPr>
                <w:rFonts w:cs="Arial"/>
                <w:sz w:val="22"/>
                <w:szCs w:val="22"/>
              </w:rPr>
            </w:pPr>
            <w:r w:rsidRPr="00A66EC8">
              <w:rPr>
                <w:rFonts w:cs="Arial"/>
                <w:sz w:val="22"/>
                <w:szCs w:val="22"/>
              </w:rPr>
              <w:t xml:space="preserve">The Collection Fund is a statutory requirement to account separately for Council Tax and </w:t>
            </w:r>
            <w:r w:rsidR="004C65D5">
              <w:rPr>
                <w:rFonts w:cs="Arial"/>
                <w:sz w:val="22"/>
                <w:szCs w:val="22"/>
              </w:rPr>
              <w:t>Business</w:t>
            </w:r>
            <w:r w:rsidRPr="00A66EC8">
              <w:rPr>
                <w:rFonts w:cs="Arial"/>
                <w:sz w:val="22"/>
                <w:szCs w:val="22"/>
              </w:rPr>
              <w:t xml:space="preserve"> Rates</w:t>
            </w:r>
            <w:r w:rsidR="004C65D5">
              <w:rPr>
                <w:rFonts w:cs="Arial"/>
                <w:sz w:val="22"/>
                <w:szCs w:val="22"/>
              </w:rPr>
              <w:t>.</w:t>
            </w:r>
            <w:r w:rsidRPr="00A66EC8">
              <w:rPr>
                <w:rFonts w:cs="Arial"/>
                <w:sz w:val="22"/>
                <w:szCs w:val="22"/>
              </w:rPr>
              <w:t xml:space="preserve"> The Fund records all transactions such as the yield, exemptions, discounts, provisions for bad debts, payments to major preceptors to Central Government and takes into account collection rates.</w:t>
            </w:r>
          </w:p>
          <w:p w:rsidR="00E066AB" w:rsidRPr="00A66EC8" w:rsidRDefault="00E066AB" w:rsidP="004C65D5">
            <w:pPr>
              <w:tabs>
                <w:tab w:val="left" w:pos="1418"/>
                <w:tab w:val="left" w:pos="2520"/>
              </w:tabs>
              <w:jc w:val="both"/>
              <w:rPr>
                <w:rFonts w:cs="Arial"/>
                <w:b/>
                <w:sz w:val="22"/>
                <w:szCs w:val="22"/>
              </w:rPr>
            </w:pP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CF7499" w:rsidRDefault="00BC3FF3" w:rsidP="0024522C">
            <w:pPr>
              <w:tabs>
                <w:tab w:val="left" w:pos="2835"/>
              </w:tabs>
              <w:jc w:val="both"/>
              <w:rPr>
                <w:rFonts w:cs="Arial"/>
                <w:color w:val="4F81BD" w:themeColor="accent1"/>
                <w:sz w:val="22"/>
                <w:szCs w:val="22"/>
              </w:rPr>
            </w:pPr>
            <w:r w:rsidRPr="0024522C">
              <w:rPr>
                <w:rFonts w:cs="Arial"/>
                <w:sz w:val="22"/>
                <w:szCs w:val="22"/>
              </w:rPr>
              <w:t>6.</w:t>
            </w:r>
            <w:r w:rsidR="0024522C" w:rsidRPr="0024522C">
              <w:rPr>
                <w:rFonts w:cs="Arial"/>
                <w:sz w:val="22"/>
                <w:szCs w:val="22"/>
              </w:rPr>
              <w:t>10.2</w:t>
            </w:r>
          </w:p>
        </w:tc>
        <w:tc>
          <w:tcPr>
            <w:cnfStyle w:val="000100000000" w:firstRow="0" w:lastRow="0" w:firstColumn="0" w:lastColumn="1" w:oddVBand="0" w:evenVBand="0" w:oddHBand="0" w:evenHBand="0" w:firstRowFirstColumn="0" w:firstRowLastColumn="0" w:lastRowFirstColumn="0" w:lastRowLastColumn="0"/>
            <w:tcW w:w="9072" w:type="dxa"/>
          </w:tcPr>
          <w:p w:rsidR="005A6D43" w:rsidRDefault="000259ED" w:rsidP="005A6D43">
            <w:pPr>
              <w:tabs>
                <w:tab w:val="left" w:pos="1418"/>
                <w:tab w:val="left" w:pos="2520"/>
              </w:tabs>
              <w:jc w:val="both"/>
              <w:rPr>
                <w:rFonts w:cs="Arial"/>
                <w:sz w:val="22"/>
                <w:szCs w:val="22"/>
              </w:rPr>
            </w:pPr>
            <w:r w:rsidRPr="00826C70">
              <w:rPr>
                <w:rFonts w:cs="Arial"/>
                <w:sz w:val="22"/>
                <w:szCs w:val="22"/>
              </w:rPr>
              <w:t>The Council Tax setting process requires an estimate of the surplus or deficit at 31 March 201</w:t>
            </w:r>
            <w:r w:rsidR="00826C70" w:rsidRPr="00826C70">
              <w:rPr>
                <w:rFonts w:cs="Arial"/>
                <w:sz w:val="22"/>
                <w:szCs w:val="22"/>
              </w:rPr>
              <w:t>7</w:t>
            </w:r>
            <w:r w:rsidRPr="00826C70">
              <w:rPr>
                <w:rFonts w:cs="Arial"/>
                <w:sz w:val="22"/>
                <w:szCs w:val="22"/>
              </w:rPr>
              <w:t xml:space="preserve"> on Council Tax and Business Rates.</w:t>
            </w:r>
            <w:r w:rsidR="00346D39">
              <w:rPr>
                <w:rFonts w:cs="Arial"/>
                <w:sz w:val="22"/>
                <w:szCs w:val="22"/>
              </w:rPr>
              <w:t xml:space="preserve"> </w:t>
            </w:r>
            <w:r w:rsidRPr="00826C70">
              <w:rPr>
                <w:rFonts w:cs="Arial"/>
                <w:sz w:val="22"/>
                <w:szCs w:val="22"/>
              </w:rPr>
              <w:t xml:space="preserve"> The balances are distributed to the Council as the Billing Authority, the major preceptors and Central Government</w:t>
            </w:r>
            <w:r w:rsidRPr="00B154B9">
              <w:rPr>
                <w:rFonts w:cs="Arial"/>
                <w:sz w:val="22"/>
                <w:szCs w:val="22"/>
              </w:rPr>
              <w:t>.</w:t>
            </w:r>
            <w:r w:rsidR="00346D39">
              <w:rPr>
                <w:rFonts w:cs="Arial"/>
                <w:sz w:val="22"/>
                <w:szCs w:val="22"/>
              </w:rPr>
              <w:t xml:space="preserve"> </w:t>
            </w:r>
            <w:r w:rsidRPr="00B154B9">
              <w:rPr>
                <w:rFonts w:cs="Arial"/>
                <w:i/>
                <w:sz w:val="22"/>
                <w:szCs w:val="22"/>
              </w:rPr>
              <w:t xml:space="preserve"> </w:t>
            </w:r>
            <w:r w:rsidRPr="00B154B9">
              <w:rPr>
                <w:rFonts w:cs="Arial"/>
                <w:sz w:val="22"/>
                <w:szCs w:val="22"/>
              </w:rPr>
              <w:t>The balance on the Collection Fund for Council Tax at 1 April 201</w:t>
            </w:r>
            <w:r w:rsidR="00826C70" w:rsidRPr="00B154B9">
              <w:rPr>
                <w:rFonts w:cs="Arial"/>
                <w:sz w:val="22"/>
                <w:szCs w:val="22"/>
              </w:rPr>
              <w:t>6</w:t>
            </w:r>
            <w:r w:rsidR="009F6252" w:rsidRPr="00B154B9">
              <w:rPr>
                <w:rFonts w:cs="Arial"/>
                <w:sz w:val="22"/>
                <w:szCs w:val="22"/>
              </w:rPr>
              <w:t xml:space="preserve"> </w:t>
            </w:r>
            <w:r w:rsidRPr="00B154B9">
              <w:rPr>
                <w:rFonts w:cs="Arial"/>
                <w:sz w:val="22"/>
                <w:szCs w:val="22"/>
              </w:rPr>
              <w:t>was a £</w:t>
            </w:r>
            <w:r w:rsidR="005A6D43" w:rsidRPr="00B154B9">
              <w:rPr>
                <w:rFonts w:cs="Arial"/>
                <w:sz w:val="22"/>
                <w:szCs w:val="22"/>
              </w:rPr>
              <w:t>0.82</w:t>
            </w:r>
            <w:r w:rsidR="0056550D" w:rsidRPr="00B154B9">
              <w:rPr>
                <w:rFonts w:cs="Arial"/>
                <w:sz w:val="22"/>
                <w:szCs w:val="22"/>
              </w:rPr>
              <w:t>1</w:t>
            </w:r>
            <w:r w:rsidR="005A6D43" w:rsidRPr="00B154B9">
              <w:rPr>
                <w:rFonts w:cs="Arial"/>
                <w:sz w:val="22"/>
                <w:szCs w:val="22"/>
              </w:rPr>
              <w:t>million</w:t>
            </w:r>
            <w:r w:rsidRPr="00B154B9">
              <w:rPr>
                <w:rFonts w:cs="Arial"/>
                <w:sz w:val="22"/>
                <w:szCs w:val="22"/>
              </w:rPr>
              <w:t xml:space="preserve"> surplus, with £</w:t>
            </w:r>
            <w:r w:rsidR="005A6D43" w:rsidRPr="00B154B9">
              <w:rPr>
                <w:rFonts w:cs="Arial"/>
                <w:sz w:val="22"/>
                <w:szCs w:val="22"/>
              </w:rPr>
              <w:t>0.109 million</w:t>
            </w:r>
            <w:r w:rsidRPr="00B154B9">
              <w:rPr>
                <w:rFonts w:cs="Arial"/>
                <w:sz w:val="22"/>
                <w:szCs w:val="22"/>
              </w:rPr>
              <w:t xml:space="preserve"> as </w:t>
            </w:r>
            <w:r w:rsidR="00794816" w:rsidRPr="00B154B9">
              <w:rPr>
                <w:rFonts w:cs="Arial"/>
                <w:sz w:val="22"/>
                <w:szCs w:val="22"/>
              </w:rPr>
              <w:t>TRD</w:t>
            </w:r>
            <w:r w:rsidRPr="00B154B9">
              <w:rPr>
                <w:rFonts w:cs="Arial"/>
                <w:sz w:val="22"/>
                <w:szCs w:val="22"/>
              </w:rPr>
              <w:t xml:space="preserve">C’s share. </w:t>
            </w:r>
            <w:r w:rsidR="00346D39">
              <w:rPr>
                <w:rFonts w:cs="Arial"/>
                <w:sz w:val="22"/>
                <w:szCs w:val="22"/>
              </w:rPr>
              <w:t xml:space="preserve"> </w:t>
            </w:r>
            <w:r w:rsidRPr="00B154B9">
              <w:rPr>
                <w:rFonts w:cs="Arial"/>
                <w:sz w:val="22"/>
                <w:szCs w:val="22"/>
              </w:rPr>
              <w:t>The balance on the Collection Fund for Business Rates at 1 April 201</w:t>
            </w:r>
            <w:r w:rsidR="00826C70" w:rsidRPr="00B154B9">
              <w:rPr>
                <w:rFonts w:cs="Arial"/>
                <w:sz w:val="22"/>
                <w:szCs w:val="22"/>
              </w:rPr>
              <w:t>6</w:t>
            </w:r>
            <w:r w:rsidRPr="00B154B9">
              <w:rPr>
                <w:rFonts w:cs="Arial"/>
                <w:sz w:val="22"/>
                <w:szCs w:val="22"/>
              </w:rPr>
              <w:t xml:space="preserve"> was a £</w:t>
            </w:r>
            <w:r w:rsidR="005A6D43" w:rsidRPr="00B154B9">
              <w:rPr>
                <w:rFonts w:cs="Arial"/>
                <w:sz w:val="22"/>
                <w:szCs w:val="22"/>
              </w:rPr>
              <w:t>3.674 million</w:t>
            </w:r>
            <w:r w:rsidRPr="00B154B9">
              <w:rPr>
                <w:rFonts w:cs="Arial"/>
                <w:sz w:val="22"/>
                <w:szCs w:val="22"/>
              </w:rPr>
              <w:t xml:space="preserve"> </w:t>
            </w:r>
            <w:r w:rsidR="0056550D" w:rsidRPr="00B154B9">
              <w:rPr>
                <w:rFonts w:cs="Arial"/>
                <w:sz w:val="22"/>
                <w:szCs w:val="22"/>
              </w:rPr>
              <w:t>loss</w:t>
            </w:r>
            <w:r w:rsidRPr="00B154B9">
              <w:rPr>
                <w:rFonts w:cs="Arial"/>
                <w:sz w:val="22"/>
                <w:szCs w:val="22"/>
              </w:rPr>
              <w:t>, with £</w:t>
            </w:r>
            <w:r w:rsidR="005A6D43" w:rsidRPr="00B154B9">
              <w:rPr>
                <w:rFonts w:cs="Arial"/>
                <w:sz w:val="22"/>
                <w:szCs w:val="22"/>
              </w:rPr>
              <w:t>1.470 million</w:t>
            </w:r>
            <w:r w:rsidRPr="00B154B9">
              <w:rPr>
                <w:rFonts w:cs="Arial"/>
                <w:sz w:val="22"/>
                <w:szCs w:val="22"/>
              </w:rPr>
              <w:t xml:space="preserve"> as </w:t>
            </w:r>
            <w:r w:rsidR="00794816" w:rsidRPr="00B154B9">
              <w:rPr>
                <w:rFonts w:cs="Arial"/>
                <w:sz w:val="22"/>
                <w:szCs w:val="22"/>
              </w:rPr>
              <w:t>TRD</w:t>
            </w:r>
            <w:r w:rsidRPr="00B154B9">
              <w:rPr>
                <w:rFonts w:cs="Arial"/>
                <w:sz w:val="22"/>
                <w:szCs w:val="22"/>
              </w:rPr>
              <w:t>C’s share.</w:t>
            </w:r>
            <w:r w:rsidRPr="00B154B9">
              <w:rPr>
                <w:rFonts w:cs="Arial"/>
                <w:color w:val="4F81BD" w:themeColor="accent1"/>
                <w:sz w:val="22"/>
                <w:szCs w:val="22"/>
              </w:rPr>
              <w:t xml:space="preserve">  </w:t>
            </w:r>
            <w:r w:rsidR="0056550D" w:rsidRPr="00B154B9">
              <w:rPr>
                <w:rFonts w:cs="Arial"/>
                <w:sz w:val="22"/>
                <w:szCs w:val="22"/>
              </w:rPr>
              <w:t>The Business Rates deficit will be recovered in subsequent years in</w:t>
            </w:r>
            <w:r w:rsidR="0056550D" w:rsidRPr="00826C70">
              <w:rPr>
                <w:rFonts w:cs="Arial"/>
                <w:sz w:val="22"/>
                <w:szCs w:val="22"/>
              </w:rPr>
              <w:t xml:space="preserve"> the proportion to the value of the respective </w:t>
            </w:r>
            <w:r w:rsidR="0056550D" w:rsidRPr="00826C70">
              <w:rPr>
                <w:rFonts w:cs="Arial"/>
                <w:sz w:val="22"/>
                <w:szCs w:val="22"/>
              </w:rPr>
              <w:lastRenderedPageBreak/>
              <w:t>shares of the Business Rates Retention scheme.</w:t>
            </w:r>
          </w:p>
          <w:p w:rsidR="005A6D43" w:rsidRPr="00CF7499" w:rsidRDefault="005A6D43" w:rsidP="001D291A">
            <w:pPr>
              <w:tabs>
                <w:tab w:val="left" w:pos="1418"/>
                <w:tab w:val="left" w:pos="2520"/>
              </w:tabs>
              <w:jc w:val="both"/>
              <w:rPr>
                <w:rFonts w:cs="Arial"/>
                <w:color w:val="4F81BD" w:themeColor="accent1"/>
                <w:sz w:val="22"/>
                <w:szCs w:val="22"/>
              </w:rPr>
            </w:pPr>
          </w:p>
        </w:tc>
      </w:tr>
      <w:tr w:rsidR="00DB00E6" w:rsidRPr="00CF7499" w:rsidTr="00BE2FB5">
        <w:trPr>
          <w:gridBefore w:val="1"/>
          <w:wBefore w:w="34" w:type="dxa"/>
          <w:trHeight w:val="833"/>
        </w:trPr>
        <w:tc>
          <w:tcPr>
            <w:cnfStyle w:val="001000000000" w:firstRow="0" w:lastRow="0" w:firstColumn="1" w:lastColumn="0" w:oddVBand="0" w:evenVBand="0" w:oddHBand="0" w:evenHBand="0" w:firstRowFirstColumn="0" w:firstRowLastColumn="0" w:lastRowFirstColumn="0" w:lastRowLastColumn="0"/>
            <w:tcW w:w="959" w:type="dxa"/>
          </w:tcPr>
          <w:p w:rsidR="00DB00E6" w:rsidRPr="0024522C" w:rsidRDefault="00DB0916" w:rsidP="00DB0916">
            <w:pPr>
              <w:tabs>
                <w:tab w:val="left" w:pos="2835"/>
              </w:tabs>
              <w:jc w:val="both"/>
              <w:rPr>
                <w:rFonts w:cs="Arial"/>
                <w:sz w:val="22"/>
                <w:szCs w:val="22"/>
              </w:rPr>
            </w:pPr>
            <w:r>
              <w:rPr>
                <w:rFonts w:cs="Arial"/>
                <w:sz w:val="22"/>
                <w:szCs w:val="22"/>
              </w:rPr>
              <w:lastRenderedPageBreak/>
              <w:t>6.11</w:t>
            </w:r>
          </w:p>
        </w:tc>
        <w:tc>
          <w:tcPr>
            <w:cnfStyle w:val="000100000000" w:firstRow="0" w:lastRow="0" w:firstColumn="0" w:lastColumn="1" w:oddVBand="0" w:evenVBand="0" w:oddHBand="0" w:evenHBand="0" w:firstRowFirstColumn="0" w:firstRowLastColumn="0" w:lastRowFirstColumn="0" w:lastRowLastColumn="0"/>
            <w:tcW w:w="9072" w:type="dxa"/>
          </w:tcPr>
          <w:p w:rsidR="00DB00E6" w:rsidRPr="00826C70" w:rsidRDefault="00DB00E6" w:rsidP="00DB0916">
            <w:pPr>
              <w:tabs>
                <w:tab w:val="left" w:pos="1418"/>
                <w:tab w:val="left" w:pos="2520"/>
              </w:tabs>
              <w:jc w:val="both"/>
              <w:rPr>
                <w:rFonts w:cs="Arial"/>
                <w:sz w:val="22"/>
                <w:szCs w:val="22"/>
              </w:rPr>
            </w:pPr>
            <w:r w:rsidRPr="005A6D43">
              <w:rPr>
                <w:rFonts w:cs="Arial"/>
                <w:sz w:val="22"/>
                <w:szCs w:val="22"/>
                <w:lang w:eastAsia="en-GB"/>
              </w:rPr>
              <w:t xml:space="preserve">The </w:t>
            </w:r>
            <w:r w:rsidR="00911A04">
              <w:rPr>
                <w:rFonts w:cs="Arial"/>
                <w:sz w:val="22"/>
                <w:szCs w:val="22"/>
                <w:lang w:eastAsia="en-GB"/>
              </w:rPr>
              <w:t>chart</w:t>
            </w:r>
            <w:r w:rsidR="00DB0916">
              <w:rPr>
                <w:rFonts w:cs="Arial"/>
                <w:sz w:val="22"/>
                <w:szCs w:val="22"/>
                <w:lang w:eastAsia="en-GB"/>
              </w:rPr>
              <w:t>s</w:t>
            </w:r>
            <w:r w:rsidR="00911A04">
              <w:rPr>
                <w:rFonts w:cs="Arial"/>
                <w:sz w:val="22"/>
                <w:szCs w:val="22"/>
                <w:lang w:eastAsia="en-GB"/>
              </w:rPr>
              <w:t xml:space="preserve"> below show the value</w:t>
            </w:r>
            <w:r w:rsidR="004A46B9">
              <w:rPr>
                <w:rFonts w:cs="Arial"/>
                <w:sz w:val="22"/>
                <w:szCs w:val="22"/>
                <w:lang w:eastAsia="en-GB"/>
              </w:rPr>
              <w:t xml:space="preserve"> and</w:t>
            </w:r>
            <w:r w:rsidR="00911A04">
              <w:rPr>
                <w:rFonts w:cs="Arial"/>
                <w:sz w:val="22"/>
                <w:szCs w:val="22"/>
                <w:lang w:eastAsia="en-GB"/>
              </w:rPr>
              <w:t xml:space="preserve"> </w:t>
            </w:r>
            <w:r w:rsidR="004A46B9">
              <w:rPr>
                <w:rFonts w:cs="Arial"/>
                <w:sz w:val="22"/>
                <w:szCs w:val="22"/>
                <w:lang w:eastAsia="en-GB"/>
              </w:rPr>
              <w:t>proportion of each</w:t>
            </w:r>
            <w:r w:rsidR="00911A04">
              <w:rPr>
                <w:rFonts w:cs="Arial"/>
                <w:sz w:val="22"/>
                <w:szCs w:val="22"/>
                <w:lang w:eastAsia="en-GB"/>
              </w:rPr>
              <w:t xml:space="preserve"> funding </w:t>
            </w:r>
            <w:r w:rsidR="004A46B9">
              <w:rPr>
                <w:rFonts w:cs="Arial"/>
                <w:sz w:val="22"/>
                <w:szCs w:val="22"/>
                <w:lang w:eastAsia="en-GB"/>
              </w:rPr>
              <w:t>stream</w:t>
            </w:r>
            <w:r w:rsidR="00911A04">
              <w:rPr>
                <w:rFonts w:cs="Arial"/>
                <w:sz w:val="22"/>
                <w:szCs w:val="22"/>
                <w:lang w:eastAsia="en-GB"/>
              </w:rPr>
              <w:t xml:space="preserve"> that supports the</w:t>
            </w:r>
            <w:r w:rsidR="004A46B9">
              <w:rPr>
                <w:rFonts w:cs="Arial"/>
                <w:sz w:val="22"/>
                <w:szCs w:val="22"/>
                <w:lang w:eastAsia="en-GB"/>
              </w:rPr>
              <w:t xml:space="preserve"> Council’s revenue</w:t>
            </w:r>
            <w:r w:rsidR="00911A04">
              <w:rPr>
                <w:rFonts w:cs="Arial"/>
                <w:sz w:val="22"/>
                <w:szCs w:val="22"/>
                <w:lang w:eastAsia="en-GB"/>
              </w:rPr>
              <w:t xml:space="preserve"> account</w:t>
            </w:r>
            <w:r w:rsidR="004A46B9">
              <w:rPr>
                <w:rFonts w:cs="Arial"/>
                <w:sz w:val="22"/>
                <w:szCs w:val="22"/>
                <w:lang w:eastAsia="en-GB"/>
              </w:rPr>
              <w:t xml:space="preserve"> </w:t>
            </w:r>
            <w:r>
              <w:rPr>
                <w:rFonts w:cs="Arial"/>
                <w:sz w:val="22"/>
                <w:szCs w:val="22"/>
                <w:lang w:eastAsia="en-GB"/>
              </w:rPr>
              <w:t>over the medium term.</w:t>
            </w:r>
          </w:p>
        </w:tc>
      </w:tr>
      <w:tr w:rsidR="00CF7499" w:rsidRPr="00CF7499" w:rsidTr="00BE2FB5">
        <w:trPr>
          <w:gridBefore w:val="1"/>
          <w:wBefore w:w="34" w:type="dxa"/>
          <w:trHeight w:val="3694"/>
        </w:trPr>
        <w:tc>
          <w:tcPr>
            <w:cnfStyle w:val="001000000000" w:firstRow="0" w:lastRow="0" w:firstColumn="1" w:lastColumn="0" w:oddVBand="0" w:evenVBand="0" w:oddHBand="0" w:evenHBand="0" w:firstRowFirstColumn="0" w:firstRowLastColumn="0" w:lastRowFirstColumn="0" w:lastRowLastColumn="0"/>
            <w:tcW w:w="959" w:type="dxa"/>
          </w:tcPr>
          <w:p w:rsidR="008B6F8C" w:rsidRPr="00DB0916" w:rsidRDefault="008B6F8C" w:rsidP="001E0F67">
            <w:pPr>
              <w:tabs>
                <w:tab w:val="left" w:pos="2835"/>
              </w:tabs>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8B6F8C" w:rsidRPr="00CF7499" w:rsidRDefault="00262935" w:rsidP="00B13E10">
            <w:pPr>
              <w:tabs>
                <w:tab w:val="left" w:pos="1418"/>
                <w:tab w:val="left" w:pos="2520"/>
              </w:tabs>
              <w:jc w:val="both"/>
              <w:rPr>
                <w:rFonts w:cs="Arial"/>
                <w:color w:val="4F81BD" w:themeColor="accent1"/>
                <w:sz w:val="22"/>
                <w:szCs w:val="22"/>
              </w:rPr>
            </w:pPr>
            <w:r>
              <w:rPr>
                <w:noProof/>
                <w:color w:val="4F81BD" w:themeColor="accent1"/>
                <w:sz w:val="22"/>
                <w:szCs w:val="22"/>
                <w:lang w:eastAsia="en-GB"/>
              </w:rPr>
              <w:drawing>
                <wp:inline distT="0" distB="0" distL="0" distR="0" wp14:anchorId="52608A3C" wp14:editId="5CA3F18B">
                  <wp:extent cx="5486400" cy="2484341"/>
                  <wp:effectExtent l="0" t="0" r="19050"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262935" w:rsidRPr="00CF7499" w:rsidTr="00F6547E">
        <w:trPr>
          <w:gridBefore w:val="1"/>
          <w:wBefore w:w="34" w:type="dxa"/>
          <w:trHeight w:val="126"/>
        </w:trPr>
        <w:tc>
          <w:tcPr>
            <w:cnfStyle w:val="001000000000" w:firstRow="0" w:lastRow="0" w:firstColumn="1" w:lastColumn="0" w:oddVBand="0" w:evenVBand="0" w:oddHBand="0" w:evenHBand="0" w:firstRowFirstColumn="0" w:firstRowLastColumn="0" w:lastRowFirstColumn="0" w:lastRowLastColumn="0"/>
            <w:tcW w:w="959" w:type="dxa"/>
          </w:tcPr>
          <w:p w:rsidR="00262935" w:rsidRPr="00CF7499" w:rsidRDefault="00262935" w:rsidP="001E0F67">
            <w:pPr>
              <w:tabs>
                <w:tab w:val="left" w:pos="2835"/>
              </w:tabs>
              <w:jc w:val="both"/>
              <w:rPr>
                <w:rFonts w:cs="Arial"/>
                <w:color w:val="4F81BD" w:themeColor="accent1"/>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262935" w:rsidRPr="00CF7499" w:rsidRDefault="00262935" w:rsidP="00B13E10">
            <w:pPr>
              <w:tabs>
                <w:tab w:val="left" w:pos="1418"/>
                <w:tab w:val="left" w:pos="2520"/>
              </w:tabs>
              <w:jc w:val="both"/>
              <w:rPr>
                <w:rFonts w:cs="Arial"/>
                <w:color w:val="4F81BD" w:themeColor="accent1"/>
                <w:sz w:val="22"/>
                <w:szCs w:val="22"/>
              </w:rPr>
            </w:pPr>
          </w:p>
        </w:tc>
      </w:tr>
      <w:tr w:rsidR="00CF7499" w:rsidRPr="00CF7499" w:rsidTr="001E5BA7">
        <w:trPr>
          <w:gridBefore w:val="1"/>
          <w:wBefore w:w="34" w:type="dxa"/>
          <w:trHeight w:val="70"/>
        </w:trPr>
        <w:tc>
          <w:tcPr>
            <w:cnfStyle w:val="001000000000" w:firstRow="0" w:lastRow="0" w:firstColumn="1" w:lastColumn="0" w:oddVBand="0" w:evenVBand="0" w:oddHBand="0" w:evenHBand="0" w:firstRowFirstColumn="0" w:firstRowLastColumn="0" w:lastRowFirstColumn="0" w:lastRowLastColumn="0"/>
            <w:tcW w:w="959" w:type="dxa"/>
          </w:tcPr>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Pr="00CF7499" w:rsidRDefault="00DB0916" w:rsidP="00FE49E9">
            <w:pPr>
              <w:tabs>
                <w:tab w:val="left" w:pos="2835"/>
              </w:tabs>
              <w:jc w:val="both"/>
              <w:rPr>
                <w:rFonts w:cs="Arial"/>
                <w:color w:val="4F81BD" w:themeColor="accent1"/>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E2077E" w:rsidRDefault="00E066AB" w:rsidP="008B6F8C">
            <w:pPr>
              <w:rPr>
                <w:color w:val="4F81BD" w:themeColor="accent1"/>
                <w:sz w:val="22"/>
                <w:szCs w:val="22"/>
                <w:lang w:val="en"/>
              </w:rPr>
            </w:pPr>
            <w:r>
              <w:rPr>
                <w:noProof/>
                <w:color w:val="4F81BD" w:themeColor="accent1"/>
                <w:sz w:val="22"/>
                <w:szCs w:val="22"/>
                <w:lang w:eastAsia="en-GB"/>
              </w:rPr>
              <w:drawing>
                <wp:inline distT="0" distB="0" distL="0" distR="0" wp14:anchorId="76DF974D" wp14:editId="7ABC69E4">
                  <wp:extent cx="5486400" cy="2460487"/>
                  <wp:effectExtent l="0" t="0" r="19050" b="165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077E" w:rsidRDefault="006D6BF0" w:rsidP="008B6F8C">
            <w:pPr>
              <w:rPr>
                <w:color w:val="4F81BD" w:themeColor="accent1"/>
                <w:sz w:val="22"/>
                <w:szCs w:val="22"/>
                <w:lang w:val="en"/>
              </w:rPr>
            </w:pPr>
            <w:r>
              <w:rPr>
                <w:noProof/>
                <w:color w:val="4F81BD" w:themeColor="accent1"/>
                <w:sz w:val="22"/>
                <w:szCs w:val="22"/>
                <w:lang w:eastAsia="en-GB"/>
              </w:rPr>
              <w:drawing>
                <wp:inline distT="0" distB="0" distL="0" distR="0" wp14:anchorId="29375906" wp14:editId="4B5F0522">
                  <wp:extent cx="5486400" cy="2415761"/>
                  <wp:effectExtent l="0" t="0" r="19050" b="228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077E" w:rsidRDefault="00E2077E" w:rsidP="008B6F8C">
            <w:pPr>
              <w:rPr>
                <w:color w:val="4F81BD" w:themeColor="accent1"/>
                <w:sz w:val="22"/>
                <w:szCs w:val="22"/>
                <w:lang w:val="en"/>
              </w:rPr>
            </w:pPr>
          </w:p>
          <w:p w:rsidR="00E2077E" w:rsidRPr="00CF7499" w:rsidRDefault="00E2077E" w:rsidP="008B6F8C">
            <w:pPr>
              <w:rPr>
                <w:color w:val="4F81BD" w:themeColor="accent1"/>
                <w:sz w:val="22"/>
                <w:szCs w:val="22"/>
                <w:lang w:val="en"/>
              </w:rPr>
            </w:pPr>
          </w:p>
        </w:tc>
      </w:tr>
      <w:tr w:rsidR="00CF7499" w:rsidRPr="00CF7499" w:rsidTr="001E5BA7">
        <w:trPr>
          <w:gridBefore w:val="1"/>
          <w:wBefore w:w="34" w:type="dxa"/>
          <w:trHeight w:val="70"/>
        </w:trPr>
        <w:tc>
          <w:tcPr>
            <w:cnfStyle w:val="001000000000" w:firstRow="0" w:lastRow="0" w:firstColumn="1" w:lastColumn="0" w:oddVBand="0" w:evenVBand="0" w:oddHBand="0" w:evenHBand="0" w:firstRowFirstColumn="0" w:firstRowLastColumn="0" w:lastRowFirstColumn="0" w:lastRowLastColumn="0"/>
            <w:tcW w:w="959" w:type="dxa"/>
          </w:tcPr>
          <w:p w:rsidR="008B6F8C" w:rsidRDefault="00613A3E" w:rsidP="001E0F67">
            <w:pPr>
              <w:tabs>
                <w:tab w:val="left" w:pos="2835"/>
              </w:tabs>
              <w:jc w:val="both"/>
              <w:rPr>
                <w:rFonts w:cs="Arial"/>
                <w:sz w:val="22"/>
                <w:szCs w:val="22"/>
              </w:rPr>
            </w:pPr>
            <w:r>
              <w:rPr>
                <w:rFonts w:cs="Arial"/>
                <w:sz w:val="22"/>
                <w:szCs w:val="22"/>
              </w:rPr>
              <w:t>7.</w:t>
            </w:r>
          </w:p>
          <w:p w:rsidR="00613A3E" w:rsidRPr="00A66EC8" w:rsidRDefault="00613A3E" w:rsidP="001E0F67">
            <w:pPr>
              <w:tabs>
                <w:tab w:val="left" w:pos="2835"/>
              </w:tabs>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8B6F8C" w:rsidRPr="00613A3E" w:rsidRDefault="00613A3E" w:rsidP="00B373E3">
            <w:pPr>
              <w:rPr>
                <w:rFonts w:cs="Arial"/>
                <w:b/>
                <w:sz w:val="22"/>
                <w:szCs w:val="22"/>
              </w:rPr>
            </w:pPr>
            <w:r w:rsidRPr="00613A3E">
              <w:rPr>
                <w:rFonts w:cs="Arial"/>
                <w:b/>
                <w:sz w:val="22"/>
                <w:szCs w:val="22"/>
              </w:rPr>
              <w:t>Budget Consultation</w:t>
            </w:r>
          </w:p>
        </w:tc>
      </w:tr>
      <w:tr w:rsidR="00CF7499" w:rsidRPr="00B373E3" w:rsidTr="001E5BA7">
        <w:trPr>
          <w:gridBefore w:val="1"/>
          <w:wBefore w:w="34" w:type="dxa"/>
          <w:trHeight w:val="70"/>
        </w:trPr>
        <w:tc>
          <w:tcPr>
            <w:cnfStyle w:val="001000000000" w:firstRow="0" w:lastRow="0" w:firstColumn="1" w:lastColumn="0" w:oddVBand="0" w:evenVBand="0" w:oddHBand="0" w:evenHBand="0" w:firstRowFirstColumn="0" w:firstRowLastColumn="0" w:lastRowFirstColumn="0" w:lastRowLastColumn="0"/>
            <w:tcW w:w="959" w:type="dxa"/>
          </w:tcPr>
          <w:p w:rsidR="008B6F8C" w:rsidRPr="00E066AB" w:rsidRDefault="00613A3E" w:rsidP="001E0F67">
            <w:pPr>
              <w:tabs>
                <w:tab w:val="left" w:pos="2835"/>
              </w:tabs>
              <w:jc w:val="both"/>
              <w:rPr>
                <w:rFonts w:cs="Arial"/>
                <w:sz w:val="22"/>
                <w:szCs w:val="22"/>
              </w:rPr>
            </w:pPr>
            <w:r w:rsidRPr="00E066AB">
              <w:rPr>
                <w:rFonts w:cs="Arial"/>
                <w:sz w:val="22"/>
                <w:szCs w:val="22"/>
              </w:rPr>
              <w:t>7.1</w:t>
            </w:r>
          </w:p>
        </w:tc>
        <w:tc>
          <w:tcPr>
            <w:cnfStyle w:val="000100000000" w:firstRow="0" w:lastRow="0" w:firstColumn="0" w:lastColumn="1" w:oddVBand="0" w:evenVBand="0" w:oddHBand="0" w:evenHBand="0" w:firstRowFirstColumn="0" w:firstRowLastColumn="0" w:lastRowFirstColumn="0" w:lastRowLastColumn="0"/>
            <w:tcW w:w="9072" w:type="dxa"/>
          </w:tcPr>
          <w:p w:rsidR="00613A3E" w:rsidRPr="00FA1821" w:rsidRDefault="00613A3E" w:rsidP="001E5BA7">
            <w:pPr>
              <w:jc w:val="both"/>
              <w:rPr>
                <w:rFonts w:cs="Arial"/>
                <w:sz w:val="22"/>
                <w:szCs w:val="22"/>
              </w:rPr>
            </w:pPr>
            <w:r w:rsidRPr="00E65D17">
              <w:rPr>
                <w:rFonts w:cs="Arial"/>
                <w:sz w:val="22"/>
                <w:szCs w:val="22"/>
              </w:rPr>
              <w:t xml:space="preserve">The Council has consulted with residents </w:t>
            </w:r>
            <w:r w:rsidR="00E65D17">
              <w:rPr>
                <w:rFonts w:cs="Arial"/>
                <w:sz w:val="22"/>
                <w:szCs w:val="22"/>
              </w:rPr>
              <w:t xml:space="preserve">via </w:t>
            </w:r>
            <w:r w:rsidR="00E65D17" w:rsidRPr="00E65D17">
              <w:rPr>
                <w:rFonts w:eastAsiaTheme="minorHAnsi" w:cs="Arial"/>
                <w:sz w:val="22"/>
                <w:szCs w:val="22"/>
              </w:rPr>
              <w:t>press releases, social media</w:t>
            </w:r>
            <w:r w:rsidR="00E65D17">
              <w:rPr>
                <w:rFonts w:eastAsiaTheme="minorHAnsi" w:cs="Arial"/>
                <w:sz w:val="22"/>
                <w:szCs w:val="22"/>
              </w:rPr>
              <w:t>,</w:t>
            </w:r>
            <w:r w:rsidR="00E65D17" w:rsidRPr="00E65D17">
              <w:rPr>
                <w:rFonts w:eastAsiaTheme="minorHAnsi" w:cs="Arial"/>
                <w:sz w:val="22"/>
                <w:szCs w:val="22"/>
              </w:rPr>
              <w:t xml:space="preserve"> e-mail </w:t>
            </w:r>
            <w:r w:rsidR="00E65D17">
              <w:rPr>
                <w:rFonts w:eastAsiaTheme="minorHAnsi" w:cs="Arial"/>
                <w:sz w:val="22"/>
                <w:szCs w:val="22"/>
              </w:rPr>
              <w:t>and</w:t>
            </w:r>
            <w:r w:rsidR="00E65D17" w:rsidRPr="00E65D17">
              <w:rPr>
                <w:rFonts w:eastAsiaTheme="minorHAnsi" w:cs="Arial"/>
                <w:sz w:val="22"/>
                <w:szCs w:val="22"/>
              </w:rPr>
              <w:t xml:space="preserve"> paper copies </w:t>
            </w:r>
            <w:r w:rsidR="00E65D17">
              <w:rPr>
                <w:rFonts w:eastAsiaTheme="minorHAnsi" w:cs="Arial"/>
                <w:sz w:val="22"/>
                <w:szCs w:val="22"/>
              </w:rPr>
              <w:t>were</w:t>
            </w:r>
            <w:r w:rsidR="00E65D17" w:rsidRPr="00E65D17">
              <w:rPr>
                <w:rFonts w:eastAsiaTheme="minorHAnsi" w:cs="Arial"/>
                <w:sz w:val="22"/>
                <w:szCs w:val="22"/>
              </w:rPr>
              <w:t xml:space="preserve"> made available to those without access to the internet</w:t>
            </w:r>
            <w:r w:rsidR="00E65D17">
              <w:rPr>
                <w:rFonts w:eastAsiaTheme="minorHAnsi" w:cs="Arial"/>
                <w:sz w:val="22"/>
                <w:szCs w:val="22"/>
              </w:rPr>
              <w:t>.</w:t>
            </w:r>
            <w:r w:rsidR="001E5BA7">
              <w:rPr>
                <w:rFonts w:eastAsiaTheme="minorHAnsi" w:cs="Arial"/>
                <w:sz w:val="22"/>
                <w:szCs w:val="22"/>
              </w:rPr>
              <w:t xml:space="preserve"> </w:t>
            </w:r>
            <w:r w:rsidR="00E65D17">
              <w:rPr>
                <w:rFonts w:eastAsiaTheme="minorHAnsi" w:cs="Arial"/>
                <w:sz w:val="22"/>
                <w:szCs w:val="22"/>
              </w:rPr>
              <w:t xml:space="preserve"> In addition</w:t>
            </w:r>
            <w:r w:rsidR="00E65D17" w:rsidRPr="00E65D17">
              <w:rPr>
                <w:rFonts w:eastAsiaTheme="minorHAnsi" w:cs="Arial"/>
                <w:sz w:val="22"/>
                <w:szCs w:val="22"/>
              </w:rPr>
              <w:t xml:space="preserve"> the </w:t>
            </w:r>
            <w:r w:rsidR="00E65D17" w:rsidRPr="00E65D17">
              <w:rPr>
                <w:rFonts w:eastAsiaTheme="minorHAnsi" w:cs="Arial"/>
                <w:sz w:val="22"/>
                <w:szCs w:val="22"/>
              </w:rPr>
              <w:lastRenderedPageBreak/>
              <w:t>elderly and other vulnerable residents have been visited by Council staff with laptops to help them complete the consultation</w:t>
            </w:r>
            <w:r w:rsidRPr="00E65D17">
              <w:rPr>
                <w:rFonts w:cs="Arial"/>
                <w:sz w:val="22"/>
                <w:szCs w:val="22"/>
              </w:rPr>
              <w:t xml:space="preserve">.  </w:t>
            </w:r>
            <w:r w:rsidRPr="00FA1821">
              <w:rPr>
                <w:rFonts w:cs="Arial"/>
                <w:sz w:val="22"/>
                <w:szCs w:val="22"/>
              </w:rPr>
              <w:t xml:space="preserve">The consultation completed on 9 January 2017 and the results </w:t>
            </w:r>
            <w:r w:rsidR="001E5BA7" w:rsidRPr="00FA1821">
              <w:rPr>
                <w:sz w:val="22"/>
                <w:szCs w:val="22"/>
              </w:rPr>
              <w:t>will be published on the Council website at the beginning of February</w:t>
            </w:r>
            <w:r w:rsidR="001E5BA7" w:rsidRPr="00FA1821">
              <w:rPr>
                <w:color w:val="1F497D"/>
                <w:sz w:val="22"/>
                <w:szCs w:val="22"/>
              </w:rPr>
              <w:t xml:space="preserve">. </w:t>
            </w:r>
          </w:p>
          <w:p w:rsidR="00A9010D" w:rsidRPr="00E65D17" w:rsidRDefault="00A9010D" w:rsidP="001E5BA7">
            <w:pPr>
              <w:tabs>
                <w:tab w:val="left" w:pos="1260"/>
                <w:tab w:val="left" w:pos="2160"/>
                <w:tab w:val="left" w:pos="2700"/>
                <w:tab w:val="left" w:pos="3420"/>
              </w:tabs>
              <w:jc w:val="both"/>
              <w:rPr>
                <w:rFonts w:cs="Arial"/>
                <w:sz w:val="22"/>
                <w:szCs w:val="22"/>
              </w:rPr>
            </w:pPr>
          </w:p>
        </w:tc>
      </w:tr>
      <w:tr w:rsidR="00613A3E" w:rsidRPr="00B373E3" w:rsidTr="001E5BA7">
        <w:trPr>
          <w:gridBefore w:val="1"/>
          <w:wBefore w:w="34" w:type="dxa"/>
          <w:trHeight w:val="70"/>
        </w:trPr>
        <w:tc>
          <w:tcPr>
            <w:cnfStyle w:val="001000000000" w:firstRow="0" w:lastRow="0" w:firstColumn="1" w:lastColumn="0" w:oddVBand="0" w:evenVBand="0" w:oddHBand="0" w:evenHBand="0" w:firstRowFirstColumn="0" w:firstRowLastColumn="0" w:lastRowFirstColumn="0" w:lastRowLastColumn="0"/>
            <w:tcW w:w="959" w:type="dxa"/>
          </w:tcPr>
          <w:p w:rsidR="00613A3E" w:rsidRPr="00E066AB" w:rsidRDefault="00613A3E" w:rsidP="001E0F67">
            <w:pPr>
              <w:tabs>
                <w:tab w:val="left" w:pos="2835"/>
              </w:tabs>
              <w:jc w:val="both"/>
              <w:rPr>
                <w:rFonts w:cs="Arial"/>
                <w:sz w:val="22"/>
                <w:szCs w:val="22"/>
              </w:rPr>
            </w:pPr>
            <w:r w:rsidRPr="00E066AB">
              <w:rPr>
                <w:rFonts w:cs="Arial"/>
                <w:sz w:val="22"/>
                <w:szCs w:val="22"/>
              </w:rPr>
              <w:lastRenderedPageBreak/>
              <w:t>7.2</w:t>
            </w:r>
          </w:p>
        </w:tc>
        <w:tc>
          <w:tcPr>
            <w:cnfStyle w:val="000100000000" w:firstRow="0" w:lastRow="0" w:firstColumn="0" w:lastColumn="1" w:oddVBand="0" w:evenVBand="0" w:oddHBand="0" w:evenHBand="0" w:firstRowFirstColumn="0" w:firstRowLastColumn="0" w:lastRowFirstColumn="0" w:lastRowLastColumn="0"/>
            <w:tcW w:w="9072" w:type="dxa"/>
          </w:tcPr>
          <w:p w:rsidR="00E65D17" w:rsidRDefault="00E43629" w:rsidP="001E5BA7">
            <w:pPr>
              <w:jc w:val="both"/>
              <w:rPr>
                <w:rFonts w:cs="Arial"/>
                <w:sz w:val="22"/>
                <w:szCs w:val="22"/>
              </w:rPr>
            </w:pPr>
            <w:r w:rsidRPr="00E65D17">
              <w:rPr>
                <w:rFonts w:cs="Arial"/>
                <w:sz w:val="22"/>
                <w:szCs w:val="22"/>
              </w:rPr>
              <w:t xml:space="preserve">The Council commissioned a market research provider to consult on some of the budget options the Council has to </w:t>
            </w:r>
            <w:r w:rsidR="00E65D17">
              <w:rPr>
                <w:rFonts w:cs="Arial"/>
                <w:sz w:val="22"/>
                <w:szCs w:val="22"/>
              </w:rPr>
              <w:t>support</w:t>
            </w:r>
            <w:r w:rsidRPr="00E65D17">
              <w:rPr>
                <w:rFonts w:cs="Arial"/>
                <w:sz w:val="22"/>
                <w:szCs w:val="22"/>
              </w:rPr>
              <w:t xml:space="preserve"> a balanced budget over the next 3 years.</w:t>
            </w:r>
            <w:r w:rsidR="00346D39">
              <w:rPr>
                <w:rFonts w:cs="Arial"/>
                <w:sz w:val="22"/>
                <w:szCs w:val="22"/>
              </w:rPr>
              <w:t xml:space="preserve"> </w:t>
            </w:r>
            <w:r w:rsidRPr="00E65D17">
              <w:rPr>
                <w:rFonts w:cs="Arial"/>
                <w:sz w:val="22"/>
                <w:szCs w:val="22"/>
              </w:rPr>
              <w:t xml:space="preserve"> It has made use of an interactive web-based survey designed by Opinion Research Services that requires respondents to choose how to create a saving of £450,000 from a range of options that allows them to increase charges, reduce/increase services, or invest in new ways to run services.</w:t>
            </w:r>
            <w:r w:rsidR="00346D39">
              <w:rPr>
                <w:rFonts w:cs="Arial"/>
                <w:sz w:val="22"/>
                <w:szCs w:val="22"/>
              </w:rPr>
              <w:t xml:space="preserve"> </w:t>
            </w:r>
            <w:r w:rsidRPr="00E65D17">
              <w:rPr>
                <w:rFonts w:cs="Arial"/>
                <w:sz w:val="22"/>
                <w:szCs w:val="22"/>
              </w:rPr>
              <w:t xml:space="preserve"> The survey also collects demographic data in order that results can be analysed to see if there are different views specific to different demographic groupings in the community. </w:t>
            </w:r>
          </w:p>
          <w:p w:rsidR="00E65D17" w:rsidRPr="00613A3E" w:rsidRDefault="00E65D17" w:rsidP="001E5BA7">
            <w:pPr>
              <w:tabs>
                <w:tab w:val="left" w:pos="1260"/>
                <w:tab w:val="left" w:pos="2160"/>
                <w:tab w:val="left" w:pos="2700"/>
                <w:tab w:val="left" w:pos="3420"/>
              </w:tabs>
              <w:jc w:val="both"/>
              <w:rPr>
                <w:rFonts w:cs="Arial"/>
                <w:i/>
                <w:szCs w:val="22"/>
              </w:rPr>
            </w:pPr>
          </w:p>
        </w:tc>
      </w:tr>
      <w:tr w:rsidR="00CF7499" w:rsidRPr="00CF7499" w:rsidTr="001E5BA7">
        <w:trPr>
          <w:gridBefore w:val="1"/>
          <w:wBefore w:w="34" w:type="dxa"/>
          <w:trHeight w:val="520"/>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613A3E" w:rsidP="001E0F67">
            <w:pPr>
              <w:tabs>
                <w:tab w:val="left" w:pos="2835"/>
              </w:tabs>
              <w:jc w:val="both"/>
              <w:rPr>
                <w:rFonts w:cs="Arial"/>
                <w:sz w:val="22"/>
                <w:szCs w:val="22"/>
              </w:rPr>
            </w:pPr>
            <w:r>
              <w:rPr>
                <w:rFonts w:cs="Arial"/>
                <w:sz w:val="22"/>
                <w:szCs w:val="22"/>
              </w:rPr>
              <w:t>8</w:t>
            </w:r>
            <w:r w:rsidR="00BC3FF3" w:rsidRPr="00A66EC8">
              <w:rPr>
                <w:rFonts w:cs="Arial"/>
                <w:sz w:val="22"/>
                <w:szCs w:val="22"/>
              </w:rPr>
              <w:t>.</w:t>
            </w:r>
          </w:p>
          <w:p w:rsidR="00BC3FF3" w:rsidRPr="00A66EC8" w:rsidRDefault="00BC3FF3" w:rsidP="001E0F67">
            <w:pPr>
              <w:tabs>
                <w:tab w:val="left" w:pos="2835"/>
              </w:tabs>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BC3FF3" w:rsidRPr="00613A3E" w:rsidRDefault="00BC3FF3" w:rsidP="001E0F67">
            <w:pPr>
              <w:jc w:val="both"/>
              <w:rPr>
                <w:rFonts w:cs="Arial"/>
                <w:b/>
                <w:sz w:val="22"/>
                <w:szCs w:val="22"/>
              </w:rPr>
            </w:pPr>
            <w:r w:rsidRPr="00613A3E">
              <w:rPr>
                <w:rFonts w:cs="Arial"/>
                <w:b/>
                <w:sz w:val="22"/>
                <w:szCs w:val="22"/>
              </w:rPr>
              <w:t xml:space="preserve">Draft Revenue Estimates and General Fund Balance </w:t>
            </w: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644E56" w:rsidRDefault="00613A3E" w:rsidP="001E0F67">
            <w:pPr>
              <w:tabs>
                <w:tab w:val="left" w:pos="2835"/>
              </w:tabs>
              <w:ind w:right="-592"/>
              <w:jc w:val="both"/>
              <w:rPr>
                <w:rFonts w:cs="Arial"/>
                <w:sz w:val="22"/>
                <w:szCs w:val="22"/>
              </w:rPr>
            </w:pPr>
            <w:r>
              <w:rPr>
                <w:rFonts w:cs="Arial"/>
                <w:sz w:val="22"/>
                <w:szCs w:val="22"/>
              </w:rPr>
              <w:t>8</w:t>
            </w:r>
            <w:r w:rsidR="00BC3FF3" w:rsidRPr="00644E56">
              <w:rPr>
                <w:rFonts w:cs="Arial"/>
                <w:sz w:val="22"/>
                <w:szCs w:val="22"/>
              </w:rPr>
              <w:t>.</w:t>
            </w:r>
            <w:r w:rsidR="006C1324">
              <w:rPr>
                <w:rFonts w:cs="Arial"/>
                <w:sz w:val="22"/>
                <w:szCs w:val="22"/>
              </w:rPr>
              <w:t>1</w:t>
            </w:r>
          </w:p>
          <w:p w:rsidR="00BC3FF3" w:rsidRPr="00644E56" w:rsidRDefault="00BC3FF3" w:rsidP="001E0F67">
            <w:pPr>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BC3FF3" w:rsidRPr="00124236" w:rsidRDefault="00BC3FF3" w:rsidP="001E0F67">
            <w:pPr>
              <w:jc w:val="both"/>
              <w:rPr>
                <w:sz w:val="22"/>
                <w:szCs w:val="22"/>
              </w:rPr>
            </w:pPr>
            <w:r w:rsidRPr="00124236">
              <w:rPr>
                <w:sz w:val="22"/>
                <w:szCs w:val="22"/>
              </w:rPr>
              <w:t>The Director of Finance confirms the estimates have been correctly calculated under the assumptions used and that balances remain adequate.</w:t>
            </w:r>
          </w:p>
          <w:p w:rsidR="00BC3FF3" w:rsidRPr="00124236" w:rsidRDefault="00BC3FF3" w:rsidP="001E0F67">
            <w:pPr>
              <w:tabs>
                <w:tab w:val="left" w:pos="0"/>
              </w:tabs>
              <w:jc w:val="both"/>
              <w:rPr>
                <w:sz w:val="22"/>
                <w:szCs w:val="22"/>
              </w:rPr>
            </w:pP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644E56" w:rsidRDefault="00613A3E" w:rsidP="006C1324">
            <w:pPr>
              <w:tabs>
                <w:tab w:val="left" w:pos="2835"/>
              </w:tabs>
              <w:ind w:right="-592"/>
              <w:jc w:val="both"/>
              <w:rPr>
                <w:rFonts w:cs="Arial"/>
                <w:sz w:val="22"/>
                <w:szCs w:val="22"/>
              </w:rPr>
            </w:pPr>
            <w:r>
              <w:rPr>
                <w:rFonts w:cs="Arial"/>
                <w:sz w:val="22"/>
                <w:szCs w:val="22"/>
              </w:rPr>
              <w:t>8</w:t>
            </w:r>
            <w:r w:rsidR="00BC3FF3" w:rsidRPr="00644E56">
              <w:rPr>
                <w:rFonts w:cs="Arial"/>
                <w:sz w:val="22"/>
                <w:szCs w:val="22"/>
              </w:rPr>
              <w:t>.</w:t>
            </w:r>
            <w:r w:rsidR="006C1324">
              <w:rPr>
                <w:rFonts w:cs="Arial"/>
                <w:sz w:val="22"/>
                <w:szCs w:val="22"/>
              </w:rPr>
              <w:t>2</w:t>
            </w:r>
          </w:p>
        </w:tc>
        <w:tc>
          <w:tcPr>
            <w:cnfStyle w:val="000100000000" w:firstRow="0" w:lastRow="0" w:firstColumn="0" w:lastColumn="1" w:oddVBand="0" w:evenVBand="0" w:oddHBand="0" w:evenHBand="0" w:firstRowFirstColumn="0" w:firstRowLastColumn="0" w:lastRowFirstColumn="0" w:lastRowLastColumn="0"/>
            <w:tcW w:w="9072" w:type="dxa"/>
          </w:tcPr>
          <w:p w:rsidR="00BC3FF3" w:rsidRDefault="00BC3FF3" w:rsidP="006C1324">
            <w:pPr>
              <w:jc w:val="both"/>
              <w:rPr>
                <w:sz w:val="22"/>
                <w:szCs w:val="22"/>
              </w:rPr>
            </w:pPr>
            <w:r w:rsidRPr="00644E56">
              <w:rPr>
                <w:sz w:val="22"/>
                <w:szCs w:val="22"/>
              </w:rPr>
              <w:t>The Council’s financial exposure over a three-year medium-term period has been calculated for each of its budgetary risks.</w:t>
            </w:r>
            <w:r w:rsidR="00346D39">
              <w:rPr>
                <w:sz w:val="22"/>
                <w:szCs w:val="22"/>
              </w:rPr>
              <w:t xml:space="preserve"> </w:t>
            </w:r>
            <w:r w:rsidRPr="00644E56">
              <w:rPr>
                <w:sz w:val="22"/>
                <w:szCs w:val="22"/>
              </w:rPr>
              <w:t xml:space="preserve"> It is acknowledged that were any of the risks to occur then the impact might last </w:t>
            </w:r>
            <w:r w:rsidR="0097182F" w:rsidRPr="00644E56">
              <w:rPr>
                <w:sz w:val="22"/>
                <w:szCs w:val="22"/>
              </w:rPr>
              <w:t>longer;</w:t>
            </w:r>
            <w:r w:rsidRPr="00644E56">
              <w:rPr>
                <w:sz w:val="22"/>
                <w:szCs w:val="22"/>
              </w:rPr>
              <w:t xml:space="preserve"> on the other hand actions to mitigate the risk would be taken over the three year period. </w:t>
            </w:r>
          </w:p>
          <w:p w:rsidR="006C1324" w:rsidRPr="00644E56" w:rsidRDefault="006C1324" w:rsidP="006C1324">
            <w:pPr>
              <w:jc w:val="both"/>
              <w:rPr>
                <w:sz w:val="22"/>
                <w:szCs w:val="22"/>
              </w:rPr>
            </w:pP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644E56" w:rsidRDefault="00613A3E" w:rsidP="006C1324">
            <w:pPr>
              <w:tabs>
                <w:tab w:val="left" w:pos="2835"/>
              </w:tabs>
              <w:ind w:right="-592"/>
              <w:jc w:val="both"/>
              <w:rPr>
                <w:rFonts w:cs="Arial"/>
                <w:sz w:val="22"/>
                <w:szCs w:val="22"/>
              </w:rPr>
            </w:pPr>
            <w:r>
              <w:rPr>
                <w:rFonts w:cs="Arial"/>
                <w:sz w:val="22"/>
                <w:szCs w:val="22"/>
              </w:rPr>
              <w:t>8</w:t>
            </w:r>
            <w:r w:rsidR="00BC3FF3" w:rsidRPr="00644E56">
              <w:rPr>
                <w:rFonts w:cs="Arial"/>
                <w:sz w:val="22"/>
                <w:szCs w:val="22"/>
              </w:rPr>
              <w:t>.</w:t>
            </w:r>
            <w:r w:rsidR="006C1324">
              <w:rPr>
                <w:rFonts w:cs="Arial"/>
                <w:sz w:val="22"/>
                <w:szCs w:val="22"/>
              </w:rPr>
              <w:t>3</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124236" w:rsidRDefault="00BC3FF3" w:rsidP="001E0F67">
            <w:pPr>
              <w:jc w:val="both"/>
              <w:rPr>
                <w:sz w:val="22"/>
                <w:szCs w:val="22"/>
              </w:rPr>
            </w:pPr>
            <w:r w:rsidRPr="00124236">
              <w:rPr>
                <w:sz w:val="22"/>
                <w:szCs w:val="22"/>
              </w:rPr>
              <w:t xml:space="preserve">Balances can be used to support revenue expenditure, applied to capital expenditure or a combination of these. The Council should agree to retain some of the balance as ‘working balances’. These should be retained at a prudent minimum to assist cash flow management, avoid the need to borrow in the short term, and cover unforeseen expenditure. The prudent minimum level of balances depends on the council’s view of its financial risks and is considered further under </w:t>
            </w:r>
            <w:r w:rsidR="00DB00E6" w:rsidRPr="00124236">
              <w:rPr>
                <w:sz w:val="22"/>
                <w:szCs w:val="22"/>
              </w:rPr>
              <w:t>r</w:t>
            </w:r>
            <w:r w:rsidRPr="00124236">
              <w:rPr>
                <w:sz w:val="22"/>
                <w:szCs w:val="22"/>
              </w:rPr>
              <w:t xml:space="preserve">isk </w:t>
            </w:r>
            <w:r w:rsidR="00DB00E6" w:rsidRPr="00124236">
              <w:rPr>
                <w:sz w:val="22"/>
                <w:szCs w:val="22"/>
              </w:rPr>
              <w:t>m</w:t>
            </w:r>
            <w:r w:rsidRPr="00124236">
              <w:rPr>
                <w:sz w:val="22"/>
                <w:szCs w:val="22"/>
              </w:rPr>
              <w:t>anagement below.</w:t>
            </w:r>
          </w:p>
          <w:p w:rsidR="00BC3FF3" w:rsidRPr="00124236" w:rsidRDefault="00BC3FF3" w:rsidP="001E0F67">
            <w:pPr>
              <w:jc w:val="both"/>
              <w:rPr>
                <w:sz w:val="22"/>
                <w:szCs w:val="22"/>
              </w:rPr>
            </w:pP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644E56" w:rsidRDefault="00613A3E" w:rsidP="006C1324">
            <w:pPr>
              <w:tabs>
                <w:tab w:val="left" w:pos="2835"/>
              </w:tabs>
              <w:ind w:right="-592"/>
              <w:jc w:val="both"/>
              <w:rPr>
                <w:rFonts w:cs="Arial"/>
                <w:sz w:val="22"/>
                <w:szCs w:val="22"/>
              </w:rPr>
            </w:pPr>
            <w:r>
              <w:rPr>
                <w:rFonts w:cs="Arial"/>
                <w:sz w:val="22"/>
                <w:szCs w:val="22"/>
              </w:rPr>
              <w:t>8</w:t>
            </w:r>
            <w:r w:rsidR="00BC3FF3" w:rsidRPr="00644E56">
              <w:rPr>
                <w:rFonts w:cs="Arial"/>
                <w:sz w:val="22"/>
                <w:szCs w:val="22"/>
              </w:rPr>
              <w:t>.</w:t>
            </w:r>
            <w:r w:rsidR="006C1324">
              <w:rPr>
                <w:rFonts w:cs="Arial"/>
                <w:sz w:val="22"/>
                <w:szCs w:val="22"/>
              </w:rPr>
              <w:t>4</w:t>
            </w:r>
          </w:p>
        </w:tc>
        <w:tc>
          <w:tcPr>
            <w:cnfStyle w:val="000100000000" w:firstRow="0" w:lastRow="0" w:firstColumn="0" w:lastColumn="1" w:oddVBand="0" w:evenVBand="0" w:oddHBand="0" w:evenHBand="0" w:firstRowFirstColumn="0" w:firstRowLastColumn="0" w:lastRowFirstColumn="0" w:lastRowLastColumn="0"/>
            <w:tcW w:w="9072" w:type="dxa"/>
          </w:tcPr>
          <w:p w:rsidR="00E65D17" w:rsidRPr="00124236" w:rsidRDefault="00BC3FF3" w:rsidP="001E0F67">
            <w:pPr>
              <w:jc w:val="both"/>
              <w:rPr>
                <w:sz w:val="22"/>
                <w:szCs w:val="22"/>
              </w:rPr>
            </w:pPr>
            <w:r w:rsidRPr="00124236">
              <w:rPr>
                <w:sz w:val="22"/>
                <w:szCs w:val="22"/>
              </w:rPr>
              <w:t xml:space="preserve">The Committee is recommended to agree £2,000,000 as the minimum </w:t>
            </w:r>
            <w:r w:rsidR="00DB00E6" w:rsidRPr="00124236">
              <w:rPr>
                <w:sz w:val="22"/>
                <w:szCs w:val="22"/>
              </w:rPr>
              <w:t>g</w:t>
            </w:r>
            <w:r w:rsidRPr="00124236">
              <w:rPr>
                <w:sz w:val="22"/>
                <w:szCs w:val="22"/>
              </w:rPr>
              <w:t xml:space="preserve">eneral </w:t>
            </w:r>
            <w:r w:rsidR="00DB00E6" w:rsidRPr="00124236">
              <w:rPr>
                <w:sz w:val="22"/>
                <w:szCs w:val="22"/>
              </w:rPr>
              <w:t>f</w:t>
            </w:r>
            <w:r w:rsidRPr="00124236">
              <w:rPr>
                <w:sz w:val="22"/>
                <w:szCs w:val="22"/>
              </w:rPr>
              <w:t>und balance over the medium term.</w:t>
            </w:r>
            <w:r w:rsidR="004C65D5" w:rsidRPr="00124236">
              <w:rPr>
                <w:sz w:val="22"/>
                <w:szCs w:val="22"/>
              </w:rPr>
              <w:t xml:space="preserve"> </w:t>
            </w:r>
            <w:r w:rsidR="00613A3E" w:rsidRPr="00124236">
              <w:rPr>
                <w:sz w:val="22"/>
                <w:szCs w:val="22"/>
              </w:rPr>
              <w:t xml:space="preserve"> </w:t>
            </w:r>
          </w:p>
          <w:p w:rsidR="00BC3FF3" w:rsidRPr="00124236" w:rsidRDefault="00BC3FF3" w:rsidP="001E0F67">
            <w:pPr>
              <w:jc w:val="both"/>
              <w:rPr>
                <w:sz w:val="22"/>
                <w:szCs w:val="22"/>
              </w:rPr>
            </w:pPr>
          </w:p>
        </w:tc>
      </w:tr>
      <w:tr w:rsidR="00CF7499" w:rsidRPr="00CF7499" w:rsidTr="001E5BA7">
        <w:trPr>
          <w:gridBefore w:val="1"/>
          <w:wBefore w:w="34" w:type="dxa"/>
          <w:trHeight w:val="561"/>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613A3E" w:rsidP="00613A3E">
            <w:pPr>
              <w:tabs>
                <w:tab w:val="left" w:pos="2835"/>
              </w:tabs>
              <w:jc w:val="both"/>
              <w:rPr>
                <w:rFonts w:cs="Arial"/>
                <w:sz w:val="22"/>
                <w:szCs w:val="22"/>
              </w:rPr>
            </w:pPr>
            <w:r>
              <w:rPr>
                <w:rFonts w:cs="Arial"/>
                <w:sz w:val="22"/>
                <w:szCs w:val="22"/>
              </w:rPr>
              <w:t>9</w:t>
            </w:r>
            <w:r w:rsidR="00C73A68" w:rsidRPr="00A66EC8">
              <w:rPr>
                <w:rFonts w:cs="Arial"/>
                <w:sz w:val="22"/>
                <w:szCs w:val="22"/>
              </w:rPr>
              <w:t>.</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rFonts w:cs="Arial"/>
                <w:sz w:val="22"/>
                <w:szCs w:val="22"/>
              </w:rPr>
            </w:pPr>
            <w:r w:rsidRPr="00A66EC8">
              <w:rPr>
                <w:b/>
                <w:sz w:val="22"/>
                <w:szCs w:val="22"/>
              </w:rPr>
              <w:t>Options/Reasons for Recommendation</w:t>
            </w: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613A3E" w:rsidP="001E0F67">
            <w:pPr>
              <w:tabs>
                <w:tab w:val="left" w:pos="2835"/>
              </w:tabs>
              <w:jc w:val="both"/>
              <w:rPr>
                <w:rFonts w:cs="Arial"/>
                <w:sz w:val="22"/>
                <w:szCs w:val="22"/>
              </w:rPr>
            </w:pPr>
            <w:r>
              <w:rPr>
                <w:rFonts w:cs="Arial"/>
                <w:sz w:val="22"/>
                <w:szCs w:val="22"/>
              </w:rPr>
              <w:t>9</w:t>
            </w:r>
            <w:r w:rsidR="00BC3FF3" w:rsidRPr="00A66EC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A66EC8">
            <w:pPr>
              <w:jc w:val="both"/>
              <w:rPr>
                <w:rFonts w:cs="Arial"/>
                <w:sz w:val="22"/>
                <w:szCs w:val="22"/>
              </w:rPr>
            </w:pPr>
            <w:r w:rsidRPr="00A66EC8">
              <w:rPr>
                <w:rFonts w:cs="Arial"/>
                <w:sz w:val="22"/>
                <w:szCs w:val="22"/>
              </w:rPr>
              <w:t>The recommendation below enables the Committee to make recommendations to the Council on 2</w:t>
            </w:r>
            <w:r w:rsidR="00A66EC8" w:rsidRPr="00A66EC8">
              <w:rPr>
                <w:rFonts w:cs="Arial"/>
                <w:sz w:val="22"/>
                <w:szCs w:val="22"/>
              </w:rPr>
              <w:t>1</w:t>
            </w:r>
            <w:r w:rsidRPr="00A66EC8">
              <w:rPr>
                <w:rFonts w:cs="Arial"/>
                <w:sz w:val="22"/>
                <w:szCs w:val="22"/>
              </w:rPr>
              <w:t xml:space="preserve"> February 201</w:t>
            </w:r>
            <w:r w:rsidR="00A66EC8" w:rsidRPr="00A66EC8">
              <w:rPr>
                <w:rFonts w:cs="Arial"/>
                <w:sz w:val="22"/>
                <w:szCs w:val="22"/>
              </w:rPr>
              <w:t>7</w:t>
            </w:r>
            <w:r w:rsidRPr="00A66EC8">
              <w:rPr>
                <w:rFonts w:cs="Arial"/>
                <w:sz w:val="22"/>
                <w:szCs w:val="22"/>
              </w:rPr>
              <w:t xml:space="preserve"> concerning the Council’s budget.</w:t>
            </w:r>
          </w:p>
        </w:tc>
      </w:tr>
      <w:tr w:rsidR="00CF7499" w:rsidRPr="00CF7499" w:rsidTr="001E5BA7">
        <w:trPr>
          <w:gridBefore w:val="1"/>
          <w:wBefore w:w="34" w:type="dxa"/>
          <w:trHeight w:val="524"/>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613A3E" w:rsidP="00613A3E">
            <w:pPr>
              <w:tabs>
                <w:tab w:val="left" w:pos="2835"/>
              </w:tabs>
              <w:jc w:val="both"/>
              <w:rPr>
                <w:rFonts w:cs="Arial"/>
                <w:sz w:val="22"/>
                <w:szCs w:val="22"/>
              </w:rPr>
            </w:pPr>
            <w:r>
              <w:rPr>
                <w:rFonts w:cs="Arial"/>
                <w:sz w:val="22"/>
                <w:szCs w:val="22"/>
              </w:rPr>
              <w:t>10</w:t>
            </w:r>
            <w:r w:rsidR="00C73A68" w:rsidRPr="00A66EC8">
              <w:rPr>
                <w:rFonts w:cs="Arial"/>
                <w:sz w:val="22"/>
                <w:szCs w:val="22"/>
              </w:rPr>
              <w:t>.</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keepNext/>
              <w:ind w:left="1267" w:hanging="1267"/>
              <w:rPr>
                <w:sz w:val="22"/>
                <w:szCs w:val="22"/>
              </w:rPr>
            </w:pPr>
            <w:r w:rsidRPr="00A66EC8">
              <w:rPr>
                <w:b/>
                <w:sz w:val="22"/>
                <w:szCs w:val="22"/>
              </w:rPr>
              <w:t>Policy/Budget Reference and Implications</w:t>
            </w:r>
          </w:p>
          <w:p w:rsidR="00BC3FF3" w:rsidRPr="00A66EC8" w:rsidRDefault="00BC3FF3" w:rsidP="001E0F67">
            <w:pPr>
              <w:jc w:val="both"/>
              <w:rPr>
                <w:rFonts w:cs="Arial"/>
                <w:sz w:val="22"/>
                <w:szCs w:val="22"/>
              </w:rPr>
            </w:pP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613A3E" w:rsidP="00613A3E">
            <w:pPr>
              <w:tabs>
                <w:tab w:val="left" w:pos="2835"/>
              </w:tabs>
              <w:jc w:val="both"/>
              <w:rPr>
                <w:rFonts w:cs="Arial"/>
                <w:sz w:val="22"/>
                <w:szCs w:val="22"/>
              </w:rPr>
            </w:pPr>
            <w:r>
              <w:rPr>
                <w:rFonts w:cs="Arial"/>
                <w:sz w:val="22"/>
                <w:szCs w:val="22"/>
              </w:rPr>
              <w:t>10</w:t>
            </w:r>
            <w:r w:rsidR="00BC3FF3" w:rsidRPr="00A66EC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rFonts w:cs="Arial"/>
                <w:sz w:val="22"/>
                <w:szCs w:val="22"/>
              </w:rPr>
            </w:pPr>
            <w:r w:rsidRPr="00A66EC8">
              <w:rPr>
                <w:rFonts w:cs="Arial"/>
                <w:sz w:val="22"/>
                <w:szCs w:val="22"/>
              </w:rPr>
              <w:t>The recommendations in this report contribute to the process whereby the Council will approve and adopt its budget under Article 4 of the Council’s Constitution.</w:t>
            </w: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tabs>
                <w:tab w:val="left" w:pos="2835"/>
              </w:tabs>
              <w:jc w:val="both"/>
              <w:rPr>
                <w:rFonts w:cs="Arial"/>
                <w:sz w:val="22"/>
                <w:szCs w:val="22"/>
              </w:rPr>
            </w:pPr>
            <w:r w:rsidRPr="00A66EC8">
              <w:rPr>
                <w:rFonts w:cs="Arial"/>
                <w:sz w:val="22"/>
                <w:szCs w:val="22"/>
              </w:rPr>
              <w:t>1</w:t>
            </w:r>
            <w:r w:rsidR="00613A3E">
              <w:rPr>
                <w:rFonts w:cs="Arial"/>
                <w:sz w:val="22"/>
                <w:szCs w:val="22"/>
              </w:rPr>
              <w:t>1</w:t>
            </w:r>
            <w:r w:rsidR="00C73A68" w:rsidRPr="00A66EC8">
              <w:rPr>
                <w:rFonts w:cs="Arial"/>
                <w:sz w:val="22"/>
                <w:szCs w:val="22"/>
              </w:rPr>
              <w:t>.</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9B5C2A">
            <w:pPr>
              <w:ind w:left="34" w:hanging="34"/>
              <w:rPr>
                <w:sz w:val="22"/>
                <w:szCs w:val="22"/>
              </w:rPr>
            </w:pPr>
            <w:r w:rsidRPr="00A66EC8">
              <w:rPr>
                <w:b/>
                <w:sz w:val="22"/>
                <w:szCs w:val="22"/>
              </w:rPr>
              <w:t>Environmental, Community Safety, Customer Services Centre, Communications &amp; Website Implications</w:t>
            </w:r>
          </w:p>
          <w:p w:rsidR="00BC3FF3" w:rsidRPr="00A66EC8" w:rsidRDefault="00BC3FF3" w:rsidP="001E0F67">
            <w:pPr>
              <w:ind w:left="1267" w:hanging="1267"/>
              <w:jc w:val="both"/>
              <w:rPr>
                <w:rFonts w:cs="Arial"/>
                <w:sz w:val="22"/>
                <w:szCs w:val="22"/>
              </w:rPr>
            </w:pPr>
          </w:p>
        </w:tc>
      </w:tr>
      <w:tr w:rsidR="00CF7499" w:rsidRPr="00CF7499" w:rsidTr="001E5BA7">
        <w:trPr>
          <w:gridBefore w:val="1"/>
          <w:wBefore w:w="34" w:type="dxa"/>
          <w:trHeight w:val="468"/>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tabs>
                <w:tab w:val="left" w:pos="2835"/>
              </w:tabs>
              <w:jc w:val="both"/>
              <w:rPr>
                <w:rFonts w:cs="Arial"/>
                <w:sz w:val="22"/>
                <w:szCs w:val="22"/>
              </w:rPr>
            </w:pPr>
            <w:r w:rsidRPr="00A66EC8">
              <w:rPr>
                <w:rFonts w:cs="Arial"/>
                <w:sz w:val="22"/>
                <w:szCs w:val="22"/>
              </w:rPr>
              <w:t>1</w:t>
            </w:r>
            <w:r w:rsidR="00613A3E">
              <w:rPr>
                <w:rFonts w:cs="Arial"/>
                <w:sz w:val="22"/>
                <w:szCs w:val="22"/>
              </w:rPr>
              <w:t>1</w:t>
            </w:r>
            <w:r w:rsidRPr="00A66EC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rFonts w:cs="Arial"/>
                <w:sz w:val="22"/>
                <w:szCs w:val="22"/>
              </w:rPr>
            </w:pPr>
            <w:r w:rsidRPr="00A66EC8">
              <w:rPr>
                <w:sz w:val="22"/>
              </w:rPr>
              <w:t>Dependent on budget decisions</w:t>
            </w:r>
            <w:r w:rsidR="0069369A" w:rsidRPr="00A66EC8">
              <w:rPr>
                <w:sz w:val="22"/>
              </w:rPr>
              <w:t>.</w:t>
            </w:r>
            <w:r w:rsidRPr="00A66EC8">
              <w:rPr>
                <w:rFonts w:cs="Arial"/>
                <w:sz w:val="22"/>
                <w:szCs w:val="22"/>
              </w:rPr>
              <w:t xml:space="preserve"> </w:t>
            </w:r>
          </w:p>
        </w:tc>
      </w:tr>
      <w:tr w:rsidR="00CF7499" w:rsidRPr="00CF7499" w:rsidTr="001E5BA7">
        <w:trPr>
          <w:gridBefore w:val="1"/>
          <w:wBefore w:w="34" w:type="dxa"/>
          <w:trHeight w:val="432"/>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jc w:val="both"/>
              <w:rPr>
                <w:rFonts w:cs="Arial"/>
                <w:sz w:val="22"/>
                <w:szCs w:val="22"/>
              </w:rPr>
            </w:pPr>
            <w:r w:rsidRPr="00A66EC8">
              <w:rPr>
                <w:rFonts w:cs="Arial"/>
                <w:sz w:val="22"/>
                <w:szCs w:val="22"/>
              </w:rPr>
              <w:t>1</w:t>
            </w:r>
            <w:r w:rsidR="00613A3E">
              <w:rPr>
                <w:rFonts w:cs="Arial"/>
                <w:sz w:val="22"/>
                <w:szCs w:val="22"/>
              </w:rPr>
              <w:t>2</w:t>
            </w:r>
            <w:r w:rsidR="00C73A68" w:rsidRPr="00A66EC8">
              <w:rPr>
                <w:rFonts w:cs="Arial"/>
                <w:sz w:val="22"/>
                <w:szCs w:val="22"/>
              </w:rPr>
              <w:t>.</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b/>
                <w:sz w:val="22"/>
                <w:szCs w:val="22"/>
              </w:rPr>
            </w:pPr>
            <w:r w:rsidRPr="00A66EC8">
              <w:rPr>
                <w:b/>
                <w:sz w:val="22"/>
                <w:szCs w:val="22"/>
              </w:rPr>
              <w:t>Financial Implications</w:t>
            </w:r>
          </w:p>
          <w:p w:rsidR="00BC3FF3" w:rsidRPr="00A66EC8" w:rsidRDefault="00BC3FF3" w:rsidP="001E0F67">
            <w:pPr>
              <w:jc w:val="both"/>
              <w:rPr>
                <w:rFonts w:cs="Arial"/>
                <w:sz w:val="22"/>
                <w:szCs w:val="22"/>
              </w:rPr>
            </w:pPr>
          </w:p>
        </w:tc>
      </w:tr>
      <w:tr w:rsidR="00CF7499" w:rsidRPr="00CF7499" w:rsidTr="001E5BA7">
        <w:trPr>
          <w:gridBefore w:val="1"/>
          <w:wBefore w:w="34" w:type="dxa"/>
          <w:trHeight w:val="352"/>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jc w:val="both"/>
              <w:rPr>
                <w:rFonts w:cs="Arial"/>
                <w:sz w:val="22"/>
                <w:szCs w:val="22"/>
              </w:rPr>
            </w:pPr>
            <w:r w:rsidRPr="00A66EC8">
              <w:rPr>
                <w:rFonts w:cs="Arial"/>
                <w:sz w:val="22"/>
                <w:szCs w:val="22"/>
              </w:rPr>
              <w:t>1</w:t>
            </w:r>
            <w:r w:rsidR="00613A3E">
              <w:rPr>
                <w:rFonts w:cs="Arial"/>
                <w:sz w:val="22"/>
                <w:szCs w:val="22"/>
              </w:rPr>
              <w:t>2</w:t>
            </w:r>
            <w:r w:rsidRPr="00A66EC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sz w:val="22"/>
                <w:szCs w:val="22"/>
              </w:rPr>
            </w:pPr>
            <w:r w:rsidRPr="00A66EC8">
              <w:rPr>
                <w:sz w:val="22"/>
                <w:szCs w:val="22"/>
              </w:rPr>
              <w:t>Included above</w:t>
            </w:r>
            <w:r w:rsidR="0069369A" w:rsidRPr="00A66EC8">
              <w:rPr>
                <w:sz w:val="22"/>
                <w:szCs w:val="22"/>
              </w:rPr>
              <w:t>.</w:t>
            </w:r>
          </w:p>
          <w:p w:rsidR="00BC3FF3" w:rsidRPr="00A66EC8" w:rsidRDefault="00BC3FF3" w:rsidP="001E0F67">
            <w:pPr>
              <w:jc w:val="both"/>
              <w:rPr>
                <w:rFonts w:cs="Arial"/>
                <w:sz w:val="22"/>
                <w:szCs w:val="22"/>
              </w:rPr>
            </w:pPr>
          </w:p>
        </w:tc>
      </w:tr>
      <w:tr w:rsidR="00CF7499" w:rsidRPr="00CF7499" w:rsidTr="001E5BA7">
        <w:trPr>
          <w:gridBefore w:val="1"/>
          <w:wBefore w:w="34" w:type="dxa"/>
          <w:trHeight w:val="532"/>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jc w:val="both"/>
              <w:rPr>
                <w:rFonts w:cs="Arial"/>
                <w:sz w:val="22"/>
                <w:szCs w:val="22"/>
              </w:rPr>
            </w:pPr>
            <w:r w:rsidRPr="00A66EC8">
              <w:rPr>
                <w:rFonts w:cs="Arial"/>
                <w:sz w:val="22"/>
                <w:szCs w:val="22"/>
              </w:rPr>
              <w:t>1</w:t>
            </w:r>
            <w:r w:rsidR="00613A3E">
              <w:rPr>
                <w:rFonts w:cs="Arial"/>
                <w:sz w:val="22"/>
                <w:szCs w:val="22"/>
              </w:rPr>
              <w:t>3</w:t>
            </w:r>
            <w:r w:rsidR="00C73A68" w:rsidRPr="00A66EC8">
              <w:rPr>
                <w:rFonts w:cs="Arial"/>
                <w:sz w:val="22"/>
                <w:szCs w:val="22"/>
              </w:rPr>
              <w:t>.</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ind w:left="1267" w:hanging="1267"/>
              <w:rPr>
                <w:sz w:val="22"/>
                <w:szCs w:val="22"/>
              </w:rPr>
            </w:pPr>
            <w:r w:rsidRPr="00A66EC8">
              <w:rPr>
                <w:b/>
                <w:sz w:val="22"/>
                <w:szCs w:val="22"/>
              </w:rPr>
              <w:t>Legal Implications</w:t>
            </w:r>
          </w:p>
          <w:p w:rsidR="00BC3FF3" w:rsidRPr="00A66EC8" w:rsidRDefault="00BC3FF3" w:rsidP="001E0F67">
            <w:pPr>
              <w:jc w:val="both"/>
              <w:rPr>
                <w:rFonts w:cs="Arial"/>
                <w:sz w:val="22"/>
                <w:szCs w:val="22"/>
              </w:rPr>
            </w:pP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jc w:val="both"/>
              <w:rPr>
                <w:rFonts w:cs="Arial"/>
                <w:sz w:val="22"/>
                <w:szCs w:val="22"/>
              </w:rPr>
            </w:pPr>
            <w:r w:rsidRPr="00A66EC8">
              <w:rPr>
                <w:rFonts w:cs="Arial"/>
                <w:sz w:val="22"/>
                <w:szCs w:val="22"/>
              </w:rPr>
              <w:t>1</w:t>
            </w:r>
            <w:r w:rsidR="00613A3E">
              <w:rPr>
                <w:rFonts w:cs="Arial"/>
                <w:sz w:val="22"/>
                <w:szCs w:val="22"/>
              </w:rPr>
              <w:t>3</w:t>
            </w:r>
            <w:r w:rsidRPr="00A66EC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rFonts w:cs="Arial"/>
                <w:sz w:val="22"/>
                <w:szCs w:val="22"/>
              </w:rPr>
            </w:pPr>
            <w:r w:rsidRPr="00A66EC8">
              <w:rPr>
                <w:rFonts w:cs="Arial"/>
                <w:sz w:val="22"/>
                <w:szCs w:val="22"/>
              </w:rPr>
              <w:t xml:space="preserve">The </w:t>
            </w:r>
            <w:r w:rsidR="00DD7537" w:rsidRPr="00A66EC8">
              <w:rPr>
                <w:rFonts w:cs="Arial"/>
                <w:sz w:val="22"/>
                <w:szCs w:val="22"/>
              </w:rPr>
              <w:t>Policy and Resources</w:t>
            </w:r>
            <w:r w:rsidRPr="00A66EC8">
              <w:rPr>
                <w:rFonts w:cs="Arial"/>
                <w:sz w:val="22"/>
                <w:szCs w:val="22"/>
              </w:rPr>
              <w:t xml:space="preserve"> Committee must forward </w:t>
            </w:r>
            <w:r w:rsidR="000F138C" w:rsidRPr="00A66EC8">
              <w:rPr>
                <w:rFonts w:cs="Arial"/>
                <w:sz w:val="22"/>
                <w:szCs w:val="22"/>
              </w:rPr>
              <w:t>its</w:t>
            </w:r>
            <w:r w:rsidRPr="00A66EC8">
              <w:rPr>
                <w:rFonts w:cs="Arial"/>
                <w:sz w:val="22"/>
                <w:szCs w:val="22"/>
              </w:rPr>
              <w:t xml:space="preserve"> recommendations on the budget to Council. The Council must set its </w:t>
            </w:r>
            <w:r w:rsidR="00A66EC8" w:rsidRPr="00A66EC8">
              <w:rPr>
                <w:rFonts w:cs="Arial"/>
                <w:sz w:val="22"/>
                <w:szCs w:val="22"/>
              </w:rPr>
              <w:t>2017/18</w:t>
            </w:r>
            <w:r w:rsidRPr="00A66EC8">
              <w:rPr>
                <w:rFonts w:cs="Arial"/>
                <w:sz w:val="22"/>
                <w:szCs w:val="22"/>
              </w:rPr>
              <w:t xml:space="preserve"> budget by 11 March 201</w:t>
            </w:r>
            <w:r w:rsidR="00A66EC8" w:rsidRPr="00A66EC8">
              <w:rPr>
                <w:rFonts w:cs="Arial"/>
                <w:sz w:val="22"/>
                <w:szCs w:val="22"/>
              </w:rPr>
              <w:t>7</w:t>
            </w:r>
            <w:r w:rsidRPr="00A66EC8">
              <w:rPr>
                <w:rFonts w:cs="Arial"/>
                <w:sz w:val="22"/>
                <w:szCs w:val="22"/>
              </w:rPr>
              <w:t xml:space="preserve">. </w:t>
            </w:r>
          </w:p>
          <w:p w:rsidR="00FA56D9" w:rsidRPr="00A66EC8" w:rsidRDefault="00FA56D9" w:rsidP="001E0F67">
            <w:pPr>
              <w:jc w:val="both"/>
              <w:rPr>
                <w:sz w:val="22"/>
                <w:szCs w:val="22"/>
              </w:rPr>
            </w:pPr>
          </w:p>
        </w:tc>
      </w:tr>
      <w:tr w:rsidR="00CF7499" w:rsidRPr="00CF7499" w:rsidTr="001E5BA7">
        <w:trPr>
          <w:gridBefore w:val="1"/>
          <w:wBefore w:w="34" w:type="dxa"/>
          <w:trHeight w:val="487"/>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jc w:val="both"/>
              <w:rPr>
                <w:rFonts w:cs="Arial"/>
                <w:sz w:val="22"/>
                <w:szCs w:val="22"/>
              </w:rPr>
            </w:pPr>
            <w:r w:rsidRPr="00A66EC8">
              <w:rPr>
                <w:rFonts w:cs="Arial"/>
                <w:sz w:val="22"/>
                <w:szCs w:val="22"/>
              </w:rPr>
              <w:t>1</w:t>
            </w:r>
            <w:r w:rsidR="00613A3E">
              <w:rPr>
                <w:rFonts w:cs="Arial"/>
                <w:sz w:val="22"/>
                <w:szCs w:val="22"/>
              </w:rPr>
              <w:t>4</w:t>
            </w:r>
            <w:r w:rsidR="00C73A68" w:rsidRPr="00A66EC8">
              <w:rPr>
                <w:rFonts w:cs="Arial"/>
                <w:sz w:val="22"/>
                <w:szCs w:val="22"/>
              </w:rPr>
              <w:t>.</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tabs>
                <w:tab w:val="left" w:pos="2520"/>
              </w:tabs>
              <w:jc w:val="both"/>
              <w:rPr>
                <w:rFonts w:cs="Arial"/>
                <w:b/>
                <w:i/>
                <w:sz w:val="22"/>
                <w:szCs w:val="22"/>
              </w:rPr>
            </w:pPr>
            <w:r w:rsidRPr="00A66EC8">
              <w:rPr>
                <w:b/>
                <w:sz w:val="22"/>
                <w:szCs w:val="22"/>
              </w:rPr>
              <w:t>Equal Opportunities Implications</w:t>
            </w:r>
            <w:r w:rsidRPr="00A66EC8">
              <w:rPr>
                <w:b/>
                <w:sz w:val="22"/>
              </w:rPr>
              <w:t xml:space="preserve"> </w:t>
            </w:r>
          </w:p>
        </w:tc>
      </w:tr>
      <w:tr w:rsidR="00CF7499" w:rsidRPr="00CF7499" w:rsidTr="001E5BA7">
        <w:trPr>
          <w:gridBefore w:val="1"/>
          <w:wBefore w:w="34" w:type="dxa"/>
          <w:trHeight w:val="540"/>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jc w:val="both"/>
              <w:rPr>
                <w:rFonts w:cs="Arial"/>
                <w:sz w:val="22"/>
                <w:szCs w:val="22"/>
              </w:rPr>
            </w:pPr>
            <w:r w:rsidRPr="00A66EC8">
              <w:rPr>
                <w:rFonts w:cs="Arial"/>
                <w:sz w:val="22"/>
                <w:szCs w:val="22"/>
              </w:rPr>
              <w:lastRenderedPageBreak/>
              <w:t>1</w:t>
            </w:r>
            <w:r w:rsidR="00613A3E">
              <w:rPr>
                <w:rFonts w:cs="Arial"/>
                <w:sz w:val="22"/>
                <w:szCs w:val="22"/>
              </w:rPr>
              <w:t>4</w:t>
            </w:r>
            <w:r w:rsidRPr="00A66EC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sz w:val="22"/>
                <w:szCs w:val="22"/>
              </w:rPr>
            </w:pPr>
            <w:r w:rsidRPr="00A66EC8">
              <w:rPr>
                <w:sz w:val="22"/>
                <w:szCs w:val="22"/>
              </w:rPr>
              <w:fldChar w:fldCharType="begin"/>
            </w:r>
            <w:r w:rsidRPr="00A66EC8">
              <w:rPr>
                <w:sz w:val="22"/>
                <w:szCs w:val="22"/>
              </w:rPr>
              <w:instrText xml:space="preserve">  </w:instrText>
            </w:r>
            <w:r w:rsidRPr="00A66EC8">
              <w:rPr>
                <w:sz w:val="22"/>
                <w:szCs w:val="22"/>
              </w:rPr>
              <w:fldChar w:fldCharType="end"/>
            </w:r>
            <w:r w:rsidR="00EB3661" w:rsidRPr="00A66EC8">
              <w:rPr>
                <w:sz w:val="22"/>
                <w:szCs w:val="22"/>
              </w:rPr>
              <w:t>None specific</w:t>
            </w:r>
          </w:p>
          <w:p w:rsidR="00BC3FF3" w:rsidRPr="00A66EC8" w:rsidRDefault="00BC3FF3" w:rsidP="001E0F67">
            <w:pPr>
              <w:jc w:val="both"/>
              <w:rPr>
                <w:rFonts w:cs="Arial"/>
                <w:i/>
                <w:sz w:val="22"/>
                <w:szCs w:val="22"/>
              </w:rPr>
            </w:pPr>
          </w:p>
        </w:tc>
      </w:tr>
      <w:tr w:rsidR="00CF7499" w:rsidRPr="00CF7499" w:rsidTr="001E5BA7">
        <w:trPr>
          <w:gridBefore w:val="1"/>
          <w:wBefore w:w="34" w:type="dxa"/>
          <w:trHeight w:val="508"/>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jc w:val="both"/>
              <w:rPr>
                <w:rFonts w:cs="Arial"/>
                <w:sz w:val="22"/>
                <w:szCs w:val="22"/>
              </w:rPr>
            </w:pPr>
            <w:r w:rsidRPr="00A66EC8">
              <w:rPr>
                <w:rFonts w:cs="Arial"/>
                <w:sz w:val="22"/>
                <w:szCs w:val="22"/>
              </w:rPr>
              <w:t>1</w:t>
            </w:r>
            <w:r w:rsidR="00613A3E">
              <w:rPr>
                <w:rFonts w:cs="Arial"/>
                <w:sz w:val="22"/>
                <w:szCs w:val="22"/>
              </w:rPr>
              <w:t>5</w:t>
            </w:r>
            <w:r w:rsidR="00C73A68" w:rsidRPr="00A66EC8">
              <w:rPr>
                <w:rFonts w:cs="Arial"/>
                <w:sz w:val="22"/>
                <w:szCs w:val="22"/>
              </w:rPr>
              <w:t>.</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b/>
                <w:sz w:val="22"/>
                <w:szCs w:val="22"/>
              </w:rPr>
            </w:pPr>
            <w:r w:rsidRPr="00A66EC8">
              <w:rPr>
                <w:b/>
                <w:sz w:val="22"/>
                <w:szCs w:val="22"/>
              </w:rPr>
              <w:t>Staffing Implications</w:t>
            </w: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jc w:val="both"/>
              <w:rPr>
                <w:rFonts w:cs="Arial"/>
                <w:sz w:val="22"/>
                <w:szCs w:val="22"/>
              </w:rPr>
            </w:pPr>
            <w:r w:rsidRPr="00A66EC8">
              <w:rPr>
                <w:rFonts w:cs="Arial"/>
                <w:sz w:val="22"/>
                <w:szCs w:val="22"/>
              </w:rPr>
              <w:t>1</w:t>
            </w:r>
            <w:r w:rsidR="00613A3E">
              <w:rPr>
                <w:rFonts w:cs="Arial"/>
                <w:sz w:val="22"/>
                <w:szCs w:val="22"/>
              </w:rPr>
              <w:t>5</w:t>
            </w:r>
            <w:r w:rsidRPr="00A66EC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sz w:val="22"/>
                <w:szCs w:val="22"/>
              </w:rPr>
            </w:pPr>
            <w:r w:rsidRPr="00A66EC8">
              <w:rPr>
                <w:sz w:val="22"/>
                <w:szCs w:val="22"/>
              </w:rPr>
              <w:t>These depend on the budget set. The Council has clear policies and procedures in circumstances where it needs to reduce staff levels, for example, redeployments are made wherever possible. Staff and their representatives have been kept informed of the strategic, service and financial planning process.</w:t>
            </w:r>
          </w:p>
          <w:p w:rsidR="00BC3FF3" w:rsidRPr="00A66EC8" w:rsidRDefault="00BC3FF3" w:rsidP="001E0F67">
            <w:pPr>
              <w:jc w:val="both"/>
              <w:rPr>
                <w:sz w:val="22"/>
                <w:szCs w:val="22"/>
              </w:rPr>
            </w:pPr>
          </w:p>
        </w:tc>
      </w:tr>
      <w:tr w:rsidR="00CF7499" w:rsidRPr="00CF7499" w:rsidTr="001E5BA7">
        <w:trPr>
          <w:gridBefore w:val="1"/>
          <w:wBefore w:w="34" w:type="dxa"/>
          <w:trHeight w:val="574"/>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jc w:val="both"/>
              <w:rPr>
                <w:rFonts w:cs="Arial"/>
                <w:sz w:val="22"/>
                <w:szCs w:val="22"/>
              </w:rPr>
            </w:pPr>
            <w:r w:rsidRPr="00A66EC8">
              <w:rPr>
                <w:rFonts w:cs="Arial"/>
                <w:sz w:val="22"/>
                <w:szCs w:val="22"/>
              </w:rPr>
              <w:t>1</w:t>
            </w:r>
            <w:r w:rsidR="00613A3E">
              <w:rPr>
                <w:rFonts w:cs="Arial"/>
                <w:sz w:val="22"/>
                <w:szCs w:val="22"/>
              </w:rPr>
              <w:t>6</w:t>
            </w:r>
            <w:r w:rsidR="00C73A68" w:rsidRPr="00A66EC8">
              <w:rPr>
                <w:rFonts w:cs="Arial"/>
                <w:sz w:val="22"/>
                <w:szCs w:val="22"/>
              </w:rPr>
              <w:t>.</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b/>
                <w:sz w:val="22"/>
                <w:szCs w:val="22"/>
              </w:rPr>
            </w:pPr>
            <w:r w:rsidRPr="00A66EC8">
              <w:rPr>
                <w:b/>
                <w:sz w:val="22"/>
                <w:szCs w:val="22"/>
              </w:rPr>
              <w:t>Risk Management and Health &amp; Safety Implications</w:t>
            </w: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CF7499" w:rsidRDefault="00BC3FF3" w:rsidP="00613A3E">
            <w:pPr>
              <w:jc w:val="both"/>
              <w:rPr>
                <w:rFonts w:cs="Arial"/>
                <w:color w:val="4F81BD" w:themeColor="accent1"/>
                <w:sz w:val="22"/>
                <w:szCs w:val="22"/>
              </w:rPr>
            </w:pPr>
            <w:r w:rsidRPr="00A66EC8">
              <w:rPr>
                <w:rFonts w:cs="Arial"/>
                <w:sz w:val="22"/>
                <w:szCs w:val="22"/>
              </w:rPr>
              <w:t>1</w:t>
            </w:r>
            <w:r w:rsidR="00613A3E">
              <w:rPr>
                <w:rFonts w:cs="Arial"/>
                <w:sz w:val="22"/>
                <w:szCs w:val="22"/>
              </w:rPr>
              <w:t>6</w:t>
            </w:r>
            <w:r w:rsidRPr="00A66EC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CF7499" w:rsidRDefault="00BC3FF3" w:rsidP="001E0F67">
            <w:pPr>
              <w:jc w:val="both"/>
              <w:rPr>
                <w:color w:val="4F81BD" w:themeColor="accent1"/>
                <w:sz w:val="22"/>
                <w:szCs w:val="22"/>
              </w:rPr>
            </w:pPr>
            <w:r w:rsidRPr="00A66EC8">
              <w:rPr>
                <w:sz w:val="22"/>
                <w:szCs w:val="22"/>
              </w:rPr>
              <w:t xml:space="preserve">The Council has agreed its risk management strategy which can be found on the website at </w:t>
            </w:r>
            <w:hyperlink r:id="rId16" w:history="1">
              <w:r w:rsidRPr="00A66EC8">
                <w:rPr>
                  <w:sz w:val="22"/>
                  <w:szCs w:val="22"/>
                </w:rPr>
                <w:t>http://www.threerivers.gov.uk</w:t>
              </w:r>
            </w:hyperlink>
            <w:r w:rsidRPr="00A66EC8">
              <w:rPr>
                <w:sz w:val="22"/>
                <w:szCs w:val="22"/>
              </w:rPr>
              <w:t xml:space="preserve"> . Financial and budgetary risks are shown at </w:t>
            </w:r>
            <w:r w:rsidRPr="0097182F">
              <w:rPr>
                <w:b/>
                <w:sz w:val="22"/>
                <w:szCs w:val="22"/>
              </w:rPr>
              <w:t xml:space="preserve">Appendix </w:t>
            </w:r>
            <w:r w:rsidR="007411A3" w:rsidRPr="0097182F">
              <w:rPr>
                <w:b/>
                <w:sz w:val="22"/>
                <w:szCs w:val="22"/>
              </w:rPr>
              <w:t>7</w:t>
            </w:r>
            <w:r w:rsidR="000F6AB4" w:rsidRPr="0097182F">
              <w:rPr>
                <w:b/>
                <w:sz w:val="22"/>
                <w:szCs w:val="22"/>
              </w:rPr>
              <w:t>.</w:t>
            </w:r>
          </w:p>
          <w:p w:rsidR="00BC3FF3" w:rsidRPr="00CF7499" w:rsidRDefault="00BC3FF3" w:rsidP="001E0F67">
            <w:pPr>
              <w:jc w:val="both"/>
              <w:rPr>
                <w:color w:val="4F81BD" w:themeColor="accent1"/>
                <w:sz w:val="22"/>
                <w:szCs w:val="22"/>
              </w:rPr>
            </w:pPr>
          </w:p>
        </w:tc>
      </w:tr>
      <w:tr w:rsidR="00CF7499" w:rsidRPr="00CF7499" w:rsidTr="001E5BA7">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CF7499" w:rsidRDefault="00BC3FF3" w:rsidP="001E0F67">
            <w:pPr>
              <w:jc w:val="both"/>
              <w:rPr>
                <w:rFonts w:cs="Arial"/>
                <w:color w:val="4F81BD" w:themeColor="accent1"/>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sz w:val="22"/>
                <w:szCs w:val="22"/>
              </w:rPr>
            </w:pPr>
            <w:r w:rsidRPr="00A66EC8">
              <w:rPr>
                <w:sz w:val="22"/>
                <w:szCs w:val="22"/>
              </w:rPr>
              <w:t>In the officers’ opinion none of the risks above, in isolation, were they to come about, would seriously prejudice the achievement of the Strategic Plan and are therefore operational risks that will be included and managed via the Corporate Services Service Plan.  The effectiveness of treatment plans are reviewed by the Audit Committee annually.</w:t>
            </w:r>
          </w:p>
          <w:p w:rsidR="00BC3FF3" w:rsidRPr="00A66EC8" w:rsidRDefault="00BC3FF3" w:rsidP="001E0F67">
            <w:pPr>
              <w:jc w:val="both"/>
              <w:rPr>
                <w:sz w:val="22"/>
                <w:szCs w:val="22"/>
              </w:rPr>
            </w:pPr>
          </w:p>
        </w:tc>
      </w:tr>
      <w:tr w:rsidR="00CF7499" w:rsidRPr="00CF7499" w:rsidTr="001E5BA7">
        <w:trPr>
          <w:gridBefore w:val="1"/>
          <w:wBefore w:w="34" w:type="dxa"/>
          <w:trHeight w:val="426"/>
        </w:trPr>
        <w:tc>
          <w:tcPr>
            <w:cnfStyle w:val="001000000000" w:firstRow="0" w:lastRow="0" w:firstColumn="1" w:lastColumn="0" w:oddVBand="0" w:evenVBand="0" w:oddHBand="0" w:evenHBand="0" w:firstRowFirstColumn="0" w:firstRowLastColumn="0" w:lastRowFirstColumn="0" w:lastRowLastColumn="0"/>
            <w:tcW w:w="959" w:type="dxa"/>
          </w:tcPr>
          <w:p w:rsidR="00BC3FF3" w:rsidRPr="00CF7499" w:rsidRDefault="00BC3FF3" w:rsidP="001E0F67">
            <w:pPr>
              <w:jc w:val="both"/>
              <w:rPr>
                <w:rFonts w:cs="Arial"/>
                <w:color w:val="4F81BD" w:themeColor="accent1"/>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ind w:left="1267" w:hanging="1267"/>
              <w:rPr>
                <w:sz w:val="22"/>
                <w:szCs w:val="22"/>
              </w:rPr>
            </w:pPr>
            <w:r w:rsidRPr="00A66EC8">
              <w:rPr>
                <w:b/>
                <w:sz w:val="22"/>
                <w:szCs w:val="22"/>
              </w:rPr>
              <w:t>Recommendation</w:t>
            </w:r>
          </w:p>
          <w:p w:rsidR="00BC3FF3" w:rsidRPr="00A66EC8" w:rsidRDefault="00BC3FF3" w:rsidP="001E0F67">
            <w:pPr>
              <w:jc w:val="both"/>
              <w:rPr>
                <w:rFonts w:cs="Arial"/>
                <w:b/>
                <w:sz w:val="22"/>
                <w:szCs w:val="22"/>
              </w:rPr>
            </w:pPr>
          </w:p>
        </w:tc>
      </w:tr>
      <w:tr w:rsidR="00CF7499" w:rsidRPr="00CF7499" w:rsidTr="001E5BA7">
        <w:trPr>
          <w:gridBefore w:val="1"/>
          <w:wBefore w:w="34" w:type="dxa"/>
          <w:trHeight w:val="363"/>
        </w:trPr>
        <w:tc>
          <w:tcPr>
            <w:cnfStyle w:val="001000000000" w:firstRow="0" w:lastRow="0" w:firstColumn="1" w:lastColumn="0" w:oddVBand="0" w:evenVBand="0" w:oddHBand="0" w:evenHBand="0" w:firstRowFirstColumn="0" w:firstRowLastColumn="0" w:lastRowFirstColumn="0" w:lastRowLastColumn="0"/>
            <w:tcW w:w="959" w:type="dxa"/>
          </w:tcPr>
          <w:p w:rsidR="00BC3FF3" w:rsidRPr="00CF7499" w:rsidRDefault="00BC3FF3" w:rsidP="001E0F67">
            <w:pPr>
              <w:jc w:val="both"/>
              <w:rPr>
                <w:rFonts w:cs="Arial"/>
                <w:color w:val="4F81BD" w:themeColor="accent1"/>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rPr>
                <w:sz w:val="22"/>
                <w:szCs w:val="22"/>
              </w:rPr>
            </w:pPr>
            <w:r w:rsidRPr="00A66EC8">
              <w:rPr>
                <w:sz w:val="22"/>
                <w:szCs w:val="22"/>
              </w:rPr>
              <w:t xml:space="preserve">That this report be noted. </w:t>
            </w:r>
            <w:r w:rsidRPr="00A66EC8">
              <w:rPr>
                <w:sz w:val="22"/>
                <w:szCs w:val="22"/>
              </w:rPr>
              <w:fldChar w:fldCharType="begin"/>
            </w:r>
            <w:r w:rsidRPr="00A66EC8">
              <w:rPr>
                <w:sz w:val="22"/>
                <w:szCs w:val="22"/>
              </w:rPr>
              <w:instrText xml:space="preserve">  </w:instrText>
            </w:r>
            <w:r w:rsidRPr="00A66EC8">
              <w:rPr>
                <w:sz w:val="22"/>
                <w:szCs w:val="22"/>
              </w:rPr>
              <w:fldChar w:fldCharType="end"/>
            </w:r>
            <w:r w:rsidRPr="00A66EC8">
              <w:rPr>
                <w:sz w:val="22"/>
                <w:szCs w:val="22"/>
              </w:rPr>
              <w:t xml:space="preserve"> </w:t>
            </w:r>
          </w:p>
        </w:tc>
      </w:tr>
      <w:tr w:rsidR="00DB00E6" w:rsidRPr="00CF7499" w:rsidTr="001070D5">
        <w:trPr>
          <w:gridBefore w:val="1"/>
          <w:wBefore w:w="34" w:type="dxa"/>
          <w:trHeight w:val="3353"/>
        </w:trPr>
        <w:tc>
          <w:tcPr>
            <w:cnfStyle w:val="001000000000" w:firstRow="0" w:lastRow="0" w:firstColumn="1" w:lastColumn="0" w:oddVBand="0" w:evenVBand="0" w:oddHBand="0" w:evenHBand="0" w:firstRowFirstColumn="0" w:firstRowLastColumn="0" w:lastRowFirstColumn="0" w:lastRowLastColumn="0"/>
            <w:tcW w:w="959" w:type="dxa"/>
          </w:tcPr>
          <w:p w:rsidR="00DB00E6" w:rsidRPr="00CF7499" w:rsidRDefault="00DB00E6" w:rsidP="001E0F67">
            <w:pPr>
              <w:jc w:val="both"/>
              <w:rPr>
                <w:rFonts w:cs="Arial"/>
                <w:color w:val="4F81BD" w:themeColor="accent1"/>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DB00E6" w:rsidRDefault="00DB00E6" w:rsidP="00DB00E6">
            <w:pPr>
              <w:ind w:left="1267" w:hanging="1267"/>
              <w:rPr>
                <w:sz w:val="22"/>
                <w:szCs w:val="22"/>
              </w:rPr>
            </w:pPr>
            <w:r w:rsidRPr="0099434D">
              <w:rPr>
                <w:sz w:val="22"/>
                <w:szCs w:val="22"/>
              </w:rPr>
              <w:t>Report prepared by:</w:t>
            </w:r>
          </w:p>
          <w:p w:rsidR="00DB00E6" w:rsidRPr="0099434D" w:rsidRDefault="00DB00E6" w:rsidP="00DB00E6">
            <w:pPr>
              <w:ind w:left="1267" w:hanging="1267"/>
              <w:rPr>
                <w:sz w:val="22"/>
                <w:szCs w:val="22"/>
              </w:rPr>
            </w:pPr>
            <w:r w:rsidRPr="0099434D">
              <w:rPr>
                <w:sz w:val="22"/>
                <w:szCs w:val="22"/>
              </w:rPr>
              <w:tab/>
            </w:r>
          </w:p>
          <w:p w:rsidR="00DB00E6" w:rsidRPr="0099434D" w:rsidRDefault="00DB00E6" w:rsidP="00DB00E6">
            <w:pPr>
              <w:ind w:left="1267" w:hanging="1267"/>
              <w:rPr>
                <w:sz w:val="22"/>
                <w:szCs w:val="22"/>
              </w:rPr>
            </w:pPr>
            <w:r w:rsidRPr="0099434D">
              <w:rPr>
                <w:sz w:val="22"/>
                <w:szCs w:val="22"/>
              </w:rPr>
              <w:t>Bob Watson – Head of Finance</w:t>
            </w:r>
          </w:p>
          <w:p w:rsidR="00DB00E6" w:rsidRPr="0099434D" w:rsidRDefault="00DB00E6" w:rsidP="00DB00E6">
            <w:pPr>
              <w:ind w:left="1267" w:hanging="1267"/>
              <w:rPr>
                <w:sz w:val="22"/>
                <w:szCs w:val="22"/>
              </w:rPr>
            </w:pPr>
            <w:r w:rsidRPr="0099434D">
              <w:rPr>
                <w:sz w:val="22"/>
                <w:szCs w:val="22"/>
              </w:rPr>
              <w:t>Nigel Pollard – Section Head (Accountancy)</w:t>
            </w:r>
          </w:p>
          <w:p w:rsidR="00DB00E6" w:rsidRPr="00CF7499" w:rsidRDefault="00DB00E6" w:rsidP="00DB00E6">
            <w:pPr>
              <w:rPr>
                <w:color w:val="4F81BD" w:themeColor="accent1"/>
                <w:sz w:val="22"/>
                <w:szCs w:val="22"/>
              </w:rPr>
            </w:pPr>
          </w:p>
          <w:p w:rsidR="00DB00E6" w:rsidRPr="00A66EC8" w:rsidRDefault="00DB00E6" w:rsidP="00DB00E6">
            <w:pPr>
              <w:ind w:left="1267" w:hanging="1267"/>
              <w:rPr>
                <w:b/>
                <w:sz w:val="22"/>
                <w:szCs w:val="22"/>
              </w:rPr>
            </w:pPr>
            <w:r w:rsidRPr="00A66EC8">
              <w:rPr>
                <w:b/>
                <w:sz w:val="22"/>
                <w:szCs w:val="22"/>
              </w:rPr>
              <w:t>Background Papers</w:t>
            </w:r>
          </w:p>
          <w:p w:rsidR="00DB00E6" w:rsidRPr="00A66EC8" w:rsidRDefault="00DB00E6" w:rsidP="00DB00E6">
            <w:pPr>
              <w:ind w:left="1267" w:hanging="1267"/>
              <w:rPr>
                <w:b/>
                <w:sz w:val="22"/>
                <w:szCs w:val="22"/>
              </w:rPr>
            </w:pPr>
          </w:p>
          <w:p w:rsidR="00DB00E6" w:rsidRDefault="00DB00E6" w:rsidP="00DB00E6">
            <w:pPr>
              <w:outlineLvl w:val="0"/>
              <w:rPr>
                <w:sz w:val="22"/>
              </w:rPr>
            </w:pPr>
            <w:r w:rsidRPr="00A66EC8">
              <w:rPr>
                <w:b/>
                <w:sz w:val="22"/>
                <w:szCs w:val="22"/>
              </w:rPr>
              <w:fldChar w:fldCharType="begin"/>
            </w:r>
            <w:r w:rsidRPr="00A66EC8">
              <w:rPr>
                <w:b/>
                <w:sz w:val="22"/>
                <w:szCs w:val="22"/>
              </w:rPr>
              <w:instrText xml:space="preserve">  </w:instrText>
            </w:r>
            <w:r w:rsidRPr="00A66EC8">
              <w:rPr>
                <w:b/>
                <w:sz w:val="22"/>
                <w:szCs w:val="22"/>
              </w:rPr>
              <w:fldChar w:fldCharType="end"/>
            </w:r>
            <w:r w:rsidRPr="00A66EC8">
              <w:rPr>
                <w:sz w:val="22"/>
              </w:rPr>
              <w:t>Reports and Minutes of;</w:t>
            </w:r>
          </w:p>
          <w:p w:rsidR="00DB00E6" w:rsidRPr="00A66EC8" w:rsidRDefault="00DB00E6" w:rsidP="00DB00E6">
            <w:pPr>
              <w:outlineLvl w:val="0"/>
              <w:rPr>
                <w:sz w:val="22"/>
              </w:rPr>
            </w:pPr>
          </w:p>
          <w:p w:rsidR="00DB00E6" w:rsidRPr="00A66EC8" w:rsidRDefault="00DB00E6" w:rsidP="00DB00E6">
            <w:pPr>
              <w:numPr>
                <w:ilvl w:val="0"/>
                <w:numId w:val="8"/>
              </w:numPr>
              <w:outlineLvl w:val="0"/>
              <w:rPr>
                <w:sz w:val="22"/>
              </w:rPr>
            </w:pPr>
            <w:r w:rsidRPr="00A66EC8">
              <w:rPr>
                <w:sz w:val="22"/>
              </w:rPr>
              <w:t>The Policy and Resources Committee</w:t>
            </w:r>
          </w:p>
          <w:p w:rsidR="00DB00E6" w:rsidRPr="00A66EC8" w:rsidRDefault="00DB00E6" w:rsidP="00DB00E6">
            <w:pPr>
              <w:numPr>
                <w:ilvl w:val="0"/>
                <w:numId w:val="8"/>
              </w:numPr>
              <w:outlineLvl w:val="0"/>
              <w:rPr>
                <w:sz w:val="22"/>
              </w:rPr>
            </w:pPr>
            <w:r w:rsidRPr="00A66EC8">
              <w:rPr>
                <w:sz w:val="22"/>
              </w:rPr>
              <w:t>Council</w:t>
            </w:r>
          </w:p>
          <w:p w:rsidR="00DB00E6" w:rsidRPr="00A66EC8" w:rsidRDefault="00DB00E6" w:rsidP="001070D5">
            <w:pPr>
              <w:numPr>
                <w:ilvl w:val="0"/>
                <w:numId w:val="8"/>
              </w:numPr>
              <w:outlineLvl w:val="0"/>
              <w:rPr>
                <w:sz w:val="22"/>
                <w:szCs w:val="22"/>
              </w:rPr>
            </w:pPr>
            <w:r w:rsidRPr="00A66EC8">
              <w:rPr>
                <w:sz w:val="22"/>
                <w:szCs w:val="22"/>
              </w:rPr>
              <w:t>The Strategic Service Review Working Party</w:t>
            </w:r>
          </w:p>
        </w:tc>
      </w:tr>
      <w:tr w:rsidR="00CF7499" w:rsidRPr="00CF7499" w:rsidTr="001E5BA7">
        <w:trPr>
          <w:gridBefore w:val="1"/>
          <w:cnfStyle w:val="010000000000" w:firstRow="0" w:lastRow="1" w:firstColumn="0" w:lastColumn="0" w:oddVBand="0" w:evenVBand="0" w:oddHBand="0" w:evenHBand="0" w:firstRowFirstColumn="0" w:firstRowLastColumn="0" w:lastRowFirstColumn="0" w:lastRowLastColumn="0"/>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CF7499" w:rsidRDefault="00BC3FF3" w:rsidP="001E0F67">
            <w:pPr>
              <w:jc w:val="both"/>
              <w:rPr>
                <w:rFonts w:cs="Arial"/>
                <w:color w:val="4F81BD" w:themeColor="accent1"/>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BC3FF3" w:rsidRPr="00CF7499" w:rsidRDefault="00BC3FF3" w:rsidP="001E0F67">
            <w:pPr>
              <w:jc w:val="both"/>
              <w:rPr>
                <w:rFonts w:cs="Arial"/>
                <w:b/>
                <w:color w:val="4F81BD" w:themeColor="accent1"/>
                <w:sz w:val="22"/>
                <w:szCs w:val="22"/>
              </w:rPr>
            </w:pPr>
            <w:r w:rsidRPr="00A66EC8">
              <w:rPr>
                <w:b/>
                <w:i/>
                <w:sz w:val="22"/>
                <w:szCs w:val="22"/>
              </w:rPr>
              <w:t>The recommendations contained in this report DO NOT constitute a KEY DECISION but contribute to the process whereby the Council will approve and adopt its Strategic, Service and Financial Plans under Article 4 of the Council’s Constitution</w:t>
            </w:r>
          </w:p>
        </w:tc>
      </w:tr>
    </w:tbl>
    <w:p w:rsidR="00EB3661" w:rsidRDefault="00EB3661" w:rsidP="00B67F70">
      <w:pPr>
        <w:jc w:val="both"/>
        <w:rPr>
          <w:rFonts w:cs="Arial"/>
          <w:color w:val="4F81BD" w:themeColor="accent1"/>
          <w:sz w:val="22"/>
          <w:szCs w:val="22"/>
          <w:u w:val="single"/>
        </w:rPr>
      </w:pPr>
    </w:p>
    <w:p w:rsidR="00896082" w:rsidRDefault="00896082" w:rsidP="00B67F70">
      <w:pPr>
        <w:jc w:val="both"/>
        <w:rPr>
          <w:rFonts w:cs="Arial"/>
          <w:b/>
          <w:sz w:val="22"/>
          <w:szCs w:val="22"/>
        </w:rPr>
      </w:pPr>
    </w:p>
    <w:p w:rsidR="00B67F70" w:rsidRPr="00331012" w:rsidRDefault="00B67F70" w:rsidP="00B67F70">
      <w:pPr>
        <w:jc w:val="both"/>
        <w:rPr>
          <w:rFonts w:cs="Arial"/>
          <w:b/>
          <w:sz w:val="22"/>
          <w:szCs w:val="22"/>
        </w:rPr>
      </w:pPr>
      <w:r w:rsidRPr="00331012">
        <w:rPr>
          <w:rFonts w:cs="Arial"/>
          <w:b/>
          <w:sz w:val="22"/>
          <w:szCs w:val="22"/>
        </w:rPr>
        <w:t xml:space="preserve">Appendices </w:t>
      </w:r>
    </w:p>
    <w:p w:rsidR="00B67F70" w:rsidRPr="00CF7499" w:rsidRDefault="00B67F70" w:rsidP="00B67F70">
      <w:pPr>
        <w:jc w:val="both"/>
        <w:rPr>
          <w:rFonts w:cs="Arial"/>
          <w:color w:val="4F81BD" w:themeColor="accent1"/>
          <w:sz w:val="22"/>
          <w:szCs w:val="22"/>
          <w:u w:val="single"/>
        </w:rPr>
      </w:pP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4"/>
        <w:gridCol w:w="6521"/>
      </w:tblGrid>
      <w:tr w:rsidR="00CF7499" w:rsidRPr="00CF7499" w:rsidTr="005770BA">
        <w:tc>
          <w:tcPr>
            <w:tcW w:w="1984" w:type="dxa"/>
          </w:tcPr>
          <w:p w:rsidR="00B67F70" w:rsidRPr="00331012" w:rsidRDefault="00B67F70" w:rsidP="005770BA">
            <w:pPr>
              <w:spacing w:after="60"/>
              <w:rPr>
                <w:rFonts w:cs="Arial"/>
                <w:sz w:val="22"/>
                <w:szCs w:val="22"/>
              </w:rPr>
            </w:pPr>
            <w:r w:rsidRPr="00331012">
              <w:rPr>
                <w:rFonts w:cs="Arial"/>
                <w:sz w:val="22"/>
                <w:szCs w:val="22"/>
              </w:rPr>
              <w:t>Appendix 1</w:t>
            </w:r>
          </w:p>
        </w:tc>
        <w:tc>
          <w:tcPr>
            <w:tcW w:w="6521" w:type="dxa"/>
          </w:tcPr>
          <w:p w:rsidR="00B67F70" w:rsidRPr="00CF7499" w:rsidRDefault="00AF0064" w:rsidP="00F933B6">
            <w:pPr>
              <w:spacing w:after="60"/>
              <w:rPr>
                <w:rFonts w:cs="Arial"/>
                <w:color w:val="4F81BD" w:themeColor="accent1"/>
                <w:sz w:val="22"/>
                <w:szCs w:val="22"/>
              </w:rPr>
            </w:pPr>
            <w:r w:rsidRPr="00534318">
              <w:rPr>
                <w:rFonts w:cs="Arial"/>
                <w:sz w:val="22"/>
                <w:szCs w:val="22"/>
              </w:rPr>
              <w:t xml:space="preserve">Summary </w:t>
            </w:r>
            <w:r w:rsidR="00C748FC" w:rsidRPr="00534318">
              <w:rPr>
                <w:rFonts w:cs="Arial"/>
                <w:sz w:val="22"/>
                <w:szCs w:val="22"/>
              </w:rPr>
              <w:t xml:space="preserve">Medium Term Financial </w:t>
            </w:r>
            <w:r w:rsidR="00F933B6" w:rsidRPr="00534318">
              <w:rPr>
                <w:rFonts w:cs="Arial"/>
                <w:sz w:val="22"/>
                <w:szCs w:val="22"/>
              </w:rPr>
              <w:t>Plan</w:t>
            </w:r>
            <w:r w:rsidR="00C748FC" w:rsidRPr="00534318">
              <w:rPr>
                <w:rFonts w:cs="Arial"/>
                <w:sz w:val="22"/>
                <w:szCs w:val="22"/>
              </w:rPr>
              <w:t xml:space="preserve"> </w:t>
            </w:r>
            <w:r w:rsidR="00331012" w:rsidRPr="00534318">
              <w:rPr>
                <w:rFonts w:cs="Arial"/>
                <w:sz w:val="22"/>
                <w:szCs w:val="22"/>
              </w:rPr>
              <w:t>(</w:t>
            </w:r>
            <w:r w:rsidR="008C436D" w:rsidRPr="00534318">
              <w:rPr>
                <w:rFonts w:cs="Arial"/>
                <w:sz w:val="22"/>
                <w:szCs w:val="22"/>
              </w:rPr>
              <w:t>2016-20</w:t>
            </w:r>
            <w:r w:rsidR="00331012" w:rsidRPr="00534318">
              <w:rPr>
                <w:rFonts w:cs="Arial"/>
                <w:sz w:val="22"/>
                <w:szCs w:val="22"/>
              </w:rPr>
              <w:t>20)</w:t>
            </w:r>
          </w:p>
        </w:tc>
      </w:tr>
      <w:tr w:rsidR="00CF7499" w:rsidRPr="00CF7499" w:rsidTr="00AF0064">
        <w:trPr>
          <w:trHeight w:val="258"/>
        </w:trPr>
        <w:tc>
          <w:tcPr>
            <w:tcW w:w="1984" w:type="dxa"/>
          </w:tcPr>
          <w:p w:rsidR="00F92932" w:rsidRPr="00331012" w:rsidRDefault="00F92932" w:rsidP="005770BA">
            <w:pPr>
              <w:spacing w:after="60"/>
              <w:rPr>
                <w:rFonts w:cs="Arial"/>
                <w:sz w:val="22"/>
                <w:szCs w:val="22"/>
              </w:rPr>
            </w:pPr>
            <w:r w:rsidRPr="00331012">
              <w:rPr>
                <w:rFonts w:cs="Arial"/>
                <w:sz w:val="22"/>
                <w:szCs w:val="22"/>
              </w:rPr>
              <w:t>Appendix 2</w:t>
            </w:r>
            <w:r w:rsidR="005770BA" w:rsidRPr="00331012">
              <w:rPr>
                <w:rFonts w:cs="Arial"/>
                <w:sz w:val="22"/>
                <w:szCs w:val="22"/>
              </w:rPr>
              <w:t xml:space="preserve"> </w:t>
            </w:r>
          </w:p>
        </w:tc>
        <w:tc>
          <w:tcPr>
            <w:tcW w:w="6521" w:type="dxa"/>
          </w:tcPr>
          <w:p w:rsidR="00F92932" w:rsidRPr="00CF7499" w:rsidRDefault="00AF0064" w:rsidP="008C436D">
            <w:pPr>
              <w:spacing w:after="60"/>
              <w:rPr>
                <w:color w:val="4F81BD" w:themeColor="accent1"/>
                <w:sz w:val="22"/>
                <w:szCs w:val="22"/>
              </w:rPr>
            </w:pPr>
            <w:r w:rsidRPr="000D2D66">
              <w:rPr>
                <w:rFonts w:cs="Arial"/>
                <w:sz w:val="22"/>
                <w:szCs w:val="22"/>
              </w:rPr>
              <w:t xml:space="preserve">Service Committees Medium term Financial Plan </w:t>
            </w:r>
            <w:r w:rsidR="00331012" w:rsidRPr="000D2D66">
              <w:rPr>
                <w:rFonts w:cs="Arial"/>
                <w:sz w:val="22"/>
                <w:szCs w:val="22"/>
              </w:rPr>
              <w:t>(</w:t>
            </w:r>
            <w:r w:rsidRPr="000D2D66">
              <w:rPr>
                <w:rFonts w:cs="Arial"/>
                <w:sz w:val="22"/>
                <w:szCs w:val="22"/>
              </w:rPr>
              <w:t>201</w:t>
            </w:r>
            <w:r w:rsidR="008C436D" w:rsidRPr="000D2D66">
              <w:rPr>
                <w:rFonts w:cs="Arial"/>
                <w:sz w:val="22"/>
                <w:szCs w:val="22"/>
              </w:rPr>
              <w:t>6</w:t>
            </w:r>
            <w:r w:rsidRPr="000D2D66">
              <w:rPr>
                <w:rFonts w:cs="Arial"/>
                <w:sz w:val="22"/>
                <w:szCs w:val="22"/>
              </w:rPr>
              <w:t>-</w:t>
            </w:r>
            <w:r w:rsidR="0023732C" w:rsidRPr="000D2D66">
              <w:rPr>
                <w:rFonts w:cs="Arial"/>
                <w:sz w:val="22"/>
                <w:szCs w:val="22"/>
              </w:rPr>
              <w:t>2</w:t>
            </w:r>
            <w:r w:rsidR="009B5C2A" w:rsidRPr="000D2D66">
              <w:rPr>
                <w:rFonts w:cs="Arial"/>
                <w:sz w:val="22"/>
                <w:szCs w:val="22"/>
              </w:rPr>
              <w:t>0</w:t>
            </w:r>
            <w:r w:rsidR="008C436D" w:rsidRPr="000D2D66">
              <w:rPr>
                <w:rFonts w:cs="Arial"/>
                <w:sz w:val="22"/>
                <w:szCs w:val="22"/>
              </w:rPr>
              <w:t>20</w:t>
            </w:r>
            <w:r w:rsidR="00331012" w:rsidRPr="000D2D66">
              <w:rPr>
                <w:rFonts w:cs="Arial"/>
                <w:sz w:val="22"/>
                <w:szCs w:val="22"/>
              </w:rPr>
              <w:t>)</w:t>
            </w:r>
          </w:p>
        </w:tc>
      </w:tr>
      <w:tr w:rsidR="00CF7499" w:rsidRPr="00CF7499" w:rsidTr="00AF0064">
        <w:trPr>
          <w:trHeight w:val="219"/>
        </w:trPr>
        <w:tc>
          <w:tcPr>
            <w:tcW w:w="1984" w:type="dxa"/>
          </w:tcPr>
          <w:p w:rsidR="00AF0064" w:rsidRPr="00331012" w:rsidRDefault="00AF0064" w:rsidP="005770BA">
            <w:pPr>
              <w:spacing w:after="60"/>
              <w:rPr>
                <w:rFonts w:cs="Arial"/>
                <w:sz w:val="22"/>
                <w:szCs w:val="22"/>
              </w:rPr>
            </w:pPr>
            <w:r w:rsidRPr="00331012">
              <w:rPr>
                <w:rFonts w:cs="Arial"/>
                <w:sz w:val="22"/>
                <w:szCs w:val="22"/>
              </w:rPr>
              <w:t>Appendix 3</w:t>
            </w:r>
          </w:p>
        </w:tc>
        <w:tc>
          <w:tcPr>
            <w:tcW w:w="6521" w:type="dxa"/>
          </w:tcPr>
          <w:p w:rsidR="00AF0064" w:rsidRPr="00CF7499" w:rsidRDefault="00AF0064" w:rsidP="00331012">
            <w:pPr>
              <w:rPr>
                <w:rFonts w:cs="Arial"/>
                <w:color w:val="4F81BD" w:themeColor="accent1"/>
                <w:sz w:val="22"/>
                <w:szCs w:val="22"/>
              </w:rPr>
            </w:pPr>
            <w:r w:rsidRPr="0083402D">
              <w:rPr>
                <w:rFonts w:cs="Arial"/>
                <w:sz w:val="22"/>
                <w:szCs w:val="22"/>
              </w:rPr>
              <w:t xml:space="preserve">Service Committees Variances at </w:t>
            </w:r>
            <w:r w:rsidR="00331012" w:rsidRPr="0083402D">
              <w:rPr>
                <w:rFonts w:cs="Arial"/>
                <w:sz w:val="22"/>
                <w:szCs w:val="22"/>
              </w:rPr>
              <w:t>P</w:t>
            </w:r>
            <w:r w:rsidRPr="0083402D">
              <w:rPr>
                <w:rFonts w:cs="Arial"/>
                <w:sz w:val="22"/>
                <w:szCs w:val="22"/>
              </w:rPr>
              <w:t xml:space="preserve">eriod 9 </w:t>
            </w:r>
            <w:r w:rsidR="00331012" w:rsidRPr="0083402D">
              <w:rPr>
                <w:rFonts w:cs="Arial"/>
                <w:sz w:val="22"/>
                <w:szCs w:val="22"/>
              </w:rPr>
              <w:t>(</w:t>
            </w:r>
            <w:r w:rsidRPr="0083402D">
              <w:rPr>
                <w:rFonts w:cs="Arial"/>
                <w:sz w:val="22"/>
                <w:szCs w:val="22"/>
              </w:rPr>
              <w:t>201</w:t>
            </w:r>
            <w:r w:rsidR="008C436D" w:rsidRPr="0083402D">
              <w:rPr>
                <w:rFonts w:cs="Arial"/>
                <w:sz w:val="22"/>
                <w:szCs w:val="22"/>
              </w:rPr>
              <w:t>6</w:t>
            </w:r>
            <w:r w:rsidRPr="0083402D">
              <w:rPr>
                <w:rFonts w:cs="Arial"/>
                <w:sz w:val="22"/>
                <w:szCs w:val="22"/>
              </w:rPr>
              <w:t>-</w:t>
            </w:r>
            <w:r w:rsidR="009B5C2A" w:rsidRPr="0083402D">
              <w:rPr>
                <w:rFonts w:cs="Arial"/>
                <w:sz w:val="22"/>
                <w:szCs w:val="22"/>
              </w:rPr>
              <w:t>20</w:t>
            </w:r>
            <w:r w:rsidR="008C436D" w:rsidRPr="0083402D">
              <w:rPr>
                <w:rFonts w:cs="Arial"/>
                <w:sz w:val="22"/>
                <w:szCs w:val="22"/>
              </w:rPr>
              <w:t>20</w:t>
            </w:r>
            <w:r w:rsidR="00331012" w:rsidRPr="0083402D">
              <w:rPr>
                <w:rFonts w:cs="Arial"/>
                <w:sz w:val="22"/>
                <w:szCs w:val="22"/>
              </w:rPr>
              <w:t>)</w:t>
            </w:r>
          </w:p>
        </w:tc>
      </w:tr>
      <w:tr w:rsidR="00CF7499" w:rsidRPr="00CF7499" w:rsidTr="005770BA">
        <w:tc>
          <w:tcPr>
            <w:tcW w:w="1984" w:type="dxa"/>
          </w:tcPr>
          <w:p w:rsidR="000F6AB4" w:rsidRPr="00331012" w:rsidRDefault="000F6AB4" w:rsidP="00331012">
            <w:pPr>
              <w:spacing w:after="60"/>
              <w:rPr>
                <w:rFonts w:cs="Arial"/>
                <w:sz w:val="22"/>
                <w:szCs w:val="22"/>
              </w:rPr>
            </w:pPr>
            <w:r w:rsidRPr="00331012">
              <w:rPr>
                <w:rFonts w:cs="Arial"/>
                <w:sz w:val="22"/>
                <w:szCs w:val="22"/>
              </w:rPr>
              <w:t>Appendix 4</w:t>
            </w:r>
          </w:p>
        </w:tc>
        <w:tc>
          <w:tcPr>
            <w:tcW w:w="6521" w:type="dxa"/>
          </w:tcPr>
          <w:p w:rsidR="000F6AB4" w:rsidRPr="00CF7499" w:rsidRDefault="00331012" w:rsidP="00D6546E">
            <w:pPr>
              <w:spacing w:after="60"/>
              <w:rPr>
                <w:rFonts w:cs="Arial"/>
                <w:color w:val="4F81BD" w:themeColor="accent1"/>
                <w:sz w:val="22"/>
                <w:szCs w:val="22"/>
              </w:rPr>
            </w:pPr>
            <w:r w:rsidRPr="0097182F">
              <w:rPr>
                <w:rFonts w:cs="Arial"/>
                <w:sz w:val="22"/>
                <w:szCs w:val="22"/>
              </w:rPr>
              <w:t>Scheme for Prioritising Growth</w:t>
            </w:r>
          </w:p>
        </w:tc>
      </w:tr>
      <w:tr w:rsidR="00CF7499" w:rsidRPr="00CF7499" w:rsidTr="005770BA">
        <w:tc>
          <w:tcPr>
            <w:tcW w:w="1984" w:type="dxa"/>
          </w:tcPr>
          <w:p w:rsidR="00921244" w:rsidRPr="00331012" w:rsidRDefault="00921244" w:rsidP="00331012">
            <w:pPr>
              <w:spacing w:after="60"/>
              <w:rPr>
                <w:rFonts w:cs="Arial"/>
                <w:sz w:val="22"/>
                <w:szCs w:val="22"/>
              </w:rPr>
            </w:pPr>
            <w:r w:rsidRPr="00331012">
              <w:rPr>
                <w:rFonts w:cs="Arial"/>
                <w:sz w:val="22"/>
                <w:szCs w:val="22"/>
              </w:rPr>
              <w:t xml:space="preserve">Appendix </w:t>
            </w:r>
            <w:r w:rsidR="00331012" w:rsidRPr="00331012">
              <w:rPr>
                <w:rFonts w:cs="Arial"/>
                <w:sz w:val="22"/>
                <w:szCs w:val="22"/>
              </w:rPr>
              <w:t>5</w:t>
            </w:r>
          </w:p>
        </w:tc>
        <w:tc>
          <w:tcPr>
            <w:tcW w:w="6521" w:type="dxa"/>
          </w:tcPr>
          <w:p w:rsidR="00921244" w:rsidRPr="00CF7499" w:rsidRDefault="00331012" w:rsidP="00B0732F">
            <w:pPr>
              <w:spacing w:after="60"/>
              <w:rPr>
                <w:rFonts w:cs="Arial"/>
                <w:color w:val="4F81BD" w:themeColor="accent1"/>
                <w:sz w:val="22"/>
                <w:szCs w:val="22"/>
              </w:rPr>
            </w:pPr>
            <w:r w:rsidRPr="0097182F">
              <w:rPr>
                <w:rFonts w:cs="Arial"/>
                <w:sz w:val="22"/>
                <w:szCs w:val="22"/>
              </w:rPr>
              <w:t>Potential Growth</w:t>
            </w:r>
          </w:p>
        </w:tc>
      </w:tr>
      <w:tr w:rsidR="00CF7499" w:rsidRPr="00CF7499" w:rsidTr="005770BA">
        <w:tc>
          <w:tcPr>
            <w:tcW w:w="1984" w:type="dxa"/>
          </w:tcPr>
          <w:p w:rsidR="00921244" w:rsidRPr="00331012" w:rsidRDefault="00921244" w:rsidP="00331012">
            <w:pPr>
              <w:spacing w:after="60"/>
            </w:pPr>
            <w:r w:rsidRPr="00331012">
              <w:rPr>
                <w:rFonts w:cs="Arial"/>
                <w:sz w:val="22"/>
                <w:szCs w:val="22"/>
              </w:rPr>
              <w:t xml:space="preserve">Appendix </w:t>
            </w:r>
            <w:r w:rsidR="00331012" w:rsidRPr="00331012">
              <w:rPr>
                <w:rFonts w:cs="Arial"/>
                <w:sz w:val="22"/>
                <w:szCs w:val="22"/>
              </w:rPr>
              <w:t>6</w:t>
            </w:r>
          </w:p>
        </w:tc>
        <w:tc>
          <w:tcPr>
            <w:tcW w:w="6521" w:type="dxa"/>
          </w:tcPr>
          <w:p w:rsidR="00921244" w:rsidRPr="00CF7499" w:rsidRDefault="00331012" w:rsidP="00D6546E">
            <w:pPr>
              <w:spacing w:after="60"/>
              <w:rPr>
                <w:rFonts w:cs="Arial"/>
                <w:color w:val="4F81BD" w:themeColor="accent1"/>
                <w:sz w:val="22"/>
                <w:szCs w:val="22"/>
              </w:rPr>
            </w:pPr>
            <w:r w:rsidRPr="00DF332A">
              <w:rPr>
                <w:rFonts w:cs="Arial"/>
                <w:sz w:val="22"/>
                <w:szCs w:val="22"/>
              </w:rPr>
              <w:t>Proposed Fees &amp; Charges</w:t>
            </w:r>
          </w:p>
        </w:tc>
      </w:tr>
      <w:tr w:rsidR="00CF7499" w:rsidRPr="00CF7499" w:rsidTr="005770BA">
        <w:tc>
          <w:tcPr>
            <w:tcW w:w="1984" w:type="dxa"/>
          </w:tcPr>
          <w:p w:rsidR="00921244" w:rsidRPr="00331012" w:rsidRDefault="00921244" w:rsidP="00331012">
            <w:pPr>
              <w:spacing w:after="60"/>
              <w:rPr>
                <w:rFonts w:cs="Arial"/>
                <w:sz w:val="22"/>
                <w:szCs w:val="22"/>
              </w:rPr>
            </w:pPr>
            <w:r w:rsidRPr="00331012">
              <w:rPr>
                <w:rFonts w:cs="Arial"/>
                <w:sz w:val="22"/>
                <w:szCs w:val="22"/>
              </w:rPr>
              <w:t xml:space="preserve">Appendix </w:t>
            </w:r>
            <w:r w:rsidR="00331012" w:rsidRPr="00331012">
              <w:rPr>
                <w:rFonts w:cs="Arial"/>
                <w:sz w:val="22"/>
                <w:szCs w:val="22"/>
              </w:rPr>
              <w:t>7</w:t>
            </w:r>
          </w:p>
        </w:tc>
        <w:tc>
          <w:tcPr>
            <w:tcW w:w="6521" w:type="dxa"/>
          </w:tcPr>
          <w:p w:rsidR="00921244" w:rsidRPr="00CF7499" w:rsidRDefault="00331012" w:rsidP="00D6546E">
            <w:pPr>
              <w:spacing w:after="60"/>
              <w:rPr>
                <w:rFonts w:cs="Arial"/>
                <w:color w:val="4F81BD" w:themeColor="accent1"/>
                <w:sz w:val="22"/>
                <w:szCs w:val="22"/>
              </w:rPr>
            </w:pPr>
            <w:r w:rsidRPr="0097182F">
              <w:rPr>
                <w:rFonts w:cs="Arial"/>
                <w:sz w:val="22"/>
                <w:szCs w:val="22"/>
              </w:rPr>
              <w:t>Financial and Budgetary Key Risks</w:t>
            </w:r>
          </w:p>
        </w:tc>
      </w:tr>
      <w:tr w:rsidR="00CF7499" w:rsidRPr="00CF7499" w:rsidTr="005770BA">
        <w:tc>
          <w:tcPr>
            <w:tcW w:w="1984" w:type="dxa"/>
          </w:tcPr>
          <w:p w:rsidR="00921244" w:rsidRPr="00CF7499" w:rsidRDefault="00921244" w:rsidP="007352EF">
            <w:pPr>
              <w:spacing w:after="60"/>
              <w:rPr>
                <w:rFonts w:cs="Arial"/>
                <w:color w:val="4F81BD" w:themeColor="accent1"/>
                <w:sz w:val="22"/>
                <w:szCs w:val="22"/>
              </w:rPr>
            </w:pPr>
          </w:p>
        </w:tc>
        <w:tc>
          <w:tcPr>
            <w:tcW w:w="6521" w:type="dxa"/>
          </w:tcPr>
          <w:p w:rsidR="00921244" w:rsidRPr="00CF7499" w:rsidRDefault="00921244" w:rsidP="00D6546E">
            <w:pPr>
              <w:spacing w:after="60"/>
              <w:rPr>
                <w:rFonts w:cs="Arial"/>
                <w:color w:val="4F81BD" w:themeColor="accent1"/>
                <w:sz w:val="22"/>
                <w:szCs w:val="22"/>
              </w:rPr>
            </w:pPr>
          </w:p>
        </w:tc>
      </w:tr>
    </w:tbl>
    <w:p w:rsidR="009B5C2A" w:rsidRPr="00CF7499" w:rsidRDefault="009B5C2A" w:rsidP="00B936EB">
      <w:pPr>
        <w:jc w:val="right"/>
        <w:rPr>
          <w:rFonts w:cs="Arial"/>
          <w:b/>
          <w:color w:val="4F81BD" w:themeColor="accent1"/>
          <w:sz w:val="22"/>
          <w:szCs w:val="22"/>
        </w:rPr>
      </w:pPr>
    </w:p>
    <w:p w:rsidR="009B5C2A" w:rsidRPr="00CF7499" w:rsidRDefault="009B5C2A" w:rsidP="00B936EB">
      <w:pPr>
        <w:jc w:val="right"/>
        <w:rPr>
          <w:rFonts w:cs="Arial"/>
          <w:b/>
          <w:color w:val="4F81BD" w:themeColor="accent1"/>
          <w:sz w:val="22"/>
          <w:szCs w:val="22"/>
        </w:rPr>
      </w:pPr>
    </w:p>
    <w:p w:rsidR="009B5C2A" w:rsidRPr="00CF7499" w:rsidRDefault="009B5C2A" w:rsidP="00B936EB">
      <w:pPr>
        <w:jc w:val="right"/>
        <w:rPr>
          <w:rFonts w:cs="Arial"/>
          <w:b/>
          <w:color w:val="4F81BD" w:themeColor="accent1"/>
          <w:sz w:val="22"/>
          <w:szCs w:val="22"/>
        </w:rPr>
      </w:pPr>
    </w:p>
    <w:p w:rsidR="009B5C2A" w:rsidRDefault="009B5C2A" w:rsidP="00B936EB">
      <w:pPr>
        <w:jc w:val="right"/>
        <w:rPr>
          <w:rFonts w:cs="Arial"/>
          <w:b/>
          <w:color w:val="4F81BD" w:themeColor="accent1"/>
          <w:sz w:val="22"/>
          <w:szCs w:val="22"/>
        </w:rPr>
      </w:pPr>
    </w:p>
    <w:p w:rsidR="00A41D99" w:rsidRDefault="00A41D99" w:rsidP="00B936EB">
      <w:pPr>
        <w:jc w:val="right"/>
        <w:rPr>
          <w:rFonts w:cs="Arial"/>
          <w:b/>
          <w:color w:val="4F81BD" w:themeColor="accent1"/>
          <w:sz w:val="22"/>
          <w:szCs w:val="22"/>
        </w:rPr>
      </w:pPr>
    </w:p>
    <w:p w:rsidR="000424B0" w:rsidRDefault="000424B0" w:rsidP="00B936EB">
      <w:pPr>
        <w:jc w:val="right"/>
        <w:rPr>
          <w:rFonts w:cs="Arial"/>
          <w:b/>
          <w:sz w:val="22"/>
          <w:szCs w:val="22"/>
        </w:rPr>
      </w:pPr>
    </w:p>
    <w:p w:rsidR="00B936EB" w:rsidRPr="00A66EC8" w:rsidRDefault="00B936EB" w:rsidP="00B936EB">
      <w:pPr>
        <w:jc w:val="right"/>
        <w:rPr>
          <w:rFonts w:cs="Arial"/>
          <w:b/>
          <w:sz w:val="22"/>
          <w:szCs w:val="22"/>
        </w:rPr>
      </w:pPr>
      <w:r w:rsidRPr="00A66EC8">
        <w:rPr>
          <w:rFonts w:cs="Arial"/>
          <w:b/>
          <w:sz w:val="22"/>
          <w:szCs w:val="22"/>
        </w:rPr>
        <w:lastRenderedPageBreak/>
        <w:t>APPENDIX 1</w:t>
      </w:r>
    </w:p>
    <w:p w:rsidR="00B936EB" w:rsidRPr="00A66EC8" w:rsidRDefault="00A6727E" w:rsidP="00B936EB">
      <w:pPr>
        <w:tabs>
          <w:tab w:val="left" w:pos="2268"/>
        </w:tabs>
        <w:jc w:val="both"/>
        <w:rPr>
          <w:rFonts w:cs="Arial"/>
          <w:b/>
          <w:sz w:val="22"/>
          <w:szCs w:val="22"/>
        </w:rPr>
      </w:pPr>
      <w:r w:rsidRPr="00A66EC8">
        <w:rPr>
          <w:rFonts w:cs="Arial"/>
          <w:b/>
          <w:sz w:val="22"/>
          <w:szCs w:val="22"/>
        </w:rPr>
        <w:t xml:space="preserve">MEDIUM TERM FINANCIAL </w:t>
      </w:r>
      <w:r w:rsidR="007E01CD" w:rsidRPr="00A66EC8">
        <w:rPr>
          <w:rFonts w:cs="Arial"/>
          <w:b/>
          <w:sz w:val="22"/>
          <w:szCs w:val="22"/>
        </w:rPr>
        <w:t>PLAN</w:t>
      </w:r>
      <w:r w:rsidR="00BD7F27" w:rsidRPr="00A66EC8">
        <w:rPr>
          <w:rFonts w:cs="Arial"/>
          <w:b/>
          <w:sz w:val="22"/>
          <w:szCs w:val="22"/>
        </w:rPr>
        <w:t xml:space="preserve"> </w:t>
      </w:r>
      <w:r w:rsidR="00A66EC8" w:rsidRPr="00A66EC8">
        <w:rPr>
          <w:rFonts w:cs="Arial"/>
          <w:b/>
          <w:sz w:val="22"/>
          <w:szCs w:val="22"/>
        </w:rPr>
        <w:t>2017-2020</w:t>
      </w:r>
    </w:p>
    <w:p w:rsidR="00534318" w:rsidRPr="00CF7499" w:rsidRDefault="00534318" w:rsidP="00B67F70">
      <w:pPr>
        <w:jc w:val="both"/>
        <w:rPr>
          <w:rFonts w:cs="Arial"/>
          <w:color w:val="4F81BD" w:themeColor="accent1"/>
          <w:sz w:val="22"/>
          <w:szCs w:val="22"/>
        </w:rPr>
      </w:pPr>
    </w:p>
    <w:p w:rsidR="000424B0" w:rsidRPr="00CF7499" w:rsidRDefault="000424B0" w:rsidP="00B67F70">
      <w:pPr>
        <w:jc w:val="both"/>
        <w:rPr>
          <w:rFonts w:cs="Arial"/>
          <w:color w:val="4F81BD" w:themeColor="accent1"/>
          <w:sz w:val="22"/>
          <w:szCs w:val="22"/>
        </w:rPr>
        <w:sectPr w:rsidR="000424B0" w:rsidRPr="00CF7499" w:rsidSect="00353FEC">
          <w:headerReference w:type="default" r:id="rId17"/>
          <w:pgSz w:w="11909" w:h="16834" w:code="9"/>
          <w:pgMar w:top="794" w:right="1077" w:bottom="794" w:left="1077" w:header="709" w:footer="709" w:gutter="0"/>
          <w:cols w:space="720"/>
        </w:sectPr>
      </w:pPr>
      <w:r w:rsidRPr="000424B0">
        <w:rPr>
          <w:noProof/>
          <w:lang w:eastAsia="en-GB"/>
        </w:rPr>
        <w:drawing>
          <wp:inline distT="0" distB="0" distL="0" distR="0" wp14:anchorId="01109420" wp14:editId="740F38E8">
            <wp:extent cx="6194425" cy="7486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4425" cy="7486755"/>
                    </a:xfrm>
                    <a:prstGeom prst="rect">
                      <a:avLst/>
                    </a:prstGeom>
                    <a:noFill/>
                    <a:ln>
                      <a:noFill/>
                    </a:ln>
                  </pic:spPr>
                </pic:pic>
              </a:graphicData>
            </a:graphic>
          </wp:inline>
        </w:drawing>
      </w:r>
    </w:p>
    <w:p w:rsidR="00B936EB" w:rsidRPr="00A66EC8" w:rsidRDefault="00B936EB" w:rsidP="00B936EB">
      <w:pPr>
        <w:jc w:val="right"/>
        <w:rPr>
          <w:rFonts w:cs="Arial"/>
          <w:b/>
          <w:sz w:val="22"/>
          <w:szCs w:val="22"/>
        </w:rPr>
      </w:pPr>
      <w:r w:rsidRPr="00534318">
        <w:rPr>
          <w:rFonts w:cs="Arial"/>
          <w:b/>
          <w:sz w:val="22"/>
          <w:szCs w:val="22"/>
        </w:rPr>
        <w:lastRenderedPageBreak/>
        <w:t>A</w:t>
      </w:r>
      <w:r w:rsidRPr="00A66EC8">
        <w:rPr>
          <w:rFonts w:cs="Arial"/>
          <w:b/>
          <w:sz w:val="22"/>
          <w:szCs w:val="22"/>
        </w:rPr>
        <w:t xml:space="preserve">PPENDIX </w:t>
      </w:r>
      <w:r w:rsidR="00DD25AC" w:rsidRPr="00A66EC8">
        <w:rPr>
          <w:rFonts w:cs="Arial"/>
          <w:b/>
          <w:sz w:val="22"/>
          <w:szCs w:val="22"/>
        </w:rPr>
        <w:t>2</w:t>
      </w:r>
    </w:p>
    <w:p w:rsidR="00A6727E" w:rsidRPr="00A66EC8" w:rsidRDefault="007E01CD" w:rsidP="00A6727E">
      <w:pPr>
        <w:rPr>
          <w:rFonts w:cs="Arial"/>
          <w:b/>
          <w:sz w:val="22"/>
          <w:szCs w:val="22"/>
        </w:rPr>
      </w:pPr>
      <w:r w:rsidRPr="00A66EC8">
        <w:rPr>
          <w:rFonts w:cs="Arial"/>
          <w:b/>
          <w:sz w:val="22"/>
          <w:szCs w:val="22"/>
        </w:rPr>
        <w:t>SERVICE COMMITTEES - MEDIUM TERM FINANCIAL PLAN</w:t>
      </w:r>
      <w:r w:rsidR="00A42E4F">
        <w:rPr>
          <w:rFonts w:cs="Arial"/>
          <w:b/>
          <w:sz w:val="22"/>
          <w:szCs w:val="22"/>
        </w:rPr>
        <w:t xml:space="preserve"> 2016 - 2020</w:t>
      </w:r>
    </w:p>
    <w:p w:rsidR="00DD25AC" w:rsidRPr="00CF7499" w:rsidRDefault="00DD25AC" w:rsidP="00DD25AC">
      <w:pPr>
        <w:rPr>
          <w:rFonts w:cs="Arial"/>
          <w:b/>
          <w:color w:val="4F81BD" w:themeColor="accent1"/>
          <w:sz w:val="22"/>
          <w:szCs w:val="22"/>
        </w:rPr>
      </w:pPr>
    </w:p>
    <w:p w:rsidR="00DD25AC" w:rsidRDefault="00C62ED6" w:rsidP="00DD25AC">
      <w:pPr>
        <w:rPr>
          <w:rFonts w:cs="Arial"/>
          <w:b/>
          <w:color w:val="4F81BD" w:themeColor="accent1"/>
          <w:sz w:val="22"/>
          <w:szCs w:val="22"/>
        </w:rPr>
      </w:pPr>
      <w:r w:rsidRPr="00C62ED6">
        <w:rPr>
          <w:noProof/>
          <w:lang w:eastAsia="en-GB"/>
        </w:rPr>
        <w:drawing>
          <wp:inline distT="0" distB="0" distL="0" distR="0" wp14:anchorId="4B4713ED" wp14:editId="00D44A7C">
            <wp:extent cx="8961120" cy="569863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61120" cy="5698637"/>
                    </a:xfrm>
                    <a:prstGeom prst="rect">
                      <a:avLst/>
                    </a:prstGeom>
                    <a:noFill/>
                    <a:ln>
                      <a:noFill/>
                    </a:ln>
                  </pic:spPr>
                </pic:pic>
              </a:graphicData>
            </a:graphic>
          </wp:inline>
        </w:drawing>
      </w:r>
    </w:p>
    <w:p w:rsidR="00155F6C" w:rsidRDefault="00155F6C" w:rsidP="00DD25AC">
      <w:pPr>
        <w:rPr>
          <w:rFonts w:cs="Arial"/>
          <w:b/>
          <w:color w:val="4F81BD" w:themeColor="accent1"/>
          <w:sz w:val="22"/>
          <w:szCs w:val="22"/>
        </w:rPr>
      </w:pPr>
    </w:p>
    <w:p w:rsidR="00155F6C" w:rsidRDefault="00155F6C" w:rsidP="00DD25AC">
      <w:pPr>
        <w:rPr>
          <w:rFonts w:cs="Arial"/>
          <w:b/>
          <w:color w:val="4F81BD" w:themeColor="accent1"/>
          <w:sz w:val="22"/>
          <w:szCs w:val="22"/>
        </w:rPr>
      </w:pPr>
    </w:p>
    <w:p w:rsidR="00155F6C" w:rsidRDefault="00155F6C" w:rsidP="00DD25AC">
      <w:pPr>
        <w:rPr>
          <w:rFonts w:cs="Arial"/>
          <w:b/>
          <w:color w:val="4F81BD" w:themeColor="accent1"/>
          <w:sz w:val="22"/>
          <w:szCs w:val="22"/>
        </w:rPr>
      </w:pPr>
    </w:p>
    <w:p w:rsidR="00155F6C" w:rsidRDefault="00C62ED6" w:rsidP="00DD25AC">
      <w:pPr>
        <w:rPr>
          <w:rFonts w:cs="Arial"/>
          <w:b/>
          <w:color w:val="4F81BD" w:themeColor="accent1"/>
          <w:sz w:val="22"/>
          <w:szCs w:val="22"/>
        </w:rPr>
      </w:pPr>
      <w:r w:rsidRPr="00C62ED6">
        <w:rPr>
          <w:noProof/>
          <w:lang w:eastAsia="en-GB"/>
        </w:rPr>
        <w:drawing>
          <wp:inline distT="0" distB="0" distL="0" distR="0" wp14:anchorId="10C51D25" wp14:editId="74FBD4E0">
            <wp:extent cx="8961120" cy="4659464"/>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61120" cy="4659464"/>
                    </a:xfrm>
                    <a:prstGeom prst="rect">
                      <a:avLst/>
                    </a:prstGeom>
                    <a:noFill/>
                    <a:ln>
                      <a:noFill/>
                    </a:ln>
                  </pic:spPr>
                </pic:pic>
              </a:graphicData>
            </a:graphic>
          </wp:inline>
        </w:drawing>
      </w:r>
    </w:p>
    <w:p w:rsidR="005A0C9D" w:rsidRDefault="005A0C9D" w:rsidP="00DD25AC">
      <w:pPr>
        <w:rPr>
          <w:rFonts w:cs="Arial"/>
          <w:b/>
          <w:color w:val="4F81BD" w:themeColor="accent1"/>
          <w:sz w:val="22"/>
          <w:szCs w:val="22"/>
        </w:rPr>
      </w:pPr>
    </w:p>
    <w:p w:rsidR="005A0C9D" w:rsidRDefault="005A0C9D" w:rsidP="00DD25AC">
      <w:pPr>
        <w:rPr>
          <w:rFonts w:cs="Arial"/>
          <w:b/>
          <w:color w:val="4F81BD" w:themeColor="accent1"/>
          <w:sz w:val="22"/>
          <w:szCs w:val="22"/>
        </w:rPr>
      </w:pPr>
    </w:p>
    <w:p w:rsidR="005A0C9D" w:rsidRDefault="005A0C9D" w:rsidP="00DD25AC">
      <w:pPr>
        <w:rPr>
          <w:rFonts w:cs="Arial"/>
          <w:b/>
          <w:color w:val="4F81BD" w:themeColor="accent1"/>
          <w:sz w:val="22"/>
          <w:szCs w:val="22"/>
        </w:rPr>
      </w:pPr>
    </w:p>
    <w:p w:rsidR="005A0C9D" w:rsidRDefault="005A0C9D" w:rsidP="00DD25AC">
      <w:pPr>
        <w:rPr>
          <w:rFonts w:cs="Arial"/>
          <w:b/>
          <w:color w:val="4F81BD" w:themeColor="accent1"/>
          <w:sz w:val="22"/>
          <w:szCs w:val="22"/>
        </w:rPr>
      </w:pPr>
    </w:p>
    <w:p w:rsidR="00155F6C" w:rsidRDefault="00155F6C" w:rsidP="00DD25AC">
      <w:pPr>
        <w:rPr>
          <w:noProof/>
          <w:lang w:eastAsia="en-GB"/>
        </w:rPr>
      </w:pPr>
    </w:p>
    <w:p w:rsidR="00C62ED6" w:rsidRDefault="00C62ED6" w:rsidP="00DD25AC">
      <w:pPr>
        <w:rPr>
          <w:noProof/>
          <w:lang w:eastAsia="en-GB"/>
        </w:rPr>
      </w:pPr>
    </w:p>
    <w:p w:rsidR="00155F6C" w:rsidRDefault="00C62ED6" w:rsidP="00DD25AC">
      <w:pPr>
        <w:rPr>
          <w:rFonts w:cs="Arial"/>
          <w:b/>
          <w:color w:val="4F81BD" w:themeColor="accent1"/>
          <w:sz w:val="22"/>
          <w:szCs w:val="22"/>
        </w:rPr>
      </w:pPr>
      <w:r w:rsidRPr="00C62ED6">
        <w:rPr>
          <w:noProof/>
          <w:lang w:eastAsia="en-GB"/>
        </w:rPr>
        <w:lastRenderedPageBreak/>
        <w:drawing>
          <wp:inline distT="0" distB="0" distL="0" distR="0" wp14:anchorId="35D9F3CE" wp14:editId="056AF3EA">
            <wp:extent cx="8961120" cy="5674928"/>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61120" cy="5674928"/>
                    </a:xfrm>
                    <a:prstGeom prst="rect">
                      <a:avLst/>
                    </a:prstGeom>
                    <a:noFill/>
                    <a:ln>
                      <a:noFill/>
                    </a:ln>
                  </pic:spPr>
                </pic:pic>
              </a:graphicData>
            </a:graphic>
          </wp:inline>
        </w:drawing>
      </w:r>
      <w:r w:rsidRPr="00C62ED6">
        <w:rPr>
          <w:noProof/>
          <w:lang w:eastAsia="en-GB"/>
        </w:rPr>
        <w:lastRenderedPageBreak/>
        <w:drawing>
          <wp:inline distT="0" distB="0" distL="0" distR="0" wp14:anchorId="4D7194C2" wp14:editId="1964B557">
            <wp:extent cx="8961120" cy="4166630"/>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61120" cy="4166630"/>
                    </a:xfrm>
                    <a:prstGeom prst="rect">
                      <a:avLst/>
                    </a:prstGeom>
                    <a:noFill/>
                    <a:ln>
                      <a:noFill/>
                    </a:ln>
                  </pic:spPr>
                </pic:pic>
              </a:graphicData>
            </a:graphic>
          </wp:inline>
        </w:drawing>
      </w:r>
      <w:r w:rsidRPr="00C62ED6">
        <w:rPr>
          <w:noProof/>
          <w:lang w:eastAsia="en-GB"/>
        </w:rPr>
        <w:lastRenderedPageBreak/>
        <w:drawing>
          <wp:inline distT="0" distB="0" distL="0" distR="0" wp14:anchorId="4A700E12" wp14:editId="47D894D1">
            <wp:extent cx="8961120" cy="5651407"/>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61120" cy="5651407"/>
                    </a:xfrm>
                    <a:prstGeom prst="rect">
                      <a:avLst/>
                    </a:prstGeom>
                    <a:noFill/>
                    <a:ln>
                      <a:noFill/>
                    </a:ln>
                  </pic:spPr>
                </pic:pic>
              </a:graphicData>
            </a:graphic>
          </wp:inline>
        </w:drawing>
      </w:r>
      <w:r w:rsidRPr="00C62ED6">
        <w:rPr>
          <w:noProof/>
          <w:lang w:eastAsia="en-GB"/>
        </w:rPr>
        <w:lastRenderedPageBreak/>
        <w:drawing>
          <wp:inline distT="0" distB="0" distL="0" distR="0" wp14:anchorId="57A1B92A" wp14:editId="72496B07">
            <wp:extent cx="8961120" cy="3729161"/>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61120" cy="3729161"/>
                    </a:xfrm>
                    <a:prstGeom prst="rect">
                      <a:avLst/>
                    </a:prstGeom>
                    <a:noFill/>
                    <a:ln>
                      <a:noFill/>
                    </a:ln>
                  </pic:spPr>
                </pic:pic>
              </a:graphicData>
            </a:graphic>
          </wp:inline>
        </w:drawing>
      </w:r>
      <w:r w:rsidR="009B48C0" w:rsidRPr="009B48C0">
        <w:rPr>
          <w:noProof/>
          <w:lang w:eastAsia="en-GB"/>
        </w:rPr>
        <w:lastRenderedPageBreak/>
        <w:drawing>
          <wp:inline distT="0" distB="0" distL="0" distR="0" wp14:anchorId="23B17035" wp14:editId="692A540E">
            <wp:extent cx="8961120" cy="427104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61120" cy="4271047"/>
                    </a:xfrm>
                    <a:prstGeom prst="rect">
                      <a:avLst/>
                    </a:prstGeom>
                    <a:noFill/>
                    <a:ln>
                      <a:noFill/>
                    </a:ln>
                  </pic:spPr>
                </pic:pic>
              </a:graphicData>
            </a:graphic>
          </wp:inline>
        </w:drawing>
      </w:r>
      <w:r w:rsidR="009B48C0" w:rsidRPr="009B48C0">
        <w:rPr>
          <w:noProof/>
          <w:lang w:eastAsia="en-GB"/>
        </w:rPr>
        <w:lastRenderedPageBreak/>
        <w:drawing>
          <wp:inline distT="0" distB="0" distL="0" distR="0" wp14:anchorId="0C804EAF" wp14:editId="31574A2B">
            <wp:extent cx="8961120" cy="537471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61120" cy="5374714"/>
                    </a:xfrm>
                    <a:prstGeom prst="rect">
                      <a:avLst/>
                    </a:prstGeom>
                    <a:noFill/>
                    <a:ln>
                      <a:noFill/>
                    </a:ln>
                  </pic:spPr>
                </pic:pic>
              </a:graphicData>
            </a:graphic>
          </wp:inline>
        </w:drawing>
      </w:r>
    </w:p>
    <w:p w:rsidR="00155F6C" w:rsidRDefault="00155F6C" w:rsidP="00DD25AC">
      <w:pPr>
        <w:rPr>
          <w:rFonts w:cs="Arial"/>
          <w:b/>
          <w:color w:val="4F81BD" w:themeColor="accent1"/>
          <w:sz w:val="22"/>
          <w:szCs w:val="22"/>
        </w:rPr>
      </w:pPr>
    </w:p>
    <w:p w:rsidR="00155F6C" w:rsidRDefault="00155F6C" w:rsidP="00DD25AC">
      <w:pPr>
        <w:rPr>
          <w:rFonts w:cs="Arial"/>
          <w:b/>
          <w:color w:val="4F81BD" w:themeColor="accent1"/>
          <w:sz w:val="22"/>
          <w:szCs w:val="22"/>
        </w:rPr>
      </w:pPr>
    </w:p>
    <w:p w:rsidR="005A0C9D" w:rsidRDefault="005A0C9D" w:rsidP="00DD25AC">
      <w:pPr>
        <w:rPr>
          <w:rFonts w:cs="Arial"/>
          <w:b/>
          <w:color w:val="4F81BD" w:themeColor="accent1"/>
          <w:sz w:val="22"/>
          <w:szCs w:val="22"/>
        </w:rPr>
      </w:pPr>
    </w:p>
    <w:p w:rsidR="005A0C9D" w:rsidRDefault="005A0C9D" w:rsidP="00DD25AC">
      <w:pPr>
        <w:rPr>
          <w:rFonts w:cs="Arial"/>
          <w:b/>
          <w:color w:val="4F81BD" w:themeColor="accent1"/>
          <w:sz w:val="22"/>
          <w:szCs w:val="22"/>
        </w:rPr>
      </w:pPr>
    </w:p>
    <w:p w:rsidR="00155F6C" w:rsidRDefault="00155F6C" w:rsidP="00DD25AC">
      <w:pPr>
        <w:rPr>
          <w:rFonts w:cs="Arial"/>
          <w:b/>
          <w:color w:val="4F81BD" w:themeColor="accent1"/>
          <w:sz w:val="22"/>
          <w:szCs w:val="22"/>
        </w:rPr>
      </w:pPr>
    </w:p>
    <w:p w:rsidR="000D374A" w:rsidRPr="00A42E4F" w:rsidRDefault="000D374A" w:rsidP="000D374A">
      <w:pPr>
        <w:ind w:left="851"/>
        <w:jc w:val="right"/>
        <w:rPr>
          <w:rFonts w:cs="Arial"/>
          <w:b/>
          <w:sz w:val="22"/>
          <w:szCs w:val="22"/>
        </w:rPr>
      </w:pPr>
      <w:r w:rsidRPr="00A42E4F">
        <w:rPr>
          <w:rFonts w:cs="Arial"/>
          <w:b/>
          <w:sz w:val="22"/>
          <w:szCs w:val="22"/>
        </w:rPr>
        <w:lastRenderedPageBreak/>
        <w:t>APPENDIX 3</w:t>
      </w:r>
    </w:p>
    <w:p w:rsidR="000D374A" w:rsidRDefault="000D374A" w:rsidP="000D374A">
      <w:pPr>
        <w:rPr>
          <w:rFonts w:cs="Arial"/>
          <w:b/>
          <w:sz w:val="22"/>
          <w:szCs w:val="22"/>
        </w:rPr>
      </w:pPr>
      <w:r w:rsidRPr="00A42E4F">
        <w:rPr>
          <w:rFonts w:cs="Arial"/>
          <w:b/>
          <w:sz w:val="22"/>
          <w:szCs w:val="22"/>
        </w:rPr>
        <w:t>SERVICE COMMITTEES – VARIANCES AT PERIOD 9</w:t>
      </w:r>
      <w:r w:rsidR="00A42E4F" w:rsidRPr="00A42E4F">
        <w:rPr>
          <w:rFonts w:cs="Arial"/>
          <w:b/>
          <w:sz w:val="22"/>
          <w:szCs w:val="22"/>
        </w:rPr>
        <w:t xml:space="preserve"> (December)</w:t>
      </w:r>
    </w:p>
    <w:p w:rsidR="009C0E83" w:rsidRDefault="009C0E83" w:rsidP="000D374A">
      <w:pPr>
        <w:rPr>
          <w:rFonts w:cs="Arial"/>
          <w:b/>
          <w:sz w:val="22"/>
          <w:szCs w:val="22"/>
        </w:rPr>
      </w:pPr>
    </w:p>
    <w:p w:rsidR="009C0E83" w:rsidRPr="00A42E4F" w:rsidRDefault="009C0E83" w:rsidP="000D374A">
      <w:pPr>
        <w:rPr>
          <w:rFonts w:cs="Arial"/>
          <w:b/>
          <w:sz w:val="22"/>
          <w:szCs w:val="22"/>
        </w:rPr>
      </w:pPr>
    </w:p>
    <w:p w:rsidR="0084298C" w:rsidRDefault="00407C66" w:rsidP="007E01CD">
      <w:pPr>
        <w:rPr>
          <w:rFonts w:cs="Arial"/>
          <w:b/>
          <w:color w:val="4F81BD" w:themeColor="accent1"/>
          <w:sz w:val="22"/>
          <w:szCs w:val="22"/>
        </w:rPr>
      </w:pPr>
      <w:r w:rsidRPr="00407C66">
        <w:rPr>
          <w:noProof/>
          <w:lang w:eastAsia="en-GB"/>
        </w:rPr>
        <w:drawing>
          <wp:inline distT="0" distB="0" distL="0" distR="0" wp14:anchorId="0C5D6F9C" wp14:editId="778F7D06">
            <wp:extent cx="8961120" cy="442887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1120" cy="4428877"/>
                    </a:xfrm>
                    <a:prstGeom prst="rect">
                      <a:avLst/>
                    </a:prstGeom>
                    <a:noFill/>
                    <a:ln>
                      <a:noFill/>
                    </a:ln>
                  </pic:spPr>
                </pic:pic>
              </a:graphicData>
            </a:graphic>
          </wp:inline>
        </w:drawing>
      </w:r>
    </w:p>
    <w:p w:rsidR="009B06EC" w:rsidRDefault="009B06EC" w:rsidP="007E01CD">
      <w:pPr>
        <w:rPr>
          <w:rFonts w:cs="Arial"/>
          <w:b/>
          <w:color w:val="4F81BD" w:themeColor="accent1"/>
          <w:sz w:val="22"/>
          <w:szCs w:val="22"/>
        </w:rPr>
      </w:pPr>
    </w:p>
    <w:p w:rsidR="009B06EC" w:rsidRDefault="009B06EC" w:rsidP="007E01CD">
      <w:pPr>
        <w:rPr>
          <w:rFonts w:cs="Arial"/>
          <w:b/>
          <w:color w:val="4F81BD" w:themeColor="accent1"/>
          <w:sz w:val="22"/>
          <w:szCs w:val="22"/>
        </w:rPr>
      </w:pPr>
    </w:p>
    <w:p w:rsidR="009B06EC" w:rsidRDefault="009B06EC"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r w:rsidRPr="00407C66">
        <w:rPr>
          <w:noProof/>
          <w:lang w:eastAsia="en-GB"/>
        </w:rPr>
        <w:drawing>
          <wp:inline distT="0" distB="0" distL="0" distR="0" wp14:anchorId="06478784" wp14:editId="01267F2A">
            <wp:extent cx="8961120" cy="3904090"/>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1120" cy="3904090"/>
                    </a:xfrm>
                    <a:prstGeom prst="rect">
                      <a:avLst/>
                    </a:prstGeom>
                    <a:noFill/>
                    <a:ln>
                      <a:noFill/>
                    </a:ln>
                  </pic:spPr>
                </pic:pic>
              </a:graphicData>
            </a:graphic>
          </wp:inline>
        </w:drawing>
      </w: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r w:rsidRPr="00407C66">
        <w:rPr>
          <w:noProof/>
          <w:lang w:eastAsia="en-GB"/>
        </w:rPr>
        <w:lastRenderedPageBreak/>
        <w:drawing>
          <wp:inline distT="0" distB="0" distL="0" distR="0" wp14:anchorId="5F90C7CB" wp14:editId="504DA9E9">
            <wp:extent cx="8950804" cy="3124862"/>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61120" cy="3128463"/>
                    </a:xfrm>
                    <a:prstGeom prst="rect">
                      <a:avLst/>
                    </a:prstGeom>
                    <a:noFill/>
                    <a:ln>
                      <a:noFill/>
                    </a:ln>
                  </pic:spPr>
                </pic:pic>
              </a:graphicData>
            </a:graphic>
          </wp:inline>
        </w:drawing>
      </w:r>
    </w:p>
    <w:p w:rsidR="00407C66" w:rsidRDefault="00407C66" w:rsidP="007E01CD">
      <w:pPr>
        <w:rPr>
          <w:rFonts w:cs="Arial"/>
          <w:b/>
          <w:color w:val="4F81BD" w:themeColor="accent1"/>
          <w:sz w:val="22"/>
          <w:szCs w:val="22"/>
        </w:rPr>
      </w:pPr>
    </w:p>
    <w:p w:rsidR="009B06EC" w:rsidRDefault="009B06EC" w:rsidP="007E01CD">
      <w:pPr>
        <w:rPr>
          <w:rFonts w:cs="Arial"/>
          <w:b/>
          <w:color w:val="4F81BD" w:themeColor="accent1"/>
          <w:sz w:val="22"/>
          <w:szCs w:val="22"/>
        </w:rPr>
      </w:pPr>
    </w:p>
    <w:p w:rsidR="00BD5AEC" w:rsidRDefault="00BD5AEC" w:rsidP="007E01CD"/>
    <w:p w:rsidR="00BD5AEC" w:rsidRDefault="00BD5AEC" w:rsidP="007E01CD"/>
    <w:p w:rsidR="00BD5AEC" w:rsidRDefault="00BD5AEC" w:rsidP="007E01CD"/>
    <w:p w:rsidR="00BD5AEC" w:rsidRDefault="00BD5AEC" w:rsidP="007E01CD"/>
    <w:p w:rsidR="009C0E83" w:rsidRDefault="009C0E83" w:rsidP="007E01CD"/>
    <w:p w:rsidR="00BD5AEC" w:rsidRDefault="00BD5AEC" w:rsidP="007E01CD">
      <w:pPr>
        <w:rPr>
          <w:rFonts w:cs="Arial"/>
          <w:b/>
          <w:color w:val="4F81BD" w:themeColor="accent1"/>
          <w:sz w:val="22"/>
          <w:szCs w:val="22"/>
        </w:rPr>
      </w:pPr>
    </w:p>
    <w:p w:rsidR="009B06EC" w:rsidRDefault="009B06EC" w:rsidP="007E01CD">
      <w:pPr>
        <w:rPr>
          <w:rFonts w:cs="Arial"/>
          <w:b/>
          <w:color w:val="4F81BD" w:themeColor="accent1"/>
          <w:sz w:val="22"/>
          <w:szCs w:val="22"/>
        </w:rPr>
      </w:pPr>
    </w:p>
    <w:p w:rsidR="00BD5AEC" w:rsidRDefault="00BD5AEC" w:rsidP="007E01CD">
      <w:pPr>
        <w:rPr>
          <w:rFonts w:cs="Arial"/>
          <w:b/>
          <w:color w:val="4F81BD" w:themeColor="accent1"/>
          <w:sz w:val="22"/>
          <w:szCs w:val="22"/>
        </w:rPr>
      </w:pPr>
    </w:p>
    <w:p w:rsidR="00BD5AEC" w:rsidRDefault="00BD5AEC" w:rsidP="007E01CD">
      <w:pPr>
        <w:rPr>
          <w:rFonts w:cs="Arial"/>
          <w:b/>
          <w:color w:val="4F81BD" w:themeColor="accent1"/>
          <w:sz w:val="22"/>
          <w:szCs w:val="22"/>
        </w:rPr>
      </w:pPr>
    </w:p>
    <w:p w:rsidR="009C0E83" w:rsidRDefault="009C0E83" w:rsidP="007E01CD">
      <w:pPr>
        <w:rPr>
          <w:rFonts w:cs="Arial"/>
          <w:b/>
          <w:color w:val="4F81BD" w:themeColor="accent1"/>
          <w:sz w:val="22"/>
          <w:szCs w:val="22"/>
        </w:rPr>
      </w:pPr>
    </w:p>
    <w:p w:rsidR="00BD5AEC" w:rsidRDefault="00BD5AEC" w:rsidP="007E01CD">
      <w:pPr>
        <w:rPr>
          <w:rFonts w:cs="Arial"/>
          <w:b/>
          <w:color w:val="4F81BD" w:themeColor="accent1"/>
          <w:sz w:val="22"/>
          <w:szCs w:val="22"/>
        </w:rPr>
      </w:pPr>
    </w:p>
    <w:p w:rsidR="00BD5AEC" w:rsidRDefault="00BD5AEC" w:rsidP="007E01CD">
      <w:pPr>
        <w:rPr>
          <w:rFonts w:cs="Arial"/>
          <w:b/>
          <w:color w:val="4F81BD" w:themeColor="accent1"/>
          <w:sz w:val="22"/>
          <w:szCs w:val="22"/>
        </w:rPr>
      </w:pPr>
    </w:p>
    <w:p w:rsidR="00BD5AEC" w:rsidRPr="00CF7499" w:rsidRDefault="00BD5AEC" w:rsidP="007E01CD">
      <w:pPr>
        <w:rPr>
          <w:rFonts w:cs="Arial"/>
          <w:b/>
          <w:color w:val="4F81BD" w:themeColor="accent1"/>
          <w:sz w:val="22"/>
          <w:szCs w:val="22"/>
        </w:rPr>
        <w:sectPr w:rsidR="00BD5AEC" w:rsidRPr="00CF7499" w:rsidSect="000D374A">
          <w:pgSz w:w="16834" w:h="11909" w:orient="landscape" w:code="9"/>
          <w:pgMar w:top="1134" w:right="1361" w:bottom="907" w:left="1361" w:header="709" w:footer="709" w:gutter="0"/>
          <w:cols w:space="720"/>
        </w:sectPr>
      </w:pPr>
    </w:p>
    <w:p w:rsidR="00854870" w:rsidRPr="00CF7499" w:rsidRDefault="007B0D5B" w:rsidP="007E01CD">
      <w:pPr>
        <w:rPr>
          <w:rFonts w:cs="Arial"/>
          <w:b/>
          <w:color w:val="4F81BD" w:themeColor="accent1"/>
          <w:sz w:val="22"/>
          <w:szCs w:val="22"/>
        </w:rPr>
      </w:pPr>
      <w:r w:rsidRPr="007B0D5B">
        <w:rPr>
          <w:noProof/>
          <w:lang w:eastAsia="en-GB"/>
        </w:rPr>
        <w:lastRenderedPageBreak/>
        <w:drawing>
          <wp:inline distT="0" distB="0" distL="0" distR="0" wp14:anchorId="489F10C7" wp14:editId="195387AC">
            <wp:extent cx="8950772" cy="4524292"/>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61120" cy="4529523"/>
                    </a:xfrm>
                    <a:prstGeom prst="rect">
                      <a:avLst/>
                    </a:prstGeom>
                    <a:noFill/>
                    <a:ln>
                      <a:noFill/>
                    </a:ln>
                  </pic:spPr>
                </pic:pic>
              </a:graphicData>
            </a:graphic>
          </wp:inline>
        </w:drawing>
      </w:r>
    </w:p>
    <w:p w:rsidR="00356560" w:rsidRDefault="00356560" w:rsidP="00B67F70">
      <w:pPr>
        <w:jc w:val="both"/>
        <w:rPr>
          <w:color w:val="4F81BD" w:themeColor="accent1"/>
        </w:rPr>
      </w:pPr>
    </w:p>
    <w:p w:rsidR="00B14E5A" w:rsidRDefault="00B14E5A" w:rsidP="00B67F70">
      <w:pPr>
        <w:jc w:val="both"/>
        <w:rPr>
          <w:color w:val="4F81BD" w:themeColor="accent1"/>
        </w:rPr>
      </w:pPr>
    </w:p>
    <w:p w:rsidR="00B14E5A" w:rsidRDefault="00B14E5A" w:rsidP="00B67F70">
      <w:pPr>
        <w:jc w:val="both"/>
        <w:rPr>
          <w:color w:val="4F81BD" w:themeColor="accent1"/>
        </w:rPr>
      </w:pPr>
    </w:p>
    <w:p w:rsidR="00B14E5A" w:rsidRDefault="00B14E5A" w:rsidP="00B67F70">
      <w:pPr>
        <w:jc w:val="both"/>
        <w:rPr>
          <w:color w:val="4F81BD" w:themeColor="accent1"/>
        </w:rPr>
      </w:pPr>
    </w:p>
    <w:p w:rsidR="00B14E5A" w:rsidRDefault="00B14E5A" w:rsidP="00B67F70">
      <w:pPr>
        <w:jc w:val="both"/>
        <w:rPr>
          <w:color w:val="4F81BD" w:themeColor="accent1"/>
        </w:rPr>
      </w:pPr>
    </w:p>
    <w:p w:rsidR="00B14E5A" w:rsidRDefault="00B14E5A" w:rsidP="00B67F70">
      <w:pPr>
        <w:jc w:val="both"/>
        <w:rPr>
          <w:color w:val="4F81BD" w:themeColor="accent1"/>
        </w:rPr>
      </w:pPr>
    </w:p>
    <w:p w:rsidR="00B14E5A" w:rsidRDefault="00B14E5A" w:rsidP="00B67F70">
      <w:pPr>
        <w:jc w:val="both"/>
        <w:rPr>
          <w:color w:val="4F81BD" w:themeColor="accent1"/>
        </w:rPr>
      </w:pPr>
    </w:p>
    <w:p w:rsidR="00B14E5A" w:rsidRDefault="00B14E5A" w:rsidP="00B67F70">
      <w:pPr>
        <w:jc w:val="both"/>
        <w:rPr>
          <w:color w:val="4F81BD" w:themeColor="accent1"/>
        </w:rPr>
      </w:pPr>
    </w:p>
    <w:p w:rsidR="00B14E5A" w:rsidRDefault="00B14E5A" w:rsidP="00B67F70">
      <w:pPr>
        <w:jc w:val="both"/>
        <w:rPr>
          <w:color w:val="4F81BD" w:themeColor="accent1"/>
        </w:rPr>
      </w:pPr>
    </w:p>
    <w:p w:rsidR="009B06EC" w:rsidRDefault="007B0D5B" w:rsidP="00B67F70">
      <w:pPr>
        <w:jc w:val="both"/>
        <w:rPr>
          <w:color w:val="4F81BD" w:themeColor="accent1"/>
        </w:rPr>
      </w:pPr>
      <w:r w:rsidRPr="007B0D5B">
        <w:rPr>
          <w:noProof/>
          <w:lang w:eastAsia="en-GB"/>
        </w:rPr>
        <w:lastRenderedPageBreak/>
        <w:drawing>
          <wp:inline distT="0" distB="0" distL="0" distR="0" wp14:anchorId="7E74BA76" wp14:editId="5F223F0B">
            <wp:extent cx="8953169" cy="6019137"/>
            <wp:effectExtent l="0" t="0" r="635"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61120" cy="6024482"/>
                    </a:xfrm>
                    <a:prstGeom prst="rect">
                      <a:avLst/>
                    </a:prstGeom>
                    <a:noFill/>
                    <a:ln>
                      <a:noFill/>
                    </a:ln>
                  </pic:spPr>
                </pic:pic>
              </a:graphicData>
            </a:graphic>
          </wp:inline>
        </w:drawing>
      </w:r>
    </w:p>
    <w:p w:rsidR="00B14E5A" w:rsidRDefault="00B14E5A" w:rsidP="00B67F70">
      <w:pPr>
        <w:jc w:val="both"/>
        <w:rPr>
          <w:color w:val="4F81BD" w:themeColor="accent1"/>
          <w:sz w:val="22"/>
          <w:szCs w:val="22"/>
        </w:rPr>
      </w:pPr>
    </w:p>
    <w:p w:rsidR="008C7DA6" w:rsidRPr="00CF7499" w:rsidRDefault="008C7DA6" w:rsidP="00B67F70">
      <w:pPr>
        <w:jc w:val="both"/>
        <w:rPr>
          <w:rFonts w:cs="Arial"/>
          <w:color w:val="4F81BD" w:themeColor="accent1"/>
          <w:sz w:val="22"/>
          <w:szCs w:val="22"/>
        </w:rPr>
        <w:sectPr w:rsidR="008C7DA6" w:rsidRPr="00CF7499" w:rsidSect="000D374A">
          <w:pgSz w:w="16834" w:h="11909" w:orient="landscape" w:code="9"/>
          <w:pgMar w:top="1134" w:right="1361" w:bottom="907" w:left="1361" w:header="709" w:footer="709" w:gutter="0"/>
          <w:cols w:space="720"/>
        </w:sectPr>
      </w:pPr>
    </w:p>
    <w:p w:rsidR="00B936EB" w:rsidRPr="00F91C8F" w:rsidRDefault="00FE6D5D" w:rsidP="00FE6D5D">
      <w:pPr>
        <w:jc w:val="right"/>
        <w:rPr>
          <w:rFonts w:cs="Arial"/>
          <w:b/>
          <w:sz w:val="22"/>
          <w:szCs w:val="22"/>
        </w:rPr>
      </w:pPr>
      <w:r w:rsidRPr="00F91C8F">
        <w:rPr>
          <w:rFonts w:cs="Arial"/>
          <w:b/>
          <w:sz w:val="22"/>
          <w:szCs w:val="22"/>
        </w:rPr>
        <w:lastRenderedPageBreak/>
        <w:t xml:space="preserve">APPENDIX </w:t>
      </w:r>
      <w:r w:rsidR="00A42E4F">
        <w:rPr>
          <w:rFonts w:cs="Arial"/>
          <w:b/>
          <w:sz w:val="22"/>
          <w:szCs w:val="22"/>
        </w:rPr>
        <w:t>4</w:t>
      </w:r>
    </w:p>
    <w:p w:rsidR="00FE6D5D" w:rsidRPr="00F91C8F" w:rsidRDefault="00FE6D5D" w:rsidP="00FE6D5D">
      <w:pPr>
        <w:ind w:left="426"/>
        <w:rPr>
          <w:b/>
          <w:sz w:val="22"/>
          <w:szCs w:val="22"/>
        </w:rPr>
      </w:pPr>
      <w:r w:rsidRPr="00F91C8F">
        <w:rPr>
          <w:b/>
          <w:sz w:val="22"/>
          <w:szCs w:val="22"/>
        </w:rPr>
        <w:t xml:space="preserve">SCHEME FOR PRIORITISING GROWTH </w:t>
      </w:r>
    </w:p>
    <w:p w:rsidR="00FE6D5D" w:rsidRPr="00F91C8F" w:rsidRDefault="00FE6D5D" w:rsidP="00FE6D5D">
      <w:pPr>
        <w:rPr>
          <w:rFonts w:cs="Arial"/>
          <w:sz w:val="22"/>
          <w:szCs w:val="22"/>
        </w:rPr>
      </w:pPr>
    </w:p>
    <w:p w:rsidR="00FE6D5D" w:rsidRPr="00F91C8F" w:rsidRDefault="00FE6D5D" w:rsidP="00FE6D5D">
      <w:pPr>
        <w:jc w:val="center"/>
        <w:rPr>
          <w:b/>
        </w:rPr>
      </w:pPr>
    </w:p>
    <w:tbl>
      <w:tblPr>
        <w:tblW w:w="8897" w:type="dxa"/>
        <w:tblInd w:w="567" w:type="dxa"/>
        <w:tblLayout w:type="fixed"/>
        <w:tblLook w:val="01E0" w:firstRow="1" w:lastRow="1" w:firstColumn="1" w:lastColumn="1" w:noHBand="0" w:noVBand="0"/>
      </w:tblPr>
      <w:tblGrid>
        <w:gridCol w:w="3085"/>
        <w:gridCol w:w="284"/>
        <w:gridCol w:w="850"/>
        <w:gridCol w:w="4678"/>
      </w:tblGrid>
      <w:tr w:rsidR="00CF7499" w:rsidRPr="00F91C8F" w:rsidTr="00FE6D5D">
        <w:trPr>
          <w:trHeight w:val="284"/>
          <w:tblHeader/>
        </w:trPr>
        <w:tc>
          <w:tcPr>
            <w:tcW w:w="3085" w:type="dxa"/>
          </w:tcPr>
          <w:p w:rsidR="00FE6D5D" w:rsidRPr="00F91C8F" w:rsidRDefault="00FE6D5D" w:rsidP="00482DD5">
            <w:pPr>
              <w:spacing w:before="40"/>
              <w:jc w:val="center"/>
              <w:rPr>
                <w:rFonts w:cs="Arial"/>
                <w:sz w:val="22"/>
                <w:szCs w:val="22"/>
              </w:rPr>
            </w:pPr>
            <w:r w:rsidRPr="00F91C8F">
              <w:rPr>
                <w:rFonts w:cs="Arial"/>
                <w:sz w:val="22"/>
                <w:szCs w:val="22"/>
              </w:rPr>
              <w:t>Criteria</w:t>
            </w:r>
          </w:p>
        </w:tc>
        <w:tc>
          <w:tcPr>
            <w:tcW w:w="284" w:type="dxa"/>
          </w:tcPr>
          <w:p w:rsidR="00FE6D5D" w:rsidRPr="00F91C8F" w:rsidRDefault="00FE6D5D" w:rsidP="00482DD5">
            <w:pPr>
              <w:spacing w:before="40"/>
              <w:jc w:val="center"/>
              <w:rPr>
                <w:rFonts w:cs="Arial"/>
                <w:sz w:val="22"/>
                <w:szCs w:val="22"/>
              </w:rPr>
            </w:pPr>
          </w:p>
        </w:tc>
        <w:tc>
          <w:tcPr>
            <w:tcW w:w="5528" w:type="dxa"/>
            <w:gridSpan w:val="2"/>
          </w:tcPr>
          <w:p w:rsidR="00FE6D5D" w:rsidRPr="00F91C8F" w:rsidRDefault="00FE6D5D" w:rsidP="00482DD5">
            <w:pPr>
              <w:spacing w:before="40"/>
              <w:jc w:val="center"/>
              <w:rPr>
                <w:rFonts w:cs="Arial"/>
                <w:sz w:val="22"/>
                <w:szCs w:val="22"/>
              </w:rPr>
            </w:pPr>
            <w:r w:rsidRPr="00F91C8F">
              <w:rPr>
                <w:rFonts w:cs="Arial"/>
                <w:sz w:val="22"/>
                <w:szCs w:val="22"/>
              </w:rPr>
              <w:t>Revenue Growth/Capital Bids</w:t>
            </w:r>
          </w:p>
        </w:tc>
      </w:tr>
      <w:tr w:rsidR="00CF7499" w:rsidRPr="00F91C8F" w:rsidTr="00FE6D5D">
        <w:trPr>
          <w:trHeight w:val="284"/>
          <w:tblHeader/>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rPr>
                <w:rFonts w:cs="Arial"/>
                <w:sz w:val="22"/>
                <w:szCs w:val="22"/>
              </w:rPr>
            </w:pPr>
          </w:p>
        </w:tc>
        <w:tc>
          <w:tcPr>
            <w:tcW w:w="4678" w:type="dxa"/>
          </w:tcPr>
          <w:p w:rsidR="00FE6D5D" w:rsidRPr="00F91C8F" w:rsidRDefault="00FE6D5D" w:rsidP="00482DD5">
            <w:pPr>
              <w:spacing w:before="40"/>
              <w:jc w:val="center"/>
              <w:rPr>
                <w:rFonts w:cs="Arial"/>
                <w:sz w:val="22"/>
                <w:szCs w:val="22"/>
              </w:rPr>
            </w:pPr>
          </w:p>
        </w:tc>
      </w:tr>
      <w:tr w:rsidR="00CF7499" w:rsidRPr="00F91C8F" w:rsidTr="00FE6D5D">
        <w:trPr>
          <w:trHeight w:val="284"/>
          <w:tblHeader/>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rPr>
                <w:rFonts w:cs="Arial"/>
                <w:sz w:val="22"/>
                <w:szCs w:val="22"/>
              </w:rPr>
            </w:pPr>
            <w:r w:rsidRPr="00F91C8F">
              <w:rPr>
                <w:rFonts w:cs="Arial"/>
                <w:sz w:val="22"/>
                <w:szCs w:val="22"/>
              </w:rPr>
              <w:t>Score</w:t>
            </w:r>
          </w:p>
        </w:tc>
        <w:tc>
          <w:tcPr>
            <w:tcW w:w="4678" w:type="dxa"/>
          </w:tcPr>
          <w:p w:rsidR="00FE6D5D" w:rsidRPr="00F91C8F" w:rsidRDefault="00FE6D5D" w:rsidP="00482DD5">
            <w:pPr>
              <w:spacing w:before="40"/>
              <w:jc w:val="center"/>
              <w:rPr>
                <w:rFonts w:cs="Arial"/>
                <w:sz w:val="22"/>
                <w:szCs w:val="22"/>
              </w:rPr>
            </w:pPr>
            <w:r w:rsidRPr="00F91C8F">
              <w:rPr>
                <w:rFonts w:cs="Arial"/>
                <w:sz w:val="22"/>
                <w:szCs w:val="22"/>
              </w:rPr>
              <w:t>Description</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p>
        </w:tc>
        <w:tc>
          <w:tcPr>
            <w:tcW w:w="4678" w:type="dxa"/>
          </w:tcPr>
          <w:p w:rsidR="00FE6D5D" w:rsidRPr="00F91C8F" w:rsidRDefault="00FE6D5D" w:rsidP="00482DD5">
            <w:pPr>
              <w:spacing w:before="40"/>
              <w:rPr>
                <w:rFonts w:cs="Arial"/>
                <w:sz w:val="22"/>
                <w:szCs w:val="22"/>
              </w:rPr>
            </w:pP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Measure of Quality of</w:t>
            </w:r>
          </w:p>
        </w:tc>
        <w:tc>
          <w:tcPr>
            <w:tcW w:w="284" w:type="dxa"/>
          </w:tcPr>
          <w:p w:rsidR="00FE6D5D" w:rsidRPr="00F91C8F" w:rsidRDefault="00FE6D5D" w:rsidP="00482DD5">
            <w:pPr>
              <w:spacing w:before="40"/>
              <w:jc w:val="center"/>
              <w:rPr>
                <w:rFonts w:cs="Arial"/>
                <w:sz w:val="22"/>
                <w:szCs w:val="22"/>
              </w:rPr>
            </w:pPr>
            <w:r w:rsidRPr="00F91C8F">
              <w:rPr>
                <w:rFonts w:cs="Arial"/>
                <w:sz w:val="22"/>
                <w:szCs w:val="22"/>
              </w:rPr>
              <w:t>a</w:t>
            </w: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3</w:t>
            </w:r>
          </w:p>
        </w:tc>
        <w:tc>
          <w:tcPr>
            <w:tcW w:w="4678" w:type="dxa"/>
          </w:tcPr>
          <w:p w:rsidR="00FE6D5D" w:rsidRPr="00F91C8F" w:rsidRDefault="00FE6D5D" w:rsidP="00482DD5">
            <w:pPr>
              <w:spacing w:before="40"/>
              <w:rPr>
                <w:rFonts w:cs="Arial"/>
                <w:sz w:val="22"/>
                <w:szCs w:val="22"/>
              </w:rPr>
            </w:pPr>
            <w:r w:rsidRPr="00F91C8F">
              <w:rPr>
                <w:rFonts w:cs="Arial"/>
                <w:sz w:val="22"/>
                <w:szCs w:val="22"/>
              </w:rPr>
              <w:t>Maintaining Current Service</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Service</w:t>
            </w: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6</w:t>
            </w:r>
          </w:p>
        </w:tc>
        <w:tc>
          <w:tcPr>
            <w:tcW w:w="4678" w:type="dxa"/>
          </w:tcPr>
          <w:p w:rsidR="00FE6D5D" w:rsidRPr="00F91C8F" w:rsidRDefault="00FE6D5D" w:rsidP="00482DD5">
            <w:pPr>
              <w:spacing w:before="40"/>
              <w:rPr>
                <w:rFonts w:cs="Arial"/>
                <w:sz w:val="22"/>
                <w:szCs w:val="22"/>
              </w:rPr>
            </w:pPr>
            <w:r w:rsidRPr="00F91C8F">
              <w:rPr>
                <w:rFonts w:cs="Arial"/>
                <w:sz w:val="22"/>
                <w:szCs w:val="22"/>
              </w:rPr>
              <w:t>Improved Internal Service</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9</w:t>
            </w:r>
          </w:p>
        </w:tc>
        <w:tc>
          <w:tcPr>
            <w:tcW w:w="4678" w:type="dxa"/>
          </w:tcPr>
          <w:p w:rsidR="00FE6D5D" w:rsidRPr="00F91C8F" w:rsidRDefault="00FE6D5D" w:rsidP="00482DD5">
            <w:pPr>
              <w:spacing w:before="40"/>
              <w:rPr>
                <w:rFonts w:cs="Arial"/>
                <w:sz w:val="22"/>
                <w:szCs w:val="22"/>
              </w:rPr>
            </w:pPr>
            <w:r w:rsidRPr="00F91C8F">
              <w:rPr>
                <w:rFonts w:cs="Arial"/>
                <w:sz w:val="22"/>
                <w:szCs w:val="22"/>
              </w:rPr>
              <w:t>Improved External Service</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p>
        </w:tc>
        <w:tc>
          <w:tcPr>
            <w:tcW w:w="4678" w:type="dxa"/>
          </w:tcPr>
          <w:p w:rsidR="00FE6D5D" w:rsidRPr="00F91C8F" w:rsidRDefault="00FE6D5D" w:rsidP="00482DD5">
            <w:pPr>
              <w:spacing w:before="40"/>
              <w:rPr>
                <w:rFonts w:cs="Arial"/>
                <w:sz w:val="22"/>
                <w:szCs w:val="22"/>
              </w:rPr>
            </w:pP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 xml:space="preserve">Customer Impact / Quantity </w:t>
            </w:r>
          </w:p>
        </w:tc>
        <w:tc>
          <w:tcPr>
            <w:tcW w:w="284" w:type="dxa"/>
          </w:tcPr>
          <w:p w:rsidR="00FE6D5D" w:rsidRPr="00F91C8F" w:rsidRDefault="00FE6D5D" w:rsidP="00482DD5">
            <w:pPr>
              <w:spacing w:before="40"/>
              <w:jc w:val="center"/>
              <w:rPr>
                <w:rFonts w:cs="Arial"/>
                <w:sz w:val="22"/>
                <w:szCs w:val="22"/>
              </w:rPr>
            </w:pPr>
            <w:r w:rsidRPr="00F91C8F">
              <w:rPr>
                <w:rFonts w:cs="Arial"/>
                <w:sz w:val="22"/>
                <w:szCs w:val="22"/>
              </w:rPr>
              <w:t>b</w:t>
            </w: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3</w:t>
            </w:r>
          </w:p>
        </w:tc>
        <w:tc>
          <w:tcPr>
            <w:tcW w:w="4678" w:type="dxa"/>
          </w:tcPr>
          <w:p w:rsidR="00FE6D5D" w:rsidRPr="00F91C8F" w:rsidRDefault="00FE6D5D" w:rsidP="00482DD5">
            <w:pPr>
              <w:spacing w:before="40"/>
              <w:rPr>
                <w:rFonts w:cs="Arial"/>
                <w:sz w:val="22"/>
                <w:szCs w:val="22"/>
              </w:rPr>
            </w:pPr>
            <w:r w:rsidRPr="00F91C8F">
              <w:rPr>
                <w:rFonts w:cs="Arial"/>
                <w:sz w:val="22"/>
                <w:szCs w:val="22"/>
              </w:rPr>
              <w:t xml:space="preserve">Affects &lt; 10% of residents </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of Service</w:t>
            </w: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6</w:t>
            </w:r>
          </w:p>
        </w:tc>
        <w:tc>
          <w:tcPr>
            <w:tcW w:w="4678" w:type="dxa"/>
          </w:tcPr>
          <w:p w:rsidR="00FE6D5D" w:rsidRPr="00F91C8F" w:rsidRDefault="00FE6D5D" w:rsidP="00482DD5">
            <w:pPr>
              <w:spacing w:before="40"/>
              <w:rPr>
                <w:rFonts w:cs="Arial"/>
                <w:sz w:val="22"/>
                <w:szCs w:val="22"/>
              </w:rPr>
            </w:pPr>
            <w:r w:rsidRPr="00F91C8F">
              <w:rPr>
                <w:rFonts w:cs="Arial"/>
                <w:sz w:val="22"/>
                <w:szCs w:val="22"/>
              </w:rPr>
              <w:t>Affects &lt; 50% of residents</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9</w:t>
            </w:r>
          </w:p>
        </w:tc>
        <w:tc>
          <w:tcPr>
            <w:tcW w:w="4678" w:type="dxa"/>
          </w:tcPr>
          <w:p w:rsidR="00FE6D5D" w:rsidRPr="00F91C8F" w:rsidRDefault="00FE6D5D" w:rsidP="00482DD5">
            <w:pPr>
              <w:spacing w:before="40"/>
              <w:rPr>
                <w:rFonts w:cs="Arial"/>
                <w:sz w:val="22"/>
                <w:szCs w:val="22"/>
              </w:rPr>
            </w:pPr>
            <w:r w:rsidRPr="00F91C8F">
              <w:rPr>
                <w:rFonts w:cs="Arial"/>
                <w:sz w:val="22"/>
                <w:szCs w:val="22"/>
              </w:rPr>
              <w:t>Affects all residents</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p>
        </w:tc>
        <w:tc>
          <w:tcPr>
            <w:tcW w:w="4678" w:type="dxa"/>
          </w:tcPr>
          <w:p w:rsidR="00FE6D5D" w:rsidRPr="00F91C8F" w:rsidRDefault="00FE6D5D" w:rsidP="00482DD5">
            <w:pPr>
              <w:spacing w:before="40"/>
              <w:rPr>
                <w:rFonts w:cs="Arial"/>
                <w:sz w:val="22"/>
                <w:szCs w:val="22"/>
              </w:rPr>
            </w:pP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Links to Strategic Plan</w:t>
            </w: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c</w:t>
            </w: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2</w:t>
            </w:r>
          </w:p>
        </w:tc>
        <w:tc>
          <w:tcPr>
            <w:tcW w:w="4678"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Contributes to General Theme</w:t>
            </w: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4</w:t>
            </w:r>
          </w:p>
        </w:tc>
        <w:tc>
          <w:tcPr>
            <w:tcW w:w="4678"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Contributes to General Aim</w:t>
            </w: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6</w:t>
            </w:r>
          </w:p>
        </w:tc>
        <w:tc>
          <w:tcPr>
            <w:tcW w:w="4678"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Contributes to Specific Objective</w:t>
            </w: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4678" w:type="dxa"/>
            <w:tcBorders>
              <w:top w:val="nil"/>
              <w:left w:val="nil"/>
              <w:bottom w:val="nil"/>
              <w:right w:val="nil"/>
            </w:tcBorders>
          </w:tcPr>
          <w:p w:rsidR="00FE6D5D" w:rsidRPr="00F91C8F" w:rsidRDefault="00FE6D5D" w:rsidP="00482DD5">
            <w:pPr>
              <w:spacing w:before="40"/>
              <w:rPr>
                <w:rFonts w:cs="Arial"/>
                <w:sz w:val="22"/>
                <w:szCs w:val="22"/>
              </w:rPr>
            </w:pP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Impact on Partners</w:t>
            </w:r>
          </w:p>
        </w:tc>
        <w:tc>
          <w:tcPr>
            <w:tcW w:w="284" w:type="dxa"/>
          </w:tcPr>
          <w:p w:rsidR="00FE6D5D" w:rsidRPr="00F91C8F" w:rsidRDefault="00FE6D5D" w:rsidP="00482DD5">
            <w:pPr>
              <w:spacing w:before="40"/>
              <w:jc w:val="center"/>
              <w:rPr>
                <w:rFonts w:cs="Arial"/>
                <w:sz w:val="22"/>
                <w:szCs w:val="22"/>
              </w:rPr>
            </w:pPr>
            <w:r w:rsidRPr="00F91C8F">
              <w:rPr>
                <w:rFonts w:cs="Arial"/>
                <w:sz w:val="22"/>
                <w:szCs w:val="22"/>
              </w:rPr>
              <w:t>d</w:t>
            </w: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1</w:t>
            </w:r>
          </w:p>
        </w:tc>
        <w:tc>
          <w:tcPr>
            <w:tcW w:w="4678" w:type="dxa"/>
          </w:tcPr>
          <w:p w:rsidR="00FE6D5D" w:rsidRPr="00F91C8F" w:rsidRDefault="00FE6D5D" w:rsidP="00482DD5">
            <w:pPr>
              <w:tabs>
                <w:tab w:val="left" w:pos="0"/>
              </w:tabs>
              <w:spacing w:before="40"/>
              <w:rPr>
                <w:rFonts w:cs="Arial"/>
                <w:sz w:val="22"/>
                <w:szCs w:val="22"/>
              </w:rPr>
            </w:pPr>
            <w:r w:rsidRPr="00F91C8F">
              <w:rPr>
                <w:rFonts w:cs="Arial"/>
                <w:sz w:val="22"/>
                <w:szCs w:val="22"/>
              </w:rPr>
              <w:t>No impact on partner agencies or joint priorities</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(as defined in the</w:t>
            </w: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2</w:t>
            </w:r>
          </w:p>
        </w:tc>
        <w:tc>
          <w:tcPr>
            <w:tcW w:w="4678" w:type="dxa"/>
          </w:tcPr>
          <w:p w:rsidR="00FE6D5D" w:rsidRPr="00F91C8F" w:rsidRDefault="00FE6D5D" w:rsidP="00482DD5">
            <w:pPr>
              <w:tabs>
                <w:tab w:val="left" w:pos="0"/>
              </w:tabs>
              <w:spacing w:before="40"/>
              <w:rPr>
                <w:rFonts w:cs="Arial"/>
                <w:sz w:val="22"/>
                <w:szCs w:val="22"/>
              </w:rPr>
            </w:pPr>
            <w:r w:rsidRPr="00F91C8F">
              <w:rPr>
                <w:rFonts w:cs="Arial"/>
                <w:sz w:val="22"/>
                <w:szCs w:val="22"/>
              </w:rPr>
              <w:t>Impacts on 1 partner agency / priority</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Community Strategy)</w:t>
            </w: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3</w:t>
            </w:r>
          </w:p>
        </w:tc>
        <w:tc>
          <w:tcPr>
            <w:tcW w:w="4678" w:type="dxa"/>
          </w:tcPr>
          <w:p w:rsidR="00FE6D5D" w:rsidRPr="00F91C8F" w:rsidRDefault="00FE6D5D" w:rsidP="00482DD5">
            <w:pPr>
              <w:spacing w:before="40"/>
              <w:rPr>
                <w:rFonts w:cs="Arial"/>
                <w:sz w:val="22"/>
                <w:szCs w:val="22"/>
              </w:rPr>
            </w:pPr>
            <w:r w:rsidRPr="00F91C8F">
              <w:rPr>
                <w:rFonts w:cs="Arial"/>
                <w:sz w:val="22"/>
                <w:szCs w:val="22"/>
              </w:rPr>
              <w:t>Impacts several partners / priorities</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p>
        </w:tc>
        <w:tc>
          <w:tcPr>
            <w:tcW w:w="4678" w:type="dxa"/>
          </w:tcPr>
          <w:p w:rsidR="00FE6D5D" w:rsidRPr="00F91C8F" w:rsidRDefault="00FE6D5D" w:rsidP="00482DD5">
            <w:pPr>
              <w:spacing w:before="40"/>
              <w:rPr>
                <w:rFonts w:cs="Arial"/>
                <w:sz w:val="22"/>
                <w:szCs w:val="22"/>
              </w:rPr>
            </w:pP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Partnership Funding</w:t>
            </w: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e</w:t>
            </w: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1</w:t>
            </w:r>
          </w:p>
        </w:tc>
        <w:tc>
          <w:tcPr>
            <w:tcW w:w="4678"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No Partnership Funding</w:t>
            </w: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2</w:t>
            </w:r>
          </w:p>
        </w:tc>
        <w:tc>
          <w:tcPr>
            <w:tcW w:w="4678"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Partly Funded by Partners</w:t>
            </w: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3</w:t>
            </w:r>
          </w:p>
        </w:tc>
        <w:tc>
          <w:tcPr>
            <w:tcW w:w="4678"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Fully Funded by Partners</w:t>
            </w: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4678" w:type="dxa"/>
            <w:tcBorders>
              <w:top w:val="nil"/>
              <w:left w:val="nil"/>
              <w:bottom w:val="nil"/>
              <w:right w:val="nil"/>
            </w:tcBorders>
          </w:tcPr>
          <w:p w:rsidR="00FE6D5D" w:rsidRPr="00F91C8F" w:rsidRDefault="00FE6D5D" w:rsidP="00482DD5">
            <w:pPr>
              <w:spacing w:before="40"/>
              <w:rPr>
                <w:rFonts w:cs="Arial"/>
                <w:sz w:val="22"/>
                <w:szCs w:val="22"/>
              </w:rPr>
            </w:pP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Equalities</w:t>
            </w: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f</w:t>
            </w: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1</w:t>
            </w:r>
          </w:p>
        </w:tc>
        <w:tc>
          <w:tcPr>
            <w:tcW w:w="4678"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No impact on vulnerable groups</w:t>
            </w: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2</w:t>
            </w:r>
          </w:p>
        </w:tc>
        <w:tc>
          <w:tcPr>
            <w:tcW w:w="4678"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Impacts on one vulnerable group</w:t>
            </w: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3</w:t>
            </w:r>
          </w:p>
        </w:tc>
        <w:tc>
          <w:tcPr>
            <w:tcW w:w="4678"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Impacts several vulnerable groups</w:t>
            </w: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4678" w:type="dxa"/>
            <w:tcBorders>
              <w:top w:val="nil"/>
              <w:left w:val="nil"/>
              <w:bottom w:val="nil"/>
              <w:right w:val="nil"/>
            </w:tcBorders>
          </w:tcPr>
          <w:p w:rsidR="00FE6D5D" w:rsidRPr="00F91C8F" w:rsidRDefault="00FE6D5D" w:rsidP="00482DD5">
            <w:pPr>
              <w:spacing w:before="40"/>
              <w:rPr>
                <w:rFonts w:cs="Arial"/>
                <w:sz w:val="22"/>
                <w:szCs w:val="22"/>
              </w:rPr>
            </w:pP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Asset Management</w:t>
            </w:r>
          </w:p>
        </w:tc>
        <w:tc>
          <w:tcPr>
            <w:tcW w:w="284" w:type="dxa"/>
          </w:tcPr>
          <w:p w:rsidR="00FE6D5D" w:rsidRPr="00F91C8F" w:rsidRDefault="00FE6D5D" w:rsidP="00482DD5">
            <w:pPr>
              <w:spacing w:before="40"/>
              <w:jc w:val="center"/>
              <w:rPr>
                <w:rFonts w:cs="Arial"/>
                <w:sz w:val="22"/>
                <w:szCs w:val="22"/>
              </w:rPr>
            </w:pPr>
            <w:r w:rsidRPr="00F91C8F">
              <w:rPr>
                <w:rFonts w:cs="Arial"/>
                <w:sz w:val="22"/>
                <w:szCs w:val="22"/>
              </w:rPr>
              <w:t>g</w:t>
            </w: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1</w:t>
            </w:r>
          </w:p>
        </w:tc>
        <w:tc>
          <w:tcPr>
            <w:tcW w:w="4678" w:type="dxa"/>
          </w:tcPr>
          <w:p w:rsidR="00FE6D5D" w:rsidRPr="00F91C8F" w:rsidRDefault="00FE6D5D" w:rsidP="00482DD5">
            <w:pPr>
              <w:spacing w:before="40"/>
              <w:rPr>
                <w:rFonts w:cs="Arial"/>
                <w:sz w:val="22"/>
                <w:szCs w:val="22"/>
              </w:rPr>
            </w:pPr>
            <w:r w:rsidRPr="00F91C8F">
              <w:rPr>
                <w:rFonts w:cs="Arial"/>
                <w:sz w:val="22"/>
                <w:szCs w:val="22"/>
              </w:rPr>
              <w:t>Not related to asset maintenance</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2</w:t>
            </w:r>
          </w:p>
        </w:tc>
        <w:tc>
          <w:tcPr>
            <w:tcW w:w="4678" w:type="dxa"/>
          </w:tcPr>
          <w:p w:rsidR="00FE6D5D" w:rsidRPr="00F91C8F" w:rsidRDefault="00FE6D5D" w:rsidP="00482DD5">
            <w:pPr>
              <w:spacing w:before="40"/>
              <w:rPr>
                <w:rFonts w:cs="Arial"/>
                <w:sz w:val="22"/>
                <w:szCs w:val="22"/>
              </w:rPr>
            </w:pPr>
            <w:r w:rsidRPr="00F91C8F">
              <w:rPr>
                <w:rFonts w:cs="Arial"/>
                <w:sz w:val="22"/>
                <w:szCs w:val="22"/>
              </w:rPr>
              <w:t>Allowing asset to continue in use</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3</w:t>
            </w:r>
          </w:p>
        </w:tc>
        <w:tc>
          <w:tcPr>
            <w:tcW w:w="4678" w:type="dxa"/>
          </w:tcPr>
          <w:p w:rsidR="00FE6D5D" w:rsidRPr="00F91C8F" w:rsidRDefault="00FE6D5D" w:rsidP="00482DD5">
            <w:pPr>
              <w:tabs>
                <w:tab w:val="left" w:pos="0"/>
              </w:tabs>
              <w:spacing w:before="40"/>
              <w:rPr>
                <w:rFonts w:cs="Arial"/>
                <w:sz w:val="22"/>
                <w:szCs w:val="22"/>
              </w:rPr>
            </w:pPr>
            <w:r w:rsidRPr="00F91C8F">
              <w:rPr>
                <w:rFonts w:cs="Arial"/>
                <w:sz w:val="22"/>
                <w:szCs w:val="22"/>
              </w:rPr>
              <w:t>Expenditure required to bring asset up to standard enabling service to continue (i.e. an element of ‘backlog’ repair exists)</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p>
        </w:tc>
        <w:tc>
          <w:tcPr>
            <w:tcW w:w="4678" w:type="dxa"/>
          </w:tcPr>
          <w:p w:rsidR="00FE6D5D" w:rsidRPr="00F91C8F" w:rsidRDefault="00FE6D5D" w:rsidP="00482DD5">
            <w:pPr>
              <w:spacing w:before="40"/>
              <w:rPr>
                <w:rFonts w:cs="Arial"/>
                <w:sz w:val="22"/>
                <w:szCs w:val="22"/>
              </w:rPr>
            </w:pP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Statutory/Discretionary</w:t>
            </w:r>
          </w:p>
        </w:tc>
        <w:tc>
          <w:tcPr>
            <w:tcW w:w="284" w:type="dxa"/>
          </w:tcPr>
          <w:p w:rsidR="00FE6D5D" w:rsidRPr="00F91C8F" w:rsidRDefault="00FE6D5D" w:rsidP="00482DD5">
            <w:pPr>
              <w:spacing w:before="40"/>
              <w:jc w:val="center"/>
              <w:rPr>
                <w:rFonts w:cs="Arial"/>
                <w:sz w:val="22"/>
                <w:szCs w:val="22"/>
              </w:rPr>
            </w:pPr>
            <w:r w:rsidRPr="00F91C8F">
              <w:rPr>
                <w:rFonts w:cs="Arial"/>
                <w:sz w:val="22"/>
                <w:szCs w:val="22"/>
              </w:rPr>
              <w:t>h</w:t>
            </w: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1</w:t>
            </w:r>
          </w:p>
        </w:tc>
        <w:tc>
          <w:tcPr>
            <w:tcW w:w="4678" w:type="dxa"/>
          </w:tcPr>
          <w:p w:rsidR="00FE6D5D" w:rsidRPr="00F91C8F" w:rsidRDefault="00FE6D5D" w:rsidP="00482DD5">
            <w:pPr>
              <w:spacing w:before="40"/>
              <w:rPr>
                <w:rFonts w:cs="Arial"/>
                <w:sz w:val="22"/>
                <w:szCs w:val="22"/>
              </w:rPr>
            </w:pPr>
            <w:r w:rsidRPr="00F91C8F">
              <w:rPr>
                <w:rFonts w:cs="Arial"/>
                <w:sz w:val="22"/>
                <w:szCs w:val="22"/>
              </w:rPr>
              <w:t>Entirely Discretionary</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Service</w:t>
            </w: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2</w:t>
            </w:r>
          </w:p>
        </w:tc>
        <w:tc>
          <w:tcPr>
            <w:tcW w:w="4678" w:type="dxa"/>
          </w:tcPr>
          <w:p w:rsidR="00FE6D5D" w:rsidRPr="00F91C8F" w:rsidRDefault="00FE6D5D" w:rsidP="00482DD5">
            <w:pPr>
              <w:spacing w:before="40"/>
              <w:rPr>
                <w:rFonts w:cs="Arial"/>
                <w:sz w:val="22"/>
                <w:szCs w:val="22"/>
              </w:rPr>
            </w:pPr>
            <w:r w:rsidRPr="00F91C8F">
              <w:rPr>
                <w:rFonts w:cs="Arial"/>
                <w:sz w:val="22"/>
                <w:szCs w:val="22"/>
              </w:rPr>
              <w:t>Partly Statutory</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3</w:t>
            </w:r>
          </w:p>
        </w:tc>
        <w:tc>
          <w:tcPr>
            <w:tcW w:w="4678" w:type="dxa"/>
          </w:tcPr>
          <w:p w:rsidR="00FE6D5D" w:rsidRPr="00F91C8F" w:rsidRDefault="00FE6D5D" w:rsidP="00482DD5">
            <w:pPr>
              <w:spacing w:before="40"/>
              <w:rPr>
                <w:rFonts w:cs="Arial"/>
                <w:sz w:val="22"/>
                <w:szCs w:val="22"/>
              </w:rPr>
            </w:pPr>
            <w:r w:rsidRPr="00F91C8F">
              <w:rPr>
                <w:rFonts w:cs="Arial"/>
                <w:sz w:val="22"/>
                <w:szCs w:val="22"/>
              </w:rPr>
              <w:t>Entirely Statutory</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p>
        </w:tc>
        <w:tc>
          <w:tcPr>
            <w:tcW w:w="4678" w:type="dxa"/>
          </w:tcPr>
          <w:p w:rsidR="00FE6D5D" w:rsidRPr="00F91C8F" w:rsidRDefault="00FE6D5D" w:rsidP="00482DD5">
            <w:pPr>
              <w:spacing w:before="40"/>
              <w:rPr>
                <w:rFonts w:cs="Arial"/>
                <w:sz w:val="22"/>
                <w:szCs w:val="22"/>
              </w:rPr>
            </w:pP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p>
        </w:tc>
        <w:tc>
          <w:tcPr>
            <w:tcW w:w="4678" w:type="dxa"/>
          </w:tcPr>
          <w:p w:rsidR="00FE6D5D" w:rsidRPr="00F91C8F" w:rsidRDefault="00FE6D5D" w:rsidP="00482DD5">
            <w:pPr>
              <w:spacing w:before="40"/>
              <w:rPr>
                <w:rFonts w:cs="Arial"/>
                <w:sz w:val="22"/>
                <w:szCs w:val="22"/>
              </w:rPr>
            </w:pPr>
          </w:p>
        </w:tc>
      </w:tr>
      <w:tr w:rsidR="00CF7499" w:rsidRPr="00CF7499"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 xml:space="preserve">Contractually Committed </w:t>
            </w:r>
          </w:p>
        </w:tc>
        <w:tc>
          <w:tcPr>
            <w:tcW w:w="284" w:type="dxa"/>
          </w:tcPr>
          <w:p w:rsidR="00FE6D5D" w:rsidRPr="00F91C8F" w:rsidRDefault="00FE6D5D" w:rsidP="00482DD5">
            <w:pPr>
              <w:spacing w:before="40"/>
              <w:jc w:val="center"/>
              <w:rPr>
                <w:rFonts w:cs="Arial"/>
                <w:sz w:val="22"/>
                <w:szCs w:val="22"/>
              </w:rPr>
            </w:pPr>
            <w:r w:rsidRPr="00F91C8F">
              <w:rPr>
                <w:rFonts w:cs="Arial"/>
                <w:sz w:val="22"/>
                <w:szCs w:val="22"/>
              </w:rPr>
              <w:t>i</w:t>
            </w: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1</w:t>
            </w:r>
          </w:p>
        </w:tc>
        <w:tc>
          <w:tcPr>
            <w:tcW w:w="4678" w:type="dxa"/>
          </w:tcPr>
          <w:p w:rsidR="00FE6D5D" w:rsidRPr="00F91C8F" w:rsidRDefault="00FE6D5D" w:rsidP="00482DD5">
            <w:pPr>
              <w:spacing w:before="40"/>
              <w:rPr>
                <w:rFonts w:cs="Arial"/>
                <w:sz w:val="22"/>
                <w:szCs w:val="22"/>
              </w:rPr>
            </w:pPr>
            <w:r w:rsidRPr="00F91C8F">
              <w:rPr>
                <w:rFonts w:cs="Arial"/>
                <w:sz w:val="22"/>
                <w:szCs w:val="22"/>
              </w:rPr>
              <w:t>No Commitment</w:t>
            </w:r>
          </w:p>
        </w:tc>
      </w:tr>
      <w:tr w:rsidR="00CF7499" w:rsidRPr="00CF7499"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2</w:t>
            </w:r>
          </w:p>
        </w:tc>
        <w:tc>
          <w:tcPr>
            <w:tcW w:w="4678" w:type="dxa"/>
          </w:tcPr>
          <w:p w:rsidR="00FE6D5D" w:rsidRPr="00F91C8F" w:rsidRDefault="00FE6D5D" w:rsidP="00482DD5">
            <w:pPr>
              <w:spacing w:before="40"/>
              <w:rPr>
                <w:rFonts w:cs="Arial"/>
                <w:sz w:val="22"/>
                <w:szCs w:val="22"/>
              </w:rPr>
            </w:pPr>
            <w:r w:rsidRPr="00F91C8F">
              <w:rPr>
                <w:rFonts w:cs="Arial"/>
                <w:sz w:val="22"/>
                <w:szCs w:val="22"/>
              </w:rPr>
              <w:t>Moral Obligation (e.g. SLA)</w:t>
            </w:r>
          </w:p>
        </w:tc>
      </w:tr>
      <w:tr w:rsidR="00CF7499" w:rsidRPr="00CF7499"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3</w:t>
            </w:r>
          </w:p>
        </w:tc>
        <w:tc>
          <w:tcPr>
            <w:tcW w:w="4678" w:type="dxa"/>
          </w:tcPr>
          <w:p w:rsidR="00FE6D5D" w:rsidRPr="00F91C8F" w:rsidRDefault="00FE6D5D" w:rsidP="00482DD5">
            <w:pPr>
              <w:spacing w:before="40"/>
              <w:rPr>
                <w:rFonts w:cs="Arial"/>
                <w:sz w:val="22"/>
                <w:szCs w:val="22"/>
              </w:rPr>
            </w:pPr>
            <w:r w:rsidRPr="00F91C8F">
              <w:rPr>
                <w:rFonts w:cs="Arial"/>
                <w:sz w:val="22"/>
                <w:szCs w:val="22"/>
              </w:rPr>
              <w:t>Contractually Committed</w:t>
            </w:r>
          </w:p>
        </w:tc>
      </w:tr>
      <w:tr w:rsidR="00CF7499" w:rsidRPr="00CF7499" w:rsidTr="00FE6D5D">
        <w:trPr>
          <w:trHeight w:val="284"/>
        </w:trPr>
        <w:tc>
          <w:tcPr>
            <w:tcW w:w="3085" w:type="dxa"/>
          </w:tcPr>
          <w:p w:rsidR="00FE6D5D" w:rsidRPr="00CF7499" w:rsidRDefault="00FE6D5D" w:rsidP="00482DD5">
            <w:pPr>
              <w:spacing w:before="40"/>
              <w:rPr>
                <w:rFonts w:cs="Arial"/>
                <w:color w:val="4F81BD" w:themeColor="accent1"/>
                <w:sz w:val="22"/>
                <w:szCs w:val="22"/>
              </w:rPr>
            </w:pPr>
          </w:p>
        </w:tc>
        <w:tc>
          <w:tcPr>
            <w:tcW w:w="284" w:type="dxa"/>
          </w:tcPr>
          <w:p w:rsidR="00FE6D5D" w:rsidRPr="00CF7499" w:rsidRDefault="00FE6D5D" w:rsidP="00482DD5">
            <w:pPr>
              <w:spacing w:before="40"/>
              <w:jc w:val="center"/>
              <w:rPr>
                <w:rFonts w:cs="Arial"/>
                <w:color w:val="4F81BD" w:themeColor="accent1"/>
                <w:sz w:val="22"/>
                <w:szCs w:val="22"/>
              </w:rPr>
            </w:pPr>
          </w:p>
        </w:tc>
        <w:tc>
          <w:tcPr>
            <w:tcW w:w="850" w:type="dxa"/>
          </w:tcPr>
          <w:p w:rsidR="00FE6D5D" w:rsidRPr="00CF7499" w:rsidRDefault="00FE6D5D" w:rsidP="00482DD5">
            <w:pPr>
              <w:spacing w:before="40"/>
              <w:jc w:val="center"/>
              <w:rPr>
                <w:rFonts w:cs="Arial"/>
                <w:color w:val="4F81BD" w:themeColor="accent1"/>
                <w:sz w:val="22"/>
                <w:szCs w:val="22"/>
              </w:rPr>
            </w:pPr>
          </w:p>
        </w:tc>
        <w:tc>
          <w:tcPr>
            <w:tcW w:w="4678" w:type="dxa"/>
          </w:tcPr>
          <w:p w:rsidR="00FE6D5D" w:rsidRPr="00CF7499" w:rsidRDefault="00FE6D5D" w:rsidP="00482DD5">
            <w:pPr>
              <w:spacing w:before="40"/>
              <w:rPr>
                <w:rFonts w:cs="Arial"/>
                <w:color w:val="4F81BD" w:themeColor="accent1"/>
                <w:sz w:val="22"/>
                <w:szCs w:val="22"/>
              </w:rPr>
            </w:pPr>
          </w:p>
        </w:tc>
      </w:tr>
    </w:tbl>
    <w:p w:rsidR="005618B0" w:rsidRPr="00CF7499" w:rsidRDefault="005618B0" w:rsidP="00FE6D5D">
      <w:pPr>
        <w:rPr>
          <w:color w:val="4F81BD" w:themeColor="accent1"/>
        </w:rPr>
        <w:sectPr w:rsidR="005618B0" w:rsidRPr="00CF7499" w:rsidSect="009F62F0">
          <w:pgSz w:w="11909" w:h="16834" w:code="9"/>
          <w:pgMar w:top="1361" w:right="907" w:bottom="1361" w:left="1134" w:header="709" w:footer="709" w:gutter="0"/>
          <w:cols w:space="720"/>
        </w:sectPr>
      </w:pPr>
    </w:p>
    <w:p w:rsidR="005618B0" w:rsidRPr="00F91C8F" w:rsidRDefault="005618B0" w:rsidP="005618B0">
      <w:pPr>
        <w:jc w:val="right"/>
        <w:rPr>
          <w:rFonts w:cs="Arial"/>
          <w:b/>
          <w:sz w:val="22"/>
          <w:szCs w:val="22"/>
        </w:rPr>
      </w:pPr>
      <w:r w:rsidRPr="00F91C8F">
        <w:rPr>
          <w:rFonts w:cs="Arial"/>
          <w:b/>
          <w:sz w:val="22"/>
          <w:szCs w:val="22"/>
        </w:rPr>
        <w:lastRenderedPageBreak/>
        <w:t xml:space="preserve">APPENDIX </w:t>
      </w:r>
      <w:r w:rsidR="00A42E4F">
        <w:rPr>
          <w:rFonts w:cs="Arial"/>
          <w:b/>
          <w:sz w:val="22"/>
          <w:szCs w:val="22"/>
        </w:rPr>
        <w:t>5</w:t>
      </w:r>
    </w:p>
    <w:p w:rsidR="00A6727E" w:rsidRPr="00CF7499" w:rsidRDefault="00823563" w:rsidP="00A6727E">
      <w:pPr>
        <w:rPr>
          <w:rFonts w:cs="Arial"/>
          <w:color w:val="4F81BD" w:themeColor="accent1"/>
          <w:sz w:val="22"/>
          <w:szCs w:val="22"/>
        </w:rPr>
      </w:pPr>
      <w:r w:rsidRPr="00CF7499">
        <w:rPr>
          <w:rFonts w:cs="Arial"/>
          <w:b/>
          <w:color w:val="4F81BD" w:themeColor="accent1"/>
          <w:sz w:val="22"/>
          <w:szCs w:val="22"/>
        </w:rPr>
        <w:t xml:space="preserve">           </w:t>
      </w:r>
      <w:r w:rsidR="00A6727E" w:rsidRPr="00F91C8F">
        <w:rPr>
          <w:rFonts w:cs="Arial"/>
          <w:b/>
          <w:sz w:val="22"/>
          <w:szCs w:val="22"/>
        </w:rPr>
        <w:t xml:space="preserve">PROPOSALS FOR GROWTH </w:t>
      </w:r>
      <w:r w:rsidR="00A6727E" w:rsidRPr="00F91C8F">
        <w:rPr>
          <w:rFonts w:cs="Arial"/>
          <w:sz w:val="22"/>
          <w:szCs w:val="22"/>
        </w:rPr>
        <w:t>(not included in base budgets)</w:t>
      </w:r>
    </w:p>
    <w:p w:rsidR="00FE6D5D" w:rsidRPr="00CF7499" w:rsidRDefault="00D761E4" w:rsidP="00FE6D5D">
      <w:pPr>
        <w:rPr>
          <w:rFonts w:cs="Arial"/>
          <w:b/>
          <w:color w:val="4F81BD" w:themeColor="accent1"/>
          <w:sz w:val="22"/>
          <w:szCs w:val="22"/>
        </w:rPr>
      </w:pPr>
      <w:r w:rsidRPr="00CF7499">
        <w:rPr>
          <w:rFonts w:cs="Arial"/>
          <w:b/>
          <w:color w:val="4F81BD" w:themeColor="accent1"/>
          <w:sz w:val="22"/>
          <w:szCs w:val="22"/>
        </w:rPr>
        <w:tab/>
      </w:r>
    </w:p>
    <w:p w:rsidR="00C118BA" w:rsidRDefault="0086652D" w:rsidP="0079607D">
      <w:pPr>
        <w:ind w:firstLine="720"/>
        <w:jc w:val="both"/>
        <w:rPr>
          <w:rFonts w:cs="Arial"/>
          <w:sz w:val="22"/>
          <w:szCs w:val="22"/>
        </w:rPr>
      </w:pPr>
      <w:r>
        <w:rPr>
          <w:rFonts w:cs="Arial"/>
          <w:sz w:val="22"/>
          <w:szCs w:val="22"/>
        </w:rPr>
        <w:t>T</w:t>
      </w:r>
      <w:r w:rsidR="00074384" w:rsidRPr="0097182F">
        <w:rPr>
          <w:rFonts w:cs="Arial"/>
          <w:sz w:val="22"/>
          <w:szCs w:val="22"/>
        </w:rPr>
        <w:t xml:space="preserve">he </w:t>
      </w:r>
      <w:r>
        <w:rPr>
          <w:rFonts w:cs="Arial"/>
          <w:sz w:val="22"/>
          <w:szCs w:val="22"/>
        </w:rPr>
        <w:t>growth items below</w:t>
      </w:r>
      <w:r w:rsidR="00074384" w:rsidRPr="0097182F">
        <w:rPr>
          <w:rFonts w:cs="Arial"/>
          <w:sz w:val="22"/>
          <w:szCs w:val="22"/>
        </w:rPr>
        <w:t xml:space="preserve"> were submitted as PIDs to</w:t>
      </w:r>
      <w:r w:rsidR="00C118BA">
        <w:rPr>
          <w:rFonts w:cs="Arial"/>
          <w:sz w:val="22"/>
          <w:szCs w:val="22"/>
        </w:rPr>
        <w:t xml:space="preserve"> the relevant service Committee in the November cycle of meetings.</w:t>
      </w:r>
    </w:p>
    <w:p w:rsidR="00EB00C9" w:rsidRDefault="00EB00C9" w:rsidP="0079607D">
      <w:pPr>
        <w:ind w:firstLine="720"/>
        <w:jc w:val="both"/>
        <w:rPr>
          <w:rFonts w:cs="Arial"/>
          <w:sz w:val="22"/>
          <w:szCs w:val="22"/>
        </w:rPr>
      </w:pPr>
    </w:p>
    <w:p w:rsidR="0086652D" w:rsidRDefault="00EB00C9" w:rsidP="00021B52">
      <w:pPr>
        <w:rPr>
          <w:rFonts w:cs="Arial"/>
          <w:sz w:val="22"/>
          <w:szCs w:val="22"/>
        </w:rPr>
      </w:pPr>
      <w:r w:rsidRPr="00EB00C9">
        <w:rPr>
          <w:noProof/>
          <w:lang w:eastAsia="en-GB"/>
        </w:rPr>
        <w:drawing>
          <wp:inline distT="0" distB="0" distL="0" distR="0">
            <wp:extent cx="9509760" cy="242514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09760" cy="2425148"/>
                    </a:xfrm>
                    <a:prstGeom prst="rect">
                      <a:avLst/>
                    </a:prstGeom>
                    <a:noFill/>
                    <a:ln>
                      <a:noFill/>
                    </a:ln>
                  </pic:spPr>
                </pic:pic>
              </a:graphicData>
            </a:graphic>
          </wp:inline>
        </w:drawing>
      </w:r>
    </w:p>
    <w:p w:rsidR="00EB00C9" w:rsidRDefault="00EB00C9" w:rsidP="00021B52"/>
    <w:p w:rsidR="0086652D" w:rsidRDefault="0086652D" w:rsidP="00EB00C9">
      <w:pPr>
        <w:rPr>
          <w:rFonts w:cs="Arial"/>
          <w:sz w:val="22"/>
          <w:szCs w:val="22"/>
        </w:rPr>
      </w:pPr>
      <w:r w:rsidRPr="0086652D">
        <w:t xml:space="preserve"> </w:t>
      </w:r>
      <w:r>
        <w:rPr>
          <w:rFonts w:cs="Arial"/>
          <w:sz w:val="22"/>
          <w:szCs w:val="22"/>
        </w:rPr>
        <w:t>T</w:t>
      </w:r>
      <w:r w:rsidRPr="0097182F">
        <w:rPr>
          <w:rFonts w:cs="Arial"/>
          <w:sz w:val="22"/>
          <w:szCs w:val="22"/>
        </w:rPr>
        <w:t xml:space="preserve">he </w:t>
      </w:r>
      <w:r>
        <w:rPr>
          <w:rFonts w:cs="Arial"/>
          <w:sz w:val="22"/>
          <w:szCs w:val="22"/>
        </w:rPr>
        <w:t>growth items have not yet be</w:t>
      </w:r>
      <w:r w:rsidR="00321883">
        <w:rPr>
          <w:rFonts w:cs="Arial"/>
          <w:sz w:val="22"/>
          <w:szCs w:val="22"/>
        </w:rPr>
        <w:t>e</w:t>
      </w:r>
      <w:r>
        <w:rPr>
          <w:rFonts w:cs="Arial"/>
          <w:sz w:val="22"/>
          <w:szCs w:val="22"/>
        </w:rPr>
        <w:t>n scored as the PIDS were completed in January.</w:t>
      </w:r>
    </w:p>
    <w:p w:rsidR="0086652D" w:rsidRDefault="0086652D" w:rsidP="00021B52">
      <w:pPr>
        <w:rPr>
          <w:rFonts w:cs="Arial"/>
          <w:sz w:val="22"/>
          <w:szCs w:val="22"/>
        </w:rPr>
      </w:pPr>
    </w:p>
    <w:p w:rsidR="0086652D" w:rsidRDefault="0079607D" w:rsidP="00021B52">
      <w:pPr>
        <w:rPr>
          <w:rFonts w:cs="Arial"/>
          <w:sz w:val="22"/>
          <w:szCs w:val="22"/>
        </w:rPr>
        <w:sectPr w:rsidR="0086652D" w:rsidSect="0027090C">
          <w:pgSz w:w="16834" w:h="11909" w:orient="landscape" w:code="9"/>
          <w:pgMar w:top="1134" w:right="624" w:bottom="1134" w:left="1134" w:header="709" w:footer="709" w:gutter="0"/>
          <w:cols w:space="720"/>
        </w:sectPr>
      </w:pPr>
      <w:r w:rsidRPr="0079607D">
        <w:rPr>
          <w:noProof/>
          <w:lang w:eastAsia="en-GB"/>
        </w:rPr>
        <w:drawing>
          <wp:inline distT="0" distB="0" distL="0" distR="0">
            <wp:extent cx="9509009" cy="206733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09760" cy="2067502"/>
                    </a:xfrm>
                    <a:prstGeom prst="rect">
                      <a:avLst/>
                    </a:prstGeom>
                    <a:noFill/>
                    <a:ln>
                      <a:noFill/>
                    </a:ln>
                  </pic:spPr>
                </pic:pic>
              </a:graphicData>
            </a:graphic>
          </wp:inline>
        </w:drawing>
      </w:r>
    </w:p>
    <w:p w:rsidR="00FD629B" w:rsidRDefault="00FD629B" w:rsidP="00133F7B">
      <w:pPr>
        <w:jc w:val="right"/>
        <w:rPr>
          <w:rFonts w:cs="Arial"/>
          <w:b/>
          <w:sz w:val="22"/>
          <w:szCs w:val="22"/>
        </w:rPr>
      </w:pPr>
    </w:p>
    <w:p w:rsidR="00133F7B" w:rsidRPr="005B1505" w:rsidRDefault="00133F7B" w:rsidP="00133F7B">
      <w:pPr>
        <w:jc w:val="right"/>
        <w:rPr>
          <w:rFonts w:cs="Arial"/>
          <w:b/>
          <w:sz w:val="22"/>
          <w:szCs w:val="22"/>
        </w:rPr>
      </w:pPr>
      <w:r w:rsidRPr="005B1505">
        <w:rPr>
          <w:rFonts w:cs="Arial"/>
          <w:b/>
          <w:sz w:val="22"/>
          <w:szCs w:val="22"/>
        </w:rPr>
        <w:t xml:space="preserve">APPENDIX </w:t>
      </w:r>
      <w:r w:rsidR="00A42E4F" w:rsidRPr="005B1505">
        <w:rPr>
          <w:rFonts w:cs="Arial"/>
          <w:b/>
          <w:sz w:val="22"/>
          <w:szCs w:val="22"/>
        </w:rPr>
        <w:t>6</w:t>
      </w:r>
    </w:p>
    <w:p w:rsidR="00133F7B" w:rsidRDefault="00A6727E" w:rsidP="002646B8">
      <w:pPr>
        <w:rPr>
          <w:rFonts w:cs="Arial"/>
          <w:sz w:val="22"/>
          <w:szCs w:val="22"/>
        </w:rPr>
      </w:pPr>
      <w:r w:rsidRPr="00A42E4F">
        <w:rPr>
          <w:rFonts w:cs="Arial"/>
          <w:b/>
          <w:sz w:val="22"/>
          <w:szCs w:val="22"/>
        </w:rPr>
        <w:t xml:space="preserve">PROPOSED FEES &amp; CHARGES </w:t>
      </w:r>
      <w:r w:rsidRPr="00A42E4F">
        <w:rPr>
          <w:rFonts w:cs="Arial"/>
          <w:sz w:val="22"/>
          <w:szCs w:val="22"/>
        </w:rPr>
        <w:t>(included in base budgets)</w:t>
      </w:r>
    </w:p>
    <w:p w:rsidR="00FD629B" w:rsidRPr="00A42E4F" w:rsidRDefault="00FD629B" w:rsidP="002646B8">
      <w:pPr>
        <w:rPr>
          <w:rFonts w:cs="Arial"/>
          <w:b/>
          <w:sz w:val="22"/>
          <w:szCs w:val="22"/>
        </w:rPr>
      </w:pPr>
    </w:p>
    <w:p w:rsidR="00133F7B" w:rsidRPr="00CF7499" w:rsidRDefault="00133F7B" w:rsidP="00133F7B">
      <w:pPr>
        <w:jc w:val="right"/>
        <w:rPr>
          <w:rFonts w:cs="Arial"/>
          <w:b/>
          <w:color w:val="4F81BD" w:themeColor="accent1"/>
          <w:sz w:val="22"/>
          <w:szCs w:val="22"/>
        </w:rPr>
      </w:pPr>
    </w:p>
    <w:p w:rsidR="00517900" w:rsidRPr="00CF7499" w:rsidRDefault="002A77C2" w:rsidP="00EB5D04">
      <w:pPr>
        <w:rPr>
          <w:color w:val="4F81BD" w:themeColor="accent1"/>
        </w:rPr>
      </w:pPr>
      <w:r w:rsidRPr="002A77C2">
        <w:rPr>
          <w:noProof/>
          <w:lang w:eastAsia="en-GB"/>
        </w:rPr>
        <w:drawing>
          <wp:inline distT="0" distB="0" distL="0" distR="0" wp14:anchorId="0FCEB820" wp14:editId="087A5335">
            <wp:extent cx="6122035" cy="7318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2035" cy="7318008"/>
                    </a:xfrm>
                    <a:prstGeom prst="rect">
                      <a:avLst/>
                    </a:prstGeom>
                    <a:noFill/>
                    <a:ln>
                      <a:noFill/>
                    </a:ln>
                  </pic:spPr>
                </pic:pic>
              </a:graphicData>
            </a:graphic>
          </wp:inline>
        </w:drawing>
      </w:r>
    </w:p>
    <w:p w:rsidR="00C118BA" w:rsidRDefault="00C118BA" w:rsidP="00517900">
      <w:pPr>
        <w:rPr>
          <w:color w:val="4F81BD" w:themeColor="accent1"/>
        </w:rPr>
      </w:pPr>
    </w:p>
    <w:p w:rsidR="00C118BA" w:rsidRDefault="00C118BA" w:rsidP="00517900">
      <w:pPr>
        <w:rPr>
          <w:color w:val="4F81BD" w:themeColor="accent1"/>
        </w:rPr>
      </w:pPr>
    </w:p>
    <w:p w:rsidR="00A42E4F" w:rsidRDefault="00C118BA" w:rsidP="00517900">
      <w:pPr>
        <w:rPr>
          <w:color w:val="4F81BD" w:themeColor="accent1"/>
        </w:rPr>
      </w:pPr>
      <w:r>
        <w:rPr>
          <w:color w:val="4F81BD" w:themeColor="accent1"/>
        </w:rPr>
        <w:t xml:space="preserve"> </w:t>
      </w:r>
    </w:p>
    <w:p w:rsidR="00C118BA" w:rsidRDefault="00C118BA" w:rsidP="00517900">
      <w:pPr>
        <w:rPr>
          <w:color w:val="4F81BD" w:themeColor="accent1"/>
        </w:rPr>
        <w:sectPr w:rsidR="00C118BA" w:rsidSect="00C118BA">
          <w:pgSz w:w="11909" w:h="16834" w:code="9"/>
          <w:pgMar w:top="624" w:right="1134" w:bottom="1134" w:left="1134" w:header="709" w:footer="709" w:gutter="0"/>
          <w:cols w:space="720"/>
          <w:docGrid w:linePitch="326"/>
        </w:sectPr>
      </w:pPr>
    </w:p>
    <w:p w:rsidR="00133F7B" w:rsidRPr="00A42E4F" w:rsidRDefault="00A42E4F" w:rsidP="0027090C">
      <w:pPr>
        <w:ind w:right="50"/>
        <w:jc w:val="right"/>
        <w:rPr>
          <w:rFonts w:cs="Arial"/>
          <w:b/>
          <w:sz w:val="22"/>
          <w:szCs w:val="22"/>
        </w:rPr>
      </w:pPr>
      <w:r w:rsidRPr="00A42E4F">
        <w:rPr>
          <w:rFonts w:cs="Arial"/>
          <w:b/>
          <w:sz w:val="22"/>
          <w:szCs w:val="22"/>
        </w:rPr>
        <w:lastRenderedPageBreak/>
        <w:t>A</w:t>
      </w:r>
      <w:r w:rsidR="00480BBB" w:rsidRPr="00A42E4F">
        <w:rPr>
          <w:rFonts w:cs="Arial"/>
          <w:b/>
          <w:sz w:val="22"/>
          <w:szCs w:val="22"/>
        </w:rPr>
        <w:t xml:space="preserve">PPENDIX </w:t>
      </w:r>
      <w:r w:rsidR="0046143D">
        <w:rPr>
          <w:rFonts w:cs="Arial"/>
          <w:b/>
          <w:sz w:val="22"/>
          <w:szCs w:val="22"/>
        </w:rPr>
        <w:t>7</w:t>
      </w:r>
    </w:p>
    <w:p w:rsidR="009B16D6" w:rsidRPr="00A42E4F" w:rsidRDefault="009B16D6" w:rsidP="009B16D6">
      <w:pPr>
        <w:rPr>
          <w:rFonts w:cs="Arial"/>
          <w:b/>
          <w:sz w:val="22"/>
          <w:szCs w:val="22"/>
        </w:rPr>
      </w:pPr>
      <w:r w:rsidRPr="00A42E4F">
        <w:rPr>
          <w:rFonts w:cs="Arial"/>
          <w:b/>
          <w:sz w:val="22"/>
          <w:szCs w:val="22"/>
        </w:rPr>
        <w:t>FINANCIAL AND BUDGETARY KEY RISKS</w:t>
      </w:r>
    </w:p>
    <w:p w:rsidR="00480BBB" w:rsidRPr="00CF7499" w:rsidRDefault="00480BBB" w:rsidP="00480BBB">
      <w:pPr>
        <w:jc w:val="right"/>
        <w:rPr>
          <w:rFonts w:cs="Arial"/>
          <w:b/>
          <w:color w:val="4F81BD" w:themeColor="accent1"/>
          <w:sz w:val="22"/>
          <w:szCs w:val="22"/>
        </w:rPr>
      </w:pPr>
    </w:p>
    <w:p w:rsidR="00480BBB" w:rsidRDefault="00857A38" w:rsidP="00480BBB">
      <w:pPr>
        <w:rPr>
          <w:rFonts w:cs="Arial"/>
          <w:b/>
          <w:color w:val="4F81BD" w:themeColor="accent1"/>
          <w:sz w:val="22"/>
          <w:szCs w:val="22"/>
        </w:rPr>
      </w:pPr>
      <w:r w:rsidRPr="00857A38">
        <w:rPr>
          <w:noProof/>
          <w:lang w:eastAsia="en-GB"/>
        </w:rPr>
        <w:drawing>
          <wp:inline distT="0" distB="0" distL="0" distR="0" wp14:anchorId="1E306D81" wp14:editId="42E59EDE">
            <wp:extent cx="9573260" cy="3883567"/>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73260" cy="3883567"/>
                    </a:xfrm>
                    <a:prstGeom prst="rect">
                      <a:avLst/>
                    </a:prstGeom>
                    <a:noFill/>
                    <a:ln>
                      <a:noFill/>
                    </a:ln>
                  </pic:spPr>
                </pic:pic>
              </a:graphicData>
            </a:graphic>
          </wp:inline>
        </w:drawing>
      </w:r>
    </w:p>
    <w:p w:rsidR="009B4A63" w:rsidRDefault="009B4A63" w:rsidP="00480BBB">
      <w:pPr>
        <w:rPr>
          <w:rFonts w:cs="Arial"/>
          <w:b/>
          <w:color w:val="4F81BD" w:themeColor="accent1"/>
          <w:sz w:val="22"/>
          <w:szCs w:val="22"/>
        </w:rPr>
      </w:pPr>
    </w:p>
    <w:p w:rsidR="009B4A63" w:rsidRPr="00CF7499" w:rsidRDefault="009B4A63" w:rsidP="00480BBB">
      <w:pPr>
        <w:rPr>
          <w:rFonts w:cs="Arial"/>
          <w:b/>
          <w:color w:val="4F81BD" w:themeColor="accent1"/>
          <w:sz w:val="22"/>
          <w:szCs w:val="22"/>
        </w:rPr>
      </w:pPr>
    </w:p>
    <w:p w:rsidR="0046143D" w:rsidRPr="00427E4A" w:rsidRDefault="009B4A63" w:rsidP="00480BBB">
      <w:pPr>
        <w:rPr>
          <w:color w:val="4F81BD" w:themeColor="accent1"/>
          <w:sz w:val="32"/>
          <w:szCs w:val="32"/>
        </w:rPr>
      </w:pPr>
      <w:r w:rsidRPr="00427E4A">
        <w:rPr>
          <w:noProof/>
          <w:sz w:val="32"/>
          <w:szCs w:val="32"/>
          <w:lang w:eastAsia="en-GB"/>
        </w:rPr>
        <w:drawing>
          <wp:inline distT="0" distB="0" distL="0" distR="0" wp14:anchorId="570D4B3A" wp14:editId="340BE21D">
            <wp:extent cx="4928566" cy="1391478"/>
            <wp:effectExtent l="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41083" cy="1395012"/>
                    </a:xfrm>
                    <a:prstGeom prst="rect">
                      <a:avLst/>
                    </a:prstGeom>
                    <a:noFill/>
                    <a:ln>
                      <a:noFill/>
                    </a:ln>
                  </pic:spPr>
                </pic:pic>
              </a:graphicData>
            </a:graphic>
          </wp:inline>
        </w:drawing>
      </w:r>
    </w:p>
    <w:sectPr w:rsidR="0046143D" w:rsidRPr="00427E4A" w:rsidSect="00C118BA">
      <w:pgSz w:w="16834" w:h="11909" w:orient="landscape" w:code="9"/>
      <w:pgMar w:top="1134" w:right="62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D6" w:rsidRDefault="00C62ED6">
      <w:r>
        <w:separator/>
      </w:r>
    </w:p>
  </w:endnote>
  <w:endnote w:type="continuationSeparator" w:id="0">
    <w:p w:rsidR="00C62ED6" w:rsidRDefault="00C6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oundryFormSans-Book">
    <w:altName w:val="BlissFractions Light"/>
    <w:panose1 w:val="00000000000000000000"/>
    <w:charset w:val="00"/>
    <w:family w:val="auto"/>
    <w:notTrueType/>
    <w:pitch w:val="variable"/>
    <w:sig w:usb0="00000003" w:usb1="00000000" w:usb2="00000000" w:usb3="00000000" w:csb0="00000001" w:csb1="00000000"/>
  </w:font>
  <w:font w:name="RotisSansSerifExtraBold">
    <w:charset w:val="00"/>
    <w:family w:val="auto"/>
    <w:pitch w:val="variable"/>
    <w:sig w:usb0="00000003" w:usb1="00000000" w:usb2="00000000" w:usb3="00000000" w:csb0="00000001" w:csb1="00000000"/>
  </w:font>
  <w:font w:name="Novarese Medium">
    <w:panose1 w:val="00000000000000000000"/>
    <w:charset w:val="00"/>
    <w:family w:val="roman"/>
    <w:notTrueType/>
    <w:pitch w:val="variable"/>
    <w:sig w:usb0="00000003" w:usb1="00000000" w:usb2="00000000" w:usb3="00000000" w:csb0="00000001" w:csb1="00000000"/>
  </w:font>
  <w:font w:name="Bliss 2 Regular">
    <w:altName w:val="Franklin Gothic Medium Cond"/>
    <w:panose1 w:val="00000000000000000000"/>
    <w:charset w:val="00"/>
    <w:family w:val="modern"/>
    <w:notTrueType/>
    <w:pitch w:val="variable"/>
    <w:sig w:usb0="00000087" w:usb1="00000000"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D6" w:rsidRPr="001313AE" w:rsidRDefault="00C62ED6" w:rsidP="001313AE">
      <w:pPr>
        <w:pStyle w:val="Footer"/>
      </w:pPr>
    </w:p>
  </w:footnote>
  <w:footnote w:type="continuationSeparator" w:id="0">
    <w:p w:rsidR="00C62ED6" w:rsidRDefault="00C62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D6" w:rsidRPr="006E7DEB" w:rsidRDefault="00C62ED6" w:rsidP="00BA3CD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9"/>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eastAsia="Times New Roman" w:hAnsi="OpenSymbol" w:cs="Courier New" w:hint="default"/>
      </w:rPr>
    </w:lvl>
    <w:lvl w:ilvl="2">
      <w:start w:val="1"/>
      <w:numFmt w:val="bullet"/>
      <w:lvlText w:val="▪"/>
      <w:lvlJc w:val="left"/>
      <w:pPr>
        <w:tabs>
          <w:tab w:val="num" w:pos="1440"/>
        </w:tabs>
        <w:ind w:left="1440" w:hanging="360"/>
      </w:pPr>
      <w:rPr>
        <w:rFonts w:ascii="OpenSymbol" w:eastAsia="Times New Roman" w:hAnsi="OpenSymbol" w:cs="Courier New"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eastAsia="Times New Roman" w:hAnsi="OpenSymbol" w:cs="Courier New" w:hint="default"/>
      </w:rPr>
    </w:lvl>
    <w:lvl w:ilvl="5">
      <w:start w:val="1"/>
      <w:numFmt w:val="bullet"/>
      <w:lvlText w:val="▪"/>
      <w:lvlJc w:val="left"/>
      <w:pPr>
        <w:tabs>
          <w:tab w:val="num" w:pos="2520"/>
        </w:tabs>
        <w:ind w:left="2520" w:hanging="360"/>
      </w:pPr>
      <w:rPr>
        <w:rFonts w:ascii="OpenSymbol" w:eastAsia="Times New Roman" w:hAnsi="OpenSymbol" w:cs="Courier New"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eastAsia="Times New Roman" w:hAnsi="OpenSymbol" w:cs="Courier New" w:hint="default"/>
      </w:rPr>
    </w:lvl>
    <w:lvl w:ilvl="8">
      <w:start w:val="1"/>
      <w:numFmt w:val="bullet"/>
      <w:lvlText w:val="▪"/>
      <w:lvlJc w:val="left"/>
      <w:pPr>
        <w:tabs>
          <w:tab w:val="num" w:pos="3600"/>
        </w:tabs>
        <w:ind w:left="3600" w:hanging="360"/>
      </w:pPr>
      <w:rPr>
        <w:rFonts w:ascii="OpenSymbol" w:eastAsia="Times New Roman" w:hAnsi="OpenSymbol" w:cs="Courier New" w:hint="default"/>
      </w:rPr>
    </w:lvl>
  </w:abstractNum>
  <w:abstractNum w:abstractNumId="1">
    <w:nsid w:val="07556966"/>
    <w:multiLevelType w:val="hybridMultilevel"/>
    <w:tmpl w:val="697C221E"/>
    <w:lvl w:ilvl="0" w:tplc="08090001">
      <w:start w:val="1"/>
      <w:numFmt w:val="bullet"/>
      <w:lvlText w:val=""/>
      <w:lvlJc w:val="left"/>
      <w:pPr>
        <w:ind w:left="3376" w:hanging="360"/>
      </w:pPr>
      <w:rPr>
        <w:rFonts w:ascii="Symbol" w:hAnsi="Symbol" w:hint="default"/>
      </w:rPr>
    </w:lvl>
    <w:lvl w:ilvl="1" w:tplc="08090003" w:tentative="1">
      <w:start w:val="1"/>
      <w:numFmt w:val="bullet"/>
      <w:lvlText w:val="o"/>
      <w:lvlJc w:val="left"/>
      <w:pPr>
        <w:ind w:left="4096" w:hanging="360"/>
      </w:pPr>
      <w:rPr>
        <w:rFonts w:ascii="Courier New" w:hAnsi="Courier New" w:cs="Courier New" w:hint="default"/>
      </w:rPr>
    </w:lvl>
    <w:lvl w:ilvl="2" w:tplc="08090005" w:tentative="1">
      <w:start w:val="1"/>
      <w:numFmt w:val="bullet"/>
      <w:lvlText w:val=""/>
      <w:lvlJc w:val="left"/>
      <w:pPr>
        <w:ind w:left="4816" w:hanging="360"/>
      </w:pPr>
      <w:rPr>
        <w:rFonts w:ascii="Wingdings" w:hAnsi="Wingdings" w:hint="default"/>
      </w:rPr>
    </w:lvl>
    <w:lvl w:ilvl="3" w:tplc="08090001" w:tentative="1">
      <w:start w:val="1"/>
      <w:numFmt w:val="bullet"/>
      <w:lvlText w:val=""/>
      <w:lvlJc w:val="left"/>
      <w:pPr>
        <w:ind w:left="5536" w:hanging="360"/>
      </w:pPr>
      <w:rPr>
        <w:rFonts w:ascii="Symbol" w:hAnsi="Symbol" w:hint="default"/>
      </w:rPr>
    </w:lvl>
    <w:lvl w:ilvl="4" w:tplc="08090003" w:tentative="1">
      <w:start w:val="1"/>
      <w:numFmt w:val="bullet"/>
      <w:lvlText w:val="o"/>
      <w:lvlJc w:val="left"/>
      <w:pPr>
        <w:ind w:left="6256" w:hanging="360"/>
      </w:pPr>
      <w:rPr>
        <w:rFonts w:ascii="Courier New" w:hAnsi="Courier New" w:cs="Courier New" w:hint="default"/>
      </w:rPr>
    </w:lvl>
    <w:lvl w:ilvl="5" w:tplc="08090005" w:tentative="1">
      <w:start w:val="1"/>
      <w:numFmt w:val="bullet"/>
      <w:lvlText w:val=""/>
      <w:lvlJc w:val="left"/>
      <w:pPr>
        <w:ind w:left="6976" w:hanging="360"/>
      </w:pPr>
      <w:rPr>
        <w:rFonts w:ascii="Wingdings" w:hAnsi="Wingdings" w:hint="default"/>
      </w:rPr>
    </w:lvl>
    <w:lvl w:ilvl="6" w:tplc="08090001" w:tentative="1">
      <w:start w:val="1"/>
      <w:numFmt w:val="bullet"/>
      <w:lvlText w:val=""/>
      <w:lvlJc w:val="left"/>
      <w:pPr>
        <w:ind w:left="7696" w:hanging="360"/>
      </w:pPr>
      <w:rPr>
        <w:rFonts w:ascii="Symbol" w:hAnsi="Symbol" w:hint="default"/>
      </w:rPr>
    </w:lvl>
    <w:lvl w:ilvl="7" w:tplc="08090003" w:tentative="1">
      <w:start w:val="1"/>
      <w:numFmt w:val="bullet"/>
      <w:lvlText w:val="o"/>
      <w:lvlJc w:val="left"/>
      <w:pPr>
        <w:ind w:left="8416" w:hanging="360"/>
      </w:pPr>
      <w:rPr>
        <w:rFonts w:ascii="Courier New" w:hAnsi="Courier New" w:cs="Courier New" w:hint="default"/>
      </w:rPr>
    </w:lvl>
    <w:lvl w:ilvl="8" w:tplc="08090005" w:tentative="1">
      <w:start w:val="1"/>
      <w:numFmt w:val="bullet"/>
      <w:lvlText w:val=""/>
      <w:lvlJc w:val="left"/>
      <w:pPr>
        <w:ind w:left="9136" w:hanging="360"/>
      </w:pPr>
      <w:rPr>
        <w:rFonts w:ascii="Wingdings" w:hAnsi="Wingdings" w:hint="default"/>
      </w:rPr>
    </w:lvl>
  </w:abstractNum>
  <w:abstractNum w:abstractNumId="2">
    <w:nsid w:val="0A8D6F73"/>
    <w:multiLevelType w:val="hybridMultilevel"/>
    <w:tmpl w:val="C6321BD8"/>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0E1F7BDD"/>
    <w:multiLevelType w:val="multilevel"/>
    <w:tmpl w:val="F288FE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74"/>
        </w:tabs>
        <w:ind w:left="574"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4D90FAD"/>
    <w:multiLevelType w:val="multilevel"/>
    <w:tmpl w:val="A29A88D4"/>
    <w:lvl w:ilvl="0">
      <w:start w:val="1"/>
      <w:numFmt w:val="decimal"/>
      <w:pStyle w:val="ReportHeader"/>
      <w:lvlText w:val="%1."/>
      <w:lvlJc w:val="left"/>
      <w:pPr>
        <w:tabs>
          <w:tab w:val="num" w:pos="840"/>
        </w:tabs>
        <w:ind w:left="840" w:hanging="720"/>
      </w:pPr>
      <w:rPr>
        <w:rFonts w:hint="default"/>
      </w:rPr>
    </w:lvl>
    <w:lvl w:ilvl="1">
      <w:start w:val="1"/>
      <w:numFmt w:val="decimal"/>
      <w:pStyle w:val="ReportText"/>
      <w:isLgl/>
      <w:lvlText w:val="%1.%2"/>
      <w:lvlJc w:val="left"/>
      <w:pPr>
        <w:tabs>
          <w:tab w:val="num" w:pos="1080"/>
        </w:tabs>
        <w:ind w:left="1080" w:hanging="720"/>
      </w:pPr>
      <w:rPr>
        <w:rFonts w:ascii="Arial" w:hAnsi="Arial" w:hint="default"/>
        <w:b w:val="0"/>
        <w:i w:val="0"/>
        <w:sz w:val="24"/>
        <w:szCs w:val="24"/>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1200"/>
        </w:tabs>
        <w:ind w:left="1200" w:hanging="108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560"/>
        </w:tabs>
        <w:ind w:left="1560" w:hanging="144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920"/>
        </w:tabs>
        <w:ind w:left="1920" w:hanging="1800"/>
      </w:pPr>
      <w:rPr>
        <w:rFonts w:hint="default"/>
      </w:rPr>
    </w:lvl>
    <w:lvl w:ilvl="8">
      <w:start w:val="1"/>
      <w:numFmt w:val="decimal"/>
      <w:isLgl/>
      <w:lvlText w:val="%1.%2.%3.%4.%5.%6.%7.%8.%9"/>
      <w:lvlJc w:val="left"/>
      <w:pPr>
        <w:tabs>
          <w:tab w:val="num" w:pos="2280"/>
        </w:tabs>
        <w:ind w:left="2280" w:hanging="2160"/>
      </w:pPr>
      <w:rPr>
        <w:rFonts w:hint="default"/>
      </w:rPr>
    </w:lvl>
  </w:abstractNum>
  <w:abstractNum w:abstractNumId="5">
    <w:nsid w:val="1BDD12DF"/>
    <w:multiLevelType w:val="hybridMultilevel"/>
    <w:tmpl w:val="662C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E71B42"/>
    <w:multiLevelType w:val="hybridMultilevel"/>
    <w:tmpl w:val="C2BC47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EA5982"/>
    <w:multiLevelType w:val="hybridMultilevel"/>
    <w:tmpl w:val="39501960"/>
    <w:lvl w:ilvl="0" w:tplc="81507B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C0607D"/>
    <w:multiLevelType w:val="hybridMultilevel"/>
    <w:tmpl w:val="E9527F8C"/>
    <w:lvl w:ilvl="0" w:tplc="A5D099DA">
      <w:start w:val="1"/>
      <w:numFmt w:val="bullet"/>
      <w:lvlText w:val=""/>
      <w:lvlJc w:val="left"/>
      <w:pPr>
        <w:tabs>
          <w:tab w:val="num" w:pos="1980"/>
        </w:tabs>
        <w:ind w:left="198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AF4D90"/>
    <w:multiLevelType w:val="hybridMultilevel"/>
    <w:tmpl w:val="956A693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4B7749F"/>
    <w:multiLevelType w:val="hybridMultilevel"/>
    <w:tmpl w:val="92E4A7B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5E11ACA"/>
    <w:multiLevelType w:val="hybridMultilevel"/>
    <w:tmpl w:val="E6EC773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BB061E9"/>
    <w:multiLevelType w:val="hybridMultilevel"/>
    <w:tmpl w:val="FC62DD0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1626229"/>
    <w:multiLevelType w:val="hybridMultilevel"/>
    <w:tmpl w:val="0F7A05B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547300B1"/>
    <w:multiLevelType w:val="hybridMultilevel"/>
    <w:tmpl w:val="8242B2DC"/>
    <w:lvl w:ilvl="0" w:tplc="DF82FD6E">
      <w:start w:val="1"/>
      <w:numFmt w:val="bullet"/>
      <w:lvlText w:val=""/>
      <w:lvlJc w:val="left"/>
      <w:pPr>
        <w:tabs>
          <w:tab w:val="num" w:pos="2160"/>
        </w:tabs>
        <w:ind w:left="21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49F214B"/>
    <w:multiLevelType w:val="multilevel"/>
    <w:tmpl w:val="E8328104"/>
    <w:lvl w:ilvl="0">
      <w:start w:val="1"/>
      <w:numFmt w:val="decimal"/>
      <w:lvlText w:val="%1."/>
      <w:lvlJc w:val="left"/>
      <w:pPr>
        <w:ind w:left="360" w:hanging="360"/>
      </w:pPr>
      <w:rPr>
        <w:rFonts w:hint="default"/>
      </w:rPr>
    </w:lvl>
    <w:lvl w:ilvl="1">
      <w:start w:val="1"/>
      <w:numFmt w:val="decimal"/>
      <w:pStyle w:val="abody"/>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B936450"/>
    <w:multiLevelType w:val="hybridMultilevel"/>
    <w:tmpl w:val="109C7FE6"/>
    <w:lvl w:ilvl="0" w:tplc="0CA2060A">
      <w:start w:val="1"/>
      <w:numFmt w:val="bullet"/>
      <w:pStyle w:val="Style4"/>
      <w:lvlText w:val=""/>
      <w:lvlJc w:val="left"/>
      <w:pPr>
        <w:ind w:left="1854" w:hanging="360"/>
      </w:pPr>
      <w:rPr>
        <w:rFonts w:ascii="Wingdings" w:hAnsi="Wingdings" w:hint="default"/>
        <w:color w:val="00B0F0"/>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60E045A1"/>
    <w:multiLevelType w:val="hybridMultilevel"/>
    <w:tmpl w:val="AC7A4990"/>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8">
    <w:nsid w:val="65CC1FCA"/>
    <w:multiLevelType w:val="hybridMultilevel"/>
    <w:tmpl w:val="3CA4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4F3F7B"/>
    <w:multiLevelType w:val="multilevel"/>
    <w:tmpl w:val="7FE0380E"/>
    <w:lvl w:ilvl="0">
      <w:start w:val="2"/>
      <w:numFmt w:val="decimal"/>
      <w:lvlText w:val="%1."/>
      <w:lvlJc w:val="left"/>
      <w:pPr>
        <w:tabs>
          <w:tab w:val="num" w:pos="1260"/>
        </w:tabs>
        <w:ind w:left="1260" w:hanging="1260"/>
      </w:pPr>
      <w:rPr>
        <w:rFonts w:hint="default"/>
        <w:b w:val="0"/>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695110B2"/>
    <w:multiLevelType w:val="hybridMultilevel"/>
    <w:tmpl w:val="65E2FF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38C0516"/>
    <w:multiLevelType w:val="hybridMultilevel"/>
    <w:tmpl w:val="28E89F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CE82DC3"/>
    <w:multiLevelType w:val="hybridMultilevel"/>
    <w:tmpl w:val="B32050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5"/>
  </w:num>
  <w:num w:numId="2">
    <w:abstractNumId w:val="16"/>
  </w:num>
  <w:num w:numId="3">
    <w:abstractNumId w:val="4"/>
  </w:num>
  <w:num w:numId="4">
    <w:abstractNumId w:val="9"/>
  </w:num>
  <w:num w:numId="5">
    <w:abstractNumId w:val="11"/>
  </w:num>
  <w:num w:numId="6">
    <w:abstractNumId w:val="2"/>
  </w:num>
  <w:num w:numId="7">
    <w:abstractNumId w:val="10"/>
  </w:num>
  <w:num w:numId="8">
    <w:abstractNumId w:val="20"/>
  </w:num>
  <w:num w:numId="9">
    <w:abstractNumId w:val="7"/>
  </w:num>
  <w:num w:numId="10">
    <w:abstractNumId w:val="8"/>
  </w:num>
  <w:num w:numId="11">
    <w:abstractNumId w:val="21"/>
  </w:num>
  <w:num w:numId="12">
    <w:abstractNumId w:val="3"/>
  </w:num>
  <w:num w:numId="13">
    <w:abstractNumId w:val="14"/>
  </w:num>
  <w:num w:numId="14">
    <w:abstractNumId w:val="12"/>
  </w:num>
  <w:num w:numId="15">
    <w:abstractNumId w:val="6"/>
  </w:num>
  <w:num w:numId="16">
    <w:abstractNumId w:val="22"/>
  </w:num>
  <w:num w:numId="17">
    <w:abstractNumId w:val="13"/>
  </w:num>
  <w:num w:numId="18">
    <w:abstractNumId w:val="5"/>
  </w:num>
  <w:num w:numId="19">
    <w:abstractNumId w:val="19"/>
  </w:num>
  <w:num w:numId="20">
    <w:abstractNumId w:val="17"/>
  </w:num>
  <w:num w:numId="21">
    <w:abstractNumId w:val="1"/>
  </w:num>
  <w:num w:numId="22">
    <w:abstractNumId w:val="18"/>
  </w:num>
  <w:num w:numId="23">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3B"/>
    <w:rsid w:val="00000C37"/>
    <w:rsid w:val="00001020"/>
    <w:rsid w:val="00001E53"/>
    <w:rsid w:val="00002B09"/>
    <w:rsid w:val="000034A9"/>
    <w:rsid w:val="000034EE"/>
    <w:rsid w:val="00003E76"/>
    <w:rsid w:val="00004054"/>
    <w:rsid w:val="0000479E"/>
    <w:rsid w:val="0000532E"/>
    <w:rsid w:val="0000742E"/>
    <w:rsid w:val="00007FA9"/>
    <w:rsid w:val="0001026E"/>
    <w:rsid w:val="00010AB8"/>
    <w:rsid w:val="00010ABC"/>
    <w:rsid w:val="000112A5"/>
    <w:rsid w:val="000112D5"/>
    <w:rsid w:val="000113A0"/>
    <w:rsid w:val="00011690"/>
    <w:rsid w:val="00011712"/>
    <w:rsid w:val="00011B4C"/>
    <w:rsid w:val="00011BC4"/>
    <w:rsid w:val="00011F12"/>
    <w:rsid w:val="000126D9"/>
    <w:rsid w:val="00012D81"/>
    <w:rsid w:val="0001412B"/>
    <w:rsid w:val="000145D5"/>
    <w:rsid w:val="00014653"/>
    <w:rsid w:val="00014D99"/>
    <w:rsid w:val="00015A1B"/>
    <w:rsid w:val="00015C5C"/>
    <w:rsid w:val="00017062"/>
    <w:rsid w:val="000176D7"/>
    <w:rsid w:val="000200B6"/>
    <w:rsid w:val="00021B52"/>
    <w:rsid w:val="00021F02"/>
    <w:rsid w:val="0002237A"/>
    <w:rsid w:val="000223C5"/>
    <w:rsid w:val="00023069"/>
    <w:rsid w:val="000242C2"/>
    <w:rsid w:val="000248B4"/>
    <w:rsid w:val="00025704"/>
    <w:rsid w:val="00025783"/>
    <w:rsid w:val="0002592E"/>
    <w:rsid w:val="000259ED"/>
    <w:rsid w:val="00025B66"/>
    <w:rsid w:val="000265E6"/>
    <w:rsid w:val="00026DC0"/>
    <w:rsid w:val="00027C15"/>
    <w:rsid w:val="00027DE3"/>
    <w:rsid w:val="00030003"/>
    <w:rsid w:val="00030574"/>
    <w:rsid w:val="0003158B"/>
    <w:rsid w:val="00031692"/>
    <w:rsid w:val="00031F34"/>
    <w:rsid w:val="00032800"/>
    <w:rsid w:val="00033326"/>
    <w:rsid w:val="0003359C"/>
    <w:rsid w:val="00033A75"/>
    <w:rsid w:val="00033B8A"/>
    <w:rsid w:val="00033B8B"/>
    <w:rsid w:val="000344EC"/>
    <w:rsid w:val="00035042"/>
    <w:rsid w:val="0003517D"/>
    <w:rsid w:val="00035A40"/>
    <w:rsid w:val="00037D3D"/>
    <w:rsid w:val="00037EC1"/>
    <w:rsid w:val="000404D5"/>
    <w:rsid w:val="00041613"/>
    <w:rsid w:val="00041CC9"/>
    <w:rsid w:val="000424B0"/>
    <w:rsid w:val="00043329"/>
    <w:rsid w:val="000436AB"/>
    <w:rsid w:val="0004378F"/>
    <w:rsid w:val="0004422C"/>
    <w:rsid w:val="000459EF"/>
    <w:rsid w:val="00045F62"/>
    <w:rsid w:val="000462DC"/>
    <w:rsid w:val="00046D07"/>
    <w:rsid w:val="00047926"/>
    <w:rsid w:val="00047D8E"/>
    <w:rsid w:val="00050343"/>
    <w:rsid w:val="000503D4"/>
    <w:rsid w:val="00050D6F"/>
    <w:rsid w:val="00051C6B"/>
    <w:rsid w:val="00052080"/>
    <w:rsid w:val="00052884"/>
    <w:rsid w:val="00053074"/>
    <w:rsid w:val="000538A6"/>
    <w:rsid w:val="0005404A"/>
    <w:rsid w:val="00054844"/>
    <w:rsid w:val="00055FA1"/>
    <w:rsid w:val="000560B2"/>
    <w:rsid w:val="00056241"/>
    <w:rsid w:val="000570EA"/>
    <w:rsid w:val="00057F39"/>
    <w:rsid w:val="000617DA"/>
    <w:rsid w:val="00061FDB"/>
    <w:rsid w:val="000620A7"/>
    <w:rsid w:val="0006233E"/>
    <w:rsid w:val="000635D2"/>
    <w:rsid w:val="0006397C"/>
    <w:rsid w:val="00064EEF"/>
    <w:rsid w:val="00065503"/>
    <w:rsid w:val="000655FB"/>
    <w:rsid w:val="00065920"/>
    <w:rsid w:val="00065AC0"/>
    <w:rsid w:val="000666FE"/>
    <w:rsid w:val="00066A9F"/>
    <w:rsid w:val="00067778"/>
    <w:rsid w:val="000678FA"/>
    <w:rsid w:val="00067F24"/>
    <w:rsid w:val="000704C9"/>
    <w:rsid w:val="00070ABB"/>
    <w:rsid w:val="00070DCC"/>
    <w:rsid w:val="00071E57"/>
    <w:rsid w:val="000720E1"/>
    <w:rsid w:val="0007228D"/>
    <w:rsid w:val="000724E4"/>
    <w:rsid w:val="000725AE"/>
    <w:rsid w:val="00072AD0"/>
    <w:rsid w:val="00072FDD"/>
    <w:rsid w:val="00073845"/>
    <w:rsid w:val="000738B4"/>
    <w:rsid w:val="00074086"/>
    <w:rsid w:val="00074384"/>
    <w:rsid w:val="00075668"/>
    <w:rsid w:val="00076110"/>
    <w:rsid w:val="00077253"/>
    <w:rsid w:val="00080397"/>
    <w:rsid w:val="000804ED"/>
    <w:rsid w:val="00080B28"/>
    <w:rsid w:val="0008133A"/>
    <w:rsid w:val="00081425"/>
    <w:rsid w:val="00081751"/>
    <w:rsid w:val="00081EB3"/>
    <w:rsid w:val="000821D9"/>
    <w:rsid w:val="00082BE7"/>
    <w:rsid w:val="0008390C"/>
    <w:rsid w:val="000842E1"/>
    <w:rsid w:val="0008439E"/>
    <w:rsid w:val="0008517C"/>
    <w:rsid w:val="000851FE"/>
    <w:rsid w:val="000867E6"/>
    <w:rsid w:val="00086B35"/>
    <w:rsid w:val="00086E62"/>
    <w:rsid w:val="00087045"/>
    <w:rsid w:val="00087068"/>
    <w:rsid w:val="000905D5"/>
    <w:rsid w:val="00090B7A"/>
    <w:rsid w:val="000912AD"/>
    <w:rsid w:val="00091604"/>
    <w:rsid w:val="00091F72"/>
    <w:rsid w:val="00092376"/>
    <w:rsid w:val="000929C0"/>
    <w:rsid w:val="00092C1A"/>
    <w:rsid w:val="0009392F"/>
    <w:rsid w:val="00093C9F"/>
    <w:rsid w:val="00093F3C"/>
    <w:rsid w:val="0009481D"/>
    <w:rsid w:val="000958F8"/>
    <w:rsid w:val="000A1269"/>
    <w:rsid w:val="000A19C6"/>
    <w:rsid w:val="000A2058"/>
    <w:rsid w:val="000A234B"/>
    <w:rsid w:val="000A2526"/>
    <w:rsid w:val="000A2A65"/>
    <w:rsid w:val="000A37B1"/>
    <w:rsid w:val="000A3C54"/>
    <w:rsid w:val="000A3DE2"/>
    <w:rsid w:val="000A48C7"/>
    <w:rsid w:val="000A503F"/>
    <w:rsid w:val="000A5315"/>
    <w:rsid w:val="000A5543"/>
    <w:rsid w:val="000A6634"/>
    <w:rsid w:val="000A66A2"/>
    <w:rsid w:val="000A6EBC"/>
    <w:rsid w:val="000A6F58"/>
    <w:rsid w:val="000A7D94"/>
    <w:rsid w:val="000A7DEF"/>
    <w:rsid w:val="000B0040"/>
    <w:rsid w:val="000B0523"/>
    <w:rsid w:val="000B21CA"/>
    <w:rsid w:val="000B2666"/>
    <w:rsid w:val="000B3585"/>
    <w:rsid w:val="000B4D94"/>
    <w:rsid w:val="000B4E2B"/>
    <w:rsid w:val="000B505F"/>
    <w:rsid w:val="000B523B"/>
    <w:rsid w:val="000B5BF5"/>
    <w:rsid w:val="000B5D66"/>
    <w:rsid w:val="000B6E0E"/>
    <w:rsid w:val="000B6EBE"/>
    <w:rsid w:val="000B7546"/>
    <w:rsid w:val="000B787E"/>
    <w:rsid w:val="000C0300"/>
    <w:rsid w:val="000C0572"/>
    <w:rsid w:val="000C07E2"/>
    <w:rsid w:val="000C0C69"/>
    <w:rsid w:val="000C1138"/>
    <w:rsid w:val="000C1321"/>
    <w:rsid w:val="000C14E2"/>
    <w:rsid w:val="000C1A5C"/>
    <w:rsid w:val="000C24D5"/>
    <w:rsid w:val="000C4693"/>
    <w:rsid w:val="000C4876"/>
    <w:rsid w:val="000C4C3A"/>
    <w:rsid w:val="000C4E57"/>
    <w:rsid w:val="000C529D"/>
    <w:rsid w:val="000C5FC8"/>
    <w:rsid w:val="000C62D9"/>
    <w:rsid w:val="000C69ED"/>
    <w:rsid w:val="000C6B5A"/>
    <w:rsid w:val="000C7058"/>
    <w:rsid w:val="000C7665"/>
    <w:rsid w:val="000D0106"/>
    <w:rsid w:val="000D08CA"/>
    <w:rsid w:val="000D1EEA"/>
    <w:rsid w:val="000D206E"/>
    <w:rsid w:val="000D2D66"/>
    <w:rsid w:val="000D374A"/>
    <w:rsid w:val="000D470F"/>
    <w:rsid w:val="000D4908"/>
    <w:rsid w:val="000D4D6C"/>
    <w:rsid w:val="000D4EF4"/>
    <w:rsid w:val="000D5350"/>
    <w:rsid w:val="000D543E"/>
    <w:rsid w:val="000D5532"/>
    <w:rsid w:val="000D6195"/>
    <w:rsid w:val="000D6376"/>
    <w:rsid w:val="000D666D"/>
    <w:rsid w:val="000D667A"/>
    <w:rsid w:val="000D7571"/>
    <w:rsid w:val="000D77F9"/>
    <w:rsid w:val="000D7B0B"/>
    <w:rsid w:val="000D7D90"/>
    <w:rsid w:val="000E16D5"/>
    <w:rsid w:val="000E24C3"/>
    <w:rsid w:val="000E2FF5"/>
    <w:rsid w:val="000E3808"/>
    <w:rsid w:val="000E417F"/>
    <w:rsid w:val="000E438B"/>
    <w:rsid w:val="000E46E2"/>
    <w:rsid w:val="000E4D16"/>
    <w:rsid w:val="000E5775"/>
    <w:rsid w:val="000E5D46"/>
    <w:rsid w:val="000E6826"/>
    <w:rsid w:val="000E6A69"/>
    <w:rsid w:val="000E7142"/>
    <w:rsid w:val="000E7557"/>
    <w:rsid w:val="000E7B56"/>
    <w:rsid w:val="000F1080"/>
    <w:rsid w:val="000F130E"/>
    <w:rsid w:val="000F138C"/>
    <w:rsid w:val="000F1785"/>
    <w:rsid w:val="000F2A0F"/>
    <w:rsid w:val="000F2C05"/>
    <w:rsid w:val="000F3040"/>
    <w:rsid w:val="000F3576"/>
    <w:rsid w:val="000F42B8"/>
    <w:rsid w:val="000F45A3"/>
    <w:rsid w:val="000F4776"/>
    <w:rsid w:val="000F4790"/>
    <w:rsid w:val="000F530A"/>
    <w:rsid w:val="000F6AB4"/>
    <w:rsid w:val="000F6E03"/>
    <w:rsid w:val="000F7371"/>
    <w:rsid w:val="000F7729"/>
    <w:rsid w:val="001001FE"/>
    <w:rsid w:val="00100A9B"/>
    <w:rsid w:val="00100BC8"/>
    <w:rsid w:val="00100DD2"/>
    <w:rsid w:val="0010156C"/>
    <w:rsid w:val="001020C6"/>
    <w:rsid w:val="00102165"/>
    <w:rsid w:val="0010371B"/>
    <w:rsid w:val="0010390B"/>
    <w:rsid w:val="0010425C"/>
    <w:rsid w:val="001047D5"/>
    <w:rsid w:val="00105181"/>
    <w:rsid w:val="001058EF"/>
    <w:rsid w:val="00105973"/>
    <w:rsid w:val="00105C50"/>
    <w:rsid w:val="0010607B"/>
    <w:rsid w:val="001066DA"/>
    <w:rsid w:val="00106A8D"/>
    <w:rsid w:val="001070D5"/>
    <w:rsid w:val="00107AEB"/>
    <w:rsid w:val="0011004D"/>
    <w:rsid w:val="00110DA0"/>
    <w:rsid w:val="00111259"/>
    <w:rsid w:val="0011226D"/>
    <w:rsid w:val="001125C0"/>
    <w:rsid w:val="0011293C"/>
    <w:rsid w:val="00113E79"/>
    <w:rsid w:val="00115700"/>
    <w:rsid w:val="00115E77"/>
    <w:rsid w:val="00116BEA"/>
    <w:rsid w:val="001176A8"/>
    <w:rsid w:val="001176F5"/>
    <w:rsid w:val="00117E6A"/>
    <w:rsid w:val="001200BA"/>
    <w:rsid w:val="00120940"/>
    <w:rsid w:val="00120ADC"/>
    <w:rsid w:val="00120CDB"/>
    <w:rsid w:val="00121638"/>
    <w:rsid w:val="00121B4F"/>
    <w:rsid w:val="00121EF2"/>
    <w:rsid w:val="0012351B"/>
    <w:rsid w:val="0012389B"/>
    <w:rsid w:val="00123FBA"/>
    <w:rsid w:val="00124236"/>
    <w:rsid w:val="00124CC4"/>
    <w:rsid w:val="00125151"/>
    <w:rsid w:val="0012574D"/>
    <w:rsid w:val="001257E1"/>
    <w:rsid w:val="001263B8"/>
    <w:rsid w:val="00126857"/>
    <w:rsid w:val="00126942"/>
    <w:rsid w:val="00126AFB"/>
    <w:rsid w:val="00126DE3"/>
    <w:rsid w:val="001271B7"/>
    <w:rsid w:val="001275B8"/>
    <w:rsid w:val="00127F8B"/>
    <w:rsid w:val="001313AE"/>
    <w:rsid w:val="00131957"/>
    <w:rsid w:val="00131A71"/>
    <w:rsid w:val="00131CEC"/>
    <w:rsid w:val="00132520"/>
    <w:rsid w:val="00132A64"/>
    <w:rsid w:val="00132B31"/>
    <w:rsid w:val="00132F2A"/>
    <w:rsid w:val="001334CE"/>
    <w:rsid w:val="00133F7B"/>
    <w:rsid w:val="00136891"/>
    <w:rsid w:val="001369EF"/>
    <w:rsid w:val="00137125"/>
    <w:rsid w:val="00141037"/>
    <w:rsid w:val="00141080"/>
    <w:rsid w:val="0014117C"/>
    <w:rsid w:val="00141E58"/>
    <w:rsid w:val="001425B1"/>
    <w:rsid w:val="00143695"/>
    <w:rsid w:val="00143B7E"/>
    <w:rsid w:val="001445A3"/>
    <w:rsid w:val="00144769"/>
    <w:rsid w:val="00144A6B"/>
    <w:rsid w:val="00144BE3"/>
    <w:rsid w:val="00144EAE"/>
    <w:rsid w:val="0014554F"/>
    <w:rsid w:val="00145AD9"/>
    <w:rsid w:val="00146100"/>
    <w:rsid w:val="001465E7"/>
    <w:rsid w:val="00146B87"/>
    <w:rsid w:val="00146F25"/>
    <w:rsid w:val="00146F8D"/>
    <w:rsid w:val="00150BE5"/>
    <w:rsid w:val="001525B2"/>
    <w:rsid w:val="00152EE3"/>
    <w:rsid w:val="00153361"/>
    <w:rsid w:val="001533EE"/>
    <w:rsid w:val="00153753"/>
    <w:rsid w:val="00153A24"/>
    <w:rsid w:val="00153B77"/>
    <w:rsid w:val="00154A76"/>
    <w:rsid w:val="0015503E"/>
    <w:rsid w:val="00155319"/>
    <w:rsid w:val="00155F6C"/>
    <w:rsid w:val="00156429"/>
    <w:rsid w:val="001565E4"/>
    <w:rsid w:val="001576B8"/>
    <w:rsid w:val="0015790F"/>
    <w:rsid w:val="001600A3"/>
    <w:rsid w:val="00160415"/>
    <w:rsid w:val="00160676"/>
    <w:rsid w:val="001609C3"/>
    <w:rsid w:val="00160A68"/>
    <w:rsid w:val="00160FF1"/>
    <w:rsid w:val="00161CDF"/>
    <w:rsid w:val="001621D8"/>
    <w:rsid w:val="00162CA4"/>
    <w:rsid w:val="00163663"/>
    <w:rsid w:val="00163DB7"/>
    <w:rsid w:val="00164030"/>
    <w:rsid w:val="001643FF"/>
    <w:rsid w:val="00164D57"/>
    <w:rsid w:val="00164F84"/>
    <w:rsid w:val="00165853"/>
    <w:rsid w:val="00165AFC"/>
    <w:rsid w:val="00167177"/>
    <w:rsid w:val="001716FD"/>
    <w:rsid w:val="00171A7C"/>
    <w:rsid w:val="00172DC5"/>
    <w:rsid w:val="00173A0B"/>
    <w:rsid w:val="00174883"/>
    <w:rsid w:val="001749D1"/>
    <w:rsid w:val="00175A65"/>
    <w:rsid w:val="00176748"/>
    <w:rsid w:val="00176EED"/>
    <w:rsid w:val="00177590"/>
    <w:rsid w:val="00177AB2"/>
    <w:rsid w:val="00177F59"/>
    <w:rsid w:val="00181214"/>
    <w:rsid w:val="001817A0"/>
    <w:rsid w:val="00181F7F"/>
    <w:rsid w:val="00182E6B"/>
    <w:rsid w:val="00183150"/>
    <w:rsid w:val="001831F7"/>
    <w:rsid w:val="00183222"/>
    <w:rsid w:val="00183EE9"/>
    <w:rsid w:val="001845AB"/>
    <w:rsid w:val="00184D4E"/>
    <w:rsid w:val="00185961"/>
    <w:rsid w:val="001861C7"/>
    <w:rsid w:val="0018651D"/>
    <w:rsid w:val="00186D3A"/>
    <w:rsid w:val="00187699"/>
    <w:rsid w:val="00187C8D"/>
    <w:rsid w:val="00190288"/>
    <w:rsid w:val="0019034C"/>
    <w:rsid w:val="00190428"/>
    <w:rsid w:val="00190E24"/>
    <w:rsid w:val="00190EA3"/>
    <w:rsid w:val="00190FE0"/>
    <w:rsid w:val="001913DD"/>
    <w:rsid w:val="001932FF"/>
    <w:rsid w:val="00193397"/>
    <w:rsid w:val="001937D9"/>
    <w:rsid w:val="00193866"/>
    <w:rsid w:val="00193CB6"/>
    <w:rsid w:val="00194A04"/>
    <w:rsid w:val="0019557F"/>
    <w:rsid w:val="00196894"/>
    <w:rsid w:val="00197218"/>
    <w:rsid w:val="001972C5"/>
    <w:rsid w:val="001976B9"/>
    <w:rsid w:val="001A0590"/>
    <w:rsid w:val="001A065F"/>
    <w:rsid w:val="001A0C71"/>
    <w:rsid w:val="001A0D54"/>
    <w:rsid w:val="001A0F71"/>
    <w:rsid w:val="001A12EB"/>
    <w:rsid w:val="001A1D06"/>
    <w:rsid w:val="001A1FDD"/>
    <w:rsid w:val="001A20A3"/>
    <w:rsid w:val="001A2265"/>
    <w:rsid w:val="001A27D2"/>
    <w:rsid w:val="001A3D0D"/>
    <w:rsid w:val="001A4453"/>
    <w:rsid w:val="001A4E2D"/>
    <w:rsid w:val="001A5401"/>
    <w:rsid w:val="001A684A"/>
    <w:rsid w:val="001A6F9F"/>
    <w:rsid w:val="001B06FF"/>
    <w:rsid w:val="001B13C0"/>
    <w:rsid w:val="001B2B13"/>
    <w:rsid w:val="001B33A6"/>
    <w:rsid w:val="001B37BD"/>
    <w:rsid w:val="001B3C24"/>
    <w:rsid w:val="001B3D97"/>
    <w:rsid w:val="001B3E12"/>
    <w:rsid w:val="001B4204"/>
    <w:rsid w:val="001B4289"/>
    <w:rsid w:val="001B49B0"/>
    <w:rsid w:val="001B4E71"/>
    <w:rsid w:val="001B58DD"/>
    <w:rsid w:val="001B59CB"/>
    <w:rsid w:val="001B6245"/>
    <w:rsid w:val="001B648E"/>
    <w:rsid w:val="001B65E7"/>
    <w:rsid w:val="001B7F96"/>
    <w:rsid w:val="001C047B"/>
    <w:rsid w:val="001C0818"/>
    <w:rsid w:val="001C0A2A"/>
    <w:rsid w:val="001C1442"/>
    <w:rsid w:val="001C26D8"/>
    <w:rsid w:val="001C3DB3"/>
    <w:rsid w:val="001C431E"/>
    <w:rsid w:val="001C4427"/>
    <w:rsid w:val="001C5A19"/>
    <w:rsid w:val="001C7065"/>
    <w:rsid w:val="001D0712"/>
    <w:rsid w:val="001D072E"/>
    <w:rsid w:val="001D0B65"/>
    <w:rsid w:val="001D10DC"/>
    <w:rsid w:val="001D16F5"/>
    <w:rsid w:val="001D175E"/>
    <w:rsid w:val="001D1CBC"/>
    <w:rsid w:val="001D26DE"/>
    <w:rsid w:val="001D291A"/>
    <w:rsid w:val="001D31AF"/>
    <w:rsid w:val="001D3836"/>
    <w:rsid w:val="001D39AC"/>
    <w:rsid w:val="001D3DFC"/>
    <w:rsid w:val="001D4879"/>
    <w:rsid w:val="001D541C"/>
    <w:rsid w:val="001D6807"/>
    <w:rsid w:val="001D6815"/>
    <w:rsid w:val="001D693D"/>
    <w:rsid w:val="001D6C8E"/>
    <w:rsid w:val="001D6F37"/>
    <w:rsid w:val="001D7288"/>
    <w:rsid w:val="001E019A"/>
    <w:rsid w:val="001E0F67"/>
    <w:rsid w:val="001E10C1"/>
    <w:rsid w:val="001E1E64"/>
    <w:rsid w:val="001E2241"/>
    <w:rsid w:val="001E2618"/>
    <w:rsid w:val="001E27E1"/>
    <w:rsid w:val="001E2955"/>
    <w:rsid w:val="001E29DF"/>
    <w:rsid w:val="001E2DF6"/>
    <w:rsid w:val="001E47F0"/>
    <w:rsid w:val="001E4B79"/>
    <w:rsid w:val="001E5834"/>
    <w:rsid w:val="001E5A52"/>
    <w:rsid w:val="001E5B00"/>
    <w:rsid w:val="001E5BA7"/>
    <w:rsid w:val="001E60A0"/>
    <w:rsid w:val="001E65A2"/>
    <w:rsid w:val="001E76D7"/>
    <w:rsid w:val="001E7ACA"/>
    <w:rsid w:val="001F31A3"/>
    <w:rsid w:val="001F3446"/>
    <w:rsid w:val="001F3D5B"/>
    <w:rsid w:val="001F3FE5"/>
    <w:rsid w:val="001F5767"/>
    <w:rsid w:val="001F5D3A"/>
    <w:rsid w:val="001F5DF0"/>
    <w:rsid w:val="001F65E6"/>
    <w:rsid w:val="001F703D"/>
    <w:rsid w:val="001F7094"/>
    <w:rsid w:val="001F711D"/>
    <w:rsid w:val="001F7A6A"/>
    <w:rsid w:val="0020045C"/>
    <w:rsid w:val="002006C9"/>
    <w:rsid w:val="00200BB6"/>
    <w:rsid w:val="002014BB"/>
    <w:rsid w:val="00201A18"/>
    <w:rsid w:val="00201B7B"/>
    <w:rsid w:val="00202A9B"/>
    <w:rsid w:val="00202D4D"/>
    <w:rsid w:val="002033C7"/>
    <w:rsid w:val="00203FBE"/>
    <w:rsid w:val="0020432B"/>
    <w:rsid w:val="002045A6"/>
    <w:rsid w:val="00204B1D"/>
    <w:rsid w:val="002050A7"/>
    <w:rsid w:val="00205805"/>
    <w:rsid w:val="00205831"/>
    <w:rsid w:val="002061B0"/>
    <w:rsid w:val="002063C0"/>
    <w:rsid w:val="00206536"/>
    <w:rsid w:val="002066D5"/>
    <w:rsid w:val="00206909"/>
    <w:rsid w:val="00210510"/>
    <w:rsid w:val="00210C59"/>
    <w:rsid w:val="00210E5D"/>
    <w:rsid w:val="0021100C"/>
    <w:rsid w:val="00211351"/>
    <w:rsid w:val="00212446"/>
    <w:rsid w:val="00212A7E"/>
    <w:rsid w:val="00212BA2"/>
    <w:rsid w:val="002135D4"/>
    <w:rsid w:val="002138A1"/>
    <w:rsid w:val="00213ABB"/>
    <w:rsid w:val="00213CFF"/>
    <w:rsid w:val="00214195"/>
    <w:rsid w:val="00214AD8"/>
    <w:rsid w:val="00214E09"/>
    <w:rsid w:val="0021500D"/>
    <w:rsid w:val="002150D2"/>
    <w:rsid w:val="00215BD1"/>
    <w:rsid w:val="00215C96"/>
    <w:rsid w:val="00216030"/>
    <w:rsid w:val="0021713A"/>
    <w:rsid w:val="0021737C"/>
    <w:rsid w:val="0022044C"/>
    <w:rsid w:val="0022159C"/>
    <w:rsid w:val="00221B6B"/>
    <w:rsid w:val="00222061"/>
    <w:rsid w:val="002225FB"/>
    <w:rsid w:val="002229E6"/>
    <w:rsid w:val="00222F65"/>
    <w:rsid w:val="00222FFD"/>
    <w:rsid w:val="00223EFD"/>
    <w:rsid w:val="00223F62"/>
    <w:rsid w:val="00224CAD"/>
    <w:rsid w:val="00225059"/>
    <w:rsid w:val="0022521B"/>
    <w:rsid w:val="00225384"/>
    <w:rsid w:val="0022595A"/>
    <w:rsid w:val="00225D21"/>
    <w:rsid w:val="00225F1D"/>
    <w:rsid w:val="00226A44"/>
    <w:rsid w:val="00226E22"/>
    <w:rsid w:val="002270AB"/>
    <w:rsid w:val="00227167"/>
    <w:rsid w:val="0022760A"/>
    <w:rsid w:val="0022797E"/>
    <w:rsid w:val="00227B9B"/>
    <w:rsid w:val="00227CA9"/>
    <w:rsid w:val="002302EC"/>
    <w:rsid w:val="00230345"/>
    <w:rsid w:val="00230440"/>
    <w:rsid w:val="002304A4"/>
    <w:rsid w:val="00230796"/>
    <w:rsid w:val="00230D12"/>
    <w:rsid w:val="00230D1B"/>
    <w:rsid w:val="00231F44"/>
    <w:rsid w:val="00232628"/>
    <w:rsid w:val="00232F44"/>
    <w:rsid w:val="00233C14"/>
    <w:rsid w:val="00234B2D"/>
    <w:rsid w:val="00235703"/>
    <w:rsid w:val="002357BB"/>
    <w:rsid w:val="00235A8C"/>
    <w:rsid w:val="0023732C"/>
    <w:rsid w:val="00237489"/>
    <w:rsid w:val="00237C2F"/>
    <w:rsid w:val="002406F5"/>
    <w:rsid w:val="00240EB8"/>
    <w:rsid w:val="00241080"/>
    <w:rsid w:val="0024131F"/>
    <w:rsid w:val="0024139E"/>
    <w:rsid w:val="002415D6"/>
    <w:rsid w:val="00241972"/>
    <w:rsid w:val="00241DBE"/>
    <w:rsid w:val="00243511"/>
    <w:rsid w:val="002436D9"/>
    <w:rsid w:val="00244494"/>
    <w:rsid w:val="0024522C"/>
    <w:rsid w:val="0024522F"/>
    <w:rsid w:val="00245495"/>
    <w:rsid w:val="00245E85"/>
    <w:rsid w:val="00246007"/>
    <w:rsid w:val="0024651B"/>
    <w:rsid w:val="002502B1"/>
    <w:rsid w:val="00250548"/>
    <w:rsid w:val="00250F28"/>
    <w:rsid w:val="00251D8F"/>
    <w:rsid w:val="002529BA"/>
    <w:rsid w:val="0025300F"/>
    <w:rsid w:val="002538D9"/>
    <w:rsid w:val="002540C2"/>
    <w:rsid w:val="002563B5"/>
    <w:rsid w:val="002568DA"/>
    <w:rsid w:val="002603D5"/>
    <w:rsid w:val="002606D7"/>
    <w:rsid w:val="00260912"/>
    <w:rsid w:val="00261019"/>
    <w:rsid w:val="00262621"/>
    <w:rsid w:val="00262935"/>
    <w:rsid w:val="0026305C"/>
    <w:rsid w:val="00263454"/>
    <w:rsid w:val="00263A67"/>
    <w:rsid w:val="00263DB6"/>
    <w:rsid w:val="002646B8"/>
    <w:rsid w:val="00265944"/>
    <w:rsid w:val="00265CFE"/>
    <w:rsid w:val="002671C8"/>
    <w:rsid w:val="00267615"/>
    <w:rsid w:val="0027090C"/>
    <w:rsid w:val="00270BA3"/>
    <w:rsid w:val="002712EB"/>
    <w:rsid w:val="0027393F"/>
    <w:rsid w:val="00274089"/>
    <w:rsid w:val="00274155"/>
    <w:rsid w:val="00276D3B"/>
    <w:rsid w:val="00276E40"/>
    <w:rsid w:val="00276E4F"/>
    <w:rsid w:val="00277131"/>
    <w:rsid w:val="00277417"/>
    <w:rsid w:val="002778FA"/>
    <w:rsid w:val="0028076B"/>
    <w:rsid w:val="00281153"/>
    <w:rsid w:val="00281605"/>
    <w:rsid w:val="00281AFF"/>
    <w:rsid w:val="00282340"/>
    <w:rsid w:val="002824EB"/>
    <w:rsid w:val="0028281E"/>
    <w:rsid w:val="0028337D"/>
    <w:rsid w:val="00284E3D"/>
    <w:rsid w:val="00285560"/>
    <w:rsid w:val="00286D19"/>
    <w:rsid w:val="00286E63"/>
    <w:rsid w:val="00286E9D"/>
    <w:rsid w:val="00287634"/>
    <w:rsid w:val="00287E69"/>
    <w:rsid w:val="00290757"/>
    <w:rsid w:val="00290C2F"/>
    <w:rsid w:val="00290C7D"/>
    <w:rsid w:val="00292228"/>
    <w:rsid w:val="002931CC"/>
    <w:rsid w:val="002935AF"/>
    <w:rsid w:val="00294600"/>
    <w:rsid w:val="00295270"/>
    <w:rsid w:val="002965AE"/>
    <w:rsid w:val="00296B23"/>
    <w:rsid w:val="00296F85"/>
    <w:rsid w:val="002A0DCF"/>
    <w:rsid w:val="002A115C"/>
    <w:rsid w:val="002A1193"/>
    <w:rsid w:val="002A13FD"/>
    <w:rsid w:val="002A18DA"/>
    <w:rsid w:val="002A18F3"/>
    <w:rsid w:val="002A2788"/>
    <w:rsid w:val="002A3C8F"/>
    <w:rsid w:val="002A4F7D"/>
    <w:rsid w:val="002A5A2B"/>
    <w:rsid w:val="002A614C"/>
    <w:rsid w:val="002A6878"/>
    <w:rsid w:val="002A77C2"/>
    <w:rsid w:val="002A794E"/>
    <w:rsid w:val="002B0838"/>
    <w:rsid w:val="002B107A"/>
    <w:rsid w:val="002B11AA"/>
    <w:rsid w:val="002B126D"/>
    <w:rsid w:val="002B14E7"/>
    <w:rsid w:val="002B16DE"/>
    <w:rsid w:val="002B6116"/>
    <w:rsid w:val="002B65D9"/>
    <w:rsid w:val="002B70BE"/>
    <w:rsid w:val="002B71CC"/>
    <w:rsid w:val="002B7508"/>
    <w:rsid w:val="002C1461"/>
    <w:rsid w:val="002C15C1"/>
    <w:rsid w:val="002C1A89"/>
    <w:rsid w:val="002C1BA2"/>
    <w:rsid w:val="002C2196"/>
    <w:rsid w:val="002C2210"/>
    <w:rsid w:val="002C235D"/>
    <w:rsid w:val="002C3056"/>
    <w:rsid w:val="002C331F"/>
    <w:rsid w:val="002C3587"/>
    <w:rsid w:val="002C3E30"/>
    <w:rsid w:val="002C4E98"/>
    <w:rsid w:val="002C5882"/>
    <w:rsid w:val="002C5AC8"/>
    <w:rsid w:val="002C6710"/>
    <w:rsid w:val="002C698B"/>
    <w:rsid w:val="002C7BB6"/>
    <w:rsid w:val="002C7E99"/>
    <w:rsid w:val="002D0082"/>
    <w:rsid w:val="002D0637"/>
    <w:rsid w:val="002D0BA1"/>
    <w:rsid w:val="002D0E5D"/>
    <w:rsid w:val="002D1169"/>
    <w:rsid w:val="002D1346"/>
    <w:rsid w:val="002D18A3"/>
    <w:rsid w:val="002D26E5"/>
    <w:rsid w:val="002D2EC7"/>
    <w:rsid w:val="002D3F5A"/>
    <w:rsid w:val="002D4968"/>
    <w:rsid w:val="002D5453"/>
    <w:rsid w:val="002D54C9"/>
    <w:rsid w:val="002D71CB"/>
    <w:rsid w:val="002D7EA1"/>
    <w:rsid w:val="002E0357"/>
    <w:rsid w:val="002E189B"/>
    <w:rsid w:val="002E3383"/>
    <w:rsid w:val="002E5CEC"/>
    <w:rsid w:val="002E6C30"/>
    <w:rsid w:val="002F011D"/>
    <w:rsid w:val="002F06CA"/>
    <w:rsid w:val="002F1A94"/>
    <w:rsid w:val="002F21DD"/>
    <w:rsid w:val="002F23C6"/>
    <w:rsid w:val="002F24E8"/>
    <w:rsid w:val="002F2928"/>
    <w:rsid w:val="002F2D9C"/>
    <w:rsid w:val="002F318D"/>
    <w:rsid w:val="002F3BDA"/>
    <w:rsid w:val="002F3CB3"/>
    <w:rsid w:val="002F44D2"/>
    <w:rsid w:val="002F4BA8"/>
    <w:rsid w:val="002F54B1"/>
    <w:rsid w:val="002F5848"/>
    <w:rsid w:val="002F5DD4"/>
    <w:rsid w:val="002F5E89"/>
    <w:rsid w:val="002F62D9"/>
    <w:rsid w:val="002F70B8"/>
    <w:rsid w:val="002F7281"/>
    <w:rsid w:val="002F7DC6"/>
    <w:rsid w:val="00301B55"/>
    <w:rsid w:val="0030237C"/>
    <w:rsid w:val="003032C9"/>
    <w:rsid w:val="00303D01"/>
    <w:rsid w:val="00303E2E"/>
    <w:rsid w:val="00305E03"/>
    <w:rsid w:val="003062A1"/>
    <w:rsid w:val="00306430"/>
    <w:rsid w:val="0030684E"/>
    <w:rsid w:val="003068DB"/>
    <w:rsid w:val="003068F4"/>
    <w:rsid w:val="00306BE1"/>
    <w:rsid w:val="003073A9"/>
    <w:rsid w:val="003075AD"/>
    <w:rsid w:val="00307718"/>
    <w:rsid w:val="00307B6B"/>
    <w:rsid w:val="003106EA"/>
    <w:rsid w:val="00310748"/>
    <w:rsid w:val="00310D84"/>
    <w:rsid w:val="003118B5"/>
    <w:rsid w:val="003118C6"/>
    <w:rsid w:val="00312711"/>
    <w:rsid w:val="00313F57"/>
    <w:rsid w:val="0031697C"/>
    <w:rsid w:val="003170F3"/>
    <w:rsid w:val="00320DE8"/>
    <w:rsid w:val="003211E7"/>
    <w:rsid w:val="00321417"/>
    <w:rsid w:val="00321883"/>
    <w:rsid w:val="0032239B"/>
    <w:rsid w:val="00322A3D"/>
    <w:rsid w:val="00322CAA"/>
    <w:rsid w:val="00323B2B"/>
    <w:rsid w:val="00323EA2"/>
    <w:rsid w:val="0032420D"/>
    <w:rsid w:val="0032447F"/>
    <w:rsid w:val="00324CC5"/>
    <w:rsid w:val="0032541C"/>
    <w:rsid w:val="00325DDA"/>
    <w:rsid w:val="00325E59"/>
    <w:rsid w:val="0032617F"/>
    <w:rsid w:val="0032648A"/>
    <w:rsid w:val="0032649D"/>
    <w:rsid w:val="00326C4F"/>
    <w:rsid w:val="0032766A"/>
    <w:rsid w:val="00327CDA"/>
    <w:rsid w:val="003303F2"/>
    <w:rsid w:val="00331012"/>
    <w:rsid w:val="003313D6"/>
    <w:rsid w:val="00331BD6"/>
    <w:rsid w:val="00332AD3"/>
    <w:rsid w:val="00332B92"/>
    <w:rsid w:val="00332CF8"/>
    <w:rsid w:val="00332FEB"/>
    <w:rsid w:val="0033336C"/>
    <w:rsid w:val="00333671"/>
    <w:rsid w:val="00333C45"/>
    <w:rsid w:val="0033477E"/>
    <w:rsid w:val="00334B1D"/>
    <w:rsid w:val="00334E0C"/>
    <w:rsid w:val="00335195"/>
    <w:rsid w:val="003357EF"/>
    <w:rsid w:val="00336AE7"/>
    <w:rsid w:val="00336EE3"/>
    <w:rsid w:val="0033744A"/>
    <w:rsid w:val="003379D5"/>
    <w:rsid w:val="00337B20"/>
    <w:rsid w:val="00337EC4"/>
    <w:rsid w:val="003417FA"/>
    <w:rsid w:val="00342246"/>
    <w:rsid w:val="0034286F"/>
    <w:rsid w:val="00343642"/>
    <w:rsid w:val="00343AE3"/>
    <w:rsid w:val="00343F0D"/>
    <w:rsid w:val="00343FFB"/>
    <w:rsid w:val="003445F9"/>
    <w:rsid w:val="00344B30"/>
    <w:rsid w:val="00344FB6"/>
    <w:rsid w:val="00346002"/>
    <w:rsid w:val="00346D39"/>
    <w:rsid w:val="00346E61"/>
    <w:rsid w:val="003470E9"/>
    <w:rsid w:val="0034720A"/>
    <w:rsid w:val="00347408"/>
    <w:rsid w:val="00347ACB"/>
    <w:rsid w:val="00350EC6"/>
    <w:rsid w:val="00351A77"/>
    <w:rsid w:val="00352DC0"/>
    <w:rsid w:val="00352EBB"/>
    <w:rsid w:val="00353A81"/>
    <w:rsid w:val="00353FEC"/>
    <w:rsid w:val="0035473B"/>
    <w:rsid w:val="00354C31"/>
    <w:rsid w:val="00354FD7"/>
    <w:rsid w:val="003550E7"/>
    <w:rsid w:val="00355136"/>
    <w:rsid w:val="00355D14"/>
    <w:rsid w:val="00356198"/>
    <w:rsid w:val="0035619C"/>
    <w:rsid w:val="003563C9"/>
    <w:rsid w:val="0035644C"/>
    <w:rsid w:val="00356560"/>
    <w:rsid w:val="00357228"/>
    <w:rsid w:val="00357DA9"/>
    <w:rsid w:val="003627A0"/>
    <w:rsid w:val="003632DA"/>
    <w:rsid w:val="00363864"/>
    <w:rsid w:val="003638D2"/>
    <w:rsid w:val="00363DD0"/>
    <w:rsid w:val="00364351"/>
    <w:rsid w:val="00364C72"/>
    <w:rsid w:val="0036763A"/>
    <w:rsid w:val="00367C9D"/>
    <w:rsid w:val="00370508"/>
    <w:rsid w:val="00370674"/>
    <w:rsid w:val="00371F82"/>
    <w:rsid w:val="00372AF2"/>
    <w:rsid w:val="00373055"/>
    <w:rsid w:val="003731A1"/>
    <w:rsid w:val="00373677"/>
    <w:rsid w:val="003737B6"/>
    <w:rsid w:val="00373A82"/>
    <w:rsid w:val="00373B76"/>
    <w:rsid w:val="00373CE6"/>
    <w:rsid w:val="0037448E"/>
    <w:rsid w:val="003746CA"/>
    <w:rsid w:val="00374B72"/>
    <w:rsid w:val="003751B9"/>
    <w:rsid w:val="00375E0A"/>
    <w:rsid w:val="00376257"/>
    <w:rsid w:val="00376A85"/>
    <w:rsid w:val="00376DA4"/>
    <w:rsid w:val="003774A2"/>
    <w:rsid w:val="003800F2"/>
    <w:rsid w:val="00380216"/>
    <w:rsid w:val="00380CFA"/>
    <w:rsid w:val="0038113A"/>
    <w:rsid w:val="003813D3"/>
    <w:rsid w:val="00381678"/>
    <w:rsid w:val="003820D9"/>
    <w:rsid w:val="0038328B"/>
    <w:rsid w:val="003838E3"/>
    <w:rsid w:val="00383A13"/>
    <w:rsid w:val="00383D3C"/>
    <w:rsid w:val="00384C2A"/>
    <w:rsid w:val="00384ED8"/>
    <w:rsid w:val="003856F9"/>
    <w:rsid w:val="0038599D"/>
    <w:rsid w:val="00385A30"/>
    <w:rsid w:val="00386491"/>
    <w:rsid w:val="003868F7"/>
    <w:rsid w:val="003871AE"/>
    <w:rsid w:val="00387963"/>
    <w:rsid w:val="00387C7F"/>
    <w:rsid w:val="003920A6"/>
    <w:rsid w:val="00392657"/>
    <w:rsid w:val="003929FA"/>
    <w:rsid w:val="0039390E"/>
    <w:rsid w:val="00393F07"/>
    <w:rsid w:val="00394B40"/>
    <w:rsid w:val="00394C64"/>
    <w:rsid w:val="0039529D"/>
    <w:rsid w:val="00396412"/>
    <w:rsid w:val="0039680D"/>
    <w:rsid w:val="0039755D"/>
    <w:rsid w:val="003A0091"/>
    <w:rsid w:val="003A09A7"/>
    <w:rsid w:val="003A0B27"/>
    <w:rsid w:val="003A0DDA"/>
    <w:rsid w:val="003A11F0"/>
    <w:rsid w:val="003A13FD"/>
    <w:rsid w:val="003A22CE"/>
    <w:rsid w:val="003A244A"/>
    <w:rsid w:val="003A27DC"/>
    <w:rsid w:val="003A2A6A"/>
    <w:rsid w:val="003A2AFD"/>
    <w:rsid w:val="003A3552"/>
    <w:rsid w:val="003A3837"/>
    <w:rsid w:val="003A5513"/>
    <w:rsid w:val="003A6ED6"/>
    <w:rsid w:val="003A72B4"/>
    <w:rsid w:val="003A791A"/>
    <w:rsid w:val="003A79EB"/>
    <w:rsid w:val="003B1B3C"/>
    <w:rsid w:val="003B4978"/>
    <w:rsid w:val="003B4AD6"/>
    <w:rsid w:val="003B4B57"/>
    <w:rsid w:val="003B4C65"/>
    <w:rsid w:val="003B513F"/>
    <w:rsid w:val="003B5ECC"/>
    <w:rsid w:val="003B6E9D"/>
    <w:rsid w:val="003B7BEE"/>
    <w:rsid w:val="003B7E6E"/>
    <w:rsid w:val="003B7F7E"/>
    <w:rsid w:val="003C084A"/>
    <w:rsid w:val="003C1070"/>
    <w:rsid w:val="003C11A1"/>
    <w:rsid w:val="003C148C"/>
    <w:rsid w:val="003C3402"/>
    <w:rsid w:val="003C36F1"/>
    <w:rsid w:val="003C3A3C"/>
    <w:rsid w:val="003C3FA6"/>
    <w:rsid w:val="003C44E5"/>
    <w:rsid w:val="003C5E5B"/>
    <w:rsid w:val="003C5EF9"/>
    <w:rsid w:val="003C6527"/>
    <w:rsid w:val="003C6AB0"/>
    <w:rsid w:val="003C7032"/>
    <w:rsid w:val="003C7159"/>
    <w:rsid w:val="003C7356"/>
    <w:rsid w:val="003C7858"/>
    <w:rsid w:val="003C7D70"/>
    <w:rsid w:val="003D0163"/>
    <w:rsid w:val="003D0D7A"/>
    <w:rsid w:val="003D1DA3"/>
    <w:rsid w:val="003D2597"/>
    <w:rsid w:val="003D3047"/>
    <w:rsid w:val="003D4236"/>
    <w:rsid w:val="003D4698"/>
    <w:rsid w:val="003D48B6"/>
    <w:rsid w:val="003D4D13"/>
    <w:rsid w:val="003D65F5"/>
    <w:rsid w:val="003D6D2D"/>
    <w:rsid w:val="003E010E"/>
    <w:rsid w:val="003E0D20"/>
    <w:rsid w:val="003E185C"/>
    <w:rsid w:val="003E19A0"/>
    <w:rsid w:val="003E1C1C"/>
    <w:rsid w:val="003E2C64"/>
    <w:rsid w:val="003E3821"/>
    <w:rsid w:val="003E3F75"/>
    <w:rsid w:val="003E41C2"/>
    <w:rsid w:val="003E4275"/>
    <w:rsid w:val="003E4413"/>
    <w:rsid w:val="003E4AC6"/>
    <w:rsid w:val="003E53DC"/>
    <w:rsid w:val="003E57DA"/>
    <w:rsid w:val="003E586C"/>
    <w:rsid w:val="003E5D1C"/>
    <w:rsid w:val="003E6427"/>
    <w:rsid w:val="003E6CE5"/>
    <w:rsid w:val="003E73AF"/>
    <w:rsid w:val="003E751A"/>
    <w:rsid w:val="003E7B3A"/>
    <w:rsid w:val="003E7E69"/>
    <w:rsid w:val="003F019B"/>
    <w:rsid w:val="003F201E"/>
    <w:rsid w:val="003F2429"/>
    <w:rsid w:val="003F2C87"/>
    <w:rsid w:val="003F2C88"/>
    <w:rsid w:val="003F2F93"/>
    <w:rsid w:val="003F2FF9"/>
    <w:rsid w:val="003F3315"/>
    <w:rsid w:val="003F454D"/>
    <w:rsid w:val="003F55A0"/>
    <w:rsid w:val="003F60D8"/>
    <w:rsid w:val="003F6AE7"/>
    <w:rsid w:val="003F6ECA"/>
    <w:rsid w:val="003F70D5"/>
    <w:rsid w:val="003F7458"/>
    <w:rsid w:val="003F7A1A"/>
    <w:rsid w:val="003F7CC5"/>
    <w:rsid w:val="0040091B"/>
    <w:rsid w:val="00400F19"/>
    <w:rsid w:val="00401277"/>
    <w:rsid w:val="0040133D"/>
    <w:rsid w:val="004016A6"/>
    <w:rsid w:val="00402628"/>
    <w:rsid w:val="00402AED"/>
    <w:rsid w:val="00404AF7"/>
    <w:rsid w:val="00404CD9"/>
    <w:rsid w:val="004053B9"/>
    <w:rsid w:val="004057B7"/>
    <w:rsid w:val="004060E1"/>
    <w:rsid w:val="00406225"/>
    <w:rsid w:val="00406A5C"/>
    <w:rsid w:val="00407049"/>
    <w:rsid w:val="00407C66"/>
    <w:rsid w:val="00411143"/>
    <w:rsid w:val="004117D2"/>
    <w:rsid w:val="00412286"/>
    <w:rsid w:val="00412DF6"/>
    <w:rsid w:val="00412F22"/>
    <w:rsid w:val="00413873"/>
    <w:rsid w:val="004138D8"/>
    <w:rsid w:val="00414D75"/>
    <w:rsid w:val="00417CE2"/>
    <w:rsid w:val="00417D99"/>
    <w:rsid w:val="0042011E"/>
    <w:rsid w:val="004206B5"/>
    <w:rsid w:val="0042164C"/>
    <w:rsid w:val="00421890"/>
    <w:rsid w:val="004218FD"/>
    <w:rsid w:val="00422E86"/>
    <w:rsid w:val="004239AE"/>
    <w:rsid w:val="0042564F"/>
    <w:rsid w:val="004261EB"/>
    <w:rsid w:val="004262AB"/>
    <w:rsid w:val="004263ED"/>
    <w:rsid w:val="0042776E"/>
    <w:rsid w:val="00427B9C"/>
    <w:rsid w:val="00427E4A"/>
    <w:rsid w:val="0043054D"/>
    <w:rsid w:val="004315A9"/>
    <w:rsid w:val="00431A46"/>
    <w:rsid w:val="00431AFC"/>
    <w:rsid w:val="00431F88"/>
    <w:rsid w:val="0043265F"/>
    <w:rsid w:val="00432A40"/>
    <w:rsid w:val="00432BA7"/>
    <w:rsid w:val="00432D40"/>
    <w:rsid w:val="00433277"/>
    <w:rsid w:val="0043391D"/>
    <w:rsid w:val="00433ED4"/>
    <w:rsid w:val="00433EEB"/>
    <w:rsid w:val="0043415D"/>
    <w:rsid w:val="0043438C"/>
    <w:rsid w:val="00434C84"/>
    <w:rsid w:val="00434FF5"/>
    <w:rsid w:val="0043601C"/>
    <w:rsid w:val="004369C3"/>
    <w:rsid w:val="00437EE1"/>
    <w:rsid w:val="0044032A"/>
    <w:rsid w:val="00440DE3"/>
    <w:rsid w:val="00441679"/>
    <w:rsid w:val="00442B82"/>
    <w:rsid w:val="00443573"/>
    <w:rsid w:val="0044383D"/>
    <w:rsid w:val="00444086"/>
    <w:rsid w:val="00444116"/>
    <w:rsid w:val="00445B8F"/>
    <w:rsid w:val="004467E3"/>
    <w:rsid w:val="00446C97"/>
    <w:rsid w:val="00446FDD"/>
    <w:rsid w:val="00450601"/>
    <w:rsid w:val="00450888"/>
    <w:rsid w:val="00450947"/>
    <w:rsid w:val="00452006"/>
    <w:rsid w:val="00453260"/>
    <w:rsid w:val="00453C4A"/>
    <w:rsid w:val="00453C69"/>
    <w:rsid w:val="00453C77"/>
    <w:rsid w:val="004558C5"/>
    <w:rsid w:val="00455CB2"/>
    <w:rsid w:val="004568B5"/>
    <w:rsid w:val="00456CEF"/>
    <w:rsid w:val="004600A3"/>
    <w:rsid w:val="00460208"/>
    <w:rsid w:val="00460B80"/>
    <w:rsid w:val="0046143D"/>
    <w:rsid w:val="00462114"/>
    <w:rsid w:val="0046285E"/>
    <w:rsid w:val="00463D49"/>
    <w:rsid w:val="00463E0D"/>
    <w:rsid w:val="00464AAA"/>
    <w:rsid w:val="00465360"/>
    <w:rsid w:val="0046538E"/>
    <w:rsid w:val="00465D4E"/>
    <w:rsid w:val="004665A2"/>
    <w:rsid w:val="00467044"/>
    <w:rsid w:val="0046769D"/>
    <w:rsid w:val="00467787"/>
    <w:rsid w:val="00470339"/>
    <w:rsid w:val="00470C93"/>
    <w:rsid w:val="00470ED1"/>
    <w:rsid w:val="00471BC0"/>
    <w:rsid w:val="00472259"/>
    <w:rsid w:val="00472777"/>
    <w:rsid w:val="00473444"/>
    <w:rsid w:val="00473544"/>
    <w:rsid w:val="00473566"/>
    <w:rsid w:val="00474621"/>
    <w:rsid w:val="00474762"/>
    <w:rsid w:val="00474CBC"/>
    <w:rsid w:val="00475657"/>
    <w:rsid w:val="0047650D"/>
    <w:rsid w:val="004771E7"/>
    <w:rsid w:val="004776AF"/>
    <w:rsid w:val="00477AEF"/>
    <w:rsid w:val="0048028B"/>
    <w:rsid w:val="00480BBB"/>
    <w:rsid w:val="00480C71"/>
    <w:rsid w:val="00482DD5"/>
    <w:rsid w:val="00483278"/>
    <w:rsid w:val="004844E7"/>
    <w:rsid w:val="00485661"/>
    <w:rsid w:val="0048589C"/>
    <w:rsid w:val="004859EC"/>
    <w:rsid w:val="00485F08"/>
    <w:rsid w:val="00486391"/>
    <w:rsid w:val="004868B6"/>
    <w:rsid w:val="004877EE"/>
    <w:rsid w:val="00490457"/>
    <w:rsid w:val="004905E4"/>
    <w:rsid w:val="004914F6"/>
    <w:rsid w:val="00491525"/>
    <w:rsid w:val="0049256D"/>
    <w:rsid w:val="00492DE0"/>
    <w:rsid w:val="0049348E"/>
    <w:rsid w:val="004955EE"/>
    <w:rsid w:val="004962E4"/>
    <w:rsid w:val="00496821"/>
    <w:rsid w:val="00496E21"/>
    <w:rsid w:val="00497770"/>
    <w:rsid w:val="004A0286"/>
    <w:rsid w:val="004A0A0D"/>
    <w:rsid w:val="004A2288"/>
    <w:rsid w:val="004A2450"/>
    <w:rsid w:val="004A2FF1"/>
    <w:rsid w:val="004A3048"/>
    <w:rsid w:val="004A3A09"/>
    <w:rsid w:val="004A46B9"/>
    <w:rsid w:val="004A47CF"/>
    <w:rsid w:val="004A4AD7"/>
    <w:rsid w:val="004A4C3F"/>
    <w:rsid w:val="004A4C7C"/>
    <w:rsid w:val="004A5627"/>
    <w:rsid w:val="004A5E69"/>
    <w:rsid w:val="004A6107"/>
    <w:rsid w:val="004A65A6"/>
    <w:rsid w:val="004A663D"/>
    <w:rsid w:val="004A77A0"/>
    <w:rsid w:val="004B01BB"/>
    <w:rsid w:val="004B0841"/>
    <w:rsid w:val="004B0EBE"/>
    <w:rsid w:val="004B1324"/>
    <w:rsid w:val="004B1989"/>
    <w:rsid w:val="004B2279"/>
    <w:rsid w:val="004B2AB2"/>
    <w:rsid w:val="004B3256"/>
    <w:rsid w:val="004B4BED"/>
    <w:rsid w:val="004B50CA"/>
    <w:rsid w:val="004B536F"/>
    <w:rsid w:val="004B5670"/>
    <w:rsid w:val="004B5CB9"/>
    <w:rsid w:val="004B6C8F"/>
    <w:rsid w:val="004B76A9"/>
    <w:rsid w:val="004C0ABF"/>
    <w:rsid w:val="004C1374"/>
    <w:rsid w:val="004C2987"/>
    <w:rsid w:val="004C329B"/>
    <w:rsid w:val="004C364D"/>
    <w:rsid w:val="004C3A28"/>
    <w:rsid w:val="004C528C"/>
    <w:rsid w:val="004C6514"/>
    <w:rsid w:val="004C6593"/>
    <w:rsid w:val="004C65D5"/>
    <w:rsid w:val="004C6DAA"/>
    <w:rsid w:val="004D058C"/>
    <w:rsid w:val="004D0627"/>
    <w:rsid w:val="004D0CFA"/>
    <w:rsid w:val="004D0D8D"/>
    <w:rsid w:val="004D109B"/>
    <w:rsid w:val="004D11A0"/>
    <w:rsid w:val="004D1B9D"/>
    <w:rsid w:val="004D30CE"/>
    <w:rsid w:val="004D30E8"/>
    <w:rsid w:val="004D362A"/>
    <w:rsid w:val="004D36D2"/>
    <w:rsid w:val="004D3973"/>
    <w:rsid w:val="004D4F91"/>
    <w:rsid w:val="004D608F"/>
    <w:rsid w:val="004D6544"/>
    <w:rsid w:val="004D6E45"/>
    <w:rsid w:val="004D739A"/>
    <w:rsid w:val="004E0205"/>
    <w:rsid w:val="004E141B"/>
    <w:rsid w:val="004E298D"/>
    <w:rsid w:val="004E32BF"/>
    <w:rsid w:val="004E41A9"/>
    <w:rsid w:val="004E4C84"/>
    <w:rsid w:val="004E5DE8"/>
    <w:rsid w:val="004E7380"/>
    <w:rsid w:val="004E764F"/>
    <w:rsid w:val="004F022E"/>
    <w:rsid w:val="004F1A2D"/>
    <w:rsid w:val="004F2ADF"/>
    <w:rsid w:val="004F2DA1"/>
    <w:rsid w:val="004F352B"/>
    <w:rsid w:val="004F4DAA"/>
    <w:rsid w:val="004F52DE"/>
    <w:rsid w:val="004F607E"/>
    <w:rsid w:val="004F666A"/>
    <w:rsid w:val="004F6C39"/>
    <w:rsid w:val="004F6C6A"/>
    <w:rsid w:val="004F7E68"/>
    <w:rsid w:val="00500831"/>
    <w:rsid w:val="0050128C"/>
    <w:rsid w:val="005023A1"/>
    <w:rsid w:val="00502AD1"/>
    <w:rsid w:val="00502BE6"/>
    <w:rsid w:val="00502F76"/>
    <w:rsid w:val="0050309C"/>
    <w:rsid w:val="005037BD"/>
    <w:rsid w:val="005037EF"/>
    <w:rsid w:val="00503A73"/>
    <w:rsid w:val="0050415F"/>
    <w:rsid w:val="005044B1"/>
    <w:rsid w:val="00504C3A"/>
    <w:rsid w:val="00504E93"/>
    <w:rsid w:val="00505C92"/>
    <w:rsid w:val="00505DC1"/>
    <w:rsid w:val="00506179"/>
    <w:rsid w:val="0050622B"/>
    <w:rsid w:val="00506F89"/>
    <w:rsid w:val="005071C7"/>
    <w:rsid w:val="005074C7"/>
    <w:rsid w:val="00507BE2"/>
    <w:rsid w:val="00510C5A"/>
    <w:rsid w:val="005118A7"/>
    <w:rsid w:val="00511BBB"/>
    <w:rsid w:val="0051224D"/>
    <w:rsid w:val="00512716"/>
    <w:rsid w:val="00512844"/>
    <w:rsid w:val="00512D49"/>
    <w:rsid w:val="005137E5"/>
    <w:rsid w:val="00514058"/>
    <w:rsid w:val="00514213"/>
    <w:rsid w:val="0051447B"/>
    <w:rsid w:val="005146BC"/>
    <w:rsid w:val="005163F2"/>
    <w:rsid w:val="00517900"/>
    <w:rsid w:val="00517EB8"/>
    <w:rsid w:val="00517F4B"/>
    <w:rsid w:val="0052135C"/>
    <w:rsid w:val="00521506"/>
    <w:rsid w:val="00521F4E"/>
    <w:rsid w:val="0052259B"/>
    <w:rsid w:val="00522A9C"/>
    <w:rsid w:val="00522F56"/>
    <w:rsid w:val="0052317E"/>
    <w:rsid w:val="005236DF"/>
    <w:rsid w:val="00523A84"/>
    <w:rsid w:val="005247DA"/>
    <w:rsid w:val="00524ACD"/>
    <w:rsid w:val="00525B71"/>
    <w:rsid w:val="00525D79"/>
    <w:rsid w:val="00526D1A"/>
    <w:rsid w:val="00527608"/>
    <w:rsid w:val="00527BBC"/>
    <w:rsid w:val="00527CCC"/>
    <w:rsid w:val="00527FC3"/>
    <w:rsid w:val="005301F1"/>
    <w:rsid w:val="0053161F"/>
    <w:rsid w:val="00531E95"/>
    <w:rsid w:val="005334B3"/>
    <w:rsid w:val="00534318"/>
    <w:rsid w:val="005346D8"/>
    <w:rsid w:val="00534E17"/>
    <w:rsid w:val="005355C3"/>
    <w:rsid w:val="0053567A"/>
    <w:rsid w:val="00537B02"/>
    <w:rsid w:val="005404FA"/>
    <w:rsid w:val="00542B4C"/>
    <w:rsid w:val="00542FC5"/>
    <w:rsid w:val="0054307A"/>
    <w:rsid w:val="005441FE"/>
    <w:rsid w:val="005446E1"/>
    <w:rsid w:val="00544E16"/>
    <w:rsid w:val="00544F9D"/>
    <w:rsid w:val="00545EED"/>
    <w:rsid w:val="005470EF"/>
    <w:rsid w:val="00547311"/>
    <w:rsid w:val="0055041A"/>
    <w:rsid w:val="0055081F"/>
    <w:rsid w:val="005508E1"/>
    <w:rsid w:val="00550ADB"/>
    <w:rsid w:val="005552A5"/>
    <w:rsid w:val="00556E66"/>
    <w:rsid w:val="00557CCC"/>
    <w:rsid w:val="00557CD6"/>
    <w:rsid w:val="00560452"/>
    <w:rsid w:val="005610D6"/>
    <w:rsid w:val="005613C3"/>
    <w:rsid w:val="005618B0"/>
    <w:rsid w:val="00562D61"/>
    <w:rsid w:val="0056300A"/>
    <w:rsid w:val="00564056"/>
    <w:rsid w:val="005640FC"/>
    <w:rsid w:val="005645CB"/>
    <w:rsid w:val="0056528C"/>
    <w:rsid w:val="0056550D"/>
    <w:rsid w:val="00565691"/>
    <w:rsid w:val="00565D2B"/>
    <w:rsid w:val="00565DC1"/>
    <w:rsid w:val="00566184"/>
    <w:rsid w:val="0056686A"/>
    <w:rsid w:val="00566DEC"/>
    <w:rsid w:val="00567FB1"/>
    <w:rsid w:val="0057046C"/>
    <w:rsid w:val="00570807"/>
    <w:rsid w:val="005708B2"/>
    <w:rsid w:val="005718E1"/>
    <w:rsid w:val="00571E31"/>
    <w:rsid w:val="005720E0"/>
    <w:rsid w:val="00572526"/>
    <w:rsid w:val="00572B7E"/>
    <w:rsid w:val="00572EAA"/>
    <w:rsid w:val="00572FA5"/>
    <w:rsid w:val="00573339"/>
    <w:rsid w:val="005739C1"/>
    <w:rsid w:val="00573ECF"/>
    <w:rsid w:val="00574218"/>
    <w:rsid w:val="005756B1"/>
    <w:rsid w:val="005770BA"/>
    <w:rsid w:val="00577388"/>
    <w:rsid w:val="00577AE4"/>
    <w:rsid w:val="00577EE1"/>
    <w:rsid w:val="00581026"/>
    <w:rsid w:val="00581661"/>
    <w:rsid w:val="00581EE5"/>
    <w:rsid w:val="0058281C"/>
    <w:rsid w:val="00584D3D"/>
    <w:rsid w:val="00584E13"/>
    <w:rsid w:val="00585FAD"/>
    <w:rsid w:val="005870F0"/>
    <w:rsid w:val="00590967"/>
    <w:rsid w:val="00590AB4"/>
    <w:rsid w:val="00590CB0"/>
    <w:rsid w:val="005912C3"/>
    <w:rsid w:val="005916DF"/>
    <w:rsid w:val="00591C4F"/>
    <w:rsid w:val="005924EF"/>
    <w:rsid w:val="00592810"/>
    <w:rsid w:val="005936AC"/>
    <w:rsid w:val="005940EC"/>
    <w:rsid w:val="00594696"/>
    <w:rsid w:val="005955FE"/>
    <w:rsid w:val="0059609D"/>
    <w:rsid w:val="005963E3"/>
    <w:rsid w:val="005A085B"/>
    <w:rsid w:val="005A0C4B"/>
    <w:rsid w:val="005A0C9D"/>
    <w:rsid w:val="005A10A9"/>
    <w:rsid w:val="005A1F19"/>
    <w:rsid w:val="005A2286"/>
    <w:rsid w:val="005A25BA"/>
    <w:rsid w:val="005A2993"/>
    <w:rsid w:val="005A2A58"/>
    <w:rsid w:val="005A2F05"/>
    <w:rsid w:val="005A30BB"/>
    <w:rsid w:val="005A3E6F"/>
    <w:rsid w:val="005A44A3"/>
    <w:rsid w:val="005A4AF2"/>
    <w:rsid w:val="005A559A"/>
    <w:rsid w:val="005A5B0F"/>
    <w:rsid w:val="005A6166"/>
    <w:rsid w:val="005A6925"/>
    <w:rsid w:val="005A6CBC"/>
    <w:rsid w:val="005A6D43"/>
    <w:rsid w:val="005A7B6B"/>
    <w:rsid w:val="005B0E76"/>
    <w:rsid w:val="005B10AA"/>
    <w:rsid w:val="005B1505"/>
    <w:rsid w:val="005B1723"/>
    <w:rsid w:val="005B1B88"/>
    <w:rsid w:val="005B37D1"/>
    <w:rsid w:val="005B3AA0"/>
    <w:rsid w:val="005B3FE6"/>
    <w:rsid w:val="005B3FF1"/>
    <w:rsid w:val="005B42F1"/>
    <w:rsid w:val="005B481D"/>
    <w:rsid w:val="005B4B60"/>
    <w:rsid w:val="005B6070"/>
    <w:rsid w:val="005B6358"/>
    <w:rsid w:val="005B6D64"/>
    <w:rsid w:val="005B7B3D"/>
    <w:rsid w:val="005C05CE"/>
    <w:rsid w:val="005C0D76"/>
    <w:rsid w:val="005C1FB6"/>
    <w:rsid w:val="005C2F79"/>
    <w:rsid w:val="005C3072"/>
    <w:rsid w:val="005C308A"/>
    <w:rsid w:val="005C38D9"/>
    <w:rsid w:val="005C3B98"/>
    <w:rsid w:val="005C452B"/>
    <w:rsid w:val="005C4AE4"/>
    <w:rsid w:val="005C4F54"/>
    <w:rsid w:val="005C6740"/>
    <w:rsid w:val="005C6A71"/>
    <w:rsid w:val="005C6AA5"/>
    <w:rsid w:val="005C6C60"/>
    <w:rsid w:val="005C7938"/>
    <w:rsid w:val="005D00AE"/>
    <w:rsid w:val="005D0B8A"/>
    <w:rsid w:val="005D12DC"/>
    <w:rsid w:val="005D1CBD"/>
    <w:rsid w:val="005D1CFD"/>
    <w:rsid w:val="005D1EB8"/>
    <w:rsid w:val="005D28CE"/>
    <w:rsid w:val="005D3441"/>
    <w:rsid w:val="005D3A41"/>
    <w:rsid w:val="005D449C"/>
    <w:rsid w:val="005D5966"/>
    <w:rsid w:val="005D5F35"/>
    <w:rsid w:val="005D6604"/>
    <w:rsid w:val="005D705F"/>
    <w:rsid w:val="005D72E9"/>
    <w:rsid w:val="005E02D4"/>
    <w:rsid w:val="005E0BE5"/>
    <w:rsid w:val="005E1342"/>
    <w:rsid w:val="005E16FB"/>
    <w:rsid w:val="005E1BE2"/>
    <w:rsid w:val="005E1C10"/>
    <w:rsid w:val="005E27DE"/>
    <w:rsid w:val="005E2E3F"/>
    <w:rsid w:val="005E334A"/>
    <w:rsid w:val="005E378B"/>
    <w:rsid w:val="005E3C35"/>
    <w:rsid w:val="005E4A20"/>
    <w:rsid w:val="005E62BC"/>
    <w:rsid w:val="005E6525"/>
    <w:rsid w:val="005E6727"/>
    <w:rsid w:val="005E72FF"/>
    <w:rsid w:val="005F11E3"/>
    <w:rsid w:val="005F1296"/>
    <w:rsid w:val="005F12C9"/>
    <w:rsid w:val="005F1536"/>
    <w:rsid w:val="005F158C"/>
    <w:rsid w:val="005F1F28"/>
    <w:rsid w:val="005F20CC"/>
    <w:rsid w:val="005F236C"/>
    <w:rsid w:val="005F3045"/>
    <w:rsid w:val="005F34A9"/>
    <w:rsid w:val="005F36B4"/>
    <w:rsid w:val="005F3AAA"/>
    <w:rsid w:val="005F3ADE"/>
    <w:rsid w:val="005F4600"/>
    <w:rsid w:val="005F530A"/>
    <w:rsid w:val="005F5439"/>
    <w:rsid w:val="005F54F9"/>
    <w:rsid w:val="005F653E"/>
    <w:rsid w:val="005F67DB"/>
    <w:rsid w:val="00602A5C"/>
    <w:rsid w:val="00602BFC"/>
    <w:rsid w:val="0060338C"/>
    <w:rsid w:val="00603BB0"/>
    <w:rsid w:val="00603F09"/>
    <w:rsid w:val="006040E2"/>
    <w:rsid w:val="0060498C"/>
    <w:rsid w:val="006053A9"/>
    <w:rsid w:val="00606394"/>
    <w:rsid w:val="00607B5E"/>
    <w:rsid w:val="0061063F"/>
    <w:rsid w:val="0061167C"/>
    <w:rsid w:val="00611AA8"/>
    <w:rsid w:val="006122FC"/>
    <w:rsid w:val="006123FA"/>
    <w:rsid w:val="006139EF"/>
    <w:rsid w:val="00613A3E"/>
    <w:rsid w:val="00613CFD"/>
    <w:rsid w:val="00613F6D"/>
    <w:rsid w:val="00614789"/>
    <w:rsid w:val="0061514F"/>
    <w:rsid w:val="00615850"/>
    <w:rsid w:val="00616477"/>
    <w:rsid w:val="0061664D"/>
    <w:rsid w:val="00617569"/>
    <w:rsid w:val="00617C62"/>
    <w:rsid w:val="00617D60"/>
    <w:rsid w:val="00620BE5"/>
    <w:rsid w:val="006213D4"/>
    <w:rsid w:val="00621785"/>
    <w:rsid w:val="00621CC0"/>
    <w:rsid w:val="00622229"/>
    <w:rsid w:val="00622338"/>
    <w:rsid w:val="006224AD"/>
    <w:rsid w:val="006225C8"/>
    <w:rsid w:val="00622F8B"/>
    <w:rsid w:val="0062334B"/>
    <w:rsid w:val="0062386C"/>
    <w:rsid w:val="00624EB3"/>
    <w:rsid w:val="00625A58"/>
    <w:rsid w:val="006263F3"/>
    <w:rsid w:val="00627807"/>
    <w:rsid w:val="00627D30"/>
    <w:rsid w:val="00627D6F"/>
    <w:rsid w:val="00627EF4"/>
    <w:rsid w:val="00630311"/>
    <w:rsid w:val="00630B92"/>
    <w:rsid w:val="00631028"/>
    <w:rsid w:val="00631236"/>
    <w:rsid w:val="0063194F"/>
    <w:rsid w:val="006321F2"/>
    <w:rsid w:val="00632483"/>
    <w:rsid w:val="00632BBB"/>
    <w:rsid w:val="006336FF"/>
    <w:rsid w:val="00634237"/>
    <w:rsid w:val="00635376"/>
    <w:rsid w:val="006357F7"/>
    <w:rsid w:val="00635801"/>
    <w:rsid w:val="00635989"/>
    <w:rsid w:val="00635FBE"/>
    <w:rsid w:val="006362EC"/>
    <w:rsid w:val="00636494"/>
    <w:rsid w:val="00637BD9"/>
    <w:rsid w:val="006402CD"/>
    <w:rsid w:val="00640A69"/>
    <w:rsid w:val="00640DA5"/>
    <w:rsid w:val="00641818"/>
    <w:rsid w:val="006424BC"/>
    <w:rsid w:val="00642608"/>
    <w:rsid w:val="00642DB4"/>
    <w:rsid w:val="006436AE"/>
    <w:rsid w:val="00644D2E"/>
    <w:rsid w:val="00644DBA"/>
    <w:rsid w:val="00644E56"/>
    <w:rsid w:val="00645BF0"/>
    <w:rsid w:val="00645E65"/>
    <w:rsid w:val="00646199"/>
    <w:rsid w:val="00646414"/>
    <w:rsid w:val="0064687C"/>
    <w:rsid w:val="00646ED0"/>
    <w:rsid w:val="00647AFE"/>
    <w:rsid w:val="00650186"/>
    <w:rsid w:val="006508C9"/>
    <w:rsid w:val="00651BCB"/>
    <w:rsid w:val="00651BD7"/>
    <w:rsid w:val="00652A0C"/>
    <w:rsid w:val="00653953"/>
    <w:rsid w:val="00653F43"/>
    <w:rsid w:val="00655287"/>
    <w:rsid w:val="006556C4"/>
    <w:rsid w:val="006557CB"/>
    <w:rsid w:val="00655EFE"/>
    <w:rsid w:val="0065702A"/>
    <w:rsid w:val="006570B2"/>
    <w:rsid w:val="00660E12"/>
    <w:rsid w:val="00661033"/>
    <w:rsid w:val="00661057"/>
    <w:rsid w:val="0066249D"/>
    <w:rsid w:val="006626B8"/>
    <w:rsid w:val="006656BB"/>
    <w:rsid w:val="00665D53"/>
    <w:rsid w:val="00666693"/>
    <w:rsid w:val="006666EE"/>
    <w:rsid w:val="006679F4"/>
    <w:rsid w:val="00667FF6"/>
    <w:rsid w:val="00670570"/>
    <w:rsid w:val="00670E93"/>
    <w:rsid w:val="006710AC"/>
    <w:rsid w:val="006711B0"/>
    <w:rsid w:val="006713E6"/>
    <w:rsid w:val="0067187B"/>
    <w:rsid w:val="00672594"/>
    <w:rsid w:val="006747D3"/>
    <w:rsid w:val="006748E9"/>
    <w:rsid w:val="00675178"/>
    <w:rsid w:val="006751C1"/>
    <w:rsid w:val="0067556E"/>
    <w:rsid w:val="00675902"/>
    <w:rsid w:val="00675CE2"/>
    <w:rsid w:val="00676540"/>
    <w:rsid w:val="006767F3"/>
    <w:rsid w:val="006771DB"/>
    <w:rsid w:val="006773B6"/>
    <w:rsid w:val="006809E3"/>
    <w:rsid w:val="0068151C"/>
    <w:rsid w:val="00681C50"/>
    <w:rsid w:val="00681FEB"/>
    <w:rsid w:val="006833D0"/>
    <w:rsid w:val="00684E21"/>
    <w:rsid w:val="00685CB6"/>
    <w:rsid w:val="00685F1F"/>
    <w:rsid w:val="00686B6C"/>
    <w:rsid w:val="006870A5"/>
    <w:rsid w:val="00687E79"/>
    <w:rsid w:val="00690069"/>
    <w:rsid w:val="006904D2"/>
    <w:rsid w:val="006904FE"/>
    <w:rsid w:val="0069051E"/>
    <w:rsid w:val="0069055D"/>
    <w:rsid w:val="00690782"/>
    <w:rsid w:val="00690FBA"/>
    <w:rsid w:val="00692113"/>
    <w:rsid w:val="00692DE2"/>
    <w:rsid w:val="0069369A"/>
    <w:rsid w:val="0069369B"/>
    <w:rsid w:val="00694134"/>
    <w:rsid w:val="00694AF4"/>
    <w:rsid w:val="00694D85"/>
    <w:rsid w:val="00695120"/>
    <w:rsid w:val="0069535D"/>
    <w:rsid w:val="006953A5"/>
    <w:rsid w:val="006963F7"/>
    <w:rsid w:val="00696BCC"/>
    <w:rsid w:val="00696F65"/>
    <w:rsid w:val="00697368"/>
    <w:rsid w:val="006A0811"/>
    <w:rsid w:val="006A0AF1"/>
    <w:rsid w:val="006A1082"/>
    <w:rsid w:val="006A1A17"/>
    <w:rsid w:val="006A1B03"/>
    <w:rsid w:val="006A3E3A"/>
    <w:rsid w:val="006A4C89"/>
    <w:rsid w:val="006A54B2"/>
    <w:rsid w:val="006A5BD4"/>
    <w:rsid w:val="006A5E56"/>
    <w:rsid w:val="006A64B5"/>
    <w:rsid w:val="006A687E"/>
    <w:rsid w:val="006A6DCA"/>
    <w:rsid w:val="006A6FE2"/>
    <w:rsid w:val="006A720D"/>
    <w:rsid w:val="006A73EE"/>
    <w:rsid w:val="006A7CC3"/>
    <w:rsid w:val="006B033D"/>
    <w:rsid w:val="006B09B4"/>
    <w:rsid w:val="006B128E"/>
    <w:rsid w:val="006B1329"/>
    <w:rsid w:val="006B1A9D"/>
    <w:rsid w:val="006B2385"/>
    <w:rsid w:val="006B4166"/>
    <w:rsid w:val="006B4192"/>
    <w:rsid w:val="006B41F4"/>
    <w:rsid w:val="006B4E6C"/>
    <w:rsid w:val="006B5B45"/>
    <w:rsid w:val="006B65D3"/>
    <w:rsid w:val="006B66B6"/>
    <w:rsid w:val="006B696E"/>
    <w:rsid w:val="006B7EE7"/>
    <w:rsid w:val="006B7F25"/>
    <w:rsid w:val="006C0269"/>
    <w:rsid w:val="006C1261"/>
    <w:rsid w:val="006C1324"/>
    <w:rsid w:val="006C18DE"/>
    <w:rsid w:val="006C1B38"/>
    <w:rsid w:val="006C2C1B"/>
    <w:rsid w:val="006C2C5C"/>
    <w:rsid w:val="006C2DA9"/>
    <w:rsid w:val="006C34AD"/>
    <w:rsid w:val="006C3D01"/>
    <w:rsid w:val="006C538A"/>
    <w:rsid w:val="006C58B4"/>
    <w:rsid w:val="006C5BF7"/>
    <w:rsid w:val="006C6F61"/>
    <w:rsid w:val="006C76AC"/>
    <w:rsid w:val="006C76ED"/>
    <w:rsid w:val="006D02C5"/>
    <w:rsid w:val="006D09DE"/>
    <w:rsid w:val="006D22AC"/>
    <w:rsid w:val="006D28F2"/>
    <w:rsid w:val="006D3EB8"/>
    <w:rsid w:val="006D4761"/>
    <w:rsid w:val="006D4810"/>
    <w:rsid w:val="006D4F42"/>
    <w:rsid w:val="006D4F73"/>
    <w:rsid w:val="006D51E4"/>
    <w:rsid w:val="006D53C3"/>
    <w:rsid w:val="006D616B"/>
    <w:rsid w:val="006D62AD"/>
    <w:rsid w:val="006D68EE"/>
    <w:rsid w:val="006D6BF0"/>
    <w:rsid w:val="006D7A82"/>
    <w:rsid w:val="006E0957"/>
    <w:rsid w:val="006E0D42"/>
    <w:rsid w:val="006E0DAE"/>
    <w:rsid w:val="006E17A3"/>
    <w:rsid w:val="006E2315"/>
    <w:rsid w:val="006E2F75"/>
    <w:rsid w:val="006E3F4D"/>
    <w:rsid w:val="006E3FB5"/>
    <w:rsid w:val="006E5226"/>
    <w:rsid w:val="006E541D"/>
    <w:rsid w:val="006E56FB"/>
    <w:rsid w:val="006E5718"/>
    <w:rsid w:val="006E6F54"/>
    <w:rsid w:val="006E707A"/>
    <w:rsid w:val="006E74D8"/>
    <w:rsid w:val="006F09CD"/>
    <w:rsid w:val="006F09F3"/>
    <w:rsid w:val="006F0F8C"/>
    <w:rsid w:val="006F1314"/>
    <w:rsid w:val="006F17E1"/>
    <w:rsid w:val="006F1E3D"/>
    <w:rsid w:val="006F1EEE"/>
    <w:rsid w:val="006F3473"/>
    <w:rsid w:val="006F3B66"/>
    <w:rsid w:val="006F4052"/>
    <w:rsid w:val="006F40B5"/>
    <w:rsid w:val="006F4102"/>
    <w:rsid w:val="006F4E27"/>
    <w:rsid w:val="006F4F55"/>
    <w:rsid w:val="006F579C"/>
    <w:rsid w:val="006F5921"/>
    <w:rsid w:val="006F5E2F"/>
    <w:rsid w:val="006F60B4"/>
    <w:rsid w:val="006F67A4"/>
    <w:rsid w:val="006F68C4"/>
    <w:rsid w:val="006F6C80"/>
    <w:rsid w:val="006F6DDD"/>
    <w:rsid w:val="006F6E02"/>
    <w:rsid w:val="006F7138"/>
    <w:rsid w:val="007023A7"/>
    <w:rsid w:val="0070302E"/>
    <w:rsid w:val="0070515D"/>
    <w:rsid w:val="007051C3"/>
    <w:rsid w:val="0070655C"/>
    <w:rsid w:val="00706D70"/>
    <w:rsid w:val="00706F27"/>
    <w:rsid w:val="007079D8"/>
    <w:rsid w:val="00707CFF"/>
    <w:rsid w:val="00710307"/>
    <w:rsid w:val="00710981"/>
    <w:rsid w:val="00710BC1"/>
    <w:rsid w:val="00711125"/>
    <w:rsid w:val="007117E0"/>
    <w:rsid w:val="0071192F"/>
    <w:rsid w:val="00711A5E"/>
    <w:rsid w:val="00712407"/>
    <w:rsid w:val="007127DB"/>
    <w:rsid w:val="007128E1"/>
    <w:rsid w:val="00712E52"/>
    <w:rsid w:val="00713501"/>
    <w:rsid w:val="00714487"/>
    <w:rsid w:val="007165E0"/>
    <w:rsid w:val="007174D1"/>
    <w:rsid w:val="0071793B"/>
    <w:rsid w:val="0072006A"/>
    <w:rsid w:val="007201FF"/>
    <w:rsid w:val="007221FC"/>
    <w:rsid w:val="00722AC6"/>
    <w:rsid w:val="00723769"/>
    <w:rsid w:val="00723BD5"/>
    <w:rsid w:val="00723C4F"/>
    <w:rsid w:val="00723D22"/>
    <w:rsid w:val="007244F6"/>
    <w:rsid w:val="00725A8E"/>
    <w:rsid w:val="00725DC2"/>
    <w:rsid w:val="00727698"/>
    <w:rsid w:val="007276B1"/>
    <w:rsid w:val="007277B6"/>
    <w:rsid w:val="00727A30"/>
    <w:rsid w:val="00730BE2"/>
    <w:rsid w:val="00731B40"/>
    <w:rsid w:val="007330BC"/>
    <w:rsid w:val="00733296"/>
    <w:rsid w:val="00733960"/>
    <w:rsid w:val="00734134"/>
    <w:rsid w:val="00734524"/>
    <w:rsid w:val="00734C59"/>
    <w:rsid w:val="00735104"/>
    <w:rsid w:val="007352EF"/>
    <w:rsid w:val="00735A12"/>
    <w:rsid w:val="00735ECE"/>
    <w:rsid w:val="00736B7C"/>
    <w:rsid w:val="00736FC9"/>
    <w:rsid w:val="00740610"/>
    <w:rsid w:val="007411A3"/>
    <w:rsid w:val="007418F1"/>
    <w:rsid w:val="00741B86"/>
    <w:rsid w:val="00741C24"/>
    <w:rsid w:val="00741ED0"/>
    <w:rsid w:val="007429A5"/>
    <w:rsid w:val="00744593"/>
    <w:rsid w:val="007448E8"/>
    <w:rsid w:val="0074504B"/>
    <w:rsid w:val="00745405"/>
    <w:rsid w:val="00745E79"/>
    <w:rsid w:val="00746564"/>
    <w:rsid w:val="007469DC"/>
    <w:rsid w:val="00746D97"/>
    <w:rsid w:val="00750122"/>
    <w:rsid w:val="0075018D"/>
    <w:rsid w:val="00750875"/>
    <w:rsid w:val="007508AE"/>
    <w:rsid w:val="00751A53"/>
    <w:rsid w:val="00751FE0"/>
    <w:rsid w:val="00752E40"/>
    <w:rsid w:val="00753578"/>
    <w:rsid w:val="00753856"/>
    <w:rsid w:val="00753D76"/>
    <w:rsid w:val="007542A8"/>
    <w:rsid w:val="007552EF"/>
    <w:rsid w:val="007557C6"/>
    <w:rsid w:val="0075639F"/>
    <w:rsid w:val="007565AE"/>
    <w:rsid w:val="00756D25"/>
    <w:rsid w:val="00756DFD"/>
    <w:rsid w:val="0075794E"/>
    <w:rsid w:val="00757A42"/>
    <w:rsid w:val="00757CCA"/>
    <w:rsid w:val="00757D95"/>
    <w:rsid w:val="00760075"/>
    <w:rsid w:val="007601F6"/>
    <w:rsid w:val="007615CB"/>
    <w:rsid w:val="00761C2F"/>
    <w:rsid w:val="00761E6E"/>
    <w:rsid w:val="00762705"/>
    <w:rsid w:val="00765713"/>
    <w:rsid w:val="0076599B"/>
    <w:rsid w:val="00766542"/>
    <w:rsid w:val="007672E2"/>
    <w:rsid w:val="00767694"/>
    <w:rsid w:val="007714C7"/>
    <w:rsid w:val="007717AA"/>
    <w:rsid w:val="007722BF"/>
    <w:rsid w:val="00772F47"/>
    <w:rsid w:val="007741C4"/>
    <w:rsid w:val="00775208"/>
    <w:rsid w:val="0077567D"/>
    <w:rsid w:val="00775B4C"/>
    <w:rsid w:val="007769DD"/>
    <w:rsid w:val="00780A04"/>
    <w:rsid w:val="00780CAA"/>
    <w:rsid w:val="007812D9"/>
    <w:rsid w:val="00781711"/>
    <w:rsid w:val="00781B31"/>
    <w:rsid w:val="00781D05"/>
    <w:rsid w:val="00781DF6"/>
    <w:rsid w:val="00781E1A"/>
    <w:rsid w:val="007825C7"/>
    <w:rsid w:val="00782BD8"/>
    <w:rsid w:val="00782CC2"/>
    <w:rsid w:val="00782D3E"/>
    <w:rsid w:val="00782D55"/>
    <w:rsid w:val="00782D95"/>
    <w:rsid w:val="00783606"/>
    <w:rsid w:val="007837D7"/>
    <w:rsid w:val="0078465D"/>
    <w:rsid w:val="007848DA"/>
    <w:rsid w:val="00786754"/>
    <w:rsid w:val="00786988"/>
    <w:rsid w:val="00786E0A"/>
    <w:rsid w:val="00786F75"/>
    <w:rsid w:val="00787415"/>
    <w:rsid w:val="0078761E"/>
    <w:rsid w:val="00787D45"/>
    <w:rsid w:val="00790662"/>
    <w:rsid w:val="00790704"/>
    <w:rsid w:val="00791288"/>
    <w:rsid w:val="007918F8"/>
    <w:rsid w:val="00791C1B"/>
    <w:rsid w:val="00791E62"/>
    <w:rsid w:val="0079236A"/>
    <w:rsid w:val="0079304A"/>
    <w:rsid w:val="0079383D"/>
    <w:rsid w:val="00793A67"/>
    <w:rsid w:val="007941B8"/>
    <w:rsid w:val="00794816"/>
    <w:rsid w:val="00794D13"/>
    <w:rsid w:val="00794EC8"/>
    <w:rsid w:val="0079607D"/>
    <w:rsid w:val="00796243"/>
    <w:rsid w:val="0079640F"/>
    <w:rsid w:val="0079651E"/>
    <w:rsid w:val="007978D2"/>
    <w:rsid w:val="007A01FD"/>
    <w:rsid w:val="007A082D"/>
    <w:rsid w:val="007A0F29"/>
    <w:rsid w:val="007A0F67"/>
    <w:rsid w:val="007A1173"/>
    <w:rsid w:val="007A1FB4"/>
    <w:rsid w:val="007A216A"/>
    <w:rsid w:val="007A2569"/>
    <w:rsid w:val="007A2D91"/>
    <w:rsid w:val="007A2FC8"/>
    <w:rsid w:val="007A3A2E"/>
    <w:rsid w:val="007A4F5A"/>
    <w:rsid w:val="007A5440"/>
    <w:rsid w:val="007A5BD1"/>
    <w:rsid w:val="007A64B0"/>
    <w:rsid w:val="007A71F2"/>
    <w:rsid w:val="007A7CE8"/>
    <w:rsid w:val="007B0D5B"/>
    <w:rsid w:val="007B0F89"/>
    <w:rsid w:val="007B1527"/>
    <w:rsid w:val="007B1B98"/>
    <w:rsid w:val="007B2857"/>
    <w:rsid w:val="007B3012"/>
    <w:rsid w:val="007B3629"/>
    <w:rsid w:val="007B3E33"/>
    <w:rsid w:val="007B4350"/>
    <w:rsid w:val="007B45DA"/>
    <w:rsid w:val="007B5ACF"/>
    <w:rsid w:val="007B5BE8"/>
    <w:rsid w:val="007B67F0"/>
    <w:rsid w:val="007B6F69"/>
    <w:rsid w:val="007B78F2"/>
    <w:rsid w:val="007C030C"/>
    <w:rsid w:val="007C0C11"/>
    <w:rsid w:val="007C113D"/>
    <w:rsid w:val="007C1C6B"/>
    <w:rsid w:val="007C227D"/>
    <w:rsid w:val="007C22A8"/>
    <w:rsid w:val="007C25B7"/>
    <w:rsid w:val="007C2B64"/>
    <w:rsid w:val="007C33FF"/>
    <w:rsid w:val="007C3A4A"/>
    <w:rsid w:val="007C3CDA"/>
    <w:rsid w:val="007C451E"/>
    <w:rsid w:val="007C4B7D"/>
    <w:rsid w:val="007C4CE0"/>
    <w:rsid w:val="007C6015"/>
    <w:rsid w:val="007C62FF"/>
    <w:rsid w:val="007C6318"/>
    <w:rsid w:val="007C6A57"/>
    <w:rsid w:val="007C6BD5"/>
    <w:rsid w:val="007D004D"/>
    <w:rsid w:val="007D1A71"/>
    <w:rsid w:val="007D25AB"/>
    <w:rsid w:val="007D3427"/>
    <w:rsid w:val="007D39E0"/>
    <w:rsid w:val="007D3DD0"/>
    <w:rsid w:val="007D4907"/>
    <w:rsid w:val="007D4A60"/>
    <w:rsid w:val="007D51AE"/>
    <w:rsid w:val="007D523F"/>
    <w:rsid w:val="007D5BA7"/>
    <w:rsid w:val="007D6196"/>
    <w:rsid w:val="007D6DF7"/>
    <w:rsid w:val="007D72C0"/>
    <w:rsid w:val="007D7AE7"/>
    <w:rsid w:val="007D7AF7"/>
    <w:rsid w:val="007E01CD"/>
    <w:rsid w:val="007E020A"/>
    <w:rsid w:val="007E02C2"/>
    <w:rsid w:val="007E0352"/>
    <w:rsid w:val="007E191E"/>
    <w:rsid w:val="007E1C0A"/>
    <w:rsid w:val="007E2EC9"/>
    <w:rsid w:val="007E3274"/>
    <w:rsid w:val="007E417E"/>
    <w:rsid w:val="007E59B8"/>
    <w:rsid w:val="007E5B24"/>
    <w:rsid w:val="007E5EB3"/>
    <w:rsid w:val="007E6F03"/>
    <w:rsid w:val="007E6F8D"/>
    <w:rsid w:val="007E76BF"/>
    <w:rsid w:val="007E77CE"/>
    <w:rsid w:val="007E7DB0"/>
    <w:rsid w:val="007F02A6"/>
    <w:rsid w:val="007F0CFA"/>
    <w:rsid w:val="007F3460"/>
    <w:rsid w:val="007F37D9"/>
    <w:rsid w:val="007F431D"/>
    <w:rsid w:val="007F47C7"/>
    <w:rsid w:val="007F53BB"/>
    <w:rsid w:val="007F6248"/>
    <w:rsid w:val="0080045B"/>
    <w:rsid w:val="00800E0A"/>
    <w:rsid w:val="00801681"/>
    <w:rsid w:val="00801EE3"/>
    <w:rsid w:val="00802D46"/>
    <w:rsid w:val="008030FB"/>
    <w:rsid w:val="00803A40"/>
    <w:rsid w:val="00803C27"/>
    <w:rsid w:val="0080452C"/>
    <w:rsid w:val="00804BA8"/>
    <w:rsid w:val="00804FE3"/>
    <w:rsid w:val="008059D7"/>
    <w:rsid w:val="00806959"/>
    <w:rsid w:val="00806ACE"/>
    <w:rsid w:val="00806CE4"/>
    <w:rsid w:val="008073A2"/>
    <w:rsid w:val="00807B68"/>
    <w:rsid w:val="008103A2"/>
    <w:rsid w:val="008110B0"/>
    <w:rsid w:val="0081147F"/>
    <w:rsid w:val="00811732"/>
    <w:rsid w:val="00811896"/>
    <w:rsid w:val="008119FC"/>
    <w:rsid w:val="00812652"/>
    <w:rsid w:val="00812CF6"/>
    <w:rsid w:val="00812E12"/>
    <w:rsid w:val="008130DD"/>
    <w:rsid w:val="0081335B"/>
    <w:rsid w:val="00813AB8"/>
    <w:rsid w:val="00813BA2"/>
    <w:rsid w:val="00813BFB"/>
    <w:rsid w:val="00813EDE"/>
    <w:rsid w:val="00814518"/>
    <w:rsid w:val="0081517E"/>
    <w:rsid w:val="008158AD"/>
    <w:rsid w:val="00816510"/>
    <w:rsid w:val="008178CA"/>
    <w:rsid w:val="00817A94"/>
    <w:rsid w:val="00820A58"/>
    <w:rsid w:val="00820DF5"/>
    <w:rsid w:val="00821C3A"/>
    <w:rsid w:val="00821E6F"/>
    <w:rsid w:val="008229BB"/>
    <w:rsid w:val="00822B14"/>
    <w:rsid w:val="00823164"/>
    <w:rsid w:val="00823563"/>
    <w:rsid w:val="0082496B"/>
    <w:rsid w:val="00824A5E"/>
    <w:rsid w:val="00824D09"/>
    <w:rsid w:val="008258DA"/>
    <w:rsid w:val="008258E9"/>
    <w:rsid w:val="00825DAB"/>
    <w:rsid w:val="00825FD8"/>
    <w:rsid w:val="0082663B"/>
    <w:rsid w:val="00826C70"/>
    <w:rsid w:val="00827642"/>
    <w:rsid w:val="00827C7C"/>
    <w:rsid w:val="00827E29"/>
    <w:rsid w:val="008300BE"/>
    <w:rsid w:val="00830B8A"/>
    <w:rsid w:val="00830FE8"/>
    <w:rsid w:val="00831AA7"/>
    <w:rsid w:val="00831CA1"/>
    <w:rsid w:val="00832F0F"/>
    <w:rsid w:val="008335F2"/>
    <w:rsid w:val="0083402D"/>
    <w:rsid w:val="008345A5"/>
    <w:rsid w:val="0083483D"/>
    <w:rsid w:val="00835709"/>
    <w:rsid w:val="0083599F"/>
    <w:rsid w:val="00835ACA"/>
    <w:rsid w:val="0083620E"/>
    <w:rsid w:val="0083633A"/>
    <w:rsid w:val="00836A8D"/>
    <w:rsid w:val="00836EAF"/>
    <w:rsid w:val="008376ED"/>
    <w:rsid w:val="00841327"/>
    <w:rsid w:val="00841B63"/>
    <w:rsid w:val="00842252"/>
    <w:rsid w:val="00842789"/>
    <w:rsid w:val="0084298C"/>
    <w:rsid w:val="008438C7"/>
    <w:rsid w:val="00843904"/>
    <w:rsid w:val="00843E71"/>
    <w:rsid w:val="00844009"/>
    <w:rsid w:val="008469AF"/>
    <w:rsid w:val="00846B02"/>
    <w:rsid w:val="00846B27"/>
    <w:rsid w:val="00846F3F"/>
    <w:rsid w:val="00846FAC"/>
    <w:rsid w:val="00847089"/>
    <w:rsid w:val="008471AE"/>
    <w:rsid w:val="0084776B"/>
    <w:rsid w:val="00847F5C"/>
    <w:rsid w:val="008500FC"/>
    <w:rsid w:val="00850418"/>
    <w:rsid w:val="00850797"/>
    <w:rsid w:val="00850A19"/>
    <w:rsid w:val="00851447"/>
    <w:rsid w:val="008518BC"/>
    <w:rsid w:val="00851DBF"/>
    <w:rsid w:val="00851DCD"/>
    <w:rsid w:val="00851FD5"/>
    <w:rsid w:val="00852017"/>
    <w:rsid w:val="00853861"/>
    <w:rsid w:val="00853EF3"/>
    <w:rsid w:val="0085403B"/>
    <w:rsid w:val="008545DF"/>
    <w:rsid w:val="00854870"/>
    <w:rsid w:val="008550DE"/>
    <w:rsid w:val="008552DD"/>
    <w:rsid w:val="0085532D"/>
    <w:rsid w:val="0085672F"/>
    <w:rsid w:val="00856AE5"/>
    <w:rsid w:val="0085762C"/>
    <w:rsid w:val="00857A38"/>
    <w:rsid w:val="00857E7A"/>
    <w:rsid w:val="008603EB"/>
    <w:rsid w:val="0086049E"/>
    <w:rsid w:val="00860A56"/>
    <w:rsid w:val="0086191B"/>
    <w:rsid w:val="0086257A"/>
    <w:rsid w:val="00862AB0"/>
    <w:rsid w:val="00863634"/>
    <w:rsid w:val="00863FD1"/>
    <w:rsid w:val="008640AE"/>
    <w:rsid w:val="00864DA5"/>
    <w:rsid w:val="0086554C"/>
    <w:rsid w:val="0086652D"/>
    <w:rsid w:val="008665CF"/>
    <w:rsid w:val="00866838"/>
    <w:rsid w:val="00866E19"/>
    <w:rsid w:val="00870859"/>
    <w:rsid w:val="0087094E"/>
    <w:rsid w:val="0087422B"/>
    <w:rsid w:val="00874910"/>
    <w:rsid w:val="00874EA9"/>
    <w:rsid w:val="00874FD2"/>
    <w:rsid w:val="00874FF7"/>
    <w:rsid w:val="00875896"/>
    <w:rsid w:val="0087633A"/>
    <w:rsid w:val="0087634B"/>
    <w:rsid w:val="00876C48"/>
    <w:rsid w:val="00876CB3"/>
    <w:rsid w:val="00876ED1"/>
    <w:rsid w:val="00876FC4"/>
    <w:rsid w:val="00880160"/>
    <w:rsid w:val="008817DC"/>
    <w:rsid w:val="0088361F"/>
    <w:rsid w:val="008838C4"/>
    <w:rsid w:val="008839D6"/>
    <w:rsid w:val="00883A7F"/>
    <w:rsid w:val="0088489E"/>
    <w:rsid w:val="00884AB9"/>
    <w:rsid w:val="00884E76"/>
    <w:rsid w:val="0088561D"/>
    <w:rsid w:val="00885B76"/>
    <w:rsid w:val="00886325"/>
    <w:rsid w:val="00886D5D"/>
    <w:rsid w:val="00887A4F"/>
    <w:rsid w:val="00887C1C"/>
    <w:rsid w:val="00887DD6"/>
    <w:rsid w:val="00890554"/>
    <w:rsid w:val="00890FAE"/>
    <w:rsid w:val="00892029"/>
    <w:rsid w:val="008925C6"/>
    <w:rsid w:val="00894662"/>
    <w:rsid w:val="00894EA8"/>
    <w:rsid w:val="00894F65"/>
    <w:rsid w:val="00896082"/>
    <w:rsid w:val="008969CB"/>
    <w:rsid w:val="00896D36"/>
    <w:rsid w:val="008972AD"/>
    <w:rsid w:val="0089730F"/>
    <w:rsid w:val="008A2057"/>
    <w:rsid w:val="008A238C"/>
    <w:rsid w:val="008A345A"/>
    <w:rsid w:val="008A4EDF"/>
    <w:rsid w:val="008A4F43"/>
    <w:rsid w:val="008A564A"/>
    <w:rsid w:val="008A708F"/>
    <w:rsid w:val="008A735F"/>
    <w:rsid w:val="008B0042"/>
    <w:rsid w:val="008B069D"/>
    <w:rsid w:val="008B0870"/>
    <w:rsid w:val="008B0D31"/>
    <w:rsid w:val="008B0DD5"/>
    <w:rsid w:val="008B209F"/>
    <w:rsid w:val="008B3E98"/>
    <w:rsid w:val="008B42A1"/>
    <w:rsid w:val="008B43C2"/>
    <w:rsid w:val="008B5A98"/>
    <w:rsid w:val="008B6237"/>
    <w:rsid w:val="008B64EA"/>
    <w:rsid w:val="008B6BC9"/>
    <w:rsid w:val="008B6F8C"/>
    <w:rsid w:val="008B7E4C"/>
    <w:rsid w:val="008B7F5C"/>
    <w:rsid w:val="008C1B22"/>
    <w:rsid w:val="008C21D9"/>
    <w:rsid w:val="008C2808"/>
    <w:rsid w:val="008C284F"/>
    <w:rsid w:val="008C3286"/>
    <w:rsid w:val="008C392E"/>
    <w:rsid w:val="008C4157"/>
    <w:rsid w:val="008C436D"/>
    <w:rsid w:val="008C5AAC"/>
    <w:rsid w:val="008C5DF7"/>
    <w:rsid w:val="008C5ED7"/>
    <w:rsid w:val="008C62B6"/>
    <w:rsid w:val="008C784E"/>
    <w:rsid w:val="008C7C00"/>
    <w:rsid w:val="008C7D41"/>
    <w:rsid w:val="008C7DA6"/>
    <w:rsid w:val="008C7E32"/>
    <w:rsid w:val="008C7ED9"/>
    <w:rsid w:val="008D020F"/>
    <w:rsid w:val="008D046B"/>
    <w:rsid w:val="008D1209"/>
    <w:rsid w:val="008D1475"/>
    <w:rsid w:val="008D1A23"/>
    <w:rsid w:val="008D1B37"/>
    <w:rsid w:val="008D3526"/>
    <w:rsid w:val="008D3CE7"/>
    <w:rsid w:val="008D42C0"/>
    <w:rsid w:val="008D436C"/>
    <w:rsid w:val="008D44C9"/>
    <w:rsid w:val="008D4959"/>
    <w:rsid w:val="008D601E"/>
    <w:rsid w:val="008D6220"/>
    <w:rsid w:val="008D6D80"/>
    <w:rsid w:val="008D7335"/>
    <w:rsid w:val="008D74A8"/>
    <w:rsid w:val="008E06D7"/>
    <w:rsid w:val="008E1A8C"/>
    <w:rsid w:val="008E20D2"/>
    <w:rsid w:val="008E238F"/>
    <w:rsid w:val="008E2505"/>
    <w:rsid w:val="008E287B"/>
    <w:rsid w:val="008E2AC3"/>
    <w:rsid w:val="008E2FCE"/>
    <w:rsid w:val="008E3095"/>
    <w:rsid w:val="008E3200"/>
    <w:rsid w:val="008E44E6"/>
    <w:rsid w:val="008E4993"/>
    <w:rsid w:val="008E4B0A"/>
    <w:rsid w:val="008E6700"/>
    <w:rsid w:val="008E6E0F"/>
    <w:rsid w:val="008E71E4"/>
    <w:rsid w:val="008E7AED"/>
    <w:rsid w:val="008F0946"/>
    <w:rsid w:val="008F1D7D"/>
    <w:rsid w:val="008F1F6F"/>
    <w:rsid w:val="008F2500"/>
    <w:rsid w:val="008F2FE8"/>
    <w:rsid w:val="008F39A7"/>
    <w:rsid w:val="008F4735"/>
    <w:rsid w:val="008F4DF4"/>
    <w:rsid w:val="008F4F0F"/>
    <w:rsid w:val="008F5409"/>
    <w:rsid w:val="008F594E"/>
    <w:rsid w:val="008F685C"/>
    <w:rsid w:val="008F7541"/>
    <w:rsid w:val="008F79F0"/>
    <w:rsid w:val="008F7CD3"/>
    <w:rsid w:val="00900030"/>
    <w:rsid w:val="009002C6"/>
    <w:rsid w:val="00901B2E"/>
    <w:rsid w:val="0090237D"/>
    <w:rsid w:val="00903527"/>
    <w:rsid w:val="009036DD"/>
    <w:rsid w:val="009040E0"/>
    <w:rsid w:val="00904EFE"/>
    <w:rsid w:val="00906232"/>
    <w:rsid w:val="0090721D"/>
    <w:rsid w:val="00907664"/>
    <w:rsid w:val="00907A5A"/>
    <w:rsid w:val="00907EFE"/>
    <w:rsid w:val="009118C8"/>
    <w:rsid w:val="00911A04"/>
    <w:rsid w:val="00911CE2"/>
    <w:rsid w:val="009120C4"/>
    <w:rsid w:val="0091394E"/>
    <w:rsid w:val="00913D1F"/>
    <w:rsid w:val="00914360"/>
    <w:rsid w:val="0091556B"/>
    <w:rsid w:val="0091565E"/>
    <w:rsid w:val="00915F38"/>
    <w:rsid w:val="00915F7C"/>
    <w:rsid w:val="009160BB"/>
    <w:rsid w:val="00916BAE"/>
    <w:rsid w:val="00916EE9"/>
    <w:rsid w:val="009172F9"/>
    <w:rsid w:val="0091739F"/>
    <w:rsid w:val="0091761E"/>
    <w:rsid w:val="009179AD"/>
    <w:rsid w:val="00917A84"/>
    <w:rsid w:val="00920958"/>
    <w:rsid w:val="00920A18"/>
    <w:rsid w:val="00921244"/>
    <w:rsid w:val="00921B62"/>
    <w:rsid w:val="00922F33"/>
    <w:rsid w:val="00923714"/>
    <w:rsid w:val="00923B8D"/>
    <w:rsid w:val="00923DBA"/>
    <w:rsid w:val="009251D5"/>
    <w:rsid w:val="00926417"/>
    <w:rsid w:val="0092734E"/>
    <w:rsid w:val="009275DA"/>
    <w:rsid w:val="0093058A"/>
    <w:rsid w:val="00931353"/>
    <w:rsid w:val="00931569"/>
    <w:rsid w:val="009329B6"/>
    <w:rsid w:val="00932AC2"/>
    <w:rsid w:val="00932D95"/>
    <w:rsid w:val="0093326C"/>
    <w:rsid w:val="0093349A"/>
    <w:rsid w:val="0093372A"/>
    <w:rsid w:val="00934252"/>
    <w:rsid w:val="00934D83"/>
    <w:rsid w:val="00934FC4"/>
    <w:rsid w:val="00936E16"/>
    <w:rsid w:val="009409E7"/>
    <w:rsid w:val="0094189B"/>
    <w:rsid w:val="009424B0"/>
    <w:rsid w:val="00943472"/>
    <w:rsid w:val="00943716"/>
    <w:rsid w:val="00944691"/>
    <w:rsid w:val="00944B7C"/>
    <w:rsid w:val="00945345"/>
    <w:rsid w:val="00945C04"/>
    <w:rsid w:val="00946013"/>
    <w:rsid w:val="0094694F"/>
    <w:rsid w:val="00946D8C"/>
    <w:rsid w:val="00947FE9"/>
    <w:rsid w:val="00947FF9"/>
    <w:rsid w:val="0095001F"/>
    <w:rsid w:val="009514F8"/>
    <w:rsid w:val="0095182A"/>
    <w:rsid w:val="009532B3"/>
    <w:rsid w:val="009532FB"/>
    <w:rsid w:val="00953625"/>
    <w:rsid w:val="00953AA9"/>
    <w:rsid w:val="00954110"/>
    <w:rsid w:val="009541FB"/>
    <w:rsid w:val="00955177"/>
    <w:rsid w:val="00955A4A"/>
    <w:rsid w:val="00957175"/>
    <w:rsid w:val="00957902"/>
    <w:rsid w:val="00957C3D"/>
    <w:rsid w:val="009602BF"/>
    <w:rsid w:val="00960DA0"/>
    <w:rsid w:val="009612C0"/>
    <w:rsid w:val="009615F6"/>
    <w:rsid w:val="009625E4"/>
    <w:rsid w:val="0096286C"/>
    <w:rsid w:val="00962897"/>
    <w:rsid w:val="00962AA0"/>
    <w:rsid w:val="00962B75"/>
    <w:rsid w:val="00962CBC"/>
    <w:rsid w:val="00963713"/>
    <w:rsid w:val="00963C3F"/>
    <w:rsid w:val="0096417F"/>
    <w:rsid w:val="00964435"/>
    <w:rsid w:val="009660F3"/>
    <w:rsid w:val="00966399"/>
    <w:rsid w:val="0096756D"/>
    <w:rsid w:val="0097182F"/>
    <w:rsid w:val="00971B9E"/>
    <w:rsid w:val="00971D9B"/>
    <w:rsid w:val="0097353C"/>
    <w:rsid w:val="0097387B"/>
    <w:rsid w:val="00974F45"/>
    <w:rsid w:val="00975E93"/>
    <w:rsid w:val="009760F6"/>
    <w:rsid w:val="00977773"/>
    <w:rsid w:val="00977A9F"/>
    <w:rsid w:val="00977C11"/>
    <w:rsid w:val="00980085"/>
    <w:rsid w:val="009809E3"/>
    <w:rsid w:val="00980AC9"/>
    <w:rsid w:val="009820C4"/>
    <w:rsid w:val="00982FB1"/>
    <w:rsid w:val="00982FD6"/>
    <w:rsid w:val="00984803"/>
    <w:rsid w:val="00984867"/>
    <w:rsid w:val="009848BB"/>
    <w:rsid w:val="009849F9"/>
    <w:rsid w:val="00984B2B"/>
    <w:rsid w:val="009852AA"/>
    <w:rsid w:val="00985D7A"/>
    <w:rsid w:val="009861D0"/>
    <w:rsid w:val="009864F0"/>
    <w:rsid w:val="0098743A"/>
    <w:rsid w:val="0098753B"/>
    <w:rsid w:val="00987B39"/>
    <w:rsid w:val="00987CF6"/>
    <w:rsid w:val="009914BF"/>
    <w:rsid w:val="00991501"/>
    <w:rsid w:val="00991EFC"/>
    <w:rsid w:val="00992884"/>
    <w:rsid w:val="00993603"/>
    <w:rsid w:val="00993FBD"/>
    <w:rsid w:val="0099434D"/>
    <w:rsid w:val="00994A21"/>
    <w:rsid w:val="009975CD"/>
    <w:rsid w:val="009A0C78"/>
    <w:rsid w:val="009A1622"/>
    <w:rsid w:val="009A174A"/>
    <w:rsid w:val="009A297D"/>
    <w:rsid w:val="009A2E23"/>
    <w:rsid w:val="009A3024"/>
    <w:rsid w:val="009A5065"/>
    <w:rsid w:val="009A532A"/>
    <w:rsid w:val="009A5570"/>
    <w:rsid w:val="009A686C"/>
    <w:rsid w:val="009A7434"/>
    <w:rsid w:val="009A7768"/>
    <w:rsid w:val="009A7AA5"/>
    <w:rsid w:val="009A7DD4"/>
    <w:rsid w:val="009B06EC"/>
    <w:rsid w:val="009B0A46"/>
    <w:rsid w:val="009B0F76"/>
    <w:rsid w:val="009B1513"/>
    <w:rsid w:val="009B16D6"/>
    <w:rsid w:val="009B1E66"/>
    <w:rsid w:val="009B2036"/>
    <w:rsid w:val="009B2AD6"/>
    <w:rsid w:val="009B2D6E"/>
    <w:rsid w:val="009B375D"/>
    <w:rsid w:val="009B431F"/>
    <w:rsid w:val="009B432A"/>
    <w:rsid w:val="009B48C0"/>
    <w:rsid w:val="009B4A63"/>
    <w:rsid w:val="009B5B0D"/>
    <w:rsid w:val="009B5C2A"/>
    <w:rsid w:val="009B6657"/>
    <w:rsid w:val="009B77BC"/>
    <w:rsid w:val="009C0E83"/>
    <w:rsid w:val="009C11B5"/>
    <w:rsid w:val="009C153E"/>
    <w:rsid w:val="009C1EFE"/>
    <w:rsid w:val="009C303B"/>
    <w:rsid w:val="009C3B39"/>
    <w:rsid w:val="009C3F7D"/>
    <w:rsid w:val="009C43EC"/>
    <w:rsid w:val="009C48F7"/>
    <w:rsid w:val="009C53E9"/>
    <w:rsid w:val="009C699B"/>
    <w:rsid w:val="009C70F2"/>
    <w:rsid w:val="009C7B50"/>
    <w:rsid w:val="009C7CC0"/>
    <w:rsid w:val="009D299C"/>
    <w:rsid w:val="009D2CD2"/>
    <w:rsid w:val="009D3018"/>
    <w:rsid w:val="009D3259"/>
    <w:rsid w:val="009D3A54"/>
    <w:rsid w:val="009D3FCB"/>
    <w:rsid w:val="009D5131"/>
    <w:rsid w:val="009D6B49"/>
    <w:rsid w:val="009D6C0F"/>
    <w:rsid w:val="009D6E5F"/>
    <w:rsid w:val="009D7833"/>
    <w:rsid w:val="009D789B"/>
    <w:rsid w:val="009E083A"/>
    <w:rsid w:val="009E13B5"/>
    <w:rsid w:val="009E19BB"/>
    <w:rsid w:val="009E1A8F"/>
    <w:rsid w:val="009E1D29"/>
    <w:rsid w:val="009E46F0"/>
    <w:rsid w:val="009E4DD5"/>
    <w:rsid w:val="009E4E05"/>
    <w:rsid w:val="009E53B2"/>
    <w:rsid w:val="009E57A3"/>
    <w:rsid w:val="009E695B"/>
    <w:rsid w:val="009E6BA1"/>
    <w:rsid w:val="009E6CE5"/>
    <w:rsid w:val="009E78CD"/>
    <w:rsid w:val="009E7D2D"/>
    <w:rsid w:val="009F0C5C"/>
    <w:rsid w:val="009F0E80"/>
    <w:rsid w:val="009F12CD"/>
    <w:rsid w:val="009F1663"/>
    <w:rsid w:val="009F2AD2"/>
    <w:rsid w:val="009F318A"/>
    <w:rsid w:val="009F38D5"/>
    <w:rsid w:val="009F3C0B"/>
    <w:rsid w:val="009F4174"/>
    <w:rsid w:val="009F4872"/>
    <w:rsid w:val="009F5759"/>
    <w:rsid w:val="009F58D1"/>
    <w:rsid w:val="009F59E5"/>
    <w:rsid w:val="009F59F6"/>
    <w:rsid w:val="009F61EA"/>
    <w:rsid w:val="009F6252"/>
    <w:rsid w:val="009F62F0"/>
    <w:rsid w:val="009F63D9"/>
    <w:rsid w:val="009F65C4"/>
    <w:rsid w:val="009F6BE0"/>
    <w:rsid w:val="009F7195"/>
    <w:rsid w:val="00A00011"/>
    <w:rsid w:val="00A00942"/>
    <w:rsid w:val="00A012ED"/>
    <w:rsid w:val="00A01C4C"/>
    <w:rsid w:val="00A020BB"/>
    <w:rsid w:val="00A02691"/>
    <w:rsid w:val="00A04BCE"/>
    <w:rsid w:val="00A05137"/>
    <w:rsid w:val="00A05282"/>
    <w:rsid w:val="00A0569E"/>
    <w:rsid w:val="00A100EA"/>
    <w:rsid w:val="00A106D1"/>
    <w:rsid w:val="00A106E2"/>
    <w:rsid w:val="00A10DEE"/>
    <w:rsid w:val="00A10EA9"/>
    <w:rsid w:val="00A10F4F"/>
    <w:rsid w:val="00A116D3"/>
    <w:rsid w:val="00A119AD"/>
    <w:rsid w:val="00A119F9"/>
    <w:rsid w:val="00A12C49"/>
    <w:rsid w:val="00A140E6"/>
    <w:rsid w:val="00A14FD2"/>
    <w:rsid w:val="00A15C70"/>
    <w:rsid w:val="00A15F30"/>
    <w:rsid w:val="00A16C2B"/>
    <w:rsid w:val="00A17410"/>
    <w:rsid w:val="00A17900"/>
    <w:rsid w:val="00A203DF"/>
    <w:rsid w:val="00A21187"/>
    <w:rsid w:val="00A213F4"/>
    <w:rsid w:val="00A21C9F"/>
    <w:rsid w:val="00A21CAA"/>
    <w:rsid w:val="00A2292D"/>
    <w:rsid w:val="00A23CD1"/>
    <w:rsid w:val="00A243E7"/>
    <w:rsid w:val="00A24CF1"/>
    <w:rsid w:val="00A25183"/>
    <w:rsid w:val="00A2580C"/>
    <w:rsid w:val="00A25C02"/>
    <w:rsid w:val="00A25C91"/>
    <w:rsid w:val="00A25D3A"/>
    <w:rsid w:val="00A25DE0"/>
    <w:rsid w:val="00A2644D"/>
    <w:rsid w:val="00A27707"/>
    <w:rsid w:val="00A277A6"/>
    <w:rsid w:val="00A30E49"/>
    <w:rsid w:val="00A30FD1"/>
    <w:rsid w:val="00A31244"/>
    <w:rsid w:val="00A317CD"/>
    <w:rsid w:val="00A32B5E"/>
    <w:rsid w:val="00A34367"/>
    <w:rsid w:val="00A34393"/>
    <w:rsid w:val="00A34D82"/>
    <w:rsid w:val="00A35A50"/>
    <w:rsid w:val="00A35B88"/>
    <w:rsid w:val="00A364EE"/>
    <w:rsid w:val="00A36C0C"/>
    <w:rsid w:val="00A3728B"/>
    <w:rsid w:val="00A37C29"/>
    <w:rsid w:val="00A403E3"/>
    <w:rsid w:val="00A40FF5"/>
    <w:rsid w:val="00A41873"/>
    <w:rsid w:val="00A41D99"/>
    <w:rsid w:val="00A41E54"/>
    <w:rsid w:val="00A42B5C"/>
    <w:rsid w:val="00A42DAE"/>
    <w:rsid w:val="00A42E4F"/>
    <w:rsid w:val="00A42F54"/>
    <w:rsid w:val="00A431EC"/>
    <w:rsid w:val="00A44C15"/>
    <w:rsid w:val="00A44D86"/>
    <w:rsid w:val="00A45534"/>
    <w:rsid w:val="00A458BD"/>
    <w:rsid w:val="00A46045"/>
    <w:rsid w:val="00A478F1"/>
    <w:rsid w:val="00A501D4"/>
    <w:rsid w:val="00A50648"/>
    <w:rsid w:val="00A50A15"/>
    <w:rsid w:val="00A50BC2"/>
    <w:rsid w:val="00A52030"/>
    <w:rsid w:val="00A5299C"/>
    <w:rsid w:val="00A54362"/>
    <w:rsid w:val="00A5447A"/>
    <w:rsid w:val="00A55072"/>
    <w:rsid w:val="00A55E2D"/>
    <w:rsid w:val="00A57223"/>
    <w:rsid w:val="00A57A70"/>
    <w:rsid w:val="00A57D05"/>
    <w:rsid w:val="00A60AF3"/>
    <w:rsid w:val="00A60B82"/>
    <w:rsid w:val="00A62D97"/>
    <w:rsid w:val="00A6329A"/>
    <w:rsid w:val="00A63753"/>
    <w:rsid w:val="00A6546E"/>
    <w:rsid w:val="00A65D6B"/>
    <w:rsid w:val="00A66D02"/>
    <w:rsid w:val="00A66EC8"/>
    <w:rsid w:val="00A67140"/>
    <w:rsid w:val="00A671E6"/>
    <w:rsid w:val="00A6727E"/>
    <w:rsid w:val="00A67463"/>
    <w:rsid w:val="00A67752"/>
    <w:rsid w:val="00A67D0D"/>
    <w:rsid w:val="00A70D80"/>
    <w:rsid w:val="00A71670"/>
    <w:rsid w:val="00A72A0E"/>
    <w:rsid w:val="00A72E5D"/>
    <w:rsid w:val="00A73627"/>
    <w:rsid w:val="00A73C28"/>
    <w:rsid w:val="00A73D59"/>
    <w:rsid w:val="00A73EA6"/>
    <w:rsid w:val="00A73EBE"/>
    <w:rsid w:val="00A74BF8"/>
    <w:rsid w:val="00A756FD"/>
    <w:rsid w:val="00A75C59"/>
    <w:rsid w:val="00A75D15"/>
    <w:rsid w:val="00A76366"/>
    <w:rsid w:val="00A76A1D"/>
    <w:rsid w:val="00A76AA3"/>
    <w:rsid w:val="00A76C89"/>
    <w:rsid w:val="00A77692"/>
    <w:rsid w:val="00A77DF6"/>
    <w:rsid w:val="00A8027B"/>
    <w:rsid w:val="00A80341"/>
    <w:rsid w:val="00A81027"/>
    <w:rsid w:val="00A811B0"/>
    <w:rsid w:val="00A81A9B"/>
    <w:rsid w:val="00A83DF0"/>
    <w:rsid w:val="00A8553A"/>
    <w:rsid w:val="00A857C6"/>
    <w:rsid w:val="00A86558"/>
    <w:rsid w:val="00A86BFC"/>
    <w:rsid w:val="00A86E3C"/>
    <w:rsid w:val="00A87CD7"/>
    <w:rsid w:val="00A9010D"/>
    <w:rsid w:val="00A92552"/>
    <w:rsid w:val="00A925A8"/>
    <w:rsid w:val="00A93992"/>
    <w:rsid w:val="00A93EA2"/>
    <w:rsid w:val="00A943CB"/>
    <w:rsid w:val="00A94543"/>
    <w:rsid w:val="00A948C8"/>
    <w:rsid w:val="00A94FD8"/>
    <w:rsid w:val="00A95830"/>
    <w:rsid w:val="00A9625E"/>
    <w:rsid w:val="00A96713"/>
    <w:rsid w:val="00A96719"/>
    <w:rsid w:val="00A9676B"/>
    <w:rsid w:val="00A968E1"/>
    <w:rsid w:val="00A96B40"/>
    <w:rsid w:val="00A97B24"/>
    <w:rsid w:val="00AA0D6E"/>
    <w:rsid w:val="00AA104D"/>
    <w:rsid w:val="00AA14F2"/>
    <w:rsid w:val="00AA17A1"/>
    <w:rsid w:val="00AA1ECA"/>
    <w:rsid w:val="00AA1FB6"/>
    <w:rsid w:val="00AA40E3"/>
    <w:rsid w:val="00AA5918"/>
    <w:rsid w:val="00AA6873"/>
    <w:rsid w:val="00AA6DFD"/>
    <w:rsid w:val="00AA6ED0"/>
    <w:rsid w:val="00AA7426"/>
    <w:rsid w:val="00AA7840"/>
    <w:rsid w:val="00AB002E"/>
    <w:rsid w:val="00AB1368"/>
    <w:rsid w:val="00AB1BB3"/>
    <w:rsid w:val="00AB1CD9"/>
    <w:rsid w:val="00AB1DDD"/>
    <w:rsid w:val="00AB20DE"/>
    <w:rsid w:val="00AB3EA4"/>
    <w:rsid w:val="00AB4A1C"/>
    <w:rsid w:val="00AB60B5"/>
    <w:rsid w:val="00AB640E"/>
    <w:rsid w:val="00AB7495"/>
    <w:rsid w:val="00AB74CD"/>
    <w:rsid w:val="00AC11FF"/>
    <w:rsid w:val="00AC199A"/>
    <w:rsid w:val="00AC1B05"/>
    <w:rsid w:val="00AC25B8"/>
    <w:rsid w:val="00AC3309"/>
    <w:rsid w:val="00AC331B"/>
    <w:rsid w:val="00AC3AF3"/>
    <w:rsid w:val="00AC44F2"/>
    <w:rsid w:val="00AC5246"/>
    <w:rsid w:val="00AC5C20"/>
    <w:rsid w:val="00AC5E64"/>
    <w:rsid w:val="00AC6524"/>
    <w:rsid w:val="00AC6689"/>
    <w:rsid w:val="00AC763F"/>
    <w:rsid w:val="00AC7D9C"/>
    <w:rsid w:val="00AD098F"/>
    <w:rsid w:val="00AD11B5"/>
    <w:rsid w:val="00AD1249"/>
    <w:rsid w:val="00AD237C"/>
    <w:rsid w:val="00AD2ADB"/>
    <w:rsid w:val="00AD3E35"/>
    <w:rsid w:val="00AD49C6"/>
    <w:rsid w:val="00AD5FD0"/>
    <w:rsid w:val="00AD6BA5"/>
    <w:rsid w:val="00AD6C4C"/>
    <w:rsid w:val="00AD7D5A"/>
    <w:rsid w:val="00AD7E62"/>
    <w:rsid w:val="00AE0732"/>
    <w:rsid w:val="00AE0C9C"/>
    <w:rsid w:val="00AE0F4B"/>
    <w:rsid w:val="00AE1615"/>
    <w:rsid w:val="00AE30C8"/>
    <w:rsid w:val="00AE3FF3"/>
    <w:rsid w:val="00AE5399"/>
    <w:rsid w:val="00AE54D8"/>
    <w:rsid w:val="00AE5702"/>
    <w:rsid w:val="00AE5A63"/>
    <w:rsid w:val="00AE70E4"/>
    <w:rsid w:val="00AE7271"/>
    <w:rsid w:val="00AE7493"/>
    <w:rsid w:val="00AE7962"/>
    <w:rsid w:val="00AE7C52"/>
    <w:rsid w:val="00AE7DE7"/>
    <w:rsid w:val="00AF0064"/>
    <w:rsid w:val="00AF00E3"/>
    <w:rsid w:val="00AF0E9C"/>
    <w:rsid w:val="00AF0EF6"/>
    <w:rsid w:val="00AF1AE4"/>
    <w:rsid w:val="00AF3D0E"/>
    <w:rsid w:val="00AF3DF7"/>
    <w:rsid w:val="00AF4193"/>
    <w:rsid w:val="00AF4378"/>
    <w:rsid w:val="00AF4DD1"/>
    <w:rsid w:val="00AF6180"/>
    <w:rsid w:val="00AF79C7"/>
    <w:rsid w:val="00B001C3"/>
    <w:rsid w:val="00B00721"/>
    <w:rsid w:val="00B0198A"/>
    <w:rsid w:val="00B02C18"/>
    <w:rsid w:val="00B03A89"/>
    <w:rsid w:val="00B0412B"/>
    <w:rsid w:val="00B04A85"/>
    <w:rsid w:val="00B04D3B"/>
    <w:rsid w:val="00B05EAC"/>
    <w:rsid w:val="00B06219"/>
    <w:rsid w:val="00B0629D"/>
    <w:rsid w:val="00B0732F"/>
    <w:rsid w:val="00B114D1"/>
    <w:rsid w:val="00B11B92"/>
    <w:rsid w:val="00B11DE1"/>
    <w:rsid w:val="00B128B9"/>
    <w:rsid w:val="00B132A4"/>
    <w:rsid w:val="00B13B57"/>
    <w:rsid w:val="00B13CC9"/>
    <w:rsid w:val="00B13E10"/>
    <w:rsid w:val="00B13FB8"/>
    <w:rsid w:val="00B141E1"/>
    <w:rsid w:val="00B14CA4"/>
    <w:rsid w:val="00B14E5A"/>
    <w:rsid w:val="00B154B9"/>
    <w:rsid w:val="00B16041"/>
    <w:rsid w:val="00B16173"/>
    <w:rsid w:val="00B166FE"/>
    <w:rsid w:val="00B167B8"/>
    <w:rsid w:val="00B16F41"/>
    <w:rsid w:val="00B203CA"/>
    <w:rsid w:val="00B21575"/>
    <w:rsid w:val="00B21612"/>
    <w:rsid w:val="00B21DAB"/>
    <w:rsid w:val="00B22442"/>
    <w:rsid w:val="00B226EF"/>
    <w:rsid w:val="00B22BAB"/>
    <w:rsid w:val="00B23263"/>
    <w:rsid w:val="00B2382E"/>
    <w:rsid w:val="00B23D0B"/>
    <w:rsid w:val="00B249D2"/>
    <w:rsid w:val="00B24A2B"/>
    <w:rsid w:val="00B24EA1"/>
    <w:rsid w:val="00B253AA"/>
    <w:rsid w:val="00B253C7"/>
    <w:rsid w:val="00B25600"/>
    <w:rsid w:val="00B257E3"/>
    <w:rsid w:val="00B25809"/>
    <w:rsid w:val="00B25905"/>
    <w:rsid w:val="00B26E1C"/>
    <w:rsid w:val="00B30673"/>
    <w:rsid w:val="00B306EA"/>
    <w:rsid w:val="00B307FD"/>
    <w:rsid w:val="00B313B0"/>
    <w:rsid w:val="00B315E8"/>
    <w:rsid w:val="00B31734"/>
    <w:rsid w:val="00B3320C"/>
    <w:rsid w:val="00B338D6"/>
    <w:rsid w:val="00B33AB3"/>
    <w:rsid w:val="00B34370"/>
    <w:rsid w:val="00B35118"/>
    <w:rsid w:val="00B362BC"/>
    <w:rsid w:val="00B36385"/>
    <w:rsid w:val="00B36B49"/>
    <w:rsid w:val="00B36DA4"/>
    <w:rsid w:val="00B373E3"/>
    <w:rsid w:val="00B40D43"/>
    <w:rsid w:val="00B41CDA"/>
    <w:rsid w:val="00B43413"/>
    <w:rsid w:val="00B44091"/>
    <w:rsid w:val="00B446C3"/>
    <w:rsid w:val="00B44905"/>
    <w:rsid w:val="00B4491B"/>
    <w:rsid w:val="00B44FA5"/>
    <w:rsid w:val="00B468DC"/>
    <w:rsid w:val="00B46FFE"/>
    <w:rsid w:val="00B47566"/>
    <w:rsid w:val="00B504E1"/>
    <w:rsid w:val="00B50B32"/>
    <w:rsid w:val="00B51255"/>
    <w:rsid w:val="00B52193"/>
    <w:rsid w:val="00B52589"/>
    <w:rsid w:val="00B53D27"/>
    <w:rsid w:val="00B5402E"/>
    <w:rsid w:val="00B559BA"/>
    <w:rsid w:val="00B55A12"/>
    <w:rsid w:val="00B55BEA"/>
    <w:rsid w:val="00B566DE"/>
    <w:rsid w:val="00B570BD"/>
    <w:rsid w:val="00B57438"/>
    <w:rsid w:val="00B57BB9"/>
    <w:rsid w:val="00B604D0"/>
    <w:rsid w:val="00B612C9"/>
    <w:rsid w:val="00B6380D"/>
    <w:rsid w:val="00B63F45"/>
    <w:rsid w:val="00B6414C"/>
    <w:rsid w:val="00B641D0"/>
    <w:rsid w:val="00B646EF"/>
    <w:rsid w:val="00B6498F"/>
    <w:rsid w:val="00B654BC"/>
    <w:rsid w:val="00B673E5"/>
    <w:rsid w:val="00B677AC"/>
    <w:rsid w:val="00B678BA"/>
    <w:rsid w:val="00B67F70"/>
    <w:rsid w:val="00B7006E"/>
    <w:rsid w:val="00B70579"/>
    <w:rsid w:val="00B7074B"/>
    <w:rsid w:val="00B714F0"/>
    <w:rsid w:val="00B7322F"/>
    <w:rsid w:val="00B73793"/>
    <w:rsid w:val="00B73B5B"/>
    <w:rsid w:val="00B746C4"/>
    <w:rsid w:val="00B75C8F"/>
    <w:rsid w:val="00B76D83"/>
    <w:rsid w:val="00B770B1"/>
    <w:rsid w:val="00B77CF8"/>
    <w:rsid w:val="00B809D2"/>
    <w:rsid w:val="00B80D88"/>
    <w:rsid w:val="00B815F0"/>
    <w:rsid w:val="00B8162F"/>
    <w:rsid w:val="00B81ACE"/>
    <w:rsid w:val="00B8306D"/>
    <w:rsid w:val="00B835FD"/>
    <w:rsid w:val="00B8668F"/>
    <w:rsid w:val="00B86C75"/>
    <w:rsid w:val="00B875DD"/>
    <w:rsid w:val="00B87B31"/>
    <w:rsid w:val="00B87B99"/>
    <w:rsid w:val="00B90323"/>
    <w:rsid w:val="00B911F9"/>
    <w:rsid w:val="00B91B87"/>
    <w:rsid w:val="00B91C6F"/>
    <w:rsid w:val="00B91EF4"/>
    <w:rsid w:val="00B92399"/>
    <w:rsid w:val="00B924F4"/>
    <w:rsid w:val="00B92CC3"/>
    <w:rsid w:val="00B92D05"/>
    <w:rsid w:val="00B92E88"/>
    <w:rsid w:val="00B93031"/>
    <w:rsid w:val="00B936EB"/>
    <w:rsid w:val="00B9370D"/>
    <w:rsid w:val="00B937C7"/>
    <w:rsid w:val="00B941DE"/>
    <w:rsid w:val="00B9422C"/>
    <w:rsid w:val="00B94E96"/>
    <w:rsid w:val="00B9573A"/>
    <w:rsid w:val="00B958FD"/>
    <w:rsid w:val="00B96D85"/>
    <w:rsid w:val="00B9716A"/>
    <w:rsid w:val="00B971AB"/>
    <w:rsid w:val="00B975AB"/>
    <w:rsid w:val="00BA0376"/>
    <w:rsid w:val="00BA08D9"/>
    <w:rsid w:val="00BA09E1"/>
    <w:rsid w:val="00BA10EC"/>
    <w:rsid w:val="00BA2231"/>
    <w:rsid w:val="00BA2665"/>
    <w:rsid w:val="00BA26AF"/>
    <w:rsid w:val="00BA3C09"/>
    <w:rsid w:val="00BA3CD7"/>
    <w:rsid w:val="00BA3DEF"/>
    <w:rsid w:val="00BA4244"/>
    <w:rsid w:val="00BA4500"/>
    <w:rsid w:val="00BA4869"/>
    <w:rsid w:val="00BA523E"/>
    <w:rsid w:val="00BA6F78"/>
    <w:rsid w:val="00BA76D5"/>
    <w:rsid w:val="00BB083D"/>
    <w:rsid w:val="00BB0E1E"/>
    <w:rsid w:val="00BB1BE5"/>
    <w:rsid w:val="00BB21E0"/>
    <w:rsid w:val="00BB298A"/>
    <w:rsid w:val="00BB29C8"/>
    <w:rsid w:val="00BB29F3"/>
    <w:rsid w:val="00BB39C7"/>
    <w:rsid w:val="00BB3B37"/>
    <w:rsid w:val="00BB3C94"/>
    <w:rsid w:val="00BB43DA"/>
    <w:rsid w:val="00BB46FD"/>
    <w:rsid w:val="00BB4D76"/>
    <w:rsid w:val="00BB4FBB"/>
    <w:rsid w:val="00BB5929"/>
    <w:rsid w:val="00BB63AE"/>
    <w:rsid w:val="00BB6AD9"/>
    <w:rsid w:val="00BB7487"/>
    <w:rsid w:val="00BB7A9B"/>
    <w:rsid w:val="00BC0A55"/>
    <w:rsid w:val="00BC1362"/>
    <w:rsid w:val="00BC1CFA"/>
    <w:rsid w:val="00BC1F9F"/>
    <w:rsid w:val="00BC31D4"/>
    <w:rsid w:val="00BC3E6D"/>
    <w:rsid w:val="00BC3FF3"/>
    <w:rsid w:val="00BC411A"/>
    <w:rsid w:val="00BC4B9E"/>
    <w:rsid w:val="00BC5AC4"/>
    <w:rsid w:val="00BC6029"/>
    <w:rsid w:val="00BC620D"/>
    <w:rsid w:val="00BC6CA8"/>
    <w:rsid w:val="00BC78EA"/>
    <w:rsid w:val="00BC7BCE"/>
    <w:rsid w:val="00BC7E45"/>
    <w:rsid w:val="00BD2896"/>
    <w:rsid w:val="00BD2996"/>
    <w:rsid w:val="00BD2F8E"/>
    <w:rsid w:val="00BD3AFD"/>
    <w:rsid w:val="00BD4528"/>
    <w:rsid w:val="00BD4626"/>
    <w:rsid w:val="00BD4C64"/>
    <w:rsid w:val="00BD5AEC"/>
    <w:rsid w:val="00BD5C8E"/>
    <w:rsid w:val="00BD6AE4"/>
    <w:rsid w:val="00BD7656"/>
    <w:rsid w:val="00BD7F27"/>
    <w:rsid w:val="00BE025B"/>
    <w:rsid w:val="00BE07C0"/>
    <w:rsid w:val="00BE0DB7"/>
    <w:rsid w:val="00BE129E"/>
    <w:rsid w:val="00BE204E"/>
    <w:rsid w:val="00BE2A06"/>
    <w:rsid w:val="00BE2F5C"/>
    <w:rsid w:val="00BE2FB5"/>
    <w:rsid w:val="00BE375B"/>
    <w:rsid w:val="00BE566A"/>
    <w:rsid w:val="00BE5771"/>
    <w:rsid w:val="00BE5DFD"/>
    <w:rsid w:val="00BE5F44"/>
    <w:rsid w:val="00BE6586"/>
    <w:rsid w:val="00BE6E2A"/>
    <w:rsid w:val="00BE75D0"/>
    <w:rsid w:val="00BE78C4"/>
    <w:rsid w:val="00BE79C5"/>
    <w:rsid w:val="00BE7AD4"/>
    <w:rsid w:val="00BE7D1E"/>
    <w:rsid w:val="00BF159E"/>
    <w:rsid w:val="00BF21DB"/>
    <w:rsid w:val="00BF2492"/>
    <w:rsid w:val="00BF4B6E"/>
    <w:rsid w:val="00BF4BEF"/>
    <w:rsid w:val="00BF537D"/>
    <w:rsid w:val="00BF5788"/>
    <w:rsid w:val="00BF61DE"/>
    <w:rsid w:val="00BF714C"/>
    <w:rsid w:val="00BF74A3"/>
    <w:rsid w:val="00C000B3"/>
    <w:rsid w:val="00C00181"/>
    <w:rsid w:val="00C02B05"/>
    <w:rsid w:val="00C03DDF"/>
    <w:rsid w:val="00C04141"/>
    <w:rsid w:val="00C04D24"/>
    <w:rsid w:val="00C04E25"/>
    <w:rsid w:val="00C05368"/>
    <w:rsid w:val="00C05E59"/>
    <w:rsid w:val="00C0674A"/>
    <w:rsid w:val="00C06E5E"/>
    <w:rsid w:val="00C06ED8"/>
    <w:rsid w:val="00C10664"/>
    <w:rsid w:val="00C10910"/>
    <w:rsid w:val="00C110BC"/>
    <w:rsid w:val="00C113E4"/>
    <w:rsid w:val="00C11475"/>
    <w:rsid w:val="00C117F1"/>
    <w:rsid w:val="00C118BA"/>
    <w:rsid w:val="00C11F38"/>
    <w:rsid w:val="00C13460"/>
    <w:rsid w:val="00C13C52"/>
    <w:rsid w:val="00C13D88"/>
    <w:rsid w:val="00C14227"/>
    <w:rsid w:val="00C14656"/>
    <w:rsid w:val="00C14B3D"/>
    <w:rsid w:val="00C14C9E"/>
    <w:rsid w:val="00C14F1B"/>
    <w:rsid w:val="00C15435"/>
    <w:rsid w:val="00C16867"/>
    <w:rsid w:val="00C16C0C"/>
    <w:rsid w:val="00C20246"/>
    <w:rsid w:val="00C2036C"/>
    <w:rsid w:val="00C207E8"/>
    <w:rsid w:val="00C2184C"/>
    <w:rsid w:val="00C22031"/>
    <w:rsid w:val="00C2211D"/>
    <w:rsid w:val="00C221AD"/>
    <w:rsid w:val="00C22225"/>
    <w:rsid w:val="00C22852"/>
    <w:rsid w:val="00C2326F"/>
    <w:rsid w:val="00C23601"/>
    <w:rsid w:val="00C23789"/>
    <w:rsid w:val="00C254A7"/>
    <w:rsid w:val="00C26E80"/>
    <w:rsid w:val="00C2712E"/>
    <w:rsid w:val="00C27CCA"/>
    <w:rsid w:val="00C302C8"/>
    <w:rsid w:val="00C3075C"/>
    <w:rsid w:val="00C30E0A"/>
    <w:rsid w:val="00C31CEA"/>
    <w:rsid w:val="00C31D9B"/>
    <w:rsid w:val="00C32A6D"/>
    <w:rsid w:val="00C32C65"/>
    <w:rsid w:val="00C3311F"/>
    <w:rsid w:val="00C3352C"/>
    <w:rsid w:val="00C34C9F"/>
    <w:rsid w:val="00C354FD"/>
    <w:rsid w:val="00C35ADF"/>
    <w:rsid w:val="00C36852"/>
    <w:rsid w:val="00C36947"/>
    <w:rsid w:val="00C37371"/>
    <w:rsid w:val="00C375F6"/>
    <w:rsid w:val="00C376A6"/>
    <w:rsid w:val="00C40134"/>
    <w:rsid w:val="00C408F9"/>
    <w:rsid w:val="00C40A7F"/>
    <w:rsid w:val="00C41F2E"/>
    <w:rsid w:val="00C42384"/>
    <w:rsid w:val="00C4325C"/>
    <w:rsid w:val="00C442FA"/>
    <w:rsid w:val="00C44AFD"/>
    <w:rsid w:val="00C44DD9"/>
    <w:rsid w:val="00C44DF8"/>
    <w:rsid w:val="00C452BF"/>
    <w:rsid w:val="00C455EA"/>
    <w:rsid w:val="00C4595B"/>
    <w:rsid w:val="00C475B7"/>
    <w:rsid w:val="00C47B08"/>
    <w:rsid w:val="00C47EE0"/>
    <w:rsid w:val="00C50D44"/>
    <w:rsid w:val="00C51E35"/>
    <w:rsid w:val="00C55299"/>
    <w:rsid w:val="00C55E12"/>
    <w:rsid w:val="00C55FF3"/>
    <w:rsid w:val="00C560F2"/>
    <w:rsid w:val="00C57627"/>
    <w:rsid w:val="00C57B75"/>
    <w:rsid w:val="00C57D4A"/>
    <w:rsid w:val="00C6059B"/>
    <w:rsid w:val="00C60CA6"/>
    <w:rsid w:val="00C61B94"/>
    <w:rsid w:val="00C62B6F"/>
    <w:rsid w:val="00C62ED6"/>
    <w:rsid w:val="00C631E6"/>
    <w:rsid w:val="00C63304"/>
    <w:rsid w:val="00C64617"/>
    <w:rsid w:val="00C65FCF"/>
    <w:rsid w:val="00C671AD"/>
    <w:rsid w:val="00C671FC"/>
    <w:rsid w:val="00C676A6"/>
    <w:rsid w:val="00C67757"/>
    <w:rsid w:val="00C702A7"/>
    <w:rsid w:val="00C703E1"/>
    <w:rsid w:val="00C70A90"/>
    <w:rsid w:val="00C71E49"/>
    <w:rsid w:val="00C720E5"/>
    <w:rsid w:val="00C72CF5"/>
    <w:rsid w:val="00C72D2C"/>
    <w:rsid w:val="00C73A68"/>
    <w:rsid w:val="00C73BBD"/>
    <w:rsid w:val="00C748FC"/>
    <w:rsid w:val="00C75040"/>
    <w:rsid w:val="00C75B1F"/>
    <w:rsid w:val="00C75B91"/>
    <w:rsid w:val="00C75FDB"/>
    <w:rsid w:val="00C763B1"/>
    <w:rsid w:val="00C7786B"/>
    <w:rsid w:val="00C802A7"/>
    <w:rsid w:val="00C80371"/>
    <w:rsid w:val="00C804D4"/>
    <w:rsid w:val="00C80E97"/>
    <w:rsid w:val="00C812CD"/>
    <w:rsid w:val="00C813AA"/>
    <w:rsid w:val="00C81586"/>
    <w:rsid w:val="00C81A9A"/>
    <w:rsid w:val="00C8267A"/>
    <w:rsid w:val="00C83000"/>
    <w:rsid w:val="00C83511"/>
    <w:rsid w:val="00C8415B"/>
    <w:rsid w:val="00C848D7"/>
    <w:rsid w:val="00C84B35"/>
    <w:rsid w:val="00C86595"/>
    <w:rsid w:val="00C8767B"/>
    <w:rsid w:val="00C90750"/>
    <w:rsid w:val="00C9195A"/>
    <w:rsid w:val="00C920A4"/>
    <w:rsid w:val="00C93C64"/>
    <w:rsid w:val="00C94F78"/>
    <w:rsid w:val="00C9505A"/>
    <w:rsid w:val="00C95C36"/>
    <w:rsid w:val="00C95E39"/>
    <w:rsid w:val="00C962C5"/>
    <w:rsid w:val="00C96CCC"/>
    <w:rsid w:val="00C96CF9"/>
    <w:rsid w:val="00C97512"/>
    <w:rsid w:val="00CA0584"/>
    <w:rsid w:val="00CA0769"/>
    <w:rsid w:val="00CA0C45"/>
    <w:rsid w:val="00CA1023"/>
    <w:rsid w:val="00CA123E"/>
    <w:rsid w:val="00CA1B01"/>
    <w:rsid w:val="00CA1BD2"/>
    <w:rsid w:val="00CA2104"/>
    <w:rsid w:val="00CA37A2"/>
    <w:rsid w:val="00CA3E9A"/>
    <w:rsid w:val="00CA41A4"/>
    <w:rsid w:val="00CA472B"/>
    <w:rsid w:val="00CA4793"/>
    <w:rsid w:val="00CA4E51"/>
    <w:rsid w:val="00CA4F61"/>
    <w:rsid w:val="00CA6399"/>
    <w:rsid w:val="00CA677B"/>
    <w:rsid w:val="00CA73CD"/>
    <w:rsid w:val="00CA7DCE"/>
    <w:rsid w:val="00CB0672"/>
    <w:rsid w:val="00CB0F0E"/>
    <w:rsid w:val="00CB1234"/>
    <w:rsid w:val="00CB1370"/>
    <w:rsid w:val="00CB20C2"/>
    <w:rsid w:val="00CB248B"/>
    <w:rsid w:val="00CB25B4"/>
    <w:rsid w:val="00CB28C9"/>
    <w:rsid w:val="00CB2E16"/>
    <w:rsid w:val="00CB3ADA"/>
    <w:rsid w:val="00CB3B38"/>
    <w:rsid w:val="00CB4AD5"/>
    <w:rsid w:val="00CB4DDE"/>
    <w:rsid w:val="00CB4E37"/>
    <w:rsid w:val="00CB4ED2"/>
    <w:rsid w:val="00CB5BFE"/>
    <w:rsid w:val="00CC02E8"/>
    <w:rsid w:val="00CC11EC"/>
    <w:rsid w:val="00CC14AC"/>
    <w:rsid w:val="00CC15AC"/>
    <w:rsid w:val="00CC17D2"/>
    <w:rsid w:val="00CC1F66"/>
    <w:rsid w:val="00CC28AF"/>
    <w:rsid w:val="00CC28F1"/>
    <w:rsid w:val="00CC2C16"/>
    <w:rsid w:val="00CC3636"/>
    <w:rsid w:val="00CC3AC4"/>
    <w:rsid w:val="00CC48A3"/>
    <w:rsid w:val="00CC4995"/>
    <w:rsid w:val="00CC4F6C"/>
    <w:rsid w:val="00CC52E0"/>
    <w:rsid w:val="00CC58BC"/>
    <w:rsid w:val="00CC58CB"/>
    <w:rsid w:val="00CC6064"/>
    <w:rsid w:val="00CC6C75"/>
    <w:rsid w:val="00CC70D0"/>
    <w:rsid w:val="00CC7C5C"/>
    <w:rsid w:val="00CC7CD6"/>
    <w:rsid w:val="00CD03B2"/>
    <w:rsid w:val="00CD06FE"/>
    <w:rsid w:val="00CD117B"/>
    <w:rsid w:val="00CD1AE8"/>
    <w:rsid w:val="00CD1B54"/>
    <w:rsid w:val="00CD1F8B"/>
    <w:rsid w:val="00CD2D18"/>
    <w:rsid w:val="00CD32EB"/>
    <w:rsid w:val="00CD380B"/>
    <w:rsid w:val="00CD3FCC"/>
    <w:rsid w:val="00CD49BD"/>
    <w:rsid w:val="00CD5FBC"/>
    <w:rsid w:val="00CD6152"/>
    <w:rsid w:val="00CD680D"/>
    <w:rsid w:val="00CD6CF3"/>
    <w:rsid w:val="00CD7091"/>
    <w:rsid w:val="00CD716C"/>
    <w:rsid w:val="00CD7F16"/>
    <w:rsid w:val="00CE05D4"/>
    <w:rsid w:val="00CE0E6F"/>
    <w:rsid w:val="00CE0F5E"/>
    <w:rsid w:val="00CE1B70"/>
    <w:rsid w:val="00CE3349"/>
    <w:rsid w:val="00CE3480"/>
    <w:rsid w:val="00CE3D3B"/>
    <w:rsid w:val="00CE48F7"/>
    <w:rsid w:val="00CE5251"/>
    <w:rsid w:val="00CE5310"/>
    <w:rsid w:val="00CE6033"/>
    <w:rsid w:val="00CE67F6"/>
    <w:rsid w:val="00CE7C4E"/>
    <w:rsid w:val="00CF0381"/>
    <w:rsid w:val="00CF060B"/>
    <w:rsid w:val="00CF2B52"/>
    <w:rsid w:val="00CF2BCB"/>
    <w:rsid w:val="00CF2ECD"/>
    <w:rsid w:val="00CF33C6"/>
    <w:rsid w:val="00CF3596"/>
    <w:rsid w:val="00CF4256"/>
    <w:rsid w:val="00CF47A4"/>
    <w:rsid w:val="00CF4AC8"/>
    <w:rsid w:val="00CF525C"/>
    <w:rsid w:val="00CF5C74"/>
    <w:rsid w:val="00CF636A"/>
    <w:rsid w:val="00CF67F2"/>
    <w:rsid w:val="00CF7499"/>
    <w:rsid w:val="00CF7951"/>
    <w:rsid w:val="00D00AE6"/>
    <w:rsid w:val="00D01409"/>
    <w:rsid w:val="00D0182D"/>
    <w:rsid w:val="00D01AC7"/>
    <w:rsid w:val="00D03A09"/>
    <w:rsid w:val="00D03C4D"/>
    <w:rsid w:val="00D0465C"/>
    <w:rsid w:val="00D05D60"/>
    <w:rsid w:val="00D067E7"/>
    <w:rsid w:val="00D07055"/>
    <w:rsid w:val="00D072D4"/>
    <w:rsid w:val="00D076F6"/>
    <w:rsid w:val="00D1089D"/>
    <w:rsid w:val="00D108E0"/>
    <w:rsid w:val="00D10E31"/>
    <w:rsid w:val="00D1118D"/>
    <w:rsid w:val="00D11594"/>
    <w:rsid w:val="00D11A06"/>
    <w:rsid w:val="00D11F62"/>
    <w:rsid w:val="00D13157"/>
    <w:rsid w:val="00D14022"/>
    <w:rsid w:val="00D1428E"/>
    <w:rsid w:val="00D148C6"/>
    <w:rsid w:val="00D14911"/>
    <w:rsid w:val="00D14F0F"/>
    <w:rsid w:val="00D159A5"/>
    <w:rsid w:val="00D15CBC"/>
    <w:rsid w:val="00D16AE0"/>
    <w:rsid w:val="00D16CBC"/>
    <w:rsid w:val="00D16DD2"/>
    <w:rsid w:val="00D16F2A"/>
    <w:rsid w:val="00D17406"/>
    <w:rsid w:val="00D17CEA"/>
    <w:rsid w:val="00D17EA4"/>
    <w:rsid w:val="00D2000A"/>
    <w:rsid w:val="00D21FC1"/>
    <w:rsid w:val="00D23424"/>
    <w:rsid w:val="00D25B5E"/>
    <w:rsid w:val="00D26031"/>
    <w:rsid w:val="00D261BD"/>
    <w:rsid w:val="00D269F6"/>
    <w:rsid w:val="00D26B4F"/>
    <w:rsid w:val="00D273F8"/>
    <w:rsid w:val="00D30963"/>
    <w:rsid w:val="00D3115E"/>
    <w:rsid w:val="00D31214"/>
    <w:rsid w:val="00D31367"/>
    <w:rsid w:val="00D31FE9"/>
    <w:rsid w:val="00D32939"/>
    <w:rsid w:val="00D329D7"/>
    <w:rsid w:val="00D3331B"/>
    <w:rsid w:val="00D34170"/>
    <w:rsid w:val="00D34EC6"/>
    <w:rsid w:val="00D3503C"/>
    <w:rsid w:val="00D350A4"/>
    <w:rsid w:val="00D35D92"/>
    <w:rsid w:val="00D37315"/>
    <w:rsid w:val="00D40CEF"/>
    <w:rsid w:val="00D4156C"/>
    <w:rsid w:val="00D416AA"/>
    <w:rsid w:val="00D43784"/>
    <w:rsid w:val="00D43E67"/>
    <w:rsid w:val="00D447B9"/>
    <w:rsid w:val="00D4501C"/>
    <w:rsid w:val="00D45FD4"/>
    <w:rsid w:val="00D4605A"/>
    <w:rsid w:val="00D50F9B"/>
    <w:rsid w:val="00D52462"/>
    <w:rsid w:val="00D5361C"/>
    <w:rsid w:val="00D53F80"/>
    <w:rsid w:val="00D548C8"/>
    <w:rsid w:val="00D54C95"/>
    <w:rsid w:val="00D55273"/>
    <w:rsid w:val="00D5570C"/>
    <w:rsid w:val="00D55733"/>
    <w:rsid w:val="00D56414"/>
    <w:rsid w:val="00D5709D"/>
    <w:rsid w:val="00D57B41"/>
    <w:rsid w:val="00D57E2E"/>
    <w:rsid w:val="00D6007E"/>
    <w:rsid w:val="00D60585"/>
    <w:rsid w:val="00D60CA4"/>
    <w:rsid w:val="00D615A5"/>
    <w:rsid w:val="00D6173D"/>
    <w:rsid w:val="00D61AE2"/>
    <w:rsid w:val="00D61D14"/>
    <w:rsid w:val="00D62446"/>
    <w:rsid w:val="00D62780"/>
    <w:rsid w:val="00D62BEB"/>
    <w:rsid w:val="00D62C7D"/>
    <w:rsid w:val="00D638D3"/>
    <w:rsid w:val="00D64330"/>
    <w:rsid w:val="00D6546E"/>
    <w:rsid w:val="00D65FE9"/>
    <w:rsid w:val="00D66111"/>
    <w:rsid w:val="00D66A31"/>
    <w:rsid w:val="00D66F53"/>
    <w:rsid w:val="00D67134"/>
    <w:rsid w:val="00D67638"/>
    <w:rsid w:val="00D67CD8"/>
    <w:rsid w:val="00D71226"/>
    <w:rsid w:val="00D7142F"/>
    <w:rsid w:val="00D71E16"/>
    <w:rsid w:val="00D722D8"/>
    <w:rsid w:val="00D726EE"/>
    <w:rsid w:val="00D72C69"/>
    <w:rsid w:val="00D72DAE"/>
    <w:rsid w:val="00D745F3"/>
    <w:rsid w:val="00D75877"/>
    <w:rsid w:val="00D75AD1"/>
    <w:rsid w:val="00D75F14"/>
    <w:rsid w:val="00D761E4"/>
    <w:rsid w:val="00D76D6B"/>
    <w:rsid w:val="00D77797"/>
    <w:rsid w:val="00D822ED"/>
    <w:rsid w:val="00D85904"/>
    <w:rsid w:val="00D8688B"/>
    <w:rsid w:val="00D9012A"/>
    <w:rsid w:val="00D90522"/>
    <w:rsid w:val="00D90F58"/>
    <w:rsid w:val="00D915E6"/>
    <w:rsid w:val="00D9191D"/>
    <w:rsid w:val="00D9198D"/>
    <w:rsid w:val="00D91CC1"/>
    <w:rsid w:val="00D91D9B"/>
    <w:rsid w:val="00D91F09"/>
    <w:rsid w:val="00D928F7"/>
    <w:rsid w:val="00D929EC"/>
    <w:rsid w:val="00D92D45"/>
    <w:rsid w:val="00D93543"/>
    <w:rsid w:val="00D94650"/>
    <w:rsid w:val="00D959C3"/>
    <w:rsid w:val="00D971F3"/>
    <w:rsid w:val="00D97AFD"/>
    <w:rsid w:val="00D97DA5"/>
    <w:rsid w:val="00D97F0E"/>
    <w:rsid w:val="00DA1FA7"/>
    <w:rsid w:val="00DA2F18"/>
    <w:rsid w:val="00DA2FDF"/>
    <w:rsid w:val="00DA3224"/>
    <w:rsid w:val="00DA34FF"/>
    <w:rsid w:val="00DA3F52"/>
    <w:rsid w:val="00DA427B"/>
    <w:rsid w:val="00DA439C"/>
    <w:rsid w:val="00DA4D0D"/>
    <w:rsid w:val="00DA5B42"/>
    <w:rsid w:val="00DA75FE"/>
    <w:rsid w:val="00DB00E6"/>
    <w:rsid w:val="00DB01B8"/>
    <w:rsid w:val="00DB0916"/>
    <w:rsid w:val="00DB183E"/>
    <w:rsid w:val="00DB184E"/>
    <w:rsid w:val="00DB27A8"/>
    <w:rsid w:val="00DB29E7"/>
    <w:rsid w:val="00DB2AB6"/>
    <w:rsid w:val="00DB3A3E"/>
    <w:rsid w:val="00DB4775"/>
    <w:rsid w:val="00DB4E11"/>
    <w:rsid w:val="00DB5248"/>
    <w:rsid w:val="00DB7442"/>
    <w:rsid w:val="00DB767F"/>
    <w:rsid w:val="00DB7DD8"/>
    <w:rsid w:val="00DB7EB4"/>
    <w:rsid w:val="00DB7F12"/>
    <w:rsid w:val="00DC05A4"/>
    <w:rsid w:val="00DC13BE"/>
    <w:rsid w:val="00DC1C5C"/>
    <w:rsid w:val="00DC1D05"/>
    <w:rsid w:val="00DC2C0D"/>
    <w:rsid w:val="00DC37B9"/>
    <w:rsid w:val="00DC3F29"/>
    <w:rsid w:val="00DC4440"/>
    <w:rsid w:val="00DC46C7"/>
    <w:rsid w:val="00DC4FD5"/>
    <w:rsid w:val="00DC77AC"/>
    <w:rsid w:val="00DC7F9D"/>
    <w:rsid w:val="00DD027D"/>
    <w:rsid w:val="00DD1678"/>
    <w:rsid w:val="00DD1F50"/>
    <w:rsid w:val="00DD2447"/>
    <w:rsid w:val="00DD25AC"/>
    <w:rsid w:val="00DD29BA"/>
    <w:rsid w:val="00DD30B8"/>
    <w:rsid w:val="00DD36AC"/>
    <w:rsid w:val="00DD49E2"/>
    <w:rsid w:val="00DD4BE8"/>
    <w:rsid w:val="00DD6620"/>
    <w:rsid w:val="00DD67CF"/>
    <w:rsid w:val="00DD6E29"/>
    <w:rsid w:val="00DD7174"/>
    <w:rsid w:val="00DD7537"/>
    <w:rsid w:val="00DD754D"/>
    <w:rsid w:val="00DD7B7F"/>
    <w:rsid w:val="00DD7F4E"/>
    <w:rsid w:val="00DE046D"/>
    <w:rsid w:val="00DE0912"/>
    <w:rsid w:val="00DE14B3"/>
    <w:rsid w:val="00DE48F3"/>
    <w:rsid w:val="00DE4D46"/>
    <w:rsid w:val="00DE5897"/>
    <w:rsid w:val="00DE5DF0"/>
    <w:rsid w:val="00DE6063"/>
    <w:rsid w:val="00DE68FC"/>
    <w:rsid w:val="00DE69E3"/>
    <w:rsid w:val="00DE7AE1"/>
    <w:rsid w:val="00DF017E"/>
    <w:rsid w:val="00DF043B"/>
    <w:rsid w:val="00DF1B2D"/>
    <w:rsid w:val="00DF2139"/>
    <w:rsid w:val="00DF283C"/>
    <w:rsid w:val="00DF2A8D"/>
    <w:rsid w:val="00DF332A"/>
    <w:rsid w:val="00DF373C"/>
    <w:rsid w:val="00DF409D"/>
    <w:rsid w:val="00DF4651"/>
    <w:rsid w:val="00DF510B"/>
    <w:rsid w:val="00DF511D"/>
    <w:rsid w:val="00DF5A2B"/>
    <w:rsid w:val="00DF5EC6"/>
    <w:rsid w:val="00DF604C"/>
    <w:rsid w:val="00DF6735"/>
    <w:rsid w:val="00DF6C0F"/>
    <w:rsid w:val="00DF7097"/>
    <w:rsid w:val="00DF7A38"/>
    <w:rsid w:val="00DF7FB2"/>
    <w:rsid w:val="00E0004D"/>
    <w:rsid w:val="00E01966"/>
    <w:rsid w:val="00E0261D"/>
    <w:rsid w:val="00E03450"/>
    <w:rsid w:val="00E038A0"/>
    <w:rsid w:val="00E03D1A"/>
    <w:rsid w:val="00E03E3D"/>
    <w:rsid w:val="00E03F3F"/>
    <w:rsid w:val="00E0416A"/>
    <w:rsid w:val="00E04F91"/>
    <w:rsid w:val="00E06011"/>
    <w:rsid w:val="00E066AB"/>
    <w:rsid w:val="00E069D8"/>
    <w:rsid w:val="00E1023E"/>
    <w:rsid w:val="00E10570"/>
    <w:rsid w:val="00E11192"/>
    <w:rsid w:val="00E11A36"/>
    <w:rsid w:val="00E11C21"/>
    <w:rsid w:val="00E1231D"/>
    <w:rsid w:val="00E1235C"/>
    <w:rsid w:val="00E130FB"/>
    <w:rsid w:val="00E14047"/>
    <w:rsid w:val="00E14378"/>
    <w:rsid w:val="00E143F2"/>
    <w:rsid w:val="00E14632"/>
    <w:rsid w:val="00E150C1"/>
    <w:rsid w:val="00E1570F"/>
    <w:rsid w:val="00E16230"/>
    <w:rsid w:val="00E2028B"/>
    <w:rsid w:val="00E2077E"/>
    <w:rsid w:val="00E208A9"/>
    <w:rsid w:val="00E2132F"/>
    <w:rsid w:val="00E213F0"/>
    <w:rsid w:val="00E21703"/>
    <w:rsid w:val="00E2227C"/>
    <w:rsid w:val="00E22624"/>
    <w:rsid w:val="00E22783"/>
    <w:rsid w:val="00E22D0E"/>
    <w:rsid w:val="00E236AD"/>
    <w:rsid w:val="00E23C71"/>
    <w:rsid w:val="00E25038"/>
    <w:rsid w:val="00E25BC0"/>
    <w:rsid w:val="00E26278"/>
    <w:rsid w:val="00E26955"/>
    <w:rsid w:val="00E276F6"/>
    <w:rsid w:val="00E303AF"/>
    <w:rsid w:val="00E30FA1"/>
    <w:rsid w:val="00E314ED"/>
    <w:rsid w:val="00E32257"/>
    <w:rsid w:val="00E32308"/>
    <w:rsid w:val="00E32F70"/>
    <w:rsid w:val="00E33811"/>
    <w:rsid w:val="00E343F1"/>
    <w:rsid w:val="00E34E59"/>
    <w:rsid w:val="00E35119"/>
    <w:rsid w:val="00E351F8"/>
    <w:rsid w:val="00E353B7"/>
    <w:rsid w:val="00E36849"/>
    <w:rsid w:val="00E37455"/>
    <w:rsid w:val="00E378F9"/>
    <w:rsid w:val="00E409A2"/>
    <w:rsid w:val="00E40AAB"/>
    <w:rsid w:val="00E41A02"/>
    <w:rsid w:val="00E41F89"/>
    <w:rsid w:val="00E421CD"/>
    <w:rsid w:val="00E43411"/>
    <w:rsid w:val="00E43629"/>
    <w:rsid w:val="00E43C05"/>
    <w:rsid w:val="00E4430E"/>
    <w:rsid w:val="00E44A33"/>
    <w:rsid w:val="00E4591A"/>
    <w:rsid w:val="00E45947"/>
    <w:rsid w:val="00E45C12"/>
    <w:rsid w:val="00E45C38"/>
    <w:rsid w:val="00E469C7"/>
    <w:rsid w:val="00E46C31"/>
    <w:rsid w:val="00E47169"/>
    <w:rsid w:val="00E47645"/>
    <w:rsid w:val="00E47FDE"/>
    <w:rsid w:val="00E50022"/>
    <w:rsid w:val="00E50202"/>
    <w:rsid w:val="00E50784"/>
    <w:rsid w:val="00E509AD"/>
    <w:rsid w:val="00E50C12"/>
    <w:rsid w:val="00E51171"/>
    <w:rsid w:val="00E52219"/>
    <w:rsid w:val="00E524C3"/>
    <w:rsid w:val="00E527DF"/>
    <w:rsid w:val="00E52905"/>
    <w:rsid w:val="00E52CDC"/>
    <w:rsid w:val="00E52E05"/>
    <w:rsid w:val="00E52E1E"/>
    <w:rsid w:val="00E52F74"/>
    <w:rsid w:val="00E53991"/>
    <w:rsid w:val="00E53A05"/>
    <w:rsid w:val="00E541DD"/>
    <w:rsid w:val="00E55035"/>
    <w:rsid w:val="00E551E1"/>
    <w:rsid w:val="00E552A4"/>
    <w:rsid w:val="00E56600"/>
    <w:rsid w:val="00E567FB"/>
    <w:rsid w:val="00E568EC"/>
    <w:rsid w:val="00E56B83"/>
    <w:rsid w:val="00E57D61"/>
    <w:rsid w:val="00E6003D"/>
    <w:rsid w:val="00E6066A"/>
    <w:rsid w:val="00E613BB"/>
    <w:rsid w:val="00E622BD"/>
    <w:rsid w:val="00E62355"/>
    <w:rsid w:val="00E62439"/>
    <w:rsid w:val="00E62E0B"/>
    <w:rsid w:val="00E62F19"/>
    <w:rsid w:val="00E6307F"/>
    <w:rsid w:val="00E64F01"/>
    <w:rsid w:val="00E650B2"/>
    <w:rsid w:val="00E6514C"/>
    <w:rsid w:val="00E65240"/>
    <w:rsid w:val="00E6524C"/>
    <w:rsid w:val="00E65511"/>
    <w:rsid w:val="00E65CD6"/>
    <w:rsid w:val="00E65D17"/>
    <w:rsid w:val="00E65D66"/>
    <w:rsid w:val="00E67339"/>
    <w:rsid w:val="00E675BC"/>
    <w:rsid w:val="00E702F9"/>
    <w:rsid w:val="00E70A94"/>
    <w:rsid w:val="00E71A66"/>
    <w:rsid w:val="00E71A73"/>
    <w:rsid w:val="00E71C47"/>
    <w:rsid w:val="00E730AB"/>
    <w:rsid w:val="00E7382C"/>
    <w:rsid w:val="00E73ECD"/>
    <w:rsid w:val="00E741A6"/>
    <w:rsid w:val="00E74DB3"/>
    <w:rsid w:val="00E75218"/>
    <w:rsid w:val="00E77E22"/>
    <w:rsid w:val="00E80BF8"/>
    <w:rsid w:val="00E813F0"/>
    <w:rsid w:val="00E814A6"/>
    <w:rsid w:val="00E84688"/>
    <w:rsid w:val="00E84958"/>
    <w:rsid w:val="00E85296"/>
    <w:rsid w:val="00E8556F"/>
    <w:rsid w:val="00E85D80"/>
    <w:rsid w:val="00E878C9"/>
    <w:rsid w:val="00E8791E"/>
    <w:rsid w:val="00E9000F"/>
    <w:rsid w:val="00E900CB"/>
    <w:rsid w:val="00E9090D"/>
    <w:rsid w:val="00E91F88"/>
    <w:rsid w:val="00E921F9"/>
    <w:rsid w:val="00E92602"/>
    <w:rsid w:val="00E928B4"/>
    <w:rsid w:val="00E9296F"/>
    <w:rsid w:val="00E92E2C"/>
    <w:rsid w:val="00E9342D"/>
    <w:rsid w:val="00E935A4"/>
    <w:rsid w:val="00E9591C"/>
    <w:rsid w:val="00E970DC"/>
    <w:rsid w:val="00EA00B3"/>
    <w:rsid w:val="00EA0555"/>
    <w:rsid w:val="00EA0BBA"/>
    <w:rsid w:val="00EA3827"/>
    <w:rsid w:val="00EA3C21"/>
    <w:rsid w:val="00EA47AA"/>
    <w:rsid w:val="00EA4AE9"/>
    <w:rsid w:val="00EA5152"/>
    <w:rsid w:val="00EA57CA"/>
    <w:rsid w:val="00EA5913"/>
    <w:rsid w:val="00EA5928"/>
    <w:rsid w:val="00EA5A2F"/>
    <w:rsid w:val="00EA6A59"/>
    <w:rsid w:val="00EA7350"/>
    <w:rsid w:val="00EA75A0"/>
    <w:rsid w:val="00EA77AF"/>
    <w:rsid w:val="00EA7BD1"/>
    <w:rsid w:val="00EB00C9"/>
    <w:rsid w:val="00EB03AA"/>
    <w:rsid w:val="00EB11B8"/>
    <w:rsid w:val="00EB2837"/>
    <w:rsid w:val="00EB30C0"/>
    <w:rsid w:val="00EB3661"/>
    <w:rsid w:val="00EB407F"/>
    <w:rsid w:val="00EB424A"/>
    <w:rsid w:val="00EB4509"/>
    <w:rsid w:val="00EB4557"/>
    <w:rsid w:val="00EB4AED"/>
    <w:rsid w:val="00EB5229"/>
    <w:rsid w:val="00EB5D04"/>
    <w:rsid w:val="00EB5D84"/>
    <w:rsid w:val="00EB5DD9"/>
    <w:rsid w:val="00EB6226"/>
    <w:rsid w:val="00EB6278"/>
    <w:rsid w:val="00EB660F"/>
    <w:rsid w:val="00EB662A"/>
    <w:rsid w:val="00EB670D"/>
    <w:rsid w:val="00EB6DEA"/>
    <w:rsid w:val="00EB7BFD"/>
    <w:rsid w:val="00EC04CE"/>
    <w:rsid w:val="00EC057E"/>
    <w:rsid w:val="00EC0E79"/>
    <w:rsid w:val="00EC12D6"/>
    <w:rsid w:val="00EC236D"/>
    <w:rsid w:val="00EC2545"/>
    <w:rsid w:val="00EC3828"/>
    <w:rsid w:val="00EC41C7"/>
    <w:rsid w:val="00EC4ADD"/>
    <w:rsid w:val="00EC5AF7"/>
    <w:rsid w:val="00EC5E8D"/>
    <w:rsid w:val="00EC5F1E"/>
    <w:rsid w:val="00ED0D0C"/>
    <w:rsid w:val="00ED10D5"/>
    <w:rsid w:val="00ED1426"/>
    <w:rsid w:val="00ED15F1"/>
    <w:rsid w:val="00ED2058"/>
    <w:rsid w:val="00ED33A4"/>
    <w:rsid w:val="00ED34AD"/>
    <w:rsid w:val="00ED38EF"/>
    <w:rsid w:val="00ED38FC"/>
    <w:rsid w:val="00ED3BC3"/>
    <w:rsid w:val="00ED41DE"/>
    <w:rsid w:val="00ED4316"/>
    <w:rsid w:val="00ED4A6D"/>
    <w:rsid w:val="00ED5A12"/>
    <w:rsid w:val="00ED5BB6"/>
    <w:rsid w:val="00ED5E97"/>
    <w:rsid w:val="00ED6408"/>
    <w:rsid w:val="00ED6823"/>
    <w:rsid w:val="00ED68A2"/>
    <w:rsid w:val="00EE046F"/>
    <w:rsid w:val="00EE0916"/>
    <w:rsid w:val="00EE0BF5"/>
    <w:rsid w:val="00EE16C6"/>
    <w:rsid w:val="00EE1A1E"/>
    <w:rsid w:val="00EE2490"/>
    <w:rsid w:val="00EE254A"/>
    <w:rsid w:val="00EE2EC1"/>
    <w:rsid w:val="00EE56FF"/>
    <w:rsid w:val="00EE5A12"/>
    <w:rsid w:val="00EE5B11"/>
    <w:rsid w:val="00EE66CF"/>
    <w:rsid w:val="00EE681F"/>
    <w:rsid w:val="00EE6AA8"/>
    <w:rsid w:val="00EE6D76"/>
    <w:rsid w:val="00EF05B9"/>
    <w:rsid w:val="00EF08DE"/>
    <w:rsid w:val="00EF0D5B"/>
    <w:rsid w:val="00EF137B"/>
    <w:rsid w:val="00EF1775"/>
    <w:rsid w:val="00EF267C"/>
    <w:rsid w:val="00EF2810"/>
    <w:rsid w:val="00EF2C27"/>
    <w:rsid w:val="00EF31F7"/>
    <w:rsid w:val="00EF5C64"/>
    <w:rsid w:val="00EF70D9"/>
    <w:rsid w:val="00EF755F"/>
    <w:rsid w:val="00EF77CC"/>
    <w:rsid w:val="00EF7B00"/>
    <w:rsid w:val="00F00DB5"/>
    <w:rsid w:val="00F00F92"/>
    <w:rsid w:val="00F02109"/>
    <w:rsid w:val="00F0308E"/>
    <w:rsid w:val="00F03D32"/>
    <w:rsid w:val="00F03DED"/>
    <w:rsid w:val="00F04A0A"/>
    <w:rsid w:val="00F05063"/>
    <w:rsid w:val="00F055D7"/>
    <w:rsid w:val="00F05CFF"/>
    <w:rsid w:val="00F05F0D"/>
    <w:rsid w:val="00F0675E"/>
    <w:rsid w:val="00F071A2"/>
    <w:rsid w:val="00F07F9E"/>
    <w:rsid w:val="00F1085B"/>
    <w:rsid w:val="00F12926"/>
    <w:rsid w:val="00F13364"/>
    <w:rsid w:val="00F13423"/>
    <w:rsid w:val="00F1343F"/>
    <w:rsid w:val="00F1346F"/>
    <w:rsid w:val="00F1384B"/>
    <w:rsid w:val="00F13D41"/>
    <w:rsid w:val="00F144ED"/>
    <w:rsid w:val="00F15501"/>
    <w:rsid w:val="00F15EFB"/>
    <w:rsid w:val="00F163EB"/>
    <w:rsid w:val="00F16A4A"/>
    <w:rsid w:val="00F17E35"/>
    <w:rsid w:val="00F2037B"/>
    <w:rsid w:val="00F20CA5"/>
    <w:rsid w:val="00F20DF0"/>
    <w:rsid w:val="00F21AE3"/>
    <w:rsid w:val="00F22411"/>
    <w:rsid w:val="00F22499"/>
    <w:rsid w:val="00F22735"/>
    <w:rsid w:val="00F22A14"/>
    <w:rsid w:val="00F22D44"/>
    <w:rsid w:val="00F233C2"/>
    <w:rsid w:val="00F23D09"/>
    <w:rsid w:val="00F23E7A"/>
    <w:rsid w:val="00F24177"/>
    <w:rsid w:val="00F2428D"/>
    <w:rsid w:val="00F24CDC"/>
    <w:rsid w:val="00F25650"/>
    <w:rsid w:val="00F25DAE"/>
    <w:rsid w:val="00F262E5"/>
    <w:rsid w:val="00F265EA"/>
    <w:rsid w:val="00F26687"/>
    <w:rsid w:val="00F27718"/>
    <w:rsid w:val="00F315C6"/>
    <w:rsid w:val="00F31801"/>
    <w:rsid w:val="00F32A76"/>
    <w:rsid w:val="00F33006"/>
    <w:rsid w:val="00F3316E"/>
    <w:rsid w:val="00F3390E"/>
    <w:rsid w:val="00F33EA4"/>
    <w:rsid w:val="00F3529C"/>
    <w:rsid w:val="00F35B50"/>
    <w:rsid w:val="00F35D14"/>
    <w:rsid w:val="00F37233"/>
    <w:rsid w:val="00F375E8"/>
    <w:rsid w:val="00F378B7"/>
    <w:rsid w:val="00F40074"/>
    <w:rsid w:val="00F41B91"/>
    <w:rsid w:val="00F43041"/>
    <w:rsid w:val="00F430E8"/>
    <w:rsid w:val="00F43B0A"/>
    <w:rsid w:val="00F43D12"/>
    <w:rsid w:val="00F44671"/>
    <w:rsid w:val="00F44FA4"/>
    <w:rsid w:val="00F457C6"/>
    <w:rsid w:val="00F45BD7"/>
    <w:rsid w:val="00F466F5"/>
    <w:rsid w:val="00F47108"/>
    <w:rsid w:val="00F47932"/>
    <w:rsid w:val="00F47AF2"/>
    <w:rsid w:val="00F47B48"/>
    <w:rsid w:val="00F47F0C"/>
    <w:rsid w:val="00F50749"/>
    <w:rsid w:val="00F50B71"/>
    <w:rsid w:val="00F51223"/>
    <w:rsid w:val="00F51405"/>
    <w:rsid w:val="00F5157F"/>
    <w:rsid w:val="00F519A1"/>
    <w:rsid w:val="00F529BB"/>
    <w:rsid w:val="00F53454"/>
    <w:rsid w:val="00F53EA6"/>
    <w:rsid w:val="00F5478C"/>
    <w:rsid w:val="00F54855"/>
    <w:rsid w:val="00F548D0"/>
    <w:rsid w:val="00F54B5C"/>
    <w:rsid w:val="00F55289"/>
    <w:rsid w:val="00F556C4"/>
    <w:rsid w:val="00F55AF5"/>
    <w:rsid w:val="00F56165"/>
    <w:rsid w:val="00F56632"/>
    <w:rsid w:val="00F575C6"/>
    <w:rsid w:val="00F57CF6"/>
    <w:rsid w:val="00F57ECE"/>
    <w:rsid w:val="00F57F7F"/>
    <w:rsid w:val="00F609D4"/>
    <w:rsid w:val="00F60D41"/>
    <w:rsid w:val="00F6222A"/>
    <w:rsid w:val="00F627B2"/>
    <w:rsid w:val="00F62908"/>
    <w:rsid w:val="00F62ECE"/>
    <w:rsid w:val="00F6547E"/>
    <w:rsid w:val="00F6586D"/>
    <w:rsid w:val="00F6600E"/>
    <w:rsid w:val="00F66034"/>
    <w:rsid w:val="00F66514"/>
    <w:rsid w:val="00F66809"/>
    <w:rsid w:val="00F6779E"/>
    <w:rsid w:val="00F70043"/>
    <w:rsid w:val="00F70683"/>
    <w:rsid w:val="00F70AF0"/>
    <w:rsid w:val="00F7157C"/>
    <w:rsid w:val="00F72613"/>
    <w:rsid w:val="00F74497"/>
    <w:rsid w:val="00F7500B"/>
    <w:rsid w:val="00F752C5"/>
    <w:rsid w:val="00F752FF"/>
    <w:rsid w:val="00F757E9"/>
    <w:rsid w:val="00F75E91"/>
    <w:rsid w:val="00F76427"/>
    <w:rsid w:val="00F77861"/>
    <w:rsid w:val="00F77E4C"/>
    <w:rsid w:val="00F80DAA"/>
    <w:rsid w:val="00F8311D"/>
    <w:rsid w:val="00F83758"/>
    <w:rsid w:val="00F83AC0"/>
    <w:rsid w:val="00F85A50"/>
    <w:rsid w:val="00F865FB"/>
    <w:rsid w:val="00F867C3"/>
    <w:rsid w:val="00F86A44"/>
    <w:rsid w:val="00F86AA0"/>
    <w:rsid w:val="00F86DE5"/>
    <w:rsid w:val="00F900D2"/>
    <w:rsid w:val="00F90F45"/>
    <w:rsid w:val="00F91C8F"/>
    <w:rsid w:val="00F9257E"/>
    <w:rsid w:val="00F92932"/>
    <w:rsid w:val="00F93101"/>
    <w:rsid w:val="00F933B6"/>
    <w:rsid w:val="00F9399E"/>
    <w:rsid w:val="00F94103"/>
    <w:rsid w:val="00F94E9E"/>
    <w:rsid w:val="00F95823"/>
    <w:rsid w:val="00F95B7B"/>
    <w:rsid w:val="00F96D72"/>
    <w:rsid w:val="00FA121D"/>
    <w:rsid w:val="00FA14B3"/>
    <w:rsid w:val="00FA152F"/>
    <w:rsid w:val="00FA173E"/>
    <w:rsid w:val="00FA1821"/>
    <w:rsid w:val="00FA1B1D"/>
    <w:rsid w:val="00FA1D36"/>
    <w:rsid w:val="00FA225C"/>
    <w:rsid w:val="00FA2A0D"/>
    <w:rsid w:val="00FA2E7E"/>
    <w:rsid w:val="00FA35AC"/>
    <w:rsid w:val="00FA3B49"/>
    <w:rsid w:val="00FA48F4"/>
    <w:rsid w:val="00FA55DF"/>
    <w:rsid w:val="00FA56D9"/>
    <w:rsid w:val="00FA5984"/>
    <w:rsid w:val="00FA6D5C"/>
    <w:rsid w:val="00FA7D57"/>
    <w:rsid w:val="00FB2088"/>
    <w:rsid w:val="00FB2739"/>
    <w:rsid w:val="00FB37CF"/>
    <w:rsid w:val="00FB3C85"/>
    <w:rsid w:val="00FB4B42"/>
    <w:rsid w:val="00FB5133"/>
    <w:rsid w:val="00FB583E"/>
    <w:rsid w:val="00FB67C4"/>
    <w:rsid w:val="00FB6D62"/>
    <w:rsid w:val="00FC08A5"/>
    <w:rsid w:val="00FC0CA4"/>
    <w:rsid w:val="00FC101F"/>
    <w:rsid w:val="00FC1C5C"/>
    <w:rsid w:val="00FC1CC2"/>
    <w:rsid w:val="00FC200B"/>
    <w:rsid w:val="00FC31A9"/>
    <w:rsid w:val="00FC3463"/>
    <w:rsid w:val="00FC3847"/>
    <w:rsid w:val="00FC3FC5"/>
    <w:rsid w:val="00FC40D9"/>
    <w:rsid w:val="00FC48FA"/>
    <w:rsid w:val="00FC5284"/>
    <w:rsid w:val="00FC595F"/>
    <w:rsid w:val="00FC5B2E"/>
    <w:rsid w:val="00FC603F"/>
    <w:rsid w:val="00FC6745"/>
    <w:rsid w:val="00FC6C60"/>
    <w:rsid w:val="00FD01A4"/>
    <w:rsid w:val="00FD086D"/>
    <w:rsid w:val="00FD0B61"/>
    <w:rsid w:val="00FD0DFE"/>
    <w:rsid w:val="00FD19F0"/>
    <w:rsid w:val="00FD1A26"/>
    <w:rsid w:val="00FD1FFC"/>
    <w:rsid w:val="00FD294D"/>
    <w:rsid w:val="00FD35AA"/>
    <w:rsid w:val="00FD3624"/>
    <w:rsid w:val="00FD3C60"/>
    <w:rsid w:val="00FD3D9C"/>
    <w:rsid w:val="00FD3DBA"/>
    <w:rsid w:val="00FD41B7"/>
    <w:rsid w:val="00FD5734"/>
    <w:rsid w:val="00FD629B"/>
    <w:rsid w:val="00FD73C3"/>
    <w:rsid w:val="00FD7EDA"/>
    <w:rsid w:val="00FD7FD9"/>
    <w:rsid w:val="00FE04E2"/>
    <w:rsid w:val="00FE05EF"/>
    <w:rsid w:val="00FE2643"/>
    <w:rsid w:val="00FE26A7"/>
    <w:rsid w:val="00FE27BC"/>
    <w:rsid w:val="00FE3746"/>
    <w:rsid w:val="00FE3C1A"/>
    <w:rsid w:val="00FE40AB"/>
    <w:rsid w:val="00FE498E"/>
    <w:rsid w:val="00FE49E9"/>
    <w:rsid w:val="00FE5FA7"/>
    <w:rsid w:val="00FE6A4D"/>
    <w:rsid w:val="00FE6D5D"/>
    <w:rsid w:val="00FE715D"/>
    <w:rsid w:val="00FE7CEB"/>
    <w:rsid w:val="00FF05EB"/>
    <w:rsid w:val="00FF0908"/>
    <w:rsid w:val="00FF192D"/>
    <w:rsid w:val="00FF2C3B"/>
    <w:rsid w:val="00FF37FF"/>
    <w:rsid w:val="00FF3811"/>
    <w:rsid w:val="00FF3855"/>
    <w:rsid w:val="00FF4351"/>
    <w:rsid w:val="00FF48D6"/>
    <w:rsid w:val="00FF4CE5"/>
    <w:rsid w:val="00FF4FCE"/>
    <w:rsid w:val="00FF6573"/>
    <w:rsid w:val="00FF662A"/>
    <w:rsid w:val="00FF6BB1"/>
    <w:rsid w:val="00FF6F95"/>
    <w:rsid w:val="00FF7081"/>
    <w:rsid w:val="00FF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4C7C"/>
    <w:rPr>
      <w:rFonts w:ascii="Arial" w:hAnsi="Arial"/>
      <w:sz w:val="24"/>
      <w:lang w:eastAsia="en-US"/>
    </w:rPr>
  </w:style>
  <w:style w:type="paragraph" w:styleId="Heading1">
    <w:name w:val="heading 1"/>
    <w:aliases w:val="Section Heading"/>
    <w:basedOn w:val="Normal"/>
    <w:next w:val="Normal"/>
    <w:link w:val="Heading1Char"/>
    <w:qFormat/>
    <w:pPr>
      <w:keepNext/>
      <w:ind w:left="720" w:hanging="720"/>
      <w:jc w:val="center"/>
      <w:outlineLvl w:val="0"/>
    </w:pPr>
    <w:rPr>
      <w:b/>
      <w:sz w:val="22"/>
    </w:rPr>
  </w:style>
  <w:style w:type="paragraph" w:styleId="Heading2">
    <w:name w:val="heading 2"/>
    <w:aliases w:val="2,Level 2 Heading"/>
    <w:basedOn w:val="Normal"/>
    <w:next w:val="Normal"/>
    <w:link w:val="Heading2Char1"/>
    <w:qFormat/>
    <w:pPr>
      <w:keepNext/>
      <w:jc w:val="center"/>
      <w:outlineLvl w:val="1"/>
    </w:pPr>
    <w:rPr>
      <w:b/>
      <w:color w:val="000000"/>
      <w:sz w:val="20"/>
    </w:rPr>
  </w:style>
  <w:style w:type="paragraph" w:styleId="Heading3">
    <w:name w:val="heading 3"/>
    <w:basedOn w:val="Normal"/>
    <w:next w:val="Normal"/>
    <w:link w:val="Heading3Char"/>
    <w:qFormat/>
    <w:pPr>
      <w:keepNext/>
      <w:ind w:left="720" w:hanging="720"/>
      <w:outlineLvl w:val="2"/>
    </w:pPr>
    <w:rPr>
      <w:b/>
      <w:i/>
      <w:sz w:val="22"/>
    </w:rPr>
  </w:style>
  <w:style w:type="paragraph" w:styleId="Heading4">
    <w:name w:val="heading 4"/>
    <w:basedOn w:val="Normal"/>
    <w:next w:val="Normal"/>
    <w:qFormat/>
    <w:pPr>
      <w:keepNext/>
      <w:ind w:left="720"/>
      <w:outlineLvl w:val="3"/>
    </w:pPr>
    <w:rPr>
      <w:b/>
      <w:i/>
      <w:sz w:val="22"/>
    </w:rPr>
  </w:style>
  <w:style w:type="paragraph" w:styleId="Heading5">
    <w:name w:val="heading 5"/>
    <w:basedOn w:val="Normal"/>
    <w:next w:val="Normal"/>
    <w:qFormat/>
    <w:pPr>
      <w:keepNext/>
      <w:ind w:left="720"/>
      <w:outlineLvl w:val="4"/>
    </w:pPr>
    <w:rPr>
      <w:b/>
      <w:i/>
    </w:rPr>
  </w:style>
  <w:style w:type="paragraph" w:styleId="Heading6">
    <w:name w:val="heading 6"/>
    <w:basedOn w:val="Normal"/>
    <w:next w:val="Normal"/>
    <w:qFormat/>
    <w:pPr>
      <w:keepNext/>
      <w:jc w:val="center"/>
      <w:outlineLvl w:val="5"/>
    </w:pPr>
    <w:rPr>
      <w:b/>
      <w:color w:val="000000"/>
      <w:sz w:val="22"/>
    </w:rPr>
  </w:style>
  <w:style w:type="paragraph" w:styleId="Heading7">
    <w:name w:val="heading 7"/>
    <w:basedOn w:val="Normal"/>
    <w:next w:val="Normal"/>
    <w:qFormat/>
    <w:pPr>
      <w:keepNext/>
      <w:jc w:val="right"/>
      <w:outlineLvl w:val="6"/>
    </w:pPr>
    <w:rPr>
      <w:b/>
      <w:sz w:val="22"/>
    </w:rPr>
  </w:style>
  <w:style w:type="paragraph" w:styleId="Heading8">
    <w:name w:val="heading 8"/>
    <w:basedOn w:val="Normal"/>
    <w:next w:val="Normal"/>
    <w:link w:val="Heading8Char"/>
    <w:qFormat/>
    <w:pPr>
      <w:keepNext/>
      <w:outlineLvl w:val="7"/>
    </w:pPr>
    <w:rPr>
      <w:b/>
      <w:sz w:val="22"/>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locked/>
    <w:rsid w:val="00281AFF"/>
    <w:rPr>
      <w:rFonts w:ascii="Arial" w:hAnsi="Arial"/>
      <w:b/>
      <w:sz w:val="22"/>
      <w:lang w:val="en-GB" w:eastAsia="en-US" w:bidi="ar-SA"/>
    </w:rPr>
  </w:style>
  <w:style w:type="character" w:customStyle="1" w:styleId="Heading2Char1">
    <w:name w:val="Heading 2 Char1"/>
    <w:aliases w:val="2 Char1,Level 2 Heading Char1"/>
    <w:basedOn w:val="DefaultParagraphFont"/>
    <w:link w:val="Heading2"/>
    <w:rsid w:val="002C3056"/>
    <w:rPr>
      <w:rFonts w:ascii="Arial" w:hAnsi="Arial"/>
      <w:b/>
      <w:color w:val="000000"/>
      <w:lang w:val="en-GB" w:eastAsia="en-US" w:bidi="ar-SA"/>
    </w:rPr>
  </w:style>
  <w:style w:type="character" w:customStyle="1" w:styleId="Heading3Char">
    <w:name w:val="Heading 3 Char"/>
    <w:basedOn w:val="DefaultParagraphFont"/>
    <w:link w:val="Heading3"/>
    <w:locked/>
    <w:rsid w:val="00281AFF"/>
    <w:rPr>
      <w:rFonts w:ascii="Arial" w:hAnsi="Arial"/>
      <w:b/>
      <w:i/>
      <w:sz w:val="22"/>
      <w:lang w:val="en-GB" w:eastAsia="en-US" w:bidi="ar-SA"/>
    </w:rPr>
  </w:style>
  <w:style w:type="character" w:customStyle="1" w:styleId="Heading8Char">
    <w:name w:val="Heading 8 Char"/>
    <w:basedOn w:val="DefaultParagraphFont"/>
    <w:link w:val="Heading8"/>
    <w:locked/>
    <w:rsid w:val="00281AFF"/>
    <w:rPr>
      <w:rFonts w:ascii="Arial" w:hAnsi="Arial"/>
      <w:b/>
      <w:sz w:val="22"/>
      <w:lang w:val="en-GB" w:eastAsia="en-US" w:bidi="ar-SA"/>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locked/>
    <w:rsid w:val="005B7B3D"/>
    <w:rPr>
      <w:rFonts w:ascii="Arial" w:hAnsi="Arial"/>
      <w:sz w:val="24"/>
      <w:lang w:val="en-GB" w:eastAsia="en-US" w:bidi="ar-SA"/>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locked/>
    <w:rsid w:val="005B7B3D"/>
    <w:rPr>
      <w:rFonts w:ascii="Arial" w:hAnsi="Arial"/>
      <w:sz w:val="24"/>
      <w:lang w:val="en-GB" w:eastAsia="en-US" w:bidi="ar-SA"/>
    </w:rPr>
  </w:style>
  <w:style w:type="paragraph" w:styleId="BodyTextIndent">
    <w:name w:val="Body Text Indent"/>
    <w:basedOn w:val="Normal"/>
    <w:pPr>
      <w:ind w:left="720" w:hanging="720"/>
    </w:pPr>
    <w:rPr>
      <w:b/>
      <w:sz w:val="22"/>
    </w:rPr>
  </w:style>
  <w:style w:type="paragraph" w:styleId="BodyTextIndent2">
    <w:name w:val="Body Text Indent 2"/>
    <w:basedOn w:val="Normal"/>
    <w:link w:val="BodyTextIndent2Char"/>
    <w:pPr>
      <w:ind w:left="720" w:hanging="720"/>
    </w:pPr>
    <w:rPr>
      <w:sz w:val="22"/>
    </w:rPr>
  </w:style>
  <w:style w:type="character" w:customStyle="1" w:styleId="BodyTextIndent2Char">
    <w:name w:val="Body Text Indent 2 Char"/>
    <w:basedOn w:val="DefaultParagraphFont"/>
    <w:link w:val="BodyTextIndent2"/>
    <w:locked/>
    <w:rsid w:val="00281AFF"/>
    <w:rPr>
      <w:rFonts w:ascii="Arial" w:hAnsi="Arial"/>
      <w:sz w:val="22"/>
      <w:lang w:val="en-GB" w:eastAsia="en-US" w:bidi="ar-SA"/>
    </w:rPr>
  </w:style>
  <w:style w:type="paragraph" w:styleId="BodyTextIndent3">
    <w:name w:val="Body Text Indent 3"/>
    <w:basedOn w:val="Normal"/>
    <w:pPr>
      <w:ind w:left="1418" w:hanging="709"/>
    </w:pPr>
    <w:rPr>
      <w:sz w:val="22"/>
    </w:rPr>
  </w:style>
  <w:style w:type="paragraph" w:styleId="Title">
    <w:name w:val="Title"/>
    <w:basedOn w:val="Normal"/>
    <w:qFormat/>
    <w:pPr>
      <w:jc w:val="center"/>
    </w:pPr>
    <w:rPr>
      <w:b/>
      <w:sz w:val="22"/>
    </w:rPr>
  </w:style>
  <w:style w:type="paragraph" w:styleId="Subtitle">
    <w:name w:val="Subtitle"/>
    <w:basedOn w:val="Normal"/>
    <w:link w:val="SubtitleChar"/>
    <w:qFormat/>
    <w:pPr>
      <w:jc w:val="center"/>
    </w:pPr>
    <w:rPr>
      <w:b/>
      <w:sz w:val="22"/>
    </w:rPr>
  </w:style>
  <w:style w:type="character" w:customStyle="1" w:styleId="SubtitleChar">
    <w:name w:val="Subtitle Char"/>
    <w:basedOn w:val="DefaultParagraphFont"/>
    <w:link w:val="Subtitle"/>
    <w:locked/>
    <w:rsid w:val="00281AFF"/>
    <w:rPr>
      <w:rFonts w:ascii="Arial" w:hAnsi="Arial"/>
      <w:b/>
      <w:sz w:val="22"/>
      <w:lang w:val="en-GB" w:eastAsia="en-US" w:bidi="ar-SA"/>
    </w:rPr>
  </w:style>
  <w:style w:type="paragraph" w:styleId="BodyText">
    <w:name w:val="Body Text"/>
    <w:basedOn w:val="Normal"/>
    <w:link w:val="BodyTextChar"/>
    <w:rPr>
      <w:sz w:val="22"/>
    </w:rPr>
  </w:style>
  <w:style w:type="character" w:customStyle="1" w:styleId="BodyTextChar">
    <w:name w:val="Body Text Char"/>
    <w:basedOn w:val="DefaultParagraphFont"/>
    <w:link w:val="BodyText"/>
    <w:semiHidden/>
    <w:locked/>
    <w:rsid w:val="00281AFF"/>
    <w:rPr>
      <w:rFonts w:ascii="Arial" w:hAnsi="Arial"/>
      <w:sz w:val="22"/>
      <w:lang w:val="en-GB" w:eastAsia="en-US" w:bidi="ar-SA"/>
    </w:rPr>
  </w:style>
  <w:style w:type="paragraph" w:styleId="BodyText2">
    <w:name w:val="Body Text 2"/>
    <w:basedOn w:val="Normal"/>
    <w:link w:val="BodyText2Char"/>
    <w:rPr>
      <w:sz w:val="18"/>
    </w:rPr>
  </w:style>
  <w:style w:type="character" w:customStyle="1" w:styleId="BodyText2Char">
    <w:name w:val="Body Text 2 Char"/>
    <w:basedOn w:val="DefaultParagraphFont"/>
    <w:link w:val="BodyText2"/>
    <w:locked/>
    <w:rsid w:val="00281AFF"/>
    <w:rPr>
      <w:rFonts w:ascii="Arial" w:hAnsi="Arial"/>
      <w:sz w:val="18"/>
      <w:lang w:val="en-GB" w:eastAsia="en-US" w:bidi="ar-SA"/>
    </w:rPr>
  </w:style>
  <w:style w:type="paragraph" w:styleId="BodyText3">
    <w:name w:val="Body Text 3"/>
    <w:basedOn w:val="Normal"/>
    <w:rPr>
      <w:b/>
      <w:sz w:val="18"/>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locked/>
    <w:rsid w:val="00281AFF"/>
    <w:rPr>
      <w:rFonts w:ascii="Tahoma" w:hAnsi="Tahoma"/>
      <w:sz w:val="24"/>
      <w:lang w:val="en-GB" w:eastAsia="en-US" w:bidi="ar-SA"/>
    </w:rPr>
  </w:style>
  <w:style w:type="character" w:styleId="PageNumber">
    <w:name w:val="page number"/>
    <w:basedOn w:val="DefaultParagraphFont"/>
  </w:style>
  <w:style w:type="paragraph" w:customStyle="1" w:styleId="Address">
    <w:name w:val="Address"/>
    <w:basedOn w:val="Normal"/>
    <w:pPr>
      <w:keepLines/>
      <w:jc w:val="both"/>
    </w:pPr>
    <w:rPr>
      <w:rFonts w:ascii="Times New Roman" w:hAnsi="Times New Roman"/>
      <w:noProof/>
    </w:rPr>
  </w:style>
  <w:style w:type="character" w:styleId="Hyperlink">
    <w:name w:val="Hyperlink"/>
    <w:basedOn w:val="DefaultParagraphFont"/>
    <w:rPr>
      <w:color w:val="0000FF"/>
      <w:u w:val="single"/>
    </w:rPr>
  </w:style>
  <w:style w:type="paragraph" w:styleId="BlockText">
    <w:name w:val="Block Text"/>
    <w:basedOn w:val="Normal"/>
    <w:pPr>
      <w:ind w:left="113" w:right="113"/>
    </w:pPr>
    <w:rPr>
      <w:snapToGrid w:val="0"/>
      <w:color w:val="000000"/>
      <w:sz w:val="22"/>
    </w:rPr>
  </w:style>
  <w:style w:type="paragraph" w:customStyle="1" w:styleId="questionnaire">
    <w:name w:val="questionnaire"/>
    <w:pPr>
      <w:widowControl w:val="0"/>
      <w:tabs>
        <w:tab w:val="right" w:pos="680"/>
        <w:tab w:val="left" w:pos="794"/>
        <w:tab w:val="right" w:pos="7513"/>
        <w:tab w:val="left" w:pos="7853"/>
        <w:tab w:val="left" w:pos="8222"/>
        <w:tab w:val="right" w:pos="11057"/>
      </w:tabs>
      <w:suppressAutoHyphens/>
    </w:pPr>
    <w:rPr>
      <w:rFonts w:ascii="Helvetica" w:hAnsi="Helvetica"/>
      <w:lang w:val="en-US" w:eastAsia="en-US"/>
    </w:rPr>
  </w:style>
  <w:style w:type="paragraph" w:customStyle="1" w:styleId="Style2">
    <w:name w:val="Style2"/>
    <w:basedOn w:val="Normal"/>
    <w:autoRedefine/>
    <w:rsid w:val="002C5882"/>
    <w:pPr>
      <w:ind w:left="1026" w:hanging="1026"/>
      <w:outlineLvl w:val="0"/>
    </w:pPr>
    <w:rPr>
      <w:sz w:val="22"/>
    </w:rPr>
  </w:style>
  <w:style w:type="paragraph" w:styleId="Caption">
    <w:name w:val="caption"/>
    <w:basedOn w:val="Normal"/>
    <w:next w:val="Normal"/>
    <w:qFormat/>
    <w:pPr>
      <w:jc w:val="right"/>
    </w:pPr>
    <w:rPr>
      <w:b/>
      <w:sz w:val="22"/>
    </w:rPr>
  </w:style>
  <w:style w:type="paragraph" w:styleId="ListBullet">
    <w:name w:val="List Bullet"/>
    <w:basedOn w:val="Normal"/>
    <w:autoRedefine/>
    <w:rPr>
      <w:sz w:val="20"/>
    </w:rPr>
  </w:style>
  <w:style w:type="paragraph" w:styleId="BalloonText">
    <w:name w:val="Balloon Text"/>
    <w:basedOn w:val="Normal"/>
    <w:link w:val="BalloonTextChar"/>
    <w:semiHidden/>
    <w:rPr>
      <w:rFonts w:ascii="Tahoma" w:hAnsi="Tahoma"/>
      <w:sz w:val="16"/>
    </w:rPr>
  </w:style>
  <w:style w:type="character" w:customStyle="1" w:styleId="BalloonTextChar">
    <w:name w:val="Balloon Text Char"/>
    <w:basedOn w:val="DefaultParagraphFont"/>
    <w:link w:val="BalloonText"/>
    <w:semiHidden/>
    <w:locked/>
    <w:rsid w:val="00281AFF"/>
    <w:rPr>
      <w:rFonts w:ascii="Tahoma" w:hAnsi="Tahoma"/>
      <w:sz w:val="16"/>
      <w:lang w:val="en-GB" w:eastAsia="en-US" w:bidi="ar-SA"/>
    </w:rPr>
  </w:style>
  <w:style w:type="table" w:styleId="TableGrid">
    <w:name w:val="Table Grid"/>
    <w:basedOn w:val="TableNormal"/>
    <w:rsid w:val="002E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24B0"/>
    <w:pPr>
      <w:tabs>
        <w:tab w:val="left" w:pos="1260"/>
        <w:tab w:val="left" w:pos="1980"/>
        <w:tab w:val="left" w:pos="2700"/>
        <w:tab w:val="left" w:pos="3420"/>
      </w:tabs>
      <w:jc w:val="both"/>
    </w:pPr>
    <w:rPr>
      <w:sz w:val="20"/>
      <w:lang w:eastAsia="en-GB"/>
    </w:rPr>
  </w:style>
  <w:style w:type="character" w:customStyle="1" w:styleId="FootnoteTextChar">
    <w:name w:val="Footnote Text Char"/>
    <w:basedOn w:val="DefaultParagraphFont"/>
    <w:link w:val="FootnoteText"/>
    <w:semiHidden/>
    <w:locked/>
    <w:rsid w:val="00281AFF"/>
    <w:rPr>
      <w:rFonts w:ascii="Arial" w:hAnsi="Arial"/>
      <w:lang w:val="en-GB" w:eastAsia="en-GB" w:bidi="ar-SA"/>
    </w:rPr>
  </w:style>
  <w:style w:type="character" w:styleId="FootnoteReference">
    <w:name w:val="footnote reference"/>
    <w:basedOn w:val="DefaultParagraphFont"/>
    <w:semiHidden/>
    <w:rsid w:val="009424B0"/>
    <w:rPr>
      <w:vertAlign w:val="superscript"/>
    </w:rPr>
  </w:style>
  <w:style w:type="paragraph" w:customStyle="1" w:styleId="Default">
    <w:name w:val="Default"/>
    <w:link w:val="DefaultChar"/>
    <w:rsid w:val="00033A75"/>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locked/>
    <w:rsid w:val="00A10EA9"/>
    <w:rPr>
      <w:rFonts w:ascii="Arial" w:hAnsi="Arial" w:cs="Arial"/>
      <w:color w:val="000000"/>
      <w:sz w:val="24"/>
      <w:szCs w:val="24"/>
      <w:lang w:val="en-GB" w:eastAsia="en-GB" w:bidi="ar-SA"/>
    </w:rPr>
  </w:style>
  <w:style w:type="paragraph" w:customStyle="1" w:styleId="Text">
    <w:name w:val="Text"/>
    <w:basedOn w:val="Normal"/>
    <w:rsid w:val="001058EF"/>
    <w:pPr>
      <w:overflowPunct w:val="0"/>
      <w:autoSpaceDE w:val="0"/>
      <w:autoSpaceDN w:val="0"/>
      <w:adjustRightInd w:val="0"/>
      <w:spacing w:after="220"/>
      <w:jc w:val="both"/>
      <w:textAlignment w:val="baseline"/>
    </w:pPr>
    <w:rPr>
      <w:sz w:val="22"/>
      <w:lang w:eastAsia="en-GB"/>
    </w:rPr>
  </w:style>
  <w:style w:type="paragraph" w:customStyle="1" w:styleId="bullet">
    <w:name w:val="bullet"/>
    <w:basedOn w:val="Normal"/>
    <w:rsid w:val="001058EF"/>
    <w:pPr>
      <w:tabs>
        <w:tab w:val="num" w:pos="360"/>
      </w:tabs>
      <w:ind w:left="360" w:hanging="360"/>
    </w:pPr>
    <w:rPr>
      <w:sz w:val="22"/>
      <w:lang w:eastAsia="en-GB"/>
    </w:rPr>
  </w:style>
  <w:style w:type="paragraph" w:customStyle="1" w:styleId="Cover-Title">
    <w:name w:val="Cover - Title"/>
    <w:basedOn w:val="Normal"/>
    <w:rsid w:val="002C3056"/>
    <w:pPr>
      <w:spacing w:after="240"/>
    </w:pPr>
    <w:rPr>
      <w:rFonts w:cs="Arial"/>
      <w:sz w:val="44"/>
      <w:szCs w:val="44"/>
    </w:rPr>
  </w:style>
  <w:style w:type="paragraph" w:styleId="TOC1">
    <w:name w:val="toc 1"/>
    <w:aliases w:val="Toc 1"/>
    <w:basedOn w:val="Normal"/>
    <w:next w:val="Normal"/>
    <w:autoRedefine/>
    <w:semiHidden/>
    <w:rsid w:val="002C3056"/>
    <w:pPr>
      <w:tabs>
        <w:tab w:val="right" w:leader="dot" w:pos="8636"/>
      </w:tabs>
      <w:spacing w:after="240"/>
    </w:pPr>
    <w:rPr>
      <w:rFonts w:cs="Arial"/>
      <w:szCs w:val="24"/>
    </w:rPr>
  </w:style>
  <w:style w:type="paragraph" w:styleId="TOC2">
    <w:name w:val="toc 2"/>
    <w:basedOn w:val="Normal"/>
    <w:next w:val="Normal"/>
    <w:autoRedefine/>
    <w:semiHidden/>
    <w:rsid w:val="002C3056"/>
    <w:pPr>
      <w:spacing w:after="240"/>
      <w:ind w:left="240"/>
    </w:pPr>
    <w:rPr>
      <w:rFonts w:cs="Arial"/>
      <w:szCs w:val="24"/>
    </w:rPr>
  </w:style>
  <w:style w:type="paragraph" w:styleId="TableofFigures">
    <w:name w:val="table of figures"/>
    <w:basedOn w:val="Normal"/>
    <w:next w:val="Normal"/>
    <w:semiHidden/>
    <w:rsid w:val="002C3056"/>
    <w:pPr>
      <w:spacing w:after="240"/>
      <w:ind w:left="480" w:hanging="480"/>
    </w:pPr>
    <w:rPr>
      <w:rFonts w:cs="Arial"/>
      <w:szCs w:val="24"/>
    </w:rPr>
  </w:style>
  <w:style w:type="character" w:styleId="FollowedHyperlink">
    <w:name w:val="FollowedHyperlink"/>
    <w:basedOn w:val="DefaultParagraphFont"/>
    <w:rsid w:val="003A13FD"/>
    <w:rPr>
      <w:color w:val="800080"/>
      <w:u w:val="single"/>
    </w:rPr>
  </w:style>
  <w:style w:type="paragraph" w:customStyle="1" w:styleId="xl22">
    <w:name w:val="xl22"/>
    <w:basedOn w:val="Normal"/>
    <w:rsid w:val="003A13FD"/>
    <w:pPr>
      <w:spacing w:before="100" w:beforeAutospacing="1" w:after="100" w:afterAutospacing="1"/>
    </w:pPr>
    <w:rPr>
      <w:rFonts w:ascii="Times New Roman" w:hAnsi="Times New Roman"/>
      <w:sz w:val="16"/>
      <w:szCs w:val="16"/>
      <w:lang w:eastAsia="en-GB"/>
    </w:rPr>
  </w:style>
  <w:style w:type="paragraph" w:customStyle="1" w:styleId="xl23">
    <w:name w:val="xl23"/>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4">
    <w:name w:val="xl2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eastAsia="en-GB"/>
    </w:rPr>
  </w:style>
  <w:style w:type="paragraph" w:customStyle="1" w:styleId="xl25">
    <w:name w:val="xl2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6">
    <w:name w:val="xl26"/>
    <w:basedOn w:val="Normal"/>
    <w:rsid w:val="003A13FD"/>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7">
    <w:name w:val="xl27"/>
    <w:basedOn w:val="Normal"/>
    <w:rsid w:val="003A13FD"/>
    <w:pPr>
      <w:spacing w:before="100" w:beforeAutospacing="1" w:after="100" w:afterAutospacing="1"/>
      <w:jc w:val="right"/>
    </w:pPr>
    <w:rPr>
      <w:rFonts w:ascii="Times New Roman" w:hAnsi="Times New Roman"/>
      <w:sz w:val="16"/>
      <w:szCs w:val="16"/>
      <w:lang w:eastAsia="en-GB"/>
    </w:rPr>
  </w:style>
  <w:style w:type="paragraph" w:customStyle="1" w:styleId="xl28">
    <w:name w:val="xl28"/>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lang w:eastAsia="en-GB"/>
    </w:rPr>
  </w:style>
  <w:style w:type="paragraph" w:customStyle="1" w:styleId="xl29">
    <w:name w:val="xl29"/>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0">
    <w:name w:val="xl3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eastAsia="en-GB"/>
    </w:rPr>
  </w:style>
  <w:style w:type="paragraph" w:customStyle="1" w:styleId="xl31">
    <w:name w:val="xl31"/>
    <w:basedOn w:val="Normal"/>
    <w:rsid w:val="003A13FD"/>
    <w:pPr>
      <w:spacing w:before="100" w:beforeAutospacing="1" w:after="100" w:afterAutospacing="1"/>
      <w:jc w:val="right"/>
    </w:pPr>
    <w:rPr>
      <w:rFonts w:ascii="Times New Roman" w:hAnsi="Times New Roman"/>
      <w:b/>
      <w:bCs/>
      <w:sz w:val="16"/>
      <w:szCs w:val="16"/>
      <w:lang w:eastAsia="en-GB"/>
    </w:rPr>
  </w:style>
  <w:style w:type="paragraph" w:customStyle="1" w:styleId="xl32">
    <w:name w:val="xl32"/>
    <w:basedOn w:val="Normal"/>
    <w:rsid w:val="003A13FD"/>
    <w:pPr>
      <w:spacing w:before="100" w:beforeAutospacing="1" w:after="100" w:afterAutospacing="1"/>
    </w:pPr>
    <w:rPr>
      <w:rFonts w:ascii="Times New Roman" w:hAnsi="Times New Roman"/>
      <w:b/>
      <w:bCs/>
      <w:sz w:val="16"/>
      <w:szCs w:val="16"/>
      <w:lang w:eastAsia="en-GB"/>
    </w:rPr>
  </w:style>
  <w:style w:type="paragraph" w:customStyle="1" w:styleId="xl33">
    <w:name w:val="xl33"/>
    <w:basedOn w:val="Normal"/>
    <w:rsid w:val="003A13FD"/>
    <w:pPr>
      <w:spacing w:before="100" w:beforeAutospacing="1" w:after="100" w:afterAutospacing="1"/>
      <w:jc w:val="center"/>
    </w:pPr>
    <w:rPr>
      <w:rFonts w:ascii="Times New Roman" w:hAnsi="Times New Roman"/>
      <w:b/>
      <w:bCs/>
      <w:sz w:val="16"/>
      <w:szCs w:val="16"/>
      <w:lang w:eastAsia="en-GB"/>
    </w:rPr>
  </w:style>
  <w:style w:type="paragraph" w:customStyle="1" w:styleId="xl34">
    <w:name w:val="xl3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5">
    <w:name w:val="xl3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36">
    <w:name w:val="xl36"/>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7">
    <w:name w:val="xl37"/>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8">
    <w:name w:val="xl38"/>
    <w:basedOn w:val="Normal"/>
    <w:rsid w:val="003A13FD"/>
    <w:pPr>
      <w:spacing w:before="100" w:beforeAutospacing="1" w:after="100" w:afterAutospacing="1"/>
    </w:pPr>
    <w:rPr>
      <w:rFonts w:cs="Arial"/>
      <w:b/>
      <w:bCs/>
      <w:sz w:val="16"/>
      <w:szCs w:val="16"/>
      <w:lang w:eastAsia="en-GB"/>
    </w:rPr>
  </w:style>
  <w:style w:type="paragraph" w:customStyle="1" w:styleId="xl39">
    <w:name w:val="xl39"/>
    <w:basedOn w:val="Normal"/>
    <w:rsid w:val="003A13FD"/>
    <w:pPr>
      <w:pBdr>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0">
    <w:name w:val="xl4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1">
    <w:name w:val="xl41"/>
    <w:basedOn w:val="Normal"/>
    <w:rsid w:val="003A13FD"/>
    <w:pPr>
      <w:spacing w:before="100" w:beforeAutospacing="1" w:after="100" w:afterAutospacing="1"/>
    </w:pPr>
    <w:rPr>
      <w:rFonts w:ascii="Times New Roman" w:hAnsi="Times New Roman"/>
      <w:b/>
      <w:bCs/>
      <w:szCs w:val="24"/>
      <w:u w:val="single"/>
      <w:lang w:eastAsia="en-GB"/>
    </w:rPr>
  </w:style>
  <w:style w:type="paragraph" w:customStyle="1" w:styleId="xl42">
    <w:name w:val="xl42"/>
    <w:basedOn w:val="Normal"/>
    <w:rsid w:val="003A13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16"/>
      <w:szCs w:val="16"/>
      <w:lang w:eastAsia="en-GB"/>
    </w:rPr>
  </w:style>
  <w:style w:type="character" w:customStyle="1" w:styleId="2Char">
    <w:name w:val="2 Char"/>
    <w:aliases w:val="Level 2 Heading Char"/>
    <w:basedOn w:val="DefaultParagraphFont"/>
    <w:rsid w:val="00FD1FFC"/>
    <w:rPr>
      <w:rFonts w:ascii="Arial" w:hAnsi="Arial"/>
      <w:b/>
      <w:color w:val="000000"/>
      <w:sz w:val="24"/>
      <w:lang w:val="en-GB" w:eastAsia="en-US" w:bidi="ar-SA"/>
    </w:rPr>
  </w:style>
  <w:style w:type="paragraph" w:customStyle="1" w:styleId="font0">
    <w:name w:val="font0"/>
    <w:basedOn w:val="Normal"/>
    <w:rsid w:val="00801681"/>
    <w:pPr>
      <w:spacing w:before="100" w:beforeAutospacing="1" w:after="100" w:afterAutospacing="1"/>
    </w:pPr>
    <w:rPr>
      <w:rFonts w:cs="Arial"/>
      <w:sz w:val="20"/>
      <w:lang w:eastAsia="en-GB"/>
    </w:rPr>
  </w:style>
  <w:style w:type="paragraph" w:customStyle="1" w:styleId="font5">
    <w:name w:val="font5"/>
    <w:basedOn w:val="Normal"/>
    <w:rsid w:val="00801681"/>
    <w:pPr>
      <w:spacing w:before="100" w:beforeAutospacing="1" w:after="100" w:afterAutospacing="1"/>
    </w:pPr>
    <w:rPr>
      <w:rFonts w:cs="Arial"/>
      <w:sz w:val="20"/>
      <w:lang w:eastAsia="en-GB"/>
    </w:rPr>
  </w:style>
  <w:style w:type="paragraph" w:customStyle="1" w:styleId="xl43">
    <w:name w:val="xl43"/>
    <w:basedOn w:val="Normal"/>
    <w:rsid w:val="00801681"/>
    <w:pPr>
      <w:pBdr>
        <w:left w:val="single" w:sz="4" w:space="0" w:color="auto"/>
        <w:right w:val="single" w:sz="4" w:space="0" w:color="auto"/>
      </w:pBdr>
      <w:spacing w:before="100" w:beforeAutospacing="1" w:after="100" w:afterAutospacing="1"/>
      <w:jc w:val="center"/>
    </w:pPr>
    <w:rPr>
      <w:rFonts w:cs="Arial"/>
      <w:b/>
      <w:bCs/>
      <w:szCs w:val="24"/>
      <w:lang w:eastAsia="en-GB"/>
    </w:rPr>
  </w:style>
  <w:style w:type="paragraph" w:customStyle="1" w:styleId="xl44">
    <w:name w:val="xl44"/>
    <w:basedOn w:val="Normal"/>
    <w:rsid w:val="00801681"/>
    <w:pPr>
      <w:pBdr>
        <w:right w:val="single" w:sz="4" w:space="0" w:color="auto"/>
      </w:pBdr>
      <w:spacing w:before="100" w:beforeAutospacing="1" w:after="100" w:afterAutospacing="1"/>
      <w:jc w:val="center"/>
    </w:pPr>
    <w:rPr>
      <w:rFonts w:cs="Arial"/>
      <w:b/>
      <w:bCs/>
      <w:szCs w:val="24"/>
      <w:lang w:eastAsia="en-GB"/>
    </w:rPr>
  </w:style>
  <w:style w:type="paragraph" w:customStyle="1" w:styleId="xl45">
    <w:name w:val="xl45"/>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47">
    <w:name w:val="xl47"/>
    <w:basedOn w:val="Normal"/>
    <w:rsid w:val="00801681"/>
    <w:pPr>
      <w:spacing w:before="100" w:beforeAutospacing="1" w:after="100" w:afterAutospacing="1"/>
    </w:pPr>
    <w:rPr>
      <w:rFonts w:ascii="Monotype Sorts" w:hAnsi="Monotype Sorts"/>
      <w:szCs w:val="24"/>
      <w:lang w:eastAsia="en-GB"/>
    </w:rPr>
  </w:style>
  <w:style w:type="paragraph" w:customStyle="1" w:styleId="xl48">
    <w:name w:val="xl48"/>
    <w:basedOn w:val="Normal"/>
    <w:rsid w:val="00801681"/>
    <w:pPr>
      <w:spacing w:before="100" w:beforeAutospacing="1" w:after="100" w:afterAutospacing="1"/>
    </w:pPr>
    <w:rPr>
      <w:rFonts w:ascii="Times New Roman" w:hAnsi="Times New Roman"/>
      <w:szCs w:val="24"/>
      <w:lang w:eastAsia="en-GB"/>
    </w:rPr>
  </w:style>
  <w:style w:type="paragraph" w:customStyle="1" w:styleId="xl49">
    <w:name w:val="xl49"/>
    <w:basedOn w:val="Normal"/>
    <w:rsid w:val="00801681"/>
    <w:pPr>
      <w:pBdr>
        <w:top w:val="single" w:sz="8" w:space="0" w:color="auto"/>
        <w:left w:val="single" w:sz="8" w:space="0" w:color="auto"/>
        <w:right w:val="single" w:sz="4" w:space="0" w:color="auto"/>
      </w:pBdr>
      <w:spacing w:before="100" w:beforeAutospacing="1" w:after="100" w:afterAutospacing="1"/>
    </w:pPr>
    <w:rPr>
      <w:rFonts w:cs="Arial"/>
      <w:b/>
      <w:bCs/>
      <w:szCs w:val="24"/>
      <w:lang w:eastAsia="en-GB"/>
    </w:rPr>
  </w:style>
  <w:style w:type="paragraph" w:customStyle="1" w:styleId="xl50">
    <w:name w:val="xl50"/>
    <w:basedOn w:val="Normal"/>
    <w:rsid w:val="00801681"/>
    <w:pPr>
      <w:pBdr>
        <w:left w:val="single" w:sz="8" w:space="0" w:color="auto"/>
        <w:right w:val="single" w:sz="4" w:space="0" w:color="auto"/>
      </w:pBdr>
      <w:spacing w:before="100" w:beforeAutospacing="1" w:after="100" w:afterAutospacing="1"/>
      <w:jc w:val="center"/>
    </w:pPr>
    <w:rPr>
      <w:rFonts w:cs="Arial"/>
      <w:b/>
      <w:bCs/>
      <w:szCs w:val="24"/>
      <w:lang w:eastAsia="en-GB"/>
    </w:rPr>
  </w:style>
  <w:style w:type="paragraph" w:customStyle="1" w:styleId="xl51">
    <w:name w:val="xl51"/>
    <w:basedOn w:val="Normal"/>
    <w:rsid w:val="00801681"/>
    <w:pPr>
      <w:spacing w:before="100" w:beforeAutospacing="1" w:after="100" w:afterAutospacing="1"/>
    </w:pPr>
    <w:rPr>
      <w:rFonts w:cs="Arial"/>
      <w:szCs w:val="24"/>
      <w:lang w:eastAsia="en-GB"/>
    </w:rPr>
  </w:style>
  <w:style w:type="paragraph" w:customStyle="1" w:styleId="xl52">
    <w:name w:val="xl52"/>
    <w:basedOn w:val="Normal"/>
    <w:rsid w:val="00801681"/>
    <w:pPr>
      <w:spacing w:before="100" w:beforeAutospacing="1" w:after="100" w:afterAutospacing="1"/>
    </w:pPr>
    <w:rPr>
      <w:rFonts w:cs="Arial"/>
      <w:szCs w:val="24"/>
      <w:lang w:eastAsia="en-GB"/>
    </w:rPr>
  </w:style>
  <w:style w:type="paragraph" w:customStyle="1" w:styleId="xl53">
    <w:name w:val="xl53"/>
    <w:basedOn w:val="Normal"/>
    <w:rsid w:val="00801681"/>
    <w:pPr>
      <w:spacing w:before="100" w:beforeAutospacing="1" w:after="100" w:afterAutospacing="1"/>
      <w:textAlignment w:val="top"/>
    </w:pPr>
    <w:rPr>
      <w:rFonts w:cs="Arial"/>
      <w:szCs w:val="24"/>
      <w:lang w:eastAsia="en-GB"/>
    </w:rPr>
  </w:style>
  <w:style w:type="paragraph" w:customStyle="1" w:styleId="xl54">
    <w:name w:val="xl54"/>
    <w:basedOn w:val="Normal"/>
    <w:rsid w:val="00801681"/>
    <w:pPr>
      <w:spacing w:before="100" w:beforeAutospacing="1" w:after="100" w:afterAutospacing="1"/>
      <w:jc w:val="center"/>
    </w:pPr>
    <w:rPr>
      <w:rFonts w:ascii="Times New Roman" w:hAnsi="Times New Roman"/>
      <w:szCs w:val="24"/>
      <w:lang w:eastAsia="en-GB"/>
    </w:rPr>
  </w:style>
  <w:style w:type="paragraph" w:customStyle="1" w:styleId="xl55">
    <w:name w:val="xl55"/>
    <w:basedOn w:val="Normal"/>
    <w:rsid w:val="00801681"/>
    <w:pPr>
      <w:spacing w:before="100" w:beforeAutospacing="1" w:after="100" w:afterAutospacing="1"/>
    </w:pPr>
    <w:rPr>
      <w:rFonts w:cs="Arial"/>
      <w:szCs w:val="24"/>
      <w:lang w:eastAsia="en-GB"/>
    </w:rPr>
  </w:style>
  <w:style w:type="paragraph" w:customStyle="1" w:styleId="xl56">
    <w:name w:val="xl56"/>
    <w:basedOn w:val="Normal"/>
    <w:rsid w:val="00801681"/>
    <w:pPr>
      <w:spacing w:before="100" w:beforeAutospacing="1" w:after="100" w:afterAutospacing="1"/>
    </w:pPr>
    <w:rPr>
      <w:rFonts w:cs="Arial"/>
      <w:szCs w:val="24"/>
      <w:lang w:eastAsia="en-GB"/>
    </w:rPr>
  </w:style>
  <w:style w:type="paragraph" w:customStyle="1" w:styleId="xl57">
    <w:name w:val="xl57"/>
    <w:basedOn w:val="Normal"/>
    <w:rsid w:val="00801681"/>
    <w:pPr>
      <w:spacing w:before="100" w:beforeAutospacing="1" w:after="100" w:afterAutospacing="1"/>
      <w:textAlignment w:val="center"/>
    </w:pPr>
    <w:rPr>
      <w:rFonts w:cs="Arial"/>
      <w:szCs w:val="24"/>
      <w:lang w:eastAsia="en-GB"/>
    </w:rPr>
  </w:style>
  <w:style w:type="paragraph" w:customStyle="1" w:styleId="xl58">
    <w:name w:val="xl58"/>
    <w:basedOn w:val="Normal"/>
    <w:rsid w:val="00801681"/>
    <w:pPr>
      <w:spacing w:before="100" w:beforeAutospacing="1" w:after="100" w:afterAutospacing="1"/>
      <w:textAlignment w:val="center"/>
    </w:pPr>
    <w:rPr>
      <w:rFonts w:cs="Arial"/>
      <w:szCs w:val="24"/>
      <w:lang w:eastAsia="en-GB"/>
    </w:rPr>
  </w:style>
  <w:style w:type="paragraph" w:customStyle="1" w:styleId="xl59">
    <w:name w:val="xl59"/>
    <w:basedOn w:val="Normal"/>
    <w:rsid w:val="00801681"/>
    <w:pPr>
      <w:spacing w:before="100" w:beforeAutospacing="1" w:after="100" w:afterAutospacing="1"/>
      <w:textAlignment w:val="center"/>
    </w:pPr>
    <w:rPr>
      <w:rFonts w:cs="Arial"/>
      <w:szCs w:val="24"/>
      <w:lang w:eastAsia="en-GB"/>
    </w:rPr>
  </w:style>
  <w:style w:type="paragraph" w:customStyle="1" w:styleId="xl60">
    <w:name w:val="xl6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1">
    <w:name w:val="xl61"/>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2">
    <w:name w:val="xl62"/>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3">
    <w:name w:val="xl63"/>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64">
    <w:name w:val="xl64"/>
    <w:basedOn w:val="Normal"/>
    <w:rsid w:val="00801681"/>
    <w:pPr>
      <w:spacing w:before="100" w:beforeAutospacing="1" w:after="100" w:afterAutospacing="1"/>
      <w:textAlignment w:val="center"/>
    </w:pPr>
    <w:rPr>
      <w:rFonts w:ascii="Monotype Sorts" w:hAnsi="Monotype Sorts"/>
      <w:szCs w:val="24"/>
      <w:lang w:eastAsia="en-GB"/>
    </w:rPr>
  </w:style>
  <w:style w:type="paragraph" w:customStyle="1" w:styleId="xl65">
    <w:name w:val="xl65"/>
    <w:basedOn w:val="Normal"/>
    <w:rsid w:val="00801681"/>
    <w:pPr>
      <w:spacing w:before="100" w:beforeAutospacing="1" w:after="100" w:afterAutospacing="1"/>
    </w:pPr>
    <w:rPr>
      <w:rFonts w:ascii="Times New Roman" w:hAnsi="Times New Roman"/>
      <w:szCs w:val="24"/>
      <w:lang w:eastAsia="en-GB"/>
    </w:rPr>
  </w:style>
  <w:style w:type="paragraph" w:customStyle="1" w:styleId="xl66">
    <w:name w:val="xl66"/>
    <w:basedOn w:val="Normal"/>
    <w:rsid w:val="00801681"/>
    <w:pPr>
      <w:spacing w:before="100" w:beforeAutospacing="1" w:after="100" w:afterAutospacing="1"/>
    </w:pPr>
    <w:rPr>
      <w:rFonts w:ascii="Times New Roman" w:hAnsi="Times New Roman"/>
      <w:color w:val="C0C0C0"/>
      <w:szCs w:val="24"/>
      <w:lang w:eastAsia="en-GB"/>
    </w:rPr>
  </w:style>
  <w:style w:type="paragraph" w:customStyle="1" w:styleId="xl67">
    <w:name w:val="xl67"/>
    <w:basedOn w:val="Normal"/>
    <w:rsid w:val="00801681"/>
    <w:pPr>
      <w:spacing w:before="100" w:beforeAutospacing="1" w:after="100" w:afterAutospacing="1"/>
    </w:pPr>
    <w:rPr>
      <w:rFonts w:ascii="Wingdings 2" w:hAnsi="Wingdings 2"/>
      <w:szCs w:val="24"/>
      <w:lang w:eastAsia="en-GB"/>
    </w:rPr>
  </w:style>
  <w:style w:type="paragraph" w:customStyle="1" w:styleId="xl68">
    <w:name w:val="xl68"/>
    <w:basedOn w:val="Normal"/>
    <w:rsid w:val="00801681"/>
    <w:pPr>
      <w:spacing w:before="100" w:beforeAutospacing="1" w:after="100" w:afterAutospacing="1"/>
      <w:textAlignment w:val="top"/>
    </w:pPr>
    <w:rPr>
      <w:rFonts w:ascii="Times New Roman" w:hAnsi="Times New Roman"/>
      <w:szCs w:val="24"/>
      <w:lang w:eastAsia="en-GB"/>
    </w:rPr>
  </w:style>
  <w:style w:type="paragraph" w:customStyle="1" w:styleId="xl69">
    <w:name w:val="xl69"/>
    <w:basedOn w:val="Normal"/>
    <w:rsid w:val="00801681"/>
    <w:pPr>
      <w:spacing w:before="100" w:beforeAutospacing="1" w:after="100" w:afterAutospacing="1"/>
      <w:textAlignment w:val="center"/>
    </w:pPr>
    <w:rPr>
      <w:rFonts w:ascii="Wingdings 2" w:hAnsi="Wingdings 2"/>
      <w:szCs w:val="24"/>
      <w:lang w:eastAsia="en-GB"/>
    </w:rPr>
  </w:style>
  <w:style w:type="paragraph" w:customStyle="1" w:styleId="xl70">
    <w:name w:val="xl7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71">
    <w:name w:val="xl71"/>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72">
    <w:name w:val="xl72"/>
    <w:basedOn w:val="Normal"/>
    <w:rsid w:val="00801681"/>
    <w:pPr>
      <w:spacing w:before="100" w:beforeAutospacing="1" w:after="100" w:afterAutospacing="1"/>
      <w:jc w:val="right"/>
    </w:pPr>
    <w:rPr>
      <w:rFonts w:ascii="Times New Roman" w:hAnsi="Times New Roman"/>
      <w:szCs w:val="24"/>
      <w:lang w:eastAsia="en-GB"/>
    </w:rPr>
  </w:style>
  <w:style w:type="paragraph" w:customStyle="1" w:styleId="xl73">
    <w:name w:val="xl73"/>
    <w:basedOn w:val="Normal"/>
    <w:rsid w:val="00801681"/>
    <w:pPr>
      <w:spacing w:before="100" w:beforeAutospacing="1" w:after="100" w:afterAutospacing="1"/>
    </w:pPr>
    <w:rPr>
      <w:rFonts w:ascii="Times New Roman" w:hAnsi="Times New Roman"/>
      <w:color w:val="0000FF"/>
      <w:szCs w:val="24"/>
      <w:lang w:eastAsia="en-GB"/>
    </w:rPr>
  </w:style>
  <w:style w:type="paragraph" w:customStyle="1" w:styleId="xl74">
    <w:name w:val="xl74"/>
    <w:basedOn w:val="Normal"/>
    <w:rsid w:val="00801681"/>
    <w:pPr>
      <w:spacing w:before="100" w:beforeAutospacing="1" w:after="100" w:afterAutospacing="1"/>
    </w:pPr>
    <w:rPr>
      <w:rFonts w:ascii="Times New Roman" w:hAnsi="Times New Roman"/>
      <w:szCs w:val="24"/>
      <w:lang w:eastAsia="en-GB"/>
    </w:rPr>
  </w:style>
  <w:style w:type="paragraph" w:customStyle="1" w:styleId="xl75">
    <w:name w:val="xl75"/>
    <w:basedOn w:val="Normal"/>
    <w:rsid w:val="00801681"/>
    <w:pPr>
      <w:spacing w:before="100" w:beforeAutospacing="1" w:after="100" w:afterAutospacing="1"/>
    </w:pPr>
    <w:rPr>
      <w:rFonts w:ascii="Wingdings" w:hAnsi="Wingdings"/>
      <w:szCs w:val="24"/>
      <w:lang w:eastAsia="en-GB"/>
    </w:rPr>
  </w:style>
  <w:style w:type="paragraph" w:customStyle="1" w:styleId="xl76">
    <w:name w:val="xl76"/>
    <w:basedOn w:val="Normal"/>
    <w:rsid w:val="00801681"/>
    <w:pPr>
      <w:spacing w:before="100" w:beforeAutospacing="1" w:after="100" w:afterAutospacing="1"/>
    </w:pPr>
    <w:rPr>
      <w:rFonts w:cs="Arial"/>
      <w:szCs w:val="24"/>
      <w:lang w:eastAsia="en-GB"/>
    </w:rPr>
  </w:style>
  <w:style w:type="paragraph" w:customStyle="1" w:styleId="xl77">
    <w:name w:val="xl77"/>
    <w:basedOn w:val="Normal"/>
    <w:rsid w:val="00801681"/>
    <w:pPr>
      <w:shd w:val="clear" w:color="auto" w:fill="C0C0C0"/>
      <w:spacing w:before="100" w:beforeAutospacing="1" w:after="100" w:afterAutospacing="1"/>
    </w:pPr>
    <w:rPr>
      <w:rFonts w:ascii="Wingdings" w:hAnsi="Wingdings"/>
      <w:szCs w:val="24"/>
      <w:lang w:eastAsia="en-GB"/>
    </w:rPr>
  </w:style>
  <w:style w:type="paragraph" w:customStyle="1" w:styleId="xl78">
    <w:name w:val="xl78"/>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79">
    <w:name w:val="xl79"/>
    <w:basedOn w:val="Normal"/>
    <w:rsid w:val="00801681"/>
    <w:pPr>
      <w:shd w:val="clear" w:color="auto" w:fill="C0C0C0"/>
      <w:spacing w:before="100" w:beforeAutospacing="1" w:after="100" w:afterAutospacing="1"/>
    </w:pPr>
    <w:rPr>
      <w:rFonts w:cs="Arial"/>
      <w:szCs w:val="24"/>
      <w:lang w:eastAsia="en-GB"/>
    </w:rPr>
  </w:style>
  <w:style w:type="paragraph" w:customStyle="1" w:styleId="xl80">
    <w:name w:val="xl80"/>
    <w:basedOn w:val="Normal"/>
    <w:rsid w:val="00801681"/>
    <w:pPr>
      <w:spacing w:before="100" w:beforeAutospacing="1" w:after="100" w:afterAutospacing="1"/>
      <w:textAlignment w:val="center"/>
    </w:pPr>
    <w:rPr>
      <w:rFonts w:cs="Arial"/>
      <w:sz w:val="22"/>
      <w:szCs w:val="22"/>
      <w:lang w:eastAsia="en-GB"/>
    </w:rPr>
  </w:style>
  <w:style w:type="paragraph" w:customStyle="1" w:styleId="xl81">
    <w:name w:val="xl81"/>
    <w:basedOn w:val="Normal"/>
    <w:rsid w:val="00801681"/>
    <w:pPr>
      <w:spacing w:before="100" w:beforeAutospacing="1" w:after="100" w:afterAutospacing="1"/>
    </w:pPr>
    <w:rPr>
      <w:rFonts w:cs="Arial"/>
      <w:sz w:val="22"/>
      <w:szCs w:val="22"/>
      <w:lang w:eastAsia="en-GB"/>
    </w:rPr>
  </w:style>
  <w:style w:type="paragraph" w:customStyle="1" w:styleId="xl82">
    <w:name w:val="xl82"/>
    <w:basedOn w:val="Normal"/>
    <w:rsid w:val="00801681"/>
    <w:pPr>
      <w:spacing w:before="100" w:beforeAutospacing="1" w:after="100" w:afterAutospacing="1"/>
    </w:pPr>
    <w:rPr>
      <w:rFonts w:ascii="Times New Roman" w:hAnsi="Times New Roman"/>
      <w:szCs w:val="24"/>
      <w:lang w:eastAsia="en-GB"/>
    </w:rPr>
  </w:style>
  <w:style w:type="paragraph" w:customStyle="1" w:styleId="xl83">
    <w:name w:val="xl83"/>
    <w:basedOn w:val="Normal"/>
    <w:rsid w:val="00801681"/>
    <w:pPr>
      <w:spacing w:before="100" w:beforeAutospacing="1" w:after="100" w:afterAutospacing="1"/>
      <w:jc w:val="center"/>
    </w:pPr>
    <w:rPr>
      <w:rFonts w:ascii="Times New Roman" w:hAnsi="Times New Roman"/>
      <w:szCs w:val="24"/>
      <w:lang w:eastAsia="en-GB"/>
    </w:rPr>
  </w:style>
  <w:style w:type="paragraph" w:styleId="NormalWeb">
    <w:name w:val="Normal (Web)"/>
    <w:basedOn w:val="Normal"/>
    <w:rsid w:val="00F8311D"/>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F8311D"/>
    <w:rPr>
      <w:i/>
      <w:iCs/>
    </w:rPr>
  </w:style>
  <w:style w:type="paragraph" w:customStyle="1" w:styleId="Body">
    <w:name w:val="Body"/>
    <w:basedOn w:val="Normal"/>
    <w:rsid w:val="00F33006"/>
    <w:pPr>
      <w:spacing w:after="160"/>
      <w:ind w:left="720" w:right="720"/>
      <w:jc w:val="both"/>
    </w:pPr>
    <w:rPr>
      <w:rFonts w:ascii="Century Schoolbook" w:hAnsi="Century Schoolbook"/>
      <w:lang w:eastAsia="en-GB"/>
    </w:rPr>
  </w:style>
  <w:style w:type="paragraph" w:customStyle="1" w:styleId="Body3">
    <w:name w:val="Body 3"/>
    <w:basedOn w:val="Body"/>
    <w:rsid w:val="00F33006"/>
    <w:pPr>
      <w:spacing w:after="240"/>
      <w:ind w:left="1701" w:right="0"/>
    </w:pPr>
    <w:rPr>
      <w:rFonts w:ascii="Arial" w:hAnsi="Arial" w:cs="Arial"/>
      <w:sz w:val="20"/>
    </w:rPr>
  </w:style>
  <w:style w:type="paragraph" w:customStyle="1" w:styleId="Body0">
    <w:name w:val="Body*"/>
    <w:rsid w:val="00DF604C"/>
    <w:pPr>
      <w:keepLines/>
      <w:spacing w:line="320" w:lineRule="exact"/>
      <w:ind w:right="850"/>
      <w:jc w:val="both"/>
    </w:pPr>
    <w:rPr>
      <w:rFonts w:ascii="Perpetua" w:hAnsi="Perpetua"/>
      <w:noProof/>
      <w:sz w:val="26"/>
    </w:rPr>
  </w:style>
  <w:style w:type="paragraph" w:customStyle="1" w:styleId="Bullet1">
    <w:name w:val="Bullet 1"/>
    <w:basedOn w:val="Normal"/>
    <w:link w:val="Bullet1Char"/>
    <w:rsid w:val="006E5226"/>
    <w:pPr>
      <w:keepLines/>
      <w:tabs>
        <w:tab w:val="num" w:pos="794"/>
      </w:tabs>
      <w:spacing w:before="100"/>
      <w:ind w:left="794" w:hanging="397"/>
    </w:pPr>
    <w:rPr>
      <w:szCs w:val="24"/>
      <w:lang w:eastAsia="en-GB"/>
    </w:rPr>
  </w:style>
  <w:style w:type="character" w:customStyle="1" w:styleId="Bullet1Char">
    <w:name w:val="Bullet 1 Char"/>
    <w:basedOn w:val="DefaultParagraphFont"/>
    <w:link w:val="Bullet1"/>
    <w:rsid w:val="006E5226"/>
    <w:rPr>
      <w:rFonts w:ascii="Arial" w:hAnsi="Arial"/>
      <w:sz w:val="24"/>
      <w:szCs w:val="24"/>
      <w:lang w:val="en-GB" w:eastAsia="en-GB" w:bidi="ar-SA"/>
    </w:rPr>
  </w:style>
  <w:style w:type="paragraph" w:styleId="TOC3">
    <w:name w:val="toc 3"/>
    <w:basedOn w:val="Normal"/>
    <w:next w:val="Normal"/>
    <w:autoRedefine/>
    <w:semiHidden/>
    <w:rsid w:val="005B7B3D"/>
    <w:pPr>
      <w:ind w:left="480"/>
    </w:pPr>
  </w:style>
  <w:style w:type="paragraph" w:styleId="ListParagraph">
    <w:name w:val="List Paragraph"/>
    <w:basedOn w:val="Normal"/>
    <w:uiPriority w:val="34"/>
    <w:qFormat/>
    <w:rsid w:val="005B7B3D"/>
    <w:pPr>
      <w:ind w:left="720"/>
      <w:contextualSpacing/>
    </w:pPr>
    <w:rPr>
      <w:rFonts w:ascii="Times New Roman" w:eastAsia="Calibri" w:hAnsi="Times New Roman"/>
      <w:szCs w:val="24"/>
      <w:lang w:eastAsia="en-GB"/>
    </w:rPr>
  </w:style>
  <w:style w:type="paragraph" w:styleId="NoSpacing">
    <w:name w:val="No Spacing"/>
    <w:link w:val="NoSpacingChar"/>
    <w:qFormat/>
    <w:rsid w:val="005B7B3D"/>
    <w:rPr>
      <w:rFonts w:ascii="Calibri" w:eastAsia="Calibri" w:hAnsi="Calibri"/>
      <w:sz w:val="22"/>
      <w:szCs w:val="22"/>
      <w:lang w:val="en-US" w:eastAsia="en-US"/>
    </w:rPr>
  </w:style>
  <w:style w:type="character" w:customStyle="1" w:styleId="NoSpacingChar">
    <w:name w:val="No Spacing Char"/>
    <w:basedOn w:val="DefaultParagraphFont"/>
    <w:link w:val="NoSpacing"/>
    <w:locked/>
    <w:rsid w:val="005B7B3D"/>
    <w:rPr>
      <w:rFonts w:ascii="Calibri" w:eastAsia="Calibri" w:hAnsi="Calibri"/>
      <w:sz w:val="22"/>
      <w:szCs w:val="22"/>
      <w:lang w:val="en-US" w:eastAsia="en-US" w:bidi="ar-SA"/>
    </w:rPr>
  </w:style>
  <w:style w:type="paragraph" w:styleId="TOCHeading">
    <w:name w:val="TOC Heading"/>
    <w:basedOn w:val="Heading1"/>
    <w:next w:val="Normal"/>
    <w:qFormat/>
    <w:rsid w:val="005B7B3D"/>
    <w:pPr>
      <w:keepLines/>
      <w:spacing w:before="480" w:line="276" w:lineRule="auto"/>
      <w:ind w:left="0" w:firstLine="0"/>
      <w:jc w:val="left"/>
      <w:outlineLvl w:val="9"/>
    </w:pPr>
    <w:rPr>
      <w:rFonts w:ascii="Cambria" w:eastAsia="Calibri" w:hAnsi="Cambria"/>
      <w:bCs/>
      <w:color w:val="365F91"/>
      <w:sz w:val="28"/>
      <w:szCs w:val="28"/>
      <w:lang w:val="en-US"/>
    </w:rPr>
  </w:style>
  <w:style w:type="paragraph" w:customStyle="1" w:styleId="Bullets">
    <w:name w:val="Bullets"/>
    <w:basedOn w:val="BodyText"/>
    <w:rsid w:val="005B7B3D"/>
    <w:pPr>
      <w:tabs>
        <w:tab w:val="left" w:pos="648"/>
        <w:tab w:val="left" w:pos="936"/>
      </w:tabs>
      <w:spacing w:after="360"/>
      <w:jc w:val="both"/>
    </w:pPr>
    <w:rPr>
      <w:rFonts w:ascii="Garamond" w:eastAsia="Calibri" w:hAnsi="Garamond"/>
      <w:sz w:val="24"/>
      <w:lang w:eastAsia="en-GB"/>
    </w:rPr>
  </w:style>
  <w:style w:type="paragraph" w:styleId="CommentText">
    <w:name w:val="annotation text"/>
    <w:basedOn w:val="Normal"/>
    <w:semiHidden/>
    <w:rsid w:val="005334B3"/>
    <w:rPr>
      <w:sz w:val="20"/>
    </w:rPr>
  </w:style>
  <w:style w:type="character" w:customStyle="1" w:styleId="Heading2Char">
    <w:name w:val="Heading 2 Char"/>
    <w:basedOn w:val="DefaultParagraphFont"/>
    <w:locked/>
    <w:rsid w:val="00281AFF"/>
    <w:rPr>
      <w:rFonts w:ascii="Arial" w:hAnsi="Arial" w:cs="Arial"/>
      <w:b/>
      <w:bCs/>
      <w:i/>
      <w:iCs/>
      <w:sz w:val="28"/>
      <w:szCs w:val="28"/>
      <w:lang w:val="x-none" w:eastAsia="en-GB"/>
    </w:rPr>
  </w:style>
  <w:style w:type="table" w:customStyle="1" w:styleId="ColorfulShading-Accent41">
    <w:name w:val="Colorful Shading - Accent 41"/>
    <w:rsid w:val="00281AFF"/>
    <w:rPr>
      <w:rFonts w:ascii="Calibri" w:hAnsi="Calibri"/>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customStyle="1" w:styleId="ColorfulGrid-Accent41">
    <w:name w:val="Colorful Grid - Accent 4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ColorfulList-Accent11">
    <w:name w:val="Colorful List - Accent 11"/>
    <w:rsid w:val="00281AFF"/>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MediumShading2-Accent21">
    <w:name w:val="Medium Shading 2 - Accent 21"/>
    <w:rsid w:val="00281AF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11">
    <w:name w:val="Colorful Grid - Accent 1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maf">
    <w:name w:val="maf"/>
    <w:basedOn w:val="Default"/>
    <w:next w:val="Default"/>
    <w:rsid w:val="00281AFF"/>
    <w:rPr>
      <w:rFonts w:ascii="Times New Roman" w:eastAsia="Calibri" w:hAnsi="Times New Roman" w:cs="Times New Roman"/>
      <w:color w:val="auto"/>
      <w:lang w:val="en-US" w:eastAsia="en-US"/>
    </w:rPr>
  </w:style>
  <w:style w:type="character" w:customStyle="1" w:styleId="Hyperlink8">
    <w:name w:val="Hyperlink8"/>
    <w:basedOn w:val="DefaultParagraphFont"/>
    <w:rsid w:val="00281AFF"/>
    <w:rPr>
      <w:rFonts w:cs="Times New Roman"/>
      <w:b/>
      <w:bCs/>
      <w:color w:val="336699"/>
      <w:u w:val="none"/>
      <w:effect w:val="none"/>
    </w:rPr>
  </w:style>
  <w:style w:type="paragraph" w:customStyle="1" w:styleId="Question">
    <w:name w:val="Question"/>
    <w:basedOn w:val="Normal"/>
    <w:rsid w:val="00281AFF"/>
    <w:pPr>
      <w:tabs>
        <w:tab w:val="num" w:pos="709"/>
      </w:tabs>
      <w:spacing w:before="160" w:after="100"/>
      <w:ind w:left="709" w:hanging="567"/>
    </w:pPr>
    <w:rPr>
      <w:rFonts w:eastAsia="Calibri"/>
      <w:b/>
      <w:sz w:val="21"/>
    </w:rPr>
  </w:style>
  <w:style w:type="paragraph" w:customStyle="1" w:styleId="Section">
    <w:name w:val="Section"/>
    <w:basedOn w:val="Question"/>
    <w:rsid w:val="00281AFF"/>
    <w:pPr>
      <w:tabs>
        <w:tab w:val="clear" w:pos="709"/>
        <w:tab w:val="num" w:pos="567"/>
      </w:tabs>
      <w:spacing w:before="360" w:after="0"/>
      <w:ind w:left="567"/>
    </w:pPr>
    <w:rPr>
      <w:caps/>
      <w:sz w:val="25"/>
    </w:rPr>
  </w:style>
  <w:style w:type="paragraph" w:customStyle="1" w:styleId="QuestionFollowup">
    <w:name w:val="Question Followup"/>
    <w:basedOn w:val="Question"/>
    <w:rsid w:val="00281AFF"/>
    <w:pPr>
      <w:tabs>
        <w:tab w:val="clear" w:pos="709"/>
        <w:tab w:val="num" w:pos="567"/>
      </w:tabs>
      <w:ind w:left="567"/>
    </w:pPr>
  </w:style>
  <w:style w:type="paragraph" w:customStyle="1" w:styleId="Appendixhead">
    <w:name w:val="Appendix head"/>
    <w:basedOn w:val="Heading1"/>
    <w:next w:val="Normal"/>
    <w:rsid w:val="00281AFF"/>
    <w:pPr>
      <w:keepNext w:val="0"/>
      <w:pageBreakBefore/>
      <w:tabs>
        <w:tab w:val="left" w:pos="1021"/>
        <w:tab w:val="num" w:pos="1800"/>
      </w:tabs>
      <w:spacing w:after="1080"/>
      <w:ind w:left="431" w:hanging="431"/>
      <w:jc w:val="both"/>
      <w:outlineLvl w:val="9"/>
    </w:pPr>
    <w:rPr>
      <w:rFonts w:ascii="Verdana" w:eastAsia="Calibri" w:hAnsi="Verdana"/>
      <w:kern w:val="28"/>
      <w:sz w:val="32"/>
      <w:szCs w:val="24"/>
    </w:rPr>
  </w:style>
  <w:style w:type="paragraph" w:customStyle="1" w:styleId="Appendixtext">
    <w:name w:val="Appendix text"/>
    <w:basedOn w:val="Heading2"/>
    <w:rsid w:val="00281AFF"/>
    <w:pPr>
      <w:keepNext w:val="0"/>
      <w:keepLines/>
      <w:tabs>
        <w:tab w:val="num" w:pos="576"/>
        <w:tab w:val="left" w:pos="1021"/>
        <w:tab w:val="num" w:pos="1152"/>
      </w:tabs>
      <w:spacing w:before="240" w:after="60"/>
      <w:ind w:left="578" w:hanging="578"/>
      <w:jc w:val="both"/>
    </w:pPr>
    <w:rPr>
      <w:rFonts w:ascii="Verdana" w:eastAsia="Calibri" w:hAnsi="Verdana" w:cs="Arial"/>
      <w:b w:val="0"/>
      <w:bCs/>
      <w:iCs/>
      <w:color w:val="auto"/>
      <w:sz w:val="22"/>
      <w:szCs w:val="28"/>
      <w:lang w:val="en-US"/>
    </w:rPr>
  </w:style>
  <w:style w:type="paragraph" w:customStyle="1" w:styleId="bulletscs1">
    <w:name w:val="bullet scs1"/>
    <w:basedOn w:val="Normal"/>
    <w:rsid w:val="00281AFF"/>
    <w:pPr>
      <w:tabs>
        <w:tab w:val="left" w:pos="907"/>
      </w:tabs>
      <w:spacing w:after="120"/>
      <w:ind w:right="658"/>
    </w:pPr>
    <w:rPr>
      <w:rFonts w:eastAsia="Calibri"/>
      <w:sz w:val="22"/>
      <w:szCs w:val="24"/>
    </w:rPr>
  </w:style>
  <w:style w:type="paragraph" w:customStyle="1" w:styleId="wfxRecipient">
    <w:name w:val="wfxRecipient"/>
    <w:basedOn w:val="Normal"/>
    <w:rsid w:val="00281AFF"/>
    <w:rPr>
      <w:rFonts w:ascii="Times New Roman" w:eastAsia="Calibri" w:hAnsi="Times New Roman"/>
      <w:szCs w:val="24"/>
    </w:rPr>
  </w:style>
  <w:style w:type="paragraph" w:customStyle="1" w:styleId="Tabledata">
    <w:name w:val="Table data"/>
    <w:basedOn w:val="Normal"/>
    <w:rsid w:val="00281AFF"/>
    <w:pPr>
      <w:ind w:right="113"/>
      <w:jc w:val="right"/>
    </w:pPr>
    <w:rPr>
      <w:rFonts w:eastAsia="Calibri"/>
      <w:color w:val="000000"/>
      <w:sz w:val="22"/>
      <w:szCs w:val="24"/>
    </w:rPr>
  </w:style>
  <w:style w:type="paragraph" w:customStyle="1" w:styleId="Appendixhead2">
    <w:name w:val="Appendixhead2"/>
    <w:basedOn w:val="Heading2"/>
    <w:rsid w:val="00281AFF"/>
    <w:pPr>
      <w:keepNext w:val="0"/>
      <w:keepLines/>
      <w:tabs>
        <w:tab w:val="left" w:pos="1021"/>
      </w:tabs>
      <w:spacing w:before="120" w:after="120"/>
      <w:ind w:left="142" w:hanging="708"/>
      <w:jc w:val="both"/>
      <w:outlineLvl w:val="9"/>
    </w:pPr>
    <w:rPr>
      <w:rFonts w:ascii="Verdana" w:eastAsia="Calibri" w:hAnsi="Verdana"/>
      <w:b w:val="0"/>
      <w:i/>
      <w:noProof/>
      <w:color w:val="auto"/>
      <w:sz w:val="24"/>
      <w:szCs w:val="24"/>
      <w:u w:val="single"/>
      <w:lang w:val="en-US"/>
    </w:rPr>
  </w:style>
  <w:style w:type="paragraph" w:customStyle="1" w:styleId="TABLEHEADING">
    <w:name w:val="TABLE HEADING"/>
    <w:basedOn w:val="Normal"/>
    <w:rsid w:val="00281AFF"/>
    <w:rPr>
      <w:rFonts w:ascii="Times New Roman" w:eastAsia="Calibri" w:hAnsi="Times New Roman"/>
      <w:b/>
      <w:szCs w:val="24"/>
    </w:rPr>
  </w:style>
  <w:style w:type="paragraph" w:customStyle="1" w:styleId="cncont">
    <w:name w:val="cn_cont"/>
    <w:basedOn w:val="Normal"/>
    <w:rsid w:val="00281AFF"/>
    <w:pPr>
      <w:spacing w:before="100" w:beforeAutospacing="1" w:after="100" w:afterAutospacing="1"/>
    </w:pPr>
    <w:rPr>
      <w:rFonts w:ascii="Verdana" w:eastAsia="Calibri" w:hAnsi="Verdana"/>
      <w:color w:val="000066"/>
      <w:sz w:val="18"/>
      <w:szCs w:val="18"/>
      <w:lang w:val="en-US"/>
    </w:rPr>
  </w:style>
  <w:style w:type="paragraph" w:styleId="TOC4">
    <w:name w:val="toc 4"/>
    <w:basedOn w:val="Normal"/>
    <w:next w:val="Normal"/>
    <w:autoRedefine/>
    <w:rsid w:val="00281AFF"/>
    <w:pPr>
      <w:spacing w:after="100" w:line="276" w:lineRule="auto"/>
      <w:ind w:left="660"/>
    </w:pPr>
    <w:rPr>
      <w:rFonts w:ascii="Calibri" w:eastAsia="Calibri" w:hAnsi="Calibri"/>
      <w:sz w:val="22"/>
      <w:szCs w:val="22"/>
      <w:lang w:eastAsia="en-GB"/>
    </w:rPr>
  </w:style>
  <w:style w:type="paragraph" w:styleId="TOC5">
    <w:name w:val="toc 5"/>
    <w:basedOn w:val="Normal"/>
    <w:next w:val="Normal"/>
    <w:autoRedefine/>
    <w:rsid w:val="00281AFF"/>
    <w:pPr>
      <w:spacing w:after="100" w:line="276" w:lineRule="auto"/>
      <w:ind w:left="880"/>
    </w:pPr>
    <w:rPr>
      <w:rFonts w:ascii="Calibri" w:eastAsia="Calibri" w:hAnsi="Calibri"/>
      <w:sz w:val="22"/>
      <w:szCs w:val="22"/>
      <w:lang w:eastAsia="en-GB"/>
    </w:rPr>
  </w:style>
  <w:style w:type="paragraph" w:styleId="TOC6">
    <w:name w:val="toc 6"/>
    <w:basedOn w:val="Normal"/>
    <w:next w:val="Normal"/>
    <w:autoRedefine/>
    <w:rsid w:val="00281AFF"/>
    <w:pPr>
      <w:spacing w:after="100" w:line="276" w:lineRule="auto"/>
      <w:ind w:left="1100"/>
    </w:pPr>
    <w:rPr>
      <w:rFonts w:ascii="Calibri" w:eastAsia="Calibri" w:hAnsi="Calibri"/>
      <w:sz w:val="22"/>
      <w:szCs w:val="22"/>
      <w:lang w:eastAsia="en-GB"/>
    </w:rPr>
  </w:style>
  <w:style w:type="paragraph" w:styleId="TOC7">
    <w:name w:val="toc 7"/>
    <w:basedOn w:val="Normal"/>
    <w:next w:val="Normal"/>
    <w:autoRedefine/>
    <w:rsid w:val="00281AFF"/>
    <w:pPr>
      <w:spacing w:after="100" w:line="276" w:lineRule="auto"/>
      <w:ind w:left="1320"/>
    </w:pPr>
    <w:rPr>
      <w:rFonts w:ascii="Calibri" w:eastAsia="Calibri" w:hAnsi="Calibri"/>
      <w:sz w:val="22"/>
      <w:szCs w:val="22"/>
      <w:lang w:eastAsia="en-GB"/>
    </w:rPr>
  </w:style>
  <w:style w:type="paragraph" w:styleId="TOC8">
    <w:name w:val="toc 8"/>
    <w:basedOn w:val="Normal"/>
    <w:next w:val="Normal"/>
    <w:autoRedefine/>
    <w:rsid w:val="00281AFF"/>
    <w:pPr>
      <w:spacing w:after="100" w:line="276" w:lineRule="auto"/>
      <w:ind w:left="1540"/>
    </w:pPr>
    <w:rPr>
      <w:rFonts w:ascii="Calibri" w:eastAsia="Calibri" w:hAnsi="Calibri"/>
      <w:sz w:val="22"/>
      <w:szCs w:val="22"/>
      <w:lang w:eastAsia="en-GB"/>
    </w:rPr>
  </w:style>
  <w:style w:type="paragraph" w:styleId="TOC9">
    <w:name w:val="toc 9"/>
    <w:basedOn w:val="Normal"/>
    <w:next w:val="Normal"/>
    <w:autoRedefine/>
    <w:rsid w:val="00281AFF"/>
    <w:pPr>
      <w:spacing w:after="100" w:line="276" w:lineRule="auto"/>
      <w:ind w:left="1760"/>
    </w:pPr>
    <w:rPr>
      <w:rFonts w:ascii="Calibri" w:eastAsia="Calibri" w:hAnsi="Calibri"/>
      <w:sz w:val="22"/>
      <w:szCs w:val="22"/>
      <w:lang w:eastAsia="en-GB"/>
    </w:rPr>
  </w:style>
  <w:style w:type="character" w:customStyle="1" w:styleId="subhead21">
    <w:name w:val="subhead21"/>
    <w:basedOn w:val="DefaultParagraphFont"/>
    <w:rsid w:val="00281AFF"/>
    <w:rPr>
      <w:rFonts w:ascii="Arial" w:hAnsi="Arial" w:cs="Arial"/>
      <w:b/>
      <w:bCs/>
      <w:color w:val="559EDA"/>
      <w:sz w:val="22"/>
      <w:szCs w:val="22"/>
    </w:rPr>
  </w:style>
  <w:style w:type="paragraph" w:customStyle="1" w:styleId="Style1">
    <w:name w:val="Style1"/>
    <w:basedOn w:val="Heading1"/>
    <w:rsid w:val="00281AFF"/>
    <w:pPr>
      <w:spacing w:before="240" w:after="60"/>
      <w:ind w:left="0" w:firstLine="0"/>
      <w:jc w:val="left"/>
    </w:pPr>
    <w:rPr>
      <w:rFonts w:ascii="FoundryFormSans-Book" w:eastAsia="Calibri" w:hAnsi="FoundryFormSans-Book" w:cs="FoundryFormSans-Book"/>
      <w:bCs/>
      <w:color w:val="008000"/>
      <w:kern w:val="32"/>
      <w:sz w:val="40"/>
      <w:szCs w:val="40"/>
      <w:lang w:val="en-US"/>
    </w:rPr>
  </w:style>
  <w:style w:type="table" w:customStyle="1" w:styleId="MediumList2-Accent11">
    <w:name w:val="Medium List 2 - Accent 11"/>
    <w:rsid w:val="00281AFF"/>
    <w:rPr>
      <w:rFonts w:ascii="Cambria" w:eastAsia="Calibri"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tabs">
    <w:name w:val="tabs"/>
    <w:basedOn w:val="Normal"/>
    <w:next w:val="Normal"/>
    <w:rsid w:val="00281AFF"/>
    <w:rPr>
      <w:rFonts w:ascii="Garamond" w:eastAsia="Calibri" w:hAnsi="Garamond"/>
      <w:sz w:val="22"/>
      <w:lang w:eastAsia="en-GB"/>
    </w:rPr>
  </w:style>
  <w:style w:type="paragraph" w:customStyle="1" w:styleId="Heading2NonTOC">
    <w:name w:val="Heading 2 Non TOC"/>
    <w:basedOn w:val="BodyText"/>
    <w:next w:val="BodyText"/>
    <w:rsid w:val="00281AFF"/>
    <w:pPr>
      <w:keepNext/>
      <w:spacing w:after="120"/>
    </w:pPr>
    <w:rPr>
      <w:rFonts w:ascii="RotisSansSerifExtraBold" w:eastAsia="Calibri" w:hAnsi="RotisSansSerifExtraBold"/>
      <w:sz w:val="32"/>
      <w:lang w:eastAsia="en-GB"/>
    </w:rPr>
  </w:style>
  <w:style w:type="table" w:customStyle="1" w:styleId="LightList1">
    <w:name w:val="Light List1"/>
    <w:rsid w:val="00281AFF"/>
    <w:rPr>
      <w:rFonts w:ascii="Calibri" w:eastAsia="Calibri" w:hAnsi="Calibri"/>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harChar11">
    <w:name w:val="Char Char11"/>
    <w:basedOn w:val="DefaultParagraphFont"/>
    <w:rsid w:val="009F6BE0"/>
    <w:rPr>
      <w:rFonts w:ascii="Arial" w:eastAsia="Times New Roman" w:hAnsi="Arial" w:cs="Arial"/>
      <w:b/>
      <w:bCs/>
      <w:i/>
      <w:iCs/>
      <w:sz w:val="28"/>
      <w:szCs w:val="28"/>
      <w:lang w:eastAsia="en-GB"/>
    </w:rPr>
  </w:style>
  <w:style w:type="character" w:customStyle="1" w:styleId="CharChar7">
    <w:name w:val="Char Char7"/>
    <w:basedOn w:val="DefaultParagraphFont"/>
    <w:rsid w:val="009F6BE0"/>
    <w:rPr>
      <w:rFonts w:ascii="Novarese Medium" w:eastAsia="Times New Roman" w:hAnsi="Novarese Medium" w:cs="Tahoma"/>
      <w:b/>
      <w:bCs/>
      <w:spacing w:val="-3"/>
      <w:sz w:val="24"/>
      <w:szCs w:val="24"/>
    </w:rPr>
  </w:style>
  <w:style w:type="character" w:customStyle="1" w:styleId="CharChar6">
    <w:name w:val="Char Char6"/>
    <w:basedOn w:val="DefaultParagraphFont"/>
    <w:rsid w:val="009F6BE0"/>
    <w:rPr>
      <w:rFonts w:ascii="Times New Roman" w:eastAsia="Times New Roman" w:hAnsi="Times New Roman" w:cs="Times New Roman"/>
      <w:sz w:val="24"/>
      <w:szCs w:val="24"/>
      <w:lang w:eastAsia="en-GB"/>
    </w:rPr>
  </w:style>
  <w:style w:type="character" w:customStyle="1" w:styleId="CharChar4">
    <w:name w:val="Char Char4"/>
    <w:basedOn w:val="DefaultParagraphFont"/>
    <w:rsid w:val="009F6BE0"/>
    <w:rPr>
      <w:rFonts w:ascii="Times New Roman" w:eastAsia="Times New Roman" w:hAnsi="Times New Roman" w:cs="Times New Roman"/>
      <w:sz w:val="24"/>
      <w:szCs w:val="24"/>
      <w:lang w:eastAsia="en-GB"/>
    </w:rPr>
  </w:style>
  <w:style w:type="character" w:customStyle="1" w:styleId="CharChar12">
    <w:name w:val="Char Char12"/>
    <w:basedOn w:val="DefaultParagraphFont"/>
    <w:rsid w:val="009F6BE0"/>
    <w:rPr>
      <w:rFonts w:ascii="Cambria" w:eastAsia="Times New Roman" w:hAnsi="Cambria" w:cs="Times New Roman"/>
      <w:b/>
      <w:bCs/>
      <w:color w:val="365F91"/>
      <w:sz w:val="28"/>
      <w:szCs w:val="28"/>
      <w:lang w:eastAsia="en-GB"/>
    </w:rPr>
  </w:style>
  <w:style w:type="character" w:customStyle="1" w:styleId="CharChar10">
    <w:name w:val="Char Char10"/>
    <w:basedOn w:val="DefaultParagraphFont"/>
    <w:rsid w:val="009F6BE0"/>
    <w:rPr>
      <w:rFonts w:ascii="Arial" w:eastAsia="Times New Roman" w:hAnsi="Arial" w:cs="Arial"/>
      <w:b/>
      <w:bCs/>
      <w:sz w:val="26"/>
      <w:szCs w:val="26"/>
      <w:lang w:eastAsia="en-GB"/>
    </w:rPr>
  </w:style>
  <w:style w:type="character" w:customStyle="1" w:styleId="CharChar9">
    <w:name w:val="Char Char9"/>
    <w:basedOn w:val="DefaultParagraphFont"/>
    <w:rsid w:val="009F6BE0"/>
    <w:rPr>
      <w:rFonts w:ascii="Times New Roman" w:eastAsia="Times New Roman" w:hAnsi="Times New Roman" w:cs="Times New Roman"/>
      <w:i/>
      <w:iCs/>
      <w:sz w:val="24"/>
      <w:szCs w:val="24"/>
      <w:lang w:eastAsia="en-GB"/>
    </w:rPr>
  </w:style>
  <w:style w:type="character" w:customStyle="1" w:styleId="CharChar2">
    <w:name w:val="Char Char2"/>
    <w:basedOn w:val="DefaultParagraphFont"/>
    <w:rsid w:val="009F6BE0"/>
    <w:rPr>
      <w:rFonts w:ascii="Arial" w:eastAsia="Times New Roman" w:hAnsi="Arial" w:cs="Times New Roman"/>
      <w:sz w:val="24"/>
      <w:szCs w:val="20"/>
    </w:rPr>
  </w:style>
  <w:style w:type="character" w:customStyle="1" w:styleId="CharChar">
    <w:name w:val="Char Char"/>
    <w:basedOn w:val="DefaultParagraphFont"/>
    <w:rsid w:val="009F6BE0"/>
    <w:rPr>
      <w:rFonts w:ascii="Times New Roman" w:eastAsia="Times New Roman" w:hAnsi="Times New Roman" w:cs="Times New Roman"/>
      <w:b/>
      <w:bCs/>
      <w:sz w:val="24"/>
      <w:szCs w:val="24"/>
    </w:rPr>
  </w:style>
  <w:style w:type="character" w:styleId="CommentReference">
    <w:name w:val="annotation reference"/>
    <w:basedOn w:val="DefaultParagraphFont"/>
    <w:semiHidden/>
    <w:rsid w:val="004206B5"/>
    <w:rPr>
      <w:sz w:val="16"/>
      <w:szCs w:val="16"/>
    </w:rPr>
  </w:style>
  <w:style w:type="paragraph" w:customStyle="1" w:styleId="intro">
    <w:name w:val="intro"/>
    <w:basedOn w:val="Normal"/>
    <w:rsid w:val="00344FB6"/>
    <w:pPr>
      <w:spacing w:before="100" w:beforeAutospacing="1" w:after="100" w:afterAutospacing="1"/>
    </w:pPr>
    <w:rPr>
      <w:rFonts w:ascii="Times New Roman" w:hAnsi="Times New Roman"/>
      <w:color w:val="003366"/>
      <w:sz w:val="29"/>
      <w:szCs w:val="29"/>
      <w:lang w:eastAsia="en-GB"/>
    </w:rPr>
  </w:style>
  <w:style w:type="paragraph" w:styleId="Index1">
    <w:name w:val="index 1"/>
    <w:basedOn w:val="Normal"/>
    <w:next w:val="Normal"/>
    <w:autoRedefine/>
    <w:semiHidden/>
    <w:rsid w:val="00BA3CD7"/>
    <w:pPr>
      <w:ind w:left="240" w:hanging="240"/>
    </w:pPr>
    <w:rPr>
      <w:rFonts w:ascii="Times New Roman" w:hAnsi="Times New Roman"/>
      <w:szCs w:val="24"/>
      <w:lang w:eastAsia="en-GB"/>
    </w:rPr>
  </w:style>
  <w:style w:type="paragraph" w:customStyle="1" w:styleId="FooterAssetFinanceflyers">
    <w:name w:val="Footer (Asset Finance flyers)"/>
    <w:basedOn w:val="Normal"/>
    <w:rsid w:val="00BA3CD7"/>
    <w:pPr>
      <w:suppressAutoHyphens/>
      <w:autoSpaceDE w:val="0"/>
      <w:autoSpaceDN w:val="0"/>
      <w:adjustRightInd w:val="0"/>
      <w:spacing w:line="200" w:lineRule="atLeast"/>
      <w:jc w:val="both"/>
      <w:textAlignment w:val="center"/>
    </w:pPr>
    <w:rPr>
      <w:rFonts w:ascii="Bliss 2 Regular" w:hAnsi="Bliss 2 Regular" w:cs="Bliss 2 Regular"/>
      <w:color w:val="006792"/>
      <w:spacing w:val="-5"/>
      <w:sz w:val="16"/>
      <w:szCs w:val="16"/>
    </w:rPr>
  </w:style>
  <w:style w:type="character" w:customStyle="1" w:styleId="normaltext1">
    <w:name w:val="normaltext1"/>
    <w:basedOn w:val="DefaultParagraphFont"/>
    <w:rsid w:val="00BA3CD7"/>
    <w:rPr>
      <w:rFonts w:ascii="Arial" w:hAnsi="Arial" w:cs="Arial" w:hint="default"/>
      <w:i w:val="0"/>
      <w:iCs w:val="0"/>
      <w:color w:val="666666"/>
      <w:sz w:val="13"/>
      <w:szCs w:val="13"/>
    </w:rPr>
  </w:style>
  <w:style w:type="character" w:customStyle="1" w:styleId="enquiry1">
    <w:name w:val="enquiry1"/>
    <w:basedOn w:val="DefaultParagraphFont"/>
    <w:rsid w:val="00BA3CD7"/>
    <w:rPr>
      <w:rFonts w:ascii="Verdana" w:hAnsi="Verdana" w:hint="default"/>
      <w:b w:val="0"/>
      <w:bCs w:val="0"/>
      <w:i w:val="0"/>
      <w:iCs w:val="0"/>
      <w:strike w:val="0"/>
      <w:dstrike w:val="0"/>
      <w:color w:val="333366"/>
      <w:sz w:val="15"/>
      <w:szCs w:val="15"/>
      <w:u w:val="none"/>
      <w:effect w:val="none"/>
    </w:rPr>
  </w:style>
  <w:style w:type="character" w:customStyle="1" w:styleId="StyleComplexArialComplex11pt">
    <w:name w:val="Style (Complex) Arial (Complex) 11 pt"/>
    <w:basedOn w:val="DefaultParagraphFont"/>
    <w:rsid w:val="001313AE"/>
    <w:rPr>
      <w:rFonts w:cs="Arial"/>
      <w:sz w:val="22"/>
      <w:szCs w:val="22"/>
    </w:rPr>
  </w:style>
  <w:style w:type="paragraph" w:customStyle="1" w:styleId="ecxmsonormal">
    <w:name w:val="ecxmsonormal"/>
    <w:basedOn w:val="Normal"/>
    <w:rsid w:val="007B6F69"/>
    <w:pPr>
      <w:spacing w:after="324"/>
    </w:pPr>
    <w:rPr>
      <w:rFonts w:ascii="Times New Roman" w:hAnsi="Times New Roman"/>
      <w:szCs w:val="24"/>
      <w:lang w:val="en-US"/>
    </w:rPr>
  </w:style>
  <w:style w:type="character" w:customStyle="1" w:styleId="SectionHeadingCharChar">
    <w:name w:val="Section Heading Char Char"/>
    <w:basedOn w:val="DefaultParagraphFont"/>
    <w:locked/>
    <w:rsid w:val="00CA4E51"/>
    <w:rPr>
      <w:rFonts w:ascii="Arial" w:hAnsi="Arial"/>
      <w:b/>
      <w:sz w:val="22"/>
      <w:lang w:val="en-GB" w:eastAsia="en-US" w:bidi="ar-SA"/>
    </w:rPr>
  </w:style>
  <w:style w:type="character" w:customStyle="1" w:styleId="CharChar19">
    <w:name w:val="Char Char19"/>
    <w:basedOn w:val="DefaultParagraphFont"/>
    <w:locked/>
    <w:rsid w:val="00CA4E51"/>
    <w:rPr>
      <w:rFonts w:ascii="Arial" w:hAnsi="Arial"/>
      <w:b/>
      <w:i/>
      <w:sz w:val="22"/>
      <w:lang w:val="en-GB" w:eastAsia="en-US" w:bidi="ar-SA"/>
    </w:rPr>
  </w:style>
  <w:style w:type="character" w:customStyle="1" w:styleId="CharChar18">
    <w:name w:val="Char Char18"/>
    <w:basedOn w:val="DefaultParagraphFont"/>
    <w:locked/>
    <w:rsid w:val="00CA4E51"/>
    <w:rPr>
      <w:rFonts w:ascii="Arial" w:hAnsi="Arial"/>
      <w:b/>
      <w:sz w:val="22"/>
      <w:lang w:val="en-GB" w:eastAsia="en-US" w:bidi="ar-SA"/>
    </w:rPr>
  </w:style>
  <w:style w:type="character" w:customStyle="1" w:styleId="CharChar17">
    <w:name w:val="Char Char17"/>
    <w:basedOn w:val="DefaultParagraphFont"/>
    <w:locked/>
    <w:rsid w:val="00CA4E51"/>
    <w:rPr>
      <w:rFonts w:ascii="Arial" w:hAnsi="Arial"/>
      <w:sz w:val="24"/>
      <w:lang w:val="en-GB" w:eastAsia="en-US" w:bidi="ar-SA"/>
    </w:rPr>
  </w:style>
  <w:style w:type="character" w:customStyle="1" w:styleId="CharChar16">
    <w:name w:val="Char Char16"/>
    <w:basedOn w:val="DefaultParagraphFont"/>
    <w:locked/>
    <w:rsid w:val="00CA4E51"/>
    <w:rPr>
      <w:rFonts w:ascii="Arial" w:hAnsi="Arial"/>
      <w:sz w:val="24"/>
      <w:lang w:val="en-GB" w:eastAsia="en-US" w:bidi="ar-SA"/>
    </w:rPr>
  </w:style>
  <w:style w:type="character" w:customStyle="1" w:styleId="CharChar15">
    <w:name w:val="Char Char15"/>
    <w:basedOn w:val="DefaultParagraphFont"/>
    <w:locked/>
    <w:rsid w:val="00CA4E51"/>
    <w:rPr>
      <w:rFonts w:ascii="Arial" w:hAnsi="Arial"/>
      <w:sz w:val="22"/>
      <w:lang w:val="en-GB" w:eastAsia="en-US" w:bidi="ar-SA"/>
    </w:rPr>
  </w:style>
  <w:style w:type="character" w:customStyle="1" w:styleId="CharChar14">
    <w:name w:val="Char Char14"/>
    <w:basedOn w:val="DefaultParagraphFont"/>
    <w:locked/>
    <w:rsid w:val="00CA4E51"/>
    <w:rPr>
      <w:rFonts w:ascii="Arial" w:hAnsi="Arial"/>
      <w:b/>
      <w:sz w:val="22"/>
      <w:lang w:val="en-GB" w:eastAsia="en-US" w:bidi="ar-SA"/>
    </w:rPr>
  </w:style>
  <w:style w:type="character" w:customStyle="1" w:styleId="CharChar8">
    <w:name w:val="Char Char8"/>
    <w:basedOn w:val="DefaultParagraphFont"/>
    <w:locked/>
    <w:rsid w:val="00CA4E51"/>
    <w:rPr>
      <w:rFonts w:ascii="Arial" w:hAnsi="Arial"/>
      <w:sz w:val="18"/>
      <w:lang w:val="en-GB" w:eastAsia="en-US" w:bidi="ar-SA"/>
    </w:rPr>
  </w:style>
  <w:style w:type="paragraph" w:customStyle="1" w:styleId="abody">
    <w:name w:val="a body"/>
    <w:basedOn w:val="Normal"/>
    <w:link w:val="abodyChar"/>
    <w:qFormat/>
    <w:rsid w:val="00D62C7D"/>
    <w:pPr>
      <w:numPr>
        <w:ilvl w:val="1"/>
        <w:numId w:val="1"/>
      </w:numPr>
      <w:spacing w:before="120" w:after="240" w:line="300" w:lineRule="exact"/>
      <w:jc w:val="both"/>
    </w:pPr>
    <w:rPr>
      <w:color w:val="323232"/>
      <w:sz w:val="22"/>
      <w:szCs w:val="28"/>
      <w:lang w:val="x-none"/>
    </w:rPr>
  </w:style>
  <w:style w:type="character" w:customStyle="1" w:styleId="abodyChar">
    <w:name w:val="a body Char"/>
    <w:link w:val="abody"/>
    <w:rsid w:val="00D62C7D"/>
    <w:rPr>
      <w:rFonts w:ascii="Arial" w:hAnsi="Arial"/>
      <w:color w:val="323232"/>
      <w:sz w:val="22"/>
      <w:szCs w:val="28"/>
      <w:lang w:val="x-none" w:eastAsia="en-US" w:bidi="ar-SA"/>
    </w:rPr>
  </w:style>
  <w:style w:type="paragraph" w:customStyle="1" w:styleId="Style4">
    <w:name w:val="Style4"/>
    <w:basedOn w:val="abody"/>
    <w:link w:val="Style4Char"/>
    <w:qFormat/>
    <w:rsid w:val="00D62C7D"/>
    <w:pPr>
      <w:numPr>
        <w:ilvl w:val="0"/>
        <w:numId w:val="2"/>
      </w:numPr>
    </w:pPr>
    <w:rPr>
      <w:lang w:val="en-GB"/>
    </w:rPr>
  </w:style>
  <w:style w:type="character" w:customStyle="1" w:styleId="Style4Char">
    <w:name w:val="Style4 Char"/>
    <w:basedOn w:val="abodyChar"/>
    <w:link w:val="Style4"/>
    <w:rsid w:val="00D62C7D"/>
    <w:rPr>
      <w:rFonts w:ascii="Arial" w:hAnsi="Arial"/>
      <w:color w:val="323232"/>
      <w:sz w:val="22"/>
      <w:szCs w:val="28"/>
      <w:lang w:val="en-GB" w:eastAsia="en-US" w:bidi="ar-SA"/>
    </w:rPr>
  </w:style>
  <w:style w:type="paragraph" w:customStyle="1" w:styleId="ReportHeader">
    <w:name w:val="Report Header"/>
    <w:basedOn w:val="Normal"/>
    <w:rsid w:val="00817A94"/>
    <w:pPr>
      <w:numPr>
        <w:numId w:val="3"/>
      </w:numPr>
      <w:spacing w:after="240"/>
      <w:jc w:val="both"/>
    </w:pPr>
    <w:rPr>
      <w:rFonts w:cs="Arial"/>
      <w:b/>
      <w:sz w:val="22"/>
      <w:szCs w:val="24"/>
    </w:rPr>
  </w:style>
  <w:style w:type="paragraph" w:customStyle="1" w:styleId="ReportText">
    <w:name w:val="Report Text"/>
    <w:basedOn w:val="Normal"/>
    <w:rsid w:val="00817A94"/>
    <w:pPr>
      <w:numPr>
        <w:ilvl w:val="1"/>
        <w:numId w:val="3"/>
      </w:numPr>
      <w:spacing w:after="240"/>
      <w:jc w:val="both"/>
    </w:pPr>
    <w:rPr>
      <w:rFonts w:cs="Arial"/>
      <w:sz w:val="22"/>
      <w:szCs w:val="24"/>
    </w:rPr>
  </w:style>
  <w:style w:type="paragraph" w:customStyle="1" w:styleId="ReportBody">
    <w:name w:val="Report Body"/>
    <w:basedOn w:val="Heading1"/>
    <w:rsid w:val="00817A94"/>
    <w:pPr>
      <w:keepNext w:val="0"/>
      <w:tabs>
        <w:tab w:val="num" w:pos="720"/>
        <w:tab w:val="right" w:pos="9000"/>
      </w:tabs>
      <w:spacing w:after="240"/>
      <w:jc w:val="left"/>
    </w:pPr>
    <w:rPr>
      <w:iCs/>
      <w:sz w:val="24"/>
      <w:szCs w:val="24"/>
      <w:u w:val="single"/>
    </w:rPr>
  </w:style>
  <w:style w:type="paragraph" w:styleId="PlainText">
    <w:name w:val="Plain Text"/>
    <w:basedOn w:val="Normal"/>
    <w:rsid w:val="00F23D09"/>
    <w:pPr>
      <w:spacing w:before="100" w:beforeAutospacing="1" w:after="100" w:afterAutospacing="1"/>
    </w:pPr>
    <w:rPr>
      <w:rFonts w:ascii="Times New Roman" w:hAnsi="Times New Roman"/>
      <w:szCs w:val="24"/>
      <w:lang w:eastAsia="en-GB"/>
    </w:rPr>
  </w:style>
  <w:style w:type="table" w:styleId="TableColumns3">
    <w:name w:val="Table Columns 3"/>
    <w:basedOn w:val="TableNormal"/>
    <w:rsid w:val="005A55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4C7C"/>
    <w:rPr>
      <w:rFonts w:ascii="Arial" w:hAnsi="Arial"/>
      <w:sz w:val="24"/>
      <w:lang w:eastAsia="en-US"/>
    </w:rPr>
  </w:style>
  <w:style w:type="paragraph" w:styleId="Heading1">
    <w:name w:val="heading 1"/>
    <w:aliases w:val="Section Heading"/>
    <w:basedOn w:val="Normal"/>
    <w:next w:val="Normal"/>
    <w:link w:val="Heading1Char"/>
    <w:qFormat/>
    <w:pPr>
      <w:keepNext/>
      <w:ind w:left="720" w:hanging="720"/>
      <w:jc w:val="center"/>
      <w:outlineLvl w:val="0"/>
    </w:pPr>
    <w:rPr>
      <w:b/>
      <w:sz w:val="22"/>
    </w:rPr>
  </w:style>
  <w:style w:type="paragraph" w:styleId="Heading2">
    <w:name w:val="heading 2"/>
    <w:aliases w:val="2,Level 2 Heading"/>
    <w:basedOn w:val="Normal"/>
    <w:next w:val="Normal"/>
    <w:link w:val="Heading2Char1"/>
    <w:qFormat/>
    <w:pPr>
      <w:keepNext/>
      <w:jc w:val="center"/>
      <w:outlineLvl w:val="1"/>
    </w:pPr>
    <w:rPr>
      <w:b/>
      <w:color w:val="000000"/>
      <w:sz w:val="20"/>
    </w:rPr>
  </w:style>
  <w:style w:type="paragraph" w:styleId="Heading3">
    <w:name w:val="heading 3"/>
    <w:basedOn w:val="Normal"/>
    <w:next w:val="Normal"/>
    <w:link w:val="Heading3Char"/>
    <w:qFormat/>
    <w:pPr>
      <w:keepNext/>
      <w:ind w:left="720" w:hanging="720"/>
      <w:outlineLvl w:val="2"/>
    </w:pPr>
    <w:rPr>
      <w:b/>
      <w:i/>
      <w:sz w:val="22"/>
    </w:rPr>
  </w:style>
  <w:style w:type="paragraph" w:styleId="Heading4">
    <w:name w:val="heading 4"/>
    <w:basedOn w:val="Normal"/>
    <w:next w:val="Normal"/>
    <w:qFormat/>
    <w:pPr>
      <w:keepNext/>
      <w:ind w:left="720"/>
      <w:outlineLvl w:val="3"/>
    </w:pPr>
    <w:rPr>
      <w:b/>
      <w:i/>
      <w:sz w:val="22"/>
    </w:rPr>
  </w:style>
  <w:style w:type="paragraph" w:styleId="Heading5">
    <w:name w:val="heading 5"/>
    <w:basedOn w:val="Normal"/>
    <w:next w:val="Normal"/>
    <w:qFormat/>
    <w:pPr>
      <w:keepNext/>
      <w:ind w:left="720"/>
      <w:outlineLvl w:val="4"/>
    </w:pPr>
    <w:rPr>
      <w:b/>
      <w:i/>
    </w:rPr>
  </w:style>
  <w:style w:type="paragraph" w:styleId="Heading6">
    <w:name w:val="heading 6"/>
    <w:basedOn w:val="Normal"/>
    <w:next w:val="Normal"/>
    <w:qFormat/>
    <w:pPr>
      <w:keepNext/>
      <w:jc w:val="center"/>
      <w:outlineLvl w:val="5"/>
    </w:pPr>
    <w:rPr>
      <w:b/>
      <w:color w:val="000000"/>
      <w:sz w:val="22"/>
    </w:rPr>
  </w:style>
  <w:style w:type="paragraph" w:styleId="Heading7">
    <w:name w:val="heading 7"/>
    <w:basedOn w:val="Normal"/>
    <w:next w:val="Normal"/>
    <w:qFormat/>
    <w:pPr>
      <w:keepNext/>
      <w:jc w:val="right"/>
      <w:outlineLvl w:val="6"/>
    </w:pPr>
    <w:rPr>
      <w:b/>
      <w:sz w:val="22"/>
    </w:rPr>
  </w:style>
  <w:style w:type="paragraph" w:styleId="Heading8">
    <w:name w:val="heading 8"/>
    <w:basedOn w:val="Normal"/>
    <w:next w:val="Normal"/>
    <w:link w:val="Heading8Char"/>
    <w:qFormat/>
    <w:pPr>
      <w:keepNext/>
      <w:outlineLvl w:val="7"/>
    </w:pPr>
    <w:rPr>
      <w:b/>
      <w:sz w:val="22"/>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locked/>
    <w:rsid w:val="00281AFF"/>
    <w:rPr>
      <w:rFonts w:ascii="Arial" w:hAnsi="Arial"/>
      <w:b/>
      <w:sz w:val="22"/>
      <w:lang w:val="en-GB" w:eastAsia="en-US" w:bidi="ar-SA"/>
    </w:rPr>
  </w:style>
  <w:style w:type="character" w:customStyle="1" w:styleId="Heading2Char1">
    <w:name w:val="Heading 2 Char1"/>
    <w:aliases w:val="2 Char1,Level 2 Heading Char1"/>
    <w:basedOn w:val="DefaultParagraphFont"/>
    <w:link w:val="Heading2"/>
    <w:rsid w:val="002C3056"/>
    <w:rPr>
      <w:rFonts w:ascii="Arial" w:hAnsi="Arial"/>
      <w:b/>
      <w:color w:val="000000"/>
      <w:lang w:val="en-GB" w:eastAsia="en-US" w:bidi="ar-SA"/>
    </w:rPr>
  </w:style>
  <w:style w:type="character" w:customStyle="1" w:styleId="Heading3Char">
    <w:name w:val="Heading 3 Char"/>
    <w:basedOn w:val="DefaultParagraphFont"/>
    <w:link w:val="Heading3"/>
    <w:locked/>
    <w:rsid w:val="00281AFF"/>
    <w:rPr>
      <w:rFonts w:ascii="Arial" w:hAnsi="Arial"/>
      <w:b/>
      <w:i/>
      <w:sz w:val="22"/>
      <w:lang w:val="en-GB" w:eastAsia="en-US" w:bidi="ar-SA"/>
    </w:rPr>
  </w:style>
  <w:style w:type="character" w:customStyle="1" w:styleId="Heading8Char">
    <w:name w:val="Heading 8 Char"/>
    <w:basedOn w:val="DefaultParagraphFont"/>
    <w:link w:val="Heading8"/>
    <w:locked/>
    <w:rsid w:val="00281AFF"/>
    <w:rPr>
      <w:rFonts w:ascii="Arial" w:hAnsi="Arial"/>
      <w:b/>
      <w:sz w:val="22"/>
      <w:lang w:val="en-GB" w:eastAsia="en-US" w:bidi="ar-SA"/>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locked/>
    <w:rsid w:val="005B7B3D"/>
    <w:rPr>
      <w:rFonts w:ascii="Arial" w:hAnsi="Arial"/>
      <w:sz w:val="24"/>
      <w:lang w:val="en-GB" w:eastAsia="en-US" w:bidi="ar-SA"/>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locked/>
    <w:rsid w:val="005B7B3D"/>
    <w:rPr>
      <w:rFonts w:ascii="Arial" w:hAnsi="Arial"/>
      <w:sz w:val="24"/>
      <w:lang w:val="en-GB" w:eastAsia="en-US" w:bidi="ar-SA"/>
    </w:rPr>
  </w:style>
  <w:style w:type="paragraph" w:styleId="BodyTextIndent">
    <w:name w:val="Body Text Indent"/>
    <w:basedOn w:val="Normal"/>
    <w:pPr>
      <w:ind w:left="720" w:hanging="720"/>
    </w:pPr>
    <w:rPr>
      <w:b/>
      <w:sz w:val="22"/>
    </w:rPr>
  </w:style>
  <w:style w:type="paragraph" w:styleId="BodyTextIndent2">
    <w:name w:val="Body Text Indent 2"/>
    <w:basedOn w:val="Normal"/>
    <w:link w:val="BodyTextIndent2Char"/>
    <w:pPr>
      <w:ind w:left="720" w:hanging="720"/>
    </w:pPr>
    <w:rPr>
      <w:sz w:val="22"/>
    </w:rPr>
  </w:style>
  <w:style w:type="character" w:customStyle="1" w:styleId="BodyTextIndent2Char">
    <w:name w:val="Body Text Indent 2 Char"/>
    <w:basedOn w:val="DefaultParagraphFont"/>
    <w:link w:val="BodyTextIndent2"/>
    <w:locked/>
    <w:rsid w:val="00281AFF"/>
    <w:rPr>
      <w:rFonts w:ascii="Arial" w:hAnsi="Arial"/>
      <w:sz w:val="22"/>
      <w:lang w:val="en-GB" w:eastAsia="en-US" w:bidi="ar-SA"/>
    </w:rPr>
  </w:style>
  <w:style w:type="paragraph" w:styleId="BodyTextIndent3">
    <w:name w:val="Body Text Indent 3"/>
    <w:basedOn w:val="Normal"/>
    <w:pPr>
      <w:ind w:left="1418" w:hanging="709"/>
    </w:pPr>
    <w:rPr>
      <w:sz w:val="22"/>
    </w:rPr>
  </w:style>
  <w:style w:type="paragraph" w:styleId="Title">
    <w:name w:val="Title"/>
    <w:basedOn w:val="Normal"/>
    <w:qFormat/>
    <w:pPr>
      <w:jc w:val="center"/>
    </w:pPr>
    <w:rPr>
      <w:b/>
      <w:sz w:val="22"/>
    </w:rPr>
  </w:style>
  <w:style w:type="paragraph" w:styleId="Subtitle">
    <w:name w:val="Subtitle"/>
    <w:basedOn w:val="Normal"/>
    <w:link w:val="SubtitleChar"/>
    <w:qFormat/>
    <w:pPr>
      <w:jc w:val="center"/>
    </w:pPr>
    <w:rPr>
      <w:b/>
      <w:sz w:val="22"/>
    </w:rPr>
  </w:style>
  <w:style w:type="character" w:customStyle="1" w:styleId="SubtitleChar">
    <w:name w:val="Subtitle Char"/>
    <w:basedOn w:val="DefaultParagraphFont"/>
    <w:link w:val="Subtitle"/>
    <w:locked/>
    <w:rsid w:val="00281AFF"/>
    <w:rPr>
      <w:rFonts w:ascii="Arial" w:hAnsi="Arial"/>
      <w:b/>
      <w:sz w:val="22"/>
      <w:lang w:val="en-GB" w:eastAsia="en-US" w:bidi="ar-SA"/>
    </w:rPr>
  </w:style>
  <w:style w:type="paragraph" w:styleId="BodyText">
    <w:name w:val="Body Text"/>
    <w:basedOn w:val="Normal"/>
    <w:link w:val="BodyTextChar"/>
    <w:rPr>
      <w:sz w:val="22"/>
    </w:rPr>
  </w:style>
  <w:style w:type="character" w:customStyle="1" w:styleId="BodyTextChar">
    <w:name w:val="Body Text Char"/>
    <w:basedOn w:val="DefaultParagraphFont"/>
    <w:link w:val="BodyText"/>
    <w:semiHidden/>
    <w:locked/>
    <w:rsid w:val="00281AFF"/>
    <w:rPr>
      <w:rFonts w:ascii="Arial" w:hAnsi="Arial"/>
      <w:sz w:val="22"/>
      <w:lang w:val="en-GB" w:eastAsia="en-US" w:bidi="ar-SA"/>
    </w:rPr>
  </w:style>
  <w:style w:type="paragraph" w:styleId="BodyText2">
    <w:name w:val="Body Text 2"/>
    <w:basedOn w:val="Normal"/>
    <w:link w:val="BodyText2Char"/>
    <w:rPr>
      <w:sz w:val="18"/>
    </w:rPr>
  </w:style>
  <w:style w:type="character" w:customStyle="1" w:styleId="BodyText2Char">
    <w:name w:val="Body Text 2 Char"/>
    <w:basedOn w:val="DefaultParagraphFont"/>
    <w:link w:val="BodyText2"/>
    <w:locked/>
    <w:rsid w:val="00281AFF"/>
    <w:rPr>
      <w:rFonts w:ascii="Arial" w:hAnsi="Arial"/>
      <w:sz w:val="18"/>
      <w:lang w:val="en-GB" w:eastAsia="en-US" w:bidi="ar-SA"/>
    </w:rPr>
  </w:style>
  <w:style w:type="paragraph" w:styleId="BodyText3">
    <w:name w:val="Body Text 3"/>
    <w:basedOn w:val="Normal"/>
    <w:rPr>
      <w:b/>
      <w:sz w:val="18"/>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locked/>
    <w:rsid w:val="00281AFF"/>
    <w:rPr>
      <w:rFonts w:ascii="Tahoma" w:hAnsi="Tahoma"/>
      <w:sz w:val="24"/>
      <w:lang w:val="en-GB" w:eastAsia="en-US" w:bidi="ar-SA"/>
    </w:rPr>
  </w:style>
  <w:style w:type="character" w:styleId="PageNumber">
    <w:name w:val="page number"/>
    <w:basedOn w:val="DefaultParagraphFont"/>
  </w:style>
  <w:style w:type="paragraph" w:customStyle="1" w:styleId="Address">
    <w:name w:val="Address"/>
    <w:basedOn w:val="Normal"/>
    <w:pPr>
      <w:keepLines/>
      <w:jc w:val="both"/>
    </w:pPr>
    <w:rPr>
      <w:rFonts w:ascii="Times New Roman" w:hAnsi="Times New Roman"/>
      <w:noProof/>
    </w:rPr>
  </w:style>
  <w:style w:type="character" w:styleId="Hyperlink">
    <w:name w:val="Hyperlink"/>
    <w:basedOn w:val="DefaultParagraphFont"/>
    <w:rPr>
      <w:color w:val="0000FF"/>
      <w:u w:val="single"/>
    </w:rPr>
  </w:style>
  <w:style w:type="paragraph" w:styleId="BlockText">
    <w:name w:val="Block Text"/>
    <w:basedOn w:val="Normal"/>
    <w:pPr>
      <w:ind w:left="113" w:right="113"/>
    </w:pPr>
    <w:rPr>
      <w:snapToGrid w:val="0"/>
      <w:color w:val="000000"/>
      <w:sz w:val="22"/>
    </w:rPr>
  </w:style>
  <w:style w:type="paragraph" w:customStyle="1" w:styleId="questionnaire">
    <w:name w:val="questionnaire"/>
    <w:pPr>
      <w:widowControl w:val="0"/>
      <w:tabs>
        <w:tab w:val="right" w:pos="680"/>
        <w:tab w:val="left" w:pos="794"/>
        <w:tab w:val="right" w:pos="7513"/>
        <w:tab w:val="left" w:pos="7853"/>
        <w:tab w:val="left" w:pos="8222"/>
        <w:tab w:val="right" w:pos="11057"/>
      </w:tabs>
      <w:suppressAutoHyphens/>
    </w:pPr>
    <w:rPr>
      <w:rFonts w:ascii="Helvetica" w:hAnsi="Helvetica"/>
      <w:lang w:val="en-US" w:eastAsia="en-US"/>
    </w:rPr>
  </w:style>
  <w:style w:type="paragraph" w:customStyle="1" w:styleId="Style2">
    <w:name w:val="Style2"/>
    <w:basedOn w:val="Normal"/>
    <w:autoRedefine/>
    <w:rsid w:val="002C5882"/>
    <w:pPr>
      <w:ind w:left="1026" w:hanging="1026"/>
      <w:outlineLvl w:val="0"/>
    </w:pPr>
    <w:rPr>
      <w:sz w:val="22"/>
    </w:rPr>
  </w:style>
  <w:style w:type="paragraph" w:styleId="Caption">
    <w:name w:val="caption"/>
    <w:basedOn w:val="Normal"/>
    <w:next w:val="Normal"/>
    <w:qFormat/>
    <w:pPr>
      <w:jc w:val="right"/>
    </w:pPr>
    <w:rPr>
      <w:b/>
      <w:sz w:val="22"/>
    </w:rPr>
  </w:style>
  <w:style w:type="paragraph" w:styleId="ListBullet">
    <w:name w:val="List Bullet"/>
    <w:basedOn w:val="Normal"/>
    <w:autoRedefine/>
    <w:rPr>
      <w:sz w:val="20"/>
    </w:rPr>
  </w:style>
  <w:style w:type="paragraph" w:styleId="BalloonText">
    <w:name w:val="Balloon Text"/>
    <w:basedOn w:val="Normal"/>
    <w:link w:val="BalloonTextChar"/>
    <w:semiHidden/>
    <w:rPr>
      <w:rFonts w:ascii="Tahoma" w:hAnsi="Tahoma"/>
      <w:sz w:val="16"/>
    </w:rPr>
  </w:style>
  <w:style w:type="character" w:customStyle="1" w:styleId="BalloonTextChar">
    <w:name w:val="Balloon Text Char"/>
    <w:basedOn w:val="DefaultParagraphFont"/>
    <w:link w:val="BalloonText"/>
    <w:semiHidden/>
    <w:locked/>
    <w:rsid w:val="00281AFF"/>
    <w:rPr>
      <w:rFonts w:ascii="Tahoma" w:hAnsi="Tahoma"/>
      <w:sz w:val="16"/>
      <w:lang w:val="en-GB" w:eastAsia="en-US" w:bidi="ar-SA"/>
    </w:rPr>
  </w:style>
  <w:style w:type="table" w:styleId="TableGrid">
    <w:name w:val="Table Grid"/>
    <w:basedOn w:val="TableNormal"/>
    <w:rsid w:val="002E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24B0"/>
    <w:pPr>
      <w:tabs>
        <w:tab w:val="left" w:pos="1260"/>
        <w:tab w:val="left" w:pos="1980"/>
        <w:tab w:val="left" w:pos="2700"/>
        <w:tab w:val="left" w:pos="3420"/>
      </w:tabs>
      <w:jc w:val="both"/>
    </w:pPr>
    <w:rPr>
      <w:sz w:val="20"/>
      <w:lang w:eastAsia="en-GB"/>
    </w:rPr>
  </w:style>
  <w:style w:type="character" w:customStyle="1" w:styleId="FootnoteTextChar">
    <w:name w:val="Footnote Text Char"/>
    <w:basedOn w:val="DefaultParagraphFont"/>
    <w:link w:val="FootnoteText"/>
    <w:semiHidden/>
    <w:locked/>
    <w:rsid w:val="00281AFF"/>
    <w:rPr>
      <w:rFonts w:ascii="Arial" w:hAnsi="Arial"/>
      <w:lang w:val="en-GB" w:eastAsia="en-GB" w:bidi="ar-SA"/>
    </w:rPr>
  </w:style>
  <w:style w:type="character" w:styleId="FootnoteReference">
    <w:name w:val="footnote reference"/>
    <w:basedOn w:val="DefaultParagraphFont"/>
    <w:semiHidden/>
    <w:rsid w:val="009424B0"/>
    <w:rPr>
      <w:vertAlign w:val="superscript"/>
    </w:rPr>
  </w:style>
  <w:style w:type="paragraph" w:customStyle="1" w:styleId="Default">
    <w:name w:val="Default"/>
    <w:link w:val="DefaultChar"/>
    <w:rsid w:val="00033A75"/>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locked/>
    <w:rsid w:val="00A10EA9"/>
    <w:rPr>
      <w:rFonts w:ascii="Arial" w:hAnsi="Arial" w:cs="Arial"/>
      <w:color w:val="000000"/>
      <w:sz w:val="24"/>
      <w:szCs w:val="24"/>
      <w:lang w:val="en-GB" w:eastAsia="en-GB" w:bidi="ar-SA"/>
    </w:rPr>
  </w:style>
  <w:style w:type="paragraph" w:customStyle="1" w:styleId="Text">
    <w:name w:val="Text"/>
    <w:basedOn w:val="Normal"/>
    <w:rsid w:val="001058EF"/>
    <w:pPr>
      <w:overflowPunct w:val="0"/>
      <w:autoSpaceDE w:val="0"/>
      <w:autoSpaceDN w:val="0"/>
      <w:adjustRightInd w:val="0"/>
      <w:spacing w:after="220"/>
      <w:jc w:val="both"/>
      <w:textAlignment w:val="baseline"/>
    </w:pPr>
    <w:rPr>
      <w:sz w:val="22"/>
      <w:lang w:eastAsia="en-GB"/>
    </w:rPr>
  </w:style>
  <w:style w:type="paragraph" w:customStyle="1" w:styleId="bullet">
    <w:name w:val="bullet"/>
    <w:basedOn w:val="Normal"/>
    <w:rsid w:val="001058EF"/>
    <w:pPr>
      <w:tabs>
        <w:tab w:val="num" w:pos="360"/>
      </w:tabs>
      <w:ind w:left="360" w:hanging="360"/>
    </w:pPr>
    <w:rPr>
      <w:sz w:val="22"/>
      <w:lang w:eastAsia="en-GB"/>
    </w:rPr>
  </w:style>
  <w:style w:type="paragraph" w:customStyle="1" w:styleId="Cover-Title">
    <w:name w:val="Cover - Title"/>
    <w:basedOn w:val="Normal"/>
    <w:rsid w:val="002C3056"/>
    <w:pPr>
      <w:spacing w:after="240"/>
    </w:pPr>
    <w:rPr>
      <w:rFonts w:cs="Arial"/>
      <w:sz w:val="44"/>
      <w:szCs w:val="44"/>
    </w:rPr>
  </w:style>
  <w:style w:type="paragraph" w:styleId="TOC1">
    <w:name w:val="toc 1"/>
    <w:aliases w:val="Toc 1"/>
    <w:basedOn w:val="Normal"/>
    <w:next w:val="Normal"/>
    <w:autoRedefine/>
    <w:semiHidden/>
    <w:rsid w:val="002C3056"/>
    <w:pPr>
      <w:tabs>
        <w:tab w:val="right" w:leader="dot" w:pos="8636"/>
      </w:tabs>
      <w:spacing w:after="240"/>
    </w:pPr>
    <w:rPr>
      <w:rFonts w:cs="Arial"/>
      <w:szCs w:val="24"/>
    </w:rPr>
  </w:style>
  <w:style w:type="paragraph" w:styleId="TOC2">
    <w:name w:val="toc 2"/>
    <w:basedOn w:val="Normal"/>
    <w:next w:val="Normal"/>
    <w:autoRedefine/>
    <w:semiHidden/>
    <w:rsid w:val="002C3056"/>
    <w:pPr>
      <w:spacing w:after="240"/>
      <w:ind w:left="240"/>
    </w:pPr>
    <w:rPr>
      <w:rFonts w:cs="Arial"/>
      <w:szCs w:val="24"/>
    </w:rPr>
  </w:style>
  <w:style w:type="paragraph" w:styleId="TableofFigures">
    <w:name w:val="table of figures"/>
    <w:basedOn w:val="Normal"/>
    <w:next w:val="Normal"/>
    <w:semiHidden/>
    <w:rsid w:val="002C3056"/>
    <w:pPr>
      <w:spacing w:after="240"/>
      <w:ind w:left="480" w:hanging="480"/>
    </w:pPr>
    <w:rPr>
      <w:rFonts w:cs="Arial"/>
      <w:szCs w:val="24"/>
    </w:rPr>
  </w:style>
  <w:style w:type="character" w:styleId="FollowedHyperlink">
    <w:name w:val="FollowedHyperlink"/>
    <w:basedOn w:val="DefaultParagraphFont"/>
    <w:rsid w:val="003A13FD"/>
    <w:rPr>
      <w:color w:val="800080"/>
      <w:u w:val="single"/>
    </w:rPr>
  </w:style>
  <w:style w:type="paragraph" w:customStyle="1" w:styleId="xl22">
    <w:name w:val="xl22"/>
    <w:basedOn w:val="Normal"/>
    <w:rsid w:val="003A13FD"/>
    <w:pPr>
      <w:spacing w:before="100" w:beforeAutospacing="1" w:after="100" w:afterAutospacing="1"/>
    </w:pPr>
    <w:rPr>
      <w:rFonts w:ascii="Times New Roman" w:hAnsi="Times New Roman"/>
      <w:sz w:val="16"/>
      <w:szCs w:val="16"/>
      <w:lang w:eastAsia="en-GB"/>
    </w:rPr>
  </w:style>
  <w:style w:type="paragraph" w:customStyle="1" w:styleId="xl23">
    <w:name w:val="xl23"/>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4">
    <w:name w:val="xl2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eastAsia="en-GB"/>
    </w:rPr>
  </w:style>
  <w:style w:type="paragraph" w:customStyle="1" w:styleId="xl25">
    <w:name w:val="xl2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6">
    <w:name w:val="xl26"/>
    <w:basedOn w:val="Normal"/>
    <w:rsid w:val="003A13FD"/>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7">
    <w:name w:val="xl27"/>
    <w:basedOn w:val="Normal"/>
    <w:rsid w:val="003A13FD"/>
    <w:pPr>
      <w:spacing w:before="100" w:beforeAutospacing="1" w:after="100" w:afterAutospacing="1"/>
      <w:jc w:val="right"/>
    </w:pPr>
    <w:rPr>
      <w:rFonts w:ascii="Times New Roman" w:hAnsi="Times New Roman"/>
      <w:sz w:val="16"/>
      <w:szCs w:val="16"/>
      <w:lang w:eastAsia="en-GB"/>
    </w:rPr>
  </w:style>
  <w:style w:type="paragraph" w:customStyle="1" w:styleId="xl28">
    <w:name w:val="xl28"/>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lang w:eastAsia="en-GB"/>
    </w:rPr>
  </w:style>
  <w:style w:type="paragraph" w:customStyle="1" w:styleId="xl29">
    <w:name w:val="xl29"/>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0">
    <w:name w:val="xl3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eastAsia="en-GB"/>
    </w:rPr>
  </w:style>
  <w:style w:type="paragraph" w:customStyle="1" w:styleId="xl31">
    <w:name w:val="xl31"/>
    <w:basedOn w:val="Normal"/>
    <w:rsid w:val="003A13FD"/>
    <w:pPr>
      <w:spacing w:before="100" w:beforeAutospacing="1" w:after="100" w:afterAutospacing="1"/>
      <w:jc w:val="right"/>
    </w:pPr>
    <w:rPr>
      <w:rFonts w:ascii="Times New Roman" w:hAnsi="Times New Roman"/>
      <w:b/>
      <w:bCs/>
      <w:sz w:val="16"/>
      <w:szCs w:val="16"/>
      <w:lang w:eastAsia="en-GB"/>
    </w:rPr>
  </w:style>
  <w:style w:type="paragraph" w:customStyle="1" w:styleId="xl32">
    <w:name w:val="xl32"/>
    <w:basedOn w:val="Normal"/>
    <w:rsid w:val="003A13FD"/>
    <w:pPr>
      <w:spacing w:before="100" w:beforeAutospacing="1" w:after="100" w:afterAutospacing="1"/>
    </w:pPr>
    <w:rPr>
      <w:rFonts w:ascii="Times New Roman" w:hAnsi="Times New Roman"/>
      <w:b/>
      <w:bCs/>
      <w:sz w:val="16"/>
      <w:szCs w:val="16"/>
      <w:lang w:eastAsia="en-GB"/>
    </w:rPr>
  </w:style>
  <w:style w:type="paragraph" w:customStyle="1" w:styleId="xl33">
    <w:name w:val="xl33"/>
    <w:basedOn w:val="Normal"/>
    <w:rsid w:val="003A13FD"/>
    <w:pPr>
      <w:spacing w:before="100" w:beforeAutospacing="1" w:after="100" w:afterAutospacing="1"/>
      <w:jc w:val="center"/>
    </w:pPr>
    <w:rPr>
      <w:rFonts w:ascii="Times New Roman" w:hAnsi="Times New Roman"/>
      <w:b/>
      <w:bCs/>
      <w:sz w:val="16"/>
      <w:szCs w:val="16"/>
      <w:lang w:eastAsia="en-GB"/>
    </w:rPr>
  </w:style>
  <w:style w:type="paragraph" w:customStyle="1" w:styleId="xl34">
    <w:name w:val="xl3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5">
    <w:name w:val="xl3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36">
    <w:name w:val="xl36"/>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7">
    <w:name w:val="xl37"/>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8">
    <w:name w:val="xl38"/>
    <w:basedOn w:val="Normal"/>
    <w:rsid w:val="003A13FD"/>
    <w:pPr>
      <w:spacing w:before="100" w:beforeAutospacing="1" w:after="100" w:afterAutospacing="1"/>
    </w:pPr>
    <w:rPr>
      <w:rFonts w:cs="Arial"/>
      <w:b/>
      <w:bCs/>
      <w:sz w:val="16"/>
      <w:szCs w:val="16"/>
      <w:lang w:eastAsia="en-GB"/>
    </w:rPr>
  </w:style>
  <w:style w:type="paragraph" w:customStyle="1" w:styleId="xl39">
    <w:name w:val="xl39"/>
    <w:basedOn w:val="Normal"/>
    <w:rsid w:val="003A13FD"/>
    <w:pPr>
      <w:pBdr>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0">
    <w:name w:val="xl4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1">
    <w:name w:val="xl41"/>
    <w:basedOn w:val="Normal"/>
    <w:rsid w:val="003A13FD"/>
    <w:pPr>
      <w:spacing w:before="100" w:beforeAutospacing="1" w:after="100" w:afterAutospacing="1"/>
    </w:pPr>
    <w:rPr>
      <w:rFonts w:ascii="Times New Roman" w:hAnsi="Times New Roman"/>
      <w:b/>
      <w:bCs/>
      <w:szCs w:val="24"/>
      <w:u w:val="single"/>
      <w:lang w:eastAsia="en-GB"/>
    </w:rPr>
  </w:style>
  <w:style w:type="paragraph" w:customStyle="1" w:styleId="xl42">
    <w:name w:val="xl42"/>
    <w:basedOn w:val="Normal"/>
    <w:rsid w:val="003A13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16"/>
      <w:szCs w:val="16"/>
      <w:lang w:eastAsia="en-GB"/>
    </w:rPr>
  </w:style>
  <w:style w:type="character" w:customStyle="1" w:styleId="2Char">
    <w:name w:val="2 Char"/>
    <w:aliases w:val="Level 2 Heading Char"/>
    <w:basedOn w:val="DefaultParagraphFont"/>
    <w:rsid w:val="00FD1FFC"/>
    <w:rPr>
      <w:rFonts w:ascii="Arial" w:hAnsi="Arial"/>
      <w:b/>
      <w:color w:val="000000"/>
      <w:sz w:val="24"/>
      <w:lang w:val="en-GB" w:eastAsia="en-US" w:bidi="ar-SA"/>
    </w:rPr>
  </w:style>
  <w:style w:type="paragraph" w:customStyle="1" w:styleId="font0">
    <w:name w:val="font0"/>
    <w:basedOn w:val="Normal"/>
    <w:rsid w:val="00801681"/>
    <w:pPr>
      <w:spacing w:before="100" w:beforeAutospacing="1" w:after="100" w:afterAutospacing="1"/>
    </w:pPr>
    <w:rPr>
      <w:rFonts w:cs="Arial"/>
      <w:sz w:val="20"/>
      <w:lang w:eastAsia="en-GB"/>
    </w:rPr>
  </w:style>
  <w:style w:type="paragraph" w:customStyle="1" w:styleId="font5">
    <w:name w:val="font5"/>
    <w:basedOn w:val="Normal"/>
    <w:rsid w:val="00801681"/>
    <w:pPr>
      <w:spacing w:before="100" w:beforeAutospacing="1" w:after="100" w:afterAutospacing="1"/>
    </w:pPr>
    <w:rPr>
      <w:rFonts w:cs="Arial"/>
      <w:sz w:val="20"/>
      <w:lang w:eastAsia="en-GB"/>
    </w:rPr>
  </w:style>
  <w:style w:type="paragraph" w:customStyle="1" w:styleId="xl43">
    <w:name w:val="xl43"/>
    <w:basedOn w:val="Normal"/>
    <w:rsid w:val="00801681"/>
    <w:pPr>
      <w:pBdr>
        <w:left w:val="single" w:sz="4" w:space="0" w:color="auto"/>
        <w:right w:val="single" w:sz="4" w:space="0" w:color="auto"/>
      </w:pBdr>
      <w:spacing w:before="100" w:beforeAutospacing="1" w:after="100" w:afterAutospacing="1"/>
      <w:jc w:val="center"/>
    </w:pPr>
    <w:rPr>
      <w:rFonts w:cs="Arial"/>
      <w:b/>
      <w:bCs/>
      <w:szCs w:val="24"/>
      <w:lang w:eastAsia="en-GB"/>
    </w:rPr>
  </w:style>
  <w:style w:type="paragraph" w:customStyle="1" w:styleId="xl44">
    <w:name w:val="xl44"/>
    <w:basedOn w:val="Normal"/>
    <w:rsid w:val="00801681"/>
    <w:pPr>
      <w:pBdr>
        <w:right w:val="single" w:sz="4" w:space="0" w:color="auto"/>
      </w:pBdr>
      <w:spacing w:before="100" w:beforeAutospacing="1" w:after="100" w:afterAutospacing="1"/>
      <w:jc w:val="center"/>
    </w:pPr>
    <w:rPr>
      <w:rFonts w:cs="Arial"/>
      <w:b/>
      <w:bCs/>
      <w:szCs w:val="24"/>
      <w:lang w:eastAsia="en-GB"/>
    </w:rPr>
  </w:style>
  <w:style w:type="paragraph" w:customStyle="1" w:styleId="xl45">
    <w:name w:val="xl45"/>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47">
    <w:name w:val="xl47"/>
    <w:basedOn w:val="Normal"/>
    <w:rsid w:val="00801681"/>
    <w:pPr>
      <w:spacing w:before="100" w:beforeAutospacing="1" w:after="100" w:afterAutospacing="1"/>
    </w:pPr>
    <w:rPr>
      <w:rFonts w:ascii="Monotype Sorts" w:hAnsi="Monotype Sorts"/>
      <w:szCs w:val="24"/>
      <w:lang w:eastAsia="en-GB"/>
    </w:rPr>
  </w:style>
  <w:style w:type="paragraph" w:customStyle="1" w:styleId="xl48">
    <w:name w:val="xl48"/>
    <w:basedOn w:val="Normal"/>
    <w:rsid w:val="00801681"/>
    <w:pPr>
      <w:spacing w:before="100" w:beforeAutospacing="1" w:after="100" w:afterAutospacing="1"/>
    </w:pPr>
    <w:rPr>
      <w:rFonts w:ascii="Times New Roman" w:hAnsi="Times New Roman"/>
      <w:szCs w:val="24"/>
      <w:lang w:eastAsia="en-GB"/>
    </w:rPr>
  </w:style>
  <w:style w:type="paragraph" w:customStyle="1" w:styleId="xl49">
    <w:name w:val="xl49"/>
    <w:basedOn w:val="Normal"/>
    <w:rsid w:val="00801681"/>
    <w:pPr>
      <w:pBdr>
        <w:top w:val="single" w:sz="8" w:space="0" w:color="auto"/>
        <w:left w:val="single" w:sz="8" w:space="0" w:color="auto"/>
        <w:right w:val="single" w:sz="4" w:space="0" w:color="auto"/>
      </w:pBdr>
      <w:spacing w:before="100" w:beforeAutospacing="1" w:after="100" w:afterAutospacing="1"/>
    </w:pPr>
    <w:rPr>
      <w:rFonts w:cs="Arial"/>
      <w:b/>
      <w:bCs/>
      <w:szCs w:val="24"/>
      <w:lang w:eastAsia="en-GB"/>
    </w:rPr>
  </w:style>
  <w:style w:type="paragraph" w:customStyle="1" w:styleId="xl50">
    <w:name w:val="xl50"/>
    <w:basedOn w:val="Normal"/>
    <w:rsid w:val="00801681"/>
    <w:pPr>
      <w:pBdr>
        <w:left w:val="single" w:sz="8" w:space="0" w:color="auto"/>
        <w:right w:val="single" w:sz="4" w:space="0" w:color="auto"/>
      </w:pBdr>
      <w:spacing w:before="100" w:beforeAutospacing="1" w:after="100" w:afterAutospacing="1"/>
      <w:jc w:val="center"/>
    </w:pPr>
    <w:rPr>
      <w:rFonts w:cs="Arial"/>
      <w:b/>
      <w:bCs/>
      <w:szCs w:val="24"/>
      <w:lang w:eastAsia="en-GB"/>
    </w:rPr>
  </w:style>
  <w:style w:type="paragraph" w:customStyle="1" w:styleId="xl51">
    <w:name w:val="xl51"/>
    <w:basedOn w:val="Normal"/>
    <w:rsid w:val="00801681"/>
    <w:pPr>
      <w:spacing w:before="100" w:beforeAutospacing="1" w:after="100" w:afterAutospacing="1"/>
    </w:pPr>
    <w:rPr>
      <w:rFonts w:cs="Arial"/>
      <w:szCs w:val="24"/>
      <w:lang w:eastAsia="en-GB"/>
    </w:rPr>
  </w:style>
  <w:style w:type="paragraph" w:customStyle="1" w:styleId="xl52">
    <w:name w:val="xl52"/>
    <w:basedOn w:val="Normal"/>
    <w:rsid w:val="00801681"/>
    <w:pPr>
      <w:spacing w:before="100" w:beforeAutospacing="1" w:after="100" w:afterAutospacing="1"/>
    </w:pPr>
    <w:rPr>
      <w:rFonts w:cs="Arial"/>
      <w:szCs w:val="24"/>
      <w:lang w:eastAsia="en-GB"/>
    </w:rPr>
  </w:style>
  <w:style w:type="paragraph" w:customStyle="1" w:styleId="xl53">
    <w:name w:val="xl53"/>
    <w:basedOn w:val="Normal"/>
    <w:rsid w:val="00801681"/>
    <w:pPr>
      <w:spacing w:before="100" w:beforeAutospacing="1" w:after="100" w:afterAutospacing="1"/>
      <w:textAlignment w:val="top"/>
    </w:pPr>
    <w:rPr>
      <w:rFonts w:cs="Arial"/>
      <w:szCs w:val="24"/>
      <w:lang w:eastAsia="en-GB"/>
    </w:rPr>
  </w:style>
  <w:style w:type="paragraph" w:customStyle="1" w:styleId="xl54">
    <w:name w:val="xl54"/>
    <w:basedOn w:val="Normal"/>
    <w:rsid w:val="00801681"/>
    <w:pPr>
      <w:spacing w:before="100" w:beforeAutospacing="1" w:after="100" w:afterAutospacing="1"/>
      <w:jc w:val="center"/>
    </w:pPr>
    <w:rPr>
      <w:rFonts w:ascii="Times New Roman" w:hAnsi="Times New Roman"/>
      <w:szCs w:val="24"/>
      <w:lang w:eastAsia="en-GB"/>
    </w:rPr>
  </w:style>
  <w:style w:type="paragraph" w:customStyle="1" w:styleId="xl55">
    <w:name w:val="xl55"/>
    <w:basedOn w:val="Normal"/>
    <w:rsid w:val="00801681"/>
    <w:pPr>
      <w:spacing w:before="100" w:beforeAutospacing="1" w:after="100" w:afterAutospacing="1"/>
    </w:pPr>
    <w:rPr>
      <w:rFonts w:cs="Arial"/>
      <w:szCs w:val="24"/>
      <w:lang w:eastAsia="en-GB"/>
    </w:rPr>
  </w:style>
  <w:style w:type="paragraph" w:customStyle="1" w:styleId="xl56">
    <w:name w:val="xl56"/>
    <w:basedOn w:val="Normal"/>
    <w:rsid w:val="00801681"/>
    <w:pPr>
      <w:spacing w:before="100" w:beforeAutospacing="1" w:after="100" w:afterAutospacing="1"/>
    </w:pPr>
    <w:rPr>
      <w:rFonts w:cs="Arial"/>
      <w:szCs w:val="24"/>
      <w:lang w:eastAsia="en-GB"/>
    </w:rPr>
  </w:style>
  <w:style w:type="paragraph" w:customStyle="1" w:styleId="xl57">
    <w:name w:val="xl57"/>
    <w:basedOn w:val="Normal"/>
    <w:rsid w:val="00801681"/>
    <w:pPr>
      <w:spacing w:before="100" w:beforeAutospacing="1" w:after="100" w:afterAutospacing="1"/>
      <w:textAlignment w:val="center"/>
    </w:pPr>
    <w:rPr>
      <w:rFonts w:cs="Arial"/>
      <w:szCs w:val="24"/>
      <w:lang w:eastAsia="en-GB"/>
    </w:rPr>
  </w:style>
  <w:style w:type="paragraph" w:customStyle="1" w:styleId="xl58">
    <w:name w:val="xl58"/>
    <w:basedOn w:val="Normal"/>
    <w:rsid w:val="00801681"/>
    <w:pPr>
      <w:spacing w:before="100" w:beforeAutospacing="1" w:after="100" w:afterAutospacing="1"/>
      <w:textAlignment w:val="center"/>
    </w:pPr>
    <w:rPr>
      <w:rFonts w:cs="Arial"/>
      <w:szCs w:val="24"/>
      <w:lang w:eastAsia="en-GB"/>
    </w:rPr>
  </w:style>
  <w:style w:type="paragraph" w:customStyle="1" w:styleId="xl59">
    <w:name w:val="xl59"/>
    <w:basedOn w:val="Normal"/>
    <w:rsid w:val="00801681"/>
    <w:pPr>
      <w:spacing w:before="100" w:beforeAutospacing="1" w:after="100" w:afterAutospacing="1"/>
      <w:textAlignment w:val="center"/>
    </w:pPr>
    <w:rPr>
      <w:rFonts w:cs="Arial"/>
      <w:szCs w:val="24"/>
      <w:lang w:eastAsia="en-GB"/>
    </w:rPr>
  </w:style>
  <w:style w:type="paragraph" w:customStyle="1" w:styleId="xl60">
    <w:name w:val="xl6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1">
    <w:name w:val="xl61"/>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2">
    <w:name w:val="xl62"/>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3">
    <w:name w:val="xl63"/>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64">
    <w:name w:val="xl64"/>
    <w:basedOn w:val="Normal"/>
    <w:rsid w:val="00801681"/>
    <w:pPr>
      <w:spacing w:before="100" w:beforeAutospacing="1" w:after="100" w:afterAutospacing="1"/>
      <w:textAlignment w:val="center"/>
    </w:pPr>
    <w:rPr>
      <w:rFonts w:ascii="Monotype Sorts" w:hAnsi="Monotype Sorts"/>
      <w:szCs w:val="24"/>
      <w:lang w:eastAsia="en-GB"/>
    </w:rPr>
  </w:style>
  <w:style w:type="paragraph" w:customStyle="1" w:styleId="xl65">
    <w:name w:val="xl65"/>
    <w:basedOn w:val="Normal"/>
    <w:rsid w:val="00801681"/>
    <w:pPr>
      <w:spacing w:before="100" w:beforeAutospacing="1" w:after="100" w:afterAutospacing="1"/>
    </w:pPr>
    <w:rPr>
      <w:rFonts w:ascii="Times New Roman" w:hAnsi="Times New Roman"/>
      <w:szCs w:val="24"/>
      <w:lang w:eastAsia="en-GB"/>
    </w:rPr>
  </w:style>
  <w:style w:type="paragraph" w:customStyle="1" w:styleId="xl66">
    <w:name w:val="xl66"/>
    <w:basedOn w:val="Normal"/>
    <w:rsid w:val="00801681"/>
    <w:pPr>
      <w:spacing w:before="100" w:beforeAutospacing="1" w:after="100" w:afterAutospacing="1"/>
    </w:pPr>
    <w:rPr>
      <w:rFonts w:ascii="Times New Roman" w:hAnsi="Times New Roman"/>
      <w:color w:val="C0C0C0"/>
      <w:szCs w:val="24"/>
      <w:lang w:eastAsia="en-GB"/>
    </w:rPr>
  </w:style>
  <w:style w:type="paragraph" w:customStyle="1" w:styleId="xl67">
    <w:name w:val="xl67"/>
    <w:basedOn w:val="Normal"/>
    <w:rsid w:val="00801681"/>
    <w:pPr>
      <w:spacing w:before="100" w:beforeAutospacing="1" w:after="100" w:afterAutospacing="1"/>
    </w:pPr>
    <w:rPr>
      <w:rFonts w:ascii="Wingdings 2" w:hAnsi="Wingdings 2"/>
      <w:szCs w:val="24"/>
      <w:lang w:eastAsia="en-GB"/>
    </w:rPr>
  </w:style>
  <w:style w:type="paragraph" w:customStyle="1" w:styleId="xl68">
    <w:name w:val="xl68"/>
    <w:basedOn w:val="Normal"/>
    <w:rsid w:val="00801681"/>
    <w:pPr>
      <w:spacing w:before="100" w:beforeAutospacing="1" w:after="100" w:afterAutospacing="1"/>
      <w:textAlignment w:val="top"/>
    </w:pPr>
    <w:rPr>
      <w:rFonts w:ascii="Times New Roman" w:hAnsi="Times New Roman"/>
      <w:szCs w:val="24"/>
      <w:lang w:eastAsia="en-GB"/>
    </w:rPr>
  </w:style>
  <w:style w:type="paragraph" w:customStyle="1" w:styleId="xl69">
    <w:name w:val="xl69"/>
    <w:basedOn w:val="Normal"/>
    <w:rsid w:val="00801681"/>
    <w:pPr>
      <w:spacing w:before="100" w:beforeAutospacing="1" w:after="100" w:afterAutospacing="1"/>
      <w:textAlignment w:val="center"/>
    </w:pPr>
    <w:rPr>
      <w:rFonts w:ascii="Wingdings 2" w:hAnsi="Wingdings 2"/>
      <w:szCs w:val="24"/>
      <w:lang w:eastAsia="en-GB"/>
    </w:rPr>
  </w:style>
  <w:style w:type="paragraph" w:customStyle="1" w:styleId="xl70">
    <w:name w:val="xl7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71">
    <w:name w:val="xl71"/>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72">
    <w:name w:val="xl72"/>
    <w:basedOn w:val="Normal"/>
    <w:rsid w:val="00801681"/>
    <w:pPr>
      <w:spacing w:before="100" w:beforeAutospacing="1" w:after="100" w:afterAutospacing="1"/>
      <w:jc w:val="right"/>
    </w:pPr>
    <w:rPr>
      <w:rFonts w:ascii="Times New Roman" w:hAnsi="Times New Roman"/>
      <w:szCs w:val="24"/>
      <w:lang w:eastAsia="en-GB"/>
    </w:rPr>
  </w:style>
  <w:style w:type="paragraph" w:customStyle="1" w:styleId="xl73">
    <w:name w:val="xl73"/>
    <w:basedOn w:val="Normal"/>
    <w:rsid w:val="00801681"/>
    <w:pPr>
      <w:spacing w:before="100" w:beforeAutospacing="1" w:after="100" w:afterAutospacing="1"/>
    </w:pPr>
    <w:rPr>
      <w:rFonts w:ascii="Times New Roman" w:hAnsi="Times New Roman"/>
      <w:color w:val="0000FF"/>
      <w:szCs w:val="24"/>
      <w:lang w:eastAsia="en-GB"/>
    </w:rPr>
  </w:style>
  <w:style w:type="paragraph" w:customStyle="1" w:styleId="xl74">
    <w:name w:val="xl74"/>
    <w:basedOn w:val="Normal"/>
    <w:rsid w:val="00801681"/>
    <w:pPr>
      <w:spacing w:before="100" w:beforeAutospacing="1" w:after="100" w:afterAutospacing="1"/>
    </w:pPr>
    <w:rPr>
      <w:rFonts w:ascii="Times New Roman" w:hAnsi="Times New Roman"/>
      <w:szCs w:val="24"/>
      <w:lang w:eastAsia="en-GB"/>
    </w:rPr>
  </w:style>
  <w:style w:type="paragraph" w:customStyle="1" w:styleId="xl75">
    <w:name w:val="xl75"/>
    <w:basedOn w:val="Normal"/>
    <w:rsid w:val="00801681"/>
    <w:pPr>
      <w:spacing w:before="100" w:beforeAutospacing="1" w:after="100" w:afterAutospacing="1"/>
    </w:pPr>
    <w:rPr>
      <w:rFonts w:ascii="Wingdings" w:hAnsi="Wingdings"/>
      <w:szCs w:val="24"/>
      <w:lang w:eastAsia="en-GB"/>
    </w:rPr>
  </w:style>
  <w:style w:type="paragraph" w:customStyle="1" w:styleId="xl76">
    <w:name w:val="xl76"/>
    <w:basedOn w:val="Normal"/>
    <w:rsid w:val="00801681"/>
    <w:pPr>
      <w:spacing w:before="100" w:beforeAutospacing="1" w:after="100" w:afterAutospacing="1"/>
    </w:pPr>
    <w:rPr>
      <w:rFonts w:cs="Arial"/>
      <w:szCs w:val="24"/>
      <w:lang w:eastAsia="en-GB"/>
    </w:rPr>
  </w:style>
  <w:style w:type="paragraph" w:customStyle="1" w:styleId="xl77">
    <w:name w:val="xl77"/>
    <w:basedOn w:val="Normal"/>
    <w:rsid w:val="00801681"/>
    <w:pPr>
      <w:shd w:val="clear" w:color="auto" w:fill="C0C0C0"/>
      <w:spacing w:before="100" w:beforeAutospacing="1" w:after="100" w:afterAutospacing="1"/>
    </w:pPr>
    <w:rPr>
      <w:rFonts w:ascii="Wingdings" w:hAnsi="Wingdings"/>
      <w:szCs w:val="24"/>
      <w:lang w:eastAsia="en-GB"/>
    </w:rPr>
  </w:style>
  <w:style w:type="paragraph" w:customStyle="1" w:styleId="xl78">
    <w:name w:val="xl78"/>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79">
    <w:name w:val="xl79"/>
    <w:basedOn w:val="Normal"/>
    <w:rsid w:val="00801681"/>
    <w:pPr>
      <w:shd w:val="clear" w:color="auto" w:fill="C0C0C0"/>
      <w:spacing w:before="100" w:beforeAutospacing="1" w:after="100" w:afterAutospacing="1"/>
    </w:pPr>
    <w:rPr>
      <w:rFonts w:cs="Arial"/>
      <w:szCs w:val="24"/>
      <w:lang w:eastAsia="en-GB"/>
    </w:rPr>
  </w:style>
  <w:style w:type="paragraph" w:customStyle="1" w:styleId="xl80">
    <w:name w:val="xl80"/>
    <w:basedOn w:val="Normal"/>
    <w:rsid w:val="00801681"/>
    <w:pPr>
      <w:spacing w:before="100" w:beforeAutospacing="1" w:after="100" w:afterAutospacing="1"/>
      <w:textAlignment w:val="center"/>
    </w:pPr>
    <w:rPr>
      <w:rFonts w:cs="Arial"/>
      <w:sz w:val="22"/>
      <w:szCs w:val="22"/>
      <w:lang w:eastAsia="en-GB"/>
    </w:rPr>
  </w:style>
  <w:style w:type="paragraph" w:customStyle="1" w:styleId="xl81">
    <w:name w:val="xl81"/>
    <w:basedOn w:val="Normal"/>
    <w:rsid w:val="00801681"/>
    <w:pPr>
      <w:spacing w:before="100" w:beforeAutospacing="1" w:after="100" w:afterAutospacing="1"/>
    </w:pPr>
    <w:rPr>
      <w:rFonts w:cs="Arial"/>
      <w:sz w:val="22"/>
      <w:szCs w:val="22"/>
      <w:lang w:eastAsia="en-GB"/>
    </w:rPr>
  </w:style>
  <w:style w:type="paragraph" w:customStyle="1" w:styleId="xl82">
    <w:name w:val="xl82"/>
    <w:basedOn w:val="Normal"/>
    <w:rsid w:val="00801681"/>
    <w:pPr>
      <w:spacing w:before="100" w:beforeAutospacing="1" w:after="100" w:afterAutospacing="1"/>
    </w:pPr>
    <w:rPr>
      <w:rFonts w:ascii="Times New Roman" w:hAnsi="Times New Roman"/>
      <w:szCs w:val="24"/>
      <w:lang w:eastAsia="en-GB"/>
    </w:rPr>
  </w:style>
  <w:style w:type="paragraph" w:customStyle="1" w:styleId="xl83">
    <w:name w:val="xl83"/>
    <w:basedOn w:val="Normal"/>
    <w:rsid w:val="00801681"/>
    <w:pPr>
      <w:spacing w:before="100" w:beforeAutospacing="1" w:after="100" w:afterAutospacing="1"/>
      <w:jc w:val="center"/>
    </w:pPr>
    <w:rPr>
      <w:rFonts w:ascii="Times New Roman" w:hAnsi="Times New Roman"/>
      <w:szCs w:val="24"/>
      <w:lang w:eastAsia="en-GB"/>
    </w:rPr>
  </w:style>
  <w:style w:type="paragraph" w:styleId="NormalWeb">
    <w:name w:val="Normal (Web)"/>
    <w:basedOn w:val="Normal"/>
    <w:rsid w:val="00F8311D"/>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F8311D"/>
    <w:rPr>
      <w:i/>
      <w:iCs/>
    </w:rPr>
  </w:style>
  <w:style w:type="paragraph" w:customStyle="1" w:styleId="Body">
    <w:name w:val="Body"/>
    <w:basedOn w:val="Normal"/>
    <w:rsid w:val="00F33006"/>
    <w:pPr>
      <w:spacing w:after="160"/>
      <w:ind w:left="720" w:right="720"/>
      <w:jc w:val="both"/>
    </w:pPr>
    <w:rPr>
      <w:rFonts w:ascii="Century Schoolbook" w:hAnsi="Century Schoolbook"/>
      <w:lang w:eastAsia="en-GB"/>
    </w:rPr>
  </w:style>
  <w:style w:type="paragraph" w:customStyle="1" w:styleId="Body3">
    <w:name w:val="Body 3"/>
    <w:basedOn w:val="Body"/>
    <w:rsid w:val="00F33006"/>
    <w:pPr>
      <w:spacing w:after="240"/>
      <w:ind w:left="1701" w:right="0"/>
    </w:pPr>
    <w:rPr>
      <w:rFonts w:ascii="Arial" w:hAnsi="Arial" w:cs="Arial"/>
      <w:sz w:val="20"/>
    </w:rPr>
  </w:style>
  <w:style w:type="paragraph" w:customStyle="1" w:styleId="Body0">
    <w:name w:val="Body*"/>
    <w:rsid w:val="00DF604C"/>
    <w:pPr>
      <w:keepLines/>
      <w:spacing w:line="320" w:lineRule="exact"/>
      <w:ind w:right="850"/>
      <w:jc w:val="both"/>
    </w:pPr>
    <w:rPr>
      <w:rFonts w:ascii="Perpetua" w:hAnsi="Perpetua"/>
      <w:noProof/>
      <w:sz w:val="26"/>
    </w:rPr>
  </w:style>
  <w:style w:type="paragraph" w:customStyle="1" w:styleId="Bullet1">
    <w:name w:val="Bullet 1"/>
    <w:basedOn w:val="Normal"/>
    <w:link w:val="Bullet1Char"/>
    <w:rsid w:val="006E5226"/>
    <w:pPr>
      <w:keepLines/>
      <w:tabs>
        <w:tab w:val="num" w:pos="794"/>
      </w:tabs>
      <w:spacing w:before="100"/>
      <w:ind w:left="794" w:hanging="397"/>
    </w:pPr>
    <w:rPr>
      <w:szCs w:val="24"/>
      <w:lang w:eastAsia="en-GB"/>
    </w:rPr>
  </w:style>
  <w:style w:type="character" w:customStyle="1" w:styleId="Bullet1Char">
    <w:name w:val="Bullet 1 Char"/>
    <w:basedOn w:val="DefaultParagraphFont"/>
    <w:link w:val="Bullet1"/>
    <w:rsid w:val="006E5226"/>
    <w:rPr>
      <w:rFonts w:ascii="Arial" w:hAnsi="Arial"/>
      <w:sz w:val="24"/>
      <w:szCs w:val="24"/>
      <w:lang w:val="en-GB" w:eastAsia="en-GB" w:bidi="ar-SA"/>
    </w:rPr>
  </w:style>
  <w:style w:type="paragraph" w:styleId="TOC3">
    <w:name w:val="toc 3"/>
    <w:basedOn w:val="Normal"/>
    <w:next w:val="Normal"/>
    <w:autoRedefine/>
    <w:semiHidden/>
    <w:rsid w:val="005B7B3D"/>
    <w:pPr>
      <w:ind w:left="480"/>
    </w:pPr>
  </w:style>
  <w:style w:type="paragraph" w:styleId="ListParagraph">
    <w:name w:val="List Paragraph"/>
    <w:basedOn w:val="Normal"/>
    <w:uiPriority w:val="34"/>
    <w:qFormat/>
    <w:rsid w:val="005B7B3D"/>
    <w:pPr>
      <w:ind w:left="720"/>
      <w:contextualSpacing/>
    </w:pPr>
    <w:rPr>
      <w:rFonts w:ascii="Times New Roman" w:eastAsia="Calibri" w:hAnsi="Times New Roman"/>
      <w:szCs w:val="24"/>
      <w:lang w:eastAsia="en-GB"/>
    </w:rPr>
  </w:style>
  <w:style w:type="paragraph" w:styleId="NoSpacing">
    <w:name w:val="No Spacing"/>
    <w:link w:val="NoSpacingChar"/>
    <w:qFormat/>
    <w:rsid w:val="005B7B3D"/>
    <w:rPr>
      <w:rFonts w:ascii="Calibri" w:eastAsia="Calibri" w:hAnsi="Calibri"/>
      <w:sz w:val="22"/>
      <w:szCs w:val="22"/>
      <w:lang w:val="en-US" w:eastAsia="en-US"/>
    </w:rPr>
  </w:style>
  <w:style w:type="character" w:customStyle="1" w:styleId="NoSpacingChar">
    <w:name w:val="No Spacing Char"/>
    <w:basedOn w:val="DefaultParagraphFont"/>
    <w:link w:val="NoSpacing"/>
    <w:locked/>
    <w:rsid w:val="005B7B3D"/>
    <w:rPr>
      <w:rFonts w:ascii="Calibri" w:eastAsia="Calibri" w:hAnsi="Calibri"/>
      <w:sz w:val="22"/>
      <w:szCs w:val="22"/>
      <w:lang w:val="en-US" w:eastAsia="en-US" w:bidi="ar-SA"/>
    </w:rPr>
  </w:style>
  <w:style w:type="paragraph" w:styleId="TOCHeading">
    <w:name w:val="TOC Heading"/>
    <w:basedOn w:val="Heading1"/>
    <w:next w:val="Normal"/>
    <w:qFormat/>
    <w:rsid w:val="005B7B3D"/>
    <w:pPr>
      <w:keepLines/>
      <w:spacing w:before="480" w:line="276" w:lineRule="auto"/>
      <w:ind w:left="0" w:firstLine="0"/>
      <w:jc w:val="left"/>
      <w:outlineLvl w:val="9"/>
    </w:pPr>
    <w:rPr>
      <w:rFonts w:ascii="Cambria" w:eastAsia="Calibri" w:hAnsi="Cambria"/>
      <w:bCs/>
      <w:color w:val="365F91"/>
      <w:sz w:val="28"/>
      <w:szCs w:val="28"/>
      <w:lang w:val="en-US"/>
    </w:rPr>
  </w:style>
  <w:style w:type="paragraph" w:customStyle="1" w:styleId="Bullets">
    <w:name w:val="Bullets"/>
    <w:basedOn w:val="BodyText"/>
    <w:rsid w:val="005B7B3D"/>
    <w:pPr>
      <w:tabs>
        <w:tab w:val="left" w:pos="648"/>
        <w:tab w:val="left" w:pos="936"/>
      </w:tabs>
      <w:spacing w:after="360"/>
      <w:jc w:val="both"/>
    </w:pPr>
    <w:rPr>
      <w:rFonts w:ascii="Garamond" w:eastAsia="Calibri" w:hAnsi="Garamond"/>
      <w:sz w:val="24"/>
      <w:lang w:eastAsia="en-GB"/>
    </w:rPr>
  </w:style>
  <w:style w:type="paragraph" w:styleId="CommentText">
    <w:name w:val="annotation text"/>
    <w:basedOn w:val="Normal"/>
    <w:semiHidden/>
    <w:rsid w:val="005334B3"/>
    <w:rPr>
      <w:sz w:val="20"/>
    </w:rPr>
  </w:style>
  <w:style w:type="character" w:customStyle="1" w:styleId="Heading2Char">
    <w:name w:val="Heading 2 Char"/>
    <w:basedOn w:val="DefaultParagraphFont"/>
    <w:locked/>
    <w:rsid w:val="00281AFF"/>
    <w:rPr>
      <w:rFonts w:ascii="Arial" w:hAnsi="Arial" w:cs="Arial"/>
      <w:b/>
      <w:bCs/>
      <w:i/>
      <w:iCs/>
      <w:sz w:val="28"/>
      <w:szCs w:val="28"/>
      <w:lang w:val="x-none" w:eastAsia="en-GB"/>
    </w:rPr>
  </w:style>
  <w:style w:type="table" w:customStyle="1" w:styleId="ColorfulShading-Accent41">
    <w:name w:val="Colorful Shading - Accent 41"/>
    <w:rsid w:val="00281AFF"/>
    <w:rPr>
      <w:rFonts w:ascii="Calibri" w:hAnsi="Calibri"/>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customStyle="1" w:styleId="ColorfulGrid-Accent41">
    <w:name w:val="Colorful Grid - Accent 4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ColorfulList-Accent11">
    <w:name w:val="Colorful List - Accent 11"/>
    <w:rsid w:val="00281AFF"/>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MediumShading2-Accent21">
    <w:name w:val="Medium Shading 2 - Accent 21"/>
    <w:rsid w:val="00281AF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11">
    <w:name w:val="Colorful Grid - Accent 1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maf">
    <w:name w:val="maf"/>
    <w:basedOn w:val="Default"/>
    <w:next w:val="Default"/>
    <w:rsid w:val="00281AFF"/>
    <w:rPr>
      <w:rFonts w:ascii="Times New Roman" w:eastAsia="Calibri" w:hAnsi="Times New Roman" w:cs="Times New Roman"/>
      <w:color w:val="auto"/>
      <w:lang w:val="en-US" w:eastAsia="en-US"/>
    </w:rPr>
  </w:style>
  <w:style w:type="character" w:customStyle="1" w:styleId="Hyperlink8">
    <w:name w:val="Hyperlink8"/>
    <w:basedOn w:val="DefaultParagraphFont"/>
    <w:rsid w:val="00281AFF"/>
    <w:rPr>
      <w:rFonts w:cs="Times New Roman"/>
      <w:b/>
      <w:bCs/>
      <w:color w:val="336699"/>
      <w:u w:val="none"/>
      <w:effect w:val="none"/>
    </w:rPr>
  </w:style>
  <w:style w:type="paragraph" w:customStyle="1" w:styleId="Question">
    <w:name w:val="Question"/>
    <w:basedOn w:val="Normal"/>
    <w:rsid w:val="00281AFF"/>
    <w:pPr>
      <w:tabs>
        <w:tab w:val="num" w:pos="709"/>
      </w:tabs>
      <w:spacing w:before="160" w:after="100"/>
      <w:ind w:left="709" w:hanging="567"/>
    </w:pPr>
    <w:rPr>
      <w:rFonts w:eastAsia="Calibri"/>
      <w:b/>
      <w:sz w:val="21"/>
    </w:rPr>
  </w:style>
  <w:style w:type="paragraph" w:customStyle="1" w:styleId="Section">
    <w:name w:val="Section"/>
    <w:basedOn w:val="Question"/>
    <w:rsid w:val="00281AFF"/>
    <w:pPr>
      <w:tabs>
        <w:tab w:val="clear" w:pos="709"/>
        <w:tab w:val="num" w:pos="567"/>
      </w:tabs>
      <w:spacing w:before="360" w:after="0"/>
      <w:ind w:left="567"/>
    </w:pPr>
    <w:rPr>
      <w:caps/>
      <w:sz w:val="25"/>
    </w:rPr>
  </w:style>
  <w:style w:type="paragraph" w:customStyle="1" w:styleId="QuestionFollowup">
    <w:name w:val="Question Followup"/>
    <w:basedOn w:val="Question"/>
    <w:rsid w:val="00281AFF"/>
    <w:pPr>
      <w:tabs>
        <w:tab w:val="clear" w:pos="709"/>
        <w:tab w:val="num" w:pos="567"/>
      </w:tabs>
      <w:ind w:left="567"/>
    </w:pPr>
  </w:style>
  <w:style w:type="paragraph" w:customStyle="1" w:styleId="Appendixhead">
    <w:name w:val="Appendix head"/>
    <w:basedOn w:val="Heading1"/>
    <w:next w:val="Normal"/>
    <w:rsid w:val="00281AFF"/>
    <w:pPr>
      <w:keepNext w:val="0"/>
      <w:pageBreakBefore/>
      <w:tabs>
        <w:tab w:val="left" w:pos="1021"/>
        <w:tab w:val="num" w:pos="1800"/>
      </w:tabs>
      <w:spacing w:after="1080"/>
      <w:ind w:left="431" w:hanging="431"/>
      <w:jc w:val="both"/>
      <w:outlineLvl w:val="9"/>
    </w:pPr>
    <w:rPr>
      <w:rFonts w:ascii="Verdana" w:eastAsia="Calibri" w:hAnsi="Verdana"/>
      <w:kern w:val="28"/>
      <w:sz w:val="32"/>
      <w:szCs w:val="24"/>
    </w:rPr>
  </w:style>
  <w:style w:type="paragraph" w:customStyle="1" w:styleId="Appendixtext">
    <w:name w:val="Appendix text"/>
    <w:basedOn w:val="Heading2"/>
    <w:rsid w:val="00281AFF"/>
    <w:pPr>
      <w:keepNext w:val="0"/>
      <w:keepLines/>
      <w:tabs>
        <w:tab w:val="num" w:pos="576"/>
        <w:tab w:val="left" w:pos="1021"/>
        <w:tab w:val="num" w:pos="1152"/>
      </w:tabs>
      <w:spacing w:before="240" w:after="60"/>
      <w:ind w:left="578" w:hanging="578"/>
      <w:jc w:val="both"/>
    </w:pPr>
    <w:rPr>
      <w:rFonts w:ascii="Verdana" w:eastAsia="Calibri" w:hAnsi="Verdana" w:cs="Arial"/>
      <w:b w:val="0"/>
      <w:bCs/>
      <w:iCs/>
      <w:color w:val="auto"/>
      <w:sz w:val="22"/>
      <w:szCs w:val="28"/>
      <w:lang w:val="en-US"/>
    </w:rPr>
  </w:style>
  <w:style w:type="paragraph" w:customStyle="1" w:styleId="bulletscs1">
    <w:name w:val="bullet scs1"/>
    <w:basedOn w:val="Normal"/>
    <w:rsid w:val="00281AFF"/>
    <w:pPr>
      <w:tabs>
        <w:tab w:val="left" w:pos="907"/>
      </w:tabs>
      <w:spacing w:after="120"/>
      <w:ind w:right="658"/>
    </w:pPr>
    <w:rPr>
      <w:rFonts w:eastAsia="Calibri"/>
      <w:sz w:val="22"/>
      <w:szCs w:val="24"/>
    </w:rPr>
  </w:style>
  <w:style w:type="paragraph" w:customStyle="1" w:styleId="wfxRecipient">
    <w:name w:val="wfxRecipient"/>
    <w:basedOn w:val="Normal"/>
    <w:rsid w:val="00281AFF"/>
    <w:rPr>
      <w:rFonts w:ascii="Times New Roman" w:eastAsia="Calibri" w:hAnsi="Times New Roman"/>
      <w:szCs w:val="24"/>
    </w:rPr>
  </w:style>
  <w:style w:type="paragraph" w:customStyle="1" w:styleId="Tabledata">
    <w:name w:val="Table data"/>
    <w:basedOn w:val="Normal"/>
    <w:rsid w:val="00281AFF"/>
    <w:pPr>
      <w:ind w:right="113"/>
      <w:jc w:val="right"/>
    </w:pPr>
    <w:rPr>
      <w:rFonts w:eastAsia="Calibri"/>
      <w:color w:val="000000"/>
      <w:sz w:val="22"/>
      <w:szCs w:val="24"/>
    </w:rPr>
  </w:style>
  <w:style w:type="paragraph" w:customStyle="1" w:styleId="Appendixhead2">
    <w:name w:val="Appendixhead2"/>
    <w:basedOn w:val="Heading2"/>
    <w:rsid w:val="00281AFF"/>
    <w:pPr>
      <w:keepNext w:val="0"/>
      <w:keepLines/>
      <w:tabs>
        <w:tab w:val="left" w:pos="1021"/>
      </w:tabs>
      <w:spacing w:before="120" w:after="120"/>
      <w:ind w:left="142" w:hanging="708"/>
      <w:jc w:val="both"/>
      <w:outlineLvl w:val="9"/>
    </w:pPr>
    <w:rPr>
      <w:rFonts w:ascii="Verdana" w:eastAsia="Calibri" w:hAnsi="Verdana"/>
      <w:b w:val="0"/>
      <w:i/>
      <w:noProof/>
      <w:color w:val="auto"/>
      <w:sz w:val="24"/>
      <w:szCs w:val="24"/>
      <w:u w:val="single"/>
      <w:lang w:val="en-US"/>
    </w:rPr>
  </w:style>
  <w:style w:type="paragraph" w:customStyle="1" w:styleId="TABLEHEADING">
    <w:name w:val="TABLE HEADING"/>
    <w:basedOn w:val="Normal"/>
    <w:rsid w:val="00281AFF"/>
    <w:rPr>
      <w:rFonts w:ascii="Times New Roman" w:eastAsia="Calibri" w:hAnsi="Times New Roman"/>
      <w:b/>
      <w:szCs w:val="24"/>
    </w:rPr>
  </w:style>
  <w:style w:type="paragraph" w:customStyle="1" w:styleId="cncont">
    <w:name w:val="cn_cont"/>
    <w:basedOn w:val="Normal"/>
    <w:rsid w:val="00281AFF"/>
    <w:pPr>
      <w:spacing w:before="100" w:beforeAutospacing="1" w:after="100" w:afterAutospacing="1"/>
    </w:pPr>
    <w:rPr>
      <w:rFonts w:ascii="Verdana" w:eastAsia="Calibri" w:hAnsi="Verdana"/>
      <w:color w:val="000066"/>
      <w:sz w:val="18"/>
      <w:szCs w:val="18"/>
      <w:lang w:val="en-US"/>
    </w:rPr>
  </w:style>
  <w:style w:type="paragraph" w:styleId="TOC4">
    <w:name w:val="toc 4"/>
    <w:basedOn w:val="Normal"/>
    <w:next w:val="Normal"/>
    <w:autoRedefine/>
    <w:rsid w:val="00281AFF"/>
    <w:pPr>
      <w:spacing w:after="100" w:line="276" w:lineRule="auto"/>
      <w:ind w:left="660"/>
    </w:pPr>
    <w:rPr>
      <w:rFonts w:ascii="Calibri" w:eastAsia="Calibri" w:hAnsi="Calibri"/>
      <w:sz w:val="22"/>
      <w:szCs w:val="22"/>
      <w:lang w:eastAsia="en-GB"/>
    </w:rPr>
  </w:style>
  <w:style w:type="paragraph" w:styleId="TOC5">
    <w:name w:val="toc 5"/>
    <w:basedOn w:val="Normal"/>
    <w:next w:val="Normal"/>
    <w:autoRedefine/>
    <w:rsid w:val="00281AFF"/>
    <w:pPr>
      <w:spacing w:after="100" w:line="276" w:lineRule="auto"/>
      <w:ind w:left="880"/>
    </w:pPr>
    <w:rPr>
      <w:rFonts w:ascii="Calibri" w:eastAsia="Calibri" w:hAnsi="Calibri"/>
      <w:sz w:val="22"/>
      <w:szCs w:val="22"/>
      <w:lang w:eastAsia="en-GB"/>
    </w:rPr>
  </w:style>
  <w:style w:type="paragraph" w:styleId="TOC6">
    <w:name w:val="toc 6"/>
    <w:basedOn w:val="Normal"/>
    <w:next w:val="Normal"/>
    <w:autoRedefine/>
    <w:rsid w:val="00281AFF"/>
    <w:pPr>
      <w:spacing w:after="100" w:line="276" w:lineRule="auto"/>
      <w:ind w:left="1100"/>
    </w:pPr>
    <w:rPr>
      <w:rFonts w:ascii="Calibri" w:eastAsia="Calibri" w:hAnsi="Calibri"/>
      <w:sz w:val="22"/>
      <w:szCs w:val="22"/>
      <w:lang w:eastAsia="en-GB"/>
    </w:rPr>
  </w:style>
  <w:style w:type="paragraph" w:styleId="TOC7">
    <w:name w:val="toc 7"/>
    <w:basedOn w:val="Normal"/>
    <w:next w:val="Normal"/>
    <w:autoRedefine/>
    <w:rsid w:val="00281AFF"/>
    <w:pPr>
      <w:spacing w:after="100" w:line="276" w:lineRule="auto"/>
      <w:ind w:left="1320"/>
    </w:pPr>
    <w:rPr>
      <w:rFonts w:ascii="Calibri" w:eastAsia="Calibri" w:hAnsi="Calibri"/>
      <w:sz w:val="22"/>
      <w:szCs w:val="22"/>
      <w:lang w:eastAsia="en-GB"/>
    </w:rPr>
  </w:style>
  <w:style w:type="paragraph" w:styleId="TOC8">
    <w:name w:val="toc 8"/>
    <w:basedOn w:val="Normal"/>
    <w:next w:val="Normal"/>
    <w:autoRedefine/>
    <w:rsid w:val="00281AFF"/>
    <w:pPr>
      <w:spacing w:after="100" w:line="276" w:lineRule="auto"/>
      <w:ind w:left="1540"/>
    </w:pPr>
    <w:rPr>
      <w:rFonts w:ascii="Calibri" w:eastAsia="Calibri" w:hAnsi="Calibri"/>
      <w:sz w:val="22"/>
      <w:szCs w:val="22"/>
      <w:lang w:eastAsia="en-GB"/>
    </w:rPr>
  </w:style>
  <w:style w:type="paragraph" w:styleId="TOC9">
    <w:name w:val="toc 9"/>
    <w:basedOn w:val="Normal"/>
    <w:next w:val="Normal"/>
    <w:autoRedefine/>
    <w:rsid w:val="00281AFF"/>
    <w:pPr>
      <w:spacing w:after="100" w:line="276" w:lineRule="auto"/>
      <w:ind w:left="1760"/>
    </w:pPr>
    <w:rPr>
      <w:rFonts w:ascii="Calibri" w:eastAsia="Calibri" w:hAnsi="Calibri"/>
      <w:sz w:val="22"/>
      <w:szCs w:val="22"/>
      <w:lang w:eastAsia="en-GB"/>
    </w:rPr>
  </w:style>
  <w:style w:type="character" w:customStyle="1" w:styleId="subhead21">
    <w:name w:val="subhead21"/>
    <w:basedOn w:val="DefaultParagraphFont"/>
    <w:rsid w:val="00281AFF"/>
    <w:rPr>
      <w:rFonts w:ascii="Arial" w:hAnsi="Arial" w:cs="Arial"/>
      <w:b/>
      <w:bCs/>
      <w:color w:val="559EDA"/>
      <w:sz w:val="22"/>
      <w:szCs w:val="22"/>
    </w:rPr>
  </w:style>
  <w:style w:type="paragraph" w:customStyle="1" w:styleId="Style1">
    <w:name w:val="Style1"/>
    <w:basedOn w:val="Heading1"/>
    <w:rsid w:val="00281AFF"/>
    <w:pPr>
      <w:spacing w:before="240" w:after="60"/>
      <w:ind w:left="0" w:firstLine="0"/>
      <w:jc w:val="left"/>
    </w:pPr>
    <w:rPr>
      <w:rFonts w:ascii="FoundryFormSans-Book" w:eastAsia="Calibri" w:hAnsi="FoundryFormSans-Book" w:cs="FoundryFormSans-Book"/>
      <w:bCs/>
      <w:color w:val="008000"/>
      <w:kern w:val="32"/>
      <w:sz w:val="40"/>
      <w:szCs w:val="40"/>
      <w:lang w:val="en-US"/>
    </w:rPr>
  </w:style>
  <w:style w:type="table" w:customStyle="1" w:styleId="MediumList2-Accent11">
    <w:name w:val="Medium List 2 - Accent 11"/>
    <w:rsid w:val="00281AFF"/>
    <w:rPr>
      <w:rFonts w:ascii="Cambria" w:eastAsia="Calibri"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tabs">
    <w:name w:val="tabs"/>
    <w:basedOn w:val="Normal"/>
    <w:next w:val="Normal"/>
    <w:rsid w:val="00281AFF"/>
    <w:rPr>
      <w:rFonts w:ascii="Garamond" w:eastAsia="Calibri" w:hAnsi="Garamond"/>
      <w:sz w:val="22"/>
      <w:lang w:eastAsia="en-GB"/>
    </w:rPr>
  </w:style>
  <w:style w:type="paragraph" w:customStyle="1" w:styleId="Heading2NonTOC">
    <w:name w:val="Heading 2 Non TOC"/>
    <w:basedOn w:val="BodyText"/>
    <w:next w:val="BodyText"/>
    <w:rsid w:val="00281AFF"/>
    <w:pPr>
      <w:keepNext/>
      <w:spacing w:after="120"/>
    </w:pPr>
    <w:rPr>
      <w:rFonts w:ascii="RotisSansSerifExtraBold" w:eastAsia="Calibri" w:hAnsi="RotisSansSerifExtraBold"/>
      <w:sz w:val="32"/>
      <w:lang w:eastAsia="en-GB"/>
    </w:rPr>
  </w:style>
  <w:style w:type="table" w:customStyle="1" w:styleId="LightList1">
    <w:name w:val="Light List1"/>
    <w:rsid w:val="00281AFF"/>
    <w:rPr>
      <w:rFonts w:ascii="Calibri" w:eastAsia="Calibri" w:hAnsi="Calibri"/>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harChar11">
    <w:name w:val="Char Char11"/>
    <w:basedOn w:val="DefaultParagraphFont"/>
    <w:rsid w:val="009F6BE0"/>
    <w:rPr>
      <w:rFonts w:ascii="Arial" w:eastAsia="Times New Roman" w:hAnsi="Arial" w:cs="Arial"/>
      <w:b/>
      <w:bCs/>
      <w:i/>
      <w:iCs/>
      <w:sz w:val="28"/>
      <w:szCs w:val="28"/>
      <w:lang w:eastAsia="en-GB"/>
    </w:rPr>
  </w:style>
  <w:style w:type="character" w:customStyle="1" w:styleId="CharChar7">
    <w:name w:val="Char Char7"/>
    <w:basedOn w:val="DefaultParagraphFont"/>
    <w:rsid w:val="009F6BE0"/>
    <w:rPr>
      <w:rFonts w:ascii="Novarese Medium" w:eastAsia="Times New Roman" w:hAnsi="Novarese Medium" w:cs="Tahoma"/>
      <w:b/>
      <w:bCs/>
      <w:spacing w:val="-3"/>
      <w:sz w:val="24"/>
      <w:szCs w:val="24"/>
    </w:rPr>
  </w:style>
  <w:style w:type="character" w:customStyle="1" w:styleId="CharChar6">
    <w:name w:val="Char Char6"/>
    <w:basedOn w:val="DefaultParagraphFont"/>
    <w:rsid w:val="009F6BE0"/>
    <w:rPr>
      <w:rFonts w:ascii="Times New Roman" w:eastAsia="Times New Roman" w:hAnsi="Times New Roman" w:cs="Times New Roman"/>
      <w:sz w:val="24"/>
      <w:szCs w:val="24"/>
      <w:lang w:eastAsia="en-GB"/>
    </w:rPr>
  </w:style>
  <w:style w:type="character" w:customStyle="1" w:styleId="CharChar4">
    <w:name w:val="Char Char4"/>
    <w:basedOn w:val="DefaultParagraphFont"/>
    <w:rsid w:val="009F6BE0"/>
    <w:rPr>
      <w:rFonts w:ascii="Times New Roman" w:eastAsia="Times New Roman" w:hAnsi="Times New Roman" w:cs="Times New Roman"/>
      <w:sz w:val="24"/>
      <w:szCs w:val="24"/>
      <w:lang w:eastAsia="en-GB"/>
    </w:rPr>
  </w:style>
  <w:style w:type="character" w:customStyle="1" w:styleId="CharChar12">
    <w:name w:val="Char Char12"/>
    <w:basedOn w:val="DefaultParagraphFont"/>
    <w:rsid w:val="009F6BE0"/>
    <w:rPr>
      <w:rFonts w:ascii="Cambria" w:eastAsia="Times New Roman" w:hAnsi="Cambria" w:cs="Times New Roman"/>
      <w:b/>
      <w:bCs/>
      <w:color w:val="365F91"/>
      <w:sz w:val="28"/>
      <w:szCs w:val="28"/>
      <w:lang w:eastAsia="en-GB"/>
    </w:rPr>
  </w:style>
  <w:style w:type="character" w:customStyle="1" w:styleId="CharChar10">
    <w:name w:val="Char Char10"/>
    <w:basedOn w:val="DefaultParagraphFont"/>
    <w:rsid w:val="009F6BE0"/>
    <w:rPr>
      <w:rFonts w:ascii="Arial" w:eastAsia="Times New Roman" w:hAnsi="Arial" w:cs="Arial"/>
      <w:b/>
      <w:bCs/>
      <w:sz w:val="26"/>
      <w:szCs w:val="26"/>
      <w:lang w:eastAsia="en-GB"/>
    </w:rPr>
  </w:style>
  <w:style w:type="character" w:customStyle="1" w:styleId="CharChar9">
    <w:name w:val="Char Char9"/>
    <w:basedOn w:val="DefaultParagraphFont"/>
    <w:rsid w:val="009F6BE0"/>
    <w:rPr>
      <w:rFonts w:ascii="Times New Roman" w:eastAsia="Times New Roman" w:hAnsi="Times New Roman" w:cs="Times New Roman"/>
      <w:i/>
      <w:iCs/>
      <w:sz w:val="24"/>
      <w:szCs w:val="24"/>
      <w:lang w:eastAsia="en-GB"/>
    </w:rPr>
  </w:style>
  <w:style w:type="character" w:customStyle="1" w:styleId="CharChar2">
    <w:name w:val="Char Char2"/>
    <w:basedOn w:val="DefaultParagraphFont"/>
    <w:rsid w:val="009F6BE0"/>
    <w:rPr>
      <w:rFonts w:ascii="Arial" w:eastAsia="Times New Roman" w:hAnsi="Arial" w:cs="Times New Roman"/>
      <w:sz w:val="24"/>
      <w:szCs w:val="20"/>
    </w:rPr>
  </w:style>
  <w:style w:type="character" w:customStyle="1" w:styleId="CharChar">
    <w:name w:val="Char Char"/>
    <w:basedOn w:val="DefaultParagraphFont"/>
    <w:rsid w:val="009F6BE0"/>
    <w:rPr>
      <w:rFonts w:ascii="Times New Roman" w:eastAsia="Times New Roman" w:hAnsi="Times New Roman" w:cs="Times New Roman"/>
      <w:b/>
      <w:bCs/>
      <w:sz w:val="24"/>
      <w:szCs w:val="24"/>
    </w:rPr>
  </w:style>
  <w:style w:type="character" w:styleId="CommentReference">
    <w:name w:val="annotation reference"/>
    <w:basedOn w:val="DefaultParagraphFont"/>
    <w:semiHidden/>
    <w:rsid w:val="004206B5"/>
    <w:rPr>
      <w:sz w:val="16"/>
      <w:szCs w:val="16"/>
    </w:rPr>
  </w:style>
  <w:style w:type="paragraph" w:customStyle="1" w:styleId="intro">
    <w:name w:val="intro"/>
    <w:basedOn w:val="Normal"/>
    <w:rsid w:val="00344FB6"/>
    <w:pPr>
      <w:spacing w:before="100" w:beforeAutospacing="1" w:after="100" w:afterAutospacing="1"/>
    </w:pPr>
    <w:rPr>
      <w:rFonts w:ascii="Times New Roman" w:hAnsi="Times New Roman"/>
      <w:color w:val="003366"/>
      <w:sz w:val="29"/>
      <w:szCs w:val="29"/>
      <w:lang w:eastAsia="en-GB"/>
    </w:rPr>
  </w:style>
  <w:style w:type="paragraph" w:styleId="Index1">
    <w:name w:val="index 1"/>
    <w:basedOn w:val="Normal"/>
    <w:next w:val="Normal"/>
    <w:autoRedefine/>
    <w:semiHidden/>
    <w:rsid w:val="00BA3CD7"/>
    <w:pPr>
      <w:ind w:left="240" w:hanging="240"/>
    </w:pPr>
    <w:rPr>
      <w:rFonts w:ascii="Times New Roman" w:hAnsi="Times New Roman"/>
      <w:szCs w:val="24"/>
      <w:lang w:eastAsia="en-GB"/>
    </w:rPr>
  </w:style>
  <w:style w:type="paragraph" w:customStyle="1" w:styleId="FooterAssetFinanceflyers">
    <w:name w:val="Footer (Asset Finance flyers)"/>
    <w:basedOn w:val="Normal"/>
    <w:rsid w:val="00BA3CD7"/>
    <w:pPr>
      <w:suppressAutoHyphens/>
      <w:autoSpaceDE w:val="0"/>
      <w:autoSpaceDN w:val="0"/>
      <w:adjustRightInd w:val="0"/>
      <w:spacing w:line="200" w:lineRule="atLeast"/>
      <w:jc w:val="both"/>
      <w:textAlignment w:val="center"/>
    </w:pPr>
    <w:rPr>
      <w:rFonts w:ascii="Bliss 2 Regular" w:hAnsi="Bliss 2 Regular" w:cs="Bliss 2 Regular"/>
      <w:color w:val="006792"/>
      <w:spacing w:val="-5"/>
      <w:sz w:val="16"/>
      <w:szCs w:val="16"/>
    </w:rPr>
  </w:style>
  <w:style w:type="character" w:customStyle="1" w:styleId="normaltext1">
    <w:name w:val="normaltext1"/>
    <w:basedOn w:val="DefaultParagraphFont"/>
    <w:rsid w:val="00BA3CD7"/>
    <w:rPr>
      <w:rFonts w:ascii="Arial" w:hAnsi="Arial" w:cs="Arial" w:hint="default"/>
      <w:i w:val="0"/>
      <w:iCs w:val="0"/>
      <w:color w:val="666666"/>
      <w:sz w:val="13"/>
      <w:szCs w:val="13"/>
    </w:rPr>
  </w:style>
  <w:style w:type="character" w:customStyle="1" w:styleId="enquiry1">
    <w:name w:val="enquiry1"/>
    <w:basedOn w:val="DefaultParagraphFont"/>
    <w:rsid w:val="00BA3CD7"/>
    <w:rPr>
      <w:rFonts w:ascii="Verdana" w:hAnsi="Verdana" w:hint="default"/>
      <w:b w:val="0"/>
      <w:bCs w:val="0"/>
      <w:i w:val="0"/>
      <w:iCs w:val="0"/>
      <w:strike w:val="0"/>
      <w:dstrike w:val="0"/>
      <w:color w:val="333366"/>
      <w:sz w:val="15"/>
      <w:szCs w:val="15"/>
      <w:u w:val="none"/>
      <w:effect w:val="none"/>
    </w:rPr>
  </w:style>
  <w:style w:type="character" w:customStyle="1" w:styleId="StyleComplexArialComplex11pt">
    <w:name w:val="Style (Complex) Arial (Complex) 11 pt"/>
    <w:basedOn w:val="DefaultParagraphFont"/>
    <w:rsid w:val="001313AE"/>
    <w:rPr>
      <w:rFonts w:cs="Arial"/>
      <w:sz w:val="22"/>
      <w:szCs w:val="22"/>
    </w:rPr>
  </w:style>
  <w:style w:type="paragraph" w:customStyle="1" w:styleId="ecxmsonormal">
    <w:name w:val="ecxmsonormal"/>
    <w:basedOn w:val="Normal"/>
    <w:rsid w:val="007B6F69"/>
    <w:pPr>
      <w:spacing w:after="324"/>
    </w:pPr>
    <w:rPr>
      <w:rFonts w:ascii="Times New Roman" w:hAnsi="Times New Roman"/>
      <w:szCs w:val="24"/>
      <w:lang w:val="en-US"/>
    </w:rPr>
  </w:style>
  <w:style w:type="character" w:customStyle="1" w:styleId="SectionHeadingCharChar">
    <w:name w:val="Section Heading Char Char"/>
    <w:basedOn w:val="DefaultParagraphFont"/>
    <w:locked/>
    <w:rsid w:val="00CA4E51"/>
    <w:rPr>
      <w:rFonts w:ascii="Arial" w:hAnsi="Arial"/>
      <w:b/>
      <w:sz w:val="22"/>
      <w:lang w:val="en-GB" w:eastAsia="en-US" w:bidi="ar-SA"/>
    </w:rPr>
  </w:style>
  <w:style w:type="character" w:customStyle="1" w:styleId="CharChar19">
    <w:name w:val="Char Char19"/>
    <w:basedOn w:val="DefaultParagraphFont"/>
    <w:locked/>
    <w:rsid w:val="00CA4E51"/>
    <w:rPr>
      <w:rFonts w:ascii="Arial" w:hAnsi="Arial"/>
      <w:b/>
      <w:i/>
      <w:sz w:val="22"/>
      <w:lang w:val="en-GB" w:eastAsia="en-US" w:bidi="ar-SA"/>
    </w:rPr>
  </w:style>
  <w:style w:type="character" w:customStyle="1" w:styleId="CharChar18">
    <w:name w:val="Char Char18"/>
    <w:basedOn w:val="DefaultParagraphFont"/>
    <w:locked/>
    <w:rsid w:val="00CA4E51"/>
    <w:rPr>
      <w:rFonts w:ascii="Arial" w:hAnsi="Arial"/>
      <w:b/>
      <w:sz w:val="22"/>
      <w:lang w:val="en-GB" w:eastAsia="en-US" w:bidi="ar-SA"/>
    </w:rPr>
  </w:style>
  <w:style w:type="character" w:customStyle="1" w:styleId="CharChar17">
    <w:name w:val="Char Char17"/>
    <w:basedOn w:val="DefaultParagraphFont"/>
    <w:locked/>
    <w:rsid w:val="00CA4E51"/>
    <w:rPr>
      <w:rFonts w:ascii="Arial" w:hAnsi="Arial"/>
      <w:sz w:val="24"/>
      <w:lang w:val="en-GB" w:eastAsia="en-US" w:bidi="ar-SA"/>
    </w:rPr>
  </w:style>
  <w:style w:type="character" w:customStyle="1" w:styleId="CharChar16">
    <w:name w:val="Char Char16"/>
    <w:basedOn w:val="DefaultParagraphFont"/>
    <w:locked/>
    <w:rsid w:val="00CA4E51"/>
    <w:rPr>
      <w:rFonts w:ascii="Arial" w:hAnsi="Arial"/>
      <w:sz w:val="24"/>
      <w:lang w:val="en-GB" w:eastAsia="en-US" w:bidi="ar-SA"/>
    </w:rPr>
  </w:style>
  <w:style w:type="character" w:customStyle="1" w:styleId="CharChar15">
    <w:name w:val="Char Char15"/>
    <w:basedOn w:val="DefaultParagraphFont"/>
    <w:locked/>
    <w:rsid w:val="00CA4E51"/>
    <w:rPr>
      <w:rFonts w:ascii="Arial" w:hAnsi="Arial"/>
      <w:sz w:val="22"/>
      <w:lang w:val="en-GB" w:eastAsia="en-US" w:bidi="ar-SA"/>
    </w:rPr>
  </w:style>
  <w:style w:type="character" w:customStyle="1" w:styleId="CharChar14">
    <w:name w:val="Char Char14"/>
    <w:basedOn w:val="DefaultParagraphFont"/>
    <w:locked/>
    <w:rsid w:val="00CA4E51"/>
    <w:rPr>
      <w:rFonts w:ascii="Arial" w:hAnsi="Arial"/>
      <w:b/>
      <w:sz w:val="22"/>
      <w:lang w:val="en-GB" w:eastAsia="en-US" w:bidi="ar-SA"/>
    </w:rPr>
  </w:style>
  <w:style w:type="character" w:customStyle="1" w:styleId="CharChar8">
    <w:name w:val="Char Char8"/>
    <w:basedOn w:val="DefaultParagraphFont"/>
    <w:locked/>
    <w:rsid w:val="00CA4E51"/>
    <w:rPr>
      <w:rFonts w:ascii="Arial" w:hAnsi="Arial"/>
      <w:sz w:val="18"/>
      <w:lang w:val="en-GB" w:eastAsia="en-US" w:bidi="ar-SA"/>
    </w:rPr>
  </w:style>
  <w:style w:type="paragraph" w:customStyle="1" w:styleId="abody">
    <w:name w:val="a body"/>
    <w:basedOn w:val="Normal"/>
    <w:link w:val="abodyChar"/>
    <w:qFormat/>
    <w:rsid w:val="00D62C7D"/>
    <w:pPr>
      <w:numPr>
        <w:ilvl w:val="1"/>
        <w:numId w:val="1"/>
      </w:numPr>
      <w:spacing w:before="120" w:after="240" w:line="300" w:lineRule="exact"/>
      <w:jc w:val="both"/>
    </w:pPr>
    <w:rPr>
      <w:color w:val="323232"/>
      <w:sz w:val="22"/>
      <w:szCs w:val="28"/>
      <w:lang w:val="x-none"/>
    </w:rPr>
  </w:style>
  <w:style w:type="character" w:customStyle="1" w:styleId="abodyChar">
    <w:name w:val="a body Char"/>
    <w:link w:val="abody"/>
    <w:rsid w:val="00D62C7D"/>
    <w:rPr>
      <w:rFonts w:ascii="Arial" w:hAnsi="Arial"/>
      <w:color w:val="323232"/>
      <w:sz w:val="22"/>
      <w:szCs w:val="28"/>
      <w:lang w:val="x-none" w:eastAsia="en-US" w:bidi="ar-SA"/>
    </w:rPr>
  </w:style>
  <w:style w:type="paragraph" w:customStyle="1" w:styleId="Style4">
    <w:name w:val="Style4"/>
    <w:basedOn w:val="abody"/>
    <w:link w:val="Style4Char"/>
    <w:qFormat/>
    <w:rsid w:val="00D62C7D"/>
    <w:pPr>
      <w:numPr>
        <w:ilvl w:val="0"/>
        <w:numId w:val="2"/>
      </w:numPr>
    </w:pPr>
    <w:rPr>
      <w:lang w:val="en-GB"/>
    </w:rPr>
  </w:style>
  <w:style w:type="character" w:customStyle="1" w:styleId="Style4Char">
    <w:name w:val="Style4 Char"/>
    <w:basedOn w:val="abodyChar"/>
    <w:link w:val="Style4"/>
    <w:rsid w:val="00D62C7D"/>
    <w:rPr>
      <w:rFonts w:ascii="Arial" w:hAnsi="Arial"/>
      <w:color w:val="323232"/>
      <w:sz w:val="22"/>
      <w:szCs w:val="28"/>
      <w:lang w:val="en-GB" w:eastAsia="en-US" w:bidi="ar-SA"/>
    </w:rPr>
  </w:style>
  <w:style w:type="paragraph" w:customStyle="1" w:styleId="ReportHeader">
    <w:name w:val="Report Header"/>
    <w:basedOn w:val="Normal"/>
    <w:rsid w:val="00817A94"/>
    <w:pPr>
      <w:numPr>
        <w:numId w:val="3"/>
      </w:numPr>
      <w:spacing w:after="240"/>
      <w:jc w:val="both"/>
    </w:pPr>
    <w:rPr>
      <w:rFonts w:cs="Arial"/>
      <w:b/>
      <w:sz w:val="22"/>
      <w:szCs w:val="24"/>
    </w:rPr>
  </w:style>
  <w:style w:type="paragraph" w:customStyle="1" w:styleId="ReportText">
    <w:name w:val="Report Text"/>
    <w:basedOn w:val="Normal"/>
    <w:rsid w:val="00817A94"/>
    <w:pPr>
      <w:numPr>
        <w:ilvl w:val="1"/>
        <w:numId w:val="3"/>
      </w:numPr>
      <w:spacing w:after="240"/>
      <w:jc w:val="both"/>
    </w:pPr>
    <w:rPr>
      <w:rFonts w:cs="Arial"/>
      <w:sz w:val="22"/>
      <w:szCs w:val="24"/>
    </w:rPr>
  </w:style>
  <w:style w:type="paragraph" w:customStyle="1" w:styleId="ReportBody">
    <w:name w:val="Report Body"/>
    <w:basedOn w:val="Heading1"/>
    <w:rsid w:val="00817A94"/>
    <w:pPr>
      <w:keepNext w:val="0"/>
      <w:tabs>
        <w:tab w:val="num" w:pos="720"/>
        <w:tab w:val="right" w:pos="9000"/>
      </w:tabs>
      <w:spacing w:after="240"/>
      <w:jc w:val="left"/>
    </w:pPr>
    <w:rPr>
      <w:iCs/>
      <w:sz w:val="24"/>
      <w:szCs w:val="24"/>
      <w:u w:val="single"/>
    </w:rPr>
  </w:style>
  <w:style w:type="paragraph" w:styleId="PlainText">
    <w:name w:val="Plain Text"/>
    <w:basedOn w:val="Normal"/>
    <w:rsid w:val="00F23D09"/>
    <w:pPr>
      <w:spacing w:before="100" w:beforeAutospacing="1" w:after="100" w:afterAutospacing="1"/>
    </w:pPr>
    <w:rPr>
      <w:rFonts w:ascii="Times New Roman" w:hAnsi="Times New Roman"/>
      <w:szCs w:val="24"/>
      <w:lang w:eastAsia="en-GB"/>
    </w:rPr>
  </w:style>
  <w:style w:type="table" w:styleId="TableColumns3">
    <w:name w:val="Table Columns 3"/>
    <w:basedOn w:val="TableNormal"/>
    <w:rsid w:val="005A55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449">
      <w:bodyDiv w:val="1"/>
      <w:marLeft w:val="0"/>
      <w:marRight w:val="0"/>
      <w:marTop w:val="0"/>
      <w:marBottom w:val="0"/>
      <w:divBdr>
        <w:top w:val="none" w:sz="0" w:space="0" w:color="auto"/>
        <w:left w:val="none" w:sz="0" w:space="0" w:color="auto"/>
        <w:bottom w:val="none" w:sz="0" w:space="0" w:color="auto"/>
        <w:right w:val="none" w:sz="0" w:space="0" w:color="auto"/>
      </w:divBdr>
    </w:div>
    <w:div w:id="46690847">
      <w:bodyDiv w:val="1"/>
      <w:marLeft w:val="0"/>
      <w:marRight w:val="0"/>
      <w:marTop w:val="0"/>
      <w:marBottom w:val="0"/>
      <w:divBdr>
        <w:top w:val="none" w:sz="0" w:space="0" w:color="auto"/>
        <w:left w:val="none" w:sz="0" w:space="0" w:color="auto"/>
        <w:bottom w:val="none" w:sz="0" w:space="0" w:color="auto"/>
        <w:right w:val="none" w:sz="0" w:space="0" w:color="auto"/>
      </w:divBdr>
    </w:div>
    <w:div w:id="55667892">
      <w:bodyDiv w:val="1"/>
      <w:marLeft w:val="0"/>
      <w:marRight w:val="0"/>
      <w:marTop w:val="0"/>
      <w:marBottom w:val="0"/>
      <w:divBdr>
        <w:top w:val="none" w:sz="0" w:space="0" w:color="auto"/>
        <w:left w:val="none" w:sz="0" w:space="0" w:color="auto"/>
        <w:bottom w:val="none" w:sz="0" w:space="0" w:color="auto"/>
        <w:right w:val="none" w:sz="0" w:space="0" w:color="auto"/>
      </w:divBdr>
    </w:div>
    <w:div w:id="150996060">
      <w:bodyDiv w:val="1"/>
      <w:marLeft w:val="0"/>
      <w:marRight w:val="0"/>
      <w:marTop w:val="0"/>
      <w:marBottom w:val="0"/>
      <w:divBdr>
        <w:top w:val="none" w:sz="0" w:space="0" w:color="auto"/>
        <w:left w:val="none" w:sz="0" w:space="0" w:color="auto"/>
        <w:bottom w:val="none" w:sz="0" w:space="0" w:color="auto"/>
        <w:right w:val="none" w:sz="0" w:space="0" w:color="auto"/>
      </w:divBdr>
    </w:div>
    <w:div w:id="178662407">
      <w:bodyDiv w:val="1"/>
      <w:marLeft w:val="0"/>
      <w:marRight w:val="0"/>
      <w:marTop w:val="0"/>
      <w:marBottom w:val="0"/>
      <w:divBdr>
        <w:top w:val="none" w:sz="0" w:space="0" w:color="auto"/>
        <w:left w:val="none" w:sz="0" w:space="0" w:color="auto"/>
        <w:bottom w:val="none" w:sz="0" w:space="0" w:color="auto"/>
        <w:right w:val="none" w:sz="0" w:space="0" w:color="auto"/>
      </w:divBdr>
    </w:div>
    <w:div w:id="195050406">
      <w:bodyDiv w:val="1"/>
      <w:marLeft w:val="0"/>
      <w:marRight w:val="0"/>
      <w:marTop w:val="0"/>
      <w:marBottom w:val="0"/>
      <w:divBdr>
        <w:top w:val="none" w:sz="0" w:space="0" w:color="auto"/>
        <w:left w:val="none" w:sz="0" w:space="0" w:color="auto"/>
        <w:bottom w:val="none" w:sz="0" w:space="0" w:color="auto"/>
        <w:right w:val="none" w:sz="0" w:space="0" w:color="auto"/>
      </w:divBdr>
      <w:divsChild>
        <w:div w:id="1091196364">
          <w:marLeft w:val="0"/>
          <w:marRight w:val="0"/>
          <w:marTop w:val="0"/>
          <w:marBottom w:val="0"/>
          <w:divBdr>
            <w:top w:val="none" w:sz="0" w:space="0" w:color="auto"/>
            <w:left w:val="none" w:sz="0" w:space="0" w:color="auto"/>
            <w:bottom w:val="none" w:sz="0" w:space="0" w:color="auto"/>
            <w:right w:val="none" w:sz="0" w:space="0" w:color="auto"/>
          </w:divBdr>
          <w:divsChild>
            <w:div w:id="516310646">
              <w:marLeft w:val="0"/>
              <w:marRight w:val="0"/>
              <w:marTop w:val="0"/>
              <w:marBottom w:val="0"/>
              <w:divBdr>
                <w:top w:val="none" w:sz="0" w:space="0" w:color="auto"/>
                <w:left w:val="none" w:sz="0" w:space="0" w:color="auto"/>
                <w:bottom w:val="none" w:sz="0" w:space="0" w:color="auto"/>
                <w:right w:val="none" w:sz="0" w:space="0" w:color="auto"/>
              </w:divBdr>
              <w:divsChild>
                <w:div w:id="189610833">
                  <w:marLeft w:val="0"/>
                  <w:marRight w:val="0"/>
                  <w:marTop w:val="0"/>
                  <w:marBottom w:val="0"/>
                  <w:divBdr>
                    <w:top w:val="none" w:sz="0" w:space="0" w:color="auto"/>
                    <w:left w:val="none" w:sz="0" w:space="0" w:color="auto"/>
                    <w:bottom w:val="none" w:sz="0" w:space="0" w:color="auto"/>
                    <w:right w:val="none" w:sz="0" w:space="0" w:color="auto"/>
                  </w:divBdr>
                  <w:divsChild>
                    <w:div w:id="1015956889">
                      <w:marLeft w:val="0"/>
                      <w:marRight w:val="-4300"/>
                      <w:marTop w:val="0"/>
                      <w:marBottom w:val="0"/>
                      <w:divBdr>
                        <w:top w:val="none" w:sz="0" w:space="0" w:color="auto"/>
                        <w:left w:val="none" w:sz="0" w:space="0" w:color="auto"/>
                        <w:bottom w:val="none" w:sz="0" w:space="0" w:color="auto"/>
                        <w:right w:val="none" w:sz="0" w:space="0" w:color="auto"/>
                      </w:divBdr>
                      <w:divsChild>
                        <w:div w:id="1316646721">
                          <w:marLeft w:val="3620"/>
                          <w:marRight w:val="4300"/>
                          <w:marTop w:val="0"/>
                          <w:marBottom w:val="0"/>
                          <w:divBdr>
                            <w:top w:val="none" w:sz="0" w:space="0" w:color="auto"/>
                            <w:left w:val="none" w:sz="0" w:space="0" w:color="auto"/>
                            <w:bottom w:val="none" w:sz="0" w:space="0" w:color="auto"/>
                            <w:right w:val="none" w:sz="0" w:space="0" w:color="auto"/>
                          </w:divBdr>
                          <w:divsChild>
                            <w:div w:id="1565527306">
                              <w:marLeft w:val="400"/>
                              <w:marRight w:val="400"/>
                              <w:marTop w:val="400"/>
                              <w:marBottom w:val="400"/>
                              <w:divBdr>
                                <w:top w:val="none" w:sz="0" w:space="0" w:color="auto"/>
                                <w:left w:val="none" w:sz="0" w:space="0" w:color="auto"/>
                                <w:bottom w:val="dotted" w:sz="8" w:space="20" w:color="003366"/>
                                <w:right w:val="none" w:sz="0" w:space="0" w:color="auto"/>
                              </w:divBdr>
                            </w:div>
                          </w:divsChild>
                        </w:div>
                      </w:divsChild>
                    </w:div>
                  </w:divsChild>
                </w:div>
              </w:divsChild>
            </w:div>
          </w:divsChild>
        </w:div>
      </w:divsChild>
    </w:div>
    <w:div w:id="239800359">
      <w:bodyDiv w:val="1"/>
      <w:marLeft w:val="0"/>
      <w:marRight w:val="0"/>
      <w:marTop w:val="0"/>
      <w:marBottom w:val="0"/>
      <w:divBdr>
        <w:top w:val="none" w:sz="0" w:space="0" w:color="auto"/>
        <w:left w:val="none" w:sz="0" w:space="0" w:color="auto"/>
        <w:bottom w:val="none" w:sz="0" w:space="0" w:color="auto"/>
        <w:right w:val="none" w:sz="0" w:space="0" w:color="auto"/>
      </w:divBdr>
      <w:divsChild>
        <w:div w:id="1167672649">
          <w:marLeft w:val="0"/>
          <w:marRight w:val="0"/>
          <w:marTop w:val="0"/>
          <w:marBottom w:val="0"/>
          <w:divBdr>
            <w:top w:val="none" w:sz="0" w:space="0" w:color="auto"/>
            <w:left w:val="none" w:sz="0" w:space="0" w:color="auto"/>
            <w:bottom w:val="none" w:sz="0" w:space="0" w:color="auto"/>
            <w:right w:val="none" w:sz="0" w:space="0" w:color="auto"/>
          </w:divBdr>
          <w:divsChild>
            <w:div w:id="267205458">
              <w:marLeft w:val="0"/>
              <w:marRight w:val="0"/>
              <w:marTop w:val="0"/>
              <w:marBottom w:val="0"/>
              <w:divBdr>
                <w:top w:val="none" w:sz="0" w:space="0" w:color="auto"/>
                <w:left w:val="none" w:sz="0" w:space="0" w:color="auto"/>
                <w:bottom w:val="none" w:sz="0" w:space="0" w:color="auto"/>
                <w:right w:val="none" w:sz="0" w:space="0" w:color="auto"/>
              </w:divBdr>
              <w:divsChild>
                <w:div w:id="1301572262">
                  <w:marLeft w:val="0"/>
                  <w:marRight w:val="0"/>
                  <w:marTop w:val="0"/>
                  <w:marBottom w:val="0"/>
                  <w:divBdr>
                    <w:top w:val="none" w:sz="0" w:space="0" w:color="auto"/>
                    <w:left w:val="none" w:sz="0" w:space="0" w:color="auto"/>
                    <w:bottom w:val="none" w:sz="0" w:space="0" w:color="auto"/>
                    <w:right w:val="none" w:sz="0" w:space="0" w:color="auto"/>
                  </w:divBdr>
                  <w:divsChild>
                    <w:div w:id="2067096815">
                      <w:marLeft w:val="0"/>
                      <w:marRight w:val="-3225"/>
                      <w:marTop w:val="0"/>
                      <w:marBottom w:val="0"/>
                      <w:divBdr>
                        <w:top w:val="none" w:sz="0" w:space="0" w:color="auto"/>
                        <w:left w:val="none" w:sz="0" w:space="0" w:color="auto"/>
                        <w:bottom w:val="none" w:sz="0" w:space="0" w:color="auto"/>
                        <w:right w:val="none" w:sz="0" w:space="0" w:color="auto"/>
                      </w:divBdr>
                      <w:divsChild>
                        <w:div w:id="219950620">
                          <w:marLeft w:val="2715"/>
                          <w:marRight w:val="3225"/>
                          <w:marTop w:val="0"/>
                          <w:marBottom w:val="0"/>
                          <w:divBdr>
                            <w:top w:val="none" w:sz="0" w:space="0" w:color="auto"/>
                            <w:left w:val="none" w:sz="0" w:space="0" w:color="auto"/>
                            <w:bottom w:val="none" w:sz="0" w:space="0" w:color="auto"/>
                            <w:right w:val="none" w:sz="0" w:space="0" w:color="auto"/>
                          </w:divBdr>
                          <w:divsChild>
                            <w:div w:id="1517309838">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330700">
      <w:bodyDiv w:val="1"/>
      <w:marLeft w:val="0"/>
      <w:marRight w:val="0"/>
      <w:marTop w:val="0"/>
      <w:marBottom w:val="0"/>
      <w:divBdr>
        <w:top w:val="none" w:sz="0" w:space="0" w:color="auto"/>
        <w:left w:val="none" w:sz="0" w:space="0" w:color="auto"/>
        <w:bottom w:val="none" w:sz="0" w:space="0" w:color="auto"/>
        <w:right w:val="none" w:sz="0" w:space="0" w:color="auto"/>
      </w:divBdr>
    </w:div>
    <w:div w:id="289240591">
      <w:bodyDiv w:val="1"/>
      <w:marLeft w:val="0"/>
      <w:marRight w:val="0"/>
      <w:marTop w:val="0"/>
      <w:marBottom w:val="0"/>
      <w:divBdr>
        <w:top w:val="none" w:sz="0" w:space="0" w:color="auto"/>
        <w:left w:val="none" w:sz="0" w:space="0" w:color="auto"/>
        <w:bottom w:val="none" w:sz="0" w:space="0" w:color="auto"/>
        <w:right w:val="none" w:sz="0" w:space="0" w:color="auto"/>
      </w:divBdr>
    </w:div>
    <w:div w:id="376783038">
      <w:bodyDiv w:val="1"/>
      <w:marLeft w:val="0"/>
      <w:marRight w:val="0"/>
      <w:marTop w:val="0"/>
      <w:marBottom w:val="0"/>
      <w:divBdr>
        <w:top w:val="none" w:sz="0" w:space="0" w:color="auto"/>
        <w:left w:val="none" w:sz="0" w:space="0" w:color="auto"/>
        <w:bottom w:val="none" w:sz="0" w:space="0" w:color="auto"/>
        <w:right w:val="none" w:sz="0" w:space="0" w:color="auto"/>
      </w:divBdr>
      <w:divsChild>
        <w:div w:id="1972049909">
          <w:marLeft w:val="0"/>
          <w:marRight w:val="0"/>
          <w:marTop w:val="0"/>
          <w:marBottom w:val="0"/>
          <w:divBdr>
            <w:top w:val="none" w:sz="0" w:space="0" w:color="auto"/>
            <w:left w:val="none" w:sz="0" w:space="0" w:color="auto"/>
            <w:bottom w:val="none" w:sz="0" w:space="0" w:color="auto"/>
            <w:right w:val="none" w:sz="0" w:space="0" w:color="auto"/>
          </w:divBdr>
          <w:divsChild>
            <w:div w:id="1140464241">
              <w:marLeft w:val="0"/>
              <w:marRight w:val="0"/>
              <w:marTop w:val="0"/>
              <w:marBottom w:val="0"/>
              <w:divBdr>
                <w:top w:val="none" w:sz="0" w:space="0" w:color="auto"/>
                <w:left w:val="none" w:sz="0" w:space="0" w:color="auto"/>
                <w:bottom w:val="none" w:sz="0" w:space="0" w:color="auto"/>
                <w:right w:val="none" w:sz="0" w:space="0" w:color="auto"/>
              </w:divBdr>
              <w:divsChild>
                <w:div w:id="2042002859">
                  <w:marLeft w:val="0"/>
                  <w:marRight w:val="0"/>
                  <w:marTop w:val="0"/>
                  <w:marBottom w:val="0"/>
                  <w:divBdr>
                    <w:top w:val="none" w:sz="0" w:space="0" w:color="auto"/>
                    <w:left w:val="none" w:sz="0" w:space="0" w:color="auto"/>
                    <w:bottom w:val="none" w:sz="0" w:space="0" w:color="auto"/>
                    <w:right w:val="none" w:sz="0" w:space="0" w:color="auto"/>
                  </w:divBdr>
                  <w:divsChild>
                    <w:div w:id="1663771560">
                      <w:marLeft w:val="0"/>
                      <w:marRight w:val="0"/>
                      <w:marTop w:val="0"/>
                      <w:marBottom w:val="0"/>
                      <w:divBdr>
                        <w:top w:val="none" w:sz="0" w:space="0" w:color="auto"/>
                        <w:left w:val="none" w:sz="0" w:space="0" w:color="auto"/>
                        <w:bottom w:val="none" w:sz="0" w:space="0" w:color="auto"/>
                        <w:right w:val="none" w:sz="0" w:space="0" w:color="auto"/>
                      </w:divBdr>
                      <w:divsChild>
                        <w:div w:id="1407343915">
                          <w:marLeft w:val="0"/>
                          <w:marRight w:val="0"/>
                          <w:marTop w:val="0"/>
                          <w:marBottom w:val="0"/>
                          <w:divBdr>
                            <w:top w:val="none" w:sz="0" w:space="0" w:color="auto"/>
                            <w:left w:val="none" w:sz="0" w:space="0" w:color="auto"/>
                            <w:bottom w:val="none" w:sz="0" w:space="0" w:color="auto"/>
                            <w:right w:val="none" w:sz="0" w:space="0" w:color="auto"/>
                          </w:divBdr>
                          <w:divsChild>
                            <w:div w:id="862717574">
                              <w:marLeft w:val="0"/>
                              <w:marRight w:val="0"/>
                              <w:marTop w:val="0"/>
                              <w:marBottom w:val="0"/>
                              <w:divBdr>
                                <w:top w:val="none" w:sz="0" w:space="0" w:color="auto"/>
                                <w:left w:val="none" w:sz="0" w:space="0" w:color="auto"/>
                                <w:bottom w:val="none" w:sz="0" w:space="0" w:color="auto"/>
                                <w:right w:val="none" w:sz="0" w:space="0" w:color="auto"/>
                              </w:divBdr>
                              <w:divsChild>
                                <w:div w:id="19542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91909">
      <w:bodyDiv w:val="1"/>
      <w:marLeft w:val="0"/>
      <w:marRight w:val="0"/>
      <w:marTop w:val="0"/>
      <w:marBottom w:val="0"/>
      <w:divBdr>
        <w:top w:val="none" w:sz="0" w:space="0" w:color="auto"/>
        <w:left w:val="none" w:sz="0" w:space="0" w:color="auto"/>
        <w:bottom w:val="none" w:sz="0" w:space="0" w:color="auto"/>
        <w:right w:val="none" w:sz="0" w:space="0" w:color="auto"/>
      </w:divBdr>
    </w:div>
    <w:div w:id="378826327">
      <w:bodyDiv w:val="1"/>
      <w:marLeft w:val="0"/>
      <w:marRight w:val="0"/>
      <w:marTop w:val="0"/>
      <w:marBottom w:val="0"/>
      <w:divBdr>
        <w:top w:val="none" w:sz="0" w:space="0" w:color="auto"/>
        <w:left w:val="none" w:sz="0" w:space="0" w:color="auto"/>
        <w:bottom w:val="none" w:sz="0" w:space="0" w:color="auto"/>
        <w:right w:val="none" w:sz="0" w:space="0" w:color="auto"/>
      </w:divBdr>
    </w:div>
    <w:div w:id="384717536">
      <w:bodyDiv w:val="1"/>
      <w:marLeft w:val="0"/>
      <w:marRight w:val="0"/>
      <w:marTop w:val="0"/>
      <w:marBottom w:val="0"/>
      <w:divBdr>
        <w:top w:val="none" w:sz="0" w:space="0" w:color="auto"/>
        <w:left w:val="none" w:sz="0" w:space="0" w:color="auto"/>
        <w:bottom w:val="none" w:sz="0" w:space="0" w:color="auto"/>
        <w:right w:val="none" w:sz="0" w:space="0" w:color="auto"/>
      </w:divBdr>
    </w:div>
    <w:div w:id="395469127">
      <w:bodyDiv w:val="1"/>
      <w:marLeft w:val="0"/>
      <w:marRight w:val="0"/>
      <w:marTop w:val="0"/>
      <w:marBottom w:val="0"/>
      <w:divBdr>
        <w:top w:val="none" w:sz="0" w:space="0" w:color="auto"/>
        <w:left w:val="none" w:sz="0" w:space="0" w:color="auto"/>
        <w:bottom w:val="none" w:sz="0" w:space="0" w:color="auto"/>
        <w:right w:val="none" w:sz="0" w:space="0" w:color="auto"/>
      </w:divBdr>
    </w:div>
    <w:div w:id="422189431">
      <w:bodyDiv w:val="1"/>
      <w:marLeft w:val="0"/>
      <w:marRight w:val="0"/>
      <w:marTop w:val="0"/>
      <w:marBottom w:val="0"/>
      <w:divBdr>
        <w:top w:val="none" w:sz="0" w:space="0" w:color="auto"/>
        <w:left w:val="none" w:sz="0" w:space="0" w:color="auto"/>
        <w:bottom w:val="none" w:sz="0" w:space="0" w:color="auto"/>
        <w:right w:val="none" w:sz="0" w:space="0" w:color="auto"/>
      </w:divBdr>
    </w:div>
    <w:div w:id="423186871">
      <w:bodyDiv w:val="1"/>
      <w:marLeft w:val="0"/>
      <w:marRight w:val="0"/>
      <w:marTop w:val="0"/>
      <w:marBottom w:val="0"/>
      <w:divBdr>
        <w:top w:val="none" w:sz="0" w:space="0" w:color="auto"/>
        <w:left w:val="none" w:sz="0" w:space="0" w:color="auto"/>
        <w:bottom w:val="none" w:sz="0" w:space="0" w:color="auto"/>
        <w:right w:val="none" w:sz="0" w:space="0" w:color="auto"/>
      </w:divBdr>
    </w:div>
    <w:div w:id="457114335">
      <w:bodyDiv w:val="1"/>
      <w:marLeft w:val="0"/>
      <w:marRight w:val="0"/>
      <w:marTop w:val="0"/>
      <w:marBottom w:val="0"/>
      <w:divBdr>
        <w:top w:val="none" w:sz="0" w:space="0" w:color="auto"/>
        <w:left w:val="none" w:sz="0" w:space="0" w:color="auto"/>
        <w:bottom w:val="none" w:sz="0" w:space="0" w:color="auto"/>
        <w:right w:val="none" w:sz="0" w:space="0" w:color="auto"/>
      </w:divBdr>
    </w:div>
    <w:div w:id="493762213">
      <w:bodyDiv w:val="1"/>
      <w:marLeft w:val="0"/>
      <w:marRight w:val="0"/>
      <w:marTop w:val="0"/>
      <w:marBottom w:val="0"/>
      <w:divBdr>
        <w:top w:val="none" w:sz="0" w:space="0" w:color="auto"/>
        <w:left w:val="none" w:sz="0" w:space="0" w:color="auto"/>
        <w:bottom w:val="none" w:sz="0" w:space="0" w:color="auto"/>
        <w:right w:val="none" w:sz="0" w:space="0" w:color="auto"/>
      </w:divBdr>
      <w:divsChild>
        <w:div w:id="87898020">
          <w:marLeft w:val="0"/>
          <w:marRight w:val="0"/>
          <w:marTop w:val="0"/>
          <w:marBottom w:val="0"/>
          <w:divBdr>
            <w:top w:val="single" w:sz="12" w:space="0" w:color="BEBBB4"/>
            <w:left w:val="none" w:sz="0" w:space="0" w:color="auto"/>
            <w:bottom w:val="none" w:sz="0" w:space="0" w:color="auto"/>
            <w:right w:val="none" w:sz="0" w:space="0" w:color="auto"/>
          </w:divBdr>
          <w:divsChild>
            <w:div w:id="412051884">
              <w:marLeft w:val="0"/>
              <w:marRight w:val="0"/>
              <w:marTop w:val="0"/>
              <w:marBottom w:val="0"/>
              <w:divBdr>
                <w:top w:val="single" w:sz="12" w:space="0" w:color="BEBBB4"/>
                <w:left w:val="none" w:sz="0" w:space="0" w:color="auto"/>
                <w:bottom w:val="none" w:sz="0" w:space="0" w:color="auto"/>
                <w:right w:val="none" w:sz="0" w:space="0" w:color="auto"/>
              </w:divBdr>
              <w:divsChild>
                <w:div w:id="147062911">
                  <w:marLeft w:val="0"/>
                  <w:marRight w:val="0"/>
                  <w:marTop w:val="15"/>
                  <w:marBottom w:val="0"/>
                  <w:divBdr>
                    <w:top w:val="single" w:sz="12" w:space="0" w:color="BEBBB4"/>
                    <w:left w:val="none" w:sz="0" w:space="0" w:color="auto"/>
                    <w:bottom w:val="none" w:sz="0" w:space="0" w:color="auto"/>
                    <w:right w:val="none" w:sz="0" w:space="0" w:color="auto"/>
                  </w:divBdr>
                  <w:divsChild>
                    <w:div w:id="1813864485">
                      <w:marLeft w:val="0"/>
                      <w:marRight w:val="0"/>
                      <w:marTop w:val="15"/>
                      <w:marBottom w:val="0"/>
                      <w:divBdr>
                        <w:top w:val="single" w:sz="12" w:space="0" w:color="BEBBB4"/>
                        <w:left w:val="none" w:sz="0" w:space="0" w:color="auto"/>
                        <w:bottom w:val="none" w:sz="0" w:space="0" w:color="auto"/>
                        <w:right w:val="none" w:sz="0" w:space="0" w:color="auto"/>
                      </w:divBdr>
                      <w:divsChild>
                        <w:div w:id="858660812">
                          <w:marLeft w:val="0"/>
                          <w:marRight w:val="0"/>
                          <w:marTop w:val="15"/>
                          <w:marBottom w:val="0"/>
                          <w:divBdr>
                            <w:top w:val="single" w:sz="12" w:space="0" w:color="BEBBB4"/>
                            <w:left w:val="none" w:sz="0" w:space="0" w:color="auto"/>
                            <w:bottom w:val="none" w:sz="0" w:space="0" w:color="auto"/>
                            <w:right w:val="none" w:sz="0" w:space="0" w:color="auto"/>
                          </w:divBdr>
                          <w:divsChild>
                            <w:div w:id="1203129391">
                              <w:marLeft w:val="0"/>
                              <w:marRight w:val="0"/>
                              <w:marTop w:val="15"/>
                              <w:marBottom w:val="0"/>
                              <w:divBdr>
                                <w:top w:val="single" w:sz="12" w:space="0" w:color="BEBBB4"/>
                                <w:left w:val="none" w:sz="0" w:space="0" w:color="auto"/>
                                <w:bottom w:val="none" w:sz="0" w:space="0" w:color="auto"/>
                                <w:right w:val="none" w:sz="0" w:space="0" w:color="auto"/>
                              </w:divBdr>
                            </w:div>
                          </w:divsChild>
                        </w:div>
                      </w:divsChild>
                    </w:div>
                  </w:divsChild>
                </w:div>
              </w:divsChild>
            </w:div>
          </w:divsChild>
        </w:div>
      </w:divsChild>
    </w:div>
    <w:div w:id="503008949">
      <w:bodyDiv w:val="1"/>
      <w:marLeft w:val="0"/>
      <w:marRight w:val="0"/>
      <w:marTop w:val="0"/>
      <w:marBottom w:val="0"/>
      <w:divBdr>
        <w:top w:val="none" w:sz="0" w:space="0" w:color="auto"/>
        <w:left w:val="none" w:sz="0" w:space="0" w:color="auto"/>
        <w:bottom w:val="none" w:sz="0" w:space="0" w:color="auto"/>
        <w:right w:val="none" w:sz="0" w:space="0" w:color="auto"/>
      </w:divBdr>
    </w:div>
    <w:div w:id="589891538">
      <w:bodyDiv w:val="1"/>
      <w:marLeft w:val="0"/>
      <w:marRight w:val="0"/>
      <w:marTop w:val="0"/>
      <w:marBottom w:val="0"/>
      <w:divBdr>
        <w:top w:val="none" w:sz="0" w:space="0" w:color="auto"/>
        <w:left w:val="none" w:sz="0" w:space="0" w:color="auto"/>
        <w:bottom w:val="none" w:sz="0" w:space="0" w:color="auto"/>
        <w:right w:val="none" w:sz="0" w:space="0" w:color="auto"/>
      </w:divBdr>
    </w:div>
    <w:div w:id="658120071">
      <w:bodyDiv w:val="1"/>
      <w:marLeft w:val="0"/>
      <w:marRight w:val="0"/>
      <w:marTop w:val="0"/>
      <w:marBottom w:val="0"/>
      <w:divBdr>
        <w:top w:val="none" w:sz="0" w:space="0" w:color="auto"/>
        <w:left w:val="none" w:sz="0" w:space="0" w:color="auto"/>
        <w:bottom w:val="none" w:sz="0" w:space="0" w:color="auto"/>
        <w:right w:val="none" w:sz="0" w:space="0" w:color="auto"/>
      </w:divBdr>
    </w:div>
    <w:div w:id="658849655">
      <w:bodyDiv w:val="1"/>
      <w:marLeft w:val="0"/>
      <w:marRight w:val="0"/>
      <w:marTop w:val="0"/>
      <w:marBottom w:val="0"/>
      <w:divBdr>
        <w:top w:val="none" w:sz="0" w:space="0" w:color="auto"/>
        <w:left w:val="none" w:sz="0" w:space="0" w:color="auto"/>
        <w:bottom w:val="none" w:sz="0" w:space="0" w:color="auto"/>
        <w:right w:val="none" w:sz="0" w:space="0" w:color="auto"/>
      </w:divBdr>
    </w:div>
    <w:div w:id="681247212">
      <w:bodyDiv w:val="1"/>
      <w:marLeft w:val="0"/>
      <w:marRight w:val="0"/>
      <w:marTop w:val="0"/>
      <w:marBottom w:val="0"/>
      <w:divBdr>
        <w:top w:val="none" w:sz="0" w:space="0" w:color="auto"/>
        <w:left w:val="none" w:sz="0" w:space="0" w:color="auto"/>
        <w:bottom w:val="none" w:sz="0" w:space="0" w:color="auto"/>
        <w:right w:val="none" w:sz="0" w:space="0" w:color="auto"/>
      </w:divBdr>
    </w:div>
    <w:div w:id="742996506">
      <w:bodyDiv w:val="1"/>
      <w:marLeft w:val="0"/>
      <w:marRight w:val="0"/>
      <w:marTop w:val="0"/>
      <w:marBottom w:val="0"/>
      <w:divBdr>
        <w:top w:val="none" w:sz="0" w:space="0" w:color="auto"/>
        <w:left w:val="none" w:sz="0" w:space="0" w:color="auto"/>
        <w:bottom w:val="none" w:sz="0" w:space="0" w:color="auto"/>
        <w:right w:val="none" w:sz="0" w:space="0" w:color="auto"/>
      </w:divBdr>
    </w:div>
    <w:div w:id="754667104">
      <w:bodyDiv w:val="1"/>
      <w:marLeft w:val="0"/>
      <w:marRight w:val="0"/>
      <w:marTop w:val="0"/>
      <w:marBottom w:val="0"/>
      <w:divBdr>
        <w:top w:val="none" w:sz="0" w:space="0" w:color="auto"/>
        <w:left w:val="none" w:sz="0" w:space="0" w:color="auto"/>
        <w:bottom w:val="none" w:sz="0" w:space="0" w:color="auto"/>
        <w:right w:val="none" w:sz="0" w:space="0" w:color="auto"/>
      </w:divBdr>
    </w:div>
    <w:div w:id="901674568">
      <w:bodyDiv w:val="1"/>
      <w:marLeft w:val="0"/>
      <w:marRight w:val="0"/>
      <w:marTop w:val="0"/>
      <w:marBottom w:val="0"/>
      <w:divBdr>
        <w:top w:val="none" w:sz="0" w:space="0" w:color="auto"/>
        <w:left w:val="none" w:sz="0" w:space="0" w:color="auto"/>
        <w:bottom w:val="none" w:sz="0" w:space="0" w:color="auto"/>
        <w:right w:val="none" w:sz="0" w:space="0" w:color="auto"/>
      </w:divBdr>
    </w:div>
    <w:div w:id="958880431">
      <w:bodyDiv w:val="1"/>
      <w:marLeft w:val="0"/>
      <w:marRight w:val="0"/>
      <w:marTop w:val="0"/>
      <w:marBottom w:val="0"/>
      <w:divBdr>
        <w:top w:val="none" w:sz="0" w:space="0" w:color="auto"/>
        <w:left w:val="none" w:sz="0" w:space="0" w:color="auto"/>
        <w:bottom w:val="none" w:sz="0" w:space="0" w:color="auto"/>
        <w:right w:val="none" w:sz="0" w:space="0" w:color="auto"/>
      </w:divBdr>
    </w:div>
    <w:div w:id="973366244">
      <w:bodyDiv w:val="1"/>
      <w:marLeft w:val="0"/>
      <w:marRight w:val="0"/>
      <w:marTop w:val="0"/>
      <w:marBottom w:val="0"/>
      <w:divBdr>
        <w:top w:val="none" w:sz="0" w:space="0" w:color="auto"/>
        <w:left w:val="none" w:sz="0" w:space="0" w:color="auto"/>
        <w:bottom w:val="none" w:sz="0" w:space="0" w:color="auto"/>
        <w:right w:val="none" w:sz="0" w:space="0" w:color="auto"/>
      </w:divBdr>
    </w:div>
    <w:div w:id="999429627">
      <w:bodyDiv w:val="1"/>
      <w:marLeft w:val="0"/>
      <w:marRight w:val="0"/>
      <w:marTop w:val="0"/>
      <w:marBottom w:val="0"/>
      <w:divBdr>
        <w:top w:val="none" w:sz="0" w:space="0" w:color="auto"/>
        <w:left w:val="none" w:sz="0" w:space="0" w:color="auto"/>
        <w:bottom w:val="none" w:sz="0" w:space="0" w:color="auto"/>
        <w:right w:val="none" w:sz="0" w:space="0" w:color="auto"/>
      </w:divBdr>
    </w:div>
    <w:div w:id="1109131535">
      <w:bodyDiv w:val="1"/>
      <w:marLeft w:val="200"/>
      <w:marRight w:val="200"/>
      <w:marTop w:val="200"/>
      <w:marBottom w:val="200"/>
      <w:divBdr>
        <w:top w:val="none" w:sz="0" w:space="0" w:color="auto"/>
        <w:left w:val="none" w:sz="0" w:space="0" w:color="auto"/>
        <w:bottom w:val="none" w:sz="0" w:space="0" w:color="auto"/>
        <w:right w:val="none" w:sz="0" w:space="0" w:color="auto"/>
      </w:divBdr>
      <w:divsChild>
        <w:div w:id="203912332">
          <w:marLeft w:val="0"/>
          <w:marRight w:val="0"/>
          <w:marTop w:val="0"/>
          <w:marBottom w:val="0"/>
          <w:divBdr>
            <w:top w:val="none" w:sz="0" w:space="0" w:color="auto"/>
            <w:left w:val="none" w:sz="0" w:space="0" w:color="auto"/>
            <w:bottom w:val="none" w:sz="0" w:space="0" w:color="auto"/>
            <w:right w:val="none" w:sz="0" w:space="0" w:color="auto"/>
          </w:divBdr>
          <w:divsChild>
            <w:div w:id="305356056">
              <w:marLeft w:val="0"/>
              <w:marRight w:val="0"/>
              <w:marTop w:val="0"/>
              <w:marBottom w:val="0"/>
              <w:divBdr>
                <w:top w:val="none" w:sz="0" w:space="0" w:color="auto"/>
                <w:left w:val="none" w:sz="0" w:space="0" w:color="auto"/>
                <w:bottom w:val="none" w:sz="0" w:space="0" w:color="auto"/>
                <w:right w:val="none" w:sz="0" w:space="0" w:color="auto"/>
              </w:divBdr>
              <w:divsChild>
                <w:div w:id="1745880819">
                  <w:marLeft w:val="0"/>
                  <w:marRight w:val="0"/>
                  <w:marTop w:val="0"/>
                  <w:marBottom w:val="0"/>
                  <w:divBdr>
                    <w:top w:val="none" w:sz="0" w:space="0" w:color="auto"/>
                    <w:left w:val="none" w:sz="0" w:space="0" w:color="auto"/>
                    <w:bottom w:val="none" w:sz="0" w:space="0" w:color="auto"/>
                    <w:right w:val="none" w:sz="0" w:space="0" w:color="auto"/>
                  </w:divBdr>
                  <w:divsChild>
                    <w:div w:id="879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2876">
      <w:bodyDiv w:val="1"/>
      <w:marLeft w:val="0"/>
      <w:marRight w:val="0"/>
      <w:marTop w:val="0"/>
      <w:marBottom w:val="0"/>
      <w:divBdr>
        <w:top w:val="none" w:sz="0" w:space="0" w:color="auto"/>
        <w:left w:val="none" w:sz="0" w:space="0" w:color="auto"/>
        <w:bottom w:val="none" w:sz="0" w:space="0" w:color="auto"/>
        <w:right w:val="none" w:sz="0" w:space="0" w:color="auto"/>
      </w:divBdr>
    </w:div>
    <w:div w:id="1112169892">
      <w:bodyDiv w:val="1"/>
      <w:marLeft w:val="0"/>
      <w:marRight w:val="0"/>
      <w:marTop w:val="0"/>
      <w:marBottom w:val="0"/>
      <w:divBdr>
        <w:top w:val="none" w:sz="0" w:space="0" w:color="auto"/>
        <w:left w:val="none" w:sz="0" w:space="0" w:color="auto"/>
        <w:bottom w:val="none" w:sz="0" w:space="0" w:color="auto"/>
        <w:right w:val="none" w:sz="0" w:space="0" w:color="auto"/>
      </w:divBdr>
    </w:div>
    <w:div w:id="1133983276">
      <w:bodyDiv w:val="1"/>
      <w:marLeft w:val="0"/>
      <w:marRight w:val="0"/>
      <w:marTop w:val="0"/>
      <w:marBottom w:val="0"/>
      <w:divBdr>
        <w:top w:val="none" w:sz="0" w:space="0" w:color="auto"/>
        <w:left w:val="none" w:sz="0" w:space="0" w:color="auto"/>
        <w:bottom w:val="none" w:sz="0" w:space="0" w:color="auto"/>
        <w:right w:val="none" w:sz="0" w:space="0" w:color="auto"/>
      </w:divBdr>
    </w:div>
    <w:div w:id="1134759470">
      <w:bodyDiv w:val="1"/>
      <w:marLeft w:val="0"/>
      <w:marRight w:val="0"/>
      <w:marTop w:val="0"/>
      <w:marBottom w:val="0"/>
      <w:divBdr>
        <w:top w:val="none" w:sz="0" w:space="0" w:color="auto"/>
        <w:left w:val="none" w:sz="0" w:space="0" w:color="auto"/>
        <w:bottom w:val="none" w:sz="0" w:space="0" w:color="auto"/>
        <w:right w:val="none" w:sz="0" w:space="0" w:color="auto"/>
      </w:divBdr>
    </w:div>
    <w:div w:id="1175804393">
      <w:bodyDiv w:val="1"/>
      <w:marLeft w:val="0"/>
      <w:marRight w:val="0"/>
      <w:marTop w:val="0"/>
      <w:marBottom w:val="0"/>
      <w:divBdr>
        <w:top w:val="none" w:sz="0" w:space="0" w:color="auto"/>
        <w:left w:val="none" w:sz="0" w:space="0" w:color="auto"/>
        <w:bottom w:val="none" w:sz="0" w:space="0" w:color="auto"/>
        <w:right w:val="none" w:sz="0" w:space="0" w:color="auto"/>
      </w:divBdr>
    </w:div>
    <w:div w:id="1198466511">
      <w:bodyDiv w:val="1"/>
      <w:marLeft w:val="0"/>
      <w:marRight w:val="0"/>
      <w:marTop w:val="0"/>
      <w:marBottom w:val="0"/>
      <w:divBdr>
        <w:top w:val="none" w:sz="0" w:space="0" w:color="auto"/>
        <w:left w:val="none" w:sz="0" w:space="0" w:color="auto"/>
        <w:bottom w:val="none" w:sz="0" w:space="0" w:color="auto"/>
        <w:right w:val="none" w:sz="0" w:space="0" w:color="auto"/>
      </w:divBdr>
    </w:div>
    <w:div w:id="1229344982">
      <w:bodyDiv w:val="1"/>
      <w:marLeft w:val="0"/>
      <w:marRight w:val="0"/>
      <w:marTop w:val="0"/>
      <w:marBottom w:val="0"/>
      <w:divBdr>
        <w:top w:val="none" w:sz="0" w:space="0" w:color="auto"/>
        <w:left w:val="none" w:sz="0" w:space="0" w:color="auto"/>
        <w:bottom w:val="none" w:sz="0" w:space="0" w:color="auto"/>
        <w:right w:val="none" w:sz="0" w:space="0" w:color="auto"/>
      </w:divBdr>
    </w:div>
    <w:div w:id="1269004751">
      <w:bodyDiv w:val="1"/>
      <w:marLeft w:val="0"/>
      <w:marRight w:val="0"/>
      <w:marTop w:val="0"/>
      <w:marBottom w:val="0"/>
      <w:divBdr>
        <w:top w:val="none" w:sz="0" w:space="0" w:color="auto"/>
        <w:left w:val="none" w:sz="0" w:space="0" w:color="auto"/>
        <w:bottom w:val="none" w:sz="0" w:space="0" w:color="auto"/>
        <w:right w:val="none" w:sz="0" w:space="0" w:color="auto"/>
      </w:divBdr>
    </w:div>
    <w:div w:id="1281649440">
      <w:bodyDiv w:val="1"/>
      <w:marLeft w:val="0"/>
      <w:marRight w:val="0"/>
      <w:marTop w:val="0"/>
      <w:marBottom w:val="0"/>
      <w:divBdr>
        <w:top w:val="none" w:sz="0" w:space="0" w:color="auto"/>
        <w:left w:val="none" w:sz="0" w:space="0" w:color="auto"/>
        <w:bottom w:val="none" w:sz="0" w:space="0" w:color="auto"/>
        <w:right w:val="none" w:sz="0" w:space="0" w:color="auto"/>
      </w:divBdr>
    </w:div>
    <w:div w:id="1308322085">
      <w:bodyDiv w:val="1"/>
      <w:marLeft w:val="0"/>
      <w:marRight w:val="0"/>
      <w:marTop w:val="0"/>
      <w:marBottom w:val="0"/>
      <w:divBdr>
        <w:top w:val="none" w:sz="0" w:space="0" w:color="auto"/>
        <w:left w:val="none" w:sz="0" w:space="0" w:color="auto"/>
        <w:bottom w:val="none" w:sz="0" w:space="0" w:color="auto"/>
        <w:right w:val="none" w:sz="0" w:space="0" w:color="auto"/>
      </w:divBdr>
    </w:div>
    <w:div w:id="1323460573">
      <w:bodyDiv w:val="1"/>
      <w:marLeft w:val="0"/>
      <w:marRight w:val="0"/>
      <w:marTop w:val="0"/>
      <w:marBottom w:val="0"/>
      <w:divBdr>
        <w:top w:val="none" w:sz="0" w:space="0" w:color="auto"/>
        <w:left w:val="none" w:sz="0" w:space="0" w:color="auto"/>
        <w:bottom w:val="none" w:sz="0" w:space="0" w:color="auto"/>
        <w:right w:val="none" w:sz="0" w:space="0" w:color="auto"/>
      </w:divBdr>
    </w:div>
    <w:div w:id="1383292878">
      <w:bodyDiv w:val="1"/>
      <w:marLeft w:val="0"/>
      <w:marRight w:val="0"/>
      <w:marTop w:val="0"/>
      <w:marBottom w:val="0"/>
      <w:divBdr>
        <w:top w:val="none" w:sz="0" w:space="0" w:color="auto"/>
        <w:left w:val="none" w:sz="0" w:space="0" w:color="auto"/>
        <w:bottom w:val="none" w:sz="0" w:space="0" w:color="auto"/>
        <w:right w:val="none" w:sz="0" w:space="0" w:color="auto"/>
      </w:divBdr>
    </w:div>
    <w:div w:id="1391926766">
      <w:bodyDiv w:val="1"/>
      <w:marLeft w:val="0"/>
      <w:marRight w:val="0"/>
      <w:marTop w:val="0"/>
      <w:marBottom w:val="0"/>
      <w:divBdr>
        <w:top w:val="none" w:sz="0" w:space="0" w:color="auto"/>
        <w:left w:val="none" w:sz="0" w:space="0" w:color="auto"/>
        <w:bottom w:val="none" w:sz="0" w:space="0" w:color="auto"/>
        <w:right w:val="none" w:sz="0" w:space="0" w:color="auto"/>
      </w:divBdr>
    </w:div>
    <w:div w:id="1406873908">
      <w:bodyDiv w:val="1"/>
      <w:marLeft w:val="0"/>
      <w:marRight w:val="0"/>
      <w:marTop w:val="0"/>
      <w:marBottom w:val="0"/>
      <w:divBdr>
        <w:top w:val="none" w:sz="0" w:space="0" w:color="auto"/>
        <w:left w:val="none" w:sz="0" w:space="0" w:color="auto"/>
        <w:bottom w:val="none" w:sz="0" w:space="0" w:color="auto"/>
        <w:right w:val="none" w:sz="0" w:space="0" w:color="auto"/>
      </w:divBdr>
      <w:divsChild>
        <w:div w:id="1771584698">
          <w:marLeft w:val="0"/>
          <w:marRight w:val="0"/>
          <w:marTop w:val="0"/>
          <w:marBottom w:val="0"/>
          <w:divBdr>
            <w:top w:val="none" w:sz="0" w:space="0" w:color="auto"/>
            <w:left w:val="none" w:sz="0" w:space="0" w:color="auto"/>
            <w:bottom w:val="none" w:sz="0" w:space="0" w:color="auto"/>
            <w:right w:val="none" w:sz="0" w:space="0" w:color="auto"/>
          </w:divBdr>
          <w:divsChild>
            <w:div w:id="978419610">
              <w:marLeft w:val="0"/>
              <w:marRight w:val="0"/>
              <w:marTop w:val="0"/>
              <w:marBottom w:val="0"/>
              <w:divBdr>
                <w:top w:val="none" w:sz="0" w:space="0" w:color="auto"/>
                <w:left w:val="none" w:sz="0" w:space="0" w:color="auto"/>
                <w:bottom w:val="none" w:sz="0" w:space="0" w:color="auto"/>
                <w:right w:val="none" w:sz="0" w:space="0" w:color="auto"/>
              </w:divBdr>
              <w:divsChild>
                <w:div w:id="17802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03720">
      <w:bodyDiv w:val="1"/>
      <w:marLeft w:val="0"/>
      <w:marRight w:val="0"/>
      <w:marTop w:val="0"/>
      <w:marBottom w:val="0"/>
      <w:divBdr>
        <w:top w:val="none" w:sz="0" w:space="0" w:color="auto"/>
        <w:left w:val="none" w:sz="0" w:space="0" w:color="auto"/>
        <w:bottom w:val="none" w:sz="0" w:space="0" w:color="auto"/>
        <w:right w:val="none" w:sz="0" w:space="0" w:color="auto"/>
      </w:divBdr>
    </w:div>
    <w:div w:id="1480001167">
      <w:bodyDiv w:val="1"/>
      <w:marLeft w:val="0"/>
      <w:marRight w:val="0"/>
      <w:marTop w:val="0"/>
      <w:marBottom w:val="0"/>
      <w:divBdr>
        <w:top w:val="none" w:sz="0" w:space="0" w:color="auto"/>
        <w:left w:val="none" w:sz="0" w:space="0" w:color="auto"/>
        <w:bottom w:val="none" w:sz="0" w:space="0" w:color="auto"/>
        <w:right w:val="none" w:sz="0" w:space="0" w:color="auto"/>
      </w:divBdr>
    </w:div>
    <w:div w:id="1480804870">
      <w:bodyDiv w:val="1"/>
      <w:marLeft w:val="0"/>
      <w:marRight w:val="0"/>
      <w:marTop w:val="0"/>
      <w:marBottom w:val="0"/>
      <w:divBdr>
        <w:top w:val="none" w:sz="0" w:space="0" w:color="auto"/>
        <w:left w:val="none" w:sz="0" w:space="0" w:color="auto"/>
        <w:bottom w:val="none" w:sz="0" w:space="0" w:color="auto"/>
        <w:right w:val="none" w:sz="0" w:space="0" w:color="auto"/>
      </w:divBdr>
    </w:div>
    <w:div w:id="1485471677">
      <w:bodyDiv w:val="1"/>
      <w:marLeft w:val="0"/>
      <w:marRight w:val="0"/>
      <w:marTop w:val="0"/>
      <w:marBottom w:val="0"/>
      <w:divBdr>
        <w:top w:val="none" w:sz="0" w:space="0" w:color="auto"/>
        <w:left w:val="none" w:sz="0" w:space="0" w:color="auto"/>
        <w:bottom w:val="none" w:sz="0" w:space="0" w:color="auto"/>
        <w:right w:val="none" w:sz="0" w:space="0" w:color="auto"/>
      </w:divBdr>
    </w:div>
    <w:div w:id="1486313016">
      <w:bodyDiv w:val="1"/>
      <w:marLeft w:val="0"/>
      <w:marRight w:val="0"/>
      <w:marTop w:val="0"/>
      <w:marBottom w:val="0"/>
      <w:divBdr>
        <w:top w:val="none" w:sz="0" w:space="0" w:color="auto"/>
        <w:left w:val="none" w:sz="0" w:space="0" w:color="auto"/>
        <w:bottom w:val="none" w:sz="0" w:space="0" w:color="auto"/>
        <w:right w:val="none" w:sz="0" w:space="0" w:color="auto"/>
      </w:divBdr>
    </w:div>
    <w:div w:id="1538663428">
      <w:bodyDiv w:val="1"/>
      <w:marLeft w:val="0"/>
      <w:marRight w:val="0"/>
      <w:marTop w:val="0"/>
      <w:marBottom w:val="0"/>
      <w:divBdr>
        <w:top w:val="none" w:sz="0" w:space="0" w:color="auto"/>
        <w:left w:val="none" w:sz="0" w:space="0" w:color="auto"/>
        <w:bottom w:val="none" w:sz="0" w:space="0" w:color="auto"/>
        <w:right w:val="none" w:sz="0" w:space="0" w:color="auto"/>
      </w:divBdr>
    </w:div>
    <w:div w:id="1567915676">
      <w:bodyDiv w:val="1"/>
      <w:marLeft w:val="0"/>
      <w:marRight w:val="0"/>
      <w:marTop w:val="0"/>
      <w:marBottom w:val="0"/>
      <w:divBdr>
        <w:top w:val="none" w:sz="0" w:space="0" w:color="auto"/>
        <w:left w:val="none" w:sz="0" w:space="0" w:color="auto"/>
        <w:bottom w:val="none" w:sz="0" w:space="0" w:color="auto"/>
        <w:right w:val="none" w:sz="0" w:space="0" w:color="auto"/>
      </w:divBdr>
    </w:div>
    <w:div w:id="1575355791">
      <w:bodyDiv w:val="1"/>
      <w:marLeft w:val="0"/>
      <w:marRight w:val="0"/>
      <w:marTop w:val="0"/>
      <w:marBottom w:val="0"/>
      <w:divBdr>
        <w:top w:val="none" w:sz="0" w:space="0" w:color="auto"/>
        <w:left w:val="none" w:sz="0" w:space="0" w:color="auto"/>
        <w:bottom w:val="none" w:sz="0" w:space="0" w:color="auto"/>
        <w:right w:val="none" w:sz="0" w:space="0" w:color="auto"/>
      </w:divBdr>
    </w:div>
    <w:div w:id="1681227395">
      <w:bodyDiv w:val="1"/>
      <w:marLeft w:val="0"/>
      <w:marRight w:val="0"/>
      <w:marTop w:val="0"/>
      <w:marBottom w:val="0"/>
      <w:divBdr>
        <w:top w:val="none" w:sz="0" w:space="0" w:color="auto"/>
        <w:left w:val="none" w:sz="0" w:space="0" w:color="auto"/>
        <w:bottom w:val="none" w:sz="0" w:space="0" w:color="auto"/>
        <w:right w:val="none" w:sz="0" w:space="0" w:color="auto"/>
      </w:divBdr>
    </w:div>
    <w:div w:id="1790271678">
      <w:bodyDiv w:val="1"/>
      <w:marLeft w:val="0"/>
      <w:marRight w:val="0"/>
      <w:marTop w:val="0"/>
      <w:marBottom w:val="0"/>
      <w:divBdr>
        <w:top w:val="none" w:sz="0" w:space="0" w:color="auto"/>
        <w:left w:val="none" w:sz="0" w:space="0" w:color="auto"/>
        <w:bottom w:val="none" w:sz="0" w:space="0" w:color="auto"/>
        <w:right w:val="none" w:sz="0" w:space="0" w:color="auto"/>
      </w:divBdr>
    </w:div>
    <w:div w:id="1804157021">
      <w:bodyDiv w:val="1"/>
      <w:marLeft w:val="0"/>
      <w:marRight w:val="0"/>
      <w:marTop w:val="0"/>
      <w:marBottom w:val="0"/>
      <w:divBdr>
        <w:top w:val="none" w:sz="0" w:space="0" w:color="auto"/>
        <w:left w:val="none" w:sz="0" w:space="0" w:color="auto"/>
        <w:bottom w:val="none" w:sz="0" w:space="0" w:color="auto"/>
        <w:right w:val="none" w:sz="0" w:space="0" w:color="auto"/>
      </w:divBdr>
    </w:div>
    <w:div w:id="1834757289">
      <w:bodyDiv w:val="1"/>
      <w:marLeft w:val="0"/>
      <w:marRight w:val="0"/>
      <w:marTop w:val="0"/>
      <w:marBottom w:val="0"/>
      <w:divBdr>
        <w:top w:val="none" w:sz="0" w:space="0" w:color="auto"/>
        <w:left w:val="none" w:sz="0" w:space="0" w:color="auto"/>
        <w:bottom w:val="none" w:sz="0" w:space="0" w:color="auto"/>
        <w:right w:val="none" w:sz="0" w:space="0" w:color="auto"/>
      </w:divBdr>
    </w:div>
    <w:div w:id="1959530014">
      <w:bodyDiv w:val="1"/>
      <w:marLeft w:val="0"/>
      <w:marRight w:val="0"/>
      <w:marTop w:val="0"/>
      <w:marBottom w:val="0"/>
      <w:divBdr>
        <w:top w:val="none" w:sz="0" w:space="0" w:color="auto"/>
        <w:left w:val="none" w:sz="0" w:space="0" w:color="auto"/>
        <w:bottom w:val="none" w:sz="0" w:space="0" w:color="auto"/>
        <w:right w:val="none" w:sz="0" w:space="0" w:color="auto"/>
      </w:divBdr>
    </w:div>
    <w:div w:id="1967463107">
      <w:bodyDiv w:val="1"/>
      <w:marLeft w:val="0"/>
      <w:marRight w:val="0"/>
      <w:marTop w:val="0"/>
      <w:marBottom w:val="0"/>
      <w:divBdr>
        <w:top w:val="none" w:sz="0" w:space="0" w:color="auto"/>
        <w:left w:val="none" w:sz="0" w:space="0" w:color="auto"/>
        <w:bottom w:val="none" w:sz="0" w:space="0" w:color="auto"/>
        <w:right w:val="none" w:sz="0" w:space="0" w:color="auto"/>
      </w:divBdr>
    </w:div>
    <w:div w:id="2006396864">
      <w:bodyDiv w:val="1"/>
      <w:marLeft w:val="0"/>
      <w:marRight w:val="0"/>
      <w:marTop w:val="0"/>
      <w:marBottom w:val="0"/>
      <w:divBdr>
        <w:top w:val="none" w:sz="0" w:space="0" w:color="auto"/>
        <w:left w:val="none" w:sz="0" w:space="0" w:color="auto"/>
        <w:bottom w:val="none" w:sz="0" w:space="0" w:color="auto"/>
        <w:right w:val="none" w:sz="0" w:space="0" w:color="auto"/>
      </w:divBdr>
    </w:div>
    <w:div w:id="2023699254">
      <w:bodyDiv w:val="1"/>
      <w:marLeft w:val="0"/>
      <w:marRight w:val="0"/>
      <w:marTop w:val="0"/>
      <w:marBottom w:val="0"/>
      <w:divBdr>
        <w:top w:val="none" w:sz="0" w:space="0" w:color="auto"/>
        <w:left w:val="none" w:sz="0" w:space="0" w:color="auto"/>
        <w:bottom w:val="none" w:sz="0" w:space="0" w:color="auto"/>
        <w:right w:val="none" w:sz="0" w:space="0" w:color="auto"/>
      </w:divBdr>
      <w:divsChild>
        <w:div w:id="1225789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53385335">
      <w:bodyDiv w:val="1"/>
      <w:marLeft w:val="0"/>
      <w:marRight w:val="0"/>
      <w:marTop w:val="0"/>
      <w:marBottom w:val="0"/>
      <w:divBdr>
        <w:top w:val="none" w:sz="0" w:space="0" w:color="auto"/>
        <w:left w:val="none" w:sz="0" w:space="0" w:color="auto"/>
        <w:bottom w:val="none" w:sz="0" w:space="0" w:color="auto"/>
        <w:right w:val="none" w:sz="0" w:space="0" w:color="auto"/>
      </w:divBdr>
      <w:divsChild>
        <w:div w:id="760569912">
          <w:marLeft w:val="0"/>
          <w:marRight w:val="0"/>
          <w:marTop w:val="0"/>
          <w:marBottom w:val="0"/>
          <w:divBdr>
            <w:top w:val="single" w:sz="12" w:space="0" w:color="BEBBB4"/>
            <w:left w:val="none" w:sz="0" w:space="0" w:color="auto"/>
            <w:bottom w:val="none" w:sz="0" w:space="0" w:color="auto"/>
            <w:right w:val="none" w:sz="0" w:space="0" w:color="auto"/>
          </w:divBdr>
          <w:divsChild>
            <w:div w:id="663775551">
              <w:marLeft w:val="0"/>
              <w:marRight w:val="0"/>
              <w:marTop w:val="0"/>
              <w:marBottom w:val="0"/>
              <w:divBdr>
                <w:top w:val="single" w:sz="12" w:space="0" w:color="BEBBB4"/>
                <w:left w:val="none" w:sz="0" w:space="0" w:color="auto"/>
                <w:bottom w:val="none" w:sz="0" w:space="0" w:color="auto"/>
                <w:right w:val="none" w:sz="0" w:space="0" w:color="auto"/>
              </w:divBdr>
              <w:divsChild>
                <w:div w:id="242375624">
                  <w:marLeft w:val="0"/>
                  <w:marRight w:val="0"/>
                  <w:marTop w:val="15"/>
                  <w:marBottom w:val="0"/>
                  <w:divBdr>
                    <w:top w:val="single" w:sz="12" w:space="0" w:color="BEBBB4"/>
                    <w:left w:val="none" w:sz="0" w:space="0" w:color="auto"/>
                    <w:bottom w:val="none" w:sz="0" w:space="0" w:color="auto"/>
                    <w:right w:val="none" w:sz="0" w:space="0" w:color="auto"/>
                  </w:divBdr>
                  <w:divsChild>
                    <w:div w:id="661274265">
                      <w:marLeft w:val="0"/>
                      <w:marRight w:val="0"/>
                      <w:marTop w:val="15"/>
                      <w:marBottom w:val="0"/>
                      <w:divBdr>
                        <w:top w:val="single" w:sz="12" w:space="0" w:color="BEBBB4"/>
                        <w:left w:val="none" w:sz="0" w:space="0" w:color="auto"/>
                        <w:bottom w:val="none" w:sz="0" w:space="0" w:color="auto"/>
                        <w:right w:val="none" w:sz="0" w:space="0" w:color="auto"/>
                      </w:divBdr>
                      <w:divsChild>
                        <w:div w:id="471139896">
                          <w:marLeft w:val="0"/>
                          <w:marRight w:val="0"/>
                          <w:marTop w:val="15"/>
                          <w:marBottom w:val="0"/>
                          <w:divBdr>
                            <w:top w:val="single" w:sz="12" w:space="0" w:color="BEBBB4"/>
                            <w:left w:val="none" w:sz="0" w:space="0" w:color="auto"/>
                            <w:bottom w:val="none" w:sz="0" w:space="0" w:color="auto"/>
                            <w:right w:val="none" w:sz="0" w:space="0" w:color="auto"/>
                          </w:divBdr>
                          <w:divsChild>
                            <w:div w:id="1747720915">
                              <w:marLeft w:val="0"/>
                              <w:marRight w:val="0"/>
                              <w:marTop w:val="15"/>
                              <w:marBottom w:val="0"/>
                              <w:divBdr>
                                <w:top w:val="single" w:sz="12" w:space="0" w:color="BEBBB4"/>
                                <w:left w:val="none" w:sz="0" w:space="0" w:color="auto"/>
                                <w:bottom w:val="none" w:sz="0" w:space="0" w:color="auto"/>
                                <w:right w:val="none" w:sz="0" w:space="0" w:color="auto"/>
                              </w:divBdr>
                            </w:div>
                          </w:divsChild>
                        </w:div>
                      </w:divsChild>
                    </w:div>
                  </w:divsChild>
                </w:div>
              </w:divsChild>
            </w:div>
          </w:divsChild>
        </w:div>
      </w:divsChild>
    </w:div>
    <w:div w:id="2068918951">
      <w:bodyDiv w:val="1"/>
      <w:marLeft w:val="0"/>
      <w:marRight w:val="0"/>
      <w:marTop w:val="0"/>
      <w:marBottom w:val="0"/>
      <w:divBdr>
        <w:top w:val="none" w:sz="0" w:space="0" w:color="auto"/>
        <w:left w:val="none" w:sz="0" w:space="0" w:color="auto"/>
        <w:bottom w:val="none" w:sz="0" w:space="0" w:color="auto"/>
        <w:right w:val="none" w:sz="0" w:space="0" w:color="auto"/>
      </w:divBdr>
    </w:div>
    <w:div w:id="2069380365">
      <w:bodyDiv w:val="1"/>
      <w:marLeft w:val="0"/>
      <w:marRight w:val="0"/>
      <w:marTop w:val="0"/>
      <w:marBottom w:val="0"/>
      <w:divBdr>
        <w:top w:val="none" w:sz="0" w:space="0" w:color="auto"/>
        <w:left w:val="none" w:sz="0" w:space="0" w:color="auto"/>
        <w:bottom w:val="none" w:sz="0" w:space="0" w:color="auto"/>
        <w:right w:val="none" w:sz="0" w:space="0" w:color="auto"/>
      </w:divBdr>
    </w:div>
    <w:div w:id="21125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3.emf"/><Relationship Id="rId26" Type="http://schemas.openxmlformats.org/officeDocument/2006/relationships/image" Target="media/image11.emf"/><Relationship Id="rId21" Type="http://schemas.openxmlformats.org/officeDocument/2006/relationships/image" Target="media/image6.emf"/><Relationship Id="rId34" Type="http://schemas.openxmlformats.org/officeDocument/2006/relationships/image" Target="media/image19.emf"/><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reerivers.gov.uk" TargetMode="External"/><Relationship Id="rId20" Type="http://schemas.openxmlformats.org/officeDocument/2006/relationships/image" Target="media/image5.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image" Target="media/image1.emf"/><Relationship Id="rId19" Type="http://schemas.openxmlformats.org/officeDocument/2006/relationships/image" Target="media/image4.emf"/><Relationship Id="rId31" Type="http://schemas.openxmlformats.org/officeDocument/2006/relationships/image" Target="media/image16.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673029828512262E-2"/>
          <c:y val="6.3100424467401939E-2"/>
          <c:w val="0.58415417921587098"/>
          <c:h val="0.79449737884105076"/>
        </c:manualLayout>
      </c:layout>
      <c:lineChart>
        <c:grouping val="standard"/>
        <c:varyColors val="0"/>
        <c:ser>
          <c:idx val="0"/>
          <c:order val="0"/>
          <c:tx>
            <c:strRef>
              <c:f>Sheet1!$B$1</c:f>
              <c:strCache>
                <c:ptCount val="1"/>
                <c:pt idx="0">
                  <c:v>Original budget</c:v>
                </c:pt>
              </c:strCache>
            </c:strRef>
          </c:tx>
          <c:cat>
            <c:strRef>
              <c:f>Sheet1!$A$2:$A$6</c:f>
              <c:strCache>
                <c:ptCount val="5"/>
                <c:pt idx="0">
                  <c:v>0</c:v>
                </c:pt>
                <c:pt idx="1">
                  <c:v>Quarter 1</c:v>
                </c:pt>
                <c:pt idx="2">
                  <c:v>Quarter 2</c:v>
                </c:pt>
                <c:pt idx="3">
                  <c:v>Quarter 3</c:v>
                </c:pt>
                <c:pt idx="4">
                  <c:v>Quarter 4</c:v>
                </c:pt>
              </c:strCache>
            </c:strRef>
          </c:cat>
          <c:val>
            <c:numRef>
              <c:f>Sheet1!$B$2:$B$6</c:f>
              <c:numCache>
                <c:formatCode>General</c:formatCode>
                <c:ptCount val="5"/>
                <c:pt idx="0">
                  <c:v>10.775</c:v>
                </c:pt>
                <c:pt idx="1">
                  <c:v>10.775</c:v>
                </c:pt>
                <c:pt idx="2">
                  <c:v>10.775</c:v>
                </c:pt>
                <c:pt idx="3">
                  <c:v>10.775</c:v>
                </c:pt>
                <c:pt idx="4">
                  <c:v>10.775</c:v>
                </c:pt>
              </c:numCache>
            </c:numRef>
          </c:val>
          <c:smooth val="0"/>
        </c:ser>
        <c:ser>
          <c:idx val="1"/>
          <c:order val="1"/>
          <c:tx>
            <c:strRef>
              <c:f>Sheet1!$C$1</c:f>
              <c:strCache>
                <c:ptCount val="1"/>
                <c:pt idx="0">
                  <c:v>Latest Approved Budget</c:v>
                </c:pt>
              </c:strCache>
            </c:strRef>
          </c:tx>
          <c:spPr>
            <a:ln>
              <a:prstDash val="dash"/>
            </a:ln>
          </c:spPr>
          <c:marker>
            <c:spPr>
              <a:ln cmpd="sng"/>
            </c:spPr>
          </c:marker>
          <c:dPt>
            <c:idx val="0"/>
            <c:bubble3D val="0"/>
            <c:spPr>
              <a:ln>
                <a:prstDash val="solid"/>
              </a:ln>
            </c:spPr>
          </c:dPt>
          <c:dPt>
            <c:idx val="1"/>
            <c:bubble3D val="0"/>
            <c:spPr>
              <a:ln>
                <a:prstDash val="solid"/>
              </a:ln>
            </c:spPr>
          </c:dPt>
          <c:dPt>
            <c:idx val="2"/>
            <c:bubble3D val="0"/>
            <c:spPr>
              <a:ln cmpd="sng">
                <a:prstDash val="solid"/>
              </a:ln>
            </c:spPr>
          </c:dPt>
          <c:dPt>
            <c:idx val="3"/>
            <c:bubble3D val="0"/>
            <c:spPr>
              <a:ln cap="sq" cmpd="sng">
                <a:prstDash val="solid"/>
              </a:ln>
            </c:spPr>
          </c:dPt>
          <c:cat>
            <c:strRef>
              <c:f>Sheet1!$A$2:$A$6</c:f>
              <c:strCache>
                <c:ptCount val="5"/>
                <c:pt idx="0">
                  <c:v>0</c:v>
                </c:pt>
                <c:pt idx="1">
                  <c:v>Quarter 1</c:v>
                </c:pt>
                <c:pt idx="2">
                  <c:v>Quarter 2</c:v>
                </c:pt>
                <c:pt idx="3">
                  <c:v>Quarter 3</c:v>
                </c:pt>
                <c:pt idx="4">
                  <c:v>Quarter 4</c:v>
                </c:pt>
              </c:strCache>
            </c:strRef>
          </c:cat>
          <c:val>
            <c:numRef>
              <c:f>Sheet1!$C$2:$C$6</c:f>
              <c:numCache>
                <c:formatCode>General</c:formatCode>
                <c:ptCount val="5"/>
                <c:pt idx="0">
                  <c:v>10.775</c:v>
                </c:pt>
                <c:pt idx="1">
                  <c:v>11.257</c:v>
                </c:pt>
                <c:pt idx="2">
                  <c:v>11.669</c:v>
                </c:pt>
                <c:pt idx="3">
                  <c:v>11.669</c:v>
                </c:pt>
                <c:pt idx="4">
                  <c:v>11.669</c:v>
                </c:pt>
              </c:numCache>
            </c:numRef>
          </c:val>
          <c:smooth val="0"/>
        </c:ser>
        <c:ser>
          <c:idx val="2"/>
          <c:order val="2"/>
          <c:tx>
            <c:strRef>
              <c:f>Sheet1!$D$1</c:f>
              <c:strCache>
                <c:ptCount val="1"/>
                <c:pt idx="0">
                  <c:v>Revised Budget</c:v>
                </c:pt>
              </c:strCache>
            </c:strRef>
          </c:tx>
          <c:spPr>
            <a:ln>
              <a:solidFill>
                <a:schemeClr val="accent1"/>
              </a:solidFill>
            </a:ln>
          </c:spPr>
          <c:dPt>
            <c:idx val="1"/>
            <c:bubble3D val="0"/>
            <c:spPr>
              <a:ln>
                <a:solidFill>
                  <a:schemeClr val="accent3"/>
                </a:solidFill>
              </a:ln>
            </c:spPr>
          </c:dPt>
          <c:dPt>
            <c:idx val="2"/>
            <c:bubble3D val="0"/>
            <c:spPr>
              <a:ln cmpd="sng">
                <a:solidFill>
                  <a:schemeClr val="accent3"/>
                </a:solidFill>
                <a:prstDash val="solid"/>
              </a:ln>
            </c:spPr>
          </c:dPt>
          <c:dPt>
            <c:idx val="3"/>
            <c:marker>
              <c:spPr>
                <a:ln cap="sq"/>
              </c:spPr>
            </c:marker>
            <c:bubble3D val="0"/>
            <c:spPr>
              <a:ln cmpd="sng">
                <a:solidFill>
                  <a:srgbClr val="4F81BD"/>
                </a:solidFill>
                <a:prstDash val="solid"/>
              </a:ln>
            </c:spPr>
          </c:dPt>
          <c:dPt>
            <c:idx val="4"/>
            <c:bubble3D val="0"/>
            <c:spPr>
              <a:ln>
                <a:solidFill>
                  <a:schemeClr val="accent1"/>
                </a:solidFill>
                <a:prstDash val="dash"/>
              </a:ln>
            </c:spPr>
          </c:dPt>
          <c:cat>
            <c:strRef>
              <c:f>Sheet1!$A$2:$A$6</c:f>
              <c:strCache>
                <c:ptCount val="5"/>
                <c:pt idx="0">
                  <c:v>0</c:v>
                </c:pt>
                <c:pt idx="1">
                  <c:v>Quarter 1</c:v>
                </c:pt>
                <c:pt idx="2">
                  <c:v>Quarter 2</c:v>
                </c:pt>
                <c:pt idx="3">
                  <c:v>Quarter 3</c:v>
                </c:pt>
                <c:pt idx="4">
                  <c:v>Quarter 4</c:v>
                </c:pt>
              </c:strCache>
            </c:strRef>
          </c:cat>
          <c:val>
            <c:numRef>
              <c:f>Sheet1!$D$2:$D$6</c:f>
              <c:numCache>
                <c:formatCode>General</c:formatCode>
                <c:ptCount val="5"/>
                <c:pt idx="0">
                  <c:v>10.775</c:v>
                </c:pt>
                <c:pt idx="1">
                  <c:v>11.257</c:v>
                </c:pt>
                <c:pt idx="2">
                  <c:v>11.669</c:v>
                </c:pt>
                <c:pt idx="3">
                  <c:v>11.619</c:v>
                </c:pt>
                <c:pt idx="4">
                  <c:v>11.619</c:v>
                </c:pt>
              </c:numCache>
            </c:numRef>
          </c:val>
          <c:smooth val="0"/>
        </c:ser>
        <c:dLbls>
          <c:showLegendKey val="0"/>
          <c:showVal val="0"/>
          <c:showCatName val="0"/>
          <c:showSerName val="0"/>
          <c:showPercent val="0"/>
          <c:showBubbleSize val="0"/>
        </c:dLbls>
        <c:marker val="1"/>
        <c:smooth val="0"/>
        <c:axId val="120028672"/>
        <c:axId val="117678080"/>
      </c:lineChart>
      <c:catAx>
        <c:axId val="120028672"/>
        <c:scaling>
          <c:orientation val="minMax"/>
        </c:scaling>
        <c:delete val="0"/>
        <c:axPos val="b"/>
        <c:majorTickMark val="out"/>
        <c:minorTickMark val="none"/>
        <c:tickLblPos val="nextTo"/>
        <c:crossAx val="117678080"/>
        <c:crosses val="autoZero"/>
        <c:auto val="1"/>
        <c:lblAlgn val="ctr"/>
        <c:lblOffset val="100"/>
        <c:noMultiLvlLbl val="0"/>
      </c:catAx>
      <c:valAx>
        <c:axId val="117678080"/>
        <c:scaling>
          <c:orientation val="minMax"/>
          <c:min val="10"/>
        </c:scaling>
        <c:delete val="0"/>
        <c:axPos val="l"/>
        <c:majorGridlines>
          <c:spPr>
            <a:ln>
              <a:prstDash val="dash"/>
            </a:ln>
          </c:spPr>
        </c:majorGridlines>
        <c:numFmt formatCode="General" sourceLinked="1"/>
        <c:majorTickMark val="out"/>
        <c:minorTickMark val="none"/>
        <c:tickLblPos val="nextTo"/>
        <c:crossAx val="12002867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34369308197438"/>
          <c:y val="7.3366156027882143E-2"/>
          <c:w val="0.71243842122519396"/>
          <c:h val="0.83874335969441727"/>
        </c:manualLayout>
      </c:layout>
      <c:barChart>
        <c:barDir val="col"/>
        <c:grouping val="clustered"/>
        <c:varyColors val="0"/>
        <c:ser>
          <c:idx val="0"/>
          <c:order val="0"/>
          <c:tx>
            <c:strRef>
              <c:f>Sheet1!$B$1</c:f>
              <c:strCache>
                <c:ptCount val="1"/>
                <c:pt idx="0">
                  <c:v>2017/18</c:v>
                </c:pt>
              </c:strCache>
            </c:strRef>
          </c:tx>
          <c:spPr>
            <a:solidFill>
              <a:schemeClr val="bg1">
                <a:lumMod val="95000"/>
              </a:schemeClr>
            </a:solidFill>
          </c:spPr>
          <c:invertIfNegative val="0"/>
          <c:dLbls>
            <c:numFmt formatCode="0%" sourceLinked="0"/>
            <c:dLblPos val="inEnd"/>
            <c:showLegendKey val="0"/>
            <c:showVal val="1"/>
            <c:showCatName val="0"/>
            <c:showSerName val="1"/>
            <c:showPercent val="0"/>
            <c:showBubbleSize val="0"/>
            <c:separator>
</c:separator>
            <c:showLeaderLines val="0"/>
          </c:dLbls>
          <c:cat>
            <c:numRef>
              <c:f>Sheet1!$A$2</c:f>
              <c:numCache>
                <c:formatCode>General</c:formatCode>
                <c:ptCount val="1"/>
              </c:numCache>
            </c:numRef>
          </c:cat>
          <c:val>
            <c:numRef>
              <c:f>Sheet1!$B$2</c:f>
              <c:numCache>
                <c:formatCode>0%</c:formatCode>
                <c:ptCount val="1"/>
                <c:pt idx="0">
                  <c:v>-0.62</c:v>
                </c:pt>
              </c:numCache>
            </c:numRef>
          </c:val>
        </c:ser>
        <c:ser>
          <c:idx val="1"/>
          <c:order val="1"/>
          <c:tx>
            <c:strRef>
              <c:f>Sheet1!$C$1</c:f>
              <c:strCache>
                <c:ptCount val="1"/>
                <c:pt idx="0">
                  <c:v>2018/19</c:v>
                </c:pt>
              </c:strCache>
            </c:strRef>
          </c:tx>
          <c:spPr>
            <a:solidFill>
              <a:schemeClr val="bg2"/>
            </a:solidFill>
          </c:spPr>
          <c:invertIfNegative val="0"/>
          <c:dLbls>
            <c:dLblPos val="inEnd"/>
            <c:showLegendKey val="0"/>
            <c:showVal val="1"/>
            <c:showCatName val="0"/>
            <c:showSerName val="1"/>
            <c:showPercent val="0"/>
            <c:showBubbleSize val="0"/>
            <c:separator>
</c:separator>
            <c:showLeaderLines val="0"/>
          </c:dLbls>
          <c:cat>
            <c:numRef>
              <c:f>Sheet1!$A$2</c:f>
              <c:numCache>
                <c:formatCode>General</c:formatCode>
                <c:ptCount val="1"/>
              </c:numCache>
            </c:numRef>
          </c:cat>
          <c:val>
            <c:numRef>
              <c:f>Sheet1!$C$2</c:f>
              <c:numCache>
                <c:formatCode>0%</c:formatCode>
                <c:ptCount val="1"/>
                <c:pt idx="0">
                  <c:v>-0.96</c:v>
                </c:pt>
              </c:numCache>
            </c:numRef>
          </c:val>
        </c:ser>
        <c:ser>
          <c:idx val="2"/>
          <c:order val="2"/>
          <c:tx>
            <c:strRef>
              <c:f>Sheet1!$D$1</c:f>
              <c:strCache>
                <c:ptCount val="1"/>
                <c:pt idx="0">
                  <c:v>2019/20</c:v>
                </c:pt>
              </c:strCache>
            </c:strRef>
          </c:tx>
          <c:invertIfNegative val="0"/>
          <c:dPt>
            <c:idx val="0"/>
            <c:invertIfNegative val="0"/>
            <c:bubble3D val="0"/>
            <c:spPr>
              <a:solidFill>
                <a:schemeClr val="bg1">
                  <a:lumMod val="75000"/>
                </a:schemeClr>
              </a:solidFill>
            </c:spPr>
          </c:dPt>
          <c:dLbls>
            <c:dLblPos val="inEnd"/>
            <c:showLegendKey val="0"/>
            <c:showVal val="1"/>
            <c:showCatName val="0"/>
            <c:showSerName val="1"/>
            <c:showPercent val="0"/>
            <c:showBubbleSize val="0"/>
            <c:separator>
</c:separator>
            <c:showLeaderLines val="0"/>
          </c:dLbls>
          <c:cat>
            <c:numRef>
              <c:f>Sheet1!$A$2</c:f>
              <c:numCache>
                <c:formatCode>General</c:formatCode>
                <c:ptCount val="1"/>
              </c:numCache>
            </c:numRef>
          </c:cat>
          <c:val>
            <c:numRef>
              <c:f>Sheet1!$D$2</c:f>
              <c:numCache>
                <c:formatCode>0%</c:formatCode>
                <c:ptCount val="1"/>
                <c:pt idx="0">
                  <c:v>-1</c:v>
                </c:pt>
              </c:numCache>
            </c:numRef>
          </c:val>
        </c:ser>
        <c:dLbls>
          <c:showLegendKey val="0"/>
          <c:showVal val="0"/>
          <c:showCatName val="0"/>
          <c:showSerName val="0"/>
          <c:showPercent val="0"/>
          <c:showBubbleSize val="0"/>
        </c:dLbls>
        <c:gapWidth val="150"/>
        <c:axId val="118594048"/>
        <c:axId val="117679232"/>
      </c:barChart>
      <c:catAx>
        <c:axId val="118594048"/>
        <c:scaling>
          <c:orientation val="minMax"/>
        </c:scaling>
        <c:delete val="0"/>
        <c:axPos val="b"/>
        <c:numFmt formatCode="General" sourceLinked="1"/>
        <c:majorTickMark val="out"/>
        <c:minorTickMark val="none"/>
        <c:tickLblPos val="nextTo"/>
        <c:crossAx val="117679232"/>
        <c:crosses val="autoZero"/>
        <c:auto val="1"/>
        <c:lblAlgn val="ctr"/>
        <c:lblOffset val="100"/>
        <c:noMultiLvlLbl val="0"/>
      </c:catAx>
      <c:valAx>
        <c:axId val="117679232"/>
        <c:scaling>
          <c:orientation val="minMax"/>
          <c:min val="-1"/>
        </c:scaling>
        <c:delete val="0"/>
        <c:axPos val="l"/>
        <c:majorGridlines/>
        <c:numFmt formatCode="0%" sourceLinked="1"/>
        <c:majorTickMark val="out"/>
        <c:minorTickMark val="none"/>
        <c:tickLblPos val="nextTo"/>
        <c:crossAx val="1185940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240157480314956"/>
          <c:y val="4.3650793650793648E-2"/>
        </c:manualLayout>
      </c:layout>
      <c:overlay val="0"/>
    </c:title>
    <c:autoTitleDeleted val="0"/>
    <c:plotArea>
      <c:layout/>
      <c:pieChart>
        <c:varyColors val="1"/>
        <c:ser>
          <c:idx val="0"/>
          <c:order val="0"/>
          <c:tx>
            <c:strRef>
              <c:f>Sheet1!$B$1</c:f>
              <c:strCache>
                <c:ptCount val="1"/>
                <c:pt idx="0">
                  <c:v>2017/18</c:v>
                </c:pt>
              </c:strCache>
            </c:strRef>
          </c:tx>
          <c:dLbls>
            <c:dLbl>
              <c:idx val="0"/>
              <c:layout>
                <c:manualLayout>
                  <c:x val="0.17281295567220764"/>
                  <c:y val="1.5036000768948463E-2"/>
                </c:manualLayout>
              </c:layout>
              <c:showLegendKey val="0"/>
              <c:showVal val="1"/>
              <c:showCatName val="1"/>
              <c:showSerName val="0"/>
              <c:showPercent val="0"/>
              <c:showBubbleSize val="0"/>
            </c:dLbl>
            <c:dLbl>
              <c:idx val="1"/>
              <c:layout>
                <c:manualLayout>
                  <c:x val="2.1212088072324293E-2"/>
                  <c:y val="2.9807675503748625E-2"/>
                </c:manualLayout>
              </c:layout>
              <c:showLegendKey val="0"/>
              <c:showVal val="1"/>
              <c:showCatName val="1"/>
              <c:showSerName val="0"/>
              <c:showPercent val="0"/>
              <c:showBubbleSize val="0"/>
            </c:dLbl>
            <c:dLbl>
              <c:idx val="2"/>
              <c:layout>
                <c:manualLayout>
                  <c:x val="-5.7991579177602698E-3"/>
                  <c:y val="2.9850117464367477E-2"/>
                </c:manualLayout>
              </c:layout>
              <c:showLegendKey val="0"/>
              <c:showVal val="1"/>
              <c:showCatName val="1"/>
              <c:showSerName val="0"/>
              <c:showPercent val="0"/>
              <c:showBubbleSize val="0"/>
            </c:dLbl>
            <c:dLbl>
              <c:idx val="3"/>
              <c:layout>
                <c:manualLayout>
                  <c:x val="-0.20179717118693496"/>
                  <c:y val="8.1515090613585917E-2"/>
                </c:manualLayout>
              </c:layout>
              <c:showLegendKey val="0"/>
              <c:showVal val="1"/>
              <c:showCatName val="1"/>
              <c:showSerName val="0"/>
              <c:showPercent val="0"/>
              <c:showBubbleSize val="0"/>
            </c:dLbl>
            <c:dLbl>
              <c:idx val="4"/>
              <c:layout>
                <c:manualLayout>
                  <c:x val="-2.9227362204724411E-2"/>
                  <c:y val="-6.0375873492998326E-2"/>
                </c:manualLayout>
              </c:layout>
              <c:showLegendKey val="0"/>
              <c:showVal val="1"/>
              <c:showCatName val="1"/>
              <c:showSerName val="0"/>
              <c:showPercent val="0"/>
              <c:showBubbleSize val="0"/>
            </c:dLbl>
            <c:numFmt formatCode="#,##0" sourceLinked="0"/>
            <c:showLegendKey val="0"/>
            <c:showVal val="1"/>
            <c:showCatName val="1"/>
            <c:showSerName val="0"/>
            <c:showPercent val="0"/>
            <c:showBubbleSize val="0"/>
            <c:showLeaderLines val="1"/>
          </c:dLbls>
          <c:cat>
            <c:strRef>
              <c:f>Sheet1!$A$2:$A$6</c:f>
              <c:strCache>
                <c:ptCount val="5"/>
                <c:pt idx="0">
                  <c:v>Revenue Support Grant</c:v>
                </c:pt>
                <c:pt idx="1">
                  <c:v>Council Tax</c:v>
                </c:pt>
                <c:pt idx="2">
                  <c:v>Business Rates</c:v>
                </c:pt>
                <c:pt idx="3">
                  <c:v>New Homes Bonus</c:v>
                </c:pt>
                <c:pt idx="4">
                  <c:v>Other Grants</c:v>
                </c:pt>
              </c:strCache>
            </c:strRef>
          </c:cat>
          <c:val>
            <c:numRef>
              <c:f>Sheet1!$B$2:$B$6</c:f>
              <c:numCache>
                <c:formatCode>#,##0</c:formatCode>
                <c:ptCount val="5"/>
                <c:pt idx="0">
                  <c:v>336058</c:v>
                </c:pt>
                <c:pt idx="1">
                  <c:v>6197403</c:v>
                </c:pt>
                <c:pt idx="2">
                  <c:v>2361514</c:v>
                </c:pt>
                <c:pt idx="3">
                  <c:v>793546</c:v>
                </c:pt>
                <c:pt idx="4">
                  <c:v>115689</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240157480314956"/>
          <c:y val="4.3650793650793648E-2"/>
        </c:manualLayout>
      </c:layout>
      <c:overlay val="0"/>
    </c:title>
    <c:autoTitleDeleted val="0"/>
    <c:plotArea>
      <c:layout/>
      <c:pieChart>
        <c:varyColors val="1"/>
        <c:ser>
          <c:idx val="0"/>
          <c:order val="0"/>
          <c:tx>
            <c:strRef>
              <c:f>Sheet1!$B$1</c:f>
              <c:strCache>
                <c:ptCount val="1"/>
                <c:pt idx="0">
                  <c:v>2018/19</c:v>
                </c:pt>
              </c:strCache>
            </c:strRef>
          </c:tx>
          <c:dLbls>
            <c:dLbl>
              <c:idx val="0"/>
              <c:layout>
                <c:manualLayout>
                  <c:x val="0.17281295567220764"/>
                  <c:y val="1.5036000768948463E-2"/>
                </c:manualLayout>
              </c:layout>
              <c:showLegendKey val="0"/>
              <c:showVal val="1"/>
              <c:showCatName val="1"/>
              <c:showSerName val="0"/>
              <c:showPercent val="0"/>
              <c:showBubbleSize val="0"/>
            </c:dLbl>
            <c:dLbl>
              <c:idx val="1"/>
              <c:layout>
                <c:manualLayout>
                  <c:x val="2.1212088072324293E-2"/>
                  <c:y val="2.9807675503748625E-2"/>
                </c:manualLayout>
              </c:layout>
              <c:showLegendKey val="0"/>
              <c:showVal val="1"/>
              <c:showCatName val="1"/>
              <c:showSerName val="0"/>
              <c:showPercent val="0"/>
              <c:showBubbleSize val="0"/>
            </c:dLbl>
            <c:dLbl>
              <c:idx val="2"/>
              <c:layout>
                <c:manualLayout>
                  <c:x val="-5.7991579177602698E-3"/>
                  <c:y val="2.9850117464367477E-2"/>
                </c:manualLayout>
              </c:layout>
              <c:showLegendKey val="0"/>
              <c:showVal val="1"/>
              <c:showCatName val="1"/>
              <c:showSerName val="0"/>
              <c:showPercent val="0"/>
              <c:showBubbleSize val="0"/>
            </c:dLbl>
            <c:dLbl>
              <c:idx val="3"/>
              <c:layout>
                <c:manualLayout>
                  <c:x val="-0.20179717118693496"/>
                  <c:y val="8.1515090613585917E-2"/>
                </c:manualLayout>
              </c:layout>
              <c:showLegendKey val="0"/>
              <c:showVal val="1"/>
              <c:showCatName val="1"/>
              <c:showSerName val="0"/>
              <c:showPercent val="0"/>
              <c:showBubbleSize val="0"/>
            </c:dLbl>
            <c:dLbl>
              <c:idx val="4"/>
              <c:layout>
                <c:manualLayout>
                  <c:x val="-2.9227362204724411E-2"/>
                  <c:y val="-6.0375873492998326E-2"/>
                </c:manualLayout>
              </c:layout>
              <c:showLegendKey val="0"/>
              <c:showVal val="1"/>
              <c:showCatName val="1"/>
              <c:showSerName val="0"/>
              <c:showPercent val="0"/>
              <c:showBubbleSize val="0"/>
            </c:dLbl>
            <c:numFmt formatCode="#,##0" sourceLinked="0"/>
            <c:showLegendKey val="0"/>
            <c:showVal val="0"/>
            <c:showCatName val="1"/>
            <c:showSerName val="0"/>
            <c:showPercent val="0"/>
            <c:showBubbleSize val="0"/>
            <c:showLeaderLines val="1"/>
          </c:dLbls>
          <c:cat>
            <c:strRef>
              <c:f>Sheet1!$A$2:$A$6</c:f>
              <c:strCache>
                <c:ptCount val="5"/>
                <c:pt idx="0">
                  <c:v>Revenue Support Grant</c:v>
                </c:pt>
                <c:pt idx="1">
                  <c:v>Council Tax</c:v>
                </c:pt>
                <c:pt idx="2">
                  <c:v>Business Rates</c:v>
                </c:pt>
                <c:pt idx="3">
                  <c:v>New Homes Bonus</c:v>
                </c:pt>
                <c:pt idx="4">
                  <c:v>Other Grants</c:v>
                </c:pt>
              </c:strCache>
            </c:strRef>
          </c:cat>
          <c:val>
            <c:numRef>
              <c:f>Sheet1!$B$2:$B$6</c:f>
              <c:numCache>
                <c:formatCode>#,##0</c:formatCode>
                <c:ptCount val="5"/>
                <c:pt idx="0">
                  <c:v>11791</c:v>
                </c:pt>
                <c:pt idx="1">
                  <c:v>6418396</c:v>
                </c:pt>
                <c:pt idx="2">
                  <c:v>2416430</c:v>
                </c:pt>
                <c:pt idx="3">
                  <c:v>498259</c:v>
                </c:pt>
                <c:pt idx="4">
                  <c:v>50000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240157480314956"/>
          <c:y val="4.3650793650793648E-2"/>
        </c:manualLayout>
      </c:layout>
      <c:overlay val="0"/>
    </c:title>
    <c:autoTitleDeleted val="0"/>
    <c:plotArea>
      <c:layout/>
      <c:pieChart>
        <c:varyColors val="1"/>
        <c:ser>
          <c:idx val="0"/>
          <c:order val="0"/>
          <c:tx>
            <c:strRef>
              <c:f>Sheet1!$B$1</c:f>
              <c:strCache>
                <c:ptCount val="1"/>
                <c:pt idx="0">
                  <c:v>2019/20</c:v>
                </c:pt>
              </c:strCache>
            </c:strRef>
          </c:tx>
          <c:dLbls>
            <c:dLbl>
              <c:idx val="0"/>
              <c:layout>
                <c:manualLayout>
                  <c:x val="0.17281295567220764"/>
                  <c:y val="1.5036000768948463E-2"/>
                </c:manualLayout>
              </c:layout>
              <c:showLegendKey val="0"/>
              <c:showVal val="1"/>
              <c:showCatName val="1"/>
              <c:showSerName val="0"/>
              <c:showPercent val="0"/>
              <c:showBubbleSize val="0"/>
            </c:dLbl>
            <c:dLbl>
              <c:idx val="1"/>
              <c:layout>
                <c:manualLayout>
                  <c:x val="2.1212088072324293E-2"/>
                  <c:y val="2.9807675503748625E-2"/>
                </c:manualLayout>
              </c:layout>
              <c:showLegendKey val="0"/>
              <c:showVal val="1"/>
              <c:showCatName val="1"/>
              <c:showSerName val="0"/>
              <c:showPercent val="0"/>
              <c:showBubbleSize val="0"/>
            </c:dLbl>
            <c:dLbl>
              <c:idx val="2"/>
              <c:layout>
                <c:manualLayout>
                  <c:x val="-5.7991579177602698E-3"/>
                  <c:y val="2.9850117464367477E-2"/>
                </c:manualLayout>
              </c:layout>
              <c:showLegendKey val="0"/>
              <c:showVal val="1"/>
              <c:showCatName val="1"/>
              <c:showSerName val="0"/>
              <c:showPercent val="0"/>
              <c:showBubbleSize val="0"/>
            </c:dLbl>
            <c:dLbl>
              <c:idx val="3"/>
              <c:layout>
                <c:manualLayout>
                  <c:x val="-0.20179717118693496"/>
                  <c:y val="8.1515090613585917E-2"/>
                </c:manualLayout>
              </c:layout>
              <c:showLegendKey val="0"/>
              <c:showVal val="1"/>
              <c:showCatName val="1"/>
              <c:showSerName val="0"/>
              <c:showPercent val="0"/>
              <c:showBubbleSize val="0"/>
            </c:dLbl>
            <c:dLbl>
              <c:idx val="4"/>
              <c:layout>
                <c:manualLayout>
                  <c:x val="-2.9227362204724411E-2"/>
                  <c:y val="-6.0375873492998326E-2"/>
                </c:manualLayout>
              </c:layout>
              <c:showLegendKey val="0"/>
              <c:showVal val="1"/>
              <c:showCatName val="1"/>
              <c:showSerName val="0"/>
              <c:showPercent val="0"/>
              <c:showBubbleSize val="0"/>
            </c:dLbl>
            <c:numFmt formatCode="#,##0" sourceLinked="0"/>
            <c:showLegendKey val="0"/>
            <c:showVal val="0"/>
            <c:showCatName val="1"/>
            <c:showSerName val="0"/>
            <c:showPercent val="0"/>
            <c:showBubbleSize val="0"/>
            <c:showLeaderLines val="1"/>
          </c:dLbls>
          <c:cat>
            <c:strRef>
              <c:f>Sheet1!$A$2:$A$6</c:f>
              <c:strCache>
                <c:ptCount val="5"/>
                <c:pt idx="0">
                  <c:v>Revenue Support Grant</c:v>
                </c:pt>
                <c:pt idx="1">
                  <c:v>Council Tax</c:v>
                </c:pt>
                <c:pt idx="2">
                  <c:v>Business Rates</c:v>
                </c:pt>
                <c:pt idx="3">
                  <c:v>New Homes Bonus</c:v>
                </c:pt>
                <c:pt idx="4">
                  <c:v>Other Grants</c:v>
                </c:pt>
              </c:strCache>
            </c:strRef>
          </c:cat>
          <c:val>
            <c:numRef>
              <c:f>Sheet1!$B$2:$B$6</c:f>
              <c:numCache>
                <c:formatCode>#,##0</c:formatCode>
                <c:ptCount val="5"/>
                <c:pt idx="0">
                  <c:v>0</c:v>
                </c:pt>
                <c:pt idx="1">
                  <c:v>6641444</c:v>
                </c:pt>
                <c:pt idx="2">
                  <c:v>2140000</c:v>
                </c:pt>
                <c:pt idx="3">
                  <c:v>498259</c:v>
                </c:pt>
                <c:pt idx="4">
                  <c:v>50000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C0C11-72FB-467D-B9F8-8C0CD3F2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27</Pages>
  <Words>3421</Words>
  <Characters>19002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POLICY AND RESOURCES COMMITTEE - 28 JANUARY 1997</vt:lpstr>
    </vt:vector>
  </TitlesOfParts>
  <Company>Pre-installed Company</Company>
  <LinksUpToDate>false</LinksUpToDate>
  <CharactersWithSpaces>22379</CharactersWithSpaces>
  <SharedDoc>false</SharedDoc>
  <HLinks>
    <vt:vector size="24" baseType="variant">
      <vt:variant>
        <vt:i4>1769500</vt:i4>
      </vt:variant>
      <vt:variant>
        <vt:i4>31</vt:i4>
      </vt:variant>
      <vt:variant>
        <vt:i4>0</vt:i4>
      </vt:variant>
      <vt:variant>
        <vt:i4>5</vt:i4>
      </vt:variant>
      <vt:variant>
        <vt:lpwstr>https://www.gov.uk/government/policies/increasing-the-number-of-available-homes/supporting-pages/new-homes-bonus</vt:lpwstr>
      </vt:variant>
      <vt:variant>
        <vt:lpwstr/>
      </vt:variant>
      <vt:variant>
        <vt:i4>3670057</vt:i4>
      </vt:variant>
      <vt:variant>
        <vt:i4>28</vt:i4>
      </vt:variant>
      <vt:variant>
        <vt:i4>0</vt:i4>
      </vt:variant>
      <vt:variant>
        <vt:i4>5</vt:i4>
      </vt:variant>
      <vt:variant>
        <vt:lpwstr>https://www.gov.uk/government/collections/provisional-local-government-finance-settlement-england-2016-to-2017</vt:lpwstr>
      </vt:variant>
      <vt:variant>
        <vt:lpwstr/>
      </vt:variant>
      <vt:variant>
        <vt:i4>8126511</vt:i4>
      </vt:variant>
      <vt:variant>
        <vt:i4>21</vt:i4>
      </vt:variant>
      <vt:variant>
        <vt:i4>0</vt:i4>
      </vt:variant>
      <vt:variant>
        <vt:i4>5</vt:i4>
      </vt:variant>
      <vt:variant>
        <vt:lpwstr>http://www.threerivers.gov.uk/</vt:lpwstr>
      </vt:variant>
      <vt:variant>
        <vt:lpwstr/>
      </vt:variant>
      <vt:variant>
        <vt:i4>3080231</vt:i4>
      </vt:variant>
      <vt:variant>
        <vt:i4>16</vt:i4>
      </vt:variant>
      <vt:variant>
        <vt:i4>0</vt:i4>
      </vt:variant>
      <vt:variant>
        <vt:i4>5</vt:i4>
      </vt:variant>
      <vt:variant>
        <vt:lpwstr>http://www.threerivers.gov.uk/Default.aspx/Web/BudgetMonitoringReports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RESOURCES COMMITTEE - 28 JANUARY 1997</dc:title>
  <dc:creator>Denis Adams</dc:creator>
  <cp:lastModifiedBy>Sarah Haythorpe</cp:lastModifiedBy>
  <cp:revision>45</cp:revision>
  <cp:lastPrinted>2017-01-13T09:28:00Z</cp:lastPrinted>
  <dcterms:created xsi:type="dcterms:W3CDTF">2017-01-11T16:47:00Z</dcterms:created>
  <dcterms:modified xsi:type="dcterms:W3CDTF">2017-01-13T15:24:00Z</dcterms:modified>
</cp:coreProperties>
</file>