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7B" w:rsidRDefault="003E467B" w:rsidP="008A256E">
      <w:pPr>
        <w:ind w:left="-142" w:right="-269"/>
        <w:jc w:val="center"/>
        <w:rPr>
          <w:b/>
        </w:rPr>
      </w:pPr>
    </w:p>
    <w:p w:rsidR="003E467B" w:rsidRDefault="003E467B" w:rsidP="008A256E">
      <w:pPr>
        <w:ind w:left="-142" w:right="-269"/>
        <w:jc w:val="center"/>
        <w:rPr>
          <w:b/>
        </w:rPr>
      </w:pPr>
    </w:p>
    <w:p w:rsidR="008A256E" w:rsidRDefault="00821BA0" w:rsidP="008A256E">
      <w:pPr>
        <w:ind w:left="-142" w:right="-269"/>
        <w:jc w:val="center"/>
        <w:rPr>
          <w:b/>
        </w:rPr>
      </w:pPr>
      <w:r>
        <w:rPr>
          <w:b/>
        </w:rPr>
        <w:t xml:space="preserve">POLICY </w:t>
      </w:r>
      <w:r w:rsidR="0067012B">
        <w:rPr>
          <w:b/>
        </w:rPr>
        <w:t>AND</w:t>
      </w:r>
      <w:r>
        <w:rPr>
          <w:b/>
        </w:rPr>
        <w:t xml:space="preserve"> RESOURCES</w:t>
      </w:r>
      <w:r w:rsidR="00F4144B">
        <w:rPr>
          <w:b/>
        </w:rPr>
        <w:t xml:space="preserve"> COMMITTEE </w:t>
      </w:r>
      <w:r w:rsidR="00A6630B">
        <w:rPr>
          <w:b/>
        </w:rPr>
        <w:t>–</w:t>
      </w:r>
      <w:r w:rsidR="0020606A">
        <w:rPr>
          <w:b/>
        </w:rPr>
        <w:t xml:space="preserve"> </w:t>
      </w:r>
      <w:r w:rsidR="00F949DF">
        <w:rPr>
          <w:b/>
        </w:rPr>
        <w:t>5</w:t>
      </w:r>
      <w:r w:rsidR="0020606A">
        <w:rPr>
          <w:b/>
        </w:rPr>
        <w:t xml:space="preserve"> </w:t>
      </w:r>
      <w:r w:rsidR="00F949DF">
        <w:rPr>
          <w:b/>
        </w:rPr>
        <w:t>DECEMBER</w:t>
      </w:r>
      <w:r w:rsidR="0020606A">
        <w:rPr>
          <w:b/>
        </w:rPr>
        <w:t xml:space="preserve"> </w:t>
      </w:r>
      <w:r w:rsidR="005D4B2F">
        <w:rPr>
          <w:b/>
        </w:rPr>
        <w:t>2016</w:t>
      </w:r>
    </w:p>
    <w:p w:rsidR="0067012B" w:rsidRDefault="0067012B" w:rsidP="008A256E">
      <w:pPr>
        <w:ind w:left="-142" w:right="-269"/>
        <w:jc w:val="center"/>
        <w:rPr>
          <w:b/>
        </w:rPr>
      </w:pPr>
    </w:p>
    <w:p w:rsidR="00F4144B" w:rsidRDefault="00F4144B">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 </w:t>
      </w:r>
      <w:r w:rsidRPr="0070178D">
        <w:rPr>
          <w:b/>
        </w:rPr>
        <w:t>NOT</w:t>
      </w:r>
      <w:r w:rsidRPr="007200AD">
        <w:rPr>
          <w:b/>
        </w:rPr>
        <w:t xml:space="preserve"> DELEGATED</w:t>
      </w:r>
    </w:p>
    <w:p w:rsidR="00FD020F" w:rsidRDefault="00FD020F">
      <w:pPr>
        <w:jc w:val="center"/>
        <w:rPr>
          <w:b/>
        </w:rPr>
      </w:pPr>
    </w:p>
    <w:p w:rsidR="00F4144B" w:rsidRDefault="008C382B">
      <w:pPr>
        <w:keepNext/>
        <w:ind w:left="1267" w:hanging="1267"/>
        <w:rPr>
          <w:b/>
          <w:i/>
          <w:color w:val="008000"/>
        </w:rPr>
      </w:pPr>
      <w:r>
        <w:rPr>
          <w:b/>
        </w:rPr>
        <w:t>8</w:t>
      </w:r>
      <w:r w:rsidR="007F2FA5">
        <w:rPr>
          <w:b/>
        </w:rPr>
        <w:t>.</w:t>
      </w:r>
      <w:r w:rsidR="00F4144B">
        <w:rPr>
          <w:b/>
        </w:rPr>
        <w:fldChar w:fldCharType="begin"/>
      </w:r>
      <w:r w:rsidR="00F4144B">
        <w:rPr>
          <w:b/>
        </w:rPr>
        <w:instrText xml:space="preserve">  </w:instrText>
      </w:r>
      <w:r w:rsidR="00F4144B">
        <w:rPr>
          <w:b/>
        </w:rPr>
        <w:fldChar w:fldCharType="end"/>
      </w:r>
      <w:r w:rsidR="00F4144B">
        <w:rPr>
          <w:b/>
        </w:rPr>
        <w:tab/>
      </w:r>
      <w:r w:rsidR="00A6630B">
        <w:rPr>
          <w:b/>
        </w:rPr>
        <w:t xml:space="preserve">BUDGET MONITORING – </w:t>
      </w:r>
      <w:r w:rsidR="0020606A">
        <w:rPr>
          <w:b/>
        </w:rPr>
        <w:t>MONTH</w:t>
      </w:r>
      <w:r w:rsidR="005D4B2F">
        <w:rPr>
          <w:b/>
        </w:rPr>
        <w:t xml:space="preserve"> </w:t>
      </w:r>
      <w:r w:rsidR="00F949DF">
        <w:rPr>
          <w:b/>
        </w:rPr>
        <w:t>6</w:t>
      </w:r>
      <w:r w:rsidR="005D4B2F">
        <w:rPr>
          <w:b/>
        </w:rPr>
        <w:t xml:space="preserve"> </w:t>
      </w:r>
      <w:r w:rsidR="00A6630B">
        <w:rPr>
          <w:b/>
        </w:rPr>
        <w:t>(</w:t>
      </w:r>
      <w:r w:rsidR="00F949DF">
        <w:rPr>
          <w:b/>
        </w:rPr>
        <w:t>SEPTEMBER</w:t>
      </w:r>
      <w:r w:rsidR="005D4B2F">
        <w:rPr>
          <w:b/>
        </w:rPr>
        <w:t xml:space="preserve"> 2016</w:t>
      </w:r>
      <w:r w:rsidR="00A6630B">
        <w:rPr>
          <w:b/>
        </w:rPr>
        <w:t>)</w:t>
      </w:r>
      <w:r w:rsidR="00F4144B">
        <w:rPr>
          <w:b/>
        </w:rPr>
        <w:fldChar w:fldCharType="begin"/>
      </w:r>
      <w:r w:rsidR="00F4144B">
        <w:rPr>
          <w:b/>
        </w:rPr>
        <w:instrText xml:space="preserve">  </w:instrText>
      </w:r>
      <w:r w:rsidR="00F4144B">
        <w:rPr>
          <w:b/>
        </w:rPr>
        <w:fldChar w:fldCharType="end"/>
      </w:r>
    </w:p>
    <w:p w:rsidR="00F4144B" w:rsidRDefault="00F4144B">
      <w:pPr>
        <w:keepNext/>
        <w:ind w:left="1267" w:hanging="1267"/>
        <w:rPr>
          <w:b/>
          <w:i/>
          <w:color w:val="008000"/>
        </w:rPr>
      </w:pPr>
      <w:r>
        <w:rPr>
          <w:b/>
        </w:rPr>
        <w:tab/>
      </w:r>
      <w:r>
        <w:fldChar w:fldCharType="begin"/>
      </w:r>
      <w:r>
        <w:instrText xml:space="preserve">  </w:instrText>
      </w:r>
      <w:r>
        <w:fldChar w:fldCharType="end"/>
      </w:r>
      <w:r>
        <w:t>(D</w:t>
      </w:r>
      <w:r w:rsidR="005D4B2F">
        <w:t>o</w:t>
      </w:r>
      <w:r w:rsidR="00F0377C">
        <w:t>F</w:t>
      </w:r>
      <w:r>
        <w:t>)</w:t>
      </w:r>
    </w:p>
    <w:p w:rsidR="00F4144B" w:rsidRDefault="00F4144B">
      <w:pPr>
        <w:ind w:left="1260" w:hanging="1260"/>
      </w:pPr>
    </w:p>
    <w:p w:rsidR="00F4144B" w:rsidRDefault="00F4144B">
      <w:pPr>
        <w:keepNext/>
        <w:ind w:left="1267" w:hanging="1267"/>
        <w:rPr>
          <w:b/>
        </w:rPr>
      </w:pPr>
      <w:r>
        <w:t>1.</w:t>
      </w:r>
      <w:r>
        <w:tab/>
      </w:r>
      <w:r>
        <w:rPr>
          <w:b/>
        </w:rPr>
        <w:t>Summary</w:t>
      </w:r>
    </w:p>
    <w:p w:rsidR="00420328" w:rsidRDefault="00420328">
      <w:pPr>
        <w:keepNext/>
        <w:ind w:left="1267" w:hanging="1267"/>
      </w:pPr>
    </w:p>
    <w:p w:rsidR="00420328" w:rsidRDefault="001F2BD4" w:rsidP="00B32E05">
      <w:pPr>
        <w:pStyle w:val="ListParagraph"/>
        <w:keepNext/>
        <w:numPr>
          <w:ilvl w:val="1"/>
          <w:numId w:val="21"/>
        </w:numPr>
        <w:ind w:left="1276" w:hanging="1276"/>
      </w:pPr>
      <w:r>
        <w:t xml:space="preserve">The </w:t>
      </w:r>
      <w:r w:rsidR="00420328">
        <w:t xml:space="preserve">Budget </w:t>
      </w:r>
      <w:r w:rsidR="005E56BF">
        <w:t>m</w:t>
      </w:r>
      <w:r w:rsidR="00420328">
        <w:t>onitoring report is</w:t>
      </w:r>
      <w:r w:rsidR="001712A5">
        <w:t xml:space="preserve"> a key tool in </w:t>
      </w:r>
      <w:r w:rsidR="00BA4783">
        <w:t>scrutinising</w:t>
      </w:r>
      <w:r w:rsidR="00420328">
        <w:t xml:space="preserve"> the </w:t>
      </w:r>
      <w:r w:rsidR="001712A5">
        <w:t xml:space="preserve">Council’s </w:t>
      </w:r>
      <w:r w:rsidR="00420328">
        <w:t xml:space="preserve">financial </w:t>
      </w:r>
      <w:r w:rsidR="001712A5">
        <w:t>performance. It</w:t>
      </w:r>
      <w:r w:rsidR="00420328">
        <w:t xml:space="preserve"> is designed to provide an overview to </w:t>
      </w:r>
      <w:r w:rsidR="001712A5">
        <w:t xml:space="preserve">all </w:t>
      </w:r>
      <w:r w:rsidR="00420328">
        <w:t>relevant stakeholders.</w:t>
      </w:r>
      <w:r w:rsidR="007178AB">
        <w:t xml:space="preserve"> </w:t>
      </w:r>
      <w:r>
        <w:t>It is essential that the C</w:t>
      </w:r>
      <w:r w:rsidR="00420328">
        <w:t>ouncil monitors its budgets throughout the year to ensure that it is meeting its strategic objectives and that corrective action is taken where necessary.</w:t>
      </w:r>
    </w:p>
    <w:p w:rsidR="00F4144B" w:rsidRDefault="00F4144B">
      <w:pPr>
        <w:keepNext/>
        <w:ind w:left="1267" w:hanging="1267"/>
      </w:pPr>
    </w:p>
    <w:p w:rsidR="003D5D0F" w:rsidRDefault="00420328" w:rsidP="00A6630B">
      <w:pPr>
        <w:ind w:left="1267" w:hanging="1267"/>
      </w:pPr>
      <w:r>
        <w:t>1.</w:t>
      </w:r>
      <w:r w:rsidR="00C7077D">
        <w:t>2</w:t>
      </w:r>
      <w:r w:rsidR="00F4144B">
        <w:tab/>
      </w:r>
      <w:r w:rsidR="00A6630B">
        <w:t>This report seeks approval to</w:t>
      </w:r>
      <w:r w:rsidR="002145A5">
        <w:t xml:space="preserve"> a</w:t>
      </w:r>
      <w:r w:rsidR="00A6630B">
        <w:t xml:space="preserve"> change in the</w:t>
      </w:r>
      <w:r w:rsidR="003D5D0F">
        <w:t xml:space="preserve"> Committee’s</w:t>
      </w:r>
      <w:r w:rsidR="00B75474">
        <w:t xml:space="preserve"> 201</w:t>
      </w:r>
      <w:r w:rsidR="00F17085">
        <w:t>6</w:t>
      </w:r>
      <w:r w:rsidR="00B75474">
        <w:t xml:space="preserve"> - 201</w:t>
      </w:r>
      <w:r w:rsidR="00F17085">
        <w:t>9</w:t>
      </w:r>
      <w:r w:rsidR="003D5D0F">
        <w:t xml:space="preserve"> medium</w:t>
      </w:r>
      <w:r w:rsidR="00A6630B">
        <w:t xml:space="preserve">-term </w:t>
      </w:r>
      <w:r w:rsidR="00EF1B00">
        <w:t xml:space="preserve">revenue </w:t>
      </w:r>
      <w:r w:rsidR="00A6630B">
        <w:t xml:space="preserve">financial </w:t>
      </w:r>
      <w:r w:rsidR="0041297B">
        <w:t>plan</w:t>
      </w:r>
      <w:r w:rsidR="00EF1B00">
        <w:t>.</w:t>
      </w:r>
      <w:r w:rsidR="00B32E05">
        <w:t xml:space="preserve"> The report shows the Council’s overall consolidated medium term financial plan for both revenue and capital.</w:t>
      </w:r>
    </w:p>
    <w:p w:rsidR="001342E3" w:rsidRDefault="001342E3" w:rsidP="00A6630B">
      <w:pPr>
        <w:ind w:left="1267" w:hanging="1267"/>
      </w:pPr>
    </w:p>
    <w:p w:rsidR="006E177E" w:rsidRDefault="006E177E" w:rsidP="005C5E36">
      <w:pPr>
        <w:keepNext/>
        <w:numPr>
          <w:ilvl w:val="0"/>
          <w:numId w:val="15"/>
        </w:numPr>
        <w:rPr>
          <w:b/>
        </w:rPr>
      </w:pPr>
      <w:r>
        <w:rPr>
          <w:b/>
        </w:rPr>
        <w:t>Details</w:t>
      </w:r>
    </w:p>
    <w:p w:rsidR="00063A57" w:rsidRDefault="00063A57" w:rsidP="00063A57">
      <w:pPr>
        <w:keepNext/>
        <w:tabs>
          <w:tab w:val="clear" w:pos="1260"/>
        </w:tabs>
        <w:rPr>
          <w:b/>
        </w:rPr>
      </w:pPr>
    </w:p>
    <w:p w:rsidR="00F6577F" w:rsidRDefault="00F6577F" w:rsidP="00F6577F">
      <w:pPr>
        <w:ind w:left="1267" w:hanging="1267"/>
      </w:pPr>
      <w:r>
        <w:t>2.</w:t>
      </w:r>
      <w:r w:rsidR="00064A10">
        <w:t>1</w:t>
      </w:r>
      <w:r>
        <w:tab/>
        <w:t>An overall i</w:t>
      </w:r>
      <w:r w:rsidRPr="004E0CF7">
        <w:t xml:space="preserve">ncrease in </w:t>
      </w:r>
      <w:r>
        <w:t xml:space="preserve">the Council’s </w:t>
      </w:r>
      <w:r w:rsidRPr="004E0CF7">
        <w:t xml:space="preserve">budgets requiring the use of balances must be approved by Council. Virements between </w:t>
      </w:r>
      <w:r>
        <w:t>cost centres within each service</w:t>
      </w:r>
      <w:r w:rsidRPr="004E0CF7">
        <w:t xml:space="preserve"> </w:t>
      </w:r>
      <w:r>
        <w:t>are</w:t>
      </w:r>
      <w:r w:rsidRPr="004E0CF7">
        <w:t xml:space="preserve"> approved by </w:t>
      </w:r>
      <w:r>
        <w:t xml:space="preserve">each committee. </w:t>
      </w:r>
      <w:r w:rsidRPr="004E0CF7">
        <w:t>Virements between service</w:t>
      </w:r>
      <w:r>
        <w:t xml:space="preserve"> committees </w:t>
      </w:r>
      <w:r w:rsidRPr="004E0CF7">
        <w:t>m</w:t>
      </w:r>
      <w:r>
        <w:t>ust</w:t>
      </w:r>
      <w:r w:rsidRPr="004E0CF7">
        <w:t xml:space="preserve"> be approved by </w:t>
      </w:r>
      <w:r>
        <w:t>Council</w:t>
      </w:r>
      <w:r w:rsidRPr="004E0CF7">
        <w:t xml:space="preserve"> along with proposals for the </w:t>
      </w:r>
      <w:r w:rsidRPr="00805D0F">
        <w:t>use of ‘windfall’ income.</w:t>
      </w:r>
    </w:p>
    <w:p w:rsidR="000C1D55" w:rsidRDefault="000C1D55" w:rsidP="006E177E">
      <w:pPr>
        <w:keepNext/>
        <w:ind w:left="1267" w:hanging="1267"/>
      </w:pPr>
    </w:p>
    <w:p w:rsidR="00420328" w:rsidRDefault="009B30AD" w:rsidP="006E177E">
      <w:pPr>
        <w:keepNext/>
        <w:ind w:left="1267" w:hanging="1267"/>
        <w:rPr>
          <w:b/>
          <w:i/>
        </w:rPr>
      </w:pPr>
      <w:r w:rsidRPr="009B30AD">
        <w:t xml:space="preserve">                    </w:t>
      </w:r>
      <w:r w:rsidR="00420328">
        <w:rPr>
          <w:b/>
          <w:i/>
        </w:rPr>
        <w:tab/>
        <w:t>Revenue</w:t>
      </w:r>
    </w:p>
    <w:p w:rsidR="00863115" w:rsidRPr="00863115" w:rsidRDefault="00863115" w:rsidP="006E177E">
      <w:pPr>
        <w:keepNext/>
        <w:ind w:left="1267" w:hanging="1267"/>
        <w:rPr>
          <w:b/>
          <w:i/>
        </w:rPr>
      </w:pPr>
    </w:p>
    <w:p w:rsidR="00D41B6B" w:rsidRDefault="006E177E" w:rsidP="006E632E">
      <w:pPr>
        <w:ind w:left="1267" w:hanging="1267"/>
      </w:pPr>
      <w:r>
        <w:t>2.</w:t>
      </w:r>
      <w:r w:rsidR="00064A10">
        <w:t>2</w:t>
      </w:r>
      <w:r>
        <w:tab/>
      </w:r>
      <w:r w:rsidR="00420328">
        <w:t xml:space="preserve">The </w:t>
      </w:r>
      <w:r w:rsidR="00E52857">
        <w:t xml:space="preserve">original </w:t>
      </w:r>
      <w:r w:rsidR="0080035B">
        <w:t xml:space="preserve">net </w:t>
      </w:r>
      <w:r w:rsidR="008C3FEE">
        <w:t>revenue</w:t>
      </w:r>
      <w:r w:rsidR="0080035B">
        <w:t xml:space="preserve"> </w:t>
      </w:r>
      <w:r w:rsidR="00E52857">
        <w:t>budget</w:t>
      </w:r>
      <w:r w:rsidR="008C3FEE">
        <w:t xml:space="preserve"> for 2016/17 </w:t>
      </w:r>
      <w:r w:rsidR="00DB14F9">
        <w:t>(</w:t>
      </w:r>
      <w:r w:rsidR="00E52857">
        <w:t xml:space="preserve">as approved by </w:t>
      </w:r>
      <w:r w:rsidR="005E56BF">
        <w:t xml:space="preserve">Council </w:t>
      </w:r>
      <w:r w:rsidR="00BD37AD">
        <w:t>in</w:t>
      </w:r>
      <w:r w:rsidR="005E56BF">
        <w:t xml:space="preserve"> February </w:t>
      </w:r>
      <w:r w:rsidR="005E56BF" w:rsidRPr="00C2735E">
        <w:t>2016)</w:t>
      </w:r>
      <w:r w:rsidR="008C3FEE" w:rsidRPr="00C2735E">
        <w:t xml:space="preserve"> was </w:t>
      </w:r>
      <w:r w:rsidR="008C3FEE" w:rsidRPr="00C2735E">
        <w:rPr>
          <w:b/>
        </w:rPr>
        <w:t>£11.78</w:t>
      </w:r>
      <w:r w:rsidR="00FE5B84" w:rsidRPr="00C2735E">
        <w:rPr>
          <w:b/>
        </w:rPr>
        <w:t>2</w:t>
      </w:r>
      <w:r w:rsidR="008C3FEE" w:rsidRPr="00C2735E">
        <w:rPr>
          <w:b/>
        </w:rPr>
        <w:t xml:space="preserve"> </w:t>
      </w:r>
      <w:r w:rsidR="004B6E0C" w:rsidRPr="00C2735E">
        <w:rPr>
          <w:b/>
        </w:rPr>
        <w:t>million</w:t>
      </w:r>
      <w:r w:rsidR="004B6E0C" w:rsidRPr="00C2735E">
        <w:t xml:space="preserve">. </w:t>
      </w:r>
      <w:r w:rsidR="005E56BF" w:rsidRPr="005D52D8">
        <w:t xml:space="preserve">The </w:t>
      </w:r>
      <w:r w:rsidR="00E52857" w:rsidRPr="005D52D8">
        <w:t>latest</w:t>
      </w:r>
      <w:r w:rsidR="005E56BF" w:rsidRPr="005D52D8">
        <w:t xml:space="preserve"> </w:t>
      </w:r>
      <w:r w:rsidR="005D52D8" w:rsidRPr="005D52D8">
        <w:t xml:space="preserve">approved </w:t>
      </w:r>
      <w:r w:rsidR="00E52857" w:rsidRPr="005D52D8">
        <w:t>budget</w:t>
      </w:r>
      <w:r w:rsidR="00FE5B84" w:rsidRPr="005D52D8">
        <w:t xml:space="preserve"> is £</w:t>
      </w:r>
      <w:r w:rsidR="00DE4F82" w:rsidRPr="005D52D8">
        <w:rPr>
          <w:b/>
        </w:rPr>
        <w:t>12.2</w:t>
      </w:r>
      <w:r w:rsidR="005D52D8" w:rsidRPr="005D52D8">
        <w:rPr>
          <w:b/>
        </w:rPr>
        <w:t>20</w:t>
      </w:r>
      <w:r w:rsidR="00FE5B84" w:rsidRPr="005D52D8">
        <w:rPr>
          <w:b/>
        </w:rPr>
        <w:t xml:space="preserve"> million</w:t>
      </w:r>
      <w:r w:rsidR="005D52D8" w:rsidRPr="005D52D8">
        <w:rPr>
          <w:b/>
        </w:rPr>
        <w:t xml:space="preserve">, </w:t>
      </w:r>
      <w:r w:rsidR="005D52D8" w:rsidRPr="005D52D8">
        <w:t>the table below shows the approved changes</w:t>
      </w:r>
      <w:r w:rsidR="00FE5B84" w:rsidRPr="005D52D8">
        <w:t xml:space="preserve"> </w:t>
      </w:r>
      <w:r w:rsidR="005D52D8" w:rsidRPr="005D52D8">
        <w:t xml:space="preserve">to date </w:t>
      </w:r>
      <w:r w:rsidR="00C7077D">
        <w:t>and</w:t>
      </w:r>
      <w:r w:rsidR="005D52D8" w:rsidRPr="005D52D8">
        <w:t xml:space="preserve"> the Quarter 2 variances</w:t>
      </w:r>
      <w:r w:rsidR="00C7077D">
        <w:t xml:space="preserve"> </w:t>
      </w:r>
      <w:r w:rsidR="00D41B6B">
        <w:t xml:space="preserve">reported for this period </w:t>
      </w:r>
      <w:r w:rsidR="00C7077D">
        <w:t xml:space="preserve">to give a forecast outturn of </w:t>
      </w:r>
      <w:r w:rsidR="00C7077D" w:rsidRPr="00C7077D">
        <w:rPr>
          <w:b/>
        </w:rPr>
        <w:t>£12.795 million</w:t>
      </w:r>
      <w:r w:rsidR="005D52D8" w:rsidRPr="005D52D8">
        <w:t>.</w:t>
      </w:r>
      <w:r w:rsidR="00750866" w:rsidRPr="005D52D8">
        <w:t xml:space="preserve">   </w:t>
      </w:r>
    </w:p>
    <w:p w:rsidR="00D41B6B" w:rsidRDefault="00D41B6B" w:rsidP="006E632E">
      <w:pPr>
        <w:ind w:left="1267" w:hanging="1267"/>
      </w:pPr>
      <w:r>
        <w:tab/>
      </w:r>
    </w:p>
    <w:p w:rsidR="00D41B6B" w:rsidRPr="00D41B6B" w:rsidRDefault="00D41B6B" w:rsidP="006E632E">
      <w:pPr>
        <w:ind w:left="1267" w:hanging="1267"/>
        <w:rPr>
          <w:b/>
          <w:i/>
        </w:rPr>
      </w:pPr>
      <w:r>
        <w:tab/>
      </w:r>
      <w:r w:rsidRPr="00D41B6B">
        <w:rPr>
          <w:b/>
          <w:i/>
        </w:rPr>
        <w:t>Service Budgets</w:t>
      </w:r>
      <w:r w:rsidR="00750866" w:rsidRPr="00D41B6B">
        <w:rPr>
          <w:b/>
          <w:i/>
        </w:rPr>
        <w:t xml:space="preserve"> </w:t>
      </w:r>
    </w:p>
    <w:p w:rsidR="00D41B6B" w:rsidRDefault="00D41B6B" w:rsidP="006E632E">
      <w:pPr>
        <w:ind w:left="1267" w:hanging="1267"/>
      </w:pPr>
    </w:p>
    <w:p w:rsidR="00D41B6B" w:rsidRDefault="00D41B6B" w:rsidP="006E632E">
      <w:pPr>
        <w:ind w:left="1267" w:hanging="1267"/>
        <w:rPr>
          <w:b/>
        </w:rPr>
      </w:pPr>
      <w:r>
        <w:t>2.3</w:t>
      </w:r>
      <w:r>
        <w:tab/>
        <w:t xml:space="preserve">After removing other non-service costs (parish precepts and interest earned on investments) and indirect costs (internal recharges, capital financing charges &amp; adjustments under statute) the net original direct revenue budget was set at </w:t>
      </w:r>
      <w:r w:rsidRPr="00746B23">
        <w:rPr>
          <w:b/>
        </w:rPr>
        <w:t>£10.775 million</w:t>
      </w:r>
      <w:r>
        <w:t xml:space="preserve"> and the latest approved </w:t>
      </w:r>
      <w:r w:rsidRPr="00746B23">
        <w:rPr>
          <w:b/>
        </w:rPr>
        <w:t>£11.</w:t>
      </w:r>
      <w:r>
        <w:rPr>
          <w:b/>
        </w:rPr>
        <w:t xml:space="preserve">212 </w:t>
      </w:r>
      <w:r w:rsidRPr="00746B23">
        <w:rPr>
          <w:b/>
        </w:rPr>
        <w:t>million</w:t>
      </w:r>
      <w:r>
        <w:t xml:space="preserve">. </w:t>
      </w:r>
      <w:r w:rsidRPr="00631890">
        <w:t xml:space="preserve">The forecast outturn is now estimated to be </w:t>
      </w:r>
      <w:r w:rsidRPr="00631890">
        <w:rPr>
          <w:b/>
        </w:rPr>
        <w:t>£11.</w:t>
      </w:r>
      <w:r>
        <w:rPr>
          <w:b/>
        </w:rPr>
        <w:t>669</w:t>
      </w:r>
      <w:r w:rsidRPr="00631890">
        <w:rPr>
          <w:b/>
        </w:rPr>
        <w:t xml:space="preserve"> million</w:t>
      </w:r>
      <w:r w:rsidRPr="00631890">
        <w:t xml:space="preserve"> </w:t>
      </w:r>
      <w:r>
        <w:t xml:space="preserve">(the actual to date is </w:t>
      </w:r>
      <w:r w:rsidRPr="00F37DFB">
        <w:rPr>
          <w:b/>
        </w:rPr>
        <w:t>£3.</w:t>
      </w:r>
      <w:r>
        <w:rPr>
          <w:b/>
        </w:rPr>
        <w:t>733</w:t>
      </w:r>
      <w:r w:rsidRPr="00F37DFB">
        <w:rPr>
          <w:b/>
        </w:rPr>
        <w:t xml:space="preserve"> million</w:t>
      </w:r>
      <w:r>
        <w:t xml:space="preserve">) </w:t>
      </w:r>
      <w:r w:rsidRPr="00631890">
        <w:t>which results in a</w:t>
      </w:r>
      <w:r>
        <w:t>n</w:t>
      </w:r>
      <w:r w:rsidRPr="00631890">
        <w:t xml:space="preserve"> </w:t>
      </w:r>
      <w:r>
        <w:t>un</w:t>
      </w:r>
      <w:r w:rsidRPr="00631890">
        <w:t xml:space="preserve">favourable variance of </w:t>
      </w:r>
      <w:r w:rsidRPr="00631890">
        <w:rPr>
          <w:b/>
        </w:rPr>
        <w:t>£0.</w:t>
      </w:r>
      <w:r>
        <w:rPr>
          <w:b/>
        </w:rPr>
        <w:t>457</w:t>
      </w:r>
      <w:r w:rsidRPr="00631890">
        <w:rPr>
          <w:b/>
        </w:rPr>
        <w:t xml:space="preserve"> million</w:t>
      </w:r>
      <w:r>
        <w:rPr>
          <w:b/>
        </w:rPr>
        <w:t>.</w:t>
      </w:r>
    </w:p>
    <w:p w:rsidR="00D41B6B" w:rsidRDefault="00D41B6B" w:rsidP="006E632E">
      <w:pPr>
        <w:ind w:left="1267" w:hanging="1267"/>
        <w:rPr>
          <w:b/>
        </w:rPr>
      </w:pPr>
    </w:p>
    <w:p w:rsidR="00F6577F" w:rsidRPr="005D52D8" w:rsidRDefault="00D41B6B" w:rsidP="006E632E">
      <w:pPr>
        <w:ind w:left="1267" w:hanging="1267"/>
      </w:pPr>
      <w:r w:rsidRPr="00D41B6B">
        <w:t>2.4</w:t>
      </w:r>
      <w:r>
        <w:tab/>
      </w:r>
      <w:r w:rsidRPr="00536687">
        <w:t>In addition</w:t>
      </w:r>
      <w:r>
        <w:t xml:space="preserve"> there is a variance of investment interest of </w:t>
      </w:r>
      <w:r>
        <w:rPr>
          <w:b/>
        </w:rPr>
        <w:t>£0.118 million</w:t>
      </w:r>
      <w:r w:rsidRPr="00631890">
        <w:rPr>
          <w:b/>
        </w:rPr>
        <w:t>.</w:t>
      </w:r>
      <w:r>
        <w:rPr>
          <w:b/>
        </w:rPr>
        <w:t xml:space="preserve"> </w:t>
      </w:r>
      <w:r>
        <w:t xml:space="preserve">This now gives a total variance to the revenue account of </w:t>
      </w:r>
      <w:r w:rsidRPr="00372730">
        <w:rPr>
          <w:b/>
        </w:rPr>
        <w:t>£0.575 million.</w:t>
      </w:r>
      <w:r w:rsidR="00750866" w:rsidRPr="005D52D8">
        <w:t xml:space="preserve"> </w:t>
      </w:r>
    </w:p>
    <w:p w:rsidR="00D07D07" w:rsidRDefault="00D07D07" w:rsidP="006E632E">
      <w:pPr>
        <w:ind w:left="1267" w:hanging="1267"/>
      </w:pPr>
    </w:p>
    <w:tbl>
      <w:tblPr>
        <w:tblStyle w:val="TableGrid"/>
        <w:tblW w:w="0" w:type="auto"/>
        <w:tblInd w:w="1384" w:type="dxa"/>
        <w:tblLook w:val="04A0" w:firstRow="1" w:lastRow="0" w:firstColumn="1" w:lastColumn="0" w:noHBand="0" w:noVBand="1"/>
      </w:tblPr>
      <w:tblGrid>
        <w:gridCol w:w="7229"/>
        <w:gridCol w:w="1276"/>
      </w:tblGrid>
      <w:tr w:rsidR="00BC5D5A" w:rsidTr="00C7077D">
        <w:trPr>
          <w:trHeight w:val="601"/>
        </w:trPr>
        <w:tc>
          <w:tcPr>
            <w:tcW w:w="7229" w:type="dxa"/>
            <w:vAlign w:val="center"/>
          </w:tcPr>
          <w:p w:rsidR="008E6BA7" w:rsidRPr="008E6BA7" w:rsidRDefault="008E6BA7" w:rsidP="008E6BA7">
            <w:pPr>
              <w:jc w:val="center"/>
              <w:rPr>
                <w:b/>
              </w:rPr>
            </w:pPr>
            <w:r>
              <w:rPr>
                <w:b/>
              </w:rPr>
              <w:t xml:space="preserve">Net Revenue </w:t>
            </w:r>
            <w:r w:rsidRPr="008E6BA7">
              <w:rPr>
                <w:b/>
              </w:rPr>
              <w:t>Budget</w:t>
            </w:r>
            <w:r>
              <w:rPr>
                <w:b/>
              </w:rPr>
              <w:t xml:space="preserve"> 2016/17</w:t>
            </w:r>
          </w:p>
        </w:tc>
        <w:tc>
          <w:tcPr>
            <w:tcW w:w="1276" w:type="dxa"/>
            <w:vAlign w:val="center"/>
          </w:tcPr>
          <w:p w:rsidR="00BC5D5A" w:rsidRPr="008E6BA7" w:rsidRDefault="00BC5D5A" w:rsidP="008E6BA7">
            <w:pPr>
              <w:jc w:val="center"/>
              <w:rPr>
                <w:b/>
              </w:rPr>
            </w:pPr>
            <w:r w:rsidRPr="008E6BA7">
              <w:rPr>
                <w:b/>
              </w:rPr>
              <w:t>£</w:t>
            </w:r>
            <w:r w:rsidR="008E6BA7">
              <w:rPr>
                <w:b/>
              </w:rPr>
              <w:t>000</w:t>
            </w:r>
          </w:p>
        </w:tc>
      </w:tr>
      <w:tr w:rsidR="00BC5D5A" w:rsidTr="00CF1FC1">
        <w:trPr>
          <w:trHeight w:val="412"/>
        </w:trPr>
        <w:tc>
          <w:tcPr>
            <w:tcW w:w="7229" w:type="dxa"/>
            <w:vAlign w:val="center"/>
          </w:tcPr>
          <w:p w:rsidR="00BC5D5A" w:rsidRPr="008E6BA7" w:rsidRDefault="00BC5D5A" w:rsidP="008E6BA7">
            <w:pPr>
              <w:jc w:val="left"/>
              <w:rPr>
                <w:b/>
              </w:rPr>
            </w:pPr>
            <w:r w:rsidRPr="008E6BA7">
              <w:rPr>
                <w:b/>
              </w:rPr>
              <w:t>Original Net Revenue Budget</w:t>
            </w:r>
          </w:p>
        </w:tc>
        <w:tc>
          <w:tcPr>
            <w:tcW w:w="1276" w:type="dxa"/>
            <w:vAlign w:val="center"/>
          </w:tcPr>
          <w:p w:rsidR="00BC5D5A" w:rsidRDefault="00BC5D5A" w:rsidP="00CF1FC1">
            <w:pPr>
              <w:jc w:val="right"/>
            </w:pPr>
            <w:r w:rsidRPr="00BC5D5A">
              <w:rPr>
                <w:b/>
              </w:rPr>
              <w:t>11.782</w:t>
            </w:r>
          </w:p>
        </w:tc>
      </w:tr>
      <w:tr w:rsidR="00BC5D5A" w:rsidTr="00CF1FC1">
        <w:trPr>
          <w:trHeight w:val="417"/>
        </w:trPr>
        <w:tc>
          <w:tcPr>
            <w:tcW w:w="7229" w:type="dxa"/>
            <w:vAlign w:val="center"/>
          </w:tcPr>
          <w:p w:rsidR="00BC5D5A" w:rsidRDefault="00CF1FC1" w:rsidP="00CF1FC1">
            <w:pPr>
              <w:jc w:val="left"/>
            </w:pPr>
            <w:r>
              <w:t>Variances Previously Reported</w:t>
            </w:r>
          </w:p>
        </w:tc>
        <w:tc>
          <w:tcPr>
            <w:tcW w:w="1276" w:type="dxa"/>
            <w:vAlign w:val="center"/>
          </w:tcPr>
          <w:p w:rsidR="00BC5D5A" w:rsidRDefault="00BC5D5A" w:rsidP="00CF1FC1">
            <w:pPr>
              <w:jc w:val="right"/>
            </w:pPr>
          </w:p>
        </w:tc>
      </w:tr>
      <w:tr w:rsidR="00BC5D5A" w:rsidTr="00CF1FC1">
        <w:trPr>
          <w:trHeight w:val="409"/>
        </w:trPr>
        <w:tc>
          <w:tcPr>
            <w:tcW w:w="7229" w:type="dxa"/>
            <w:vAlign w:val="center"/>
          </w:tcPr>
          <w:p w:rsidR="00BC5D5A" w:rsidRDefault="00BC5D5A" w:rsidP="0029366B">
            <w:pPr>
              <w:jc w:val="left"/>
            </w:pPr>
            <w:r>
              <w:t>Quarter 1</w:t>
            </w:r>
            <w:r w:rsidR="00CF1FC1">
              <w:t xml:space="preserve"> – Period 3 (End of June)</w:t>
            </w:r>
          </w:p>
        </w:tc>
        <w:tc>
          <w:tcPr>
            <w:tcW w:w="1276" w:type="dxa"/>
            <w:vAlign w:val="center"/>
          </w:tcPr>
          <w:p w:rsidR="00BC5D5A" w:rsidRDefault="00BC5D5A" w:rsidP="00CF1FC1">
            <w:pPr>
              <w:jc w:val="right"/>
            </w:pPr>
            <w:r>
              <w:t>0.</w:t>
            </w:r>
            <w:r w:rsidR="00CF1FC1">
              <w:t>483</w:t>
            </w:r>
          </w:p>
        </w:tc>
      </w:tr>
      <w:tr w:rsidR="00BC5D5A" w:rsidTr="00CF1FC1">
        <w:trPr>
          <w:trHeight w:val="429"/>
        </w:trPr>
        <w:tc>
          <w:tcPr>
            <w:tcW w:w="7229" w:type="dxa"/>
            <w:vAlign w:val="center"/>
          </w:tcPr>
          <w:p w:rsidR="00BC5D5A" w:rsidRDefault="00BC5D5A" w:rsidP="0029366B">
            <w:pPr>
              <w:jc w:val="left"/>
            </w:pPr>
            <w:r>
              <w:t>Period 4</w:t>
            </w:r>
            <w:r w:rsidR="00CF1FC1">
              <w:t xml:space="preserve">  (End of July) </w:t>
            </w:r>
          </w:p>
        </w:tc>
        <w:tc>
          <w:tcPr>
            <w:tcW w:w="1276" w:type="dxa"/>
            <w:vAlign w:val="center"/>
          </w:tcPr>
          <w:p w:rsidR="00BC5D5A" w:rsidRDefault="00BC5D5A" w:rsidP="008E6BA7">
            <w:pPr>
              <w:jc w:val="right"/>
            </w:pPr>
            <w:r>
              <w:t>(0.045)</w:t>
            </w:r>
          </w:p>
        </w:tc>
      </w:tr>
      <w:tr w:rsidR="00BC5D5A" w:rsidTr="00CF1FC1">
        <w:trPr>
          <w:trHeight w:val="408"/>
        </w:trPr>
        <w:tc>
          <w:tcPr>
            <w:tcW w:w="7229" w:type="dxa"/>
            <w:vAlign w:val="center"/>
          </w:tcPr>
          <w:p w:rsidR="00BC5D5A" w:rsidRPr="008E6BA7" w:rsidRDefault="00BC5D5A" w:rsidP="008E6BA7">
            <w:pPr>
              <w:jc w:val="left"/>
              <w:rPr>
                <w:b/>
              </w:rPr>
            </w:pPr>
            <w:r w:rsidRPr="008E6BA7">
              <w:rPr>
                <w:b/>
              </w:rPr>
              <w:t>La</w:t>
            </w:r>
            <w:r w:rsidR="008E6BA7" w:rsidRPr="008E6BA7">
              <w:rPr>
                <w:b/>
              </w:rPr>
              <w:t>t</w:t>
            </w:r>
            <w:r w:rsidRPr="008E6BA7">
              <w:rPr>
                <w:b/>
              </w:rPr>
              <w:t>est Approved Budget</w:t>
            </w:r>
          </w:p>
        </w:tc>
        <w:tc>
          <w:tcPr>
            <w:tcW w:w="1276" w:type="dxa"/>
            <w:vAlign w:val="center"/>
          </w:tcPr>
          <w:p w:rsidR="00BC5D5A" w:rsidRPr="00BC5D5A" w:rsidRDefault="00BC5D5A" w:rsidP="008E6BA7">
            <w:pPr>
              <w:jc w:val="right"/>
              <w:rPr>
                <w:b/>
              </w:rPr>
            </w:pPr>
            <w:r w:rsidRPr="00BC5D5A">
              <w:rPr>
                <w:b/>
              </w:rPr>
              <w:t>12.220</w:t>
            </w:r>
          </w:p>
        </w:tc>
      </w:tr>
      <w:tr w:rsidR="00BC5D5A" w:rsidTr="001E0765">
        <w:trPr>
          <w:trHeight w:val="419"/>
        </w:trPr>
        <w:tc>
          <w:tcPr>
            <w:tcW w:w="7229" w:type="dxa"/>
            <w:vAlign w:val="center"/>
          </w:tcPr>
          <w:p w:rsidR="00BC5D5A" w:rsidRDefault="00857A9A" w:rsidP="00857A9A">
            <w:pPr>
              <w:jc w:val="left"/>
            </w:pPr>
            <w:r>
              <w:t xml:space="preserve">Variances Reported This Period  </w:t>
            </w:r>
            <w:r w:rsidR="008D6205">
              <w:t>Quarter 2 – Period 6 (End of Sept)</w:t>
            </w:r>
          </w:p>
        </w:tc>
        <w:tc>
          <w:tcPr>
            <w:tcW w:w="1276" w:type="dxa"/>
            <w:vAlign w:val="center"/>
          </w:tcPr>
          <w:p w:rsidR="00BC5D5A" w:rsidRDefault="00BC5D5A" w:rsidP="008D6205">
            <w:pPr>
              <w:jc w:val="right"/>
            </w:pPr>
            <w:r>
              <w:t>0.</w:t>
            </w:r>
            <w:r w:rsidR="007D6B10">
              <w:t>5</w:t>
            </w:r>
            <w:r>
              <w:t>7</w:t>
            </w:r>
            <w:r w:rsidR="008D6205">
              <w:t>5</w:t>
            </w:r>
          </w:p>
        </w:tc>
      </w:tr>
      <w:tr w:rsidR="00BC5D5A" w:rsidTr="00CF1FC1">
        <w:trPr>
          <w:trHeight w:val="408"/>
        </w:trPr>
        <w:tc>
          <w:tcPr>
            <w:tcW w:w="7229" w:type="dxa"/>
            <w:vAlign w:val="center"/>
          </w:tcPr>
          <w:p w:rsidR="00BC5D5A" w:rsidRPr="008E6BA7" w:rsidRDefault="00BC5D5A" w:rsidP="008E6BA7">
            <w:pPr>
              <w:jc w:val="left"/>
              <w:rPr>
                <w:b/>
              </w:rPr>
            </w:pPr>
            <w:r w:rsidRPr="008E6BA7">
              <w:rPr>
                <w:b/>
              </w:rPr>
              <w:lastRenderedPageBreak/>
              <w:t>Forecast O</w:t>
            </w:r>
            <w:r w:rsidR="008E6BA7" w:rsidRPr="008E6BA7">
              <w:rPr>
                <w:b/>
              </w:rPr>
              <w:t>u</w:t>
            </w:r>
            <w:r w:rsidRPr="008E6BA7">
              <w:rPr>
                <w:b/>
              </w:rPr>
              <w:t>tturn</w:t>
            </w:r>
          </w:p>
        </w:tc>
        <w:tc>
          <w:tcPr>
            <w:tcW w:w="1276" w:type="dxa"/>
            <w:vAlign w:val="center"/>
          </w:tcPr>
          <w:p w:rsidR="00BC5D5A" w:rsidRPr="00BC5D5A" w:rsidRDefault="00BC5D5A" w:rsidP="00127CB5">
            <w:pPr>
              <w:jc w:val="right"/>
              <w:rPr>
                <w:b/>
              </w:rPr>
            </w:pPr>
            <w:r w:rsidRPr="00BC5D5A">
              <w:rPr>
                <w:b/>
              </w:rPr>
              <w:t>12.</w:t>
            </w:r>
            <w:r w:rsidR="00127CB5">
              <w:rPr>
                <w:b/>
              </w:rPr>
              <w:t>795</w:t>
            </w:r>
          </w:p>
        </w:tc>
      </w:tr>
    </w:tbl>
    <w:p w:rsidR="00750866" w:rsidRDefault="00750866" w:rsidP="006E632E">
      <w:pPr>
        <w:ind w:left="1267" w:hanging="1267"/>
      </w:pPr>
    </w:p>
    <w:p w:rsidR="00B32E05" w:rsidRDefault="00B32E05" w:rsidP="006E632E">
      <w:pPr>
        <w:ind w:left="1267" w:hanging="1267"/>
      </w:pPr>
    </w:p>
    <w:p w:rsidR="00B32E05" w:rsidRPr="006A2B17" w:rsidRDefault="006A2B17" w:rsidP="006A2B17">
      <w:pPr>
        <w:pStyle w:val="ListParagraph"/>
        <w:numPr>
          <w:ilvl w:val="1"/>
          <w:numId w:val="15"/>
        </w:numPr>
        <w:ind w:left="1276" w:hanging="1276"/>
        <w:rPr>
          <w:rFonts w:cs="Arial"/>
          <w:szCs w:val="22"/>
        </w:rPr>
      </w:pPr>
      <w:r>
        <w:rPr>
          <w:rFonts w:cs="Arial"/>
          <w:szCs w:val="22"/>
        </w:rPr>
        <w:t xml:space="preserve"> </w:t>
      </w:r>
      <w:r>
        <w:rPr>
          <w:rFonts w:cs="Arial"/>
          <w:szCs w:val="22"/>
        </w:rPr>
        <w:tab/>
      </w:r>
      <w:r w:rsidR="00B32E05" w:rsidRPr="006A2B17">
        <w:rPr>
          <w:rFonts w:cs="Arial"/>
          <w:szCs w:val="22"/>
        </w:rPr>
        <w:t xml:space="preserve">The main variances that contribute to </w:t>
      </w:r>
      <w:r w:rsidR="00305D4A" w:rsidRPr="006A2B17">
        <w:rPr>
          <w:rFonts w:cs="Arial"/>
          <w:szCs w:val="22"/>
        </w:rPr>
        <w:t xml:space="preserve">this </w:t>
      </w:r>
      <w:r w:rsidR="00B32E05" w:rsidRPr="006A2B17">
        <w:rPr>
          <w:rFonts w:cs="Arial"/>
          <w:szCs w:val="22"/>
        </w:rPr>
        <w:t>are;</w:t>
      </w:r>
    </w:p>
    <w:p w:rsidR="006A2B17" w:rsidRPr="006A2B17" w:rsidRDefault="006A2B17" w:rsidP="006634A9">
      <w:pPr>
        <w:pStyle w:val="ListParagraph"/>
        <w:ind w:left="1985" w:hanging="709"/>
        <w:rPr>
          <w:rFonts w:cs="Arial"/>
          <w:szCs w:val="22"/>
        </w:rPr>
      </w:pPr>
    </w:p>
    <w:p w:rsidR="00A05A0E" w:rsidRDefault="006634A9" w:rsidP="006634A9">
      <w:pPr>
        <w:pStyle w:val="ListParagraph"/>
        <w:numPr>
          <w:ilvl w:val="0"/>
          <w:numId w:val="30"/>
        </w:numPr>
        <w:tabs>
          <w:tab w:val="clear" w:pos="1980"/>
          <w:tab w:val="clear" w:pos="2700"/>
          <w:tab w:val="left" w:pos="1985"/>
        </w:tabs>
        <w:ind w:left="1985" w:hanging="709"/>
      </w:pPr>
      <w:r>
        <w:t>T</w:t>
      </w:r>
      <w:r w:rsidRPr="003A26F3">
        <w:t>he net increase in Homelessness of £310,000</w:t>
      </w:r>
      <w:r>
        <w:t xml:space="preserve"> for the provision of emergency </w:t>
      </w:r>
      <w:r w:rsidRPr="003A26F3">
        <w:t xml:space="preserve">housing. There has been a growth in the numbers of homeless families and the length of stay in temporary accommodation, because of the shortage of available housing. There is limited temporary accommodation within the district and the Council has to hire expensive nightly let accommodation, </w:t>
      </w:r>
      <w:r>
        <w:t>predominantly</w:t>
      </w:r>
      <w:r w:rsidRPr="003A26F3">
        <w:t xml:space="preserve"> outside the district</w:t>
      </w:r>
      <w:r>
        <w:t>. This is not unique to TRDC as other neighbouring authorities are also experiencing a budget pressure in temporary accommodation. At this stage it is envisaged that this budget pressure will continue into future years. The Council’s Property Services are currently investigating ways of easing the pressure by providing temporary accommodation in a less expensive way.</w:t>
      </w:r>
      <w:r w:rsidR="00630D79">
        <w:t xml:space="preserve"> Approval has been given (Policy and Resources Committee meeting 8 November 2016</w:t>
      </w:r>
      <w:r w:rsidR="00AA6ADC">
        <w:t xml:space="preserve">) </w:t>
      </w:r>
      <w:r w:rsidR="00630D79">
        <w:t xml:space="preserve">to provide temporary accommodation on the WRVS site. This involves a capital outlay of £1.180 million, which is estimated to reduce the cost of temporary accommodation placements by £200,000 each year and increase the net rental stream by £140,000 each year.  </w:t>
      </w:r>
      <w:r w:rsidR="009A3898">
        <w:t xml:space="preserve"> It is hoped that these units will be available for use in the second half of 2017/18.</w:t>
      </w:r>
    </w:p>
    <w:p w:rsidR="006634A9" w:rsidRPr="006634A9" w:rsidRDefault="006634A9" w:rsidP="006634A9">
      <w:pPr>
        <w:ind w:left="852"/>
        <w:rPr>
          <w:rFonts w:cs="Arial"/>
          <w:b/>
          <w:szCs w:val="22"/>
          <w:highlight w:val="yellow"/>
        </w:rPr>
      </w:pPr>
    </w:p>
    <w:p w:rsidR="00B32E05" w:rsidRPr="00BD2BDD" w:rsidRDefault="006634A9" w:rsidP="008C0458">
      <w:pPr>
        <w:pStyle w:val="ListParagraph"/>
        <w:numPr>
          <w:ilvl w:val="0"/>
          <w:numId w:val="22"/>
        </w:numPr>
        <w:tabs>
          <w:tab w:val="clear" w:pos="1260"/>
          <w:tab w:val="clear" w:pos="1980"/>
          <w:tab w:val="left" w:pos="1985"/>
        </w:tabs>
        <w:ind w:left="1985" w:hanging="709"/>
        <w:rPr>
          <w:rFonts w:cs="Arial"/>
          <w:b/>
          <w:szCs w:val="22"/>
        </w:rPr>
      </w:pPr>
      <w:r>
        <w:rPr>
          <w:rFonts w:cs="Arial"/>
          <w:szCs w:val="22"/>
        </w:rPr>
        <w:t xml:space="preserve">The reduction in garages rent income of </w:t>
      </w:r>
      <w:r w:rsidR="006A2B17" w:rsidRPr="006A2B17">
        <w:rPr>
          <w:rFonts w:cs="Arial"/>
          <w:szCs w:val="22"/>
        </w:rPr>
        <w:t>£</w:t>
      </w:r>
      <w:r>
        <w:rPr>
          <w:rFonts w:cs="Arial"/>
          <w:szCs w:val="22"/>
        </w:rPr>
        <w:t>94</w:t>
      </w:r>
      <w:r w:rsidR="006A2B17" w:rsidRPr="006A2B17">
        <w:rPr>
          <w:rFonts w:cs="Arial"/>
          <w:szCs w:val="22"/>
        </w:rPr>
        <w:t>,000</w:t>
      </w:r>
      <w:r>
        <w:rPr>
          <w:rFonts w:cs="Arial"/>
          <w:szCs w:val="22"/>
        </w:rPr>
        <w:t xml:space="preserve"> due to an increase in void garages </w:t>
      </w:r>
      <w:r w:rsidR="00C7077D">
        <w:rPr>
          <w:rFonts w:cs="Arial"/>
          <w:szCs w:val="22"/>
        </w:rPr>
        <w:t>caused by</w:t>
      </w:r>
      <w:r>
        <w:rPr>
          <w:rFonts w:cs="Arial"/>
          <w:szCs w:val="22"/>
        </w:rPr>
        <w:t xml:space="preserve"> refurbishment</w:t>
      </w:r>
      <w:r w:rsidR="00C7077D">
        <w:rPr>
          <w:rFonts w:cs="Arial"/>
          <w:szCs w:val="22"/>
        </w:rPr>
        <w:t xml:space="preserve"> work</w:t>
      </w:r>
      <w:r>
        <w:rPr>
          <w:rFonts w:cs="Arial"/>
          <w:szCs w:val="22"/>
        </w:rPr>
        <w:t>s and some garages being difficult to let</w:t>
      </w:r>
      <w:r w:rsidR="00DC2F15" w:rsidRPr="006A2B17">
        <w:rPr>
          <w:rFonts w:cs="Arial"/>
          <w:szCs w:val="22"/>
        </w:rPr>
        <w:t>.</w:t>
      </w:r>
      <w:r w:rsidR="003306E0">
        <w:rPr>
          <w:rFonts w:cs="Arial"/>
          <w:szCs w:val="22"/>
        </w:rPr>
        <w:t xml:space="preserve"> Officers are exploring ways of being more proactive in promoting garage rental in the future.  </w:t>
      </w:r>
    </w:p>
    <w:p w:rsidR="00BD2BDD" w:rsidRPr="00BD2BDD" w:rsidRDefault="00BD2BDD" w:rsidP="00BD2BDD">
      <w:pPr>
        <w:tabs>
          <w:tab w:val="clear" w:pos="1260"/>
          <w:tab w:val="clear" w:pos="1980"/>
          <w:tab w:val="left" w:pos="1985"/>
        </w:tabs>
        <w:rPr>
          <w:rFonts w:cs="Arial"/>
          <w:szCs w:val="22"/>
        </w:rPr>
      </w:pPr>
    </w:p>
    <w:p w:rsidR="00BD2BDD" w:rsidRPr="00BD2BDD" w:rsidRDefault="00BD2BDD" w:rsidP="00BD2BDD">
      <w:pPr>
        <w:pStyle w:val="ListParagraph"/>
        <w:numPr>
          <w:ilvl w:val="0"/>
          <w:numId w:val="22"/>
        </w:numPr>
        <w:tabs>
          <w:tab w:val="clear" w:pos="1260"/>
          <w:tab w:val="clear" w:pos="1980"/>
          <w:tab w:val="clear" w:pos="2700"/>
          <w:tab w:val="clear" w:pos="3420"/>
        </w:tabs>
        <w:ind w:left="1985" w:hanging="709"/>
        <w:rPr>
          <w:rFonts w:cs="Arial"/>
          <w:szCs w:val="22"/>
        </w:rPr>
      </w:pPr>
      <w:r w:rsidRPr="00BD2BDD">
        <w:rPr>
          <w:rFonts w:cs="Arial"/>
          <w:szCs w:val="22"/>
        </w:rPr>
        <w:t xml:space="preserve">The </w:t>
      </w:r>
      <w:r>
        <w:rPr>
          <w:rFonts w:cs="Arial"/>
          <w:szCs w:val="22"/>
        </w:rPr>
        <w:t xml:space="preserve">reduction in </w:t>
      </w:r>
      <w:r w:rsidR="00DB5DC6">
        <w:rPr>
          <w:rFonts w:cs="Arial"/>
          <w:szCs w:val="22"/>
        </w:rPr>
        <w:t xml:space="preserve">investment </w:t>
      </w:r>
      <w:r>
        <w:rPr>
          <w:rFonts w:cs="Arial"/>
          <w:szCs w:val="22"/>
        </w:rPr>
        <w:t>interest income of £1</w:t>
      </w:r>
      <w:r w:rsidR="007E40F8">
        <w:rPr>
          <w:rFonts w:cs="Arial"/>
          <w:szCs w:val="22"/>
        </w:rPr>
        <w:t>1</w:t>
      </w:r>
      <w:r>
        <w:rPr>
          <w:rFonts w:cs="Arial"/>
          <w:szCs w:val="22"/>
        </w:rPr>
        <w:t xml:space="preserve">8,000 </w:t>
      </w:r>
      <w:r w:rsidR="00DB5DC6">
        <w:rPr>
          <w:rFonts w:cs="Arial"/>
          <w:szCs w:val="22"/>
        </w:rPr>
        <w:t xml:space="preserve">due to the </w:t>
      </w:r>
      <w:r w:rsidR="00D252A0">
        <w:rPr>
          <w:rFonts w:cs="Arial"/>
          <w:szCs w:val="22"/>
        </w:rPr>
        <w:t>drop in the Bank base rate and the low returns available</w:t>
      </w:r>
      <w:r w:rsidR="00DB5DC6">
        <w:rPr>
          <w:rFonts w:cs="Arial"/>
          <w:szCs w:val="22"/>
        </w:rPr>
        <w:t>.</w:t>
      </w:r>
    </w:p>
    <w:p w:rsidR="00DC2F15" w:rsidRDefault="00DC2F15" w:rsidP="00DC2F15">
      <w:pPr>
        <w:pStyle w:val="ListParagraph"/>
        <w:rPr>
          <w:rFonts w:cs="Arial"/>
          <w:b/>
          <w:szCs w:val="22"/>
        </w:rPr>
      </w:pPr>
    </w:p>
    <w:p w:rsidR="006A2B17" w:rsidRPr="00B32E05" w:rsidRDefault="00B32E05" w:rsidP="00DC2F15">
      <w:pPr>
        <w:ind w:firstLine="1276"/>
        <w:rPr>
          <w:rFonts w:cs="Arial"/>
          <w:b/>
          <w:szCs w:val="22"/>
        </w:rPr>
      </w:pPr>
      <w:r w:rsidRPr="00B32E05">
        <w:rPr>
          <w:rFonts w:cs="Arial"/>
          <w:szCs w:val="22"/>
        </w:rPr>
        <w:t xml:space="preserve">The details of all variances are shown at </w:t>
      </w:r>
      <w:r w:rsidRPr="00B32E05">
        <w:rPr>
          <w:rFonts w:cs="Arial"/>
          <w:b/>
          <w:szCs w:val="22"/>
        </w:rPr>
        <w:t>Appendix 2.</w:t>
      </w:r>
    </w:p>
    <w:p w:rsidR="005A1A4C" w:rsidRDefault="005A1A4C" w:rsidP="006E632E">
      <w:pPr>
        <w:ind w:left="1267" w:hanging="1267"/>
      </w:pPr>
    </w:p>
    <w:p w:rsidR="00325194" w:rsidRDefault="00F4341A" w:rsidP="006E632E">
      <w:pPr>
        <w:ind w:left="1267" w:hanging="1267"/>
      </w:pPr>
      <w:r>
        <w:t>2.</w:t>
      </w:r>
      <w:r w:rsidR="00064A10">
        <w:t>6</w:t>
      </w:r>
      <w:r w:rsidR="00CD3615">
        <w:tab/>
        <w:t xml:space="preserve">The table below shows the net </w:t>
      </w:r>
      <w:r w:rsidR="00DD486A">
        <w:t>direct expenditure (</w:t>
      </w:r>
      <w:r w:rsidR="00CB2CA2">
        <w:t>service</w:t>
      </w:r>
      <w:r w:rsidR="00DD486A">
        <w:t xml:space="preserve"> costs) budgets, forecast outturn and variance for each </w:t>
      </w:r>
      <w:r w:rsidR="00D34C39">
        <w:t>s</w:t>
      </w:r>
      <w:r w:rsidR="00DD486A">
        <w:t>e</w:t>
      </w:r>
      <w:r w:rsidR="00AB5497">
        <w:t xml:space="preserve">rvice </w:t>
      </w:r>
      <w:r w:rsidR="00D34C39">
        <w:t>c</w:t>
      </w:r>
      <w:r w:rsidR="00AB5497">
        <w:t>ommittee</w:t>
      </w:r>
      <w:r w:rsidR="00DD486A">
        <w:t>.</w:t>
      </w:r>
    </w:p>
    <w:p w:rsidR="00DD486A" w:rsidRPr="00B16B34" w:rsidRDefault="00DD486A" w:rsidP="006E632E">
      <w:pPr>
        <w:ind w:left="1267" w:hanging="1267"/>
        <w:rPr>
          <w:rFonts w:cs="Arial"/>
          <w:szCs w:val="22"/>
        </w:rPr>
      </w:pPr>
    </w:p>
    <w:tbl>
      <w:tblPr>
        <w:tblW w:w="8930" w:type="dxa"/>
        <w:tblInd w:w="1384" w:type="dxa"/>
        <w:tblLayout w:type="fixed"/>
        <w:tblLook w:val="04A0" w:firstRow="1" w:lastRow="0" w:firstColumn="1" w:lastColumn="0" w:noHBand="0" w:noVBand="1"/>
      </w:tblPr>
      <w:tblGrid>
        <w:gridCol w:w="2977"/>
        <w:gridCol w:w="1276"/>
        <w:gridCol w:w="1134"/>
        <w:gridCol w:w="1134"/>
        <w:gridCol w:w="1134"/>
        <w:gridCol w:w="1275"/>
      </w:tblGrid>
      <w:tr w:rsidR="006634A9" w:rsidRPr="008C45E6" w:rsidTr="00A516D7">
        <w:trPr>
          <w:trHeight w:val="293"/>
        </w:trPr>
        <w:tc>
          <w:tcPr>
            <w:tcW w:w="8930" w:type="dxa"/>
            <w:gridSpan w:val="6"/>
            <w:vMerge w:val="restart"/>
            <w:tcBorders>
              <w:top w:val="single" w:sz="4" w:space="0" w:color="auto"/>
              <w:left w:val="single" w:sz="4" w:space="0" w:color="auto"/>
              <w:bottom w:val="nil"/>
              <w:right w:val="single" w:sz="4" w:space="0" w:color="000000"/>
            </w:tcBorders>
            <w:vAlign w:val="center"/>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2016/17 Revenue  Account – General Fund Summary</w:t>
            </w:r>
          </w:p>
        </w:tc>
      </w:tr>
      <w:tr w:rsidR="006634A9" w:rsidRPr="008C45E6" w:rsidTr="00A516D7">
        <w:trPr>
          <w:trHeight w:val="293"/>
        </w:trPr>
        <w:tc>
          <w:tcPr>
            <w:tcW w:w="8930" w:type="dxa"/>
            <w:gridSpan w:val="6"/>
            <w:vMerge/>
            <w:tcBorders>
              <w:top w:val="single" w:sz="4" w:space="0" w:color="auto"/>
              <w:left w:val="single" w:sz="4" w:space="0" w:color="auto"/>
              <w:bottom w:val="nil"/>
              <w:right w:val="single" w:sz="4" w:space="0" w:color="000000"/>
            </w:tcBorders>
            <w:vAlign w:val="center"/>
            <w:hideMark/>
          </w:tcPr>
          <w:p w:rsidR="006634A9" w:rsidRPr="008C45E6" w:rsidRDefault="006634A9" w:rsidP="008C45E6">
            <w:pPr>
              <w:tabs>
                <w:tab w:val="clear" w:pos="1260"/>
                <w:tab w:val="clear" w:pos="1980"/>
                <w:tab w:val="clear" w:pos="2700"/>
                <w:tab w:val="clear" w:pos="3420"/>
              </w:tabs>
              <w:jc w:val="left"/>
              <w:rPr>
                <w:rFonts w:cs="Arial"/>
                <w:b/>
                <w:bCs/>
                <w:szCs w:val="22"/>
              </w:rPr>
            </w:pPr>
          </w:p>
        </w:tc>
      </w:tr>
      <w:tr w:rsidR="00A516D7" w:rsidRPr="008C45E6" w:rsidTr="00A516D7">
        <w:trPr>
          <w:trHeight w:val="945"/>
        </w:trPr>
        <w:tc>
          <w:tcPr>
            <w:tcW w:w="29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Service Area</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Original Budget</w:t>
            </w:r>
          </w:p>
        </w:tc>
        <w:tc>
          <w:tcPr>
            <w:tcW w:w="1134" w:type="dxa"/>
            <w:tcBorders>
              <w:top w:val="single" w:sz="4" w:space="0" w:color="auto"/>
              <w:left w:val="nil"/>
              <w:bottom w:val="nil"/>
              <w:right w:val="single" w:sz="4" w:space="0" w:color="auto"/>
            </w:tcBorders>
            <w:shd w:val="clear" w:color="auto" w:fill="auto"/>
            <w:vAlign w:val="center"/>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Latest Budget </w:t>
            </w:r>
          </w:p>
        </w:tc>
        <w:tc>
          <w:tcPr>
            <w:tcW w:w="1134" w:type="dxa"/>
            <w:tcBorders>
              <w:top w:val="single" w:sz="4" w:space="0" w:color="auto"/>
              <w:left w:val="nil"/>
              <w:bottom w:val="nil"/>
              <w:right w:val="single" w:sz="4" w:space="0" w:color="auto"/>
            </w:tcBorders>
          </w:tcPr>
          <w:p w:rsidR="006634A9" w:rsidRDefault="006634A9" w:rsidP="008C45E6">
            <w:pPr>
              <w:tabs>
                <w:tab w:val="clear" w:pos="1260"/>
                <w:tab w:val="clear" w:pos="1980"/>
                <w:tab w:val="clear" w:pos="2700"/>
                <w:tab w:val="clear" w:pos="3420"/>
              </w:tabs>
              <w:jc w:val="center"/>
              <w:rPr>
                <w:rFonts w:cs="Arial"/>
                <w:b/>
                <w:bCs/>
                <w:szCs w:val="22"/>
              </w:rPr>
            </w:pPr>
          </w:p>
          <w:p w:rsidR="00C03B4D" w:rsidRDefault="00C03B4D" w:rsidP="008C45E6">
            <w:pPr>
              <w:tabs>
                <w:tab w:val="clear" w:pos="1260"/>
                <w:tab w:val="clear" w:pos="1980"/>
                <w:tab w:val="clear" w:pos="2700"/>
                <w:tab w:val="clear" w:pos="3420"/>
              </w:tabs>
              <w:jc w:val="center"/>
              <w:rPr>
                <w:rFonts w:cs="Arial"/>
                <w:b/>
                <w:bCs/>
                <w:szCs w:val="22"/>
              </w:rPr>
            </w:pPr>
            <w:r>
              <w:rPr>
                <w:rFonts w:cs="Arial"/>
                <w:b/>
                <w:bCs/>
                <w:szCs w:val="22"/>
              </w:rPr>
              <w:t>Actuals</w:t>
            </w:r>
          </w:p>
          <w:p w:rsidR="00A516D7" w:rsidRDefault="00C03B4D" w:rsidP="008C45E6">
            <w:pPr>
              <w:tabs>
                <w:tab w:val="clear" w:pos="1260"/>
                <w:tab w:val="clear" w:pos="1980"/>
                <w:tab w:val="clear" w:pos="2700"/>
                <w:tab w:val="clear" w:pos="3420"/>
              </w:tabs>
              <w:jc w:val="center"/>
              <w:rPr>
                <w:rFonts w:cs="Arial"/>
                <w:b/>
                <w:bCs/>
                <w:szCs w:val="22"/>
              </w:rPr>
            </w:pPr>
            <w:r>
              <w:rPr>
                <w:rFonts w:cs="Arial"/>
                <w:b/>
                <w:bCs/>
                <w:szCs w:val="22"/>
              </w:rPr>
              <w:t xml:space="preserve">To </w:t>
            </w:r>
          </w:p>
          <w:p w:rsidR="00C03B4D" w:rsidRDefault="00A516D7" w:rsidP="008C45E6">
            <w:pPr>
              <w:tabs>
                <w:tab w:val="clear" w:pos="1260"/>
                <w:tab w:val="clear" w:pos="1980"/>
                <w:tab w:val="clear" w:pos="2700"/>
                <w:tab w:val="clear" w:pos="3420"/>
              </w:tabs>
              <w:jc w:val="center"/>
              <w:rPr>
                <w:rFonts w:cs="Arial"/>
                <w:b/>
                <w:bCs/>
                <w:szCs w:val="22"/>
              </w:rPr>
            </w:pPr>
            <w:r>
              <w:rPr>
                <w:rFonts w:cs="Arial"/>
                <w:b/>
                <w:bCs/>
                <w:szCs w:val="22"/>
              </w:rPr>
              <w:t>Period 6</w:t>
            </w:r>
          </w:p>
          <w:p w:rsidR="00C03B4D" w:rsidRPr="00E83BD7" w:rsidRDefault="00C03B4D" w:rsidP="008C45E6">
            <w:pPr>
              <w:tabs>
                <w:tab w:val="clear" w:pos="1260"/>
                <w:tab w:val="clear" w:pos="1980"/>
                <w:tab w:val="clear" w:pos="2700"/>
                <w:tab w:val="clear" w:pos="3420"/>
              </w:tabs>
              <w:jc w:val="center"/>
              <w:rPr>
                <w:rFonts w:cs="Arial"/>
                <w:b/>
                <w:bCs/>
                <w:szCs w:val="22"/>
              </w:rPr>
            </w:pP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6634A9" w:rsidRPr="00E83BD7" w:rsidRDefault="006634A9" w:rsidP="008C45E6">
            <w:pPr>
              <w:tabs>
                <w:tab w:val="clear" w:pos="1260"/>
                <w:tab w:val="clear" w:pos="1980"/>
                <w:tab w:val="clear" w:pos="2700"/>
                <w:tab w:val="clear" w:pos="3420"/>
              </w:tabs>
              <w:jc w:val="center"/>
              <w:rPr>
                <w:rFonts w:cs="Arial"/>
                <w:b/>
                <w:bCs/>
                <w:szCs w:val="22"/>
              </w:rPr>
            </w:pPr>
            <w:r w:rsidRPr="00E83BD7">
              <w:rPr>
                <w:rFonts w:cs="Arial"/>
                <w:b/>
                <w:bCs/>
                <w:szCs w:val="22"/>
              </w:rPr>
              <w:t xml:space="preserve"> Outturn </w:t>
            </w:r>
          </w:p>
        </w:tc>
        <w:tc>
          <w:tcPr>
            <w:tcW w:w="1275" w:type="dxa"/>
            <w:tcBorders>
              <w:top w:val="single" w:sz="4" w:space="0" w:color="auto"/>
              <w:left w:val="nil"/>
              <w:bottom w:val="nil"/>
              <w:right w:val="single" w:sz="4" w:space="0" w:color="auto"/>
            </w:tcBorders>
            <w:shd w:val="clear" w:color="auto" w:fill="auto"/>
            <w:vAlign w:val="center"/>
            <w:hideMark/>
          </w:tcPr>
          <w:p w:rsidR="006634A9" w:rsidRPr="00E83BD7" w:rsidRDefault="006634A9" w:rsidP="008C45E6">
            <w:pPr>
              <w:tabs>
                <w:tab w:val="clear" w:pos="1260"/>
                <w:tab w:val="clear" w:pos="1980"/>
                <w:tab w:val="clear" w:pos="2700"/>
                <w:tab w:val="clear" w:pos="3420"/>
              </w:tabs>
              <w:jc w:val="center"/>
              <w:rPr>
                <w:rFonts w:cs="Arial"/>
                <w:b/>
                <w:bCs/>
                <w:szCs w:val="22"/>
              </w:rPr>
            </w:pPr>
            <w:r w:rsidRPr="00E83BD7">
              <w:rPr>
                <w:rFonts w:cs="Arial"/>
                <w:b/>
                <w:bCs/>
                <w:szCs w:val="22"/>
              </w:rPr>
              <w:t xml:space="preserve"> Variance </w:t>
            </w:r>
          </w:p>
        </w:tc>
      </w:tr>
      <w:tr w:rsidR="00A516D7" w:rsidRPr="008C45E6" w:rsidTr="00A516D7">
        <w:trPr>
          <w:trHeight w:val="91"/>
        </w:trPr>
        <w:tc>
          <w:tcPr>
            <w:tcW w:w="2977" w:type="dxa"/>
            <w:vMerge/>
            <w:tcBorders>
              <w:top w:val="single" w:sz="4" w:space="0" w:color="auto"/>
              <w:left w:val="single" w:sz="4" w:space="0" w:color="auto"/>
              <w:bottom w:val="single" w:sz="4" w:space="0" w:color="000000"/>
              <w:right w:val="nil"/>
            </w:tcBorders>
            <w:vAlign w:val="center"/>
            <w:hideMark/>
          </w:tcPr>
          <w:p w:rsidR="006634A9" w:rsidRPr="008C45E6" w:rsidRDefault="006634A9" w:rsidP="008C45E6">
            <w:pPr>
              <w:tabs>
                <w:tab w:val="clear" w:pos="1260"/>
                <w:tab w:val="clear" w:pos="1980"/>
                <w:tab w:val="clear" w:pos="2700"/>
                <w:tab w:val="clear" w:pos="3420"/>
              </w:tabs>
              <w:jc w:val="left"/>
              <w:rPr>
                <w:rFonts w:cs="Arial"/>
                <w:b/>
                <w:bCs/>
                <w:szCs w:val="22"/>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6634A9" w:rsidRPr="008C45E6" w:rsidRDefault="006634A9"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single" w:sz="4" w:space="0" w:color="auto"/>
            </w:tcBorders>
          </w:tcPr>
          <w:p w:rsidR="00C03B4D" w:rsidRPr="00E83BD7" w:rsidRDefault="00C03B4D" w:rsidP="00C03B4D">
            <w:pPr>
              <w:tabs>
                <w:tab w:val="clear" w:pos="1260"/>
                <w:tab w:val="clear" w:pos="1980"/>
                <w:tab w:val="clear" w:pos="2700"/>
                <w:tab w:val="clear" w:pos="3420"/>
              </w:tabs>
              <w:jc w:val="center"/>
              <w:rPr>
                <w:rFonts w:cs="Arial"/>
                <w:b/>
                <w:bCs/>
                <w:szCs w:val="22"/>
              </w:rPr>
            </w:pPr>
            <w:r>
              <w:rPr>
                <w:rFonts w:cs="Arial"/>
                <w:b/>
                <w:bCs/>
                <w:szCs w:val="22"/>
              </w:rPr>
              <w:t>£000</w:t>
            </w:r>
          </w:p>
        </w:tc>
        <w:tc>
          <w:tcPr>
            <w:tcW w:w="1134" w:type="dxa"/>
            <w:tcBorders>
              <w:top w:val="nil"/>
              <w:left w:val="single" w:sz="4" w:space="0" w:color="auto"/>
              <w:bottom w:val="single" w:sz="4" w:space="0" w:color="auto"/>
              <w:right w:val="nil"/>
            </w:tcBorders>
            <w:shd w:val="clear" w:color="auto" w:fill="auto"/>
            <w:noWrap/>
            <w:vAlign w:val="bottom"/>
            <w:hideMark/>
          </w:tcPr>
          <w:p w:rsidR="006634A9" w:rsidRPr="00E83BD7" w:rsidRDefault="006634A9" w:rsidP="008C45E6">
            <w:pPr>
              <w:tabs>
                <w:tab w:val="clear" w:pos="1260"/>
                <w:tab w:val="clear" w:pos="1980"/>
                <w:tab w:val="clear" w:pos="2700"/>
                <w:tab w:val="clear" w:pos="3420"/>
              </w:tabs>
              <w:jc w:val="center"/>
              <w:rPr>
                <w:rFonts w:cs="Arial"/>
                <w:b/>
                <w:bCs/>
                <w:szCs w:val="22"/>
              </w:rPr>
            </w:pPr>
            <w:r w:rsidRPr="00E83BD7">
              <w:rPr>
                <w:rFonts w:cs="Arial"/>
                <w:b/>
                <w:bCs/>
                <w:szCs w:val="22"/>
              </w:rPr>
              <w:t xml:space="preserve"> £000 </w:t>
            </w:r>
          </w:p>
        </w:tc>
        <w:tc>
          <w:tcPr>
            <w:tcW w:w="1275" w:type="dxa"/>
            <w:tcBorders>
              <w:top w:val="nil"/>
              <w:left w:val="single" w:sz="4" w:space="0" w:color="auto"/>
              <w:bottom w:val="nil"/>
              <w:right w:val="single" w:sz="4" w:space="0" w:color="auto"/>
            </w:tcBorders>
            <w:shd w:val="clear" w:color="auto" w:fill="auto"/>
            <w:noWrap/>
            <w:vAlign w:val="bottom"/>
            <w:hideMark/>
          </w:tcPr>
          <w:p w:rsidR="006634A9" w:rsidRPr="00E83BD7" w:rsidRDefault="006634A9" w:rsidP="008C45E6">
            <w:pPr>
              <w:tabs>
                <w:tab w:val="clear" w:pos="1260"/>
                <w:tab w:val="clear" w:pos="1980"/>
                <w:tab w:val="clear" w:pos="2700"/>
                <w:tab w:val="clear" w:pos="3420"/>
              </w:tabs>
              <w:jc w:val="center"/>
              <w:rPr>
                <w:rFonts w:cs="Arial"/>
                <w:b/>
                <w:bCs/>
                <w:szCs w:val="22"/>
              </w:rPr>
            </w:pPr>
            <w:r w:rsidRPr="00E83BD7">
              <w:rPr>
                <w:rFonts w:cs="Arial"/>
                <w:b/>
                <w:bCs/>
                <w:szCs w:val="22"/>
              </w:rPr>
              <w:t xml:space="preserve"> £000 </w:t>
            </w:r>
          </w:p>
        </w:tc>
      </w:tr>
      <w:tr w:rsidR="00A516D7" w:rsidRPr="008C45E6" w:rsidTr="00E70EE6">
        <w:trPr>
          <w:trHeight w:val="300"/>
        </w:trPr>
        <w:tc>
          <w:tcPr>
            <w:tcW w:w="2977" w:type="dxa"/>
            <w:tcBorders>
              <w:top w:val="nil"/>
              <w:left w:val="single" w:sz="4" w:space="0" w:color="auto"/>
              <w:bottom w:val="nil"/>
              <w:right w:val="nil"/>
            </w:tcBorders>
            <w:shd w:val="clear" w:color="auto" w:fill="auto"/>
            <w:noWrap/>
            <w:vAlign w:val="center"/>
            <w:hideMark/>
          </w:tcPr>
          <w:p w:rsidR="006634A9" w:rsidRPr="008C45E6" w:rsidRDefault="006634A9" w:rsidP="00172723">
            <w:pPr>
              <w:tabs>
                <w:tab w:val="clear" w:pos="1260"/>
                <w:tab w:val="clear" w:pos="1980"/>
                <w:tab w:val="clear" w:pos="2700"/>
                <w:tab w:val="clear" w:pos="3420"/>
              </w:tabs>
              <w:jc w:val="left"/>
              <w:rPr>
                <w:rFonts w:cs="Arial"/>
                <w:szCs w:val="22"/>
              </w:rPr>
            </w:pPr>
            <w:r w:rsidRPr="008C45E6">
              <w:rPr>
                <w:rFonts w:cs="Arial"/>
                <w:szCs w:val="22"/>
              </w:rPr>
              <w:t>Leisure, Wellbeing &amp; Health</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8C45E6" w:rsidRDefault="006634A9" w:rsidP="008C45E6">
            <w:pPr>
              <w:tabs>
                <w:tab w:val="clear" w:pos="1260"/>
                <w:tab w:val="clear" w:pos="1980"/>
                <w:tab w:val="clear" w:pos="2700"/>
                <w:tab w:val="clear" w:pos="3420"/>
              </w:tabs>
              <w:jc w:val="right"/>
              <w:rPr>
                <w:rFonts w:cs="Arial"/>
                <w:szCs w:val="22"/>
              </w:rPr>
            </w:pPr>
            <w:r>
              <w:rPr>
                <w:rFonts w:cs="Arial"/>
                <w:szCs w:val="22"/>
              </w:rPr>
              <w:t>2,339</w:t>
            </w:r>
            <w:r w:rsidRPr="008C45E6">
              <w:rPr>
                <w:rFonts w:cs="Arial"/>
                <w:szCs w:val="22"/>
              </w:rPr>
              <w:t xml:space="preserve"> </w:t>
            </w:r>
          </w:p>
        </w:tc>
        <w:tc>
          <w:tcPr>
            <w:tcW w:w="1134" w:type="dxa"/>
            <w:tcBorders>
              <w:top w:val="nil"/>
              <w:left w:val="nil"/>
              <w:bottom w:val="nil"/>
              <w:right w:val="single" w:sz="4" w:space="0" w:color="auto"/>
            </w:tcBorders>
            <w:shd w:val="clear" w:color="auto" w:fill="auto"/>
            <w:noWrap/>
            <w:vAlign w:val="center"/>
            <w:hideMark/>
          </w:tcPr>
          <w:p w:rsidR="006634A9" w:rsidRPr="008C45E6" w:rsidRDefault="006634A9" w:rsidP="00660427">
            <w:pPr>
              <w:tabs>
                <w:tab w:val="clear" w:pos="1260"/>
                <w:tab w:val="clear" w:pos="1980"/>
                <w:tab w:val="clear" w:pos="2700"/>
                <w:tab w:val="clear" w:pos="3420"/>
              </w:tabs>
              <w:jc w:val="right"/>
              <w:rPr>
                <w:rFonts w:cs="Arial"/>
                <w:szCs w:val="22"/>
              </w:rPr>
            </w:pPr>
            <w:r>
              <w:rPr>
                <w:rFonts w:cs="Arial"/>
                <w:szCs w:val="22"/>
              </w:rPr>
              <w:t>2,281</w:t>
            </w:r>
          </w:p>
        </w:tc>
        <w:tc>
          <w:tcPr>
            <w:tcW w:w="1134" w:type="dxa"/>
            <w:tcBorders>
              <w:top w:val="nil"/>
              <w:left w:val="nil"/>
              <w:bottom w:val="nil"/>
              <w:right w:val="single" w:sz="4" w:space="0" w:color="auto"/>
            </w:tcBorders>
            <w:vAlign w:val="center"/>
          </w:tcPr>
          <w:p w:rsidR="006634A9" w:rsidRPr="00E83BD7" w:rsidRDefault="00E70EE6" w:rsidP="00E70EE6">
            <w:pPr>
              <w:tabs>
                <w:tab w:val="clear" w:pos="1260"/>
                <w:tab w:val="clear" w:pos="1980"/>
                <w:tab w:val="clear" w:pos="2700"/>
                <w:tab w:val="clear" w:pos="3420"/>
              </w:tabs>
              <w:jc w:val="right"/>
              <w:rPr>
                <w:rFonts w:cs="Arial"/>
                <w:szCs w:val="22"/>
              </w:rPr>
            </w:pPr>
            <w:r>
              <w:rPr>
                <w:rFonts w:cs="Arial"/>
                <w:szCs w:val="22"/>
              </w:rPr>
              <w:t>694</w:t>
            </w:r>
          </w:p>
        </w:tc>
        <w:tc>
          <w:tcPr>
            <w:tcW w:w="1134" w:type="dxa"/>
            <w:tcBorders>
              <w:top w:val="nil"/>
              <w:left w:val="single" w:sz="4" w:space="0" w:color="auto"/>
              <w:bottom w:val="nil"/>
              <w:right w:val="nil"/>
            </w:tcBorders>
            <w:shd w:val="clear" w:color="auto" w:fill="auto"/>
            <w:noWrap/>
            <w:vAlign w:val="center"/>
            <w:hideMark/>
          </w:tcPr>
          <w:p w:rsidR="006634A9" w:rsidRPr="00E83BD7" w:rsidRDefault="006634A9" w:rsidP="008C45E6">
            <w:pPr>
              <w:tabs>
                <w:tab w:val="clear" w:pos="1260"/>
                <w:tab w:val="clear" w:pos="1980"/>
                <w:tab w:val="clear" w:pos="2700"/>
                <w:tab w:val="clear" w:pos="3420"/>
              </w:tabs>
              <w:jc w:val="right"/>
              <w:rPr>
                <w:rFonts w:cs="Arial"/>
                <w:szCs w:val="22"/>
              </w:rPr>
            </w:pPr>
            <w:r w:rsidRPr="00E83BD7">
              <w:rPr>
                <w:rFonts w:cs="Arial"/>
                <w:szCs w:val="22"/>
              </w:rPr>
              <w:t>2,271</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6634A9" w:rsidRPr="00E83BD7" w:rsidRDefault="006634A9" w:rsidP="00E70EE6">
            <w:pPr>
              <w:tabs>
                <w:tab w:val="clear" w:pos="1260"/>
                <w:tab w:val="clear" w:pos="1980"/>
                <w:tab w:val="clear" w:pos="2700"/>
                <w:tab w:val="clear" w:pos="3420"/>
              </w:tabs>
              <w:jc w:val="right"/>
              <w:rPr>
                <w:rFonts w:cs="Arial"/>
                <w:szCs w:val="22"/>
              </w:rPr>
            </w:pPr>
            <w:r w:rsidRPr="00E83BD7">
              <w:rPr>
                <w:rFonts w:cs="Arial"/>
                <w:szCs w:val="22"/>
              </w:rPr>
              <w:t>(1</w:t>
            </w:r>
            <w:r w:rsidR="00E70EE6">
              <w:rPr>
                <w:rFonts w:cs="Arial"/>
                <w:szCs w:val="22"/>
              </w:rPr>
              <w:t>0</w:t>
            </w:r>
            <w:r w:rsidRPr="00E83BD7">
              <w:rPr>
                <w:rFonts w:cs="Arial"/>
                <w:szCs w:val="22"/>
              </w:rPr>
              <w:t>)</w:t>
            </w:r>
          </w:p>
        </w:tc>
      </w:tr>
      <w:tr w:rsidR="00A516D7" w:rsidRPr="008C45E6" w:rsidTr="00641034">
        <w:trPr>
          <w:trHeight w:val="300"/>
        </w:trPr>
        <w:tc>
          <w:tcPr>
            <w:tcW w:w="2977" w:type="dxa"/>
            <w:tcBorders>
              <w:top w:val="nil"/>
              <w:left w:val="single" w:sz="4" w:space="0" w:color="auto"/>
              <w:bottom w:val="nil"/>
              <w:right w:val="nil"/>
            </w:tcBorders>
            <w:shd w:val="clear" w:color="auto" w:fill="auto"/>
            <w:noWrap/>
            <w:vAlign w:val="center"/>
            <w:hideMark/>
          </w:tcPr>
          <w:p w:rsidR="00E70EE6" w:rsidRDefault="006634A9" w:rsidP="008C45E6">
            <w:pPr>
              <w:tabs>
                <w:tab w:val="clear" w:pos="1260"/>
                <w:tab w:val="clear" w:pos="1980"/>
                <w:tab w:val="clear" w:pos="2700"/>
                <w:tab w:val="clear" w:pos="3420"/>
              </w:tabs>
              <w:jc w:val="left"/>
              <w:rPr>
                <w:rFonts w:cs="Arial"/>
                <w:szCs w:val="22"/>
              </w:rPr>
            </w:pPr>
            <w:r w:rsidRPr="008C45E6">
              <w:rPr>
                <w:rFonts w:cs="Arial"/>
                <w:szCs w:val="22"/>
              </w:rPr>
              <w:t xml:space="preserve">Sustainable Development, </w:t>
            </w:r>
          </w:p>
          <w:p w:rsidR="006634A9" w:rsidRPr="008C45E6" w:rsidRDefault="006634A9" w:rsidP="008C45E6">
            <w:pPr>
              <w:tabs>
                <w:tab w:val="clear" w:pos="1260"/>
                <w:tab w:val="clear" w:pos="1980"/>
                <w:tab w:val="clear" w:pos="2700"/>
                <w:tab w:val="clear" w:pos="3420"/>
              </w:tabs>
              <w:jc w:val="left"/>
              <w:rPr>
                <w:rFonts w:cs="Arial"/>
                <w:szCs w:val="22"/>
              </w:rPr>
            </w:pPr>
            <w:r w:rsidRPr="008C45E6">
              <w:rPr>
                <w:rFonts w:cs="Arial"/>
                <w:szCs w:val="22"/>
              </w:rPr>
              <w:t>Planning &amp; Transport</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8C45E6" w:rsidRDefault="006634A9" w:rsidP="00641034">
            <w:pPr>
              <w:tabs>
                <w:tab w:val="clear" w:pos="1260"/>
                <w:tab w:val="clear" w:pos="1980"/>
                <w:tab w:val="clear" w:pos="2700"/>
                <w:tab w:val="clear" w:pos="3420"/>
              </w:tabs>
              <w:jc w:val="right"/>
              <w:rPr>
                <w:rFonts w:cs="Arial"/>
                <w:szCs w:val="22"/>
              </w:rPr>
            </w:pPr>
            <w:r>
              <w:rPr>
                <w:rFonts w:cs="Arial"/>
                <w:szCs w:val="22"/>
              </w:rPr>
              <w:t>1,649</w:t>
            </w:r>
          </w:p>
        </w:tc>
        <w:tc>
          <w:tcPr>
            <w:tcW w:w="1134" w:type="dxa"/>
            <w:tcBorders>
              <w:top w:val="nil"/>
              <w:left w:val="nil"/>
              <w:bottom w:val="nil"/>
              <w:right w:val="single" w:sz="4" w:space="0" w:color="auto"/>
            </w:tcBorders>
            <w:shd w:val="clear" w:color="auto" w:fill="auto"/>
            <w:noWrap/>
            <w:vAlign w:val="center"/>
            <w:hideMark/>
          </w:tcPr>
          <w:p w:rsidR="006634A9" w:rsidRPr="008C45E6" w:rsidRDefault="006634A9" w:rsidP="00641034">
            <w:pPr>
              <w:tabs>
                <w:tab w:val="clear" w:pos="1260"/>
                <w:tab w:val="clear" w:pos="1980"/>
                <w:tab w:val="clear" w:pos="2700"/>
                <w:tab w:val="clear" w:pos="3420"/>
              </w:tabs>
              <w:jc w:val="right"/>
              <w:rPr>
                <w:rFonts w:cs="Arial"/>
                <w:szCs w:val="22"/>
              </w:rPr>
            </w:pPr>
            <w:r>
              <w:rPr>
                <w:rFonts w:cs="Arial"/>
                <w:szCs w:val="22"/>
              </w:rPr>
              <w:t>1,711</w:t>
            </w:r>
          </w:p>
        </w:tc>
        <w:tc>
          <w:tcPr>
            <w:tcW w:w="1134" w:type="dxa"/>
            <w:tcBorders>
              <w:top w:val="nil"/>
              <w:left w:val="nil"/>
              <w:bottom w:val="nil"/>
              <w:right w:val="single" w:sz="4" w:space="0" w:color="auto"/>
            </w:tcBorders>
            <w:vAlign w:val="center"/>
          </w:tcPr>
          <w:p w:rsidR="006634A9" w:rsidRPr="00E83BD7" w:rsidRDefault="00E70EE6" w:rsidP="00641034">
            <w:pPr>
              <w:tabs>
                <w:tab w:val="clear" w:pos="1260"/>
                <w:tab w:val="clear" w:pos="1980"/>
                <w:tab w:val="clear" w:pos="2700"/>
                <w:tab w:val="clear" w:pos="3420"/>
              </w:tabs>
              <w:jc w:val="right"/>
              <w:rPr>
                <w:rFonts w:cs="Arial"/>
                <w:szCs w:val="22"/>
              </w:rPr>
            </w:pPr>
            <w:r>
              <w:rPr>
                <w:rFonts w:cs="Arial"/>
                <w:szCs w:val="22"/>
              </w:rPr>
              <w:t>589</w:t>
            </w:r>
          </w:p>
        </w:tc>
        <w:tc>
          <w:tcPr>
            <w:tcW w:w="1134" w:type="dxa"/>
            <w:tcBorders>
              <w:top w:val="nil"/>
              <w:left w:val="single" w:sz="4" w:space="0" w:color="auto"/>
              <w:bottom w:val="nil"/>
              <w:right w:val="nil"/>
            </w:tcBorders>
            <w:shd w:val="clear" w:color="auto" w:fill="auto"/>
            <w:noWrap/>
            <w:vAlign w:val="center"/>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2,043</w:t>
            </w:r>
          </w:p>
        </w:tc>
        <w:tc>
          <w:tcPr>
            <w:tcW w:w="1275" w:type="dxa"/>
            <w:tcBorders>
              <w:top w:val="nil"/>
              <w:left w:val="single" w:sz="4" w:space="0" w:color="auto"/>
              <w:bottom w:val="nil"/>
              <w:right w:val="single" w:sz="4" w:space="0" w:color="auto"/>
            </w:tcBorders>
            <w:shd w:val="clear" w:color="auto" w:fill="auto"/>
            <w:noWrap/>
            <w:vAlign w:val="center"/>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332</w:t>
            </w:r>
          </w:p>
        </w:tc>
      </w:tr>
      <w:tr w:rsidR="00A516D7" w:rsidRPr="008C45E6" w:rsidTr="00641034">
        <w:trPr>
          <w:trHeight w:val="300"/>
        </w:trPr>
        <w:tc>
          <w:tcPr>
            <w:tcW w:w="2977" w:type="dxa"/>
            <w:tcBorders>
              <w:top w:val="nil"/>
              <w:left w:val="single" w:sz="4" w:space="0" w:color="auto"/>
              <w:bottom w:val="nil"/>
              <w:right w:val="nil"/>
            </w:tcBorders>
            <w:shd w:val="clear" w:color="auto" w:fill="auto"/>
            <w:noWrap/>
            <w:vAlign w:val="center"/>
            <w:hideMark/>
          </w:tcPr>
          <w:p w:rsidR="006634A9" w:rsidRPr="008C45E6" w:rsidRDefault="006634A9" w:rsidP="00641034">
            <w:pPr>
              <w:tabs>
                <w:tab w:val="clear" w:pos="1260"/>
                <w:tab w:val="clear" w:pos="1980"/>
                <w:tab w:val="clear" w:pos="2700"/>
                <w:tab w:val="clear" w:pos="3420"/>
              </w:tabs>
              <w:jc w:val="left"/>
              <w:rPr>
                <w:rFonts w:cs="Arial"/>
                <w:szCs w:val="22"/>
              </w:rPr>
            </w:pPr>
            <w:r w:rsidRPr="008C45E6">
              <w:rPr>
                <w:rFonts w:cs="Arial"/>
                <w:szCs w:val="22"/>
              </w:rPr>
              <w:t xml:space="preserve">General Public Services &amp; </w:t>
            </w:r>
            <w:r w:rsidR="00641034">
              <w:rPr>
                <w:rFonts w:cs="Arial"/>
                <w:szCs w:val="22"/>
              </w:rPr>
              <w:t>C</w:t>
            </w:r>
            <w:r w:rsidRPr="008C45E6">
              <w:rPr>
                <w:rFonts w:cs="Arial"/>
                <w:szCs w:val="22"/>
              </w:rPr>
              <w:t>ommunity Safety</w:t>
            </w:r>
          </w:p>
        </w:tc>
        <w:tc>
          <w:tcPr>
            <w:tcW w:w="1276" w:type="dxa"/>
            <w:tcBorders>
              <w:top w:val="nil"/>
              <w:left w:val="single" w:sz="4" w:space="0" w:color="auto"/>
              <w:bottom w:val="nil"/>
              <w:right w:val="single" w:sz="4" w:space="0" w:color="auto"/>
            </w:tcBorders>
            <w:shd w:val="clear" w:color="auto" w:fill="auto"/>
            <w:noWrap/>
            <w:vAlign w:val="center"/>
            <w:hideMark/>
          </w:tcPr>
          <w:p w:rsidR="006634A9" w:rsidRPr="008C45E6" w:rsidRDefault="006634A9" w:rsidP="00641034">
            <w:pPr>
              <w:tabs>
                <w:tab w:val="clear" w:pos="1260"/>
                <w:tab w:val="clear" w:pos="1980"/>
                <w:tab w:val="clear" w:pos="2700"/>
                <w:tab w:val="clear" w:pos="3420"/>
              </w:tabs>
              <w:jc w:val="right"/>
              <w:rPr>
                <w:rFonts w:cs="Arial"/>
                <w:szCs w:val="22"/>
              </w:rPr>
            </w:pPr>
            <w:r>
              <w:rPr>
                <w:rFonts w:cs="Arial"/>
                <w:szCs w:val="22"/>
              </w:rPr>
              <w:t>2,257</w:t>
            </w:r>
          </w:p>
        </w:tc>
        <w:tc>
          <w:tcPr>
            <w:tcW w:w="1134" w:type="dxa"/>
            <w:tcBorders>
              <w:top w:val="nil"/>
              <w:left w:val="nil"/>
              <w:bottom w:val="nil"/>
              <w:right w:val="single" w:sz="4" w:space="0" w:color="auto"/>
            </w:tcBorders>
            <w:shd w:val="clear" w:color="auto" w:fill="auto"/>
            <w:noWrap/>
            <w:vAlign w:val="center"/>
            <w:hideMark/>
          </w:tcPr>
          <w:p w:rsidR="006634A9" w:rsidRPr="008C45E6" w:rsidRDefault="006634A9" w:rsidP="00641034">
            <w:pPr>
              <w:tabs>
                <w:tab w:val="clear" w:pos="1260"/>
                <w:tab w:val="clear" w:pos="1980"/>
                <w:tab w:val="clear" w:pos="2700"/>
                <w:tab w:val="clear" w:pos="3420"/>
              </w:tabs>
              <w:jc w:val="right"/>
              <w:rPr>
                <w:rFonts w:cs="Arial"/>
                <w:szCs w:val="22"/>
              </w:rPr>
            </w:pPr>
            <w:r>
              <w:rPr>
                <w:rFonts w:cs="Arial"/>
                <w:szCs w:val="22"/>
              </w:rPr>
              <w:t>2,255</w:t>
            </w:r>
          </w:p>
        </w:tc>
        <w:tc>
          <w:tcPr>
            <w:tcW w:w="1134" w:type="dxa"/>
            <w:tcBorders>
              <w:top w:val="nil"/>
              <w:left w:val="nil"/>
              <w:bottom w:val="nil"/>
              <w:right w:val="single" w:sz="4" w:space="0" w:color="auto"/>
            </w:tcBorders>
            <w:vAlign w:val="center"/>
          </w:tcPr>
          <w:p w:rsidR="006634A9" w:rsidRPr="00E83BD7" w:rsidRDefault="00E70EE6" w:rsidP="00641034">
            <w:pPr>
              <w:tabs>
                <w:tab w:val="clear" w:pos="1260"/>
                <w:tab w:val="clear" w:pos="1980"/>
                <w:tab w:val="clear" w:pos="2700"/>
                <w:tab w:val="clear" w:pos="3420"/>
              </w:tabs>
              <w:jc w:val="right"/>
              <w:rPr>
                <w:rFonts w:cs="Arial"/>
                <w:szCs w:val="22"/>
              </w:rPr>
            </w:pPr>
            <w:r>
              <w:rPr>
                <w:rFonts w:cs="Arial"/>
                <w:szCs w:val="22"/>
              </w:rPr>
              <w:t>768</w:t>
            </w:r>
          </w:p>
        </w:tc>
        <w:tc>
          <w:tcPr>
            <w:tcW w:w="1134" w:type="dxa"/>
            <w:tcBorders>
              <w:top w:val="nil"/>
              <w:left w:val="single" w:sz="4" w:space="0" w:color="auto"/>
              <w:bottom w:val="nil"/>
              <w:right w:val="nil"/>
            </w:tcBorders>
            <w:shd w:val="clear" w:color="auto" w:fill="auto"/>
            <w:noWrap/>
            <w:vAlign w:val="center"/>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2,239</w:t>
            </w:r>
          </w:p>
        </w:tc>
        <w:tc>
          <w:tcPr>
            <w:tcW w:w="1275" w:type="dxa"/>
            <w:tcBorders>
              <w:top w:val="nil"/>
              <w:left w:val="single" w:sz="4" w:space="0" w:color="auto"/>
              <w:bottom w:val="nil"/>
              <w:right w:val="single" w:sz="4" w:space="0" w:color="auto"/>
            </w:tcBorders>
            <w:shd w:val="clear" w:color="auto" w:fill="auto"/>
            <w:noWrap/>
            <w:vAlign w:val="center"/>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(16)</w:t>
            </w:r>
          </w:p>
        </w:tc>
      </w:tr>
      <w:tr w:rsidR="00A516D7" w:rsidRPr="008C45E6" w:rsidTr="006D4526">
        <w:trPr>
          <w:trHeight w:val="286"/>
        </w:trPr>
        <w:tc>
          <w:tcPr>
            <w:tcW w:w="2977" w:type="dxa"/>
            <w:tcBorders>
              <w:top w:val="nil"/>
              <w:left w:val="single" w:sz="4" w:space="0" w:color="auto"/>
              <w:bottom w:val="single" w:sz="4" w:space="0" w:color="auto"/>
              <w:right w:val="nil"/>
            </w:tcBorders>
            <w:shd w:val="clear" w:color="auto" w:fill="auto"/>
            <w:noWrap/>
            <w:hideMark/>
          </w:tcPr>
          <w:p w:rsidR="0029366B" w:rsidRPr="008C45E6" w:rsidRDefault="006634A9" w:rsidP="00641034">
            <w:pPr>
              <w:tabs>
                <w:tab w:val="clear" w:pos="1260"/>
                <w:tab w:val="clear" w:pos="1980"/>
                <w:tab w:val="clear" w:pos="2700"/>
                <w:tab w:val="clear" w:pos="3420"/>
              </w:tabs>
              <w:jc w:val="left"/>
              <w:rPr>
                <w:rFonts w:cs="Arial"/>
                <w:szCs w:val="22"/>
              </w:rPr>
            </w:pPr>
            <w:r w:rsidRPr="008C45E6">
              <w:rPr>
                <w:rFonts w:cs="Arial"/>
                <w:szCs w:val="22"/>
              </w:rPr>
              <w:t>Policy &amp; Resources</w:t>
            </w:r>
          </w:p>
        </w:tc>
        <w:tc>
          <w:tcPr>
            <w:tcW w:w="1276" w:type="dxa"/>
            <w:tcBorders>
              <w:top w:val="nil"/>
              <w:left w:val="single" w:sz="4" w:space="0" w:color="auto"/>
              <w:bottom w:val="single" w:sz="4" w:space="0" w:color="auto"/>
              <w:right w:val="single" w:sz="4" w:space="0" w:color="auto"/>
            </w:tcBorders>
            <w:shd w:val="clear" w:color="auto" w:fill="auto"/>
            <w:noWrap/>
            <w:hideMark/>
          </w:tcPr>
          <w:p w:rsidR="0029366B" w:rsidRPr="008C45E6" w:rsidRDefault="006634A9" w:rsidP="00D86BB1">
            <w:pPr>
              <w:tabs>
                <w:tab w:val="clear" w:pos="1260"/>
                <w:tab w:val="clear" w:pos="1980"/>
                <w:tab w:val="clear" w:pos="2700"/>
                <w:tab w:val="clear" w:pos="3420"/>
              </w:tabs>
              <w:jc w:val="right"/>
              <w:rPr>
                <w:rFonts w:cs="Arial"/>
                <w:szCs w:val="22"/>
              </w:rPr>
            </w:pPr>
            <w:r>
              <w:rPr>
                <w:rFonts w:cs="Arial"/>
                <w:szCs w:val="22"/>
              </w:rPr>
              <w:t>4,530</w:t>
            </w:r>
          </w:p>
        </w:tc>
        <w:tc>
          <w:tcPr>
            <w:tcW w:w="1134" w:type="dxa"/>
            <w:tcBorders>
              <w:top w:val="nil"/>
              <w:left w:val="nil"/>
              <w:bottom w:val="single" w:sz="4" w:space="0" w:color="auto"/>
              <w:right w:val="single" w:sz="4" w:space="0" w:color="auto"/>
            </w:tcBorders>
            <w:shd w:val="clear" w:color="auto" w:fill="auto"/>
            <w:noWrap/>
            <w:hideMark/>
          </w:tcPr>
          <w:p w:rsidR="006634A9" w:rsidRPr="008C45E6" w:rsidRDefault="006634A9" w:rsidP="00641034">
            <w:pPr>
              <w:tabs>
                <w:tab w:val="clear" w:pos="1260"/>
                <w:tab w:val="clear" w:pos="1980"/>
                <w:tab w:val="clear" w:pos="2700"/>
                <w:tab w:val="clear" w:pos="3420"/>
              </w:tabs>
              <w:jc w:val="right"/>
              <w:rPr>
                <w:rFonts w:cs="Arial"/>
                <w:szCs w:val="22"/>
              </w:rPr>
            </w:pPr>
            <w:r>
              <w:rPr>
                <w:rFonts w:cs="Arial"/>
                <w:szCs w:val="22"/>
              </w:rPr>
              <w:t>4,965</w:t>
            </w:r>
          </w:p>
        </w:tc>
        <w:tc>
          <w:tcPr>
            <w:tcW w:w="1134" w:type="dxa"/>
            <w:tcBorders>
              <w:top w:val="nil"/>
              <w:left w:val="nil"/>
              <w:bottom w:val="single" w:sz="4" w:space="0" w:color="auto"/>
              <w:right w:val="single" w:sz="4" w:space="0" w:color="auto"/>
            </w:tcBorders>
          </w:tcPr>
          <w:p w:rsidR="006634A9" w:rsidRPr="00E83BD7" w:rsidRDefault="00E70EE6" w:rsidP="00641034">
            <w:pPr>
              <w:tabs>
                <w:tab w:val="clear" w:pos="1260"/>
                <w:tab w:val="clear" w:pos="1980"/>
                <w:tab w:val="clear" w:pos="2700"/>
                <w:tab w:val="clear" w:pos="3420"/>
              </w:tabs>
              <w:jc w:val="right"/>
              <w:rPr>
                <w:rFonts w:cs="Arial"/>
                <w:szCs w:val="22"/>
              </w:rPr>
            </w:pPr>
            <w:r>
              <w:rPr>
                <w:rFonts w:cs="Arial"/>
                <w:szCs w:val="22"/>
              </w:rPr>
              <w:t>1,682</w:t>
            </w:r>
          </w:p>
        </w:tc>
        <w:tc>
          <w:tcPr>
            <w:tcW w:w="1134" w:type="dxa"/>
            <w:tcBorders>
              <w:top w:val="nil"/>
              <w:left w:val="single" w:sz="4" w:space="0" w:color="auto"/>
              <w:bottom w:val="single" w:sz="4" w:space="0" w:color="auto"/>
              <w:right w:val="nil"/>
            </w:tcBorders>
            <w:shd w:val="clear" w:color="auto" w:fill="auto"/>
            <w:noWrap/>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5,</w:t>
            </w:r>
            <w:r w:rsidR="00E70EE6">
              <w:rPr>
                <w:rFonts w:cs="Arial"/>
                <w:szCs w:val="22"/>
              </w:rPr>
              <w:t>116</w:t>
            </w:r>
          </w:p>
        </w:tc>
        <w:tc>
          <w:tcPr>
            <w:tcW w:w="1275" w:type="dxa"/>
            <w:tcBorders>
              <w:top w:val="nil"/>
              <w:left w:val="single" w:sz="4" w:space="0" w:color="auto"/>
              <w:bottom w:val="single" w:sz="4" w:space="0" w:color="auto"/>
              <w:right w:val="single" w:sz="4" w:space="0" w:color="auto"/>
            </w:tcBorders>
            <w:shd w:val="clear" w:color="auto" w:fill="auto"/>
            <w:noWrap/>
            <w:hideMark/>
          </w:tcPr>
          <w:p w:rsidR="006634A9" w:rsidRPr="00E83BD7" w:rsidRDefault="006634A9" w:rsidP="00641034">
            <w:pPr>
              <w:tabs>
                <w:tab w:val="clear" w:pos="1260"/>
                <w:tab w:val="clear" w:pos="1980"/>
                <w:tab w:val="clear" w:pos="2700"/>
                <w:tab w:val="clear" w:pos="3420"/>
              </w:tabs>
              <w:jc w:val="right"/>
              <w:rPr>
                <w:rFonts w:cs="Arial"/>
                <w:szCs w:val="22"/>
              </w:rPr>
            </w:pPr>
            <w:r w:rsidRPr="00E83BD7">
              <w:rPr>
                <w:rFonts w:cs="Arial"/>
                <w:szCs w:val="22"/>
              </w:rPr>
              <w:t>1</w:t>
            </w:r>
            <w:r w:rsidR="00E70EE6">
              <w:rPr>
                <w:rFonts w:cs="Arial"/>
                <w:szCs w:val="22"/>
              </w:rPr>
              <w:t>5</w:t>
            </w:r>
            <w:r w:rsidRPr="00E83BD7">
              <w:rPr>
                <w:rFonts w:cs="Arial"/>
                <w:szCs w:val="22"/>
              </w:rPr>
              <w:t>1</w:t>
            </w:r>
          </w:p>
        </w:tc>
      </w:tr>
      <w:tr w:rsidR="00A516D7" w:rsidRPr="008C45E6" w:rsidTr="00641034">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4A9" w:rsidRPr="008C45E6" w:rsidRDefault="006634A9" w:rsidP="008C45E6">
            <w:pPr>
              <w:tabs>
                <w:tab w:val="clear" w:pos="1260"/>
                <w:tab w:val="clear" w:pos="1980"/>
                <w:tab w:val="clear" w:pos="2700"/>
                <w:tab w:val="clear" w:pos="3420"/>
              </w:tabs>
              <w:jc w:val="left"/>
              <w:rPr>
                <w:rFonts w:cs="Arial"/>
                <w:b/>
                <w:bCs/>
                <w:szCs w:val="22"/>
              </w:rPr>
            </w:pPr>
            <w:r w:rsidRPr="008C45E6">
              <w:rPr>
                <w:rFonts w:cs="Arial"/>
                <w:b/>
                <w:bCs/>
                <w:szCs w:val="22"/>
              </w:rPr>
              <w:t>Net General Fund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34A9" w:rsidRPr="008C45E6" w:rsidRDefault="006634A9" w:rsidP="008C45E6">
            <w:pPr>
              <w:tabs>
                <w:tab w:val="clear" w:pos="1260"/>
                <w:tab w:val="clear" w:pos="1980"/>
                <w:tab w:val="clear" w:pos="2700"/>
                <w:tab w:val="clear" w:pos="3420"/>
              </w:tabs>
              <w:jc w:val="right"/>
              <w:rPr>
                <w:rFonts w:cs="Arial"/>
                <w:b/>
                <w:bCs/>
                <w:szCs w:val="22"/>
              </w:rPr>
            </w:pPr>
            <w:r>
              <w:rPr>
                <w:rFonts w:cs="Arial"/>
                <w:b/>
                <w:bCs/>
                <w:szCs w:val="22"/>
              </w:rPr>
              <w:t>10,775</w:t>
            </w:r>
            <w:r w:rsidRPr="008C45E6">
              <w:rPr>
                <w:rFonts w:cs="Arial"/>
                <w:b/>
                <w:bCs/>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34A9" w:rsidRPr="008C45E6" w:rsidRDefault="006634A9" w:rsidP="00F949DF">
            <w:pPr>
              <w:tabs>
                <w:tab w:val="clear" w:pos="1260"/>
                <w:tab w:val="clear" w:pos="1980"/>
                <w:tab w:val="clear" w:pos="2700"/>
                <w:tab w:val="clear" w:pos="3420"/>
              </w:tabs>
              <w:jc w:val="right"/>
              <w:rPr>
                <w:rFonts w:cs="Arial"/>
                <w:b/>
                <w:bCs/>
                <w:szCs w:val="22"/>
              </w:rPr>
            </w:pPr>
            <w:r>
              <w:rPr>
                <w:rFonts w:cs="Arial"/>
                <w:b/>
                <w:bCs/>
                <w:szCs w:val="22"/>
              </w:rPr>
              <w:t>11,212</w:t>
            </w:r>
          </w:p>
        </w:tc>
        <w:tc>
          <w:tcPr>
            <w:tcW w:w="1134" w:type="dxa"/>
            <w:tcBorders>
              <w:top w:val="single" w:sz="4" w:space="0" w:color="auto"/>
              <w:left w:val="nil"/>
              <w:bottom w:val="single" w:sz="4" w:space="0" w:color="auto"/>
              <w:right w:val="single" w:sz="4" w:space="0" w:color="auto"/>
            </w:tcBorders>
            <w:vAlign w:val="center"/>
          </w:tcPr>
          <w:p w:rsidR="006634A9" w:rsidRPr="00E83BD7" w:rsidRDefault="00E70EE6" w:rsidP="00E70EE6">
            <w:pPr>
              <w:tabs>
                <w:tab w:val="clear" w:pos="1260"/>
                <w:tab w:val="clear" w:pos="1980"/>
                <w:tab w:val="clear" w:pos="2700"/>
                <w:tab w:val="clear" w:pos="3420"/>
              </w:tabs>
              <w:jc w:val="right"/>
              <w:rPr>
                <w:rFonts w:cs="Arial"/>
                <w:b/>
                <w:bCs/>
                <w:szCs w:val="22"/>
              </w:rPr>
            </w:pPr>
            <w:r>
              <w:rPr>
                <w:rFonts w:cs="Arial"/>
                <w:b/>
                <w:bCs/>
                <w:szCs w:val="22"/>
              </w:rPr>
              <w:t>3,733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4A9" w:rsidRPr="00E83BD7" w:rsidRDefault="006634A9" w:rsidP="00E70EE6">
            <w:pPr>
              <w:tabs>
                <w:tab w:val="clear" w:pos="1260"/>
                <w:tab w:val="clear" w:pos="1980"/>
                <w:tab w:val="clear" w:pos="2700"/>
                <w:tab w:val="clear" w:pos="3420"/>
              </w:tabs>
              <w:jc w:val="right"/>
              <w:rPr>
                <w:rFonts w:cs="Arial"/>
                <w:b/>
                <w:bCs/>
                <w:szCs w:val="22"/>
              </w:rPr>
            </w:pPr>
            <w:r w:rsidRPr="00E83BD7">
              <w:rPr>
                <w:rFonts w:cs="Arial"/>
                <w:b/>
                <w:bCs/>
                <w:szCs w:val="22"/>
              </w:rPr>
              <w:t>11,6</w:t>
            </w:r>
            <w:r w:rsidR="00E70EE6">
              <w:rPr>
                <w:rFonts w:cs="Arial"/>
                <w:b/>
                <w:bCs/>
                <w:szCs w:val="22"/>
              </w:rPr>
              <w:t>6</w:t>
            </w:r>
            <w:r w:rsidRPr="00E83BD7">
              <w:rPr>
                <w:rFonts w:cs="Arial"/>
                <w:b/>
                <w:bCs/>
                <w:szCs w:val="22"/>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634A9" w:rsidRPr="00E83BD7" w:rsidRDefault="006634A9" w:rsidP="00E70EE6">
            <w:pPr>
              <w:tabs>
                <w:tab w:val="clear" w:pos="1260"/>
                <w:tab w:val="clear" w:pos="1980"/>
                <w:tab w:val="clear" w:pos="2700"/>
                <w:tab w:val="clear" w:pos="3420"/>
              </w:tabs>
              <w:jc w:val="right"/>
              <w:rPr>
                <w:rFonts w:cs="Arial"/>
                <w:b/>
                <w:bCs/>
                <w:szCs w:val="22"/>
              </w:rPr>
            </w:pPr>
            <w:r w:rsidRPr="00E83BD7">
              <w:rPr>
                <w:rFonts w:cs="Arial"/>
                <w:b/>
                <w:bCs/>
                <w:szCs w:val="22"/>
              </w:rPr>
              <w:t>4</w:t>
            </w:r>
            <w:r w:rsidR="00E70EE6">
              <w:rPr>
                <w:rFonts w:cs="Arial"/>
                <w:b/>
                <w:bCs/>
                <w:szCs w:val="22"/>
              </w:rPr>
              <w:t>5</w:t>
            </w:r>
            <w:r w:rsidRPr="00E83BD7">
              <w:rPr>
                <w:rFonts w:cs="Arial"/>
                <w:b/>
                <w:bCs/>
                <w:szCs w:val="22"/>
              </w:rPr>
              <w:t>7</w:t>
            </w:r>
          </w:p>
        </w:tc>
      </w:tr>
    </w:tbl>
    <w:p w:rsidR="006D4526" w:rsidRDefault="006D4526" w:rsidP="00BD2BDD">
      <w:pPr>
        <w:ind w:left="1267" w:firstLine="9"/>
        <w:rPr>
          <w:rFonts w:cs="Arial"/>
          <w:szCs w:val="22"/>
        </w:rPr>
      </w:pPr>
    </w:p>
    <w:p w:rsidR="006D4526" w:rsidRDefault="006D4526" w:rsidP="00BD2BDD">
      <w:pPr>
        <w:ind w:left="1267" w:firstLine="9"/>
        <w:rPr>
          <w:rFonts w:cs="Arial"/>
          <w:szCs w:val="22"/>
        </w:rPr>
      </w:pPr>
      <w:r>
        <w:rPr>
          <w:rFonts w:cs="Arial"/>
          <w:szCs w:val="22"/>
        </w:rPr>
        <w:t>To date the services have spent 3</w:t>
      </w:r>
      <w:r w:rsidR="00341BBB">
        <w:rPr>
          <w:rFonts w:cs="Arial"/>
          <w:szCs w:val="22"/>
        </w:rPr>
        <w:t>3.3</w:t>
      </w:r>
      <w:r>
        <w:rPr>
          <w:rFonts w:cs="Arial"/>
          <w:szCs w:val="22"/>
        </w:rPr>
        <w:t xml:space="preserve">% of their </w:t>
      </w:r>
      <w:r w:rsidR="00341BBB">
        <w:rPr>
          <w:rFonts w:cs="Arial"/>
          <w:szCs w:val="22"/>
        </w:rPr>
        <w:t>late</w:t>
      </w:r>
      <w:r>
        <w:rPr>
          <w:rFonts w:cs="Arial"/>
          <w:szCs w:val="22"/>
        </w:rPr>
        <w:t>st budgets</w:t>
      </w:r>
      <w:r w:rsidR="00341BBB">
        <w:rPr>
          <w:rFonts w:cs="Arial"/>
          <w:szCs w:val="22"/>
        </w:rPr>
        <w:t>.</w:t>
      </w:r>
    </w:p>
    <w:p w:rsidR="00E90E69" w:rsidRDefault="00E90E69" w:rsidP="00BD2BDD">
      <w:pPr>
        <w:ind w:left="1267" w:firstLine="9"/>
        <w:rPr>
          <w:rFonts w:cs="Arial"/>
          <w:szCs w:val="22"/>
        </w:rPr>
      </w:pPr>
    </w:p>
    <w:p w:rsidR="00E90E69" w:rsidRDefault="00E90E69" w:rsidP="00BD2BDD">
      <w:pPr>
        <w:ind w:left="1267" w:firstLine="9"/>
        <w:rPr>
          <w:rFonts w:cs="Arial"/>
          <w:szCs w:val="22"/>
        </w:rPr>
      </w:pPr>
    </w:p>
    <w:p w:rsidR="00E90E69" w:rsidRDefault="00E90E69" w:rsidP="00BD2BDD">
      <w:pPr>
        <w:ind w:left="1267" w:firstLine="9"/>
        <w:rPr>
          <w:rFonts w:cs="Arial"/>
          <w:szCs w:val="22"/>
        </w:rPr>
      </w:pPr>
    </w:p>
    <w:p w:rsidR="00E90E69" w:rsidRDefault="00E90E69" w:rsidP="00BD2BDD">
      <w:pPr>
        <w:ind w:left="1267" w:firstLine="9"/>
        <w:rPr>
          <w:rFonts w:cs="Arial"/>
          <w:szCs w:val="22"/>
        </w:rPr>
      </w:pPr>
    </w:p>
    <w:p w:rsidR="00E90E69" w:rsidRDefault="00E90E69" w:rsidP="00781A2B">
      <w:pPr>
        <w:rPr>
          <w:rFonts w:cs="Arial"/>
          <w:szCs w:val="22"/>
        </w:rPr>
      </w:pPr>
    </w:p>
    <w:p w:rsidR="006D4526" w:rsidRDefault="006D4526" w:rsidP="00BD2BDD">
      <w:pPr>
        <w:ind w:left="1267" w:firstLine="9"/>
        <w:rPr>
          <w:rFonts w:cs="Arial"/>
          <w:szCs w:val="22"/>
        </w:rPr>
      </w:pPr>
    </w:p>
    <w:p w:rsidR="006239CF" w:rsidRPr="00C22386" w:rsidRDefault="00C22386" w:rsidP="00C22386">
      <w:pPr>
        <w:ind w:left="1276" w:hanging="1276"/>
        <w:rPr>
          <w:rFonts w:cs="Arial"/>
          <w:szCs w:val="22"/>
        </w:rPr>
      </w:pPr>
      <w:r>
        <w:rPr>
          <w:rFonts w:cs="Arial"/>
          <w:szCs w:val="22"/>
        </w:rPr>
        <w:t>2.7</w:t>
      </w:r>
      <w:r>
        <w:rPr>
          <w:rFonts w:cs="Arial"/>
          <w:szCs w:val="22"/>
        </w:rPr>
        <w:tab/>
      </w:r>
      <w:r w:rsidR="006239CF" w:rsidRPr="00C22386">
        <w:rPr>
          <w:rFonts w:cs="Arial"/>
          <w:szCs w:val="22"/>
        </w:rPr>
        <w:t xml:space="preserve">The trend </w:t>
      </w:r>
      <w:r w:rsidR="003A19C3" w:rsidRPr="00C22386">
        <w:rPr>
          <w:rFonts w:cs="Arial"/>
          <w:szCs w:val="22"/>
        </w:rPr>
        <w:t>over the financial year (2016/17) is plotted</w:t>
      </w:r>
      <w:r w:rsidR="006239CF" w:rsidRPr="00C22386">
        <w:rPr>
          <w:rFonts w:cs="Arial"/>
          <w:szCs w:val="22"/>
        </w:rPr>
        <w:t xml:space="preserve"> </w:t>
      </w:r>
      <w:r w:rsidR="00D27EFC" w:rsidRPr="00C22386">
        <w:rPr>
          <w:rFonts w:cs="Arial"/>
          <w:szCs w:val="22"/>
        </w:rPr>
        <w:t>o</w:t>
      </w:r>
      <w:r w:rsidR="006239CF" w:rsidRPr="00C22386">
        <w:rPr>
          <w:rFonts w:cs="Arial"/>
          <w:szCs w:val="22"/>
        </w:rPr>
        <w:t>n the graph below;</w:t>
      </w:r>
    </w:p>
    <w:p w:rsidR="00C22386" w:rsidRPr="00C22386" w:rsidRDefault="00C22386" w:rsidP="00C22386">
      <w:pPr>
        <w:pStyle w:val="ListParagraph"/>
        <w:ind w:left="360"/>
        <w:rPr>
          <w:rFonts w:cs="Arial"/>
          <w:szCs w:val="22"/>
        </w:rPr>
      </w:pPr>
    </w:p>
    <w:p w:rsidR="006239CF" w:rsidRDefault="00F04C17" w:rsidP="003A19C3">
      <w:pPr>
        <w:ind w:left="1267" w:firstLine="9"/>
        <w:rPr>
          <w:rFonts w:cs="Arial"/>
          <w:szCs w:val="22"/>
        </w:rPr>
      </w:pPr>
      <w:r>
        <w:rPr>
          <w:rFonts w:cs="Arial"/>
          <w:noProof/>
          <w:szCs w:val="22"/>
        </w:rPr>
        <w:drawing>
          <wp:inline distT="0" distB="0" distL="0" distR="0" wp14:anchorId="1726B3EE" wp14:editId="42D17007">
            <wp:extent cx="4929808" cy="2122999"/>
            <wp:effectExtent l="0" t="0" r="2349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9CF" w:rsidRPr="00B16B34" w:rsidRDefault="006239CF" w:rsidP="006E632E">
      <w:pPr>
        <w:ind w:left="1267" w:hanging="1267"/>
        <w:rPr>
          <w:rFonts w:cs="Arial"/>
          <w:szCs w:val="22"/>
        </w:rPr>
      </w:pPr>
    </w:p>
    <w:p w:rsidR="00AB0AE0" w:rsidRDefault="00AB0AE0" w:rsidP="006E632E">
      <w:pPr>
        <w:ind w:left="1267" w:hanging="1267"/>
        <w:rPr>
          <w:rFonts w:cs="Arial"/>
          <w:szCs w:val="22"/>
        </w:rPr>
      </w:pPr>
      <w:r>
        <w:rPr>
          <w:rFonts w:cs="Arial"/>
          <w:szCs w:val="22"/>
        </w:rPr>
        <w:t>2.</w:t>
      </w:r>
      <w:r w:rsidR="00B7187F">
        <w:rPr>
          <w:rFonts w:cs="Arial"/>
          <w:szCs w:val="22"/>
        </w:rPr>
        <w:t>8</w:t>
      </w:r>
      <w:r>
        <w:rPr>
          <w:rFonts w:cs="Arial"/>
          <w:szCs w:val="22"/>
        </w:rPr>
        <w:tab/>
      </w:r>
      <w:r w:rsidR="00C63536">
        <w:rPr>
          <w:rFonts w:cs="Arial"/>
          <w:szCs w:val="22"/>
        </w:rPr>
        <w:t>The effect of the variance</w:t>
      </w:r>
      <w:r w:rsidR="003D7268">
        <w:rPr>
          <w:rFonts w:cs="Arial"/>
          <w:szCs w:val="22"/>
        </w:rPr>
        <w:t>s</w:t>
      </w:r>
      <w:r w:rsidR="00C63536">
        <w:rPr>
          <w:rFonts w:cs="Arial"/>
          <w:szCs w:val="22"/>
        </w:rPr>
        <w:t xml:space="preserve"> on the Council’s</w:t>
      </w:r>
      <w:r w:rsidR="002A370A">
        <w:rPr>
          <w:rFonts w:cs="Arial"/>
          <w:szCs w:val="22"/>
        </w:rPr>
        <w:t xml:space="preserve"> (surplus)/deficit for the year and </w:t>
      </w:r>
      <w:r w:rsidR="00C63536">
        <w:rPr>
          <w:rFonts w:cs="Arial"/>
          <w:szCs w:val="22"/>
        </w:rPr>
        <w:t xml:space="preserve">the </w:t>
      </w:r>
      <w:r>
        <w:rPr>
          <w:rFonts w:cs="Arial"/>
          <w:szCs w:val="22"/>
        </w:rPr>
        <w:t>general fund balance over the medium term is shown in the table below</w:t>
      </w:r>
      <w:r w:rsidR="002A370A">
        <w:rPr>
          <w:rFonts w:cs="Arial"/>
          <w:szCs w:val="22"/>
        </w:rPr>
        <w:t>.</w:t>
      </w:r>
    </w:p>
    <w:p w:rsidR="00AB0AE0" w:rsidRDefault="00AB0AE0" w:rsidP="006E632E">
      <w:pPr>
        <w:ind w:left="1267" w:hanging="1267"/>
        <w:rPr>
          <w:rFonts w:cs="Arial"/>
          <w:szCs w:val="22"/>
        </w:rPr>
      </w:pPr>
    </w:p>
    <w:tbl>
      <w:tblPr>
        <w:tblStyle w:val="TableGrid"/>
        <w:tblW w:w="0" w:type="auto"/>
        <w:tblInd w:w="1267" w:type="dxa"/>
        <w:tblLayout w:type="fixed"/>
        <w:tblLook w:val="04A0" w:firstRow="1" w:lastRow="0" w:firstColumn="1" w:lastColumn="0" w:noHBand="0" w:noVBand="1"/>
      </w:tblPr>
      <w:tblGrid>
        <w:gridCol w:w="2755"/>
        <w:gridCol w:w="1048"/>
        <w:gridCol w:w="1275"/>
        <w:gridCol w:w="1134"/>
        <w:gridCol w:w="1276"/>
        <w:gridCol w:w="1216"/>
      </w:tblGrid>
      <w:tr w:rsidR="00AB0AE0" w:rsidRPr="00A63DE4" w:rsidTr="00D37698">
        <w:trPr>
          <w:trHeight w:val="575"/>
        </w:trPr>
        <w:tc>
          <w:tcPr>
            <w:tcW w:w="2755" w:type="dxa"/>
            <w:vMerge w:val="restart"/>
          </w:tcPr>
          <w:p w:rsidR="00C63536" w:rsidRPr="00A63DE4" w:rsidRDefault="00C63536" w:rsidP="00C63536">
            <w:pPr>
              <w:jc w:val="center"/>
              <w:rPr>
                <w:rFonts w:cs="Arial"/>
                <w:b/>
                <w:szCs w:val="22"/>
              </w:rPr>
            </w:pPr>
          </w:p>
          <w:p w:rsidR="00194A36" w:rsidRPr="00A63DE4" w:rsidRDefault="00194A36" w:rsidP="00194A36">
            <w:pPr>
              <w:jc w:val="center"/>
              <w:rPr>
                <w:rFonts w:cs="Arial"/>
                <w:b/>
                <w:szCs w:val="22"/>
              </w:rPr>
            </w:pPr>
          </w:p>
          <w:p w:rsidR="00AB0AE0" w:rsidRPr="00A63DE4" w:rsidRDefault="00AB0AE0" w:rsidP="00194A36">
            <w:pPr>
              <w:jc w:val="center"/>
              <w:rPr>
                <w:rFonts w:cs="Arial"/>
                <w:b/>
                <w:szCs w:val="22"/>
              </w:rPr>
            </w:pPr>
            <w:r w:rsidRPr="00A63DE4">
              <w:rPr>
                <w:rFonts w:cs="Arial"/>
                <w:b/>
                <w:szCs w:val="22"/>
              </w:rPr>
              <w:t>Movement  on</w:t>
            </w:r>
            <w:r w:rsidR="00467DE3" w:rsidRPr="00A63DE4">
              <w:rPr>
                <w:rFonts w:cs="Arial"/>
                <w:b/>
                <w:szCs w:val="22"/>
              </w:rPr>
              <w:t xml:space="preserve">           </w:t>
            </w:r>
            <w:r w:rsidRPr="00A63DE4">
              <w:rPr>
                <w:rFonts w:cs="Arial"/>
                <w:b/>
                <w:szCs w:val="22"/>
              </w:rPr>
              <w:t xml:space="preserve"> General Fund</w:t>
            </w:r>
          </w:p>
        </w:tc>
        <w:tc>
          <w:tcPr>
            <w:tcW w:w="1048" w:type="dxa"/>
            <w:vAlign w:val="center"/>
          </w:tcPr>
          <w:p w:rsidR="00AB0AE0" w:rsidRPr="00A63DE4" w:rsidRDefault="00AB0AE0" w:rsidP="00D37698">
            <w:pPr>
              <w:jc w:val="center"/>
              <w:rPr>
                <w:rFonts w:cs="Arial"/>
                <w:b/>
                <w:szCs w:val="22"/>
              </w:rPr>
            </w:pPr>
            <w:r w:rsidRPr="00A63DE4">
              <w:rPr>
                <w:rFonts w:cs="Arial"/>
                <w:b/>
                <w:szCs w:val="22"/>
              </w:rPr>
              <w:t>2016/17</w:t>
            </w:r>
          </w:p>
        </w:tc>
        <w:tc>
          <w:tcPr>
            <w:tcW w:w="1275" w:type="dxa"/>
            <w:vAlign w:val="center"/>
          </w:tcPr>
          <w:p w:rsidR="00AB0AE0" w:rsidRPr="00A63DE4" w:rsidRDefault="00AB0AE0" w:rsidP="00D37698">
            <w:pPr>
              <w:jc w:val="center"/>
              <w:rPr>
                <w:rFonts w:cs="Arial"/>
                <w:b/>
                <w:szCs w:val="22"/>
              </w:rPr>
            </w:pPr>
            <w:r w:rsidRPr="00A63DE4">
              <w:rPr>
                <w:rFonts w:cs="Arial"/>
                <w:b/>
                <w:szCs w:val="22"/>
              </w:rPr>
              <w:t>2016/17</w:t>
            </w:r>
          </w:p>
        </w:tc>
        <w:tc>
          <w:tcPr>
            <w:tcW w:w="1134" w:type="dxa"/>
            <w:vAlign w:val="center"/>
          </w:tcPr>
          <w:p w:rsidR="00AB0AE0" w:rsidRPr="00A63DE4" w:rsidRDefault="00AB0AE0" w:rsidP="00D37698">
            <w:pPr>
              <w:jc w:val="center"/>
              <w:rPr>
                <w:rFonts w:cs="Arial"/>
                <w:b/>
                <w:szCs w:val="22"/>
              </w:rPr>
            </w:pPr>
            <w:r w:rsidRPr="00A63DE4">
              <w:rPr>
                <w:rFonts w:cs="Arial"/>
                <w:b/>
                <w:szCs w:val="22"/>
              </w:rPr>
              <w:t>2016/17</w:t>
            </w:r>
          </w:p>
        </w:tc>
        <w:tc>
          <w:tcPr>
            <w:tcW w:w="1276" w:type="dxa"/>
            <w:vAlign w:val="center"/>
          </w:tcPr>
          <w:p w:rsidR="00AB0AE0" w:rsidRPr="00A63DE4" w:rsidRDefault="00AB0AE0" w:rsidP="00D37698">
            <w:pPr>
              <w:jc w:val="center"/>
              <w:rPr>
                <w:rFonts w:cs="Arial"/>
                <w:b/>
                <w:szCs w:val="22"/>
              </w:rPr>
            </w:pPr>
            <w:r w:rsidRPr="00A63DE4">
              <w:rPr>
                <w:rFonts w:cs="Arial"/>
                <w:b/>
                <w:szCs w:val="22"/>
              </w:rPr>
              <w:t>2017/18</w:t>
            </w:r>
          </w:p>
        </w:tc>
        <w:tc>
          <w:tcPr>
            <w:tcW w:w="1216" w:type="dxa"/>
            <w:vAlign w:val="center"/>
          </w:tcPr>
          <w:p w:rsidR="00D37698" w:rsidRPr="00A63DE4" w:rsidRDefault="00D37698" w:rsidP="00D37698">
            <w:pPr>
              <w:jc w:val="center"/>
              <w:rPr>
                <w:rFonts w:cs="Arial"/>
                <w:b/>
                <w:szCs w:val="22"/>
              </w:rPr>
            </w:pPr>
          </w:p>
          <w:p w:rsidR="00AB0AE0" w:rsidRPr="00A63DE4" w:rsidRDefault="00AB0AE0" w:rsidP="00D37698">
            <w:pPr>
              <w:jc w:val="center"/>
              <w:rPr>
                <w:rFonts w:cs="Arial"/>
                <w:b/>
                <w:szCs w:val="22"/>
              </w:rPr>
            </w:pPr>
            <w:r w:rsidRPr="00A63DE4">
              <w:rPr>
                <w:rFonts w:cs="Arial"/>
                <w:b/>
                <w:szCs w:val="22"/>
              </w:rPr>
              <w:t>2018/19</w:t>
            </w:r>
          </w:p>
          <w:p w:rsidR="00AB0AE0" w:rsidRPr="00A63DE4" w:rsidRDefault="00AB0AE0" w:rsidP="00D37698">
            <w:pPr>
              <w:jc w:val="center"/>
              <w:rPr>
                <w:rFonts w:cs="Arial"/>
                <w:b/>
                <w:szCs w:val="22"/>
              </w:rPr>
            </w:pPr>
          </w:p>
        </w:tc>
      </w:tr>
      <w:tr w:rsidR="003D05AD" w:rsidRPr="00A63DE4" w:rsidTr="001D686A">
        <w:tc>
          <w:tcPr>
            <w:tcW w:w="2755" w:type="dxa"/>
            <w:vMerge/>
          </w:tcPr>
          <w:p w:rsidR="003D05AD" w:rsidRPr="00A63DE4" w:rsidRDefault="003D05AD" w:rsidP="006E632E">
            <w:pPr>
              <w:rPr>
                <w:rFonts w:cs="Arial"/>
                <w:b/>
                <w:szCs w:val="22"/>
              </w:rPr>
            </w:pPr>
          </w:p>
        </w:tc>
        <w:tc>
          <w:tcPr>
            <w:tcW w:w="1048" w:type="dxa"/>
          </w:tcPr>
          <w:p w:rsidR="003D05AD" w:rsidRPr="00A63DE4" w:rsidRDefault="003D05AD" w:rsidP="00BE0A3D">
            <w:pPr>
              <w:jc w:val="center"/>
              <w:rPr>
                <w:rFonts w:cs="Arial"/>
                <w:b/>
                <w:szCs w:val="22"/>
              </w:rPr>
            </w:pPr>
            <w:r w:rsidRPr="00A63DE4">
              <w:rPr>
                <w:rFonts w:cs="Arial"/>
                <w:b/>
                <w:szCs w:val="22"/>
              </w:rPr>
              <w:t>Original Budget</w:t>
            </w:r>
          </w:p>
        </w:tc>
        <w:tc>
          <w:tcPr>
            <w:tcW w:w="1275" w:type="dxa"/>
          </w:tcPr>
          <w:p w:rsidR="003D05AD" w:rsidRPr="00A63DE4" w:rsidRDefault="003D05AD" w:rsidP="00BE0A3D">
            <w:pPr>
              <w:jc w:val="center"/>
              <w:rPr>
                <w:rFonts w:cs="Arial"/>
                <w:b/>
                <w:szCs w:val="22"/>
              </w:rPr>
            </w:pPr>
            <w:r w:rsidRPr="00A63DE4">
              <w:rPr>
                <w:rFonts w:cs="Arial"/>
                <w:b/>
                <w:szCs w:val="22"/>
              </w:rPr>
              <w:t>Latest Approved</w:t>
            </w:r>
          </w:p>
        </w:tc>
        <w:tc>
          <w:tcPr>
            <w:tcW w:w="1134" w:type="dxa"/>
          </w:tcPr>
          <w:p w:rsidR="003D05AD" w:rsidRPr="00A63DE4" w:rsidRDefault="003D05AD" w:rsidP="00BE0A3D">
            <w:pPr>
              <w:jc w:val="center"/>
              <w:rPr>
                <w:rFonts w:cs="Arial"/>
                <w:b/>
                <w:szCs w:val="22"/>
              </w:rPr>
            </w:pPr>
            <w:r w:rsidRPr="00A63DE4">
              <w:rPr>
                <w:rFonts w:cs="Arial"/>
                <w:b/>
                <w:szCs w:val="22"/>
              </w:rPr>
              <w:t>Outturn Forecast</w:t>
            </w:r>
          </w:p>
        </w:tc>
        <w:tc>
          <w:tcPr>
            <w:tcW w:w="1276" w:type="dxa"/>
          </w:tcPr>
          <w:p w:rsidR="003D05AD" w:rsidRPr="00A63DE4" w:rsidRDefault="003D05AD" w:rsidP="00BE0A3D">
            <w:pPr>
              <w:jc w:val="center"/>
              <w:rPr>
                <w:rFonts w:cs="Arial"/>
                <w:b/>
                <w:szCs w:val="22"/>
              </w:rPr>
            </w:pPr>
            <w:r w:rsidRPr="00A63DE4">
              <w:rPr>
                <w:rFonts w:cs="Arial"/>
                <w:b/>
                <w:szCs w:val="22"/>
              </w:rPr>
              <w:t>Outturn Forecast</w:t>
            </w:r>
          </w:p>
        </w:tc>
        <w:tc>
          <w:tcPr>
            <w:tcW w:w="1216" w:type="dxa"/>
          </w:tcPr>
          <w:p w:rsidR="003D05AD" w:rsidRPr="00A63DE4" w:rsidRDefault="003D05AD" w:rsidP="00BE0A3D">
            <w:pPr>
              <w:jc w:val="center"/>
              <w:rPr>
                <w:rFonts w:cs="Arial"/>
                <w:b/>
                <w:szCs w:val="22"/>
              </w:rPr>
            </w:pPr>
            <w:r w:rsidRPr="00A63DE4">
              <w:rPr>
                <w:rFonts w:cs="Arial"/>
                <w:b/>
                <w:szCs w:val="22"/>
              </w:rPr>
              <w:t>Outturn Forecast</w:t>
            </w:r>
          </w:p>
        </w:tc>
      </w:tr>
      <w:tr w:rsidR="00C63536" w:rsidRPr="00A63DE4" w:rsidTr="001D686A">
        <w:tc>
          <w:tcPr>
            <w:tcW w:w="2755" w:type="dxa"/>
            <w:vMerge/>
          </w:tcPr>
          <w:p w:rsidR="00C63536" w:rsidRPr="00A63DE4" w:rsidRDefault="00C63536" w:rsidP="006E632E">
            <w:pPr>
              <w:rPr>
                <w:rFonts w:cs="Arial"/>
                <w:b/>
                <w:szCs w:val="22"/>
              </w:rPr>
            </w:pPr>
          </w:p>
        </w:tc>
        <w:tc>
          <w:tcPr>
            <w:tcW w:w="1048" w:type="dxa"/>
          </w:tcPr>
          <w:p w:rsidR="00C63536" w:rsidRPr="00A63DE4" w:rsidRDefault="00C63536" w:rsidP="00C63536">
            <w:pPr>
              <w:jc w:val="center"/>
              <w:rPr>
                <w:rFonts w:cs="Arial"/>
                <w:b/>
                <w:szCs w:val="22"/>
              </w:rPr>
            </w:pPr>
            <w:r w:rsidRPr="00A63DE4">
              <w:rPr>
                <w:rFonts w:cs="Arial"/>
                <w:b/>
                <w:szCs w:val="22"/>
              </w:rPr>
              <w:t>£000</w:t>
            </w:r>
          </w:p>
        </w:tc>
        <w:tc>
          <w:tcPr>
            <w:tcW w:w="1275" w:type="dxa"/>
          </w:tcPr>
          <w:p w:rsidR="00C63536" w:rsidRPr="00A63DE4" w:rsidRDefault="00C63536" w:rsidP="004F0D6A">
            <w:pPr>
              <w:jc w:val="center"/>
              <w:rPr>
                <w:rFonts w:cs="Arial"/>
                <w:b/>
                <w:szCs w:val="22"/>
              </w:rPr>
            </w:pPr>
            <w:r w:rsidRPr="00A63DE4">
              <w:rPr>
                <w:rFonts w:cs="Arial"/>
                <w:b/>
                <w:szCs w:val="22"/>
              </w:rPr>
              <w:t>£000</w:t>
            </w:r>
          </w:p>
        </w:tc>
        <w:tc>
          <w:tcPr>
            <w:tcW w:w="1134" w:type="dxa"/>
          </w:tcPr>
          <w:p w:rsidR="00C63536" w:rsidRPr="00A63DE4" w:rsidRDefault="00C63536" w:rsidP="004F0D6A">
            <w:pPr>
              <w:jc w:val="center"/>
              <w:rPr>
                <w:rFonts w:cs="Arial"/>
                <w:b/>
                <w:szCs w:val="22"/>
              </w:rPr>
            </w:pPr>
            <w:r w:rsidRPr="00A63DE4">
              <w:rPr>
                <w:rFonts w:cs="Arial"/>
                <w:b/>
                <w:szCs w:val="22"/>
              </w:rPr>
              <w:t>£000</w:t>
            </w:r>
          </w:p>
        </w:tc>
        <w:tc>
          <w:tcPr>
            <w:tcW w:w="1276" w:type="dxa"/>
          </w:tcPr>
          <w:p w:rsidR="00C63536" w:rsidRPr="00A63DE4" w:rsidRDefault="00C63536" w:rsidP="00C63536">
            <w:pPr>
              <w:jc w:val="center"/>
              <w:rPr>
                <w:rFonts w:cs="Arial"/>
                <w:b/>
                <w:szCs w:val="22"/>
              </w:rPr>
            </w:pPr>
            <w:r w:rsidRPr="00A63DE4">
              <w:rPr>
                <w:rFonts w:cs="Arial"/>
                <w:b/>
                <w:szCs w:val="22"/>
              </w:rPr>
              <w:t>£000</w:t>
            </w:r>
          </w:p>
        </w:tc>
        <w:tc>
          <w:tcPr>
            <w:tcW w:w="1216" w:type="dxa"/>
          </w:tcPr>
          <w:p w:rsidR="00C63536" w:rsidRPr="00A63DE4" w:rsidRDefault="00C63536" w:rsidP="004F0D6A">
            <w:pPr>
              <w:jc w:val="center"/>
              <w:rPr>
                <w:rFonts w:cs="Arial"/>
                <w:b/>
                <w:szCs w:val="22"/>
              </w:rPr>
            </w:pPr>
            <w:r w:rsidRPr="00A63DE4">
              <w:rPr>
                <w:rFonts w:cs="Arial"/>
                <w:b/>
                <w:szCs w:val="22"/>
              </w:rPr>
              <w:t>£000</w:t>
            </w:r>
          </w:p>
        </w:tc>
      </w:tr>
      <w:tr w:rsidR="001D686A" w:rsidRPr="00A63DE4" w:rsidTr="001D686A">
        <w:tc>
          <w:tcPr>
            <w:tcW w:w="2755" w:type="dxa"/>
          </w:tcPr>
          <w:p w:rsidR="001D686A" w:rsidRPr="00A63DE4" w:rsidRDefault="001D686A" w:rsidP="00C63536">
            <w:pPr>
              <w:jc w:val="left"/>
              <w:rPr>
                <w:rFonts w:cs="Arial"/>
                <w:szCs w:val="22"/>
              </w:rPr>
            </w:pPr>
            <w:r w:rsidRPr="00A63DE4">
              <w:rPr>
                <w:rFonts w:cs="Arial"/>
                <w:szCs w:val="22"/>
              </w:rPr>
              <w:t>Balance B/F at 1 April</w:t>
            </w:r>
          </w:p>
        </w:tc>
        <w:tc>
          <w:tcPr>
            <w:tcW w:w="1048" w:type="dxa"/>
          </w:tcPr>
          <w:p w:rsidR="001D686A" w:rsidRPr="00A63DE4" w:rsidRDefault="001D686A" w:rsidP="00C63536">
            <w:pPr>
              <w:jc w:val="right"/>
              <w:rPr>
                <w:rFonts w:cs="Arial"/>
                <w:szCs w:val="22"/>
              </w:rPr>
            </w:pPr>
            <w:r w:rsidRPr="00A63DE4">
              <w:rPr>
                <w:rFonts w:cs="Arial"/>
                <w:szCs w:val="22"/>
              </w:rPr>
              <w:t>(4,727)</w:t>
            </w:r>
          </w:p>
        </w:tc>
        <w:tc>
          <w:tcPr>
            <w:tcW w:w="1275" w:type="dxa"/>
          </w:tcPr>
          <w:p w:rsidR="001D686A" w:rsidRPr="00A63DE4" w:rsidRDefault="001D686A" w:rsidP="00C63536">
            <w:pPr>
              <w:jc w:val="right"/>
              <w:rPr>
                <w:rFonts w:cs="Arial"/>
                <w:szCs w:val="22"/>
              </w:rPr>
            </w:pPr>
            <w:r w:rsidRPr="00A63DE4">
              <w:rPr>
                <w:rFonts w:cs="Arial"/>
                <w:szCs w:val="22"/>
              </w:rPr>
              <w:t>(4,396)</w:t>
            </w:r>
          </w:p>
        </w:tc>
        <w:tc>
          <w:tcPr>
            <w:tcW w:w="1134" w:type="dxa"/>
          </w:tcPr>
          <w:p w:rsidR="001D686A" w:rsidRPr="00A63DE4" w:rsidRDefault="001D686A" w:rsidP="004F0D6A">
            <w:pPr>
              <w:jc w:val="right"/>
              <w:rPr>
                <w:rFonts w:cs="Arial"/>
                <w:szCs w:val="22"/>
              </w:rPr>
            </w:pPr>
            <w:r w:rsidRPr="00A63DE4">
              <w:rPr>
                <w:rFonts w:cs="Arial"/>
                <w:szCs w:val="22"/>
              </w:rPr>
              <w:t>(4,396)</w:t>
            </w:r>
          </w:p>
        </w:tc>
        <w:tc>
          <w:tcPr>
            <w:tcW w:w="1276" w:type="dxa"/>
          </w:tcPr>
          <w:p w:rsidR="001D686A" w:rsidRPr="00A63DE4" w:rsidRDefault="007A341F" w:rsidP="00A63DE4">
            <w:pPr>
              <w:jc w:val="right"/>
              <w:rPr>
                <w:rFonts w:cs="Arial"/>
                <w:szCs w:val="22"/>
              </w:rPr>
            </w:pPr>
            <w:r w:rsidRPr="00A63DE4">
              <w:rPr>
                <w:rFonts w:cs="Arial"/>
                <w:szCs w:val="22"/>
              </w:rPr>
              <w:t>(</w:t>
            </w:r>
            <w:r w:rsidR="001D686A" w:rsidRPr="00A63DE4">
              <w:rPr>
                <w:rFonts w:cs="Arial"/>
                <w:szCs w:val="22"/>
              </w:rPr>
              <w:t>3,</w:t>
            </w:r>
            <w:r w:rsidR="00A63DE4" w:rsidRPr="00A63DE4">
              <w:rPr>
                <w:rFonts w:cs="Arial"/>
                <w:szCs w:val="22"/>
              </w:rPr>
              <w:t>389</w:t>
            </w:r>
            <w:r w:rsidRPr="00A63DE4">
              <w:rPr>
                <w:rFonts w:cs="Arial"/>
                <w:szCs w:val="22"/>
              </w:rPr>
              <w:t>)</w:t>
            </w:r>
          </w:p>
        </w:tc>
        <w:tc>
          <w:tcPr>
            <w:tcW w:w="1216" w:type="dxa"/>
          </w:tcPr>
          <w:p w:rsidR="001D686A" w:rsidRPr="00A63DE4" w:rsidRDefault="001D686A" w:rsidP="00585FFF">
            <w:pPr>
              <w:jc w:val="right"/>
              <w:rPr>
                <w:rFonts w:cs="Arial"/>
                <w:szCs w:val="22"/>
              </w:rPr>
            </w:pPr>
            <w:r w:rsidRPr="00A63DE4">
              <w:rPr>
                <w:rFonts w:cs="Arial"/>
                <w:szCs w:val="22"/>
              </w:rPr>
              <w:t>(</w:t>
            </w:r>
            <w:r w:rsidR="00585FFF">
              <w:rPr>
                <w:rFonts w:cs="Arial"/>
                <w:szCs w:val="22"/>
              </w:rPr>
              <w:t>3</w:t>
            </w:r>
            <w:r w:rsidRPr="00A63DE4">
              <w:rPr>
                <w:rFonts w:cs="Arial"/>
                <w:szCs w:val="22"/>
              </w:rPr>
              <w:t>,</w:t>
            </w:r>
            <w:r w:rsidR="00585FFF">
              <w:rPr>
                <w:rFonts w:cs="Arial"/>
                <w:szCs w:val="22"/>
              </w:rPr>
              <w:t>154</w:t>
            </w:r>
            <w:r w:rsidRPr="00A63DE4">
              <w:rPr>
                <w:rFonts w:cs="Arial"/>
                <w:szCs w:val="22"/>
              </w:rPr>
              <w:t>)</w:t>
            </w:r>
          </w:p>
        </w:tc>
      </w:tr>
      <w:tr w:rsidR="001D686A" w:rsidRPr="00A63DE4" w:rsidTr="001D686A">
        <w:tc>
          <w:tcPr>
            <w:tcW w:w="2755" w:type="dxa"/>
          </w:tcPr>
          <w:p w:rsidR="001D686A" w:rsidRPr="00A63DE4" w:rsidRDefault="001D686A" w:rsidP="00194A36">
            <w:pPr>
              <w:jc w:val="left"/>
              <w:rPr>
                <w:rFonts w:cs="Arial"/>
                <w:szCs w:val="22"/>
              </w:rPr>
            </w:pPr>
            <w:r w:rsidRPr="00A63DE4">
              <w:rPr>
                <w:rFonts w:cs="Arial"/>
                <w:szCs w:val="22"/>
              </w:rPr>
              <w:t>(</w:t>
            </w:r>
            <w:r w:rsidR="007A341F" w:rsidRPr="00A63DE4">
              <w:rPr>
                <w:rFonts w:cs="Arial"/>
                <w:szCs w:val="22"/>
              </w:rPr>
              <w:t>S</w:t>
            </w:r>
            <w:r w:rsidRPr="00A63DE4">
              <w:rPr>
                <w:rFonts w:cs="Arial"/>
                <w:szCs w:val="22"/>
              </w:rPr>
              <w:t>urplus)/deficit for year</w:t>
            </w:r>
          </w:p>
        </w:tc>
        <w:tc>
          <w:tcPr>
            <w:tcW w:w="1048" w:type="dxa"/>
          </w:tcPr>
          <w:p w:rsidR="001D686A" w:rsidRPr="00A63DE4" w:rsidRDefault="001D686A" w:rsidP="00C63536">
            <w:pPr>
              <w:jc w:val="right"/>
              <w:rPr>
                <w:rFonts w:cs="Arial"/>
                <w:szCs w:val="22"/>
              </w:rPr>
            </w:pPr>
            <w:r w:rsidRPr="00A63DE4">
              <w:rPr>
                <w:rFonts w:cs="Arial"/>
                <w:szCs w:val="22"/>
              </w:rPr>
              <w:t>(5)</w:t>
            </w:r>
          </w:p>
        </w:tc>
        <w:tc>
          <w:tcPr>
            <w:tcW w:w="1275" w:type="dxa"/>
          </w:tcPr>
          <w:p w:rsidR="001D686A" w:rsidRPr="00A63DE4" w:rsidRDefault="001D686A" w:rsidP="00BE0A3D">
            <w:pPr>
              <w:jc w:val="right"/>
              <w:rPr>
                <w:rFonts w:cs="Arial"/>
                <w:szCs w:val="22"/>
              </w:rPr>
            </w:pPr>
            <w:r w:rsidRPr="00A63DE4">
              <w:rPr>
                <w:rFonts w:cs="Arial"/>
                <w:szCs w:val="22"/>
              </w:rPr>
              <w:t>4</w:t>
            </w:r>
            <w:r w:rsidR="00BE0A3D" w:rsidRPr="00A63DE4">
              <w:rPr>
                <w:rFonts w:cs="Arial"/>
                <w:szCs w:val="22"/>
              </w:rPr>
              <w:t>77</w:t>
            </w:r>
          </w:p>
        </w:tc>
        <w:tc>
          <w:tcPr>
            <w:tcW w:w="1134" w:type="dxa"/>
          </w:tcPr>
          <w:p w:rsidR="001D686A" w:rsidRPr="00A63DE4" w:rsidRDefault="00A63DE4" w:rsidP="001E06A2">
            <w:pPr>
              <w:jc w:val="right"/>
              <w:rPr>
                <w:rFonts w:cs="Arial"/>
                <w:szCs w:val="22"/>
              </w:rPr>
            </w:pPr>
            <w:r w:rsidRPr="00A63DE4">
              <w:rPr>
                <w:rFonts w:cs="Arial"/>
                <w:szCs w:val="22"/>
              </w:rPr>
              <w:t>1,007</w:t>
            </w:r>
          </w:p>
        </w:tc>
        <w:tc>
          <w:tcPr>
            <w:tcW w:w="1276" w:type="dxa"/>
          </w:tcPr>
          <w:p w:rsidR="001D686A" w:rsidRPr="00A63DE4" w:rsidRDefault="00585FFF" w:rsidP="00A63DE4">
            <w:pPr>
              <w:jc w:val="right"/>
              <w:rPr>
                <w:rFonts w:cs="Arial"/>
                <w:szCs w:val="22"/>
              </w:rPr>
            </w:pPr>
            <w:r>
              <w:rPr>
                <w:rFonts w:cs="Arial"/>
                <w:szCs w:val="22"/>
              </w:rPr>
              <w:t>235</w:t>
            </w:r>
          </w:p>
        </w:tc>
        <w:tc>
          <w:tcPr>
            <w:tcW w:w="1216" w:type="dxa"/>
          </w:tcPr>
          <w:p w:rsidR="001D686A" w:rsidRPr="00A63DE4" w:rsidRDefault="00585FFF" w:rsidP="00585FFF">
            <w:pPr>
              <w:jc w:val="right"/>
              <w:rPr>
                <w:rFonts w:cs="Arial"/>
                <w:szCs w:val="22"/>
              </w:rPr>
            </w:pPr>
            <w:r>
              <w:rPr>
                <w:rFonts w:cs="Arial"/>
                <w:szCs w:val="22"/>
              </w:rPr>
              <w:t>111</w:t>
            </w:r>
          </w:p>
        </w:tc>
      </w:tr>
      <w:tr w:rsidR="001D686A" w:rsidTr="001D686A">
        <w:tc>
          <w:tcPr>
            <w:tcW w:w="2755" w:type="dxa"/>
          </w:tcPr>
          <w:p w:rsidR="001D686A" w:rsidRPr="00A63DE4" w:rsidRDefault="001D686A" w:rsidP="001D686A">
            <w:pPr>
              <w:jc w:val="left"/>
              <w:rPr>
                <w:rFonts w:cs="Arial"/>
                <w:szCs w:val="22"/>
              </w:rPr>
            </w:pPr>
            <w:r w:rsidRPr="00A63DE4">
              <w:rPr>
                <w:rFonts w:cs="Arial"/>
                <w:szCs w:val="22"/>
              </w:rPr>
              <w:t>Balance at 31 March</w:t>
            </w:r>
          </w:p>
        </w:tc>
        <w:tc>
          <w:tcPr>
            <w:tcW w:w="1048" w:type="dxa"/>
          </w:tcPr>
          <w:p w:rsidR="001D686A" w:rsidRPr="00A63DE4" w:rsidRDefault="001D686A" w:rsidP="00C63536">
            <w:pPr>
              <w:jc w:val="right"/>
              <w:rPr>
                <w:rFonts w:cs="Arial"/>
                <w:b/>
                <w:szCs w:val="22"/>
              </w:rPr>
            </w:pPr>
            <w:r w:rsidRPr="00A63DE4">
              <w:rPr>
                <w:rFonts w:cs="Arial"/>
                <w:b/>
                <w:szCs w:val="22"/>
              </w:rPr>
              <w:t>(4,732)</w:t>
            </w:r>
          </w:p>
        </w:tc>
        <w:tc>
          <w:tcPr>
            <w:tcW w:w="1275" w:type="dxa"/>
          </w:tcPr>
          <w:p w:rsidR="001D686A" w:rsidRPr="00A63DE4" w:rsidRDefault="001D686A" w:rsidP="00BE0A3D">
            <w:pPr>
              <w:jc w:val="right"/>
              <w:rPr>
                <w:rFonts w:cs="Arial"/>
                <w:b/>
                <w:szCs w:val="22"/>
              </w:rPr>
            </w:pPr>
            <w:r w:rsidRPr="00A63DE4">
              <w:rPr>
                <w:rFonts w:cs="Arial"/>
                <w:b/>
                <w:szCs w:val="22"/>
              </w:rPr>
              <w:t>(3,9</w:t>
            </w:r>
            <w:r w:rsidR="00BE0A3D" w:rsidRPr="00A63DE4">
              <w:rPr>
                <w:rFonts w:cs="Arial"/>
                <w:b/>
                <w:szCs w:val="22"/>
              </w:rPr>
              <w:t>19</w:t>
            </w:r>
            <w:r w:rsidRPr="00A63DE4">
              <w:rPr>
                <w:rFonts w:cs="Arial"/>
                <w:b/>
                <w:szCs w:val="22"/>
              </w:rPr>
              <w:t>)</w:t>
            </w:r>
          </w:p>
        </w:tc>
        <w:tc>
          <w:tcPr>
            <w:tcW w:w="1134" w:type="dxa"/>
          </w:tcPr>
          <w:p w:rsidR="001D686A" w:rsidRPr="00A63DE4" w:rsidRDefault="001D686A" w:rsidP="00A63DE4">
            <w:pPr>
              <w:jc w:val="right"/>
              <w:rPr>
                <w:rFonts w:cs="Arial"/>
                <w:b/>
                <w:szCs w:val="22"/>
              </w:rPr>
            </w:pPr>
            <w:r w:rsidRPr="00A63DE4">
              <w:rPr>
                <w:rFonts w:cs="Arial"/>
                <w:b/>
                <w:szCs w:val="22"/>
              </w:rPr>
              <w:t>(3,</w:t>
            </w:r>
            <w:r w:rsidR="00A63DE4" w:rsidRPr="00A63DE4">
              <w:rPr>
                <w:rFonts w:cs="Arial"/>
                <w:b/>
                <w:szCs w:val="22"/>
              </w:rPr>
              <w:t>389</w:t>
            </w:r>
            <w:r w:rsidRPr="00A63DE4">
              <w:rPr>
                <w:rFonts w:cs="Arial"/>
                <w:b/>
                <w:szCs w:val="22"/>
              </w:rPr>
              <w:t>)</w:t>
            </w:r>
          </w:p>
        </w:tc>
        <w:tc>
          <w:tcPr>
            <w:tcW w:w="1276" w:type="dxa"/>
          </w:tcPr>
          <w:p w:rsidR="001D686A" w:rsidRPr="00A63DE4" w:rsidRDefault="001D686A" w:rsidP="00585FFF">
            <w:pPr>
              <w:jc w:val="right"/>
              <w:rPr>
                <w:rFonts w:cs="Arial"/>
                <w:b/>
                <w:szCs w:val="22"/>
              </w:rPr>
            </w:pPr>
            <w:r w:rsidRPr="00A63DE4">
              <w:rPr>
                <w:rFonts w:cs="Arial"/>
                <w:b/>
                <w:szCs w:val="22"/>
              </w:rPr>
              <w:t>(</w:t>
            </w:r>
            <w:r w:rsidR="00585FFF">
              <w:rPr>
                <w:rFonts w:cs="Arial"/>
                <w:b/>
                <w:szCs w:val="22"/>
              </w:rPr>
              <w:t>3</w:t>
            </w:r>
            <w:r w:rsidRPr="00A63DE4">
              <w:rPr>
                <w:rFonts w:cs="Arial"/>
                <w:b/>
                <w:szCs w:val="22"/>
              </w:rPr>
              <w:t>,</w:t>
            </w:r>
            <w:r w:rsidR="00585FFF">
              <w:rPr>
                <w:rFonts w:cs="Arial"/>
                <w:b/>
                <w:szCs w:val="22"/>
              </w:rPr>
              <w:t>154</w:t>
            </w:r>
            <w:r w:rsidRPr="00A63DE4">
              <w:rPr>
                <w:rFonts w:cs="Arial"/>
                <w:b/>
                <w:szCs w:val="22"/>
              </w:rPr>
              <w:t>)</w:t>
            </w:r>
          </w:p>
        </w:tc>
        <w:tc>
          <w:tcPr>
            <w:tcW w:w="1216" w:type="dxa"/>
          </w:tcPr>
          <w:p w:rsidR="001D686A" w:rsidRPr="00A63DE4" w:rsidRDefault="001D686A" w:rsidP="00585FFF">
            <w:pPr>
              <w:jc w:val="right"/>
              <w:rPr>
                <w:rFonts w:cs="Arial"/>
                <w:b/>
                <w:szCs w:val="22"/>
              </w:rPr>
            </w:pPr>
            <w:r w:rsidRPr="00A63DE4">
              <w:rPr>
                <w:rFonts w:cs="Arial"/>
                <w:b/>
                <w:szCs w:val="22"/>
              </w:rPr>
              <w:t>(</w:t>
            </w:r>
            <w:r w:rsidR="00585FFF">
              <w:rPr>
                <w:rFonts w:cs="Arial"/>
                <w:b/>
                <w:szCs w:val="22"/>
              </w:rPr>
              <w:t>3</w:t>
            </w:r>
            <w:r w:rsidRPr="00A63DE4">
              <w:rPr>
                <w:rFonts w:cs="Arial"/>
                <w:b/>
                <w:szCs w:val="22"/>
              </w:rPr>
              <w:t>,</w:t>
            </w:r>
            <w:r w:rsidR="00585FFF">
              <w:rPr>
                <w:rFonts w:cs="Arial"/>
                <w:b/>
                <w:szCs w:val="22"/>
              </w:rPr>
              <w:t>043</w:t>
            </w:r>
            <w:r w:rsidRPr="00A63DE4">
              <w:rPr>
                <w:rFonts w:cs="Arial"/>
                <w:b/>
                <w:szCs w:val="22"/>
              </w:rPr>
              <w:t>)</w:t>
            </w:r>
          </w:p>
        </w:tc>
      </w:tr>
    </w:tbl>
    <w:p w:rsidR="00AB0AE0" w:rsidRDefault="00AB0AE0" w:rsidP="006E632E">
      <w:pPr>
        <w:ind w:left="1267" w:hanging="1267"/>
        <w:rPr>
          <w:rFonts w:cs="Arial"/>
          <w:szCs w:val="22"/>
        </w:rPr>
      </w:pPr>
    </w:p>
    <w:p w:rsidR="0008621F" w:rsidRDefault="0008621F" w:rsidP="006E632E">
      <w:pPr>
        <w:ind w:left="1267" w:hanging="1267"/>
        <w:rPr>
          <w:rFonts w:cs="Arial"/>
          <w:szCs w:val="22"/>
        </w:rPr>
      </w:pPr>
      <w:r>
        <w:rPr>
          <w:rFonts w:cs="Arial"/>
          <w:szCs w:val="22"/>
        </w:rPr>
        <w:tab/>
        <w:t xml:space="preserve">The additional cost of homelessness has caused a budget pressure in future years </w:t>
      </w:r>
      <w:r w:rsidR="00B95F36">
        <w:rPr>
          <w:rFonts w:cs="Arial"/>
          <w:szCs w:val="22"/>
        </w:rPr>
        <w:t>which reduces the balance significantly over the medium term.</w:t>
      </w:r>
    </w:p>
    <w:p w:rsidR="0008621F" w:rsidRDefault="0008621F" w:rsidP="006E632E">
      <w:pPr>
        <w:ind w:left="1267" w:hanging="1267"/>
        <w:rPr>
          <w:rFonts w:cs="Arial"/>
          <w:szCs w:val="22"/>
        </w:rPr>
      </w:pPr>
    </w:p>
    <w:p w:rsidR="00AB0AE0" w:rsidRDefault="0008621F" w:rsidP="006E632E">
      <w:pPr>
        <w:ind w:left="1267" w:hanging="1267"/>
        <w:rPr>
          <w:rFonts w:cs="Arial"/>
          <w:szCs w:val="22"/>
        </w:rPr>
      </w:pPr>
      <w:r>
        <w:rPr>
          <w:rFonts w:cs="Arial"/>
          <w:szCs w:val="22"/>
        </w:rPr>
        <w:tab/>
      </w:r>
      <w:r w:rsidR="001D686A">
        <w:rPr>
          <w:rFonts w:cs="Arial"/>
          <w:szCs w:val="22"/>
        </w:rPr>
        <w:t>A minimum pru</w:t>
      </w:r>
      <w:r w:rsidR="00F9724C">
        <w:rPr>
          <w:rFonts w:cs="Arial"/>
          <w:szCs w:val="22"/>
        </w:rPr>
        <w:t xml:space="preserve">dent general fund balance of </w:t>
      </w:r>
      <w:r w:rsidR="003A7356">
        <w:rPr>
          <w:rFonts w:cs="Arial"/>
          <w:szCs w:val="22"/>
        </w:rPr>
        <w:t xml:space="preserve">not less than </w:t>
      </w:r>
      <w:r w:rsidR="00F9724C">
        <w:rPr>
          <w:rFonts w:cs="Arial"/>
          <w:szCs w:val="22"/>
        </w:rPr>
        <w:t>£2</w:t>
      </w:r>
      <w:r w:rsidR="001D686A">
        <w:rPr>
          <w:rFonts w:cs="Arial"/>
          <w:szCs w:val="22"/>
        </w:rPr>
        <w:t xml:space="preserve"> million is </w:t>
      </w:r>
      <w:r w:rsidR="00FE2932">
        <w:rPr>
          <w:rFonts w:cs="Arial"/>
          <w:szCs w:val="22"/>
        </w:rPr>
        <w:t>considered</w:t>
      </w:r>
      <w:r w:rsidR="007A341F">
        <w:rPr>
          <w:rFonts w:cs="Arial"/>
          <w:szCs w:val="22"/>
        </w:rPr>
        <w:t xml:space="preserve"> </w:t>
      </w:r>
      <w:r w:rsidR="001D686A">
        <w:rPr>
          <w:rFonts w:cs="Arial"/>
          <w:szCs w:val="22"/>
        </w:rPr>
        <w:t xml:space="preserve">appropriate. </w:t>
      </w:r>
    </w:p>
    <w:p w:rsidR="003A7356" w:rsidRDefault="003A7356" w:rsidP="00181F47">
      <w:pPr>
        <w:ind w:left="1267" w:hanging="1267"/>
        <w:rPr>
          <w:rFonts w:cs="Arial"/>
          <w:szCs w:val="22"/>
        </w:rPr>
      </w:pPr>
    </w:p>
    <w:p w:rsidR="00181F47" w:rsidRDefault="00672E45" w:rsidP="00181F47">
      <w:pPr>
        <w:ind w:left="1267" w:hanging="1267"/>
        <w:rPr>
          <w:rFonts w:cs="Arial"/>
          <w:szCs w:val="22"/>
        </w:rPr>
      </w:pPr>
      <w:r w:rsidRPr="00B16B34">
        <w:rPr>
          <w:rFonts w:cs="Arial"/>
          <w:szCs w:val="22"/>
        </w:rPr>
        <w:t>2.</w:t>
      </w:r>
      <w:r w:rsidR="00B7187F">
        <w:rPr>
          <w:rFonts w:cs="Arial"/>
          <w:szCs w:val="22"/>
        </w:rPr>
        <w:t>9</w:t>
      </w:r>
      <w:r w:rsidRPr="00B16B34">
        <w:rPr>
          <w:rFonts w:cs="Arial"/>
          <w:szCs w:val="22"/>
        </w:rPr>
        <w:tab/>
      </w:r>
      <w:r w:rsidRPr="007E0F9B">
        <w:rPr>
          <w:rFonts w:cs="Arial"/>
          <w:b/>
          <w:szCs w:val="22"/>
        </w:rPr>
        <w:t xml:space="preserve">Appendix </w:t>
      </w:r>
      <w:r w:rsidR="00A81F67">
        <w:rPr>
          <w:rFonts w:cs="Arial"/>
          <w:b/>
          <w:szCs w:val="22"/>
        </w:rPr>
        <w:t>1</w:t>
      </w:r>
      <w:r w:rsidR="006368E4" w:rsidRPr="00B16B34">
        <w:rPr>
          <w:rFonts w:cs="Arial"/>
          <w:szCs w:val="22"/>
        </w:rPr>
        <w:t xml:space="preserve"> </w:t>
      </w:r>
      <w:r w:rsidR="00C42DD6" w:rsidRPr="00B16B34">
        <w:rPr>
          <w:rFonts w:cs="Arial"/>
          <w:szCs w:val="22"/>
        </w:rPr>
        <w:t xml:space="preserve">shows the medium term revenue budget </w:t>
      </w:r>
      <w:r w:rsidR="001712A5" w:rsidRPr="00B16B34">
        <w:rPr>
          <w:rFonts w:cs="Arial"/>
          <w:szCs w:val="22"/>
        </w:rPr>
        <w:t xml:space="preserve">by cost centre </w:t>
      </w:r>
      <w:r w:rsidR="00C42DD6" w:rsidRPr="00B16B34">
        <w:rPr>
          <w:rFonts w:cs="Arial"/>
          <w:szCs w:val="22"/>
        </w:rPr>
        <w:t xml:space="preserve">by </w:t>
      </w:r>
      <w:r w:rsidR="00BB49F7">
        <w:rPr>
          <w:rFonts w:cs="Arial"/>
          <w:szCs w:val="22"/>
        </w:rPr>
        <w:t>c</w:t>
      </w:r>
      <w:r w:rsidR="00C42DD6" w:rsidRPr="00B16B34">
        <w:rPr>
          <w:rFonts w:cs="Arial"/>
          <w:szCs w:val="22"/>
        </w:rPr>
        <w:t>ommittee.</w:t>
      </w:r>
    </w:p>
    <w:p w:rsidR="00A81F67" w:rsidRDefault="00A81F67" w:rsidP="00181F47">
      <w:pPr>
        <w:ind w:left="1267" w:hanging="1267"/>
        <w:rPr>
          <w:rFonts w:cs="Arial"/>
          <w:szCs w:val="22"/>
        </w:rPr>
      </w:pPr>
    </w:p>
    <w:p w:rsidR="00A81F67" w:rsidRDefault="00A81F67" w:rsidP="00172723">
      <w:pPr>
        <w:ind w:left="1267" w:hanging="1267"/>
      </w:pPr>
      <w:r>
        <w:rPr>
          <w:rFonts w:cs="Arial"/>
          <w:szCs w:val="22"/>
        </w:rPr>
        <w:t>2.</w:t>
      </w:r>
      <w:r w:rsidR="003A7356">
        <w:rPr>
          <w:rFonts w:cs="Arial"/>
          <w:szCs w:val="22"/>
        </w:rPr>
        <w:t>1</w:t>
      </w:r>
      <w:r w:rsidR="00B7187F">
        <w:rPr>
          <w:rFonts w:cs="Arial"/>
          <w:szCs w:val="22"/>
        </w:rPr>
        <w:t>0</w:t>
      </w:r>
      <w:r>
        <w:rPr>
          <w:rFonts w:cs="Arial"/>
          <w:szCs w:val="22"/>
        </w:rPr>
        <w:tab/>
      </w:r>
      <w:r w:rsidRPr="007E0F9B">
        <w:rPr>
          <w:rFonts w:cs="Arial"/>
          <w:b/>
          <w:szCs w:val="22"/>
        </w:rPr>
        <w:t xml:space="preserve">Appendix </w:t>
      </w:r>
      <w:r>
        <w:rPr>
          <w:rFonts w:cs="Arial"/>
          <w:b/>
          <w:szCs w:val="22"/>
        </w:rPr>
        <w:t>2</w:t>
      </w:r>
      <w:r w:rsidRPr="00B16B34">
        <w:rPr>
          <w:rFonts w:cs="Arial"/>
          <w:szCs w:val="22"/>
        </w:rPr>
        <w:t xml:space="preserve"> shows the </w:t>
      </w:r>
      <w:r>
        <w:rPr>
          <w:rFonts w:cs="Arial"/>
          <w:szCs w:val="22"/>
        </w:rPr>
        <w:t>e</w:t>
      </w:r>
      <w:r w:rsidR="00D27EFC">
        <w:t>xplanations of r</w:t>
      </w:r>
      <w:r>
        <w:t xml:space="preserve">evenue </w:t>
      </w:r>
      <w:r w:rsidR="00D27EFC">
        <w:t>v</w:t>
      </w:r>
      <w:r>
        <w:t xml:space="preserve">ariances reported </w:t>
      </w:r>
      <w:r w:rsidR="003E7844">
        <w:t>since the last report</w:t>
      </w:r>
      <w:r>
        <w:t>.</w:t>
      </w:r>
    </w:p>
    <w:p w:rsidR="00197BE0" w:rsidRDefault="00197BE0" w:rsidP="00172723">
      <w:pPr>
        <w:ind w:left="1267" w:hanging="1267"/>
      </w:pPr>
    </w:p>
    <w:p w:rsidR="00A81F67" w:rsidRDefault="00197BE0" w:rsidP="00172723">
      <w:pPr>
        <w:ind w:left="1267" w:hanging="1267"/>
      </w:pPr>
      <w:r>
        <w:t>2.1</w:t>
      </w:r>
      <w:r w:rsidR="00B7187F">
        <w:t>1</w:t>
      </w:r>
      <w:r>
        <w:tab/>
      </w:r>
      <w:r w:rsidRPr="00197BE0">
        <w:rPr>
          <w:b/>
        </w:rPr>
        <w:t>Appendix 3</w:t>
      </w:r>
      <w:r>
        <w:t xml:space="preserve"> shows the </w:t>
      </w:r>
      <w:r w:rsidR="003E7844">
        <w:t xml:space="preserve">previous </w:t>
      </w:r>
      <w:r w:rsidR="006F2E35">
        <w:t>reported</w:t>
      </w:r>
      <w:r w:rsidR="00CB1746">
        <w:t xml:space="preserve"> </w:t>
      </w:r>
      <w:r>
        <w:t>variances</w:t>
      </w:r>
      <w:r w:rsidR="006F2E35">
        <w:t xml:space="preserve"> </w:t>
      </w:r>
      <w:r w:rsidR="003E7844">
        <w:t>which have been agreed by this committee. This is shown to reconcile the movements from the original budget agreed by Council in February 2016.</w:t>
      </w:r>
    </w:p>
    <w:p w:rsidR="00197BE0" w:rsidRDefault="00197BE0" w:rsidP="00172723">
      <w:pPr>
        <w:ind w:left="1267" w:hanging="1267"/>
      </w:pPr>
    </w:p>
    <w:p w:rsidR="00EC67E2" w:rsidRPr="00B16B34" w:rsidRDefault="00C46A80" w:rsidP="00172723">
      <w:pPr>
        <w:ind w:left="1267" w:hanging="1267"/>
        <w:rPr>
          <w:rFonts w:cs="Arial"/>
          <w:szCs w:val="22"/>
        </w:rPr>
      </w:pPr>
      <w:r w:rsidRPr="00B16B34">
        <w:rPr>
          <w:rFonts w:cs="Arial"/>
          <w:szCs w:val="22"/>
        </w:rPr>
        <w:t>2.</w:t>
      </w:r>
      <w:r w:rsidR="003A7356">
        <w:rPr>
          <w:rFonts w:cs="Arial"/>
          <w:szCs w:val="22"/>
        </w:rPr>
        <w:t>1</w:t>
      </w:r>
      <w:r w:rsidR="00B7187F">
        <w:rPr>
          <w:rFonts w:cs="Arial"/>
          <w:szCs w:val="22"/>
        </w:rPr>
        <w:t>2</w:t>
      </w:r>
      <w:r w:rsidRPr="00B16B34">
        <w:rPr>
          <w:rFonts w:cs="Arial"/>
          <w:szCs w:val="22"/>
        </w:rPr>
        <w:tab/>
      </w:r>
      <w:r w:rsidR="00EC67E2" w:rsidRPr="00B25D25">
        <w:rPr>
          <w:rFonts w:cs="Arial"/>
          <w:b/>
          <w:szCs w:val="22"/>
        </w:rPr>
        <w:t xml:space="preserve">Appendix </w:t>
      </w:r>
      <w:r w:rsidR="00197BE0">
        <w:rPr>
          <w:rFonts w:cs="Arial"/>
          <w:b/>
          <w:szCs w:val="22"/>
        </w:rPr>
        <w:t>4</w:t>
      </w:r>
      <w:r w:rsidR="00EC67E2" w:rsidRPr="00B16B34">
        <w:rPr>
          <w:rFonts w:cs="Arial"/>
          <w:szCs w:val="22"/>
        </w:rPr>
        <w:t xml:space="preserve"> shows the </w:t>
      </w:r>
      <w:r w:rsidR="001712A5" w:rsidRPr="00B16B34">
        <w:rPr>
          <w:rFonts w:cs="Arial"/>
          <w:szCs w:val="22"/>
        </w:rPr>
        <w:t>Council’s key budget indicators for service income.</w:t>
      </w:r>
    </w:p>
    <w:p w:rsidR="00EC67E2" w:rsidRPr="00B16B34" w:rsidRDefault="00EC67E2" w:rsidP="00EC67E2">
      <w:pPr>
        <w:tabs>
          <w:tab w:val="clear" w:pos="1260"/>
        </w:tabs>
        <w:rPr>
          <w:rFonts w:cs="Arial"/>
          <w:szCs w:val="22"/>
        </w:rPr>
      </w:pPr>
    </w:p>
    <w:p w:rsidR="00EC67E2" w:rsidRPr="00A81F67" w:rsidRDefault="00EC67E2" w:rsidP="00EC67E2">
      <w:pPr>
        <w:rPr>
          <w:rFonts w:cs="Arial"/>
          <w:szCs w:val="22"/>
        </w:rPr>
      </w:pPr>
      <w:r w:rsidRPr="00B16B34">
        <w:rPr>
          <w:rFonts w:cs="Arial"/>
          <w:szCs w:val="22"/>
        </w:rPr>
        <w:t>2.</w:t>
      </w:r>
      <w:r w:rsidR="003A7356">
        <w:rPr>
          <w:rFonts w:cs="Arial"/>
          <w:szCs w:val="22"/>
        </w:rPr>
        <w:t>1</w:t>
      </w:r>
      <w:r w:rsidR="00B7187F">
        <w:rPr>
          <w:rFonts w:cs="Arial"/>
          <w:szCs w:val="22"/>
        </w:rPr>
        <w:t>3</w:t>
      </w:r>
      <w:r w:rsidRPr="00A81F67">
        <w:rPr>
          <w:rFonts w:cs="Arial"/>
          <w:szCs w:val="22"/>
        </w:rPr>
        <w:t xml:space="preserve">              </w:t>
      </w:r>
      <w:r w:rsidRPr="00A81F67">
        <w:rPr>
          <w:rFonts w:cs="Arial"/>
          <w:b/>
          <w:szCs w:val="22"/>
        </w:rPr>
        <w:t xml:space="preserve">Appendix </w:t>
      </w:r>
      <w:r w:rsidR="00197BE0">
        <w:rPr>
          <w:rFonts w:cs="Arial"/>
          <w:b/>
          <w:szCs w:val="22"/>
        </w:rPr>
        <w:t>5</w:t>
      </w:r>
      <w:r w:rsidRPr="00A81F67">
        <w:rPr>
          <w:rFonts w:cs="Arial"/>
          <w:szCs w:val="22"/>
        </w:rPr>
        <w:t xml:space="preserve"> </w:t>
      </w:r>
      <w:r w:rsidR="008D4B88" w:rsidRPr="00A81F67">
        <w:rPr>
          <w:rFonts w:cs="Arial"/>
          <w:szCs w:val="22"/>
        </w:rPr>
        <w:t>shows the Council</w:t>
      </w:r>
      <w:r w:rsidR="00B636C7" w:rsidRPr="00A81F67">
        <w:rPr>
          <w:rFonts w:cs="Arial"/>
          <w:szCs w:val="22"/>
        </w:rPr>
        <w:t>’</w:t>
      </w:r>
      <w:r w:rsidR="008D4B88" w:rsidRPr="00A81F67">
        <w:rPr>
          <w:rFonts w:cs="Arial"/>
          <w:szCs w:val="22"/>
        </w:rPr>
        <w:t xml:space="preserve">s </w:t>
      </w:r>
      <w:r w:rsidR="00A81F67">
        <w:rPr>
          <w:rFonts w:cs="Arial"/>
          <w:szCs w:val="22"/>
        </w:rPr>
        <w:t>k</w:t>
      </w:r>
      <w:r w:rsidR="008D4B88" w:rsidRPr="00A81F67">
        <w:rPr>
          <w:rFonts w:cs="Arial"/>
          <w:szCs w:val="22"/>
        </w:rPr>
        <w:t xml:space="preserve">ey </w:t>
      </w:r>
      <w:r w:rsidR="00A81F67">
        <w:rPr>
          <w:rFonts w:cs="Arial"/>
          <w:szCs w:val="22"/>
        </w:rPr>
        <w:t>b</w:t>
      </w:r>
      <w:r w:rsidR="008D4B88" w:rsidRPr="00A81F67">
        <w:rPr>
          <w:rFonts w:cs="Arial"/>
          <w:szCs w:val="22"/>
        </w:rPr>
        <w:t>udgetary</w:t>
      </w:r>
      <w:r w:rsidR="00A81F67">
        <w:rPr>
          <w:rFonts w:cs="Arial"/>
          <w:szCs w:val="22"/>
        </w:rPr>
        <w:t xml:space="preserve"> &amp; financial r</w:t>
      </w:r>
      <w:r w:rsidR="008D4B88" w:rsidRPr="00A81F67">
        <w:rPr>
          <w:rFonts w:cs="Arial"/>
          <w:szCs w:val="22"/>
        </w:rPr>
        <w:t>isks</w:t>
      </w:r>
      <w:r w:rsidR="001712A5" w:rsidRPr="00A81F67">
        <w:rPr>
          <w:rFonts w:cs="Arial"/>
          <w:szCs w:val="22"/>
        </w:rPr>
        <w:t>.</w:t>
      </w:r>
      <w:r w:rsidR="008D4B88" w:rsidRPr="00A81F67">
        <w:rPr>
          <w:rFonts w:cs="Arial"/>
          <w:szCs w:val="22"/>
        </w:rPr>
        <w:t xml:space="preserve"> </w:t>
      </w:r>
    </w:p>
    <w:p w:rsidR="003A7356" w:rsidRDefault="003A7356" w:rsidP="006E177E">
      <w:pPr>
        <w:keepNext/>
        <w:ind w:left="1267" w:hanging="1267"/>
      </w:pPr>
    </w:p>
    <w:p w:rsidR="006368E4" w:rsidRPr="00D972D6" w:rsidRDefault="00D972D6" w:rsidP="006E177E">
      <w:pPr>
        <w:keepNext/>
        <w:ind w:left="1267" w:hanging="1267"/>
        <w:rPr>
          <w:b/>
          <w:i/>
        </w:rPr>
      </w:pPr>
      <w:r>
        <w:tab/>
      </w:r>
      <w:r w:rsidR="006368E4" w:rsidRPr="00D972D6">
        <w:rPr>
          <w:b/>
          <w:i/>
        </w:rPr>
        <w:t>Capital</w:t>
      </w:r>
    </w:p>
    <w:p w:rsidR="009C64F1" w:rsidRDefault="009C64F1" w:rsidP="006E177E">
      <w:pPr>
        <w:keepNext/>
        <w:ind w:left="1267" w:hanging="1267"/>
        <w:rPr>
          <w:b/>
        </w:rPr>
      </w:pPr>
    </w:p>
    <w:p w:rsidR="00CA1432" w:rsidRPr="00F949DF" w:rsidRDefault="009C64F1" w:rsidP="009C64F1">
      <w:pPr>
        <w:ind w:left="1267" w:hanging="1267"/>
        <w:rPr>
          <w:highlight w:val="yellow"/>
        </w:rPr>
      </w:pPr>
      <w:r>
        <w:t>2.</w:t>
      </w:r>
      <w:r w:rsidR="00D972D6">
        <w:t>1</w:t>
      </w:r>
      <w:r w:rsidR="00B7187F">
        <w:t>4</w:t>
      </w:r>
      <w:r>
        <w:tab/>
      </w:r>
      <w:r w:rsidRPr="009417BF">
        <w:t xml:space="preserve">The original budget for 2016/17 (as approved by Council in February 2016) was </w:t>
      </w:r>
      <w:r w:rsidRPr="009417BF">
        <w:rPr>
          <w:b/>
        </w:rPr>
        <w:t>£6.656 million</w:t>
      </w:r>
      <w:r w:rsidRPr="00497C4B">
        <w:t>.</w:t>
      </w:r>
      <w:r w:rsidR="00F17085" w:rsidRPr="00497C4B">
        <w:t xml:space="preserve"> </w:t>
      </w:r>
      <w:r w:rsidRPr="00497C4B">
        <w:t xml:space="preserve">The latest budget is </w:t>
      </w:r>
      <w:r w:rsidRPr="00497C4B">
        <w:rPr>
          <w:b/>
        </w:rPr>
        <w:t>£</w:t>
      </w:r>
      <w:r w:rsidR="009417BF" w:rsidRPr="00497C4B">
        <w:rPr>
          <w:b/>
        </w:rPr>
        <w:t>8</w:t>
      </w:r>
      <w:r w:rsidR="00F17085" w:rsidRPr="00497C4B">
        <w:rPr>
          <w:b/>
        </w:rPr>
        <w:t>.</w:t>
      </w:r>
      <w:r w:rsidR="009417BF" w:rsidRPr="00497C4B">
        <w:rPr>
          <w:b/>
        </w:rPr>
        <w:t>067</w:t>
      </w:r>
      <w:r w:rsidRPr="00497C4B">
        <w:rPr>
          <w:b/>
        </w:rPr>
        <w:t xml:space="preserve"> million</w:t>
      </w:r>
      <w:r w:rsidRPr="00497C4B">
        <w:t xml:space="preserve"> which includes rephasing</w:t>
      </w:r>
      <w:r w:rsidR="00C73882" w:rsidRPr="00497C4B">
        <w:t xml:space="preserve"> of </w:t>
      </w:r>
      <w:r w:rsidR="00C73882" w:rsidRPr="00497C4B">
        <w:rPr>
          <w:b/>
        </w:rPr>
        <w:t>£0.482 million</w:t>
      </w:r>
      <w:r w:rsidR="00C73882" w:rsidRPr="00497C4B">
        <w:t xml:space="preserve"> as approved by </w:t>
      </w:r>
      <w:r w:rsidRPr="00497C4B">
        <w:t>Council at its meeting</w:t>
      </w:r>
      <w:r w:rsidR="00C73882" w:rsidRPr="00497C4B">
        <w:t xml:space="preserve"> in May</w:t>
      </w:r>
      <w:r w:rsidRPr="00497C4B">
        <w:t xml:space="preserve"> </w:t>
      </w:r>
      <w:r w:rsidR="00F17085" w:rsidRPr="00497C4B">
        <w:t xml:space="preserve">and additional rephasing of </w:t>
      </w:r>
      <w:r w:rsidR="00F17085" w:rsidRPr="00497C4B">
        <w:rPr>
          <w:b/>
        </w:rPr>
        <w:t>£2.340 million</w:t>
      </w:r>
      <w:r w:rsidR="00F17085" w:rsidRPr="00497C4B">
        <w:t xml:space="preserve"> </w:t>
      </w:r>
      <w:r w:rsidR="00497C4B" w:rsidRPr="00497C4B">
        <w:t xml:space="preserve">and </w:t>
      </w:r>
      <w:r w:rsidR="00C22386" w:rsidRPr="00C22386">
        <w:rPr>
          <w:b/>
        </w:rPr>
        <w:t>(</w:t>
      </w:r>
      <w:r w:rsidR="00497C4B" w:rsidRPr="00497C4B">
        <w:rPr>
          <w:b/>
        </w:rPr>
        <w:t>£1.411</w:t>
      </w:r>
      <w:r w:rsidR="00C22386">
        <w:rPr>
          <w:b/>
        </w:rPr>
        <w:t>)</w:t>
      </w:r>
      <w:r w:rsidR="00497C4B" w:rsidRPr="00497C4B">
        <w:rPr>
          <w:b/>
        </w:rPr>
        <w:t xml:space="preserve"> million</w:t>
      </w:r>
      <w:r w:rsidR="00497C4B" w:rsidRPr="00497C4B">
        <w:t xml:space="preserve"> </w:t>
      </w:r>
      <w:r w:rsidR="00F17085" w:rsidRPr="00497C4B">
        <w:t>that was included in</w:t>
      </w:r>
      <w:r w:rsidRPr="00497C4B">
        <w:t xml:space="preserve"> the </w:t>
      </w:r>
      <w:r w:rsidR="00890A8C" w:rsidRPr="00497C4B">
        <w:t>o</w:t>
      </w:r>
      <w:r w:rsidRPr="00497C4B">
        <w:t>utturn report</w:t>
      </w:r>
      <w:r w:rsidR="00497C4B" w:rsidRPr="00497C4B">
        <w:t>s</w:t>
      </w:r>
      <w:r w:rsidRPr="00497C4B">
        <w:t xml:space="preserve"> presented to P</w:t>
      </w:r>
      <w:r w:rsidR="00F17085" w:rsidRPr="00497C4B">
        <w:t xml:space="preserve">olicy &amp; Resources Committee </w:t>
      </w:r>
      <w:r w:rsidRPr="00497C4B">
        <w:t xml:space="preserve">in June </w:t>
      </w:r>
      <w:r w:rsidR="00C73882" w:rsidRPr="00497C4B">
        <w:t xml:space="preserve">and </w:t>
      </w:r>
      <w:r w:rsidR="00497C4B" w:rsidRPr="00497C4B">
        <w:t xml:space="preserve">October </w:t>
      </w:r>
      <w:r w:rsidRPr="00497C4B">
        <w:t>recommended for approval to Council</w:t>
      </w:r>
      <w:r w:rsidR="00F17085" w:rsidRPr="00497C4B">
        <w:t>.</w:t>
      </w:r>
    </w:p>
    <w:p w:rsidR="00CA1432" w:rsidRPr="006A2B17" w:rsidRDefault="00CA1432" w:rsidP="009C64F1">
      <w:pPr>
        <w:ind w:left="1267" w:hanging="1267"/>
      </w:pPr>
    </w:p>
    <w:p w:rsidR="00EC2DA9" w:rsidRPr="00B42B18" w:rsidRDefault="00CA1432" w:rsidP="00B42B18">
      <w:pPr>
        <w:ind w:left="1267" w:hanging="1267"/>
      </w:pPr>
      <w:r w:rsidRPr="006A2B17">
        <w:lastRenderedPageBreak/>
        <w:t>2.1</w:t>
      </w:r>
      <w:r w:rsidR="00B7187F">
        <w:t>5</w:t>
      </w:r>
      <w:r w:rsidRPr="006A2B17">
        <w:tab/>
      </w:r>
      <w:r w:rsidR="00434D29" w:rsidRPr="006A2B17">
        <w:t xml:space="preserve">Services have identified </w:t>
      </w:r>
      <w:r w:rsidR="00234D8A">
        <w:t xml:space="preserve">a variance of </w:t>
      </w:r>
      <w:r w:rsidR="00434D29" w:rsidRPr="006A2B17">
        <w:rPr>
          <w:b/>
        </w:rPr>
        <w:t>£</w:t>
      </w:r>
      <w:r w:rsidR="006A2B17" w:rsidRPr="006A2B17">
        <w:rPr>
          <w:b/>
        </w:rPr>
        <w:t>0</w:t>
      </w:r>
      <w:r w:rsidR="00434D29" w:rsidRPr="006A2B17">
        <w:rPr>
          <w:b/>
        </w:rPr>
        <w:t>.</w:t>
      </w:r>
      <w:r w:rsidR="006A2B17" w:rsidRPr="006A2B17">
        <w:rPr>
          <w:b/>
        </w:rPr>
        <w:t xml:space="preserve">347 </w:t>
      </w:r>
      <w:r w:rsidR="00434D29" w:rsidRPr="006A2B17">
        <w:rPr>
          <w:b/>
        </w:rPr>
        <w:t>million</w:t>
      </w:r>
      <w:r w:rsidR="00234D8A">
        <w:rPr>
          <w:b/>
        </w:rPr>
        <w:t xml:space="preserve"> </w:t>
      </w:r>
      <w:r w:rsidR="00234D8A" w:rsidRPr="00234D8A">
        <w:t>which</w:t>
      </w:r>
      <w:r w:rsidR="00234D8A">
        <w:t xml:space="preserve"> </w:t>
      </w:r>
      <w:r w:rsidR="00434D29" w:rsidRPr="006A2B17">
        <w:t>reduce</w:t>
      </w:r>
      <w:r w:rsidR="00234D8A">
        <w:t>s</w:t>
      </w:r>
      <w:r w:rsidR="00434D29" w:rsidRPr="006A2B17">
        <w:t xml:space="preserve"> the 2016/17 budget </w:t>
      </w:r>
      <w:r w:rsidR="00434D29" w:rsidRPr="00234D8A">
        <w:t>to</w:t>
      </w:r>
      <w:r w:rsidR="00434D29" w:rsidRPr="006A2B17">
        <w:rPr>
          <w:b/>
        </w:rPr>
        <w:t xml:space="preserve"> £</w:t>
      </w:r>
      <w:r w:rsidR="006A2B17" w:rsidRPr="006A2B17">
        <w:rPr>
          <w:b/>
        </w:rPr>
        <w:t>7</w:t>
      </w:r>
      <w:r w:rsidR="00434D29" w:rsidRPr="006A2B17">
        <w:rPr>
          <w:b/>
        </w:rPr>
        <w:t>.</w:t>
      </w:r>
      <w:r w:rsidR="006A2B17" w:rsidRPr="006A2B17">
        <w:rPr>
          <w:b/>
        </w:rPr>
        <w:t>720</w:t>
      </w:r>
      <w:r w:rsidR="00434D29" w:rsidRPr="006A2B17">
        <w:rPr>
          <w:b/>
        </w:rPr>
        <w:t xml:space="preserve"> million</w:t>
      </w:r>
      <w:r w:rsidR="001E5E8F">
        <w:rPr>
          <w:b/>
        </w:rPr>
        <w:t xml:space="preserve">, </w:t>
      </w:r>
      <w:r w:rsidR="001E5E8F" w:rsidRPr="001E5E8F">
        <w:t>the table below summarises the capital budget changes</w:t>
      </w:r>
      <w:r w:rsidR="00D41B6B">
        <w:t>, by committee</w:t>
      </w:r>
      <w:r w:rsidR="006A2B17" w:rsidRPr="001E5E8F">
        <w:t>.</w:t>
      </w:r>
    </w:p>
    <w:p w:rsidR="004F0D6A" w:rsidRDefault="004F0D6A" w:rsidP="009C64F1">
      <w:pPr>
        <w:ind w:left="1267" w:hanging="1267"/>
        <w:rPr>
          <w:b/>
        </w:rPr>
      </w:pPr>
    </w:p>
    <w:tbl>
      <w:tblPr>
        <w:tblStyle w:val="TableGrid"/>
        <w:tblW w:w="8789" w:type="dxa"/>
        <w:tblInd w:w="1384" w:type="dxa"/>
        <w:tblLayout w:type="fixed"/>
        <w:tblLook w:val="04A0" w:firstRow="1" w:lastRow="0" w:firstColumn="1" w:lastColumn="0" w:noHBand="0" w:noVBand="1"/>
      </w:tblPr>
      <w:tblGrid>
        <w:gridCol w:w="3119"/>
        <w:gridCol w:w="1134"/>
        <w:gridCol w:w="1134"/>
        <w:gridCol w:w="1134"/>
        <w:gridCol w:w="1134"/>
        <w:gridCol w:w="1134"/>
      </w:tblGrid>
      <w:tr w:rsidR="001E5E8F" w:rsidTr="001E5E8F">
        <w:tc>
          <w:tcPr>
            <w:tcW w:w="3119" w:type="dxa"/>
            <w:vAlign w:val="center"/>
          </w:tcPr>
          <w:p w:rsidR="001E5E8F" w:rsidRPr="004F0D6A" w:rsidRDefault="001E5E8F" w:rsidP="00234D8A">
            <w:pPr>
              <w:jc w:val="center"/>
              <w:rPr>
                <w:b/>
              </w:rPr>
            </w:pPr>
            <w:r w:rsidRPr="004F0D6A">
              <w:rPr>
                <w:b/>
              </w:rPr>
              <w:t>Service</w:t>
            </w:r>
            <w:r w:rsidR="00234D8A">
              <w:rPr>
                <w:b/>
              </w:rPr>
              <w:t xml:space="preserve"> </w:t>
            </w:r>
            <w:r w:rsidRPr="004F0D6A">
              <w:rPr>
                <w:b/>
              </w:rPr>
              <w:t>Area</w:t>
            </w:r>
          </w:p>
        </w:tc>
        <w:tc>
          <w:tcPr>
            <w:tcW w:w="1134" w:type="dxa"/>
          </w:tcPr>
          <w:p w:rsidR="00234D8A" w:rsidRDefault="00234D8A" w:rsidP="004F0D6A">
            <w:pPr>
              <w:jc w:val="center"/>
              <w:rPr>
                <w:b/>
              </w:rPr>
            </w:pPr>
          </w:p>
          <w:p w:rsidR="001E5E8F" w:rsidRPr="004F0D6A" w:rsidRDefault="001E5E8F" w:rsidP="004F0D6A">
            <w:pPr>
              <w:jc w:val="center"/>
              <w:rPr>
                <w:b/>
              </w:rPr>
            </w:pPr>
            <w:r w:rsidRPr="004F0D6A">
              <w:rPr>
                <w:b/>
              </w:rPr>
              <w:t>Original Budget</w:t>
            </w:r>
          </w:p>
          <w:p w:rsidR="001E5E8F" w:rsidRDefault="001E5E8F" w:rsidP="004F0D6A">
            <w:pPr>
              <w:jc w:val="center"/>
            </w:pPr>
            <w:r w:rsidRPr="004F0D6A">
              <w:rPr>
                <w:b/>
              </w:rPr>
              <w:t>£000</w:t>
            </w:r>
          </w:p>
        </w:tc>
        <w:tc>
          <w:tcPr>
            <w:tcW w:w="1134" w:type="dxa"/>
          </w:tcPr>
          <w:p w:rsidR="00234D8A" w:rsidRDefault="00234D8A" w:rsidP="004F0D6A">
            <w:pPr>
              <w:jc w:val="center"/>
              <w:rPr>
                <w:b/>
              </w:rPr>
            </w:pPr>
          </w:p>
          <w:p w:rsidR="001E5E8F" w:rsidRDefault="001E5E8F" w:rsidP="004F0D6A">
            <w:pPr>
              <w:jc w:val="center"/>
            </w:pPr>
            <w:r w:rsidRPr="004F0D6A">
              <w:rPr>
                <w:b/>
              </w:rPr>
              <w:t xml:space="preserve">Latest </w:t>
            </w:r>
            <w:r>
              <w:rPr>
                <w:b/>
              </w:rPr>
              <w:t xml:space="preserve">               </w:t>
            </w:r>
            <w:r w:rsidRPr="004F0D6A">
              <w:rPr>
                <w:b/>
              </w:rPr>
              <w:t xml:space="preserve">Budget </w:t>
            </w:r>
            <w:r>
              <w:rPr>
                <w:b/>
              </w:rPr>
              <w:t xml:space="preserve">                  </w:t>
            </w:r>
            <w:r w:rsidRPr="004F0D6A">
              <w:rPr>
                <w:b/>
              </w:rPr>
              <w:t>£000</w:t>
            </w:r>
          </w:p>
        </w:tc>
        <w:tc>
          <w:tcPr>
            <w:tcW w:w="1134" w:type="dxa"/>
          </w:tcPr>
          <w:p w:rsidR="001E5E8F" w:rsidRDefault="001E5E8F" w:rsidP="001E5E8F">
            <w:pPr>
              <w:jc w:val="center"/>
              <w:rPr>
                <w:b/>
              </w:rPr>
            </w:pPr>
            <w:r w:rsidRPr="004F0D6A">
              <w:rPr>
                <w:b/>
              </w:rPr>
              <w:t>Actuals</w:t>
            </w:r>
          </w:p>
          <w:p w:rsidR="001E5E8F" w:rsidRPr="004F0D6A" w:rsidRDefault="001E5E8F" w:rsidP="001E5E8F">
            <w:pPr>
              <w:jc w:val="center"/>
              <w:rPr>
                <w:b/>
              </w:rPr>
            </w:pPr>
            <w:r>
              <w:rPr>
                <w:b/>
              </w:rPr>
              <w:t>T</w:t>
            </w:r>
            <w:r w:rsidRPr="004F0D6A">
              <w:rPr>
                <w:b/>
              </w:rPr>
              <w:t>o</w:t>
            </w:r>
            <w:r>
              <w:rPr>
                <w:b/>
              </w:rPr>
              <w:t xml:space="preserve">   </w:t>
            </w:r>
            <w:r w:rsidRPr="004F0D6A">
              <w:rPr>
                <w:b/>
              </w:rPr>
              <w:t>Period 6</w:t>
            </w:r>
            <w:r>
              <w:rPr>
                <w:b/>
              </w:rPr>
              <w:t xml:space="preserve">               </w:t>
            </w:r>
            <w:r w:rsidRPr="004F0D6A">
              <w:rPr>
                <w:b/>
              </w:rPr>
              <w:t xml:space="preserve"> £000</w:t>
            </w:r>
          </w:p>
        </w:tc>
        <w:tc>
          <w:tcPr>
            <w:tcW w:w="1134" w:type="dxa"/>
          </w:tcPr>
          <w:p w:rsidR="001E5E8F" w:rsidRDefault="001E5E8F" w:rsidP="004F0D6A">
            <w:pPr>
              <w:jc w:val="center"/>
              <w:rPr>
                <w:b/>
              </w:rPr>
            </w:pPr>
          </w:p>
          <w:p w:rsidR="00234D8A" w:rsidRDefault="00234D8A" w:rsidP="004F0D6A">
            <w:pPr>
              <w:jc w:val="center"/>
              <w:rPr>
                <w:b/>
              </w:rPr>
            </w:pPr>
          </w:p>
          <w:p w:rsidR="001E5E8F" w:rsidRPr="004F0D6A" w:rsidRDefault="001E5E8F" w:rsidP="004F0D6A">
            <w:pPr>
              <w:jc w:val="center"/>
              <w:rPr>
                <w:b/>
              </w:rPr>
            </w:pPr>
            <w:r>
              <w:rPr>
                <w:b/>
              </w:rPr>
              <w:t>Variance</w:t>
            </w:r>
          </w:p>
          <w:p w:rsidR="001E5E8F" w:rsidRDefault="001E5E8F" w:rsidP="004F0D6A">
            <w:pPr>
              <w:jc w:val="center"/>
            </w:pPr>
            <w:r w:rsidRPr="004F0D6A">
              <w:rPr>
                <w:b/>
              </w:rPr>
              <w:t>£000</w:t>
            </w:r>
          </w:p>
        </w:tc>
        <w:tc>
          <w:tcPr>
            <w:tcW w:w="1134" w:type="dxa"/>
          </w:tcPr>
          <w:p w:rsidR="001E5E8F" w:rsidRDefault="001E5E8F" w:rsidP="004F0D6A">
            <w:pPr>
              <w:jc w:val="center"/>
              <w:rPr>
                <w:b/>
              </w:rPr>
            </w:pPr>
          </w:p>
          <w:p w:rsidR="00234D8A" w:rsidRDefault="00234D8A" w:rsidP="004F0D6A">
            <w:pPr>
              <w:jc w:val="center"/>
              <w:rPr>
                <w:b/>
              </w:rPr>
            </w:pPr>
          </w:p>
          <w:p w:rsidR="001E5E8F" w:rsidRPr="00234D8A" w:rsidRDefault="001E5E8F" w:rsidP="004F0D6A">
            <w:pPr>
              <w:jc w:val="center"/>
              <w:rPr>
                <w:b/>
              </w:rPr>
            </w:pPr>
            <w:r w:rsidRPr="00234D8A">
              <w:rPr>
                <w:b/>
              </w:rPr>
              <w:t>Forecast</w:t>
            </w:r>
          </w:p>
          <w:p w:rsidR="001E5E8F" w:rsidRDefault="001E5E8F" w:rsidP="004F0D6A">
            <w:pPr>
              <w:jc w:val="center"/>
              <w:rPr>
                <w:b/>
              </w:rPr>
            </w:pPr>
            <w:r w:rsidRPr="00234D8A">
              <w:rPr>
                <w:b/>
              </w:rPr>
              <w:t>£000</w:t>
            </w:r>
          </w:p>
        </w:tc>
      </w:tr>
      <w:tr w:rsidR="001E5E8F" w:rsidTr="001E5E8F">
        <w:tc>
          <w:tcPr>
            <w:tcW w:w="3119" w:type="dxa"/>
            <w:vAlign w:val="center"/>
          </w:tcPr>
          <w:p w:rsidR="001E5E8F" w:rsidRDefault="001E5E8F" w:rsidP="001E5E8F">
            <w:pPr>
              <w:jc w:val="left"/>
            </w:pPr>
            <w:r>
              <w:t>Leisure, Wellbeing &amp; Health</w:t>
            </w:r>
          </w:p>
        </w:tc>
        <w:tc>
          <w:tcPr>
            <w:tcW w:w="1134" w:type="dxa"/>
            <w:vAlign w:val="center"/>
          </w:tcPr>
          <w:p w:rsidR="001E5E8F" w:rsidRDefault="001E5E8F" w:rsidP="001E5E8F">
            <w:pPr>
              <w:jc w:val="right"/>
            </w:pPr>
            <w:r>
              <w:t>2,809</w:t>
            </w:r>
          </w:p>
        </w:tc>
        <w:tc>
          <w:tcPr>
            <w:tcW w:w="1134" w:type="dxa"/>
            <w:vAlign w:val="center"/>
          </w:tcPr>
          <w:p w:rsidR="001E5E8F" w:rsidRDefault="001E5E8F" w:rsidP="001E5E8F">
            <w:pPr>
              <w:jc w:val="right"/>
            </w:pPr>
            <w:r>
              <w:t>2,456</w:t>
            </w:r>
          </w:p>
        </w:tc>
        <w:tc>
          <w:tcPr>
            <w:tcW w:w="1134" w:type="dxa"/>
            <w:vAlign w:val="center"/>
          </w:tcPr>
          <w:p w:rsidR="001E5E8F" w:rsidRDefault="001E5E8F" w:rsidP="001E5E8F">
            <w:pPr>
              <w:jc w:val="right"/>
            </w:pPr>
            <w:r>
              <w:t>381</w:t>
            </w:r>
          </w:p>
        </w:tc>
        <w:tc>
          <w:tcPr>
            <w:tcW w:w="1134" w:type="dxa"/>
            <w:vAlign w:val="center"/>
          </w:tcPr>
          <w:p w:rsidR="001E5E8F" w:rsidRDefault="001E5E8F" w:rsidP="001E5E8F">
            <w:pPr>
              <w:jc w:val="right"/>
            </w:pPr>
            <w:r>
              <w:t>(280)</w:t>
            </w:r>
          </w:p>
        </w:tc>
        <w:tc>
          <w:tcPr>
            <w:tcW w:w="1134" w:type="dxa"/>
            <w:vAlign w:val="center"/>
          </w:tcPr>
          <w:p w:rsidR="001E5E8F" w:rsidRDefault="001E5E8F" w:rsidP="001E5E8F">
            <w:pPr>
              <w:jc w:val="right"/>
            </w:pPr>
            <w:r>
              <w:t>2,176</w:t>
            </w:r>
          </w:p>
        </w:tc>
      </w:tr>
      <w:tr w:rsidR="001E5E8F" w:rsidTr="001E5E8F">
        <w:tc>
          <w:tcPr>
            <w:tcW w:w="3119" w:type="dxa"/>
            <w:vAlign w:val="center"/>
          </w:tcPr>
          <w:p w:rsidR="001E5E8F" w:rsidRDefault="001E5E8F" w:rsidP="001E5E8F">
            <w:pPr>
              <w:jc w:val="left"/>
            </w:pPr>
            <w:r>
              <w:t>Sustainable Development, Planning &amp; Transport</w:t>
            </w:r>
          </w:p>
        </w:tc>
        <w:tc>
          <w:tcPr>
            <w:tcW w:w="1134" w:type="dxa"/>
            <w:vAlign w:val="center"/>
          </w:tcPr>
          <w:p w:rsidR="001E5E8F" w:rsidRDefault="001E5E8F" w:rsidP="001E5E8F">
            <w:pPr>
              <w:jc w:val="right"/>
            </w:pPr>
            <w:r>
              <w:t>1,624</w:t>
            </w:r>
          </w:p>
        </w:tc>
        <w:tc>
          <w:tcPr>
            <w:tcW w:w="1134" w:type="dxa"/>
            <w:vAlign w:val="center"/>
          </w:tcPr>
          <w:p w:rsidR="001E5E8F" w:rsidRDefault="001E5E8F" w:rsidP="001E5E8F">
            <w:pPr>
              <w:jc w:val="right"/>
            </w:pPr>
            <w:r>
              <w:t>2,318</w:t>
            </w:r>
          </w:p>
        </w:tc>
        <w:tc>
          <w:tcPr>
            <w:tcW w:w="1134" w:type="dxa"/>
            <w:vAlign w:val="center"/>
          </w:tcPr>
          <w:p w:rsidR="001E5E8F" w:rsidRDefault="001E5E8F" w:rsidP="001E5E8F">
            <w:pPr>
              <w:jc w:val="right"/>
            </w:pPr>
            <w:r>
              <w:t>445</w:t>
            </w:r>
          </w:p>
        </w:tc>
        <w:tc>
          <w:tcPr>
            <w:tcW w:w="1134" w:type="dxa"/>
            <w:vAlign w:val="center"/>
          </w:tcPr>
          <w:p w:rsidR="001E5E8F" w:rsidRDefault="001E5E8F" w:rsidP="001E5E8F">
            <w:pPr>
              <w:jc w:val="right"/>
            </w:pPr>
            <w:r>
              <w:t>(67)</w:t>
            </w:r>
          </w:p>
        </w:tc>
        <w:tc>
          <w:tcPr>
            <w:tcW w:w="1134" w:type="dxa"/>
            <w:vAlign w:val="center"/>
          </w:tcPr>
          <w:p w:rsidR="001E5E8F" w:rsidRDefault="001E5E8F" w:rsidP="001E5E8F">
            <w:pPr>
              <w:jc w:val="right"/>
            </w:pPr>
            <w:r>
              <w:t>2,251</w:t>
            </w:r>
          </w:p>
        </w:tc>
      </w:tr>
      <w:tr w:rsidR="001E5E8F" w:rsidTr="001E5E8F">
        <w:tc>
          <w:tcPr>
            <w:tcW w:w="3119" w:type="dxa"/>
            <w:vAlign w:val="center"/>
          </w:tcPr>
          <w:p w:rsidR="001E5E8F" w:rsidRDefault="001E5E8F" w:rsidP="001E5E8F">
            <w:pPr>
              <w:jc w:val="left"/>
            </w:pPr>
            <w:r>
              <w:t>General Public Services &amp; Community Safety</w:t>
            </w:r>
          </w:p>
        </w:tc>
        <w:tc>
          <w:tcPr>
            <w:tcW w:w="1134" w:type="dxa"/>
            <w:vAlign w:val="center"/>
          </w:tcPr>
          <w:p w:rsidR="001E5E8F" w:rsidRDefault="001E5E8F" w:rsidP="001E5E8F">
            <w:pPr>
              <w:jc w:val="right"/>
            </w:pPr>
            <w:r>
              <w:t>1,367</w:t>
            </w:r>
          </w:p>
        </w:tc>
        <w:tc>
          <w:tcPr>
            <w:tcW w:w="1134" w:type="dxa"/>
            <w:vAlign w:val="center"/>
          </w:tcPr>
          <w:p w:rsidR="001E5E8F" w:rsidRDefault="001E5E8F" w:rsidP="001E5E8F">
            <w:pPr>
              <w:jc w:val="right"/>
            </w:pPr>
            <w:r>
              <w:t>973</w:t>
            </w:r>
          </w:p>
        </w:tc>
        <w:tc>
          <w:tcPr>
            <w:tcW w:w="1134" w:type="dxa"/>
            <w:vAlign w:val="center"/>
          </w:tcPr>
          <w:p w:rsidR="001E5E8F" w:rsidRDefault="001E5E8F" w:rsidP="00C7077D">
            <w:pPr>
              <w:jc w:val="right"/>
            </w:pPr>
            <w:r>
              <w:t>32</w:t>
            </w:r>
            <w:r w:rsidR="00C7077D">
              <w:t>3</w:t>
            </w:r>
          </w:p>
        </w:tc>
        <w:tc>
          <w:tcPr>
            <w:tcW w:w="1134" w:type="dxa"/>
            <w:vAlign w:val="center"/>
          </w:tcPr>
          <w:p w:rsidR="001E5E8F" w:rsidRDefault="001E5E8F" w:rsidP="001E5E8F">
            <w:pPr>
              <w:jc w:val="right"/>
            </w:pPr>
            <w:r>
              <w:t>0</w:t>
            </w:r>
          </w:p>
        </w:tc>
        <w:tc>
          <w:tcPr>
            <w:tcW w:w="1134" w:type="dxa"/>
            <w:vAlign w:val="center"/>
          </w:tcPr>
          <w:p w:rsidR="001E5E8F" w:rsidRDefault="001E5E8F" w:rsidP="001E5E8F">
            <w:pPr>
              <w:jc w:val="right"/>
            </w:pPr>
            <w:r>
              <w:t>973</w:t>
            </w:r>
          </w:p>
        </w:tc>
      </w:tr>
      <w:tr w:rsidR="001E5E8F" w:rsidTr="001E5E8F">
        <w:tc>
          <w:tcPr>
            <w:tcW w:w="3119" w:type="dxa"/>
            <w:vAlign w:val="center"/>
          </w:tcPr>
          <w:p w:rsidR="001E5E8F" w:rsidRDefault="001E5E8F" w:rsidP="001E5E8F">
            <w:pPr>
              <w:jc w:val="left"/>
            </w:pPr>
            <w:r>
              <w:t>Policy &amp; Resources</w:t>
            </w:r>
          </w:p>
        </w:tc>
        <w:tc>
          <w:tcPr>
            <w:tcW w:w="1134" w:type="dxa"/>
            <w:vAlign w:val="center"/>
          </w:tcPr>
          <w:p w:rsidR="001E5E8F" w:rsidRDefault="001E5E8F" w:rsidP="001E5E8F">
            <w:pPr>
              <w:jc w:val="right"/>
            </w:pPr>
            <w:r>
              <w:t>856</w:t>
            </w:r>
          </w:p>
        </w:tc>
        <w:tc>
          <w:tcPr>
            <w:tcW w:w="1134" w:type="dxa"/>
            <w:vAlign w:val="center"/>
          </w:tcPr>
          <w:p w:rsidR="001E5E8F" w:rsidRDefault="001E5E8F" w:rsidP="001E5E8F">
            <w:pPr>
              <w:jc w:val="right"/>
            </w:pPr>
            <w:r>
              <w:t>2,320</w:t>
            </w:r>
          </w:p>
        </w:tc>
        <w:tc>
          <w:tcPr>
            <w:tcW w:w="1134" w:type="dxa"/>
            <w:vAlign w:val="center"/>
          </w:tcPr>
          <w:p w:rsidR="001E5E8F" w:rsidRDefault="001E5E8F" w:rsidP="001E5E8F">
            <w:pPr>
              <w:jc w:val="right"/>
            </w:pPr>
            <w:r>
              <w:t>413</w:t>
            </w:r>
          </w:p>
        </w:tc>
        <w:tc>
          <w:tcPr>
            <w:tcW w:w="1134" w:type="dxa"/>
            <w:vAlign w:val="center"/>
          </w:tcPr>
          <w:p w:rsidR="001E5E8F" w:rsidRDefault="001E5E8F" w:rsidP="001E5E8F">
            <w:pPr>
              <w:jc w:val="right"/>
            </w:pPr>
            <w:r>
              <w:t>0</w:t>
            </w:r>
          </w:p>
        </w:tc>
        <w:tc>
          <w:tcPr>
            <w:tcW w:w="1134" w:type="dxa"/>
            <w:vAlign w:val="center"/>
          </w:tcPr>
          <w:p w:rsidR="001E5E8F" w:rsidRDefault="001E5E8F" w:rsidP="001E5E8F">
            <w:pPr>
              <w:jc w:val="right"/>
            </w:pPr>
            <w:r>
              <w:t>2,320</w:t>
            </w:r>
          </w:p>
        </w:tc>
      </w:tr>
      <w:tr w:rsidR="001E5E8F" w:rsidTr="001E5E8F">
        <w:tc>
          <w:tcPr>
            <w:tcW w:w="3119" w:type="dxa"/>
            <w:vAlign w:val="center"/>
          </w:tcPr>
          <w:p w:rsidR="001E5E8F" w:rsidRPr="004F0D6A" w:rsidRDefault="001E5E8F" w:rsidP="001E5E8F">
            <w:pPr>
              <w:jc w:val="left"/>
              <w:rPr>
                <w:b/>
              </w:rPr>
            </w:pPr>
            <w:r w:rsidRPr="004F0D6A">
              <w:rPr>
                <w:b/>
              </w:rPr>
              <w:t>Total Services Capital</w:t>
            </w:r>
          </w:p>
        </w:tc>
        <w:tc>
          <w:tcPr>
            <w:tcW w:w="1134" w:type="dxa"/>
            <w:vAlign w:val="center"/>
          </w:tcPr>
          <w:p w:rsidR="001E5E8F" w:rsidRPr="004F0D6A" w:rsidRDefault="001E5E8F" w:rsidP="001E5E8F">
            <w:pPr>
              <w:jc w:val="right"/>
              <w:rPr>
                <w:b/>
              </w:rPr>
            </w:pPr>
            <w:r w:rsidRPr="004F0D6A">
              <w:rPr>
                <w:b/>
              </w:rPr>
              <w:t>6,656</w:t>
            </w:r>
          </w:p>
        </w:tc>
        <w:tc>
          <w:tcPr>
            <w:tcW w:w="1134" w:type="dxa"/>
            <w:vAlign w:val="center"/>
          </w:tcPr>
          <w:p w:rsidR="001E5E8F" w:rsidRPr="004F0D6A" w:rsidRDefault="001E5E8F" w:rsidP="001E5E8F">
            <w:pPr>
              <w:jc w:val="right"/>
              <w:rPr>
                <w:b/>
              </w:rPr>
            </w:pPr>
            <w:r w:rsidRPr="004F0D6A">
              <w:rPr>
                <w:b/>
              </w:rPr>
              <w:t>8,067</w:t>
            </w:r>
          </w:p>
        </w:tc>
        <w:tc>
          <w:tcPr>
            <w:tcW w:w="1134" w:type="dxa"/>
            <w:vAlign w:val="center"/>
          </w:tcPr>
          <w:p w:rsidR="001E5E8F" w:rsidRPr="004F0D6A" w:rsidRDefault="001E5E8F" w:rsidP="00C7077D">
            <w:pPr>
              <w:jc w:val="right"/>
              <w:rPr>
                <w:b/>
              </w:rPr>
            </w:pPr>
            <w:r>
              <w:rPr>
                <w:b/>
              </w:rPr>
              <w:t>1,56</w:t>
            </w:r>
            <w:r w:rsidR="00C7077D">
              <w:rPr>
                <w:b/>
              </w:rPr>
              <w:t>2</w:t>
            </w:r>
          </w:p>
        </w:tc>
        <w:tc>
          <w:tcPr>
            <w:tcW w:w="1134" w:type="dxa"/>
            <w:vAlign w:val="center"/>
          </w:tcPr>
          <w:p w:rsidR="001E5E8F" w:rsidRPr="004F0D6A" w:rsidRDefault="001E5E8F" w:rsidP="001E5E8F">
            <w:pPr>
              <w:jc w:val="right"/>
              <w:rPr>
                <w:b/>
              </w:rPr>
            </w:pPr>
            <w:r>
              <w:rPr>
                <w:b/>
              </w:rPr>
              <w:t>(347)</w:t>
            </w:r>
          </w:p>
        </w:tc>
        <w:tc>
          <w:tcPr>
            <w:tcW w:w="1134" w:type="dxa"/>
            <w:vAlign w:val="center"/>
          </w:tcPr>
          <w:p w:rsidR="001E5E8F" w:rsidRDefault="001E5E8F" w:rsidP="001E5E8F">
            <w:pPr>
              <w:jc w:val="right"/>
              <w:rPr>
                <w:b/>
              </w:rPr>
            </w:pPr>
            <w:r>
              <w:rPr>
                <w:b/>
              </w:rPr>
              <w:t>7,720</w:t>
            </w:r>
          </w:p>
        </w:tc>
      </w:tr>
    </w:tbl>
    <w:p w:rsidR="00B62B27" w:rsidRDefault="00B62B27" w:rsidP="009C64F1">
      <w:pPr>
        <w:ind w:left="1267" w:hanging="1267"/>
      </w:pPr>
    </w:p>
    <w:p w:rsidR="00B62B27" w:rsidRDefault="00B62B27" w:rsidP="00B62B27">
      <w:pPr>
        <w:keepNext/>
        <w:ind w:left="1267" w:hanging="1267"/>
        <w:rPr>
          <w:rFonts w:cs="Arial"/>
          <w:szCs w:val="22"/>
        </w:rPr>
      </w:pPr>
      <w:r>
        <w:rPr>
          <w:rFonts w:cs="Arial"/>
          <w:szCs w:val="22"/>
        </w:rPr>
        <w:t>2.1</w:t>
      </w:r>
      <w:r w:rsidR="00B7187F">
        <w:rPr>
          <w:rFonts w:cs="Arial"/>
          <w:szCs w:val="22"/>
        </w:rPr>
        <w:t>6</w:t>
      </w:r>
      <w:r>
        <w:rPr>
          <w:rFonts w:cs="Arial"/>
          <w:szCs w:val="22"/>
        </w:rPr>
        <w:tab/>
      </w:r>
      <w:r w:rsidR="00F712DC">
        <w:rPr>
          <w:rFonts w:cs="Arial"/>
          <w:szCs w:val="22"/>
        </w:rPr>
        <w:t xml:space="preserve">The </w:t>
      </w:r>
      <w:r>
        <w:rPr>
          <w:rFonts w:cs="Arial"/>
          <w:szCs w:val="22"/>
        </w:rPr>
        <w:t xml:space="preserve">main </w:t>
      </w:r>
      <w:r w:rsidR="00F712DC">
        <w:rPr>
          <w:rFonts w:cs="Arial"/>
          <w:szCs w:val="22"/>
        </w:rPr>
        <w:t>re</w:t>
      </w:r>
      <w:r w:rsidR="00234D8A">
        <w:rPr>
          <w:rFonts w:cs="Arial"/>
          <w:szCs w:val="22"/>
        </w:rPr>
        <w:t xml:space="preserve">asons for the variance </w:t>
      </w:r>
      <w:r w:rsidR="00AF5CA0">
        <w:rPr>
          <w:rFonts w:cs="Arial"/>
          <w:szCs w:val="22"/>
        </w:rPr>
        <w:t>are</w:t>
      </w:r>
      <w:r w:rsidR="00F712DC">
        <w:rPr>
          <w:rFonts w:cs="Arial"/>
          <w:szCs w:val="22"/>
        </w:rPr>
        <w:t>:</w:t>
      </w:r>
    </w:p>
    <w:p w:rsidR="00DC4B93" w:rsidRDefault="00DC4B93" w:rsidP="00B62B27">
      <w:pPr>
        <w:keepNext/>
        <w:ind w:left="1267" w:hanging="1267"/>
        <w:rPr>
          <w:rFonts w:cs="Arial"/>
          <w:szCs w:val="22"/>
        </w:rPr>
      </w:pPr>
    </w:p>
    <w:p w:rsidR="00234D8A" w:rsidRPr="00234D8A" w:rsidRDefault="00234D8A" w:rsidP="00234D8A">
      <w:pPr>
        <w:pStyle w:val="ListParagraph"/>
        <w:keepNext/>
        <w:numPr>
          <w:ilvl w:val="0"/>
          <w:numId w:val="31"/>
        </w:numPr>
        <w:rPr>
          <w:rFonts w:cs="Arial"/>
          <w:szCs w:val="22"/>
        </w:rPr>
      </w:pPr>
      <w:r>
        <w:rPr>
          <w:rFonts w:cs="Arial"/>
          <w:szCs w:val="22"/>
        </w:rPr>
        <w:t>Rephasings</w:t>
      </w:r>
      <w:r w:rsidR="00F63095">
        <w:rPr>
          <w:rFonts w:cs="Arial"/>
          <w:szCs w:val="22"/>
        </w:rPr>
        <w:t>:-</w:t>
      </w:r>
      <w:r>
        <w:rPr>
          <w:rFonts w:cs="Arial"/>
          <w:szCs w:val="22"/>
        </w:rPr>
        <w:tab/>
      </w:r>
    </w:p>
    <w:p w:rsidR="00234D8A" w:rsidRDefault="00234D8A" w:rsidP="00B62B27">
      <w:pPr>
        <w:keepNext/>
        <w:ind w:left="1267" w:hanging="1267"/>
        <w:rPr>
          <w:rFonts w:cs="Arial"/>
          <w:szCs w:val="22"/>
        </w:rPr>
      </w:pPr>
    </w:p>
    <w:p w:rsidR="00DC4B93" w:rsidRPr="00DC4B93" w:rsidRDefault="00DC4B93" w:rsidP="00DC4B93">
      <w:pPr>
        <w:pStyle w:val="ListParagraph"/>
        <w:keepNext/>
        <w:numPr>
          <w:ilvl w:val="0"/>
          <w:numId w:val="22"/>
        </w:numPr>
        <w:tabs>
          <w:tab w:val="clear" w:pos="1260"/>
          <w:tab w:val="clear" w:pos="1980"/>
          <w:tab w:val="left" w:pos="1985"/>
        </w:tabs>
        <w:ind w:left="1985" w:hanging="709"/>
        <w:rPr>
          <w:rFonts w:cs="Arial"/>
          <w:szCs w:val="22"/>
        </w:rPr>
      </w:pPr>
      <w:r w:rsidRPr="00DC4B93">
        <w:rPr>
          <w:rFonts w:cs="Arial"/>
          <w:szCs w:val="22"/>
        </w:rPr>
        <w:t>£0.030 million Car Park Restoration</w:t>
      </w:r>
      <w:r>
        <w:rPr>
          <w:rFonts w:cs="Arial"/>
          <w:szCs w:val="22"/>
        </w:rPr>
        <w:t xml:space="preserve"> – awaiting report from Watford Borough Council on the car parks in Three Rivers before any works can begin.</w:t>
      </w:r>
    </w:p>
    <w:p w:rsidR="00B62B27" w:rsidRDefault="00B62B27" w:rsidP="00B62B27">
      <w:pPr>
        <w:keepNext/>
        <w:ind w:left="1267" w:hanging="1267"/>
        <w:rPr>
          <w:rFonts w:cs="Arial"/>
          <w:b/>
          <w:szCs w:val="22"/>
        </w:rPr>
      </w:pPr>
    </w:p>
    <w:p w:rsidR="00DC4B93" w:rsidRDefault="006A2B17" w:rsidP="00DC4B93">
      <w:pPr>
        <w:pStyle w:val="ListParagraph"/>
        <w:numPr>
          <w:ilvl w:val="0"/>
          <w:numId w:val="29"/>
        </w:numPr>
        <w:ind w:left="1276" w:firstLine="0"/>
        <w:rPr>
          <w:rFonts w:cs="Arial"/>
          <w:szCs w:val="22"/>
        </w:rPr>
      </w:pPr>
      <w:r w:rsidRPr="00DC4B93">
        <w:rPr>
          <w:rFonts w:cs="Arial"/>
          <w:szCs w:val="22"/>
        </w:rPr>
        <w:t xml:space="preserve">£0.095 million Cemetery Car Park </w:t>
      </w:r>
      <w:r w:rsidR="00DC4B93" w:rsidRPr="00DC4B93">
        <w:rPr>
          <w:rFonts w:cs="Arial"/>
          <w:szCs w:val="22"/>
        </w:rPr>
        <w:t>–</w:t>
      </w:r>
      <w:r w:rsidRPr="00DC4B93">
        <w:rPr>
          <w:rFonts w:cs="Arial"/>
          <w:szCs w:val="22"/>
        </w:rPr>
        <w:t xml:space="preserve"> </w:t>
      </w:r>
      <w:r w:rsidR="00DC4B93" w:rsidRPr="00AF3F93">
        <w:rPr>
          <w:rFonts w:cs="Arial"/>
          <w:szCs w:val="22"/>
        </w:rPr>
        <w:t xml:space="preserve">due to an </w:t>
      </w:r>
      <w:r w:rsidR="00DC4B93">
        <w:rPr>
          <w:rFonts w:cs="Arial"/>
          <w:szCs w:val="22"/>
        </w:rPr>
        <w:t>E</w:t>
      </w:r>
      <w:r w:rsidR="00DC4B93" w:rsidRPr="00AF3F93">
        <w:rPr>
          <w:rFonts w:cs="Arial"/>
          <w:szCs w:val="22"/>
        </w:rPr>
        <w:t>nvironmental Agency</w:t>
      </w:r>
    </w:p>
    <w:p w:rsidR="00B62B27" w:rsidRDefault="00DC4B93" w:rsidP="00DC4B93">
      <w:pPr>
        <w:keepNext/>
        <w:rPr>
          <w:rFonts w:cs="Arial"/>
          <w:szCs w:val="22"/>
        </w:rPr>
      </w:pPr>
      <w:r>
        <w:rPr>
          <w:rFonts w:cs="Arial"/>
          <w:szCs w:val="22"/>
        </w:rPr>
        <w:tab/>
      </w:r>
      <w:r>
        <w:rPr>
          <w:rFonts w:cs="Arial"/>
          <w:szCs w:val="22"/>
        </w:rPr>
        <w:tab/>
      </w:r>
      <w:r w:rsidRPr="00DC4B93">
        <w:rPr>
          <w:rFonts w:cs="Arial"/>
          <w:szCs w:val="22"/>
        </w:rPr>
        <w:t>report not being issued until 2017/18 when work can commence.</w:t>
      </w:r>
    </w:p>
    <w:p w:rsidR="00DC4B93" w:rsidRPr="00DC4B93" w:rsidRDefault="00DC4B93" w:rsidP="00DC4B93">
      <w:pPr>
        <w:keepNext/>
        <w:rPr>
          <w:rFonts w:cs="Arial"/>
          <w:szCs w:val="22"/>
        </w:rPr>
      </w:pPr>
    </w:p>
    <w:p w:rsidR="00DC4B93" w:rsidRDefault="00DC4B93" w:rsidP="00DC4B93">
      <w:pPr>
        <w:pStyle w:val="ListParagraph"/>
        <w:keepNext/>
        <w:numPr>
          <w:ilvl w:val="0"/>
          <w:numId w:val="20"/>
        </w:numPr>
        <w:ind w:left="1985" w:hanging="709"/>
        <w:rPr>
          <w:rFonts w:cs="Arial"/>
          <w:szCs w:val="22"/>
        </w:rPr>
      </w:pPr>
      <w:r w:rsidRPr="00DC4B93">
        <w:rPr>
          <w:rFonts w:cs="Arial"/>
          <w:szCs w:val="22"/>
        </w:rPr>
        <w:t>£0.199</w:t>
      </w:r>
      <w:r w:rsidR="00F63095">
        <w:rPr>
          <w:rFonts w:cs="Arial"/>
          <w:szCs w:val="22"/>
        </w:rPr>
        <w:t xml:space="preserve"> </w:t>
      </w:r>
      <w:r w:rsidRPr="00DC4B93">
        <w:rPr>
          <w:rFonts w:cs="Arial"/>
          <w:szCs w:val="22"/>
        </w:rPr>
        <w:t>million Trucks Replacement – no requirement to spend any further amounts in 2016/17</w:t>
      </w:r>
      <w:r w:rsidR="00736FD8">
        <w:rPr>
          <w:rFonts w:cs="Arial"/>
          <w:szCs w:val="22"/>
        </w:rPr>
        <w:t xml:space="preserve">, but request rephasing for replacements that will </w:t>
      </w:r>
      <w:r w:rsidR="00C10382">
        <w:rPr>
          <w:rFonts w:cs="Arial"/>
          <w:szCs w:val="22"/>
        </w:rPr>
        <w:t>become due next year</w:t>
      </w:r>
      <w:r>
        <w:rPr>
          <w:rFonts w:cs="Arial"/>
          <w:szCs w:val="22"/>
        </w:rPr>
        <w:t>.</w:t>
      </w:r>
    </w:p>
    <w:p w:rsidR="00DC4B93" w:rsidRDefault="00DC4B93" w:rsidP="00DC4B93">
      <w:pPr>
        <w:pStyle w:val="ListParagraph"/>
        <w:keepNext/>
        <w:ind w:left="1260"/>
        <w:rPr>
          <w:rFonts w:cs="Arial"/>
          <w:szCs w:val="22"/>
          <w:highlight w:val="yellow"/>
        </w:rPr>
      </w:pPr>
    </w:p>
    <w:p w:rsidR="00F63095" w:rsidRDefault="00F63095" w:rsidP="00F63095">
      <w:pPr>
        <w:pStyle w:val="ListParagraph"/>
        <w:keepNext/>
        <w:numPr>
          <w:ilvl w:val="0"/>
          <w:numId w:val="31"/>
        </w:numPr>
        <w:rPr>
          <w:rFonts w:cs="Arial"/>
          <w:szCs w:val="22"/>
        </w:rPr>
      </w:pPr>
      <w:r>
        <w:rPr>
          <w:rFonts w:cs="Arial"/>
          <w:szCs w:val="22"/>
        </w:rPr>
        <w:t>Savings:-</w:t>
      </w:r>
    </w:p>
    <w:p w:rsidR="00F63095" w:rsidRDefault="00F63095" w:rsidP="00F63095">
      <w:pPr>
        <w:pStyle w:val="ListParagraph"/>
        <w:keepNext/>
        <w:rPr>
          <w:rFonts w:cs="Arial"/>
          <w:szCs w:val="22"/>
        </w:rPr>
      </w:pPr>
    </w:p>
    <w:p w:rsidR="00F63095" w:rsidRPr="00FF25AA" w:rsidRDefault="00F63095" w:rsidP="00FF25AA">
      <w:pPr>
        <w:pStyle w:val="ListParagraph"/>
        <w:keepNext/>
        <w:numPr>
          <w:ilvl w:val="0"/>
          <w:numId w:val="20"/>
        </w:numPr>
        <w:ind w:hanging="762"/>
        <w:rPr>
          <w:rFonts w:cs="Arial"/>
          <w:szCs w:val="22"/>
        </w:rPr>
      </w:pPr>
      <w:r w:rsidRPr="00FF25AA">
        <w:rPr>
          <w:rFonts w:cs="Arial"/>
          <w:szCs w:val="22"/>
        </w:rPr>
        <w:t>£0.007 million Disabled Parking Bays - over pro</w:t>
      </w:r>
      <w:r w:rsidR="00FF25AA" w:rsidRPr="00FF25AA">
        <w:rPr>
          <w:rFonts w:cs="Arial"/>
          <w:szCs w:val="22"/>
        </w:rPr>
        <w:t>vision of budget, this has been</w:t>
      </w:r>
      <w:r w:rsidR="00FF25AA">
        <w:rPr>
          <w:rFonts w:cs="Arial"/>
          <w:szCs w:val="22"/>
        </w:rPr>
        <w:t xml:space="preserve"> </w:t>
      </w:r>
      <w:r w:rsidRPr="00FF25AA">
        <w:rPr>
          <w:rFonts w:cs="Arial"/>
          <w:szCs w:val="22"/>
        </w:rPr>
        <w:t>reduced with demand.</w:t>
      </w:r>
    </w:p>
    <w:p w:rsidR="00F63095" w:rsidRDefault="00F63095" w:rsidP="00DC4B93">
      <w:pPr>
        <w:pStyle w:val="ListParagraph"/>
        <w:keepNext/>
        <w:ind w:left="1260"/>
        <w:rPr>
          <w:rFonts w:cs="Arial"/>
          <w:szCs w:val="22"/>
          <w:highlight w:val="yellow"/>
        </w:rPr>
      </w:pPr>
    </w:p>
    <w:p w:rsidR="00EC2DA9" w:rsidRDefault="00DC4B93" w:rsidP="00DC4B93">
      <w:pPr>
        <w:pStyle w:val="ListParagraph"/>
        <w:keepNext/>
        <w:ind w:left="1260" w:hanging="1260"/>
        <w:rPr>
          <w:rFonts w:cs="Arial"/>
          <w:szCs w:val="22"/>
        </w:rPr>
      </w:pPr>
      <w:r w:rsidRPr="009417BF">
        <w:rPr>
          <w:rFonts w:cs="Arial"/>
          <w:szCs w:val="22"/>
        </w:rPr>
        <w:t>2.1</w:t>
      </w:r>
      <w:r w:rsidR="00B7187F">
        <w:rPr>
          <w:rFonts w:cs="Arial"/>
          <w:szCs w:val="22"/>
        </w:rPr>
        <w:t>7</w:t>
      </w:r>
      <w:r w:rsidRPr="009417BF">
        <w:rPr>
          <w:rFonts w:cs="Arial"/>
          <w:szCs w:val="22"/>
        </w:rPr>
        <w:t xml:space="preserve"> </w:t>
      </w:r>
      <w:r w:rsidRPr="009417BF">
        <w:rPr>
          <w:rFonts w:cs="Arial"/>
          <w:szCs w:val="22"/>
        </w:rPr>
        <w:tab/>
      </w:r>
      <w:r w:rsidR="00B62B27" w:rsidRPr="009417BF">
        <w:rPr>
          <w:rFonts w:cs="Arial"/>
          <w:szCs w:val="22"/>
        </w:rPr>
        <w:t>Capital spend up to 3</w:t>
      </w:r>
      <w:r w:rsidRPr="009417BF">
        <w:rPr>
          <w:rFonts w:cs="Arial"/>
          <w:szCs w:val="22"/>
        </w:rPr>
        <w:t>0</w:t>
      </w:r>
      <w:r w:rsidR="00B62B27" w:rsidRPr="009417BF">
        <w:rPr>
          <w:rFonts w:cs="Arial"/>
          <w:szCs w:val="22"/>
        </w:rPr>
        <w:t xml:space="preserve"> </w:t>
      </w:r>
      <w:r w:rsidRPr="009417BF">
        <w:rPr>
          <w:rFonts w:cs="Arial"/>
          <w:szCs w:val="22"/>
        </w:rPr>
        <w:t>September</w:t>
      </w:r>
      <w:r w:rsidR="00B62B27" w:rsidRPr="009417BF">
        <w:rPr>
          <w:rFonts w:cs="Arial"/>
          <w:szCs w:val="22"/>
        </w:rPr>
        <w:t xml:space="preserve"> was </w:t>
      </w:r>
      <w:r w:rsidR="00B62B27" w:rsidRPr="009417BF">
        <w:rPr>
          <w:rFonts w:cs="Arial"/>
          <w:b/>
          <w:szCs w:val="22"/>
        </w:rPr>
        <w:t>£</w:t>
      </w:r>
      <w:r w:rsidRPr="009417BF">
        <w:rPr>
          <w:rFonts w:cs="Arial"/>
          <w:b/>
          <w:szCs w:val="22"/>
        </w:rPr>
        <w:t>1</w:t>
      </w:r>
      <w:r w:rsidR="00F91C09" w:rsidRPr="009417BF">
        <w:rPr>
          <w:rFonts w:cs="Arial"/>
          <w:b/>
          <w:szCs w:val="22"/>
        </w:rPr>
        <w:t>.</w:t>
      </w:r>
      <w:r w:rsidRPr="009417BF">
        <w:rPr>
          <w:rFonts w:cs="Arial"/>
          <w:b/>
          <w:szCs w:val="22"/>
        </w:rPr>
        <w:t>562</w:t>
      </w:r>
      <w:r w:rsidR="00F91C09" w:rsidRPr="009417BF">
        <w:rPr>
          <w:rFonts w:cs="Arial"/>
          <w:b/>
          <w:szCs w:val="22"/>
        </w:rPr>
        <w:t xml:space="preserve"> million</w:t>
      </w:r>
      <w:r w:rsidR="00B62B27" w:rsidRPr="009417BF">
        <w:rPr>
          <w:rFonts w:cs="Arial"/>
          <w:szCs w:val="22"/>
        </w:rPr>
        <w:t xml:space="preserve"> which represents </w:t>
      </w:r>
      <w:r w:rsidR="00C7077D">
        <w:rPr>
          <w:rFonts w:cs="Arial"/>
          <w:szCs w:val="22"/>
        </w:rPr>
        <w:t>19.36</w:t>
      </w:r>
      <w:r w:rsidR="00B62B27" w:rsidRPr="009417BF">
        <w:rPr>
          <w:rFonts w:cs="Arial"/>
          <w:szCs w:val="22"/>
        </w:rPr>
        <w:t>% of the latest budget</w:t>
      </w:r>
      <w:r w:rsidR="00F91C09" w:rsidRPr="009417BF">
        <w:rPr>
          <w:rFonts w:cs="Arial"/>
          <w:szCs w:val="22"/>
        </w:rPr>
        <w:t xml:space="preserve"> following re-phasings</w:t>
      </w:r>
      <w:r w:rsidR="00B62B27" w:rsidRPr="009417BF">
        <w:rPr>
          <w:rFonts w:cs="Arial"/>
          <w:szCs w:val="22"/>
        </w:rPr>
        <w:t xml:space="preserve">. </w:t>
      </w:r>
      <w:r w:rsidR="000902CC">
        <w:rPr>
          <w:rFonts w:cs="Arial"/>
          <w:szCs w:val="22"/>
        </w:rPr>
        <w:t>B</w:t>
      </w:r>
      <w:r w:rsidR="00F91C09" w:rsidRPr="009417BF">
        <w:rPr>
          <w:rFonts w:cs="Arial"/>
          <w:szCs w:val="22"/>
        </w:rPr>
        <w:t xml:space="preserve">udget holders have confirmed that budgets will be </w:t>
      </w:r>
      <w:r w:rsidR="00B62B27" w:rsidRPr="009417BF">
        <w:rPr>
          <w:rFonts w:cs="Arial"/>
          <w:szCs w:val="22"/>
        </w:rPr>
        <w:t>spent b</w:t>
      </w:r>
      <w:r w:rsidR="00F91C09" w:rsidRPr="009417BF">
        <w:rPr>
          <w:rFonts w:cs="Arial"/>
          <w:szCs w:val="22"/>
        </w:rPr>
        <w:t>y the end of the financial year</w:t>
      </w:r>
      <w:r w:rsidR="00AB1A77">
        <w:rPr>
          <w:rFonts w:cs="Arial"/>
          <w:szCs w:val="22"/>
        </w:rPr>
        <w:t>.</w:t>
      </w:r>
    </w:p>
    <w:p w:rsidR="00EC2DA9" w:rsidRDefault="00EC2DA9" w:rsidP="00DC4B93">
      <w:pPr>
        <w:pStyle w:val="ListParagraph"/>
        <w:keepNext/>
        <w:ind w:left="1260" w:hanging="1260"/>
        <w:rPr>
          <w:rFonts w:cs="Arial"/>
          <w:szCs w:val="22"/>
        </w:rPr>
      </w:pPr>
    </w:p>
    <w:p w:rsidR="00B62B27" w:rsidRPr="00DC4B93" w:rsidRDefault="00EC2DA9" w:rsidP="00DC4B93">
      <w:pPr>
        <w:pStyle w:val="ListParagraph"/>
        <w:keepNext/>
        <w:ind w:left="1260" w:hanging="1260"/>
        <w:rPr>
          <w:rFonts w:cs="Arial"/>
          <w:szCs w:val="22"/>
        </w:rPr>
      </w:pPr>
      <w:r>
        <w:rPr>
          <w:rFonts w:cs="Arial"/>
          <w:szCs w:val="22"/>
        </w:rPr>
        <w:t>2.18</w:t>
      </w:r>
      <w:r>
        <w:rPr>
          <w:rFonts w:cs="Arial"/>
          <w:szCs w:val="22"/>
        </w:rPr>
        <w:tab/>
      </w:r>
      <w:r>
        <w:t>Approval has been given (Policy and Resources Committee meeting 8 November 2016</w:t>
      </w:r>
      <w:r w:rsidRPr="00AA6ADC">
        <w:t>)</w:t>
      </w:r>
      <w:r>
        <w:t xml:space="preserve"> to provide temporary accommodation on the WRVS site at a capital cost of £1.180 million, it is envisaged this will be completed by the </w:t>
      </w:r>
      <w:r w:rsidR="008824A1">
        <w:t xml:space="preserve">middle of </w:t>
      </w:r>
      <w:r>
        <w:t>2017/18.</w:t>
      </w:r>
    </w:p>
    <w:p w:rsidR="00B62B27" w:rsidRPr="00CB1746" w:rsidRDefault="00B62B27" w:rsidP="00B62B27">
      <w:pPr>
        <w:keepNext/>
        <w:rPr>
          <w:rFonts w:cs="Arial"/>
          <w:szCs w:val="22"/>
        </w:rPr>
      </w:pPr>
    </w:p>
    <w:p w:rsidR="00A81F67" w:rsidRDefault="00674638" w:rsidP="00A81F67">
      <w:pPr>
        <w:keepNext/>
        <w:ind w:left="1267" w:hanging="1267"/>
        <w:rPr>
          <w:rFonts w:cs="Arial"/>
          <w:szCs w:val="22"/>
        </w:rPr>
      </w:pPr>
      <w:r w:rsidRPr="00B16B34">
        <w:rPr>
          <w:rFonts w:cs="Arial"/>
          <w:szCs w:val="22"/>
        </w:rPr>
        <w:t>2.</w:t>
      </w:r>
      <w:r w:rsidR="00A81F67">
        <w:rPr>
          <w:rFonts w:cs="Arial"/>
          <w:szCs w:val="22"/>
        </w:rPr>
        <w:t>1</w:t>
      </w:r>
      <w:r w:rsidR="00EC2DA9">
        <w:rPr>
          <w:rFonts w:cs="Arial"/>
          <w:szCs w:val="22"/>
        </w:rPr>
        <w:t>9</w:t>
      </w:r>
      <w:r>
        <w:rPr>
          <w:rFonts w:cs="Arial"/>
          <w:szCs w:val="22"/>
        </w:rPr>
        <w:tab/>
      </w:r>
      <w:r w:rsidR="00A81F67">
        <w:tab/>
      </w:r>
      <w:r w:rsidR="00A81F67" w:rsidRPr="00F17085">
        <w:rPr>
          <w:b/>
        </w:rPr>
        <w:t xml:space="preserve">Appendix </w:t>
      </w:r>
      <w:r w:rsidR="00197BE0">
        <w:rPr>
          <w:b/>
        </w:rPr>
        <w:t>6</w:t>
      </w:r>
      <w:r w:rsidR="00A81F67">
        <w:t xml:space="preserve"> shows the Council</w:t>
      </w:r>
      <w:r w:rsidR="00842B6A">
        <w:t>’</w:t>
      </w:r>
      <w:r w:rsidR="00A81F67">
        <w:t>s medium term capital investment programme 2016 -2019 by cost centre by Committee</w:t>
      </w:r>
      <w:r w:rsidR="00D41B6B">
        <w:rPr>
          <w:rFonts w:cs="Arial"/>
          <w:szCs w:val="22"/>
        </w:rPr>
        <w:t>, including the comments on the latest position of each service.</w:t>
      </w:r>
    </w:p>
    <w:p w:rsidR="00A81F67" w:rsidRDefault="00A81F67" w:rsidP="00A81F67">
      <w:pPr>
        <w:keepNext/>
        <w:ind w:left="1267" w:hanging="1267"/>
        <w:rPr>
          <w:rFonts w:cs="Arial"/>
          <w:szCs w:val="22"/>
        </w:rPr>
      </w:pPr>
    </w:p>
    <w:p w:rsidR="00674638" w:rsidRDefault="00A81F67" w:rsidP="00A81F67">
      <w:pPr>
        <w:keepNext/>
        <w:ind w:left="1267" w:hanging="1267"/>
        <w:rPr>
          <w:rFonts w:cs="Arial"/>
          <w:b/>
          <w:szCs w:val="22"/>
        </w:rPr>
      </w:pPr>
      <w:r>
        <w:rPr>
          <w:rFonts w:cs="Arial"/>
          <w:szCs w:val="22"/>
        </w:rPr>
        <w:t>2.</w:t>
      </w:r>
      <w:r w:rsidR="00EC2DA9">
        <w:rPr>
          <w:rFonts w:cs="Arial"/>
          <w:szCs w:val="22"/>
        </w:rPr>
        <w:t>20</w:t>
      </w:r>
      <w:r>
        <w:rPr>
          <w:rFonts w:cs="Arial"/>
          <w:szCs w:val="22"/>
        </w:rPr>
        <w:tab/>
      </w:r>
      <w:r w:rsidR="007514DD" w:rsidRPr="007514DD">
        <w:rPr>
          <w:rFonts w:cs="Arial"/>
          <w:b/>
          <w:szCs w:val="22"/>
        </w:rPr>
        <w:t xml:space="preserve">Appendix </w:t>
      </w:r>
      <w:r w:rsidR="00197BE0">
        <w:rPr>
          <w:rFonts w:cs="Arial"/>
          <w:b/>
          <w:szCs w:val="22"/>
        </w:rPr>
        <w:t>7</w:t>
      </w:r>
      <w:r w:rsidR="007514DD">
        <w:rPr>
          <w:rFonts w:cs="Arial"/>
          <w:szCs w:val="22"/>
        </w:rPr>
        <w:t xml:space="preserve"> </w:t>
      </w:r>
      <w:r w:rsidR="00F61EB1" w:rsidRPr="00CA1432">
        <w:rPr>
          <w:rFonts w:cs="Arial"/>
          <w:szCs w:val="22"/>
        </w:rPr>
        <w:t>shows the</w:t>
      </w:r>
      <w:r w:rsidR="00F61EB1">
        <w:rPr>
          <w:rFonts w:cs="Arial"/>
          <w:b/>
          <w:szCs w:val="22"/>
        </w:rPr>
        <w:t xml:space="preserve"> </w:t>
      </w:r>
      <w:r w:rsidR="00F61EB1">
        <w:rPr>
          <w:rFonts w:cs="Arial"/>
          <w:szCs w:val="22"/>
        </w:rPr>
        <w:t>e</w:t>
      </w:r>
      <w:r w:rsidR="00F61EB1">
        <w:t>xplanations of capital variances reported this period</w:t>
      </w:r>
      <w:r w:rsidR="00FF25AA">
        <w:t>.</w:t>
      </w:r>
    </w:p>
    <w:p w:rsidR="00CA1432" w:rsidRDefault="00CA1432" w:rsidP="00A81F67">
      <w:pPr>
        <w:keepNext/>
        <w:ind w:left="1267" w:hanging="1267"/>
        <w:rPr>
          <w:rFonts w:cs="Arial"/>
          <w:b/>
          <w:szCs w:val="22"/>
        </w:rPr>
      </w:pPr>
    </w:p>
    <w:p w:rsidR="00CA1432" w:rsidRDefault="00CA1432" w:rsidP="00A81F67">
      <w:pPr>
        <w:keepNext/>
        <w:ind w:left="1267" w:hanging="1267"/>
      </w:pPr>
      <w:r w:rsidRPr="00CA1432">
        <w:rPr>
          <w:rFonts w:cs="Arial"/>
          <w:szCs w:val="22"/>
        </w:rPr>
        <w:t>2.</w:t>
      </w:r>
      <w:r w:rsidR="00B62B27">
        <w:rPr>
          <w:rFonts w:cs="Arial"/>
          <w:szCs w:val="22"/>
        </w:rPr>
        <w:t>2</w:t>
      </w:r>
      <w:r w:rsidR="00EC2DA9">
        <w:rPr>
          <w:rFonts w:cs="Arial"/>
          <w:szCs w:val="22"/>
        </w:rPr>
        <w:t>1</w:t>
      </w:r>
      <w:r>
        <w:rPr>
          <w:rFonts w:cs="Arial"/>
          <w:b/>
          <w:szCs w:val="22"/>
        </w:rPr>
        <w:tab/>
        <w:t xml:space="preserve">Appendix </w:t>
      </w:r>
      <w:r w:rsidR="00197BE0">
        <w:rPr>
          <w:rFonts w:cs="Arial"/>
          <w:b/>
          <w:szCs w:val="22"/>
        </w:rPr>
        <w:t>8</w:t>
      </w:r>
      <w:r w:rsidR="00F61EB1" w:rsidRPr="00F61EB1">
        <w:rPr>
          <w:rFonts w:cs="Arial"/>
          <w:szCs w:val="22"/>
        </w:rPr>
        <w:t xml:space="preserve"> </w:t>
      </w:r>
      <w:r w:rsidR="00F61EB1">
        <w:rPr>
          <w:rFonts w:cs="Arial"/>
          <w:szCs w:val="22"/>
        </w:rPr>
        <w:t>shows the funding of the capital programme.</w:t>
      </w:r>
    </w:p>
    <w:p w:rsidR="00CA1432" w:rsidRDefault="00CA1432" w:rsidP="00A81F67">
      <w:pPr>
        <w:keepNext/>
        <w:ind w:left="1267" w:hanging="1267"/>
        <w:rPr>
          <w:rFonts w:cs="Arial"/>
          <w:szCs w:val="22"/>
        </w:rPr>
      </w:pPr>
    </w:p>
    <w:p w:rsidR="00F4144B" w:rsidRDefault="006E177E" w:rsidP="000F504C">
      <w:pPr>
        <w:ind w:left="1267" w:hanging="1267"/>
        <w:jc w:val="left"/>
      </w:pPr>
      <w:r>
        <w:fldChar w:fldCharType="begin"/>
      </w:r>
      <w:r>
        <w:instrText xml:space="preserve">  </w:instrText>
      </w:r>
      <w:r>
        <w:fldChar w:fldCharType="end"/>
      </w:r>
      <w:r w:rsidR="00F4144B">
        <w:t>3.</w:t>
      </w:r>
      <w:r w:rsidR="00F4144B">
        <w:tab/>
      </w:r>
      <w:r w:rsidR="00F4144B">
        <w:rPr>
          <w:b/>
        </w:rPr>
        <w:t>Options/Reasons for Recommendation</w:t>
      </w:r>
    </w:p>
    <w:p w:rsidR="00F4144B" w:rsidRDefault="00F4144B">
      <w:pPr>
        <w:keepNext/>
        <w:ind w:left="1267" w:hanging="1267"/>
      </w:pPr>
    </w:p>
    <w:p w:rsidR="00A6630B" w:rsidRDefault="00CF3D9A" w:rsidP="00CF3D9A">
      <w:pPr>
        <w:ind w:left="1267" w:hanging="1267"/>
      </w:pPr>
      <w:r>
        <w:t>3.1</w:t>
      </w:r>
      <w:r>
        <w:tab/>
      </w:r>
      <w:r w:rsidR="00F4144B">
        <w:fldChar w:fldCharType="begin"/>
      </w:r>
      <w:r w:rsidR="00F4144B">
        <w:instrText xml:space="preserve">  </w:instrText>
      </w:r>
      <w:r w:rsidR="00F4144B">
        <w:fldChar w:fldCharType="end"/>
      </w:r>
      <w:r w:rsidR="00A6630B">
        <w:t xml:space="preserve">The recommendations below enable the </w:t>
      </w:r>
      <w:r w:rsidR="00BE4FC7">
        <w:t>Committee</w:t>
      </w:r>
      <w:r w:rsidR="00A6630B">
        <w:t xml:space="preserve"> to make recommendations to Council concerning the</w:t>
      </w:r>
      <w:r w:rsidR="00011910">
        <w:t>ir</w:t>
      </w:r>
      <w:r w:rsidR="00A6630B">
        <w:t xml:space="preserve"> budget.</w:t>
      </w:r>
    </w:p>
    <w:p w:rsidR="00E90E69" w:rsidRDefault="00E90E69" w:rsidP="00626B9D"/>
    <w:p w:rsidR="00626B9D" w:rsidRDefault="00626B9D" w:rsidP="00626B9D"/>
    <w:p w:rsidR="00626B9D" w:rsidRDefault="00626B9D" w:rsidP="00626B9D"/>
    <w:p w:rsidR="00F4144B" w:rsidRDefault="00F4144B">
      <w:pPr>
        <w:keepNext/>
        <w:ind w:left="1267" w:hanging="1267"/>
        <w:rPr>
          <w:b/>
        </w:rPr>
      </w:pPr>
      <w:r>
        <w:lastRenderedPageBreak/>
        <w:t>4.</w:t>
      </w:r>
      <w:r>
        <w:tab/>
      </w:r>
      <w:r>
        <w:rPr>
          <w:b/>
        </w:rPr>
        <w:t>Policy</w:t>
      </w:r>
      <w:r w:rsidR="00CF3D9A">
        <w:rPr>
          <w:b/>
        </w:rPr>
        <w:t xml:space="preserve"> </w:t>
      </w:r>
      <w:r>
        <w:rPr>
          <w:b/>
        </w:rPr>
        <w:t>/</w:t>
      </w:r>
      <w:r w:rsidR="00CF3D9A">
        <w:rPr>
          <w:b/>
        </w:rPr>
        <w:t xml:space="preserve"> </w:t>
      </w:r>
      <w:r>
        <w:rPr>
          <w:b/>
        </w:rPr>
        <w:t>Budget Reference and Implications</w:t>
      </w:r>
    </w:p>
    <w:p w:rsidR="00F62C05" w:rsidRDefault="00F62C05" w:rsidP="00F62C05">
      <w:pPr>
        <w:ind w:left="1267" w:hanging="1267"/>
      </w:pPr>
      <w:r>
        <w:tab/>
      </w:r>
    </w:p>
    <w:p w:rsidR="005A1298" w:rsidRDefault="005A1298" w:rsidP="005A1298">
      <w:pPr>
        <w:ind w:left="1267" w:hanging="1267"/>
        <w:rPr>
          <w:b/>
          <w:i/>
          <w:color w:val="008000"/>
        </w:rPr>
      </w:pPr>
      <w:r w:rsidRPr="00B35FEB">
        <w:t>4.1</w:t>
      </w:r>
      <w:r w:rsidRPr="00B35FEB">
        <w:tab/>
      </w:r>
      <w:r w:rsidR="00E5034C" w:rsidRPr="00B35FEB">
        <w:t xml:space="preserve">In accordance with the Council’s financial procedure rules, if the </w:t>
      </w:r>
      <w:r w:rsidRPr="00B35FEB">
        <w:t xml:space="preserve">recommendations </w:t>
      </w:r>
      <w:r w:rsidR="00E5034C" w:rsidRPr="00B35FEB">
        <w:t>are accepted, this will amend the Council’s budgets</w:t>
      </w:r>
      <w:r w:rsidR="00B35FEB">
        <w:t>.</w:t>
      </w:r>
    </w:p>
    <w:p w:rsidR="00F4144B" w:rsidRDefault="00F4144B">
      <w:pPr>
        <w:keepNext/>
        <w:ind w:left="1267" w:hanging="1267"/>
      </w:pPr>
    </w:p>
    <w:p w:rsidR="00F4144B" w:rsidRDefault="00F4144B">
      <w:pPr>
        <w:ind w:left="1267" w:hanging="1267"/>
      </w:pPr>
      <w:r>
        <w:t>4.</w:t>
      </w:r>
      <w:r w:rsidR="00F62C05">
        <w:t>2</w:t>
      </w:r>
      <w:r>
        <w:tab/>
      </w:r>
      <w:r w:rsidR="00A6630B" w:rsidRPr="004E0CF7">
        <w:t xml:space="preserve">There are no substantial changes to Council policy resulting from this report. </w:t>
      </w:r>
    </w:p>
    <w:p w:rsidR="009E6A69" w:rsidRDefault="009E6A69">
      <w:pPr>
        <w:ind w:left="1267" w:hanging="1267"/>
      </w:pPr>
    </w:p>
    <w:p w:rsidR="00F4144B" w:rsidRDefault="009E0C43">
      <w:pPr>
        <w:keepNext/>
        <w:ind w:left="1267" w:hanging="1267"/>
      </w:pPr>
      <w:r>
        <w:t>5.</w:t>
      </w:r>
      <w:r w:rsidR="00F4144B">
        <w:fldChar w:fldCharType="begin"/>
      </w:r>
      <w:r w:rsidR="00F4144B">
        <w:instrText xml:space="preserve">  </w:instrText>
      </w:r>
      <w:r w:rsidR="00F4144B">
        <w:fldChar w:fldCharType="end"/>
      </w:r>
      <w:r w:rsidR="00F4144B">
        <w:tab/>
      </w:r>
      <w:r w:rsidR="00F4144B">
        <w:rPr>
          <w:b/>
        </w:rPr>
        <w:t xml:space="preserve">Legal, Equal Opportunities, Staffing, Environmental, Community Safety, </w:t>
      </w:r>
      <w:r w:rsidR="000F504C">
        <w:rPr>
          <w:b/>
        </w:rPr>
        <w:t xml:space="preserve">Public Health, </w:t>
      </w:r>
      <w:r w:rsidR="00F4144B">
        <w:rPr>
          <w:b/>
        </w:rPr>
        <w:t>Customer Services Centre, Communications &amp; Website, and Health &amp; Safety Implications</w:t>
      </w:r>
    </w:p>
    <w:p w:rsidR="00F4144B" w:rsidRDefault="00F4144B">
      <w:pPr>
        <w:keepNext/>
        <w:ind w:left="1267" w:hanging="1267"/>
      </w:pPr>
    </w:p>
    <w:p w:rsidR="00F4144B" w:rsidRDefault="009E0C43">
      <w:pPr>
        <w:ind w:left="1267" w:hanging="1267"/>
      </w:pPr>
      <w:r>
        <w:t>5.1</w:t>
      </w:r>
      <w:r w:rsidR="00F4144B">
        <w:fldChar w:fldCharType="begin"/>
      </w:r>
      <w:r w:rsidR="00F4144B">
        <w:instrText xml:space="preserve">  </w:instrText>
      </w:r>
      <w:r w:rsidR="00F4144B">
        <w:fldChar w:fldCharType="end"/>
      </w:r>
      <w:r w:rsidR="00F4144B">
        <w:tab/>
        <w:t>None specific.</w:t>
      </w:r>
    </w:p>
    <w:p w:rsidR="00F4144B" w:rsidRDefault="00F4144B">
      <w:pPr>
        <w:ind w:left="1267" w:hanging="1267"/>
      </w:pPr>
    </w:p>
    <w:p w:rsidR="00C37CBD" w:rsidRDefault="00C37CBD" w:rsidP="00C37CBD">
      <w:pPr>
        <w:keepNext/>
        <w:ind w:left="1267" w:hanging="1267"/>
      </w:pPr>
      <w:r>
        <w:t>6.</w:t>
      </w:r>
      <w:r>
        <w:tab/>
      </w:r>
      <w:r>
        <w:rPr>
          <w:b/>
        </w:rPr>
        <w:t>Financial Implications</w:t>
      </w:r>
    </w:p>
    <w:p w:rsidR="00D2402D" w:rsidRPr="00D2402D" w:rsidRDefault="00885C90" w:rsidP="00C37CBD">
      <w:pPr>
        <w:keepNext/>
        <w:ind w:left="1267" w:hanging="1267"/>
        <w:rPr>
          <w:b/>
          <w:i/>
        </w:rPr>
      </w:pPr>
      <w:r>
        <w:t xml:space="preserve">                      </w:t>
      </w:r>
    </w:p>
    <w:p w:rsidR="00C37CBD" w:rsidRDefault="00C37CBD" w:rsidP="00C37CBD">
      <w:pPr>
        <w:keepNext/>
        <w:tabs>
          <w:tab w:val="left" w:pos="567"/>
        </w:tabs>
        <w:ind w:left="1267" w:hanging="1267"/>
      </w:pPr>
      <w:r>
        <w:t>6.1</w:t>
      </w:r>
      <w:r>
        <w:rPr>
          <w:i/>
        </w:rPr>
        <w:tab/>
      </w:r>
      <w:r>
        <w:rPr>
          <w:i/>
        </w:rPr>
        <w:tab/>
      </w:r>
      <w:r w:rsidR="006E177E">
        <w:t>The following revenue</w:t>
      </w:r>
      <w:r w:rsidR="00466E0D">
        <w:t xml:space="preserve"> and capital</w:t>
      </w:r>
      <w:r w:rsidR="006E177E">
        <w:t xml:space="preserve"> variations have been identified for </w:t>
      </w:r>
      <w:r w:rsidR="00991A84">
        <w:t>all</w:t>
      </w:r>
      <w:r w:rsidR="0044131D">
        <w:t xml:space="preserve"> </w:t>
      </w:r>
      <w:r w:rsidR="003A7356">
        <w:t xml:space="preserve">Service </w:t>
      </w:r>
      <w:r w:rsidR="00562EAF">
        <w:t>Committee</w:t>
      </w:r>
      <w:r w:rsidR="0044131D">
        <w:t>s</w:t>
      </w:r>
      <w:r w:rsidR="00D30152">
        <w:t xml:space="preserve"> for </w:t>
      </w:r>
      <w:r w:rsidR="008109FB">
        <w:t xml:space="preserve">Period </w:t>
      </w:r>
      <w:r w:rsidR="00F949DF">
        <w:t>6</w:t>
      </w:r>
      <w:r w:rsidR="008109FB">
        <w:t xml:space="preserve"> (end of </w:t>
      </w:r>
      <w:r w:rsidR="00F949DF">
        <w:t>September</w:t>
      </w:r>
      <w:r w:rsidR="008109FB">
        <w:t>).</w:t>
      </w:r>
    </w:p>
    <w:p w:rsidR="00BA4783" w:rsidRDefault="00BA4783" w:rsidP="00C37CBD"/>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134"/>
        <w:gridCol w:w="1134"/>
      </w:tblGrid>
      <w:tr w:rsidR="00957837" w:rsidTr="0077607D">
        <w:tc>
          <w:tcPr>
            <w:tcW w:w="4253" w:type="dxa"/>
          </w:tcPr>
          <w:p w:rsidR="00D30152" w:rsidRDefault="00D30152" w:rsidP="00D82603">
            <w:pPr>
              <w:widowControl w:val="0"/>
              <w:jc w:val="center"/>
              <w:rPr>
                <w:sz w:val="20"/>
              </w:rPr>
            </w:pPr>
          </w:p>
          <w:p w:rsidR="00957837" w:rsidRDefault="00D30152" w:rsidP="00D30152">
            <w:pPr>
              <w:widowControl w:val="0"/>
              <w:jc w:val="center"/>
              <w:rPr>
                <w:sz w:val="20"/>
              </w:rPr>
            </w:pPr>
            <w:r>
              <w:rPr>
                <w:sz w:val="20"/>
              </w:rPr>
              <w:t>Variance</w:t>
            </w:r>
          </w:p>
        </w:tc>
        <w:tc>
          <w:tcPr>
            <w:tcW w:w="1275" w:type="dxa"/>
            <w:tcBorders>
              <w:bottom w:val="single" w:sz="4" w:space="0" w:color="auto"/>
            </w:tcBorders>
          </w:tcPr>
          <w:p w:rsidR="00957837" w:rsidRDefault="00957837" w:rsidP="00D82603">
            <w:pPr>
              <w:widowControl w:val="0"/>
              <w:jc w:val="center"/>
              <w:rPr>
                <w:sz w:val="20"/>
              </w:rPr>
            </w:pPr>
            <w:r>
              <w:rPr>
                <w:sz w:val="20"/>
              </w:rPr>
              <w:t>201</w:t>
            </w:r>
            <w:r w:rsidR="00D30152">
              <w:rPr>
                <w:sz w:val="20"/>
              </w:rPr>
              <w:t>6/17</w:t>
            </w:r>
          </w:p>
          <w:p w:rsidR="00957837" w:rsidRDefault="00957837" w:rsidP="00D82603">
            <w:pPr>
              <w:widowControl w:val="0"/>
              <w:jc w:val="center"/>
              <w:rPr>
                <w:sz w:val="20"/>
              </w:rPr>
            </w:pPr>
            <w:r>
              <w:rPr>
                <w:sz w:val="20"/>
              </w:rPr>
              <w:t>£</w:t>
            </w:r>
          </w:p>
        </w:tc>
        <w:tc>
          <w:tcPr>
            <w:tcW w:w="1134" w:type="dxa"/>
            <w:tcBorders>
              <w:bottom w:val="single" w:sz="4" w:space="0" w:color="auto"/>
            </w:tcBorders>
          </w:tcPr>
          <w:p w:rsidR="00957837" w:rsidRDefault="00957837" w:rsidP="00D82603">
            <w:pPr>
              <w:widowControl w:val="0"/>
              <w:jc w:val="center"/>
              <w:rPr>
                <w:sz w:val="20"/>
              </w:rPr>
            </w:pPr>
            <w:r>
              <w:rPr>
                <w:sz w:val="20"/>
              </w:rPr>
              <w:t>201</w:t>
            </w:r>
            <w:r w:rsidR="00D30152">
              <w:rPr>
                <w:sz w:val="20"/>
              </w:rPr>
              <w:t>7</w:t>
            </w:r>
            <w:r>
              <w:rPr>
                <w:sz w:val="20"/>
              </w:rPr>
              <w:t>/1</w:t>
            </w:r>
            <w:r w:rsidR="00D30152">
              <w:rPr>
                <w:sz w:val="20"/>
              </w:rPr>
              <w:t>8</w:t>
            </w:r>
          </w:p>
          <w:p w:rsidR="00957837" w:rsidRDefault="00957837" w:rsidP="00D82603">
            <w:pPr>
              <w:widowControl w:val="0"/>
              <w:jc w:val="center"/>
              <w:rPr>
                <w:sz w:val="20"/>
              </w:rPr>
            </w:pPr>
            <w:r>
              <w:rPr>
                <w:sz w:val="20"/>
              </w:rPr>
              <w:t>£</w:t>
            </w:r>
          </w:p>
        </w:tc>
        <w:tc>
          <w:tcPr>
            <w:tcW w:w="1134" w:type="dxa"/>
            <w:tcBorders>
              <w:bottom w:val="single" w:sz="4" w:space="0" w:color="auto"/>
            </w:tcBorders>
          </w:tcPr>
          <w:p w:rsidR="00957837" w:rsidRDefault="00957837" w:rsidP="00D82603">
            <w:pPr>
              <w:widowControl w:val="0"/>
              <w:jc w:val="center"/>
              <w:rPr>
                <w:sz w:val="20"/>
              </w:rPr>
            </w:pPr>
            <w:r>
              <w:rPr>
                <w:sz w:val="20"/>
              </w:rPr>
              <w:t>201</w:t>
            </w:r>
            <w:r w:rsidR="00D30152">
              <w:rPr>
                <w:sz w:val="20"/>
              </w:rPr>
              <w:t>8</w:t>
            </w:r>
            <w:r>
              <w:rPr>
                <w:sz w:val="20"/>
              </w:rPr>
              <w:t>/1</w:t>
            </w:r>
            <w:r w:rsidR="00D30152">
              <w:rPr>
                <w:sz w:val="20"/>
              </w:rPr>
              <w:t>9</w:t>
            </w:r>
          </w:p>
          <w:p w:rsidR="00957837" w:rsidRDefault="00957837" w:rsidP="00D82603">
            <w:pPr>
              <w:widowControl w:val="0"/>
              <w:jc w:val="center"/>
              <w:rPr>
                <w:sz w:val="20"/>
              </w:rPr>
            </w:pPr>
            <w:r>
              <w:rPr>
                <w:sz w:val="20"/>
              </w:rPr>
              <w:t>£</w:t>
            </w:r>
          </w:p>
        </w:tc>
      </w:tr>
      <w:tr w:rsidR="00957837" w:rsidRPr="009417BF" w:rsidTr="0077607D">
        <w:tc>
          <w:tcPr>
            <w:tcW w:w="4253" w:type="dxa"/>
          </w:tcPr>
          <w:p w:rsidR="00957837" w:rsidRDefault="00D30152" w:rsidP="00466E0D">
            <w:pPr>
              <w:widowControl w:val="0"/>
              <w:spacing w:before="60" w:after="60"/>
              <w:rPr>
                <w:sz w:val="20"/>
              </w:rPr>
            </w:pPr>
            <w:r w:rsidRPr="00466E0D">
              <w:rPr>
                <w:b/>
                <w:sz w:val="20"/>
              </w:rPr>
              <w:t>Revenue</w:t>
            </w:r>
            <w:r w:rsidR="00466E0D">
              <w:rPr>
                <w:b/>
                <w:sz w:val="20"/>
              </w:rPr>
              <w:t xml:space="preserve"> </w:t>
            </w:r>
            <w:r w:rsidR="00466E0D">
              <w:rPr>
                <w:sz w:val="20"/>
              </w:rPr>
              <w:t xml:space="preserve">- </w:t>
            </w:r>
            <w:r>
              <w:rPr>
                <w:sz w:val="20"/>
              </w:rPr>
              <w:t>(Favourable</w:t>
            </w:r>
            <w:r w:rsidR="00466E0D">
              <w:rPr>
                <w:sz w:val="20"/>
              </w:rPr>
              <w:t xml:space="preserve"> )</w:t>
            </w:r>
            <w:r>
              <w:rPr>
                <w:sz w:val="20"/>
              </w:rPr>
              <w:t>/</w:t>
            </w:r>
            <w:r w:rsidR="00466E0D">
              <w:rPr>
                <w:sz w:val="20"/>
              </w:rPr>
              <w:t xml:space="preserve"> </w:t>
            </w:r>
            <w:r>
              <w:rPr>
                <w:sz w:val="20"/>
              </w:rPr>
              <w:t>Unfavourable</w:t>
            </w:r>
          </w:p>
        </w:tc>
        <w:tc>
          <w:tcPr>
            <w:tcW w:w="1275" w:type="dxa"/>
            <w:shd w:val="clear" w:color="auto" w:fill="FFFFFF"/>
          </w:tcPr>
          <w:p w:rsidR="00957837" w:rsidRPr="005D1D55" w:rsidRDefault="005D1D55" w:rsidP="005D1D55">
            <w:pPr>
              <w:widowControl w:val="0"/>
              <w:spacing w:before="60" w:after="60"/>
              <w:jc w:val="right"/>
              <w:rPr>
                <w:sz w:val="20"/>
              </w:rPr>
            </w:pPr>
            <w:r w:rsidRPr="005D1D55">
              <w:rPr>
                <w:sz w:val="20"/>
              </w:rPr>
              <w:t>575</w:t>
            </w:r>
            <w:r w:rsidR="009417BF" w:rsidRPr="005D1D55">
              <w:rPr>
                <w:sz w:val="20"/>
              </w:rPr>
              <w:t>,</w:t>
            </w:r>
            <w:r w:rsidRPr="005D1D55">
              <w:rPr>
                <w:sz w:val="20"/>
              </w:rPr>
              <w:t>440</w:t>
            </w:r>
          </w:p>
        </w:tc>
        <w:tc>
          <w:tcPr>
            <w:tcW w:w="1134" w:type="dxa"/>
            <w:shd w:val="clear" w:color="auto" w:fill="FFFFFF"/>
          </w:tcPr>
          <w:p w:rsidR="00957837" w:rsidRPr="005D1D55" w:rsidRDefault="00585FFF" w:rsidP="009452E7">
            <w:pPr>
              <w:widowControl w:val="0"/>
              <w:spacing w:before="60" w:after="60"/>
              <w:ind w:right="7"/>
              <w:jc w:val="right"/>
              <w:rPr>
                <w:sz w:val="20"/>
              </w:rPr>
            </w:pPr>
            <w:r>
              <w:rPr>
                <w:sz w:val="20"/>
              </w:rPr>
              <w:t>259,930</w:t>
            </w:r>
          </w:p>
        </w:tc>
        <w:tc>
          <w:tcPr>
            <w:tcW w:w="1134" w:type="dxa"/>
            <w:shd w:val="clear" w:color="auto" w:fill="FFFFFF"/>
          </w:tcPr>
          <w:p w:rsidR="00957837" w:rsidRPr="005D1D55" w:rsidRDefault="00585FFF" w:rsidP="005D1D55">
            <w:pPr>
              <w:widowControl w:val="0"/>
              <w:spacing w:before="60" w:after="60"/>
              <w:ind w:right="7"/>
              <w:jc w:val="right"/>
              <w:rPr>
                <w:sz w:val="20"/>
              </w:rPr>
            </w:pPr>
            <w:r>
              <w:rPr>
                <w:sz w:val="20"/>
              </w:rPr>
              <w:t>82,780</w:t>
            </w:r>
          </w:p>
        </w:tc>
      </w:tr>
      <w:tr w:rsidR="00466E0D" w:rsidTr="0077607D">
        <w:tc>
          <w:tcPr>
            <w:tcW w:w="4253" w:type="dxa"/>
          </w:tcPr>
          <w:p w:rsidR="00466E0D" w:rsidRDefault="00466E0D" w:rsidP="00466E0D">
            <w:pPr>
              <w:widowControl w:val="0"/>
              <w:spacing w:before="60" w:after="60"/>
              <w:rPr>
                <w:sz w:val="20"/>
              </w:rPr>
            </w:pPr>
            <w:r>
              <w:rPr>
                <w:b/>
                <w:sz w:val="20"/>
              </w:rPr>
              <w:t>Capital</w:t>
            </w:r>
            <w:r>
              <w:rPr>
                <w:sz w:val="20"/>
              </w:rPr>
              <w:t xml:space="preserve"> - Increase / (Decrease)</w:t>
            </w:r>
          </w:p>
        </w:tc>
        <w:tc>
          <w:tcPr>
            <w:tcW w:w="1275" w:type="dxa"/>
            <w:shd w:val="clear" w:color="auto" w:fill="FFFFFF"/>
          </w:tcPr>
          <w:p w:rsidR="00466E0D" w:rsidRPr="005D1D55" w:rsidRDefault="005D1D55" w:rsidP="0077607D">
            <w:pPr>
              <w:widowControl w:val="0"/>
              <w:spacing w:before="60" w:after="60"/>
              <w:jc w:val="right"/>
              <w:rPr>
                <w:sz w:val="20"/>
              </w:rPr>
            </w:pPr>
            <w:r w:rsidRPr="005D1D55">
              <w:rPr>
                <w:sz w:val="20"/>
              </w:rPr>
              <w:t>(346,913)</w:t>
            </w:r>
          </w:p>
        </w:tc>
        <w:tc>
          <w:tcPr>
            <w:tcW w:w="1134" w:type="dxa"/>
            <w:shd w:val="clear" w:color="auto" w:fill="FFFFFF"/>
          </w:tcPr>
          <w:p w:rsidR="00466E0D" w:rsidRPr="005D1D55" w:rsidRDefault="00880844" w:rsidP="0077607D">
            <w:pPr>
              <w:widowControl w:val="0"/>
              <w:spacing w:before="60" w:after="60"/>
              <w:ind w:right="7"/>
              <w:jc w:val="right"/>
              <w:rPr>
                <w:sz w:val="20"/>
              </w:rPr>
            </w:pPr>
            <w:r>
              <w:rPr>
                <w:sz w:val="20"/>
              </w:rPr>
              <w:t>1,519,913</w:t>
            </w:r>
          </w:p>
        </w:tc>
        <w:tc>
          <w:tcPr>
            <w:tcW w:w="1134" w:type="dxa"/>
            <w:shd w:val="clear" w:color="auto" w:fill="FFFFFF"/>
          </w:tcPr>
          <w:p w:rsidR="00466E0D" w:rsidRPr="005D1D55" w:rsidRDefault="00B35FEB" w:rsidP="00D82603">
            <w:pPr>
              <w:widowControl w:val="0"/>
              <w:spacing w:before="60" w:after="60"/>
              <w:ind w:right="7"/>
              <w:jc w:val="right"/>
              <w:rPr>
                <w:sz w:val="20"/>
              </w:rPr>
            </w:pPr>
            <w:r w:rsidRPr="005D1D55">
              <w:rPr>
                <w:sz w:val="20"/>
              </w:rPr>
              <w:t>0</w:t>
            </w:r>
          </w:p>
        </w:tc>
      </w:tr>
    </w:tbl>
    <w:p w:rsidR="00D41B6B" w:rsidRDefault="00735FB1" w:rsidP="002655E2">
      <w:pPr>
        <w:keepNext/>
        <w:tabs>
          <w:tab w:val="clear" w:pos="1260"/>
          <w:tab w:val="clear" w:pos="1980"/>
          <w:tab w:val="left" w:pos="1276"/>
        </w:tabs>
      </w:pPr>
      <w:r>
        <w:t xml:space="preserve">   </w:t>
      </w:r>
    </w:p>
    <w:p w:rsidR="00C37CBD" w:rsidRDefault="005A3853" w:rsidP="00E01F01">
      <w:pPr>
        <w:keepNext/>
        <w:tabs>
          <w:tab w:val="clear" w:pos="1260"/>
        </w:tabs>
        <w:rPr>
          <w:b/>
        </w:rPr>
      </w:pPr>
      <w:r w:rsidRPr="00D97B2B">
        <w:t>7</w:t>
      </w:r>
      <w:r w:rsidR="00D97B2B">
        <w:t>.</w:t>
      </w:r>
      <w:r w:rsidR="00E01F01">
        <w:rPr>
          <w:b/>
        </w:rPr>
        <w:t xml:space="preserve">                  </w:t>
      </w:r>
      <w:r w:rsidR="00C37CBD">
        <w:rPr>
          <w:b/>
        </w:rPr>
        <w:t xml:space="preserve">Risk </w:t>
      </w:r>
      <w:r w:rsidR="00E37DDC">
        <w:rPr>
          <w:b/>
        </w:rPr>
        <w:t>Management Implications</w:t>
      </w:r>
    </w:p>
    <w:p w:rsidR="00C37CBD" w:rsidRDefault="00C37CBD" w:rsidP="00C37CBD">
      <w:pPr>
        <w:ind w:left="1260" w:hanging="1260"/>
      </w:pPr>
      <w:r>
        <w:rPr>
          <w:b/>
          <w:i/>
          <w:color w:val="008000"/>
        </w:rPr>
        <w:tab/>
      </w:r>
    </w:p>
    <w:p w:rsidR="00C37CBD" w:rsidRDefault="005A3853" w:rsidP="00C37CBD">
      <w:pPr>
        <w:ind w:left="1276" w:hanging="1276"/>
      </w:pPr>
      <w:r>
        <w:t>7</w:t>
      </w:r>
      <w:r w:rsidR="00D972D6">
        <w:t>.1</w:t>
      </w:r>
      <w:r w:rsidR="00C37CBD">
        <w:tab/>
        <w:t>There are no risks to the Council in agreeing the recommendations.</w:t>
      </w:r>
    </w:p>
    <w:p w:rsidR="00C37CBD" w:rsidRDefault="00C37CBD" w:rsidP="00C37CBD"/>
    <w:p w:rsidR="00C37CBD" w:rsidRDefault="005A3853" w:rsidP="00C37CBD">
      <w:pPr>
        <w:ind w:left="1260" w:hanging="1260"/>
        <w:rPr>
          <w:i/>
        </w:rPr>
      </w:pPr>
      <w:r>
        <w:t>7</w:t>
      </w:r>
      <w:r w:rsidR="00C37CBD">
        <w:t>.</w:t>
      </w:r>
      <w:r w:rsidR="00D972D6">
        <w:t>2</w:t>
      </w:r>
      <w:r w:rsidR="00C37CBD">
        <w:tab/>
      </w:r>
      <w:r w:rsidR="00C37CBD" w:rsidRPr="00466E0D">
        <w:rPr>
          <w:i/>
        </w:rPr>
        <w:t xml:space="preserve">The following table gives the risks if the recommendations are rejected, together with a scored assessment of their impact and likelihood: </w:t>
      </w:r>
    </w:p>
    <w:p w:rsidR="00AF634A" w:rsidRPr="00466E0D" w:rsidRDefault="00AF634A" w:rsidP="00C37CBD">
      <w:pPr>
        <w:ind w:left="1260" w:hanging="1260"/>
        <w:rPr>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C37CBD" w:rsidRPr="00466E0D" w:rsidTr="00D82603">
        <w:tc>
          <w:tcPr>
            <w:tcW w:w="5384" w:type="dxa"/>
            <w:gridSpan w:val="2"/>
          </w:tcPr>
          <w:p w:rsidR="00C37CBD" w:rsidRPr="00466E0D" w:rsidRDefault="00C37CBD" w:rsidP="00D82603">
            <w:pPr>
              <w:jc w:val="center"/>
              <w:rPr>
                <w:i/>
                <w:sz w:val="20"/>
              </w:rPr>
            </w:pPr>
            <w:r w:rsidRPr="00466E0D">
              <w:rPr>
                <w:i/>
                <w:sz w:val="20"/>
              </w:rPr>
              <w:t>Description of Risk</w:t>
            </w:r>
          </w:p>
        </w:tc>
        <w:tc>
          <w:tcPr>
            <w:tcW w:w="1170" w:type="dxa"/>
          </w:tcPr>
          <w:p w:rsidR="00C37CBD" w:rsidRPr="00466E0D" w:rsidRDefault="00C37CBD" w:rsidP="00D82603">
            <w:pPr>
              <w:jc w:val="center"/>
              <w:rPr>
                <w:i/>
                <w:sz w:val="20"/>
              </w:rPr>
            </w:pPr>
            <w:r w:rsidRPr="00466E0D">
              <w:rPr>
                <w:i/>
                <w:sz w:val="20"/>
              </w:rPr>
              <w:t>Impact</w:t>
            </w:r>
          </w:p>
        </w:tc>
        <w:tc>
          <w:tcPr>
            <w:tcW w:w="1350" w:type="dxa"/>
          </w:tcPr>
          <w:p w:rsidR="00C37CBD" w:rsidRPr="00466E0D" w:rsidRDefault="00C37CBD" w:rsidP="00D82603">
            <w:pPr>
              <w:ind w:left="34"/>
              <w:jc w:val="center"/>
              <w:rPr>
                <w:i/>
                <w:sz w:val="20"/>
              </w:rPr>
            </w:pPr>
            <w:r w:rsidRPr="00466E0D">
              <w:rPr>
                <w:i/>
                <w:sz w:val="20"/>
              </w:rPr>
              <w:t>Likelihood</w:t>
            </w:r>
          </w:p>
        </w:tc>
      </w:tr>
      <w:tr w:rsidR="00C37CBD" w:rsidRPr="00466E0D" w:rsidTr="00D82603">
        <w:tc>
          <w:tcPr>
            <w:tcW w:w="328" w:type="dxa"/>
          </w:tcPr>
          <w:p w:rsidR="00C37CBD" w:rsidRPr="00466E0D" w:rsidRDefault="00C37CBD" w:rsidP="00D82603">
            <w:pPr>
              <w:jc w:val="left"/>
              <w:rPr>
                <w:i/>
                <w:sz w:val="20"/>
              </w:rPr>
            </w:pPr>
            <w:r w:rsidRPr="00466E0D">
              <w:rPr>
                <w:i/>
                <w:sz w:val="20"/>
              </w:rPr>
              <w:t>1</w:t>
            </w:r>
          </w:p>
        </w:tc>
        <w:tc>
          <w:tcPr>
            <w:tcW w:w="5056" w:type="dxa"/>
          </w:tcPr>
          <w:p w:rsidR="00C37CBD" w:rsidRPr="00466E0D" w:rsidRDefault="00C37CBD" w:rsidP="00D82603">
            <w:pPr>
              <w:jc w:val="left"/>
              <w:rPr>
                <w:i/>
                <w:sz w:val="20"/>
              </w:rPr>
            </w:pPr>
            <w:r w:rsidRPr="00466E0D">
              <w:rPr>
                <w:i/>
                <w:sz w:val="20"/>
              </w:rPr>
              <w:t>The Council’s Medium-Term Financial Plan would be out of date and officers would not have accurate budgets to work to.</w:t>
            </w:r>
          </w:p>
        </w:tc>
        <w:tc>
          <w:tcPr>
            <w:tcW w:w="1170" w:type="dxa"/>
          </w:tcPr>
          <w:p w:rsidR="00C37CBD" w:rsidRPr="00466E0D" w:rsidRDefault="00C37CBD" w:rsidP="00D82603">
            <w:pPr>
              <w:jc w:val="center"/>
              <w:rPr>
                <w:i/>
                <w:sz w:val="20"/>
              </w:rPr>
            </w:pPr>
          </w:p>
          <w:p w:rsidR="00C37CBD" w:rsidRPr="00466E0D" w:rsidRDefault="00C37CBD" w:rsidP="00D82603">
            <w:pPr>
              <w:jc w:val="center"/>
              <w:rPr>
                <w:i/>
                <w:sz w:val="20"/>
              </w:rPr>
            </w:pPr>
            <w:r w:rsidRPr="00466E0D">
              <w:rPr>
                <w:i/>
                <w:sz w:val="20"/>
              </w:rPr>
              <w:t>III</w:t>
            </w:r>
          </w:p>
        </w:tc>
        <w:tc>
          <w:tcPr>
            <w:tcW w:w="1350" w:type="dxa"/>
          </w:tcPr>
          <w:p w:rsidR="00C37CBD" w:rsidRPr="00466E0D" w:rsidRDefault="00C37CBD" w:rsidP="00D82603">
            <w:pPr>
              <w:jc w:val="center"/>
              <w:rPr>
                <w:i/>
                <w:sz w:val="20"/>
              </w:rPr>
            </w:pPr>
          </w:p>
          <w:p w:rsidR="00C37CBD" w:rsidRPr="00466E0D" w:rsidRDefault="00C37CBD" w:rsidP="00D82603">
            <w:pPr>
              <w:jc w:val="center"/>
              <w:rPr>
                <w:i/>
                <w:sz w:val="20"/>
              </w:rPr>
            </w:pPr>
            <w:r w:rsidRPr="00466E0D">
              <w:rPr>
                <w:i/>
                <w:sz w:val="20"/>
              </w:rPr>
              <w:t>A</w:t>
            </w:r>
          </w:p>
        </w:tc>
      </w:tr>
    </w:tbl>
    <w:p w:rsidR="00C37CBD" w:rsidRDefault="00C37CBD" w:rsidP="00C37CBD"/>
    <w:p w:rsidR="00C37CBD" w:rsidRDefault="005A3853" w:rsidP="00C37CBD">
      <w:pPr>
        <w:ind w:left="1276" w:hanging="1276"/>
      </w:pPr>
      <w:r>
        <w:t>7</w:t>
      </w:r>
      <w:r w:rsidR="00C37CBD">
        <w:t>.</w:t>
      </w:r>
      <w:r w:rsidR="00D972D6">
        <w:t>3</w:t>
      </w:r>
      <w:r w:rsidR="00C37CBD">
        <w:tab/>
        <w:t xml:space="preserve">The Council has determined its aversion to risk and is prepared to tolerate risks where the combination of impact and likelihood are plotted in the shaded area of the matrix. The remaining risks require a treatment plan. </w:t>
      </w:r>
      <w:r w:rsidR="00D972D6" w:rsidRPr="00A36804">
        <w:t xml:space="preserve">The risk </w:t>
      </w:r>
      <w:r w:rsidR="00D972D6">
        <w:t>is</w:t>
      </w:r>
      <w:r w:rsidR="00D972D6" w:rsidRPr="00A36804">
        <w:t xml:space="preserve"> managed within the </w:t>
      </w:r>
      <w:r w:rsidR="00D972D6">
        <w:t>Finance services s</w:t>
      </w:r>
      <w:r w:rsidR="00D972D6" w:rsidRPr="00A36804">
        <w:t xml:space="preserve">ervice </w:t>
      </w:r>
      <w:r w:rsidR="00D972D6">
        <w:t>p</w:t>
      </w:r>
      <w:r w:rsidR="00D972D6" w:rsidRPr="00A36804">
        <w:t>lan</w:t>
      </w:r>
      <w:r w:rsidR="003A7356">
        <w:t>.</w:t>
      </w:r>
    </w:p>
    <w:p w:rsidR="00C22386" w:rsidRDefault="00C22386" w:rsidP="00C37CBD">
      <w:pPr>
        <w:ind w:left="1276" w:hanging="1276"/>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C37CBD" w:rsidTr="00D8260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37CBD" w:rsidRDefault="00C81C40" w:rsidP="00D82603">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14:anchorId="20E876E7" wp14:editId="112649EC">
                      <wp:simplePos x="0" y="0"/>
                      <wp:positionH relativeFrom="column">
                        <wp:posOffset>1115695</wp:posOffset>
                      </wp:positionH>
                      <wp:positionV relativeFrom="paragraph">
                        <wp:posOffset>107950</wp:posOffset>
                      </wp:positionV>
                      <wp:extent cx="0" cy="12966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14:anchorId="04EE9996" wp14:editId="5086C178">
                      <wp:simplePos x="0" y="0"/>
                      <wp:positionH relativeFrom="column">
                        <wp:posOffset>1298575</wp:posOffset>
                      </wp:positionH>
                      <wp:positionV relativeFrom="paragraph">
                        <wp:posOffset>1388110</wp:posOffset>
                      </wp:positionV>
                      <wp:extent cx="228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mc:Fallback>
              </mc:AlternateContent>
            </w:r>
            <w:r w:rsidR="00C37CBD">
              <w:rPr>
                <w:b/>
                <w:szCs w:val="22"/>
              </w:rPr>
              <w:t>Likelihood</w:t>
            </w:r>
          </w:p>
        </w:tc>
        <w:tc>
          <w:tcPr>
            <w:tcW w:w="452" w:type="dxa"/>
            <w:tcBorders>
              <w:top w:val="single" w:sz="4" w:space="0" w:color="auto"/>
              <w:left w:val="single" w:sz="4" w:space="0" w:color="auto"/>
            </w:tcBorders>
          </w:tcPr>
          <w:p w:rsidR="00C37CBD" w:rsidRDefault="00C37CBD" w:rsidP="00D82603">
            <w:pPr>
              <w:keepNext/>
              <w:keepLines/>
            </w:pPr>
            <w:r>
              <w:t>A</w:t>
            </w:r>
          </w:p>
        </w:tc>
        <w:tc>
          <w:tcPr>
            <w:tcW w:w="723" w:type="dxa"/>
            <w:tcBorders>
              <w:top w:val="single" w:sz="4" w:space="0" w:color="auto"/>
            </w:tcBorders>
            <w:shd w:val="pct15" w:color="auto" w:fill="FFFFFF"/>
          </w:tcPr>
          <w:p w:rsidR="00C37CBD" w:rsidRDefault="00C37CBD" w:rsidP="00D82603">
            <w:pPr>
              <w:keepNext/>
              <w:keepLines/>
            </w:pPr>
          </w:p>
        </w:tc>
        <w:tc>
          <w:tcPr>
            <w:tcW w:w="723" w:type="dxa"/>
            <w:tcBorders>
              <w:top w:val="single" w:sz="4" w:space="0" w:color="auto"/>
            </w:tcBorders>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r>
              <w:t>1</w:t>
            </w: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Impact</w:t>
            </w:r>
          </w:p>
        </w:tc>
        <w:tc>
          <w:tcPr>
            <w:tcW w:w="1608" w:type="dxa"/>
            <w:tcBorders>
              <w:top w:val="nil"/>
              <w:left w:val="nil"/>
              <w:bottom w:val="nil"/>
              <w:right w:val="nil"/>
            </w:tcBorders>
          </w:tcPr>
          <w:p w:rsidR="00C37CBD" w:rsidRDefault="00C37CBD" w:rsidP="00D82603">
            <w:pPr>
              <w:keepNext/>
              <w:keepLines/>
              <w:rPr>
                <w:sz w:val="16"/>
              </w:rPr>
            </w:pPr>
            <w:r>
              <w:rPr>
                <w:sz w:val="16"/>
              </w:rPr>
              <w:t>Likelihood</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B</w:t>
            </w:r>
          </w:p>
        </w:tc>
        <w:tc>
          <w:tcPr>
            <w:tcW w:w="723" w:type="dxa"/>
            <w:shd w:val="pct15" w:color="auto" w:fill="FFFFFF"/>
          </w:tcPr>
          <w:p w:rsidR="00C37CBD" w:rsidRDefault="00C37CBD" w:rsidP="00D82603">
            <w:pPr>
              <w:keepNext/>
              <w:keepLines/>
            </w:pPr>
          </w:p>
        </w:tc>
        <w:tc>
          <w:tcPr>
            <w:tcW w:w="723" w:type="dxa"/>
          </w:tcPr>
          <w:p w:rsidR="00C37CBD" w:rsidRDefault="00C37CBD" w:rsidP="00D82603">
            <w:pPr>
              <w:keepNext/>
              <w:keepLines/>
            </w:pPr>
          </w:p>
        </w:tc>
        <w:tc>
          <w:tcPr>
            <w:tcW w:w="724" w:type="dxa"/>
            <w:tcBorders>
              <w:bottom w:val="single" w:sz="4" w:space="0" w:color="auto"/>
            </w:tcBorders>
          </w:tcPr>
          <w:p w:rsidR="00C37CBD" w:rsidRDefault="00C37CBD" w:rsidP="00D82603">
            <w:pPr>
              <w:keepNext/>
              <w:keepLines/>
            </w:pPr>
          </w:p>
        </w:tc>
        <w:tc>
          <w:tcPr>
            <w:tcW w:w="723" w:type="dxa"/>
            <w:tcBorders>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V = Catastrophic</w:t>
            </w:r>
          </w:p>
        </w:tc>
        <w:tc>
          <w:tcPr>
            <w:tcW w:w="1608" w:type="dxa"/>
            <w:tcBorders>
              <w:top w:val="nil"/>
              <w:left w:val="nil"/>
              <w:bottom w:val="nil"/>
              <w:right w:val="nil"/>
            </w:tcBorders>
          </w:tcPr>
          <w:p w:rsidR="00C37CBD" w:rsidRDefault="00C37CBD" w:rsidP="00D82603">
            <w:pPr>
              <w:keepNext/>
              <w:keepLines/>
              <w:rPr>
                <w:sz w:val="16"/>
              </w:rPr>
            </w:pPr>
            <w:r>
              <w:rPr>
                <w:sz w:val="16"/>
              </w:rPr>
              <w:t>A = &gt;98%</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C</w:t>
            </w:r>
          </w:p>
        </w:tc>
        <w:tc>
          <w:tcPr>
            <w:tcW w:w="723" w:type="dxa"/>
            <w:shd w:val="pct15" w:color="auto" w:fill="FFFFFF"/>
          </w:tcPr>
          <w:p w:rsidR="00C37CBD" w:rsidRDefault="00C37CBD" w:rsidP="00D82603">
            <w:pPr>
              <w:keepNext/>
              <w:keepLines/>
            </w:pPr>
          </w:p>
        </w:tc>
        <w:tc>
          <w:tcPr>
            <w:tcW w:w="723" w:type="dxa"/>
            <w:tcBorders>
              <w:top w:val="single" w:sz="4" w:space="0" w:color="auto"/>
              <w:bottom w:val="single" w:sz="4" w:space="0" w:color="auto"/>
            </w:tcBorders>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IV = Critical</w:t>
            </w:r>
          </w:p>
        </w:tc>
        <w:tc>
          <w:tcPr>
            <w:tcW w:w="1608" w:type="dxa"/>
            <w:tcBorders>
              <w:top w:val="nil"/>
              <w:left w:val="nil"/>
              <w:bottom w:val="nil"/>
              <w:right w:val="nil"/>
            </w:tcBorders>
          </w:tcPr>
          <w:p w:rsidR="00C37CBD" w:rsidRDefault="00C37CBD" w:rsidP="00D82603">
            <w:pPr>
              <w:keepNext/>
              <w:keepLines/>
              <w:rPr>
                <w:sz w:val="16"/>
              </w:rPr>
            </w:pPr>
            <w:r>
              <w:rPr>
                <w:sz w:val="16"/>
              </w:rPr>
              <w:t>B = 75% - 97%</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D</w:t>
            </w:r>
          </w:p>
        </w:tc>
        <w:tc>
          <w:tcPr>
            <w:tcW w:w="723" w:type="dxa"/>
            <w:tcBorders>
              <w:bottom w:val="single" w:sz="4" w:space="0" w:color="auto"/>
            </w:tcBorders>
            <w:shd w:val="pct15" w:color="auto" w:fill="FFFFFF"/>
          </w:tcPr>
          <w:p w:rsidR="00C37CBD" w:rsidRDefault="00C37CBD" w:rsidP="00D82603">
            <w:pPr>
              <w:keepNext/>
              <w:keepLines/>
            </w:pPr>
          </w:p>
        </w:tc>
        <w:tc>
          <w:tcPr>
            <w:tcW w:w="723" w:type="dxa"/>
            <w:tcBorders>
              <w:top w:val="single" w:sz="4" w:space="0" w:color="auto"/>
            </w:tcBorders>
            <w:shd w:val="pct15" w:color="auto" w:fill="FFFFFF"/>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III = Significant</w:t>
            </w:r>
          </w:p>
        </w:tc>
        <w:tc>
          <w:tcPr>
            <w:tcW w:w="1608" w:type="dxa"/>
            <w:tcBorders>
              <w:top w:val="nil"/>
              <w:left w:val="nil"/>
              <w:bottom w:val="nil"/>
              <w:right w:val="nil"/>
            </w:tcBorders>
          </w:tcPr>
          <w:p w:rsidR="00C37CBD" w:rsidRDefault="00C37CBD" w:rsidP="00D82603">
            <w:pPr>
              <w:keepNext/>
              <w:keepLines/>
              <w:rPr>
                <w:sz w:val="16"/>
              </w:rPr>
            </w:pPr>
            <w:r>
              <w:rPr>
                <w:sz w:val="16"/>
              </w:rPr>
              <w:t>C = 50% - 74%</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E</w:t>
            </w:r>
          </w:p>
        </w:tc>
        <w:tc>
          <w:tcPr>
            <w:tcW w:w="723" w:type="dxa"/>
            <w:tcBorders>
              <w:bottom w:val="single" w:sz="4" w:space="0" w:color="auto"/>
            </w:tcBorders>
            <w:shd w:val="pct15" w:color="auto" w:fill="FFFFFF"/>
          </w:tcPr>
          <w:p w:rsidR="00C37CBD" w:rsidRDefault="00C37CBD" w:rsidP="00D82603">
            <w:pPr>
              <w:keepNext/>
              <w:keepLines/>
            </w:pPr>
          </w:p>
        </w:tc>
        <w:tc>
          <w:tcPr>
            <w:tcW w:w="723" w:type="dxa"/>
            <w:shd w:val="pct15" w:color="auto" w:fill="FFFFFF"/>
          </w:tcPr>
          <w:p w:rsidR="00C37CBD" w:rsidRDefault="00C37CBD" w:rsidP="00D82603">
            <w:pPr>
              <w:keepNext/>
              <w:keepLines/>
            </w:pPr>
          </w:p>
        </w:tc>
        <w:tc>
          <w:tcPr>
            <w:tcW w:w="724" w:type="dxa"/>
            <w:tcBorders>
              <w:bottom w:val="single" w:sz="4" w:space="0" w:color="auto"/>
            </w:tcBorders>
          </w:tcPr>
          <w:p w:rsidR="00C37CBD" w:rsidRDefault="00C37CBD" w:rsidP="00D82603">
            <w:pPr>
              <w:keepNext/>
              <w:keepLines/>
            </w:pPr>
          </w:p>
        </w:tc>
        <w:tc>
          <w:tcPr>
            <w:tcW w:w="723" w:type="dxa"/>
            <w:tcBorders>
              <w:top w:val="single" w:sz="4" w:space="0" w:color="auto"/>
              <w:right w:val="single" w:sz="4" w:space="0" w:color="auto"/>
            </w:tcBorders>
          </w:tcPr>
          <w:p w:rsidR="00C37CBD"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II = Marginal</w:t>
            </w:r>
          </w:p>
        </w:tc>
        <w:tc>
          <w:tcPr>
            <w:tcW w:w="1608" w:type="dxa"/>
            <w:tcBorders>
              <w:top w:val="nil"/>
              <w:left w:val="nil"/>
              <w:bottom w:val="nil"/>
              <w:right w:val="nil"/>
            </w:tcBorders>
          </w:tcPr>
          <w:p w:rsidR="00C37CBD" w:rsidRDefault="00C37CBD" w:rsidP="00D82603">
            <w:pPr>
              <w:keepNext/>
              <w:keepLines/>
              <w:rPr>
                <w:sz w:val="16"/>
              </w:rPr>
            </w:pPr>
            <w:r>
              <w:rPr>
                <w:sz w:val="16"/>
              </w:rPr>
              <w:t>D = 25% - 49%</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F</w:t>
            </w:r>
          </w:p>
        </w:tc>
        <w:tc>
          <w:tcPr>
            <w:tcW w:w="723" w:type="dxa"/>
            <w:shd w:val="pct15" w:color="auto" w:fill="FFFFFF"/>
          </w:tcPr>
          <w:p w:rsidR="00C37CBD" w:rsidRDefault="00C37CBD" w:rsidP="00D82603">
            <w:pPr>
              <w:keepNext/>
              <w:keepLines/>
            </w:pPr>
          </w:p>
        </w:tc>
        <w:tc>
          <w:tcPr>
            <w:tcW w:w="723" w:type="dxa"/>
            <w:shd w:val="pct15" w:color="auto" w:fill="FFFFFF"/>
          </w:tcPr>
          <w:p w:rsidR="00C37CBD" w:rsidRDefault="00C37CBD" w:rsidP="00D82603">
            <w:pPr>
              <w:keepNext/>
              <w:keepLines/>
            </w:pPr>
          </w:p>
        </w:tc>
        <w:tc>
          <w:tcPr>
            <w:tcW w:w="724" w:type="dxa"/>
            <w:tcBorders>
              <w:top w:val="single" w:sz="4" w:space="0" w:color="auto"/>
            </w:tcBorders>
            <w:shd w:val="pct15" w:color="auto" w:fill="FFFFFF"/>
          </w:tcPr>
          <w:p w:rsidR="00C37CBD" w:rsidRDefault="00C37CBD" w:rsidP="00D82603">
            <w:pPr>
              <w:keepNext/>
              <w:keepLines/>
            </w:pPr>
          </w:p>
        </w:tc>
        <w:tc>
          <w:tcPr>
            <w:tcW w:w="723" w:type="dxa"/>
            <w:tcBorders>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 = Negligible</w:t>
            </w:r>
          </w:p>
        </w:tc>
        <w:tc>
          <w:tcPr>
            <w:tcW w:w="1608" w:type="dxa"/>
            <w:tcBorders>
              <w:top w:val="nil"/>
              <w:left w:val="nil"/>
              <w:bottom w:val="nil"/>
              <w:right w:val="nil"/>
            </w:tcBorders>
          </w:tcPr>
          <w:p w:rsidR="00C37CBD" w:rsidRDefault="00C37CBD" w:rsidP="00D82603">
            <w:pPr>
              <w:keepNext/>
              <w:keepLines/>
              <w:rPr>
                <w:sz w:val="16"/>
              </w:rPr>
            </w:pPr>
            <w:r>
              <w:rPr>
                <w:sz w:val="16"/>
              </w:rPr>
              <w:t>E = 3% - 24%</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bottom w:val="single" w:sz="4" w:space="0" w:color="auto"/>
            </w:tcBorders>
          </w:tcPr>
          <w:p w:rsidR="00C37CBD" w:rsidRDefault="00C37CBD" w:rsidP="00D82603">
            <w:pPr>
              <w:keepNext/>
              <w:keepLines/>
            </w:pPr>
          </w:p>
        </w:tc>
        <w:tc>
          <w:tcPr>
            <w:tcW w:w="723" w:type="dxa"/>
            <w:tcBorders>
              <w:bottom w:val="single" w:sz="4" w:space="0" w:color="auto"/>
            </w:tcBorders>
          </w:tcPr>
          <w:p w:rsidR="00C37CBD" w:rsidRDefault="00C37CBD" w:rsidP="00D82603">
            <w:pPr>
              <w:keepNext/>
              <w:keepLines/>
              <w:jc w:val="center"/>
            </w:pPr>
            <w:r>
              <w:t>I</w:t>
            </w:r>
          </w:p>
        </w:tc>
        <w:tc>
          <w:tcPr>
            <w:tcW w:w="723" w:type="dxa"/>
            <w:tcBorders>
              <w:bottom w:val="single" w:sz="4" w:space="0" w:color="auto"/>
            </w:tcBorders>
          </w:tcPr>
          <w:p w:rsidR="00C37CBD" w:rsidRDefault="00C37CBD" w:rsidP="00D82603">
            <w:pPr>
              <w:keepNext/>
              <w:keepLines/>
              <w:jc w:val="center"/>
            </w:pPr>
            <w:r>
              <w:t>II</w:t>
            </w:r>
          </w:p>
        </w:tc>
        <w:tc>
          <w:tcPr>
            <w:tcW w:w="724" w:type="dxa"/>
            <w:tcBorders>
              <w:bottom w:val="single" w:sz="4" w:space="0" w:color="auto"/>
            </w:tcBorders>
          </w:tcPr>
          <w:p w:rsidR="00C37CBD" w:rsidRDefault="00C37CBD" w:rsidP="00D82603">
            <w:pPr>
              <w:keepNext/>
              <w:keepLines/>
              <w:jc w:val="center"/>
            </w:pPr>
            <w:r>
              <w:t>III</w:t>
            </w:r>
          </w:p>
        </w:tc>
        <w:tc>
          <w:tcPr>
            <w:tcW w:w="723" w:type="dxa"/>
            <w:tcBorders>
              <w:bottom w:val="single" w:sz="4" w:space="0" w:color="auto"/>
              <w:right w:val="single" w:sz="4" w:space="0" w:color="auto"/>
            </w:tcBorders>
          </w:tcPr>
          <w:p w:rsidR="00C37CBD" w:rsidRDefault="00C37CBD" w:rsidP="00D82603">
            <w:pPr>
              <w:keepNext/>
              <w:keepLines/>
              <w:jc w:val="center"/>
            </w:pPr>
            <w:r>
              <w:t>IV</w:t>
            </w:r>
          </w:p>
        </w:tc>
        <w:tc>
          <w:tcPr>
            <w:tcW w:w="724" w:type="dxa"/>
            <w:tcBorders>
              <w:bottom w:val="single" w:sz="4" w:space="0" w:color="auto"/>
              <w:right w:val="single" w:sz="4" w:space="0" w:color="auto"/>
            </w:tcBorders>
          </w:tcPr>
          <w:p w:rsidR="00C37CBD" w:rsidRDefault="00C37CBD" w:rsidP="00D82603">
            <w:pPr>
              <w:keepNext/>
              <w:keepLines/>
              <w:jc w:val="center"/>
            </w:pPr>
            <w:r>
              <w:t>V</w:t>
            </w:r>
          </w:p>
        </w:tc>
        <w:tc>
          <w:tcPr>
            <w:tcW w:w="1508" w:type="dxa"/>
            <w:tcBorders>
              <w:top w:val="nil"/>
              <w:left w:val="single" w:sz="4" w:space="0" w:color="auto"/>
              <w:bottom w:val="nil"/>
              <w:right w:val="nil"/>
            </w:tcBorders>
          </w:tcPr>
          <w:p w:rsidR="00C37CBD" w:rsidRDefault="00C37CBD" w:rsidP="00D82603">
            <w:pPr>
              <w:keepNext/>
              <w:keepLines/>
            </w:pPr>
          </w:p>
        </w:tc>
        <w:tc>
          <w:tcPr>
            <w:tcW w:w="1608" w:type="dxa"/>
            <w:tcBorders>
              <w:top w:val="nil"/>
              <w:left w:val="nil"/>
              <w:bottom w:val="nil"/>
              <w:right w:val="nil"/>
            </w:tcBorders>
          </w:tcPr>
          <w:p w:rsidR="00C37CBD" w:rsidRDefault="00C37CBD" w:rsidP="00D82603">
            <w:pPr>
              <w:keepNext/>
              <w:keepLines/>
              <w:rPr>
                <w:sz w:val="16"/>
              </w:rPr>
            </w:pPr>
            <w:r>
              <w:rPr>
                <w:sz w:val="16"/>
              </w:rPr>
              <w:t xml:space="preserve">F = </w:t>
            </w:r>
            <w:r>
              <w:rPr>
                <w:spacing w:val="-8"/>
                <w:sz w:val="16"/>
              </w:rPr>
              <w:t xml:space="preserve"> &lt;2%</w:t>
            </w:r>
          </w:p>
        </w:tc>
      </w:tr>
      <w:tr w:rsidR="00C37CBD" w:rsidTr="00D82603">
        <w:trPr>
          <w:cantSplit/>
          <w:trHeight w:val="420"/>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069" w:type="dxa"/>
            <w:gridSpan w:val="6"/>
            <w:tcBorders>
              <w:left w:val="single" w:sz="4" w:space="0" w:color="auto"/>
              <w:bottom w:val="single" w:sz="4" w:space="0" w:color="auto"/>
              <w:right w:val="single" w:sz="4" w:space="0" w:color="auto"/>
            </w:tcBorders>
          </w:tcPr>
          <w:p w:rsidR="00C37CBD" w:rsidRDefault="00C37CBD" w:rsidP="00D82603">
            <w:pPr>
              <w:keepNext/>
              <w:keepLines/>
              <w:spacing w:before="40"/>
              <w:jc w:val="center"/>
              <w:rPr>
                <w:b/>
                <w:szCs w:val="22"/>
              </w:rPr>
            </w:pPr>
            <w:r>
              <w:rPr>
                <w:b/>
                <w:szCs w:val="22"/>
              </w:rPr>
              <w:t>Impact</w:t>
            </w:r>
          </w:p>
          <w:p w:rsidR="00C37CBD" w:rsidRDefault="00C37CBD" w:rsidP="00D82603">
            <w:pPr>
              <w:keepNext/>
              <w:keepLines/>
              <w:rPr>
                <w:b/>
                <w:sz w:val="20"/>
              </w:rPr>
            </w:pPr>
          </w:p>
        </w:tc>
        <w:tc>
          <w:tcPr>
            <w:tcW w:w="1508" w:type="dxa"/>
            <w:tcBorders>
              <w:top w:val="nil"/>
              <w:left w:val="single" w:sz="4" w:space="0" w:color="auto"/>
              <w:bottom w:val="nil"/>
              <w:right w:val="nil"/>
            </w:tcBorders>
          </w:tcPr>
          <w:p w:rsidR="00C37CBD" w:rsidRDefault="00C37CBD" w:rsidP="00D82603">
            <w:pPr>
              <w:keepNext/>
              <w:keepLines/>
            </w:pPr>
          </w:p>
        </w:tc>
        <w:tc>
          <w:tcPr>
            <w:tcW w:w="1608" w:type="dxa"/>
            <w:tcBorders>
              <w:top w:val="nil"/>
              <w:left w:val="nil"/>
              <w:bottom w:val="nil"/>
              <w:right w:val="nil"/>
            </w:tcBorders>
          </w:tcPr>
          <w:p w:rsidR="00C37CBD" w:rsidRDefault="00C37CBD" w:rsidP="00D82603">
            <w:pPr>
              <w:keepNext/>
              <w:keepLines/>
            </w:pPr>
          </w:p>
        </w:tc>
      </w:tr>
    </w:tbl>
    <w:p w:rsidR="00C37CBD" w:rsidRDefault="00C37CBD" w:rsidP="00C37CBD"/>
    <w:p w:rsidR="00E90E69" w:rsidRDefault="00E90E69" w:rsidP="00C37CBD">
      <w:pPr>
        <w:keepNext/>
        <w:ind w:left="1267" w:hanging="1267"/>
      </w:pPr>
    </w:p>
    <w:p w:rsidR="00E90E69" w:rsidRDefault="00E90E69" w:rsidP="00C37CBD">
      <w:pPr>
        <w:keepNext/>
        <w:ind w:left="1267" w:hanging="1267"/>
      </w:pPr>
    </w:p>
    <w:p w:rsidR="00C37CBD" w:rsidRDefault="005A3853" w:rsidP="00C37CBD">
      <w:pPr>
        <w:keepNext/>
        <w:ind w:left="1267" w:hanging="1267"/>
      </w:pPr>
      <w:r>
        <w:t>8</w:t>
      </w:r>
      <w:r w:rsidR="00C37CBD">
        <w:t>.</w:t>
      </w:r>
      <w:r w:rsidR="00C37CBD">
        <w:fldChar w:fldCharType="begin"/>
      </w:r>
      <w:r w:rsidR="00C37CBD">
        <w:instrText xml:space="preserve">  </w:instrText>
      </w:r>
      <w:r w:rsidR="00C37CBD">
        <w:fldChar w:fldCharType="end"/>
      </w:r>
      <w:r w:rsidR="00C37CBD">
        <w:tab/>
      </w:r>
      <w:r w:rsidR="00C37CBD">
        <w:rPr>
          <w:b/>
        </w:rPr>
        <w:t>Recommendation</w:t>
      </w:r>
    </w:p>
    <w:p w:rsidR="00C37CBD" w:rsidRDefault="00C37CBD" w:rsidP="00C37CBD">
      <w:pPr>
        <w:keepNext/>
        <w:ind w:left="1267" w:hanging="1267"/>
      </w:pPr>
      <w:r>
        <w:tab/>
      </w:r>
      <w:r>
        <w:tab/>
      </w:r>
    </w:p>
    <w:p w:rsidR="00C37CBD" w:rsidRDefault="00C37CBD" w:rsidP="00C37CBD">
      <w:pPr>
        <w:keepNext/>
        <w:ind w:left="1267" w:hanging="1267"/>
      </w:pPr>
      <w:r>
        <w:tab/>
        <w:t>To Council:</w:t>
      </w:r>
    </w:p>
    <w:p w:rsidR="00C37CBD" w:rsidRDefault="00C37CBD" w:rsidP="00C37CBD">
      <w:pPr>
        <w:keepNext/>
        <w:ind w:left="1267" w:hanging="1267"/>
      </w:pPr>
    </w:p>
    <w:p w:rsidR="0047247F" w:rsidRDefault="005A3853" w:rsidP="00AB0E6E">
      <w:pPr>
        <w:keepNext/>
        <w:tabs>
          <w:tab w:val="left" w:pos="567"/>
        </w:tabs>
        <w:ind w:left="1267" w:hanging="1267"/>
      </w:pPr>
      <w:r>
        <w:t>8</w:t>
      </w:r>
      <w:r w:rsidR="00C37CBD">
        <w:t xml:space="preserve">.1  </w:t>
      </w:r>
      <w:r w:rsidR="00C37CBD">
        <w:tab/>
      </w:r>
      <w:r w:rsidR="00C37CBD">
        <w:tab/>
        <w:t xml:space="preserve">That the following </w:t>
      </w:r>
      <w:r w:rsidR="002E3C59">
        <w:t>re</w:t>
      </w:r>
      <w:r w:rsidR="00735FB1">
        <w:t>venue</w:t>
      </w:r>
      <w:r w:rsidR="00BA4DBB">
        <w:t xml:space="preserve"> and capital budget</w:t>
      </w:r>
      <w:r w:rsidR="00C37CBD">
        <w:t xml:space="preserve"> variations be approved and incorporated into the three-year medium-term financial plan:-</w:t>
      </w:r>
    </w:p>
    <w:p w:rsidR="00B35FEB" w:rsidRDefault="00B35FEB" w:rsidP="00AB0E6E">
      <w:pPr>
        <w:keepNext/>
        <w:tabs>
          <w:tab w:val="left" w:pos="567"/>
        </w:tabs>
        <w:ind w:left="1267" w:hanging="1267"/>
      </w:pP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134"/>
        <w:gridCol w:w="1134"/>
      </w:tblGrid>
      <w:tr w:rsidR="00B35FEB" w:rsidTr="0077607D">
        <w:tc>
          <w:tcPr>
            <w:tcW w:w="4253" w:type="dxa"/>
          </w:tcPr>
          <w:p w:rsidR="00B35FEB" w:rsidRDefault="00B35FEB" w:rsidP="004F0D6A">
            <w:pPr>
              <w:widowControl w:val="0"/>
              <w:jc w:val="center"/>
              <w:rPr>
                <w:sz w:val="20"/>
              </w:rPr>
            </w:pPr>
          </w:p>
          <w:p w:rsidR="00B35FEB" w:rsidRDefault="00B35FEB" w:rsidP="004F0D6A">
            <w:pPr>
              <w:widowControl w:val="0"/>
              <w:jc w:val="center"/>
              <w:rPr>
                <w:sz w:val="20"/>
              </w:rPr>
            </w:pPr>
            <w:r>
              <w:rPr>
                <w:sz w:val="20"/>
              </w:rPr>
              <w:t>Variance</w:t>
            </w:r>
          </w:p>
        </w:tc>
        <w:tc>
          <w:tcPr>
            <w:tcW w:w="1275" w:type="dxa"/>
            <w:tcBorders>
              <w:bottom w:val="single" w:sz="4" w:space="0" w:color="auto"/>
            </w:tcBorders>
          </w:tcPr>
          <w:p w:rsidR="00B35FEB" w:rsidRDefault="00B35FEB" w:rsidP="004F0D6A">
            <w:pPr>
              <w:widowControl w:val="0"/>
              <w:jc w:val="center"/>
              <w:rPr>
                <w:sz w:val="20"/>
              </w:rPr>
            </w:pPr>
            <w:r>
              <w:rPr>
                <w:sz w:val="20"/>
              </w:rPr>
              <w:t>2016/17</w:t>
            </w:r>
          </w:p>
          <w:p w:rsidR="00B35FEB" w:rsidRDefault="00B35FEB" w:rsidP="004F0D6A">
            <w:pPr>
              <w:widowControl w:val="0"/>
              <w:jc w:val="center"/>
              <w:rPr>
                <w:sz w:val="20"/>
              </w:rPr>
            </w:pPr>
            <w:r>
              <w:rPr>
                <w:sz w:val="20"/>
              </w:rPr>
              <w:t>£</w:t>
            </w:r>
          </w:p>
        </w:tc>
        <w:tc>
          <w:tcPr>
            <w:tcW w:w="1134" w:type="dxa"/>
            <w:tcBorders>
              <w:bottom w:val="single" w:sz="4" w:space="0" w:color="auto"/>
            </w:tcBorders>
          </w:tcPr>
          <w:p w:rsidR="00B35FEB" w:rsidRDefault="00B35FEB" w:rsidP="004F0D6A">
            <w:pPr>
              <w:widowControl w:val="0"/>
              <w:jc w:val="center"/>
              <w:rPr>
                <w:sz w:val="20"/>
              </w:rPr>
            </w:pPr>
            <w:r>
              <w:rPr>
                <w:sz w:val="20"/>
              </w:rPr>
              <w:t>2017/18</w:t>
            </w:r>
          </w:p>
          <w:p w:rsidR="00B35FEB" w:rsidRDefault="00B35FEB" w:rsidP="004F0D6A">
            <w:pPr>
              <w:widowControl w:val="0"/>
              <w:jc w:val="center"/>
              <w:rPr>
                <w:sz w:val="20"/>
              </w:rPr>
            </w:pPr>
            <w:r>
              <w:rPr>
                <w:sz w:val="20"/>
              </w:rPr>
              <w:t>£</w:t>
            </w:r>
          </w:p>
        </w:tc>
        <w:tc>
          <w:tcPr>
            <w:tcW w:w="1134" w:type="dxa"/>
            <w:tcBorders>
              <w:bottom w:val="single" w:sz="4" w:space="0" w:color="auto"/>
            </w:tcBorders>
          </w:tcPr>
          <w:p w:rsidR="00B35FEB" w:rsidRDefault="00B35FEB" w:rsidP="004F0D6A">
            <w:pPr>
              <w:widowControl w:val="0"/>
              <w:jc w:val="center"/>
              <w:rPr>
                <w:sz w:val="20"/>
              </w:rPr>
            </w:pPr>
            <w:r>
              <w:rPr>
                <w:sz w:val="20"/>
              </w:rPr>
              <w:t>2018/19</w:t>
            </w:r>
          </w:p>
          <w:p w:rsidR="00B35FEB" w:rsidRDefault="00B35FEB" w:rsidP="004F0D6A">
            <w:pPr>
              <w:widowControl w:val="0"/>
              <w:jc w:val="center"/>
              <w:rPr>
                <w:sz w:val="20"/>
              </w:rPr>
            </w:pPr>
            <w:r>
              <w:rPr>
                <w:sz w:val="20"/>
              </w:rPr>
              <w:t>£</w:t>
            </w:r>
          </w:p>
        </w:tc>
      </w:tr>
      <w:tr w:rsidR="00B35FEB" w:rsidTr="0077607D">
        <w:tc>
          <w:tcPr>
            <w:tcW w:w="4253" w:type="dxa"/>
          </w:tcPr>
          <w:p w:rsidR="00B35FEB" w:rsidRPr="009417BF" w:rsidRDefault="00B35FEB" w:rsidP="004F0D6A">
            <w:pPr>
              <w:widowControl w:val="0"/>
              <w:spacing w:before="60" w:after="60"/>
              <w:rPr>
                <w:sz w:val="20"/>
              </w:rPr>
            </w:pPr>
            <w:r w:rsidRPr="009417BF">
              <w:rPr>
                <w:b/>
                <w:sz w:val="20"/>
              </w:rPr>
              <w:t xml:space="preserve">Revenue </w:t>
            </w:r>
            <w:r w:rsidRPr="009417BF">
              <w:rPr>
                <w:sz w:val="20"/>
              </w:rPr>
              <w:t>- (Favourable )/ Unfavourable</w:t>
            </w:r>
          </w:p>
        </w:tc>
        <w:tc>
          <w:tcPr>
            <w:tcW w:w="1275" w:type="dxa"/>
            <w:shd w:val="clear" w:color="auto" w:fill="FFFFFF"/>
          </w:tcPr>
          <w:p w:rsidR="00B35FEB" w:rsidRPr="005D1D55" w:rsidRDefault="005D1D55" w:rsidP="009417BF">
            <w:pPr>
              <w:widowControl w:val="0"/>
              <w:spacing w:before="60" w:after="60"/>
              <w:jc w:val="right"/>
              <w:rPr>
                <w:sz w:val="20"/>
              </w:rPr>
            </w:pPr>
            <w:r w:rsidRPr="005D1D55">
              <w:rPr>
                <w:sz w:val="20"/>
              </w:rPr>
              <w:t>575,440</w:t>
            </w:r>
          </w:p>
        </w:tc>
        <w:tc>
          <w:tcPr>
            <w:tcW w:w="1134" w:type="dxa"/>
            <w:shd w:val="clear" w:color="auto" w:fill="FFFFFF"/>
          </w:tcPr>
          <w:p w:rsidR="00B35FEB" w:rsidRPr="005D1D55" w:rsidRDefault="00585FFF" w:rsidP="005D1D55">
            <w:pPr>
              <w:widowControl w:val="0"/>
              <w:spacing w:before="60" w:after="60"/>
              <w:ind w:right="7"/>
              <w:jc w:val="right"/>
              <w:rPr>
                <w:sz w:val="20"/>
              </w:rPr>
            </w:pPr>
            <w:r>
              <w:rPr>
                <w:sz w:val="20"/>
              </w:rPr>
              <w:t>259,930</w:t>
            </w:r>
          </w:p>
        </w:tc>
        <w:tc>
          <w:tcPr>
            <w:tcW w:w="1134" w:type="dxa"/>
            <w:shd w:val="clear" w:color="auto" w:fill="FFFFFF"/>
          </w:tcPr>
          <w:p w:rsidR="00B35FEB" w:rsidRPr="005D1D55" w:rsidRDefault="00585FFF" w:rsidP="005D1D55">
            <w:pPr>
              <w:widowControl w:val="0"/>
              <w:spacing w:before="60" w:after="60"/>
              <w:ind w:right="7"/>
              <w:jc w:val="right"/>
              <w:rPr>
                <w:sz w:val="20"/>
              </w:rPr>
            </w:pPr>
            <w:r>
              <w:rPr>
                <w:sz w:val="20"/>
              </w:rPr>
              <w:t>82,780</w:t>
            </w:r>
          </w:p>
        </w:tc>
      </w:tr>
      <w:tr w:rsidR="00B35FEB" w:rsidTr="0077607D">
        <w:tc>
          <w:tcPr>
            <w:tcW w:w="4253" w:type="dxa"/>
          </w:tcPr>
          <w:p w:rsidR="00B35FEB" w:rsidRPr="009417BF" w:rsidRDefault="00B35FEB" w:rsidP="004F0D6A">
            <w:pPr>
              <w:widowControl w:val="0"/>
              <w:spacing w:before="60" w:after="60"/>
              <w:rPr>
                <w:sz w:val="20"/>
              </w:rPr>
            </w:pPr>
            <w:r w:rsidRPr="009417BF">
              <w:rPr>
                <w:b/>
                <w:sz w:val="20"/>
              </w:rPr>
              <w:t>Capital</w:t>
            </w:r>
            <w:r w:rsidRPr="009417BF">
              <w:rPr>
                <w:sz w:val="20"/>
              </w:rPr>
              <w:t xml:space="preserve"> - Increase / (Decrease)</w:t>
            </w:r>
          </w:p>
        </w:tc>
        <w:tc>
          <w:tcPr>
            <w:tcW w:w="1275" w:type="dxa"/>
            <w:shd w:val="clear" w:color="auto" w:fill="FFFFFF"/>
          </w:tcPr>
          <w:p w:rsidR="00B35FEB" w:rsidRPr="005D1D55" w:rsidRDefault="009417BF" w:rsidP="004F0D6A">
            <w:pPr>
              <w:widowControl w:val="0"/>
              <w:spacing w:before="60" w:after="60"/>
              <w:jc w:val="right"/>
              <w:rPr>
                <w:sz w:val="20"/>
              </w:rPr>
            </w:pPr>
            <w:r w:rsidRPr="005D1D55">
              <w:rPr>
                <w:sz w:val="20"/>
              </w:rPr>
              <w:t>(346,913)</w:t>
            </w:r>
          </w:p>
        </w:tc>
        <w:tc>
          <w:tcPr>
            <w:tcW w:w="1134" w:type="dxa"/>
            <w:shd w:val="clear" w:color="auto" w:fill="FFFFFF"/>
          </w:tcPr>
          <w:p w:rsidR="00B35FEB" w:rsidRPr="005D1D55" w:rsidRDefault="00880844" w:rsidP="004F0D6A">
            <w:pPr>
              <w:widowControl w:val="0"/>
              <w:spacing w:before="60" w:after="60"/>
              <w:ind w:right="7"/>
              <w:jc w:val="right"/>
              <w:rPr>
                <w:sz w:val="20"/>
              </w:rPr>
            </w:pPr>
            <w:r>
              <w:rPr>
                <w:sz w:val="20"/>
              </w:rPr>
              <w:t>1,519,913</w:t>
            </w:r>
          </w:p>
        </w:tc>
        <w:tc>
          <w:tcPr>
            <w:tcW w:w="1134" w:type="dxa"/>
            <w:shd w:val="clear" w:color="auto" w:fill="FFFFFF"/>
          </w:tcPr>
          <w:p w:rsidR="00B35FEB" w:rsidRPr="005D1D55" w:rsidRDefault="009417BF" w:rsidP="004F0D6A">
            <w:pPr>
              <w:widowControl w:val="0"/>
              <w:spacing w:before="60" w:after="60"/>
              <w:ind w:right="7"/>
              <w:jc w:val="right"/>
              <w:rPr>
                <w:sz w:val="20"/>
              </w:rPr>
            </w:pPr>
            <w:r w:rsidRPr="005D1D55">
              <w:rPr>
                <w:sz w:val="20"/>
              </w:rPr>
              <w:t>0</w:t>
            </w:r>
          </w:p>
        </w:tc>
      </w:tr>
    </w:tbl>
    <w:p w:rsidR="00D972D6" w:rsidRDefault="00B35FEB" w:rsidP="00D41B6B">
      <w:pPr>
        <w:keepNext/>
        <w:tabs>
          <w:tab w:val="clear" w:pos="1260"/>
        </w:tabs>
      </w:pPr>
      <w:r>
        <w:tab/>
      </w:r>
      <w:r w:rsidR="00C37CBD">
        <w:tab/>
      </w:r>
    </w:p>
    <w:p w:rsidR="007514DD" w:rsidRDefault="00D972D6" w:rsidP="00C37CBD">
      <w:r>
        <w:tab/>
      </w:r>
      <w:r w:rsidR="00C37CBD">
        <w:t>Report prepared by:</w:t>
      </w:r>
      <w:r w:rsidR="00C37CBD">
        <w:tab/>
      </w:r>
      <w:r w:rsidR="00112412">
        <w:t>Stephen Exton</w:t>
      </w:r>
      <w:r w:rsidR="00BA4DBB">
        <w:t xml:space="preserve"> </w:t>
      </w:r>
      <w:r w:rsidR="00C37CBD">
        <w:t xml:space="preserve">– </w:t>
      </w:r>
      <w:r w:rsidR="00112412">
        <w:t>Finance Manager</w:t>
      </w:r>
      <w:r w:rsidR="00BA4DBB">
        <w:t xml:space="preserve"> </w:t>
      </w:r>
      <w:r w:rsidR="0008014A">
        <w:t>(Accountancy)</w:t>
      </w:r>
    </w:p>
    <w:p w:rsidR="007514DD" w:rsidRDefault="007514DD" w:rsidP="00C37CBD"/>
    <w:p w:rsidR="007514DD" w:rsidRDefault="007514DD" w:rsidP="00C37CBD">
      <w:r>
        <w:tab/>
        <w:t xml:space="preserve">Checked by: Nigel Pollard – Section Head </w:t>
      </w:r>
      <w:r w:rsidR="0081581D">
        <w:t>(</w:t>
      </w:r>
      <w:r>
        <w:t>Accountancy</w:t>
      </w:r>
      <w:r w:rsidR="0081581D">
        <w:t>)</w:t>
      </w:r>
    </w:p>
    <w:p w:rsidR="007514DD" w:rsidRDefault="007514DD" w:rsidP="008E25BA">
      <w:pPr>
        <w:keepNext/>
        <w:ind w:left="1267" w:hanging="1267"/>
        <w:outlineLvl w:val="0"/>
      </w:pPr>
    </w:p>
    <w:p w:rsidR="00C37CBD" w:rsidRDefault="00C37CBD" w:rsidP="008E25BA">
      <w:pPr>
        <w:keepNext/>
        <w:ind w:left="1267" w:hanging="1267"/>
        <w:outlineLvl w:val="0"/>
        <w:rPr>
          <w:b/>
        </w:rPr>
      </w:pPr>
      <w:r>
        <w:tab/>
      </w:r>
      <w:r>
        <w:tab/>
      </w:r>
      <w:r>
        <w:rPr>
          <w:b/>
        </w:rPr>
        <w:t>Background Papers</w:t>
      </w:r>
    </w:p>
    <w:p w:rsidR="00B5553E" w:rsidRDefault="00B5553E" w:rsidP="008E25BA">
      <w:pPr>
        <w:keepNext/>
        <w:ind w:left="1267" w:hanging="1267"/>
        <w:outlineLvl w:val="0"/>
        <w:rPr>
          <w:b/>
        </w:rPr>
      </w:pPr>
    </w:p>
    <w:p w:rsidR="000902CC" w:rsidRPr="000902CC" w:rsidRDefault="00C37CBD" w:rsidP="00C37CBD">
      <w:pPr>
        <w:ind w:left="1260" w:hanging="1260"/>
      </w:pPr>
      <w:r>
        <w:rPr>
          <w:i/>
        </w:rPr>
        <w:tab/>
      </w:r>
      <w:r w:rsidR="000902CC" w:rsidRPr="000902CC">
        <w:t>2016/17 Budget Monitoring</w:t>
      </w:r>
      <w:r w:rsidR="000902CC">
        <w:t xml:space="preserve"> Quarter 1 (April – June) report</w:t>
      </w:r>
    </w:p>
    <w:p w:rsidR="00C37CBD" w:rsidRDefault="000902CC" w:rsidP="00C37CBD">
      <w:pPr>
        <w:ind w:left="1260" w:hanging="1260"/>
      </w:pPr>
      <w:r>
        <w:rPr>
          <w:i/>
        </w:rPr>
        <w:tab/>
      </w:r>
      <w:r w:rsidR="008E25BA">
        <w:t>201</w:t>
      </w:r>
      <w:r w:rsidR="00B5553E">
        <w:t>6/</w:t>
      </w:r>
      <w:r w:rsidR="008E25BA">
        <w:t>1</w:t>
      </w:r>
      <w:r w:rsidR="00B5553E">
        <w:t>7</w:t>
      </w:r>
      <w:r w:rsidR="008E25BA">
        <w:t xml:space="preserve"> </w:t>
      </w:r>
      <w:r w:rsidR="00B5553E">
        <w:t xml:space="preserve">Budget Monitoring </w:t>
      </w:r>
      <w:r w:rsidR="009417BF">
        <w:t>Period</w:t>
      </w:r>
      <w:r w:rsidR="00B5553E">
        <w:t xml:space="preserve"> </w:t>
      </w:r>
      <w:r w:rsidR="009417BF">
        <w:t>4</w:t>
      </w:r>
      <w:r w:rsidR="00B5553E">
        <w:t xml:space="preserve"> (Ju</w:t>
      </w:r>
      <w:r w:rsidR="009417BF">
        <w:t>ly</w:t>
      </w:r>
      <w:r w:rsidR="00B5553E">
        <w:t xml:space="preserve">) </w:t>
      </w:r>
      <w:r w:rsidR="008E25BA">
        <w:t>report</w:t>
      </w:r>
    </w:p>
    <w:p w:rsidR="009D3B3E" w:rsidRDefault="000902CC" w:rsidP="00C37CBD">
      <w:pPr>
        <w:ind w:left="1260" w:hanging="1260"/>
      </w:pPr>
      <w:r>
        <w:tab/>
      </w:r>
    </w:p>
    <w:p w:rsidR="00C37CBD" w:rsidRDefault="00C37CBD" w:rsidP="00C37CBD">
      <w:pPr>
        <w:ind w:left="1260" w:hanging="1260"/>
        <w:rPr>
          <w:b/>
        </w:rPr>
      </w:pPr>
      <w:r>
        <w:rPr>
          <w:b/>
          <w:i/>
          <w:sz w:val="26"/>
        </w:rPr>
        <w:tab/>
      </w:r>
      <w:r>
        <w:rPr>
          <w:b/>
        </w:rPr>
        <w:t xml:space="preserve">APPENDICES </w:t>
      </w:r>
    </w:p>
    <w:p w:rsidR="00D41B6B" w:rsidRDefault="00D41B6B" w:rsidP="00C37CBD">
      <w:pPr>
        <w:ind w:left="1260" w:hanging="1260"/>
        <w:rPr>
          <w:b/>
        </w:rPr>
      </w:pPr>
    </w:p>
    <w:p w:rsidR="00BE1B3A" w:rsidRPr="00102D03" w:rsidRDefault="00C37CBD" w:rsidP="00B5553E">
      <w:pPr>
        <w:keepNext/>
        <w:ind w:left="1259" w:hanging="1259"/>
        <w:jc w:val="left"/>
        <w:rPr>
          <w:rFonts w:cs="Arial"/>
          <w:szCs w:val="22"/>
        </w:rPr>
      </w:pPr>
      <w:r>
        <w:tab/>
      </w:r>
      <w:r w:rsidR="00BE1B3A">
        <w:tab/>
      </w:r>
      <w:r w:rsidR="00197BE0" w:rsidRPr="00102D03">
        <w:rPr>
          <w:rFonts w:cs="Arial"/>
          <w:szCs w:val="22"/>
        </w:rPr>
        <w:t xml:space="preserve">Appendix 1 </w:t>
      </w:r>
      <w:r w:rsidR="00102D03">
        <w:rPr>
          <w:rFonts w:cs="Arial"/>
          <w:szCs w:val="22"/>
        </w:rPr>
        <w:t>M</w:t>
      </w:r>
      <w:r w:rsidR="00197BE0" w:rsidRPr="00102D03">
        <w:rPr>
          <w:rFonts w:cs="Arial"/>
          <w:szCs w:val="22"/>
        </w:rPr>
        <w:t>edium term revenue budget by cost centre by Committee</w:t>
      </w:r>
      <w:r w:rsidR="00102D03">
        <w:rPr>
          <w:rFonts w:cs="Arial"/>
          <w:szCs w:val="22"/>
        </w:rPr>
        <w:t xml:space="preserve"> (2016-19)</w:t>
      </w:r>
    </w:p>
    <w:p w:rsidR="00C37CBD" w:rsidRPr="00102D03" w:rsidRDefault="00C37CBD" w:rsidP="00B5553E">
      <w:pPr>
        <w:jc w:val="left"/>
        <w:rPr>
          <w:rFonts w:cs="Arial"/>
          <w:szCs w:val="22"/>
        </w:rPr>
      </w:pPr>
      <w:r w:rsidRPr="00102D03">
        <w:rPr>
          <w:rFonts w:cs="Arial"/>
          <w:szCs w:val="22"/>
        </w:rPr>
        <w:tab/>
      </w:r>
      <w:r w:rsidR="00197BE0" w:rsidRPr="00102D03">
        <w:rPr>
          <w:rFonts w:cs="Arial"/>
          <w:szCs w:val="22"/>
        </w:rPr>
        <w:t xml:space="preserve">Appendix 2 </w:t>
      </w:r>
      <w:r w:rsidR="00102D03">
        <w:rPr>
          <w:rFonts w:cs="Arial"/>
          <w:szCs w:val="22"/>
        </w:rPr>
        <w:t>E</w:t>
      </w:r>
      <w:r w:rsidR="00197BE0" w:rsidRPr="00102D03">
        <w:t>xplanations of revenue variances reported this Period</w:t>
      </w:r>
    </w:p>
    <w:p w:rsidR="007D79C9" w:rsidRPr="00102D03" w:rsidRDefault="00197BE0" w:rsidP="00B5553E">
      <w:pPr>
        <w:pStyle w:val="BodyTextIndent"/>
        <w:tabs>
          <w:tab w:val="clear" w:pos="1260"/>
          <w:tab w:val="left" w:pos="2552"/>
        </w:tabs>
        <w:ind w:left="2552"/>
        <w:jc w:val="left"/>
        <w:rPr>
          <w:rFonts w:cs="Arial"/>
          <w:szCs w:val="22"/>
        </w:rPr>
      </w:pPr>
      <w:r w:rsidRPr="00102D03">
        <w:t xml:space="preserve">Appendix 3 </w:t>
      </w:r>
      <w:r w:rsidR="00BB49F7">
        <w:t>V</w:t>
      </w:r>
      <w:r w:rsidRPr="00102D03">
        <w:t xml:space="preserve">ariances </w:t>
      </w:r>
      <w:r w:rsidR="00BB49F7">
        <w:t xml:space="preserve">previously reported </w:t>
      </w:r>
    </w:p>
    <w:p w:rsidR="00E37DDC" w:rsidRPr="00102D03" w:rsidRDefault="00E37DDC" w:rsidP="00B5553E">
      <w:pPr>
        <w:pStyle w:val="BodyTextIndent"/>
        <w:jc w:val="left"/>
        <w:rPr>
          <w:rFonts w:cs="Arial"/>
          <w:szCs w:val="22"/>
        </w:rPr>
      </w:pPr>
      <w:r w:rsidRPr="00102D03">
        <w:rPr>
          <w:rFonts w:cs="Arial"/>
          <w:szCs w:val="22"/>
        </w:rPr>
        <w:tab/>
      </w:r>
      <w:r w:rsidR="00197BE0" w:rsidRPr="00102D03">
        <w:rPr>
          <w:rFonts w:cs="Arial"/>
          <w:szCs w:val="22"/>
        </w:rPr>
        <w:t xml:space="preserve">Appendix 4 </w:t>
      </w:r>
      <w:r w:rsidR="00102D03">
        <w:rPr>
          <w:rFonts w:cs="Arial"/>
          <w:szCs w:val="22"/>
        </w:rPr>
        <w:t>K</w:t>
      </w:r>
      <w:r w:rsidR="00197BE0" w:rsidRPr="00102D03">
        <w:rPr>
          <w:rFonts w:cs="Arial"/>
          <w:szCs w:val="22"/>
        </w:rPr>
        <w:t xml:space="preserve">ey budget indicators </w:t>
      </w:r>
      <w:r w:rsidR="00102D03">
        <w:rPr>
          <w:rFonts w:cs="Arial"/>
          <w:szCs w:val="22"/>
        </w:rPr>
        <w:t xml:space="preserve">– Income </w:t>
      </w:r>
      <w:r w:rsidR="00BB49F7">
        <w:rPr>
          <w:rFonts w:cs="Arial"/>
          <w:szCs w:val="22"/>
        </w:rPr>
        <w:t>s</w:t>
      </w:r>
      <w:r w:rsidR="00102D03">
        <w:rPr>
          <w:rFonts w:cs="Arial"/>
          <w:szCs w:val="22"/>
        </w:rPr>
        <w:t>treams</w:t>
      </w:r>
    </w:p>
    <w:p w:rsidR="00E37DDC" w:rsidRPr="00102D03" w:rsidRDefault="00C37CBD" w:rsidP="00B5553E">
      <w:pPr>
        <w:pStyle w:val="BodyTextIndent"/>
        <w:jc w:val="left"/>
        <w:rPr>
          <w:rFonts w:cs="Arial"/>
          <w:szCs w:val="22"/>
        </w:rPr>
      </w:pPr>
      <w:r w:rsidRPr="00102D03">
        <w:rPr>
          <w:rFonts w:cs="Arial"/>
          <w:szCs w:val="22"/>
        </w:rPr>
        <w:tab/>
      </w:r>
      <w:r w:rsidR="00BA2EDB" w:rsidRPr="00102D03">
        <w:rPr>
          <w:rFonts w:cs="Arial"/>
          <w:szCs w:val="22"/>
        </w:rPr>
        <w:t xml:space="preserve">Appendix 5 </w:t>
      </w:r>
      <w:r w:rsidR="00BA2EDB">
        <w:rPr>
          <w:rFonts w:cs="Arial"/>
          <w:szCs w:val="22"/>
        </w:rPr>
        <w:t>B</w:t>
      </w:r>
      <w:r w:rsidR="00BA2EDB" w:rsidRPr="00102D03">
        <w:rPr>
          <w:rFonts w:cs="Arial"/>
          <w:szCs w:val="22"/>
        </w:rPr>
        <w:t xml:space="preserve">udgetary </w:t>
      </w:r>
      <w:r w:rsidR="00BA2EDB">
        <w:rPr>
          <w:rFonts w:cs="Arial"/>
          <w:szCs w:val="22"/>
        </w:rPr>
        <w:t>risks</w:t>
      </w:r>
    </w:p>
    <w:p w:rsidR="00102D03" w:rsidRDefault="00197BE0" w:rsidP="00B5553E">
      <w:pPr>
        <w:pStyle w:val="BodyTextIndent"/>
        <w:tabs>
          <w:tab w:val="clear" w:pos="1260"/>
          <w:tab w:val="left" w:pos="2552"/>
        </w:tabs>
        <w:ind w:left="2552"/>
        <w:jc w:val="left"/>
      </w:pPr>
      <w:r w:rsidRPr="00102D03">
        <w:t xml:space="preserve">Appendix 6 </w:t>
      </w:r>
      <w:r w:rsidR="00102D03">
        <w:t>Me</w:t>
      </w:r>
      <w:r w:rsidRPr="00102D03">
        <w:t xml:space="preserve">dium term capital investment programme </w:t>
      </w:r>
      <w:r w:rsidR="00102D03">
        <w:t>(</w:t>
      </w:r>
      <w:r w:rsidRPr="00102D03">
        <w:t>2016 -2019</w:t>
      </w:r>
      <w:r w:rsidR="00102D03">
        <w:t>)</w:t>
      </w:r>
      <w:r w:rsidRPr="00102D03">
        <w:t xml:space="preserve"> </w:t>
      </w:r>
    </w:p>
    <w:p w:rsidR="00102D03" w:rsidRDefault="00102D03" w:rsidP="00B5553E">
      <w:pPr>
        <w:pStyle w:val="BodyTextIndent"/>
        <w:tabs>
          <w:tab w:val="clear" w:pos="1260"/>
          <w:tab w:val="left" w:pos="2552"/>
        </w:tabs>
        <w:ind w:left="2552"/>
        <w:jc w:val="left"/>
      </w:pPr>
      <w:r w:rsidRPr="00102D03">
        <w:t xml:space="preserve">Appendix </w:t>
      </w:r>
      <w:r>
        <w:t>7</w:t>
      </w:r>
      <w:r w:rsidRPr="001B07D5">
        <w:t xml:space="preserve"> </w:t>
      </w:r>
      <w:r>
        <w:t>Explanations of capital variances reported this Period</w:t>
      </w:r>
    </w:p>
    <w:p w:rsidR="00197BE0" w:rsidRDefault="00112412" w:rsidP="00D41B6B">
      <w:pPr>
        <w:pStyle w:val="BodyTextIndent"/>
        <w:jc w:val="left"/>
        <w:sectPr w:rsidR="00197BE0" w:rsidSect="00E90E69">
          <w:headerReference w:type="default" r:id="rId10"/>
          <w:pgSz w:w="11909" w:h="16834" w:code="9"/>
          <w:pgMar w:top="567" w:right="1077" w:bottom="794" w:left="1077" w:header="709" w:footer="709" w:gutter="0"/>
          <w:cols w:space="720"/>
        </w:sectPr>
      </w:pPr>
      <w:r w:rsidRPr="00102D03">
        <w:rPr>
          <w:rFonts w:cs="Arial"/>
          <w:szCs w:val="22"/>
        </w:rPr>
        <w:tab/>
      </w:r>
      <w:r w:rsidR="00197BE0" w:rsidRPr="00102D03">
        <w:rPr>
          <w:rFonts w:cs="Arial"/>
          <w:szCs w:val="22"/>
        </w:rPr>
        <w:t xml:space="preserve">Appendix </w:t>
      </w:r>
      <w:r w:rsidR="00102D03">
        <w:rPr>
          <w:rFonts w:cs="Arial"/>
          <w:szCs w:val="22"/>
        </w:rPr>
        <w:t>8</w:t>
      </w:r>
      <w:r w:rsidR="00197BE0" w:rsidRPr="00102D03">
        <w:rPr>
          <w:rFonts w:cs="Arial"/>
          <w:szCs w:val="22"/>
        </w:rPr>
        <w:t xml:space="preserve"> </w:t>
      </w:r>
      <w:r w:rsidR="00102D03">
        <w:rPr>
          <w:rFonts w:cs="Arial"/>
          <w:szCs w:val="22"/>
        </w:rPr>
        <w:t>F</w:t>
      </w:r>
      <w:r w:rsidR="00197BE0" w:rsidRPr="00102D03">
        <w:rPr>
          <w:rFonts w:cs="Arial"/>
          <w:szCs w:val="22"/>
        </w:rPr>
        <w:t>unding the capital programme</w:t>
      </w:r>
      <w:r w:rsidR="00102D03">
        <w:rPr>
          <w:rFonts w:cs="Arial"/>
          <w:szCs w:val="22"/>
        </w:rPr>
        <w:t xml:space="preserve"> (2016-2019)</w:t>
      </w:r>
      <w:r w:rsidR="00197BE0" w:rsidRPr="00102D03">
        <w:rPr>
          <w:rFonts w:cs="Arial"/>
          <w:szCs w:val="22"/>
        </w:rPr>
        <w:tab/>
      </w:r>
    </w:p>
    <w:p w:rsidR="009D3B19" w:rsidRDefault="00922D3A" w:rsidP="00E61683">
      <w:pPr>
        <w:pStyle w:val="BodyTextIndent"/>
        <w:jc w:val="right"/>
        <w:rPr>
          <w:b/>
          <w:noProof/>
          <w:sz w:val="28"/>
          <w:szCs w:val="28"/>
        </w:rPr>
      </w:pPr>
      <w:r>
        <w:rPr>
          <w:b/>
          <w:noProof/>
          <w:sz w:val="28"/>
          <w:szCs w:val="28"/>
        </w:rPr>
        <w:lastRenderedPageBreak/>
        <w:t>A</w:t>
      </w:r>
      <w:r w:rsidR="00820F0F">
        <w:rPr>
          <w:b/>
          <w:noProof/>
          <w:sz w:val="28"/>
          <w:szCs w:val="28"/>
        </w:rPr>
        <w:t>PPENDIX 1</w:t>
      </w:r>
    </w:p>
    <w:p w:rsidR="00922D3A" w:rsidRDefault="00C22386" w:rsidP="00750866">
      <w:pPr>
        <w:pStyle w:val="BodyTextIndent"/>
        <w:ind w:hanging="1702"/>
        <w:jc w:val="left"/>
        <w:rPr>
          <w:b/>
          <w:noProof/>
          <w:sz w:val="28"/>
          <w:szCs w:val="28"/>
        </w:rPr>
      </w:pPr>
      <w:r w:rsidRPr="00C22386">
        <w:rPr>
          <w:noProof/>
        </w:rPr>
        <w:drawing>
          <wp:inline distT="0" distB="0" distL="0" distR="0" wp14:anchorId="3D0DE595" wp14:editId="592D64F6">
            <wp:extent cx="9748299" cy="6042991"/>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4369" cy="6046754"/>
                    </a:xfrm>
                    <a:prstGeom prst="rect">
                      <a:avLst/>
                    </a:prstGeom>
                    <a:noFill/>
                    <a:ln>
                      <a:noFill/>
                    </a:ln>
                  </pic:spPr>
                </pic:pic>
              </a:graphicData>
            </a:graphic>
          </wp:inline>
        </w:drawing>
      </w:r>
    </w:p>
    <w:p w:rsidR="00922D3A" w:rsidRDefault="00415B4E" w:rsidP="00493FA9">
      <w:pPr>
        <w:pStyle w:val="BodyTextIndent"/>
        <w:ind w:hanging="1702"/>
        <w:jc w:val="left"/>
        <w:rPr>
          <w:noProof/>
        </w:rPr>
      </w:pPr>
      <w:r w:rsidRPr="00415B4E">
        <w:rPr>
          <w:noProof/>
        </w:rPr>
        <w:lastRenderedPageBreak/>
        <w:drawing>
          <wp:inline distT="0" distB="0" distL="0" distR="0" wp14:anchorId="49900013" wp14:editId="345FA70E">
            <wp:extent cx="9756250" cy="63490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85917" cy="6368390"/>
                    </a:xfrm>
                    <a:prstGeom prst="rect">
                      <a:avLst/>
                    </a:prstGeom>
                    <a:noFill/>
                    <a:ln>
                      <a:noFill/>
                    </a:ln>
                  </pic:spPr>
                </pic:pic>
              </a:graphicData>
            </a:graphic>
          </wp:inline>
        </w:drawing>
      </w:r>
    </w:p>
    <w:p w:rsidR="0092736F" w:rsidRDefault="00C21DBC" w:rsidP="00C21DBC">
      <w:pPr>
        <w:pStyle w:val="BodyTextIndent"/>
        <w:ind w:hanging="1702"/>
        <w:jc w:val="left"/>
      </w:pPr>
      <w:r w:rsidRPr="00C21DBC">
        <w:rPr>
          <w:noProof/>
        </w:rPr>
        <w:lastRenderedPageBreak/>
        <w:drawing>
          <wp:inline distT="0" distB="0" distL="0" distR="0" wp14:anchorId="67A2E4C0" wp14:editId="6F2E900F">
            <wp:extent cx="9764202" cy="630538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62944" cy="6304573"/>
                    </a:xfrm>
                    <a:prstGeom prst="rect">
                      <a:avLst/>
                    </a:prstGeom>
                    <a:noFill/>
                    <a:ln>
                      <a:noFill/>
                    </a:ln>
                  </pic:spPr>
                </pic:pic>
              </a:graphicData>
            </a:graphic>
          </wp:inline>
        </w:drawing>
      </w:r>
    </w:p>
    <w:p w:rsidR="007A6308" w:rsidRDefault="00C21DBC" w:rsidP="00B454DD">
      <w:pPr>
        <w:pStyle w:val="BodyTextIndent"/>
        <w:ind w:hanging="1702"/>
        <w:jc w:val="left"/>
      </w:pPr>
      <w:r w:rsidRPr="00C21DBC">
        <w:rPr>
          <w:noProof/>
        </w:rPr>
        <w:lastRenderedPageBreak/>
        <w:drawing>
          <wp:inline distT="0" distB="0" distL="0" distR="0" wp14:anchorId="669C28DC" wp14:editId="0FD87D5B">
            <wp:extent cx="9764202" cy="646441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63889" cy="6464204"/>
                    </a:xfrm>
                    <a:prstGeom prst="rect">
                      <a:avLst/>
                    </a:prstGeom>
                    <a:noFill/>
                    <a:ln>
                      <a:noFill/>
                    </a:ln>
                  </pic:spPr>
                </pic:pic>
              </a:graphicData>
            </a:graphic>
          </wp:inline>
        </w:drawing>
      </w:r>
    </w:p>
    <w:p w:rsidR="00E06B8E" w:rsidRDefault="002C583D" w:rsidP="00B454DD">
      <w:pPr>
        <w:pStyle w:val="BodyTextIndent"/>
        <w:ind w:hanging="1702"/>
        <w:jc w:val="left"/>
      </w:pPr>
      <w:r w:rsidRPr="002C583D">
        <w:rPr>
          <w:noProof/>
        </w:rPr>
        <w:lastRenderedPageBreak/>
        <w:drawing>
          <wp:inline distT="0" distB="0" distL="0" distR="0" wp14:anchorId="3F89F48F" wp14:editId="2A77F5FB">
            <wp:extent cx="9814984" cy="63528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394" cy="6349856"/>
                    </a:xfrm>
                    <a:prstGeom prst="rect">
                      <a:avLst/>
                    </a:prstGeom>
                    <a:noFill/>
                    <a:ln>
                      <a:noFill/>
                    </a:ln>
                  </pic:spPr>
                </pic:pic>
              </a:graphicData>
            </a:graphic>
          </wp:inline>
        </w:drawing>
      </w:r>
    </w:p>
    <w:p w:rsidR="00E06B8E" w:rsidRDefault="00C21DBC" w:rsidP="004B2FC0">
      <w:pPr>
        <w:pStyle w:val="BodyTextIndent"/>
        <w:ind w:hanging="1702"/>
        <w:jc w:val="left"/>
      </w:pPr>
      <w:r w:rsidRPr="00C21DBC">
        <w:rPr>
          <w:noProof/>
        </w:rPr>
        <w:lastRenderedPageBreak/>
        <w:drawing>
          <wp:inline distT="0" distB="0" distL="0" distR="0" wp14:anchorId="54E38D0E" wp14:editId="38A72F5F">
            <wp:extent cx="9788055" cy="6512119"/>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02140" cy="6521490"/>
                    </a:xfrm>
                    <a:prstGeom prst="rect">
                      <a:avLst/>
                    </a:prstGeom>
                    <a:noFill/>
                    <a:ln>
                      <a:noFill/>
                    </a:ln>
                  </pic:spPr>
                </pic:pic>
              </a:graphicData>
            </a:graphic>
          </wp:inline>
        </w:drawing>
      </w:r>
    </w:p>
    <w:p w:rsidR="0092736F" w:rsidRDefault="0092736F" w:rsidP="00E06B8E">
      <w:pPr>
        <w:pStyle w:val="BodyTextIndent"/>
        <w:jc w:val="left"/>
      </w:pPr>
    </w:p>
    <w:p w:rsidR="0092736F" w:rsidRDefault="0092736F" w:rsidP="002758D3">
      <w:pPr>
        <w:pStyle w:val="BodyTextIndent"/>
        <w:jc w:val="center"/>
      </w:pPr>
    </w:p>
    <w:p w:rsidR="0092736F" w:rsidRDefault="007C5EA8" w:rsidP="00B454DD">
      <w:pPr>
        <w:pStyle w:val="BodyTextIndent"/>
        <w:ind w:hanging="1702"/>
        <w:jc w:val="left"/>
      </w:pPr>
      <w:r w:rsidRPr="007C5EA8">
        <w:rPr>
          <w:noProof/>
        </w:rPr>
        <w:drawing>
          <wp:inline distT="0" distB="0" distL="0" distR="0" wp14:anchorId="5903A520" wp14:editId="7BE2A24D">
            <wp:extent cx="9788055" cy="3534334"/>
            <wp:effectExtent l="0" t="0" r="381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87742" cy="3534221"/>
                    </a:xfrm>
                    <a:prstGeom prst="rect">
                      <a:avLst/>
                    </a:prstGeom>
                    <a:noFill/>
                    <a:ln>
                      <a:noFill/>
                    </a:ln>
                  </pic:spPr>
                </pic:pic>
              </a:graphicData>
            </a:graphic>
          </wp:inline>
        </w:drawing>
      </w:r>
    </w:p>
    <w:p w:rsidR="0092736F" w:rsidRDefault="0092736F" w:rsidP="002758D3">
      <w:pPr>
        <w:pStyle w:val="BodyTextIndent"/>
        <w:jc w:val="center"/>
      </w:pPr>
    </w:p>
    <w:p w:rsidR="008220D0" w:rsidRDefault="008220D0" w:rsidP="008220D0">
      <w:pPr>
        <w:pStyle w:val="BodyTextIndent"/>
        <w:jc w:val="center"/>
        <w:sectPr w:rsidR="008220D0" w:rsidSect="00BB238D">
          <w:pgSz w:w="16834" w:h="11909" w:orient="landscape" w:code="9"/>
          <w:pgMar w:top="709" w:right="1077" w:bottom="852" w:left="794" w:header="709" w:footer="709" w:gutter="0"/>
          <w:cols w:space="720"/>
          <w:docGrid w:linePitch="299"/>
        </w:sectPr>
      </w:pPr>
    </w:p>
    <w:p w:rsidR="00B8612D" w:rsidRDefault="00B8612D" w:rsidP="00B8612D">
      <w:pPr>
        <w:pStyle w:val="BodyTextIndent"/>
        <w:jc w:val="right"/>
        <w:rPr>
          <w:b/>
          <w:noProof/>
          <w:sz w:val="28"/>
          <w:szCs w:val="28"/>
        </w:rPr>
      </w:pPr>
      <w:r>
        <w:rPr>
          <w:b/>
          <w:noProof/>
          <w:sz w:val="28"/>
          <w:szCs w:val="28"/>
        </w:rPr>
        <w:lastRenderedPageBreak/>
        <w:t>APPENDIX 2</w:t>
      </w:r>
    </w:p>
    <w:p w:rsidR="008B4D66" w:rsidRDefault="008B4D66" w:rsidP="00B8612D">
      <w:pPr>
        <w:pStyle w:val="BodyTextIndent"/>
        <w:jc w:val="right"/>
        <w:rPr>
          <w:b/>
          <w:noProof/>
          <w:sz w:val="28"/>
          <w:szCs w:val="28"/>
        </w:rPr>
      </w:pPr>
    </w:p>
    <w:p w:rsidR="00333C51" w:rsidRDefault="007C5EA8" w:rsidP="008B4D66">
      <w:pPr>
        <w:pStyle w:val="BodyTextIndent"/>
        <w:jc w:val="left"/>
        <w:rPr>
          <w:b/>
          <w:sz w:val="28"/>
          <w:szCs w:val="28"/>
        </w:rPr>
      </w:pPr>
      <w:r w:rsidRPr="007C5EA8">
        <w:rPr>
          <w:noProof/>
        </w:rPr>
        <w:drawing>
          <wp:inline distT="0" distB="0" distL="0" distR="0" wp14:anchorId="7B567BDE" wp14:editId="3FDADE92">
            <wp:extent cx="9533614" cy="574804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9442" cy="5751560"/>
                    </a:xfrm>
                    <a:prstGeom prst="rect">
                      <a:avLst/>
                    </a:prstGeom>
                    <a:noFill/>
                    <a:ln>
                      <a:noFill/>
                    </a:ln>
                  </pic:spPr>
                </pic:pic>
              </a:graphicData>
            </a:graphic>
          </wp:inline>
        </w:drawing>
      </w:r>
    </w:p>
    <w:p w:rsidR="0032635D" w:rsidRDefault="00415B4E" w:rsidP="006025C2">
      <w:pPr>
        <w:pStyle w:val="BodyTextIndent"/>
        <w:jc w:val="left"/>
        <w:rPr>
          <w:b/>
          <w:sz w:val="28"/>
          <w:szCs w:val="28"/>
        </w:rPr>
      </w:pPr>
      <w:r w:rsidRPr="00415B4E">
        <w:rPr>
          <w:noProof/>
        </w:rPr>
        <w:lastRenderedPageBreak/>
        <w:drawing>
          <wp:inline distT="0" distB="0" distL="0" distR="0" wp14:anchorId="7F31D6B0" wp14:editId="36061107">
            <wp:extent cx="9504609" cy="5885645"/>
            <wp:effectExtent l="0" t="0" r="190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01029" cy="5883428"/>
                    </a:xfrm>
                    <a:prstGeom prst="rect">
                      <a:avLst/>
                    </a:prstGeom>
                    <a:noFill/>
                    <a:ln>
                      <a:noFill/>
                    </a:ln>
                  </pic:spPr>
                </pic:pic>
              </a:graphicData>
            </a:graphic>
          </wp:inline>
        </w:drawing>
      </w:r>
    </w:p>
    <w:p w:rsidR="00FE13DE" w:rsidRDefault="00B37719" w:rsidP="00FE13DE">
      <w:pPr>
        <w:pStyle w:val="BodyTextIndent"/>
        <w:jc w:val="left"/>
        <w:rPr>
          <w:b/>
          <w:sz w:val="28"/>
          <w:szCs w:val="28"/>
        </w:rPr>
      </w:pPr>
      <w:r w:rsidRPr="00B37719">
        <w:rPr>
          <w:noProof/>
        </w:rPr>
        <w:lastRenderedPageBreak/>
        <w:drawing>
          <wp:inline distT="0" distB="0" distL="0" distR="0">
            <wp:extent cx="9525663" cy="6265628"/>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814" cy="6265727"/>
                    </a:xfrm>
                    <a:prstGeom prst="rect">
                      <a:avLst/>
                    </a:prstGeom>
                    <a:noFill/>
                    <a:ln>
                      <a:noFill/>
                    </a:ln>
                  </pic:spPr>
                </pic:pic>
              </a:graphicData>
            </a:graphic>
          </wp:inline>
        </w:drawing>
      </w:r>
    </w:p>
    <w:p w:rsidR="00FE13DE" w:rsidRDefault="00013A51" w:rsidP="00FE13DE">
      <w:pPr>
        <w:pStyle w:val="BodyTextIndent"/>
        <w:jc w:val="left"/>
        <w:rPr>
          <w:b/>
          <w:sz w:val="28"/>
          <w:szCs w:val="28"/>
        </w:rPr>
      </w:pPr>
      <w:r w:rsidRPr="00013A51">
        <w:rPr>
          <w:noProof/>
        </w:rPr>
        <w:lastRenderedPageBreak/>
        <w:drawing>
          <wp:inline distT="0" distB="0" distL="0" distR="0">
            <wp:extent cx="9517711" cy="6353092"/>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34228" cy="6364117"/>
                    </a:xfrm>
                    <a:prstGeom prst="rect">
                      <a:avLst/>
                    </a:prstGeom>
                    <a:noFill/>
                    <a:ln>
                      <a:noFill/>
                    </a:ln>
                  </pic:spPr>
                </pic:pic>
              </a:graphicData>
            </a:graphic>
          </wp:inline>
        </w:drawing>
      </w:r>
    </w:p>
    <w:p w:rsidR="00FE13DE" w:rsidRDefault="00FE13DE" w:rsidP="00FE13DE">
      <w:pPr>
        <w:pStyle w:val="BodyTextIndent"/>
        <w:jc w:val="right"/>
        <w:rPr>
          <w:b/>
          <w:sz w:val="28"/>
          <w:szCs w:val="28"/>
        </w:rPr>
      </w:pPr>
      <w:r>
        <w:rPr>
          <w:b/>
          <w:sz w:val="28"/>
          <w:szCs w:val="28"/>
        </w:rPr>
        <w:lastRenderedPageBreak/>
        <w:t>APPENDIX 4</w:t>
      </w:r>
    </w:p>
    <w:p w:rsidR="00602384" w:rsidRDefault="00602384" w:rsidP="00FE13DE">
      <w:pPr>
        <w:pStyle w:val="BodyTextIndent"/>
        <w:jc w:val="right"/>
        <w:rPr>
          <w:b/>
          <w:sz w:val="28"/>
          <w:szCs w:val="28"/>
        </w:rPr>
      </w:pPr>
    </w:p>
    <w:p w:rsidR="00FE13DE" w:rsidRPr="00FE13DE" w:rsidRDefault="00602384" w:rsidP="00FE13DE">
      <w:pPr>
        <w:pStyle w:val="BodyTextIndent"/>
        <w:jc w:val="left"/>
        <w:rPr>
          <w:b/>
          <w:sz w:val="28"/>
          <w:szCs w:val="28"/>
        </w:rPr>
        <w:sectPr w:rsidR="00FE13DE" w:rsidRPr="00FE13DE" w:rsidSect="005C7C1E">
          <w:pgSz w:w="16834" w:h="11909" w:orient="landscape" w:code="9"/>
          <w:pgMar w:top="851" w:right="1077" w:bottom="1077" w:left="794" w:header="709" w:footer="709" w:gutter="0"/>
          <w:cols w:space="720"/>
          <w:docGrid w:linePitch="299"/>
        </w:sectPr>
      </w:pPr>
      <w:r w:rsidRPr="00602384">
        <w:rPr>
          <w:noProof/>
        </w:rPr>
        <w:drawing>
          <wp:inline distT="0" distB="0" distL="0" distR="0">
            <wp:extent cx="9406393" cy="5828306"/>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14500" cy="5833329"/>
                    </a:xfrm>
                    <a:prstGeom prst="rect">
                      <a:avLst/>
                    </a:prstGeom>
                    <a:noFill/>
                    <a:ln>
                      <a:noFill/>
                    </a:ln>
                  </pic:spPr>
                </pic:pic>
              </a:graphicData>
            </a:graphic>
          </wp:inline>
        </w:drawing>
      </w:r>
    </w:p>
    <w:p w:rsidR="00617B95" w:rsidRDefault="007B7BB0" w:rsidP="002758D3">
      <w:pPr>
        <w:pStyle w:val="BodyTextIndent"/>
        <w:jc w:val="center"/>
        <w:sectPr w:rsidR="00617B95" w:rsidSect="00FA4518">
          <w:pgSz w:w="16834" w:h="11909" w:orient="landscape" w:code="9"/>
          <w:pgMar w:top="1077" w:right="1077" w:bottom="1077" w:left="794" w:header="709" w:footer="709" w:gutter="0"/>
          <w:cols w:space="720"/>
          <w:docGrid w:linePitch="299"/>
        </w:sectPr>
      </w:pPr>
      <w:r w:rsidRPr="007B7BB0">
        <w:rPr>
          <w:noProof/>
        </w:rPr>
        <w:lastRenderedPageBreak/>
        <w:drawing>
          <wp:inline distT="0" distB="0" distL="0" distR="0">
            <wp:extent cx="9311425" cy="6168981"/>
            <wp:effectExtent l="0" t="0" r="444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11443" cy="6168993"/>
                    </a:xfrm>
                    <a:prstGeom prst="rect">
                      <a:avLst/>
                    </a:prstGeom>
                    <a:noFill/>
                    <a:ln>
                      <a:noFill/>
                    </a:ln>
                  </pic:spPr>
                </pic:pic>
              </a:graphicData>
            </a:graphic>
          </wp:inline>
        </w:drawing>
      </w:r>
    </w:p>
    <w:p w:rsidR="00481561" w:rsidRDefault="007B7BB0" w:rsidP="00481561">
      <w:pPr>
        <w:pStyle w:val="BodyTextIndent"/>
        <w:jc w:val="center"/>
        <w:sectPr w:rsidR="00481561" w:rsidSect="00FA4518">
          <w:pgSz w:w="16834" w:h="11909" w:orient="landscape" w:code="9"/>
          <w:pgMar w:top="1077" w:right="1077" w:bottom="1077" w:left="794" w:header="709" w:footer="709" w:gutter="0"/>
          <w:cols w:space="720"/>
          <w:docGrid w:linePitch="299"/>
        </w:sectPr>
      </w:pPr>
      <w:r w:rsidRPr="007B7BB0">
        <w:rPr>
          <w:noProof/>
        </w:rPr>
        <w:lastRenderedPageBreak/>
        <w:drawing>
          <wp:inline distT="0" distB="0" distL="0" distR="0">
            <wp:extent cx="9350062" cy="5743978"/>
            <wp:effectExtent l="0" t="0" r="381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50080" cy="5743989"/>
                    </a:xfrm>
                    <a:prstGeom prst="rect">
                      <a:avLst/>
                    </a:prstGeom>
                    <a:noFill/>
                    <a:ln>
                      <a:noFill/>
                    </a:ln>
                  </pic:spPr>
                </pic:pic>
              </a:graphicData>
            </a:graphic>
          </wp:inline>
        </w:drawing>
      </w:r>
    </w:p>
    <w:p w:rsidR="00481561" w:rsidRDefault="009B12F1" w:rsidP="00481561">
      <w:pPr>
        <w:pStyle w:val="BodyTextIndent"/>
        <w:jc w:val="center"/>
        <w:sectPr w:rsidR="00481561" w:rsidSect="00FA4518">
          <w:pgSz w:w="16834" w:h="11909" w:orient="landscape" w:code="9"/>
          <w:pgMar w:top="1077" w:right="1077" w:bottom="1077" w:left="794" w:header="709" w:footer="709" w:gutter="0"/>
          <w:cols w:space="720"/>
          <w:docGrid w:linePitch="299"/>
        </w:sectPr>
      </w:pPr>
      <w:r w:rsidRPr="009B12F1">
        <w:rPr>
          <w:noProof/>
        </w:rPr>
        <w:lastRenderedPageBreak/>
        <w:drawing>
          <wp:inline distT="0" distB="0" distL="0" distR="0">
            <wp:extent cx="9350734" cy="6202018"/>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50567" cy="6201907"/>
                    </a:xfrm>
                    <a:prstGeom prst="rect">
                      <a:avLst/>
                    </a:prstGeom>
                    <a:noFill/>
                    <a:ln>
                      <a:noFill/>
                    </a:ln>
                  </pic:spPr>
                </pic:pic>
              </a:graphicData>
            </a:graphic>
          </wp:inline>
        </w:drawing>
      </w:r>
    </w:p>
    <w:p w:rsidR="00481561" w:rsidRDefault="009B12F1" w:rsidP="00204636">
      <w:pPr>
        <w:pStyle w:val="BodyTextIndent"/>
        <w:jc w:val="left"/>
      </w:pPr>
      <w:r w:rsidRPr="009B12F1">
        <w:rPr>
          <w:noProof/>
        </w:rPr>
        <w:lastRenderedPageBreak/>
        <w:drawing>
          <wp:inline distT="0" distB="0" distL="0" distR="0">
            <wp:extent cx="9470004" cy="6591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70040" cy="6591657"/>
                    </a:xfrm>
                    <a:prstGeom prst="rect">
                      <a:avLst/>
                    </a:prstGeom>
                    <a:noFill/>
                    <a:ln>
                      <a:noFill/>
                    </a:ln>
                  </pic:spPr>
                </pic:pic>
              </a:graphicData>
            </a:graphic>
          </wp:inline>
        </w:drawing>
      </w:r>
    </w:p>
    <w:p w:rsidR="005D1D55" w:rsidRDefault="005D1D55" w:rsidP="00ED7571">
      <w:pPr>
        <w:pStyle w:val="BodyTextIndent"/>
        <w:jc w:val="right"/>
        <w:rPr>
          <w:b/>
          <w:sz w:val="28"/>
          <w:szCs w:val="28"/>
        </w:rPr>
      </w:pPr>
    </w:p>
    <w:p w:rsidR="005D1D55" w:rsidRDefault="005D1D55" w:rsidP="00ED7571">
      <w:pPr>
        <w:pStyle w:val="BodyTextIndent"/>
        <w:jc w:val="right"/>
        <w:rPr>
          <w:b/>
          <w:sz w:val="28"/>
          <w:szCs w:val="28"/>
        </w:rPr>
      </w:pPr>
    </w:p>
    <w:p w:rsidR="00ED7571" w:rsidRDefault="00ED7571" w:rsidP="00ED7571">
      <w:pPr>
        <w:pStyle w:val="BodyTextIndent"/>
        <w:jc w:val="right"/>
        <w:rPr>
          <w:b/>
          <w:sz w:val="28"/>
          <w:szCs w:val="28"/>
        </w:rPr>
      </w:pPr>
      <w:r w:rsidRPr="00ED7571">
        <w:rPr>
          <w:b/>
          <w:sz w:val="28"/>
          <w:szCs w:val="28"/>
        </w:rPr>
        <w:t>APPENDIX 5</w:t>
      </w:r>
    </w:p>
    <w:p w:rsidR="00ED7571" w:rsidRDefault="00ED7571" w:rsidP="00ED7571">
      <w:pPr>
        <w:pStyle w:val="BodyTextIndent"/>
        <w:jc w:val="right"/>
        <w:rPr>
          <w:b/>
          <w:sz w:val="28"/>
          <w:szCs w:val="28"/>
        </w:rPr>
      </w:pPr>
    </w:p>
    <w:p w:rsidR="00ED7571" w:rsidRDefault="007E6824" w:rsidP="007E6824">
      <w:pPr>
        <w:pStyle w:val="BodyTextIndent"/>
        <w:jc w:val="left"/>
        <w:rPr>
          <w:b/>
          <w:sz w:val="28"/>
          <w:szCs w:val="28"/>
        </w:rPr>
      </w:pPr>
      <w:r w:rsidRPr="007E6824">
        <w:rPr>
          <w:noProof/>
        </w:rPr>
        <w:drawing>
          <wp:inline distT="0" distB="0" distL="0" distR="0" wp14:anchorId="1581D77A" wp14:editId="3134251C">
            <wp:extent cx="9494982" cy="4895273"/>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01505" cy="4898636"/>
                    </a:xfrm>
                    <a:prstGeom prst="rect">
                      <a:avLst/>
                    </a:prstGeom>
                    <a:noFill/>
                    <a:ln>
                      <a:noFill/>
                    </a:ln>
                  </pic:spPr>
                </pic:pic>
              </a:graphicData>
            </a:graphic>
          </wp:inline>
        </w:drawing>
      </w:r>
    </w:p>
    <w:p w:rsidR="00ED7571" w:rsidRDefault="00ED7571" w:rsidP="00ED7571">
      <w:pPr>
        <w:pStyle w:val="BodyTextIndent"/>
        <w:jc w:val="right"/>
        <w:rPr>
          <w:b/>
          <w:sz w:val="28"/>
          <w:szCs w:val="28"/>
        </w:rPr>
      </w:pPr>
    </w:p>
    <w:p w:rsidR="00ED7571" w:rsidRPr="00CB0059" w:rsidRDefault="00CB0059" w:rsidP="00CB0059">
      <w:pPr>
        <w:pStyle w:val="BodyTextIndent"/>
        <w:jc w:val="left"/>
        <w:rPr>
          <w:szCs w:val="22"/>
        </w:rPr>
      </w:pPr>
      <w:r w:rsidRPr="00CB0059">
        <w:rPr>
          <w:szCs w:val="22"/>
        </w:rPr>
        <w:t xml:space="preserve">Note: </w:t>
      </w:r>
      <w:r>
        <w:rPr>
          <w:szCs w:val="22"/>
        </w:rPr>
        <w:t>The serial numbers relate to the Council’s risk register and serials 1-6 do not relate to finance or budget risks.</w:t>
      </w:r>
    </w:p>
    <w:p w:rsidR="00ED7571" w:rsidRDefault="00ED7571" w:rsidP="00ED7571">
      <w:pPr>
        <w:pStyle w:val="BodyTextIndent"/>
        <w:jc w:val="right"/>
        <w:rPr>
          <w:b/>
          <w:sz w:val="28"/>
          <w:szCs w:val="28"/>
        </w:rPr>
      </w:pPr>
    </w:p>
    <w:p w:rsidR="00ED7571" w:rsidRDefault="009B29EC" w:rsidP="007E6824">
      <w:pPr>
        <w:pStyle w:val="BodyTextIndent"/>
        <w:jc w:val="left"/>
        <w:rPr>
          <w:b/>
          <w:sz w:val="28"/>
          <w:szCs w:val="28"/>
        </w:rPr>
      </w:pPr>
      <w:r w:rsidRPr="009B29EC">
        <w:rPr>
          <w:noProof/>
        </w:rPr>
        <w:drawing>
          <wp:inline distT="0" distB="0" distL="0" distR="0" wp14:anchorId="75CC2AB7" wp14:editId="348F94D5">
            <wp:extent cx="9485745" cy="339898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01505" cy="3404629"/>
                    </a:xfrm>
                    <a:prstGeom prst="rect">
                      <a:avLst/>
                    </a:prstGeom>
                    <a:noFill/>
                    <a:ln>
                      <a:noFill/>
                    </a:ln>
                  </pic:spPr>
                </pic:pic>
              </a:graphicData>
            </a:graphic>
          </wp:inline>
        </w:drawing>
      </w:r>
    </w:p>
    <w:p w:rsidR="00ED7571" w:rsidRDefault="00ED7571" w:rsidP="00ED7571">
      <w:pPr>
        <w:pStyle w:val="BodyTextIndent"/>
        <w:jc w:val="right"/>
        <w:rPr>
          <w:b/>
          <w:sz w:val="28"/>
          <w:szCs w:val="28"/>
        </w:rPr>
      </w:pPr>
    </w:p>
    <w:p w:rsidR="00EA1EDC" w:rsidRDefault="009B29EC" w:rsidP="00EA1EDC">
      <w:pPr>
        <w:pStyle w:val="BodyTextIndent"/>
        <w:ind w:right="1496"/>
        <w:jc w:val="right"/>
        <w:rPr>
          <w:b/>
          <w:sz w:val="28"/>
          <w:szCs w:val="28"/>
        </w:rPr>
      </w:pPr>
      <w:r w:rsidRPr="009B29EC">
        <w:rPr>
          <w:noProof/>
        </w:rPr>
        <w:lastRenderedPageBreak/>
        <w:drawing>
          <wp:inline distT="0" distB="0" distL="0" distR="0" wp14:anchorId="65FE083C" wp14:editId="5D8EE639">
            <wp:extent cx="6770254" cy="24845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70313" cy="2484604"/>
                    </a:xfrm>
                    <a:prstGeom prst="rect">
                      <a:avLst/>
                    </a:prstGeom>
                    <a:noFill/>
                    <a:ln>
                      <a:noFill/>
                    </a:ln>
                  </pic:spPr>
                </pic:pic>
              </a:graphicData>
            </a:graphic>
          </wp:inline>
        </w:drawing>
      </w:r>
    </w:p>
    <w:p w:rsidR="00EA1EDC" w:rsidRDefault="00EA1EDC">
      <w:pPr>
        <w:tabs>
          <w:tab w:val="clear" w:pos="1260"/>
          <w:tab w:val="clear" w:pos="1980"/>
          <w:tab w:val="clear" w:pos="2700"/>
          <w:tab w:val="clear" w:pos="3420"/>
        </w:tabs>
        <w:jc w:val="left"/>
        <w:rPr>
          <w:b/>
          <w:sz w:val="28"/>
          <w:szCs w:val="28"/>
        </w:rPr>
      </w:pPr>
      <w:r>
        <w:rPr>
          <w:b/>
          <w:sz w:val="28"/>
          <w:szCs w:val="28"/>
        </w:rPr>
        <w:br w:type="page"/>
      </w:r>
    </w:p>
    <w:p w:rsidR="00EA1EDC" w:rsidRDefault="00643B93" w:rsidP="00633615">
      <w:pPr>
        <w:pStyle w:val="BodyTextIndent"/>
        <w:tabs>
          <w:tab w:val="left" w:pos="14884"/>
        </w:tabs>
        <w:ind w:right="79"/>
        <w:jc w:val="right"/>
        <w:rPr>
          <w:b/>
          <w:sz w:val="28"/>
          <w:szCs w:val="28"/>
        </w:rPr>
      </w:pPr>
      <w:r>
        <w:rPr>
          <w:b/>
          <w:sz w:val="28"/>
          <w:szCs w:val="28"/>
        </w:rPr>
        <w:lastRenderedPageBreak/>
        <w:t>APPENDIX 6</w:t>
      </w:r>
      <w:bookmarkStart w:id="0" w:name="_GoBack"/>
      <w:bookmarkEnd w:id="0"/>
    </w:p>
    <w:p w:rsidR="001C6ED4" w:rsidRDefault="00880844" w:rsidP="00892FCF">
      <w:pPr>
        <w:pStyle w:val="BodyTextIndent"/>
        <w:jc w:val="left"/>
        <w:rPr>
          <w:noProof/>
        </w:rPr>
      </w:pPr>
      <w:r w:rsidRPr="00880844">
        <w:rPr>
          <w:noProof/>
        </w:rPr>
        <w:drawing>
          <wp:inline distT="0" distB="0" distL="0" distR="0" wp14:anchorId="5721C7CD" wp14:editId="45FAE7BA">
            <wp:extent cx="9454101" cy="60102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54895" cy="6010709"/>
                    </a:xfrm>
                    <a:prstGeom prst="rect">
                      <a:avLst/>
                    </a:prstGeom>
                    <a:noFill/>
                    <a:ln>
                      <a:noFill/>
                    </a:ln>
                  </pic:spPr>
                </pic:pic>
              </a:graphicData>
            </a:graphic>
          </wp:inline>
        </w:drawing>
      </w:r>
    </w:p>
    <w:p w:rsidR="00481561" w:rsidRDefault="00481561" w:rsidP="00481561">
      <w:pPr>
        <w:pStyle w:val="BodyTextIndent"/>
        <w:jc w:val="center"/>
        <w:sectPr w:rsidR="00481561" w:rsidSect="00EA1EDC">
          <w:footerReference w:type="default" r:id="rId31"/>
          <w:pgSz w:w="16834" w:h="11909" w:orient="landscape" w:code="9"/>
          <w:pgMar w:top="426" w:right="1077" w:bottom="1077" w:left="794" w:header="709" w:footer="709" w:gutter="0"/>
          <w:cols w:space="720"/>
          <w:docGrid w:linePitch="299"/>
        </w:sectPr>
      </w:pPr>
    </w:p>
    <w:p w:rsidR="00ED7DF9" w:rsidRDefault="00880844" w:rsidP="001C6ED4">
      <w:pPr>
        <w:pStyle w:val="BodyTextIndent"/>
        <w:jc w:val="left"/>
        <w:sectPr w:rsidR="00ED7DF9" w:rsidSect="00745ED2">
          <w:pgSz w:w="16834" w:h="11909" w:orient="landscape" w:code="9"/>
          <w:pgMar w:top="1077" w:right="1077" w:bottom="1077" w:left="794" w:header="709" w:footer="709" w:gutter="0"/>
          <w:cols w:space="720"/>
          <w:docGrid w:linePitch="299"/>
        </w:sectPr>
      </w:pPr>
      <w:r w:rsidRPr="00880844">
        <w:rPr>
          <w:noProof/>
        </w:rPr>
        <w:lastRenderedPageBreak/>
        <w:drawing>
          <wp:inline distT="0" distB="0" distL="0" distR="0" wp14:anchorId="43D18976" wp14:editId="58935100">
            <wp:extent cx="9501505" cy="4691813"/>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01505" cy="4691813"/>
                    </a:xfrm>
                    <a:prstGeom prst="rect">
                      <a:avLst/>
                    </a:prstGeom>
                    <a:noFill/>
                    <a:ln>
                      <a:noFill/>
                    </a:ln>
                  </pic:spPr>
                </pic:pic>
              </a:graphicData>
            </a:graphic>
          </wp:inline>
        </w:drawing>
      </w:r>
    </w:p>
    <w:p w:rsidR="00745ED2" w:rsidRDefault="00880844" w:rsidP="00892FCF">
      <w:pPr>
        <w:pStyle w:val="BodyTextIndent"/>
        <w:jc w:val="left"/>
      </w:pPr>
      <w:r w:rsidRPr="00880844">
        <w:rPr>
          <w:noProof/>
        </w:rPr>
        <w:lastRenderedPageBreak/>
        <w:drawing>
          <wp:inline distT="0" distB="0" distL="0" distR="0" wp14:anchorId="462CBDD0" wp14:editId="3D7ABC1E">
            <wp:extent cx="9493858" cy="6126094"/>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08466" cy="6135520"/>
                    </a:xfrm>
                    <a:prstGeom prst="rect">
                      <a:avLst/>
                    </a:prstGeom>
                    <a:noFill/>
                    <a:ln>
                      <a:noFill/>
                    </a:ln>
                  </pic:spPr>
                </pic:pic>
              </a:graphicData>
            </a:graphic>
          </wp:inline>
        </w:drawing>
      </w:r>
    </w:p>
    <w:p w:rsidR="00ED7DF9" w:rsidRDefault="00ED7DF9" w:rsidP="00481561">
      <w:pPr>
        <w:pStyle w:val="BodyTextIndent"/>
        <w:jc w:val="center"/>
        <w:sectPr w:rsidR="00ED7DF9" w:rsidSect="00745ED2">
          <w:pgSz w:w="16834" w:h="11909" w:orient="landscape" w:code="9"/>
          <w:pgMar w:top="1077" w:right="1077" w:bottom="1077" w:left="794" w:header="709" w:footer="709" w:gutter="0"/>
          <w:cols w:space="720"/>
          <w:docGrid w:linePitch="299"/>
        </w:sectPr>
      </w:pPr>
    </w:p>
    <w:p w:rsidR="00ED7DF9" w:rsidRDefault="00880844" w:rsidP="00481561">
      <w:pPr>
        <w:pStyle w:val="BodyTextIndent"/>
        <w:jc w:val="center"/>
        <w:sectPr w:rsidR="00ED7DF9" w:rsidSect="00745ED2">
          <w:pgSz w:w="16834" w:h="11909" w:orient="landscape" w:code="9"/>
          <w:pgMar w:top="1077" w:right="1077" w:bottom="1077" w:left="794" w:header="709" w:footer="709" w:gutter="0"/>
          <w:cols w:space="720"/>
          <w:docGrid w:linePitch="299"/>
        </w:sectPr>
      </w:pPr>
      <w:r w:rsidRPr="00880844">
        <w:rPr>
          <w:noProof/>
        </w:rPr>
        <w:lastRenderedPageBreak/>
        <w:drawing>
          <wp:inline distT="0" distB="0" distL="0" distR="0" wp14:anchorId="77F973C4" wp14:editId="37DB0E21">
            <wp:extent cx="9501505" cy="3232905"/>
            <wp:effectExtent l="0" t="0" r="444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01505" cy="3232905"/>
                    </a:xfrm>
                    <a:prstGeom prst="rect">
                      <a:avLst/>
                    </a:prstGeom>
                    <a:noFill/>
                    <a:ln>
                      <a:noFill/>
                    </a:ln>
                  </pic:spPr>
                </pic:pic>
              </a:graphicData>
            </a:graphic>
          </wp:inline>
        </w:drawing>
      </w:r>
    </w:p>
    <w:p w:rsidR="001C6ED4" w:rsidRDefault="00880844" w:rsidP="00EA1EDC">
      <w:pPr>
        <w:pStyle w:val="BodyTextIndent"/>
        <w:jc w:val="left"/>
        <w:rPr>
          <w:b/>
          <w:noProof/>
          <w:sz w:val="28"/>
          <w:szCs w:val="28"/>
        </w:rPr>
      </w:pPr>
      <w:r w:rsidRPr="00880844">
        <w:rPr>
          <w:noProof/>
        </w:rPr>
        <w:lastRenderedPageBreak/>
        <w:drawing>
          <wp:inline distT="0" distB="0" distL="0" distR="0" wp14:anchorId="40590F1C" wp14:editId="33A58156">
            <wp:extent cx="9493858" cy="6050943"/>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01505" cy="6055817"/>
                    </a:xfrm>
                    <a:prstGeom prst="rect">
                      <a:avLst/>
                    </a:prstGeom>
                    <a:noFill/>
                    <a:ln>
                      <a:noFill/>
                    </a:ln>
                  </pic:spPr>
                </pic:pic>
              </a:graphicData>
            </a:graphic>
          </wp:inline>
        </w:drawing>
      </w:r>
    </w:p>
    <w:p w:rsidR="0037712B" w:rsidRDefault="0037712B" w:rsidP="00EA1EDC">
      <w:pPr>
        <w:pStyle w:val="BodyTextIndent"/>
        <w:jc w:val="left"/>
        <w:rPr>
          <w:b/>
          <w:noProof/>
          <w:sz w:val="28"/>
          <w:szCs w:val="28"/>
        </w:rPr>
      </w:pPr>
    </w:p>
    <w:p w:rsidR="00EA5FF0" w:rsidRDefault="001365F0" w:rsidP="001365F0">
      <w:pPr>
        <w:pStyle w:val="BodyTextIndent"/>
        <w:jc w:val="right"/>
        <w:rPr>
          <w:b/>
          <w:noProof/>
          <w:sz w:val="28"/>
          <w:szCs w:val="28"/>
        </w:rPr>
      </w:pPr>
      <w:r>
        <w:rPr>
          <w:b/>
          <w:noProof/>
          <w:sz w:val="28"/>
          <w:szCs w:val="28"/>
        </w:rPr>
        <w:t>APPENDIX 7</w:t>
      </w:r>
    </w:p>
    <w:p w:rsidR="00EA5FF0" w:rsidRDefault="00EA5FF0" w:rsidP="001365F0">
      <w:pPr>
        <w:pStyle w:val="BodyTextIndent"/>
        <w:jc w:val="right"/>
        <w:rPr>
          <w:b/>
          <w:noProof/>
          <w:sz w:val="28"/>
          <w:szCs w:val="28"/>
        </w:rPr>
      </w:pPr>
    </w:p>
    <w:p w:rsidR="00EF72A3" w:rsidRDefault="00EF72A3" w:rsidP="001C6ED4">
      <w:pPr>
        <w:pStyle w:val="BodyTextIndent"/>
        <w:jc w:val="left"/>
        <w:rPr>
          <w:noProof/>
        </w:rPr>
      </w:pPr>
    </w:p>
    <w:p w:rsidR="001365F0" w:rsidRDefault="00880844" w:rsidP="001C6ED4">
      <w:pPr>
        <w:pStyle w:val="BodyTextIndent"/>
        <w:jc w:val="left"/>
        <w:rPr>
          <w:b/>
          <w:noProof/>
          <w:sz w:val="28"/>
          <w:szCs w:val="28"/>
        </w:rPr>
      </w:pPr>
      <w:r w:rsidRPr="00880844">
        <w:rPr>
          <w:noProof/>
        </w:rPr>
        <w:drawing>
          <wp:inline distT="0" distB="0" distL="0" distR="0" wp14:anchorId="127D0B01" wp14:editId="621BE07B">
            <wp:extent cx="9493858" cy="5271306"/>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07877" cy="5279090"/>
                    </a:xfrm>
                    <a:prstGeom prst="rect">
                      <a:avLst/>
                    </a:prstGeom>
                    <a:noFill/>
                    <a:ln>
                      <a:noFill/>
                    </a:ln>
                  </pic:spPr>
                </pic:pic>
              </a:graphicData>
            </a:graphic>
          </wp:inline>
        </w:drawing>
      </w:r>
    </w:p>
    <w:p w:rsidR="001365F0" w:rsidRPr="001365F0" w:rsidRDefault="001365F0" w:rsidP="001365F0">
      <w:pPr>
        <w:pStyle w:val="BodyTextIndent"/>
        <w:jc w:val="right"/>
        <w:rPr>
          <w:b/>
          <w:sz w:val="28"/>
          <w:szCs w:val="28"/>
        </w:rPr>
        <w:sectPr w:rsidR="001365F0" w:rsidRPr="001365F0" w:rsidSect="00ED7DF9">
          <w:pgSz w:w="16834" w:h="11909" w:orient="landscape" w:code="9"/>
          <w:pgMar w:top="1077" w:right="1077" w:bottom="1077" w:left="794" w:header="709" w:footer="709" w:gutter="0"/>
          <w:cols w:space="720"/>
          <w:docGrid w:linePitch="299"/>
        </w:sectPr>
      </w:pPr>
    </w:p>
    <w:p w:rsidR="00B4411E" w:rsidRDefault="00880844" w:rsidP="003755E4">
      <w:pPr>
        <w:pStyle w:val="BodyTextIndent"/>
        <w:jc w:val="center"/>
      </w:pPr>
      <w:r w:rsidRPr="00880844">
        <w:rPr>
          <w:noProof/>
        </w:rPr>
        <w:lastRenderedPageBreak/>
        <w:drawing>
          <wp:inline distT="0" distB="0" distL="0" distR="0" wp14:anchorId="51E14C04" wp14:editId="4B2E1762">
            <wp:extent cx="9501505" cy="4469454"/>
            <wp:effectExtent l="0" t="0" r="4445"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01505" cy="4469454"/>
                    </a:xfrm>
                    <a:prstGeom prst="rect">
                      <a:avLst/>
                    </a:prstGeom>
                    <a:noFill/>
                    <a:ln>
                      <a:noFill/>
                    </a:ln>
                  </pic:spPr>
                </pic:pic>
              </a:graphicData>
            </a:graphic>
          </wp:inline>
        </w:drawing>
      </w:r>
    </w:p>
    <w:p w:rsidR="00EA5FF0" w:rsidRDefault="00EA5FF0" w:rsidP="003755E4">
      <w:pPr>
        <w:pStyle w:val="BodyTextIndent"/>
        <w:jc w:val="center"/>
      </w:pPr>
    </w:p>
    <w:p w:rsidR="00EA5FF0" w:rsidRDefault="00EA5FF0" w:rsidP="003755E4">
      <w:pPr>
        <w:pStyle w:val="BodyTextIndent"/>
        <w:jc w:val="center"/>
        <w:sectPr w:rsidR="00EA5FF0" w:rsidSect="00ED7DF9">
          <w:pgSz w:w="16834" w:h="11909" w:orient="landscape" w:code="9"/>
          <w:pgMar w:top="1077" w:right="1077" w:bottom="1077" w:left="794" w:header="709" w:footer="709" w:gutter="0"/>
          <w:cols w:space="720"/>
          <w:docGrid w:linePitch="299"/>
        </w:sectPr>
      </w:pPr>
    </w:p>
    <w:p w:rsidR="00ED7DF9" w:rsidRDefault="00094AA6" w:rsidP="00094AA6">
      <w:pPr>
        <w:pStyle w:val="BodyTextIndent"/>
        <w:jc w:val="right"/>
        <w:rPr>
          <w:b/>
          <w:sz w:val="28"/>
          <w:szCs w:val="28"/>
        </w:rPr>
      </w:pPr>
      <w:r>
        <w:rPr>
          <w:b/>
          <w:sz w:val="28"/>
          <w:szCs w:val="28"/>
        </w:rPr>
        <w:lastRenderedPageBreak/>
        <w:t>APPENDIX 8</w:t>
      </w:r>
    </w:p>
    <w:p w:rsidR="00094AA6" w:rsidRDefault="00094AA6" w:rsidP="00094AA6">
      <w:pPr>
        <w:pStyle w:val="BodyTextIndent"/>
        <w:jc w:val="right"/>
        <w:rPr>
          <w:b/>
          <w:sz w:val="28"/>
          <w:szCs w:val="28"/>
        </w:rPr>
      </w:pPr>
    </w:p>
    <w:p w:rsidR="00094AA6" w:rsidRPr="00094AA6" w:rsidRDefault="00086BCF" w:rsidP="003A5DC3">
      <w:pPr>
        <w:pStyle w:val="BodyTextIndent"/>
        <w:jc w:val="left"/>
        <w:rPr>
          <w:b/>
          <w:sz w:val="28"/>
          <w:szCs w:val="28"/>
        </w:rPr>
      </w:pPr>
      <w:r w:rsidRPr="00086BCF">
        <w:rPr>
          <w:noProof/>
        </w:rPr>
        <w:drawing>
          <wp:inline distT="0" distB="0" distL="0" distR="0" wp14:anchorId="5752016F" wp14:editId="000DD9B1">
            <wp:extent cx="6194425" cy="8640347"/>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4425" cy="8640347"/>
                    </a:xfrm>
                    <a:prstGeom prst="rect">
                      <a:avLst/>
                    </a:prstGeom>
                    <a:noFill/>
                    <a:ln>
                      <a:noFill/>
                    </a:ln>
                  </pic:spPr>
                </pic:pic>
              </a:graphicData>
            </a:graphic>
          </wp:inline>
        </w:drawing>
      </w:r>
    </w:p>
    <w:sectPr w:rsidR="00094AA6" w:rsidRPr="00094AA6" w:rsidSect="00B4411E">
      <w:pgSz w:w="11909" w:h="16834" w:code="9"/>
      <w:pgMar w:top="1077" w:right="1077" w:bottom="794" w:left="107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D4" w:rsidRDefault="007759D4">
      <w:r>
        <w:separator/>
      </w:r>
    </w:p>
  </w:endnote>
  <w:endnote w:type="continuationSeparator" w:id="0">
    <w:p w:rsidR="007759D4" w:rsidRDefault="0077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98" w:rsidRDefault="009A3898">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D4" w:rsidRDefault="007759D4">
      <w:r>
        <w:separator/>
      </w:r>
    </w:p>
  </w:footnote>
  <w:footnote w:type="continuationSeparator" w:id="0">
    <w:p w:rsidR="007759D4" w:rsidRDefault="0077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2B" w:rsidRDefault="008C382B">
    <w:pPr>
      <w:pStyle w:val="Header"/>
    </w:pPr>
    <w:r>
      <w:tab/>
    </w:r>
    <w:r>
      <w:tab/>
      <w:t>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966"/>
    <w:multiLevelType w:val="hybridMultilevel"/>
    <w:tmpl w:val="697C221E"/>
    <w:lvl w:ilvl="0" w:tplc="08090001">
      <w:start w:val="1"/>
      <w:numFmt w:val="bullet"/>
      <w:lvlText w:val=""/>
      <w:lvlJc w:val="left"/>
      <w:pPr>
        <w:ind w:left="3376" w:hanging="360"/>
      </w:pPr>
      <w:rPr>
        <w:rFonts w:ascii="Symbol" w:hAnsi="Symbol" w:hint="default"/>
      </w:rPr>
    </w:lvl>
    <w:lvl w:ilvl="1" w:tplc="08090003" w:tentative="1">
      <w:start w:val="1"/>
      <w:numFmt w:val="bullet"/>
      <w:lvlText w:val="o"/>
      <w:lvlJc w:val="left"/>
      <w:pPr>
        <w:ind w:left="4096" w:hanging="360"/>
      </w:pPr>
      <w:rPr>
        <w:rFonts w:ascii="Courier New" w:hAnsi="Courier New" w:cs="Courier New" w:hint="default"/>
      </w:rPr>
    </w:lvl>
    <w:lvl w:ilvl="2" w:tplc="08090005" w:tentative="1">
      <w:start w:val="1"/>
      <w:numFmt w:val="bullet"/>
      <w:lvlText w:val=""/>
      <w:lvlJc w:val="left"/>
      <w:pPr>
        <w:ind w:left="4816" w:hanging="360"/>
      </w:pPr>
      <w:rPr>
        <w:rFonts w:ascii="Wingdings" w:hAnsi="Wingdings" w:hint="default"/>
      </w:rPr>
    </w:lvl>
    <w:lvl w:ilvl="3" w:tplc="08090001" w:tentative="1">
      <w:start w:val="1"/>
      <w:numFmt w:val="bullet"/>
      <w:lvlText w:val=""/>
      <w:lvlJc w:val="left"/>
      <w:pPr>
        <w:ind w:left="5536" w:hanging="360"/>
      </w:pPr>
      <w:rPr>
        <w:rFonts w:ascii="Symbol" w:hAnsi="Symbol" w:hint="default"/>
      </w:rPr>
    </w:lvl>
    <w:lvl w:ilvl="4" w:tplc="08090003" w:tentative="1">
      <w:start w:val="1"/>
      <w:numFmt w:val="bullet"/>
      <w:lvlText w:val="o"/>
      <w:lvlJc w:val="left"/>
      <w:pPr>
        <w:ind w:left="6256" w:hanging="360"/>
      </w:pPr>
      <w:rPr>
        <w:rFonts w:ascii="Courier New" w:hAnsi="Courier New" w:cs="Courier New" w:hint="default"/>
      </w:rPr>
    </w:lvl>
    <w:lvl w:ilvl="5" w:tplc="08090005" w:tentative="1">
      <w:start w:val="1"/>
      <w:numFmt w:val="bullet"/>
      <w:lvlText w:val=""/>
      <w:lvlJc w:val="left"/>
      <w:pPr>
        <w:ind w:left="6976" w:hanging="360"/>
      </w:pPr>
      <w:rPr>
        <w:rFonts w:ascii="Wingdings" w:hAnsi="Wingdings" w:hint="default"/>
      </w:rPr>
    </w:lvl>
    <w:lvl w:ilvl="6" w:tplc="08090001" w:tentative="1">
      <w:start w:val="1"/>
      <w:numFmt w:val="bullet"/>
      <w:lvlText w:val=""/>
      <w:lvlJc w:val="left"/>
      <w:pPr>
        <w:ind w:left="7696" w:hanging="360"/>
      </w:pPr>
      <w:rPr>
        <w:rFonts w:ascii="Symbol" w:hAnsi="Symbol" w:hint="default"/>
      </w:rPr>
    </w:lvl>
    <w:lvl w:ilvl="7" w:tplc="08090003" w:tentative="1">
      <w:start w:val="1"/>
      <w:numFmt w:val="bullet"/>
      <w:lvlText w:val="o"/>
      <w:lvlJc w:val="left"/>
      <w:pPr>
        <w:ind w:left="8416" w:hanging="360"/>
      </w:pPr>
      <w:rPr>
        <w:rFonts w:ascii="Courier New" w:hAnsi="Courier New" w:cs="Courier New" w:hint="default"/>
      </w:rPr>
    </w:lvl>
    <w:lvl w:ilvl="8" w:tplc="08090005" w:tentative="1">
      <w:start w:val="1"/>
      <w:numFmt w:val="bullet"/>
      <w:lvlText w:val=""/>
      <w:lvlJc w:val="left"/>
      <w:pPr>
        <w:ind w:left="9136" w:hanging="360"/>
      </w:pPr>
      <w:rPr>
        <w:rFonts w:ascii="Wingdings" w:hAnsi="Wingdings" w:hint="default"/>
      </w:rPr>
    </w:lvl>
  </w:abstractNum>
  <w:abstractNum w:abstractNumId="1">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6">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823A63"/>
    <w:multiLevelType w:val="hybridMultilevel"/>
    <w:tmpl w:val="353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09431B"/>
    <w:multiLevelType w:val="hybridMultilevel"/>
    <w:tmpl w:val="3D28834A"/>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3">
    <w:nsid w:val="495A3DD8"/>
    <w:multiLevelType w:val="hybridMultilevel"/>
    <w:tmpl w:val="A4CE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CB512F"/>
    <w:multiLevelType w:val="hybridMultilevel"/>
    <w:tmpl w:val="C240BBFC"/>
    <w:lvl w:ilvl="0" w:tplc="08090001">
      <w:start w:val="1"/>
      <w:numFmt w:val="bullet"/>
      <w:lvlText w:val=""/>
      <w:lvlJc w:val="left"/>
      <w:pPr>
        <w:ind w:left="1977" w:hanging="360"/>
      </w:pPr>
      <w:rPr>
        <w:rFonts w:ascii="Symbol" w:hAnsi="Symbol" w:hint="default"/>
      </w:rPr>
    </w:lvl>
    <w:lvl w:ilvl="1" w:tplc="08090003">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5">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FA7411"/>
    <w:multiLevelType w:val="hybridMultilevel"/>
    <w:tmpl w:val="1C843F1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9EF0003"/>
    <w:multiLevelType w:val="hybridMultilevel"/>
    <w:tmpl w:val="F13AE568"/>
    <w:lvl w:ilvl="0" w:tplc="08090001">
      <w:start w:val="1"/>
      <w:numFmt w:val="bullet"/>
      <w:lvlText w:val=""/>
      <w:lvlJc w:val="left"/>
      <w:pPr>
        <w:ind w:left="2038" w:hanging="360"/>
      </w:pPr>
      <w:rPr>
        <w:rFonts w:ascii="Symbol" w:hAnsi="Symbol" w:hint="default"/>
      </w:rPr>
    </w:lvl>
    <w:lvl w:ilvl="1" w:tplc="08090003" w:tentative="1">
      <w:start w:val="1"/>
      <w:numFmt w:val="bullet"/>
      <w:lvlText w:val="o"/>
      <w:lvlJc w:val="left"/>
      <w:pPr>
        <w:ind w:left="2758" w:hanging="360"/>
      </w:pPr>
      <w:rPr>
        <w:rFonts w:ascii="Courier New" w:hAnsi="Courier New" w:cs="Courier New" w:hint="default"/>
      </w:rPr>
    </w:lvl>
    <w:lvl w:ilvl="2" w:tplc="08090005" w:tentative="1">
      <w:start w:val="1"/>
      <w:numFmt w:val="bullet"/>
      <w:lvlText w:val=""/>
      <w:lvlJc w:val="left"/>
      <w:pPr>
        <w:ind w:left="3478" w:hanging="360"/>
      </w:pPr>
      <w:rPr>
        <w:rFonts w:ascii="Wingdings" w:hAnsi="Wingdings" w:hint="default"/>
      </w:rPr>
    </w:lvl>
    <w:lvl w:ilvl="3" w:tplc="08090001" w:tentative="1">
      <w:start w:val="1"/>
      <w:numFmt w:val="bullet"/>
      <w:lvlText w:val=""/>
      <w:lvlJc w:val="left"/>
      <w:pPr>
        <w:ind w:left="4198" w:hanging="360"/>
      </w:pPr>
      <w:rPr>
        <w:rFonts w:ascii="Symbol" w:hAnsi="Symbol" w:hint="default"/>
      </w:rPr>
    </w:lvl>
    <w:lvl w:ilvl="4" w:tplc="08090003" w:tentative="1">
      <w:start w:val="1"/>
      <w:numFmt w:val="bullet"/>
      <w:lvlText w:val="o"/>
      <w:lvlJc w:val="left"/>
      <w:pPr>
        <w:ind w:left="4918" w:hanging="360"/>
      </w:pPr>
      <w:rPr>
        <w:rFonts w:ascii="Courier New" w:hAnsi="Courier New" w:cs="Courier New" w:hint="default"/>
      </w:rPr>
    </w:lvl>
    <w:lvl w:ilvl="5" w:tplc="08090005" w:tentative="1">
      <w:start w:val="1"/>
      <w:numFmt w:val="bullet"/>
      <w:lvlText w:val=""/>
      <w:lvlJc w:val="left"/>
      <w:pPr>
        <w:ind w:left="5638" w:hanging="360"/>
      </w:pPr>
      <w:rPr>
        <w:rFonts w:ascii="Wingdings" w:hAnsi="Wingdings" w:hint="default"/>
      </w:rPr>
    </w:lvl>
    <w:lvl w:ilvl="6" w:tplc="08090001" w:tentative="1">
      <w:start w:val="1"/>
      <w:numFmt w:val="bullet"/>
      <w:lvlText w:val=""/>
      <w:lvlJc w:val="left"/>
      <w:pPr>
        <w:ind w:left="6358" w:hanging="360"/>
      </w:pPr>
      <w:rPr>
        <w:rFonts w:ascii="Symbol" w:hAnsi="Symbol" w:hint="default"/>
      </w:rPr>
    </w:lvl>
    <w:lvl w:ilvl="7" w:tplc="08090003" w:tentative="1">
      <w:start w:val="1"/>
      <w:numFmt w:val="bullet"/>
      <w:lvlText w:val="o"/>
      <w:lvlJc w:val="left"/>
      <w:pPr>
        <w:ind w:left="7078" w:hanging="360"/>
      </w:pPr>
      <w:rPr>
        <w:rFonts w:ascii="Courier New" w:hAnsi="Courier New" w:cs="Courier New" w:hint="default"/>
      </w:rPr>
    </w:lvl>
    <w:lvl w:ilvl="8" w:tplc="08090005" w:tentative="1">
      <w:start w:val="1"/>
      <w:numFmt w:val="bullet"/>
      <w:lvlText w:val=""/>
      <w:lvlJc w:val="left"/>
      <w:pPr>
        <w:ind w:left="7798" w:hanging="360"/>
      </w:pPr>
      <w:rPr>
        <w:rFonts w:ascii="Wingdings" w:hAnsi="Wingdings" w:hint="default"/>
      </w:rPr>
    </w:lvl>
  </w:abstractNum>
  <w:abstractNum w:abstractNumId="20">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1">
    <w:nsid w:val="60E045A1"/>
    <w:multiLevelType w:val="hybridMultilevel"/>
    <w:tmpl w:val="AC7A499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2">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F3F7B"/>
    <w:multiLevelType w:val="multilevel"/>
    <w:tmpl w:val="7FE0380E"/>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A2A1EA1"/>
    <w:multiLevelType w:val="multilevel"/>
    <w:tmpl w:val="609CA7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0F396C"/>
    <w:multiLevelType w:val="hybridMultilevel"/>
    <w:tmpl w:val="E99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F405FA"/>
    <w:multiLevelType w:val="multilevel"/>
    <w:tmpl w:val="131A4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715B6D2C"/>
    <w:multiLevelType w:val="hybridMultilevel"/>
    <w:tmpl w:val="D6424E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1">
    <w:nsid w:val="76741469"/>
    <w:multiLevelType w:val="hybridMultilevel"/>
    <w:tmpl w:val="6CD6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8"/>
  </w:num>
  <w:num w:numId="5">
    <w:abstractNumId w:val="22"/>
  </w:num>
  <w:num w:numId="6">
    <w:abstractNumId w:val="6"/>
  </w:num>
  <w:num w:numId="7">
    <w:abstractNumId w:val="30"/>
  </w:num>
  <w:num w:numId="8">
    <w:abstractNumId w:val="20"/>
  </w:num>
  <w:num w:numId="9">
    <w:abstractNumId w:val="3"/>
  </w:num>
  <w:num w:numId="10">
    <w:abstractNumId w:val="28"/>
  </w:num>
  <w:num w:numId="11">
    <w:abstractNumId w:val="5"/>
  </w:num>
  <w:num w:numId="12">
    <w:abstractNumId w:val="15"/>
  </w:num>
  <w:num w:numId="13">
    <w:abstractNumId w:val="23"/>
  </w:num>
  <w:num w:numId="14">
    <w:abstractNumId w:val="4"/>
  </w:num>
  <w:num w:numId="15">
    <w:abstractNumId w:val="24"/>
  </w:num>
  <w:num w:numId="16">
    <w:abstractNumId w:val="12"/>
  </w:num>
  <w:num w:numId="17">
    <w:abstractNumId w:val="16"/>
  </w:num>
  <w:num w:numId="18">
    <w:abstractNumId w:val="2"/>
  </w:num>
  <w:num w:numId="19">
    <w:abstractNumId w:val="8"/>
  </w:num>
  <w:num w:numId="20">
    <w:abstractNumId w:val="19"/>
  </w:num>
  <w:num w:numId="21">
    <w:abstractNumId w:val="27"/>
  </w:num>
  <w:num w:numId="22">
    <w:abstractNumId w:val="21"/>
  </w:num>
  <w:num w:numId="23">
    <w:abstractNumId w:val="10"/>
  </w:num>
  <w:num w:numId="24">
    <w:abstractNumId w:val="17"/>
  </w:num>
  <w:num w:numId="25">
    <w:abstractNumId w:val="11"/>
  </w:num>
  <w:num w:numId="26">
    <w:abstractNumId w:val="26"/>
  </w:num>
  <w:num w:numId="27">
    <w:abstractNumId w:val="13"/>
  </w:num>
  <w:num w:numId="28">
    <w:abstractNumId w:val="14"/>
  </w:num>
  <w:num w:numId="29">
    <w:abstractNumId w:val="31"/>
  </w:num>
  <w:num w:numId="30">
    <w:abstractNumId w:val="0"/>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1EF9"/>
    <w:rsid w:val="00003045"/>
    <w:rsid w:val="0000715D"/>
    <w:rsid w:val="000101DE"/>
    <w:rsid w:val="00010D3E"/>
    <w:rsid w:val="00011910"/>
    <w:rsid w:val="00012B4D"/>
    <w:rsid w:val="00013A51"/>
    <w:rsid w:val="0001501C"/>
    <w:rsid w:val="00015C23"/>
    <w:rsid w:val="00030A19"/>
    <w:rsid w:val="00033470"/>
    <w:rsid w:val="00043BB1"/>
    <w:rsid w:val="000503BE"/>
    <w:rsid w:val="000528C8"/>
    <w:rsid w:val="00057939"/>
    <w:rsid w:val="00063A57"/>
    <w:rsid w:val="00064A10"/>
    <w:rsid w:val="00064D88"/>
    <w:rsid w:val="0006506B"/>
    <w:rsid w:val="00066FBC"/>
    <w:rsid w:val="0007504B"/>
    <w:rsid w:val="0008014A"/>
    <w:rsid w:val="00082385"/>
    <w:rsid w:val="000833FE"/>
    <w:rsid w:val="0008621F"/>
    <w:rsid w:val="00086BCF"/>
    <w:rsid w:val="000902CC"/>
    <w:rsid w:val="00090943"/>
    <w:rsid w:val="00094AA6"/>
    <w:rsid w:val="00094FAF"/>
    <w:rsid w:val="000A03A7"/>
    <w:rsid w:val="000A068B"/>
    <w:rsid w:val="000A7D80"/>
    <w:rsid w:val="000B25D1"/>
    <w:rsid w:val="000C1D55"/>
    <w:rsid w:val="000C31DE"/>
    <w:rsid w:val="000C3874"/>
    <w:rsid w:val="000C3A9F"/>
    <w:rsid w:val="000D3DFD"/>
    <w:rsid w:val="000E608B"/>
    <w:rsid w:val="000E7A74"/>
    <w:rsid w:val="000E7EDD"/>
    <w:rsid w:val="000F1D74"/>
    <w:rsid w:val="000F256E"/>
    <w:rsid w:val="000F504C"/>
    <w:rsid w:val="00102D03"/>
    <w:rsid w:val="00103611"/>
    <w:rsid w:val="00112412"/>
    <w:rsid w:val="00114246"/>
    <w:rsid w:val="00114D5C"/>
    <w:rsid w:val="001174FB"/>
    <w:rsid w:val="00123374"/>
    <w:rsid w:val="00127CB5"/>
    <w:rsid w:val="00131888"/>
    <w:rsid w:val="001342E3"/>
    <w:rsid w:val="001365F0"/>
    <w:rsid w:val="001402B6"/>
    <w:rsid w:val="00142C2C"/>
    <w:rsid w:val="00143669"/>
    <w:rsid w:val="00157B4D"/>
    <w:rsid w:val="00157D77"/>
    <w:rsid w:val="0016063E"/>
    <w:rsid w:val="00162512"/>
    <w:rsid w:val="001712A5"/>
    <w:rsid w:val="00172723"/>
    <w:rsid w:val="001729E8"/>
    <w:rsid w:val="00174BF2"/>
    <w:rsid w:val="00175D6A"/>
    <w:rsid w:val="00176C9F"/>
    <w:rsid w:val="00177C91"/>
    <w:rsid w:val="00180711"/>
    <w:rsid w:val="00181F47"/>
    <w:rsid w:val="00185A50"/>
    <w:rsid w:val="00194A36"/>
    <w:rsid w:val="00197BE0"/>
    <w:rsid w:val="001B07D5"/>
    <w:rsid w:val="001B7AF5"/>
    <w:rsid w:val="001C6ED4"/>
    <w:rsid w:val="001C7314"/>
    <w:rsid w:val="001D686A"/>
    <w:rsid w:val="001E06A2"/>
    <w:rsid w:val="001E0765"/>
    <w:rsid w:val="001E131D"/>
    <w:rsid w:val="001E1CFB"/>
    <w:rsid w:val="001E23B7"/>
    <w:rsid w:val="001E267B"/>
    <w:rsid w:val="001E5E8F"/>
    <w:rsid w:val="001F2BD4"/>
    <w:rsid w:val="001F2DCD"/>
    <w:rsid w:val="001F32D0"/>
    <w:rsid w:val="001F6B14"/>
    <w:rsid w:val="00201E01"/>
    <w:rsid w:val="00204636"/>
    <w:rsid w:val="0020606A"/>
    <w:rsid w:val="00211467"/>
    <w:rsid w:val="00211CE9"/>
    <w:rsid w:val="002121C2"/>
    <w:rsid w:val="002139D0"/>
    <w:rsid w:val="002145A5"/>
    <w:rsid w:val="00221ADD"/>
    <w:rsid w:val="00223DAB"/>
    <w:rsid w:val="002247E5"/>
    <w:rsid w:val="00234D8A"/>
    <w:rsid w:val="002366EB"/>
    <w:rsid w:val="00237F82"/>
    <w:rsid w:val="002401C9"/>
    <w:rsid w:val="002407C7"/>
    <w:rsid w:val="00241330"/>
    <w:rsid w:val="00241768"/>
    <w:rsid w:val="00242CB6"/>
    <w:rsid w:val="00243159"/>
    <w:rsid w:val="0025081B"/>
    <w:rsid w:val="002549FA"/>
    <w:rsid w:val="002569C7"/>
    <w:rsid w:val="00262878"/>
    <w:rsid w:val="002655E2"/>
    <w:rsid w:val="00270B0E"/>
    <w:rsid w:val="0027213F"/>
    <w:rsid w:val="002748D1"/>
    <w:rsid w:val="00274C92"/>
    <w:rsid w:val="002758D3"/>
    <w:rsid w:val="00291B05"/>
    <w:rsid w:val="0029366B"/>
    <w:rsid w:val="002A370A"/>
    <w:rsid w:val="002A3958"/>
    <w:rsid w:val="002A7D4F"/>
    <w:rsid w:val="002B2619"/>
    <w:rsid w:val="002C583D"/>
    <w:rsid w:val="002C63AD"/>
    <w:rsid w:val="002D526C"/>
    <w:rsid w:val="002E02D9"/>
    <w:rsid w:val="002E2E3E"/>
    <w:rsid w:val="002E3C59"/>
    <w:rsid w:val="002E7886"/>
    <w:rsid w:val="002F4EB2"/>
    <w:rsid w:val="002F5AE2"/>
    <w:rsid w:val="002F7F16"/>
    <w:rsid w:val="003012EC"/>
    <w:rsid w:val="00302A53"/>
    <w:rsid w:val="003050FB"/>
    <w:rsid w:val="00305D4A"/>
    <w:rsid w:val="00306C73"/>
    <w:rsid w:val="00325194"/>
    <w:rsid w:val="0032635D"/>
    <w:rsid w:val="003306E0"/>
    <w:rsid w:val="00333C51"/>
    <w:rsid w:val="0033530D"/>
    <w:rsid w:val="0033559B"/>
    <w:rsid w:val="00341BBB"/>
    <w:rsid w:val="0034387A"/>
    <w:rsid w:val="003479CD"/>
    <w:rsid w:val="00347B82"/>
    <w:rsid w:val="00347DAE"/>
    <w:rsid w:val="00351505"/>
    <w:rsid w:val="003518A5"/>
    <w:rsid w:val="00361612"/>
    <w:rsid w:val="00361BC5"/>
    <w:rsid w:val="00372730"/>
    <w:rsid w:val="003755E4"/>
    <w:rsid w:val="0037712B"/>
    <w:rsid w:val="00380161"/>
    <w:rsid w:val="00383E7C"/>
    <w:rsid w:val="003872DF"/>
    <w:rsid w:val="003900B1"/>
    <w:rsid w:val="003A0093"/>
    <w:rsid w:val="003A19C3"/>
    <w:rsid w:val="003A4354"/>
    <w:rsid w:val="003A4A12"/>
    <w:rsid w:val="003A5DC3"/>
    <w:rsid w:val="003A6D76"/>
    <w:rsid w:val="003A7356"/>
    <w:rsid w:val="003B2191"/>
    <w:rsid w:val="003C5059"/>
    <w:rsid w:val="003C51EE"/>
    <w:rsid w:val="003C770B"/>
    <w:rsid w:val="003D05AD"/>
    <w:rsid w:val="003D5C73"/>
    <w:rsid w:val="003D5D0F"/>
    <w:rsid w:val="003D6D10"/>
    <w:rsid w:val="003D7268"/>
    <w:rsid w:val="003D7FBE"/>
    <w:rsid w:val="003E3B1F"/>
    <w:rsid w:val="003E467B"/>
    <w:rsid w:val="003E7844"/>
    <w:rsid w:val="003E7878"/>
    <w:rsid w:val="003F25C0"/>
    <w:rsid w:val="003F4316"/>
    <w:rsid w:val="004020E3"/>
    <w:rsid w:val="004079BD"/>
    <w:rsid w:val="00410DC5"/>
    <w:rsid w:val="0041297B"/>
    <w:rsid w:val="0041439F"/>
    <w:rsid w:val="00415B4E"/>
    <w:rsid w:val="00416E27"/>
    <w:rsid w:val="00420328"/>
    <w:rsid w:val="00422721"/>
    <w:rsid w:val="00423EFE"/>
    <w:rsid w:val="00430A9D"/>
    <w:rsid w:val="00434D29"/>
    <w:rsid w:val="0044131D"/>
    <w:rsid w:val="00443572"/>
    <w:rsid w:val="00445C93"/>
    <w:rsid w:val="00460B64"/>
    <w:rsid w:val="0046189C"/>
    <w:rsid w:val="0046261F"/>
    <w:rsid w:val="00466E0D"/>
    <w:rsid w:val="00467DE3"/>
    <w:rsid w:val="0047247F"/>
    <w:rsid w:val="004763C3"/>
    <w:rsid w:val="00476939"/>
    <w:rsid w:val="00481561"/>
    <w:rsid w:val="00493DA5"/>
    <w:rsid w:val="00493FA9"/>
    <w:rsid w:val="00497005"/>
    <w:rsid w:val="00497C4B"/>
    <w:rsid w:val="004A049C"/>
    <w:rsid w:val="004A084D"/>
    <w:rsid w:val="004A2B3E"/>
    <w:rsid w:val="004A387E"/>
    <w:rsid w:val="004B2FC0"/>
    <w:rsid w:val="004B6E0C"/>
    <w:rsid w:val="004C0913"/>
    <w:rsid w:val="004C2CA0"/>
    <w:rsid w:val="004C3CAC"/>
    <w:rsid w:val="004E0CF7"/>
    <w:rsid w:val="004E28C7"/>
    <w:rsid w:val="004E3356"/>
    <w:rsid w:val="004E46D9"/>
    <w:rsid w:val="004F0D6A"/>
    <w:rsid w:val="004F170A"/>
    <w:rsid w:val="004F43EC"/>
    <w:rsid w:val="00502D76"/>
    <w:rsid w:val="005052D9"/>
    <w:rsid w:val="00506122"/>
    <w:rsid w:val="0050624E"/>
    <w:rsid w:val="00511EA2"/>
    <w:rsid w:val="00520C47"/>
    <w:rsid w:val="005236F2"/>
    <w:rsid w:val="00533E34"/>
    <w:rsid w:val="00533F4B"/>
    <w:rsid w:val="00536687"/>
    <w:rsid w:val="005624BC"/>
    <w:rsid w:val="00562EAF"/>
    <w:rsid w:val="00566676"/>
    <w:rsid w:val="0058112B"/>
    <w:rsid w:val="00581F30"/>
    <w:rsid w:val="005825C5"/>
    <w:rsid w:val="00585FFF"/>
    <w:rsid w:val="0059031D"/>
    <w:rsid w:val="005945D1"/>
    <w:rsid w:val="005A1298"/>
    <w:rsid w:val="005A1A4C"/>
    <w:rsid w:val="005A1F6A"/>
    <w:rsid w:val="005A3853"/>
    <w:rsid w:val="005A6E91"/>
    <w:rsid w:val="005C4D71"/>
    <w:rsid w:val="005C50CD"/>
    <w:rsid w:val="005C5E36"/>
    <w:rsid w:val="005C6487"/>
    <w:rsid w:val="005C7C1E"/>
    <w:rsid w:val="005D175F"/>
    <w:rsid w:val="005D1D55"/>
    <w:rsid w:val="005D350D"/>
    <w:rsid w:val="005D4B2F"/>
    <w:rsid w:val="005D52D8"/>
    <w:rsid w:val="005E00F0"/>
    <w:rsid w:val="005E56BF"/>
    <w:rsid w:val="005F1721"/>
    <w:rsid w:val="006009BC"/>
    <w:rsid w:val="00602384"/>
    <w:rsid w:val="006025C2"/>
    <w:rsid w:val="006034D7"/>
    <w:rsid w:val="00603CD0"/>
    <w:rsid w:val="00606BBC"/>
    <w:rsid w:val="00611718"/>
    <w:rsid w:val="00617B95"/>
    <w:rsid w:val="00621A7E"/>
    <w:rsid w:val="006239CF"/>
    <w:rsid w:val="00626B9D"/>
    <w:rsid w:val="006302B0"/>
    <w:rsid w:val="00630ACD"/>
    <w:rsid w:val="00630D79"/>
    <w:rsid w:val="00631890"/>
    <w:rsid w:val="00633615"/>
    <w:rsid w:val="00635316"/>
    <w:rsid w:val="00635763"/>
    <w:rsid w:val="006368E4"/>
    <w:rsid w:val="0063752D"/>
    <w:rsid w:val="00641034"/>
    <w:rsid w:val="0064113D"/>
    <w:rsid w:val="00643B93"/>
    <w:rsid w:val="0064734C"/>
    <w:rsid w:val="0064792D"/>
    <w:rsid w:val="00654EF3"/>
    <w:rsid w:val="00655575"/>
    <w:rsid w:val="00660427"/>
    <w:rsid w:val="006634A9"/>
    <w:rsid w:val="0067012B"/>
    <w:rsid w:val="00672056"/>
    <w:rsid w:val="00672E45"/>
    <w:rsid w:val="00674638"/>
    <w:rsid w:val="00681A92"/>
    <w:rsid w:val="00685F72"/>
    <w:rsid w:val="0068645D"/>
    <w:rsid w:val="0069013D"/>
    <w:rsid w:val="00691060"/>
    <w:rsid w:val="006A2B17"/>
    <w:rsid w:val="006A527B"/>
    <w:rsid w:val="006B2BAC"/>
    <w:rsid w:val="006B3AE2"/>
    <w:rsid w:val="006B4297"/>
    <w:rsid w:val="006B540F"/>
    <w:rsid w:val="006B57AD"/>
    <w:rsid w:val="006C56FB"/>
    <w:rsid w:val="006D4526"/>
    <w:rsid w:val="006E177E"/>
    <w:rsid w:val="006E23E9"/>
    <w:rsid w:val="006E45D3"/>
    <w:rsid w:val="006E632E"/>
    <w:rsid w:val="006F11CA"/>
    <w:rsid w:val="006F2E35"/>
    <w:rsid w:val="006F4E91"/>
    <w:rsid w:val="006F7184"/>
    <w:rsid w:val="0070178D"/>
    <w:rsid w:val="007178AB"/>
    <w:rsid w:val="007178BC"/>
    <w:rsid w:val="007200AD"/>
    <w:rsid w:val="00723156"/>
    <w:rsid w:val="00723FD0"/>
    <w:rsid w:val="00735190"/>
    <w:rsid w:val="00735BCD"/>
    <w:rsid w:val="00735FB1"/>
    <w:rsid w:val="00736FD8"/>
    <w:rsid w:val="00745ED2"/>
    <w:rsid w:val="00746B23"/>
    <w:rsid w:val="00750866"/>
    <w:rsid w:val="007514DD"/>
    <w:rsid w:val="0076278F"/>
    <w:rsid w:val="00767AC9"/>
    <w:rsid w:val="007759D4"/>
    <w:rsid w:val="0077607D"/>
    <w:rsid w:val="00781A2B"/>
    <w:rsid w:val="00781F03"/>
    <w:rsid w:val="00783554"/>
    <w:rsid w:val="007874F2"/>
    <w:rsid w:val="00787626"/>
    <w:rsid w:val="007905F1"/>
    <w:rsid w:val="0079114D"/>
    <w:rsid w:val="00791C20"/>
    <w:rsid w:val="00791E82"/>
    <w:rsid w:val="00795002"/>
    <w:rsid w:val="007A0E4D"/>
    <w:rsid w:val="007A341F"/>
    <w:rsid w:val="007A6308"/>
    <w:rsid w:val="007A6EB9"/>
    <w:rsid w:val="007A73BD"/>
    <w:rsid w:val="007B0F7D"/>
    <w:rsid w:val="007B7BB0"/>
    <w:rsid w:val="007B7E20"/>
    <w:rsid w:val="007C5EA8"/>
    <w:rsid w:val="007C6399"/>
    <w:rsid w:val="007C6FF1"/>
    <w:rsid w:val="007D358E"/>
    <w:rsid w:val="007D6B10"/>
    <w:rsid w:val="007D79C9"/>
    <w:rsid w:val="007E0F9B"/>
    <w:rsid w:val="007E40F8"/>
    <w:rsid w:val="007E6824"/>
    <w:rsid w:val="007F2FA5"/>
    <w:rsid w:val="0080035B"/>
    <w:rsid w:val="00802A54"/>
    <w:rsid w:val="00805D0F"/>
    <w:rsid w:val="008109FB"/>
    <w:rsid w:val="008135CD"/>
    <w:rsid w:val="00813847"/>
    <w:rsid w:val="0081581D"/>
    <w:rsid w:val="00817073"/>
    <w:rsid w:val="0082055F"/>
    <w:rsid w:val="00820F0F"/>
    <w:rsid w:val="00821BA0"/>
    <w:rsid w:val="008220D0"/>
    <w:rsid w:val="00822AB3"/>
    <w:rsid w:val="00830031"/>
    <w:rsid w:val="00842B6A"/>
    <w:rsid w:val="00845C3A"/>
    <w:rsid w:val="0084617F"/>
    <w:rsid w:val="00855830"/>
    <w:rsid w:val="00857A9A"/>
    <w:rsid w:val="00863115"/>
    <w:rsid w:val="00865F33"/>
    <w:rsid w:val="00876667"/>
    <w:rsid w:val="00876E9D"/>
    <w:rsid w:val="00880844"/>
    <w:rsid w:val="008824A1"/>
    <w:rsid w:val="00883E7B"/>
    <w:rsid w:val="0088513A"/>
    <w:rsid w:val="00885C90"/>
    <w:rsid w:val="00890A8C"/>
    <w:rsid w:val="00892FCF"/>
    <w:rsid w:val="008A256E"/>
    <w:rsid w:val="008A2DFE"/>
    <w:rsid w:val="008B0D83"/>
    <w:rsid w:val="008B4D66"/>
    <w:rsid w:val="008C0458"/>
    <w:rsid w:val="008C1AF7"/>
    <w:rsid w:val="008C34B4"/>
    <w:rsid w:val="008C36E6"/>
    <w:rsid w:val="008C382B"/>
    <w:rsid w:val="008C3DF7"/>
    <w:rsid w:val="008C3FEE"/>
    <w:rsid w:val="008C45E6"/>
    <w:rsid w:val="008D4B88"/>
    <w:rsid w:val="008D6205"/>
    <w:rsid w:val="008D7310"/>
    <w:rsid w:val="008E25BA"/>
    <w:rsid w:val="008E3563"/>
    <w:rsid w:val="008E6BA7"/>
    <w:rsid w:val="008E7DD4"/>
    <w:rsid w:val="008F0D11"/>
    <w:rsid w:val="008F0EA1"/>
    <w:rsid w:val="008F373F"/>
    <w:rsid w:val="008F3F3B"/>
    <w:rsid w:val="008F556A"/>
    <w:rsid w:val="008F6E38"/>
    <w:rsid w:val="009017AE"/>
    <w:rsid w:val="00903743"/>
    <w:rsid w:val="00922D3A"/>
    <w:rsid w:val="00925C3E"/>
    <w:rsid w:val="0092736F"/>
    <w:rsid w:val="009343E5"/>
    <w:rsid w:val="00937648"/>
    <w:rsid w:val="00940F6C"/>
    <w:rsid w:val="009417BF"/>
    <w:rsid w:val="009452E7"/>
    <w:rsid w:val="00945CBE"/>
    <w:rsid w:val="00947346"/>
    <w:rsid w:val="00953D77"/>
    <w:rsid w:val="00957837"/>
    <w:rsid w:val="00957B8D"/>
    <w:rsid w:val="00967927"/>
    <w:rsid w:val="00967D4A"/>
    <w:rsid w:val="00973A82"/>
    <w:rsid w:val="00984D78"/>
    <w:rsid w:val="00986770"/>
    <w:rsid w:val="00991A84"/>
    <w:rsid w:val="009A3898"/>
    <w:rsid w:val="009B12F1"/>
    <w:rsid w:val="009B29EC"/>
    <w:rsid w:val="009B30AD"/>
    <w:rsid w:val="009C64F1"/>
    <w:rsid w:val="009D17AD"/>
    <w:rsid w:val="009D27CD"/>
    <w:rsid w:val="009D3B19"/>
    <w:rsid w:val="009D3B3E"/>
    <w:rsid w:val="009D4016"/>
    <w:rsid w:val="009D4B67"/>
    <w:rsid w:val="009D73E0"/>
    <w:rsid w:val="009E0C43"/>
    <w:rsid w:val="009E26E9"/>
    <w:rsid w:val="009E562E"/>
    <w:rsid w:val="009E6A69"/>
    <w:rsid w:val="009E6E9F"/>
    <w:rsid w:val="009F5269"/>
    <w:rsid w:val="009F7DD0"/>
    <w:rsid w:val="00A0517B"/>
    <w:rsid w:val="00A05A0E"/>
    <w:rsid w:val="00A10843"/>
    <w:rsid w:val="00A15B43"/>
    <w:rsid w:val="00A270EF"/>
    <w:rsid w:val="00A351A1"/>
    <w:rsid w:val="00A36804"/>
    <w:rsid w:val="00A500F7"/>
    <w:rsid w:val="00A516D7"/>
    <w:rsid w:val="00A574AA"/>
    <w:rsid w:val="00A63729"/>
    <w:rsid w:val="00A63DE4"/>
    <w:rsid w:val="00A6630B"/>
    <w:rsid w:val="00A71B45"/>
    <w:rsid w:val="00A71EF3"/>
    <w:rsid w:val="00A72FE8"/>
    <w:rsid w:val="00A74F6D"/>
    <w:rsid w:val="00A76CA7"/>
    <w:rsid w:val="00A81F67"/>
    <w:rsid w:val="00A83A63"/>
    <w:rsid w:val="00A84074"/>
    <w:rsid w:val="00A84745"/>
    <w:rsid w:val="00A84C7A"/>
    <w:rsid w:val="00A860CF"/>
    <w:rsid w:val="00A86E60"/>
    <w:rsid w:val="00A90948"/>
    <w:rsid w:val="00A93140"/>
    <w:rsid w:val="00A96CB1"/>
    <w:rsid w:val="00AA2E1F"/>
    <w:rsid w:val="00AA3912"/>
    <w:rsid w:val="00AA6ADC"/>
    <w:rsid w:val="00AB0AE0"/>
    <w:rsid w:val="00AB0E6E"/>
    <w:rsid w:val="00AB1A77"/>
    <w:rsid w:val="00AB3176"/>
    <w:rsid w:val="00AB5497"/>
    <w:rsid w:val="00AC06BE"/>
    <w:rsid w:val="00AC09EF"/>
    <w:rsid w:val="00AC3ABB"/>
    <w:rsid w:val="00AC4831"/>
    <w:rsid w:val="00AD0802"/>
    <w:rsid w:val="00AE1B3E"/>
    <w:rsid w:val="00AE4036"/>
    <w:rsid w:val="00AE594E"/>
    <w:rsid w:val="00AF5464"/>
    <w:rsid w:val="00AF5B24"/>
    <w:rsid w:val="00AF5C5F"/>
    <w:rsid w:val="00AF5CA0"/>
    <w:rsid w:val="00AF634A"/>
    <w:rsid w:val="00B00384"/>
    <w:rsid w:val="00B00F86"/>
    <w:rsid w:val="00B02DB8"/>
    <w:rsid w:val="00B05CFC"/>
    <w:rsid w:val="00B16B34"/>
    <w:rsid w:val="00B247C3"/>
    <w:rsid w:val="00B25C5C"/>
    <w:rsid w:val="00B25D25"/>
    <w:rsid w:val="00B25D9A"/>
    <w:rsid w:val="00B32E05"/>
    <w:rsid w:val="00B35C27"/>
    <w:rsid w:val="00B35FEB"/>
    <w:rsid w:val="00B362EA"/>
    <w:rsid w:val="00B37719"/>
    <w:rsid w:val="00B42B18"/>
    <w:rsid w:val="00B43E0C"/>
    <w:rsid w:val="00B4411E"/>
    <w:rsid w:val="00B454DD"/>
    <w:rsid w:val="00B47E54"/>
    <w:rsid w:val="00B54EDF"/>
    <w:rsid w:val="00B5553E"/>
    <w:rsid w:val="00B55D92"/>
    <w:rsid w:val="00B57823"/>
    <w:rsid w:val="00B57CE5"/>
    <w:rsid w:val="00B62797"/>
    <w:rsid w:val="00B62B27"/>
    <w:rsid w:val="00B636C7"/>
    <w:rsid w:val="00B676C3"/>
    <w:rsid w:val="00B7181D"/>
    <w:rsid w:val="00B7187F"/>
    <w:rsid w:val="00B722A6"/>
    <w:rsid w:val="00B75474"/>
    <w:rsid w:val="00B76515"/>
    <w:rsid w:val="00B779BB"/>
    <w:rsid w:val="00B81B2C"/>
    <w:rsid w:val="00B81DBB"/>
    <w:rsid w:val="00B8612D"/>
    <w:rsid w:val="00B879CB"/>
    <w:rsid w:val="00B924AC"/>
    <w:rsid w:val="00B95F36"/>
    <w:rsid w:val="00BA2EDB"/>
    <w:rsid w:val="00BA3266"/>
    <w:rsid w:val="00BA4783"/>
    <w:rsid w:val="00BA4DBB"/>
    <w:rsid w:val="00BB238D"/>
    <w:rsid w:val="00BB2645"/>
    <w:rsid w:val="00BB2B2E"/>
    <w:rsid w:val="00BB49F7"/>
    <w:rsid w:val="00BB5D1B"/>
    <w:rsid w:val="00BC1434"/>
    <w:rsid w:val="00BC5BFF"/>
    <w:rsid w:val="00BC5D5A"/>
    <w:rsid w:val="00BC63BA"/>
    <w:rsid w:val="00BC6AB5"/>
    <w:rsid w:val="00BD2BDD"/>
    <w:rsid w:val="00BD36CD"/>
    <w:rsid w:val="00BD37AD"/>
    <w:rsid w:val="00BE056D"/>
    <w:rsid w:val="00BE0A3D"/>
    <w:rsid w:val="00BE1B3A"/>
    <w:rsid w:val="00BE1B6F"/>
    <w:rsid w:val="00BE3650"/>
    <w:rsid w:val="00BE4FC7"/>
    <w:rsid w:val="00BE5449"/>
    <w:rsid w:val="00BF0ED5"/>
    <w:rsid w:val="00BF7203"/>
    <w:rsid w:val="00C03279"/>
    <w:rsid w:val="00C03B4D"/>
    <w:rsid w:val="00C10382"/>
    <w:rsid w:val="00C11983"/>
    <w:rsid w:val="00C20534"/>
    <w:rsid w:val="00C21DBC"/>
    <w:rsid w:val="00C22386"/>
    <w:rsid w:val="00C257E9"/>
    <w:rsid w:val="00C25FCB"/>
    <w:rsid w:val="00C2735E"/>
    <w:rsid w:val="00C333A7"/>
    <w:rsid w:val="00C34151"/>
    <w:rsid w:val="00C34BE9"/>
    <w:rsid w:val="00C35E51"/>
    <w:rsid w:val="00C35F8B"/>
    <w:rsid w:val="00C37CBD"/>
    <w:rsid w:val="00C42DD6"/>
    <w:rsid w:val="00C442CA"/>
    <w:rsid w:val="00C46A80"/>
    <w:rsid w:val="00C47004"/>
    <w:rsid w:val="00C567D1"/>
    <w:rsid w:val="00C600E9"/>
    <w:rsid w:val="00C63202"/>
    <w:rsid w:val="00C63536"/>
    <w:rsid w:val="00C6469C"/>
    <w:rsid w:val="00C7077D"/>
    <w:rsid w:val="00C73882"/>
    <w:rsid w:val="00C7735E"/>
    <w:rsid w:val="00C8154B"/>
    <w:rsid w:val="00C81C40"/>
    <w:rsid w:val="00C830AC"/>
    <w:rsid w:val="00C917D9"/>
    <w:rsid w:val="00CA1432"/>
    <w:rsid w:val="00CA59C1"/>
    <w:rsid w:val="00CB0059"/>
    <w:rsid w:val="00CB1746"/>
    <w:rsid w:val="00CB1A5B"/>
    <w:rsid w:val="00CB1AB7"/>
    <w:rsid w:val="00CB2CA2"/>
    <w:rsid w:val="00CB595C"/>
    <w:rsid w:val="00CC131E"/>
    <w:rsid w:val="00CD3615"/>
    <w:rsid w:val="00CD6865"/>
    <w:rsid w:val="00CE0082"/>
    <w:rsid w:val="00CE2EF7"/>
    <w:rsid w:val="00CF1033"/>
    <w:rsid w:val="00CF1FC1"/>
    <w:rsid w:val="00CF2935"/>
    <w:rsid w:val="00CF2D01"/>
    <w:rsid w:val="00CF3D9A"/>
    <w:rsid w:val="00D07D07"/>
    <w:rsid w:val="00D10432"/>
    <w:rsid w:val="00D165FB"/>
    <w:rsid w:val="00D179A8"/>
    <w:rsid w:val="00D2402D"/>
    <w:rsid w:val="00D252A0"/>
    <w:rsid w:val="00D2553C"/>
    <w:rsid w:val="00D27EFC"/>
    <w:rsid w:val="00D30152"/>
    <w:rsid w:val="00D30DF4"/>
    <w:rsid w:val="00D34427"/>
    <w:rsid w:val="00D34C39"/>
    <w:rsid w:val="00D37698"/>
    <w:rsid w:val="00D41B6B"/>
    <w:rsid w:val="00D5228A"/>
    <w:rsid w:val="00D66D72"/>
    <w:rsid w:val="00D740F8"/>
    <w:rsid w:val="00D80395"/>
    <w:rsid w:val="00D82603"/>
    <w:rsid w:val="00D86BB1"/>
    <w:rsid w:val="00D90A7D"/>
    <w:rsid w:val="00D93C83"/>
    <w:rsid w:val="00D949C0"/>
    <w:rsid w:val="00D9566C"/>
    <w:rsid w:val="00D972D6"/>
    <w:rsid w:val="00D97B2B"/>
    <w:rsid w:val="00DA642C"/>
    <w:rsid w:val="00DA68C3"/>
    <w:rsid w:val="00DA708A"/>
    <w:rsid w:val="00DA72E4"/>
    <w:rsid w:val="00DB14F9"/>
    <w:rsid w:val="00DB43F7"/>
    <w:rsid w:val="00DB5192"/>
    <w:rsid w:val="00DB5DC6"/>
    <w:rsid w:val="00DC2F15"/>
    <w:rsid w:val="00DC4791"/>
    <w:rsid w:val="00DC4B93"/>
    <w:rsid w:val="00DD07BC"/>
    <w:rsid w:val="00DD486A"/>
    <w:rsid w:val="00DD6446"/>
    <w:rsid w:val="00DE4F82"/>
    <w:rsid w:val="00DE7D1F"/>
    <w:rsid w:val="00DF073A"/>
    <w:rsid w:val="00DF1C0A"/>
    <w:rsid w:val="00DF64E2"/>
    <w:rsid w:val="00E01F01"/>
    <w:rsid w:val="00E06B8E"/>
    <w:rsid w:val="00E10202"/>
    <w:rsid w:val="00E1056D"/>
    <w:rsid w:val="00E13790"/>
    <w:rsid w:val="00E15699"/>
    <w:rsid w:val="00E204D1"/>
    <w:rsid w:val="00E23A25"/>
    <w:rsid w:val="00E255D7"/>
    <w:rsid w:val="00E25908"/>
    <w:rsid w:val="00E30AA8"/>
    <w:rsid w:val="00E310F4"/>
    <w:rsid w:val="00E31FD4"/>
    <w:rsid w:val="00E34AFC"/>
    <w:rsid w:val="00E37DDC"/>
    <w:rsid w:val="00E462B2"/>
    <w:rsid w:val="00E5034C"/>
    <w:rsid w:val="00E52857"/>
    <w:rsid w:val="00E5712E"/>
    <w:rsid w:val="00E573E2"/>
    <w:rsid w:val="00E57855"/>
    <w:rsid w:val="00E61683"/>
    <w:rsid w:val="00E70EE6"/>
    <w:rsid w:val="00E8099A"/>
    <w:rsid w:val="00E828E7"/>
    <w:rsid w:val="00E83BD7"/>
    <w:rsid w:val="00E90E69"/>
    <w:rsid w:val="00E91F5B"/>
    <w:rsid w:val="00E9221D"/>
    <w:rsid w:val="00E9688B"/>
    <w:rsid w:val="00EA181C"/>
    <w:rsid w:val="00EA1EDC"/>
    <w:rsid w:val="00EA5FF0"/>
    <w:rsid w:val="00EB66D3"/>
    <w:rsid w:val="00EC2DA9"/>
    <w:rsid w:val="00EC4A4F"/>
    <w:rsid w:val="00EC67E2"/>
    <w:rsid w:val="00ED53FA"/>
    <w:rsid w:val="00ED5837"/>
    <w:rsid w:val="00ED7571"/>
    <w:rsid w:val="00ED7DF9"/>
    <w:rsid w:val="00EE6113"/>
    <w:rsid w:val="00EE72F8"/>
    <w:rsid w:val="00EF1B00"/>
    <w:rsid w:val="00EF72A3"/>
    <w:rsid w:val="00F0377C"/>
    <w:rsid w:val="00F03A54"/>
    <w:rsid w:val="00F04C17"/>
    <w:rsid w:val="00F074C8"/>
    <w:rsid w:val="00F075B3"/>
    <w:rsid w:val="00F10F30"/>
    <w:rsid w:val="00F12C1E"/>
    <w:rsid w:val="00F157D7"/>
    <w:rsid w:val="00F15C0C"/>
    <w:rsid w:val="00F17085"/>
    <w:rsid w:val="00F20195"/>
    <w:rsid w:val="00F30E17"/>
    <w:rsid w:val="00F3256B"/>
    <w:rsid w:val="00F33A9D"/>
    <w:rsid w:val="00F366C1"/>
    <w:rsid w:val="00F37DFB"/>
    <w:rsid w:val="00F4144B"/>
    <w:rsid w:val="00F425AD"/>
    <w:rsid w:val="00F4341A"/>
    <w:rsid w:val="00F47FBC"/>
    <w:rsid w:val="00F56449"/>
    <w:rsid w:val="00F61EB1"/>
    <w:rsid w:val="00F62956"/>
    <w:rsid w:val="00F62C05"/>
    <w:rsid w:val="00F63095"/>
    <w:rsid w:val="00F6577F"/>
    <w:rsid w:val="00F7111B"/>
    <w:rsid w:val="00F712DC"/>
    <w:rsid w:val="00F762AF"/>
    <w:rsid w:val="00F80B47"/>
    <w:rsid w:val="00F820AA"/>
    <w:rsid w:val="00F8525A"/>
    <w:rsid w:val="00F85C79"/>
    <w:rsid w:val="00F90DC9"/>
    <w:rsid w:val="00F91C09"/>
    <w:rsid w:val="00F9393D"/>
    <w:rsid w:val="00F93D21"/>
    <w:rsid w:val="00F9461E"/>
    <w:rsid w:val="00F949DF"/>
    <w:rsid w:val="00F9724C"/>
    <w:rsid w:val="00FA096C"/>
    <w:rsid w:val="00FA3202"/>
    <w:rsid w:val="00FA4518"/>
    <w:rsid w:val="00FA699C"/>
    <w:rsid w:val="00FB1318"/>
    <w:rsid w:val="00FB6FF5"/>
    <w:rsid w:val="00FC39B9"/>
    <w:rsid w:val="00FC3B05"/>
    <w:rsid w:val="00FD020F"/>
    <w:rsid w:val="00FD294E"/>
    <w:rsid w:val="00FD48B6"/>
    <w:rsid w:val="00FE13DE"/>
    <w:rsid w:val="00FE2932"/>
    <w:rsid w:val="00FE3EBD"/>
    <w:rsid w:val="00FE5B84"/>
    <w:rsid w:val="00FF2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6729">
      <w:bodyDiv w:val="1"/>
      <w:marLeft w:val="0"/>
      <w:marRight w:val="0"/>
      <w:marTop w:val="0"/>
      <w:marBottom w:val="0"/>
      <w:divBdr>
        <w:top w:val="none" w:sz="0" w:space="0" w:color="auto"/>
        <w:left w:val="none" w:sz="0" w:space="0" w:color="auto"/>
        <w:bottom w:val="none" w:sz="0" w:space="0" w:color="auto"/>
        <w:right w:val="none" w:sz="0" w:space="0" w:color="auto"/>
      </w:divBdr>
    </w:div>
    <w:div w:id="233899063">
      <w:bodyDiv w:val="1"/>
      <w:marLeft w:val="0"/>
      <w:marRight w:val="0"/>
      <w:marTop w:val="0"/>
      <w:marBottom w:val="0"/>
      <w:divBdr>
        <w:top w:val="none" w:sz="0" w:space="0" w:color="auto"/>
        <w:left w:val="none" w:sz="0" w:space="0" w:color="auto"/>
        <w:bottom w:val="none" w:sz="0" w:space="0" w:color="auto"/>
        <w:right w:val="none" w:sz="0" w:space="0" w:color="auto"/>
      </w:divBdr>
    </w:div>
    <w:div w:id="349989632">
      <w:bodyDiv w:val="1"/>
      <w:marLeft w:val="0"/>
      <w:marRight w:val="0"/>
      <w:marTop w:val="0"/>
      <w:marBottom w:val="0"/>
      <w:divBdr>
        <w:top w:val="none" w:sz="0" w:space="0" w:color="auto"/>
        <w:left w:val="none" w:sz="0" w:space="0" w:color="auto"/>
        <w:bottom w:val="none" w:sz="0" w:space="0" w:color="auto"/>
        <w:right w:val="none" w:sz="0" w:space="0" w:color="auto"/>
      </w:divBdr>
    </w:div>
    <w:div w:id="365061373">
      <w:bodyDiv w:val="1"/>
      <w:marLeft w:val="0"/>
      <w:marRight w:val="0"/>
      <w:marTop w:val="0"/>
      <w:marBottom w:val="0"/>
      <w:divBdr>
        <w:top w:val="none" w:sz="0" w:space="0" w:color="auto"/>
        <w:left w:val="none" w:sz="0" w:space="0" w:color="auto"/>
        <w:bottom w:val="none" w:sz="0" w:space="0" w:color="auto"/>
        <w:right w:val="none" w:sz="0" w:space="0" w:color="auto"/>
      </w:divBdr>
    </w:div>
    <w:div w:id="438598205">
      <w:bodyDiv w:val="1"/>
      <w:marLeft w:val="0"/>
      <w:marRight w:val="0"/>
      <w:marTop w:val="0"/>
      <w:marBottom w:val="0"/>
      <w:divBdr>
        <w:top w:val="none" w:sz="0" w:space="0" w:color="auto"/>
        <w:left w:val="none" w:sz="0" w:space="0" w:color="auto"/>
        <w:bottom w:val="none" w:sz="0" w:space="0" w:color="auto"/>
        <w:right w:val="none" w:sz="0" w:space="0" w:color="auto"/>
      </w:divBdr>
    </w:div>
    <w:div w:id="551576044">
      <w:bodyDiv w:val="1"/>
      <w:marLeft w:val="0"/>
      <w:marRight w:val="0"/>
      <w:marTop w:val="0"/>
      <w:marBottom w:val="0"/>
      <w:divBdr>
        <w:top w:val="none" w:sz="0" w:space="0" w:color="auto"/>
        <w:left w:val="none" w:sz="0" w:space="0" w:color="auto"/>
        <w:bottom w:val="none" w:sz="0" w:space="0" w:color="auto"/>
        <w:right w:val="none" w:sz="0" w:space="0" w:color="auto"/>
      </w:divBdr>
    </w:div>
    <w:div w:id="755712809">
      <w:bodyDiv w:val="1"/>
      <w:marLeft w:val="0"/>
      <w:marRight w:val="0"/>
      <w:marTop w:val="0"/>
      <w:marBottom w:val="0"/>
      <w:divBdr>
        <w:top w:val="none" w:sz="0" w:space="0" w:color="auto"/>
        <w:left w:val="none" w:sz="0" w:space="0" w:color="auto"/>
        <w:bottom w:val="none" w:sz="0" w:space="0" w:color="auto"/>
        <w:right w:val="none" w:sz="0" w:space="0" w:color="auto"/>
      </w:divBdr>
    </w:div>
    <w:div w:id="765658207">
      <w:bodyDiv w:val="1"/>
      <w:marLeft w:val="0"/>
      <w:marRight w:val="0"/>
      <w:marTop w:val="0"/>
      <w:marBottom w:val="0"/>
      <w:divBdr>
        <w:top w:val="none" w:sz="0" w:space="0" w:color="auto"/>
        <w:left w:val="none" w:sz="0" w:space="0" w:color="auto"/>
        <w:bottom w:val="none" w:sz="0" w:space="0" w:color="auto"/>
        <w:right w:val="none" w:sz="0" w:space="0" w:color="auto"/>
      </w:divBdr>
    </w:div>
    <w:div w:id="787771569">
      <w:bodyDiv w:val="1"/>
      <w:marLeft w:val="0"/>
      <w:marRight w:val="0"/>
      <w:marTop w:val="0"/>
      <w:marBottom w:val="0"/>
      <w:divBdr>
        <w:top w:val="none" w:sz="0" w:space="0" w:color="auto"/>
        <w:left w:val="none" w:sz="0" w:space="0" w:color="auto"/>
        <w:bottom w:val="none" w:sz="0" w:space="0" w:color="auto"/>
        <w:right w:val="none" w:sz="0" w:space="0" w:color="auto"/>
      </w:divBdr>
    </w:div>
    <w:div w:id="1464347659">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49539">
      <w:bodyDiv w:val="1"/>
      <w:marLeft w:val="0"/>
      <w:marRight w:val="0"/>
      <w:marTop w:val="0"/>
      <w:marBottom w:val="0"/>
      <w:divBdr>
        <w:top w:val="none" w:sz="0" w:space="0" w:color="auto"/>
        <w:left w:val="none" w:sz="0" w:space="0" w:color="auto"/>
        <w:bottom w:val="none" w:sz="0" w:space="0" w:color="auto"/>
        <w:right w:val="none" w:sz="0" w:space="0" w:color="auto"/>
      </w:divBdr>
    </w:div>
    <w:div w:id="2032106841">
      <w:bodyDiv w:val="1"/>
      <w:marLeft w:val="0"/>
      <w:marRight w:val="0"/>
      <w:marTop w:val="0"/>
      <w:marBottom w:val="0"/>
      <w:divBdr>
        <w:top w:val="none" w:sz="0" w:space="0" w:color="auto"/>
        <w:left w:val="none" w:sz="0" w:space="0" w:color="auto"/>
        <w:bottom w:val="none" w:sz="0" w:space="0" w:color="auto"/>
        <w:right w:val="none" w:sz="0" w:space="0" w:color="auto"/>
      </w:divBdr>
    </w:div>
    <w:div w:id="20470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fontTable" Target="fontTable.xml"/><Relationship Id="rId21" Type="http://schemas.openxmlformats.org/officeDocument/2006/relationships/image" Target="media/image11.emf"/><Relationship Id="rId34" Type="http://schemas.openxmlformats.org/officeDocument/2006/relationships/image" Target="media/image23.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Original budget</c:v>
                </c:pt>
              </c:strCache>
            </c:strRef>
          </c:tx>
          <c:cat>
            <c:strRef>
              <c:f>Sheet1!$A$2:$A$6</c:f>
              <c:strCache>
                <c:ptCount val="5"/>
                <c:pt idx="0">
                  <c:v>0</c:v>
                </c:pt>
                <c:pt idx="1">
                  <c:v>Quarter 1</c:v>
                </c:pt>
                <c:pt idx="2">
                  <c:v>Quarter 2</c:v>
                </c:pt>
                <c:pt idx="3">
                  <c:v>Quarter 3</c:v>
                </c:pt>
                <c:pt idx="4">
                  <c:v>Quarter 4</c:v>
                </c:pt>
              </c:strCache>
            </c:strRef>
          </c:cat>
          <c:val>
            <c:numRef>
              <c:f>Sheet1!$B$2:$B$6</c:f>
              <c:numCache>
                <c:formatCode>General</c:formatCode>
                <c:ptCount val="5"/>
                <c:pt idx="0">
                  <c:v>10.775</c:v>
                </c:pt>
                <c:pt idx="1">
                  <c:v>10.775</c:v>
                </c:pt>
                <c:pt idx="2">
                  <c:v>10.775</c:v>
                </c:pt>
                <c:pt idx="3">
                  <c:v>10.775</c:v>
                </c:pt>
                <c:pt idx="4">
                  <c:v>10.775</c:v>
                </c:pt>
              </c:numCache>
            </c:numRef>
          </c:val>
          <c:smooth val="0"/>
        </c:ser>
        <c:ser>
          <c:idx val="1"/>
          <c:order val="1"/>
          <c:tx>
            <c:strRef>
              <c:f>Sheet1!$C$1</c:f>
              <c:strCache>
                <c:ptCount val="1"/>
                <c:pt idx="0">
                  <c:v>Latest Approved Budget</c:v>
                </c:pt>
              </c:strCache>
            </c:strRef>
          </c:tx>
          <c:spPr>
            <a:ln>
              <a:prstDash val="dash"/>
            </a:ln>
          </c:spPr>
          <c:dPt>
            <c:idx val="0"/>
            <c:bubble3D val="0"/>
            <c:spPr>
              <a:ln>
                <a:prstDash val="solid"/>
              </a:ln>
            </c:spPr>
          </c:dPt>
          <c:dPt>
            <c:idx val="1"/>
            <c:bubble3D val="0"/>
            <c:spPr>
              <a:ln>
                <a:prstDash val="solid"/>
              </a:ln>
            </c:spPr>
          </c:dPt>
          <c:dPt>
            <c:idx val="2"/>
            <c:bubble3D val="0"/>
            <c:spPr>
              <a:ln cmpd="sng">
                <a:prstDash val="solid"/>
              </a:ln>
            </c:spPr>
          </c:dPt>
          <c:cat>
            <c:strRef>
              <c:f>Sheet1!$A$2:$A$6</c:f>
              <c:strCache>
                <c:ptCount val="5"/>
                <c:pt idx="0">
                  <c:v>0</c:v>
                </c:pt>
                <c:pt idx="1">
                  <c:v>Quarter 1</c:v>
                </c:pt>
                <c:pt idx="2">
                  <c:v>Quarter 2</c:v>
                </c:pt>
                <c:pt idx="3">
                  <c:v>Quarter 3</c:v>
                </c:pt>
                <c:pt idx="4">
                  <c:v>Quarter 4</c:v>
                </c:pt>
              </c:strCache>
            </c:strRef>
          </c:cat>
          <c:val>
            <c:numRef>
              <c:f>Sheet1!$C$2:$C$6</c:f>
              <c:numCache>
                <c:formatCode>General</c:formatCode>
                <c:ptCount val="5"/>
                <c:pt idx="0">
                  <c:v>10.775</c:v>
                </c:pt>
                <c:pt idx="1">
                  <c:v>11.257</c:v>
                </c:pt>
                <c:pt idx="2">
                  <c:v>11.212</c:v>
                </c:pt>
                <c:pt idx="3">
                  <c:v>11.212</c:v>
                </c:pt>
                <c:pt idx="4">
                  <c:v>11.212</c:v>
                </c:pt>
              </c:numCache>
            </c:numRef>
          </c:val>
          <c:smooth val="0"/>
        </c:ser>
        <c:ser>
          <c:idx val="2"/>
          <c:order val="2"/>
          <c:tx>
            <c:strRef>
              <c:f>Sheet1!$D$1</c:f>
              <c:strCache>
                <c:ptCount val="1"/>
                <c:pt idx="0">
                  <c:v>Forecast Outtrun</c:v>
                </c:pt>
              </c:strCache>
            </c:strRef>
          </c:tx>
          <c:spPr>
            <a:ln>
              <a:solidFill>
                <a:schemeClr val="accent1"/>
              </a:solidFill>
            </a:ln>
          </c:spPr>
          <c:dPt>
            <c:idx val="1"/>
            <c:bubble3D val="0"/>
            <c:spPr>
              <a:ln>
                <a:solidFill>
                  <a:schemeClr val="accent3"/>
                </a:solidFill>
              </a:ln>
            </c:spPr>
          </c:dPt>
          <c:dPt>
            <c:idx val="2"/>
            <c:bubble3D val="0"/>
            <c:spPr>
              <a:ln cmpd="sng">
                <a:solidFill>
                  <a:schemeClr val="accent3"/>
                </a:solidFill>
                <a:prstDash val="solid"/>
              </a:ln>
            </c:spPr>
          </c:dPt>
          <c:dPt>
            <c:idx val="3"/>
            <c:bubble3D val="0"/>
            <c:spPr>
              <a:ln>
                <a:solidFill>
                  <a:schemeClr val="accent1"/>
                </a:solidFill>
                <a:prstDash val="dash"/>
              </a:ln>
            </c:spPr>
          </c:dPt>
          <c:dPt>
            <c:idx val="4"/>
            <c:bubble3D val="0"/>
            <c:spPr>
              <a:ln>
                <a:solidFill>
                  <a:schemeClr val="accent1"/>
                </a:solidFill>
                <a:prstDash val="dash"/>
              </a:ln>
            </c:spPr>
          </c:dPt>
          <c:cat>
            <c:strRef>
              <c:f>Sheet1!$A$2:$A$6</c:f>
              <c:strCache>
                <c:ptCount val="5"/>
                <c:pt idx="0">
                  <c:v>0</c:v>
                </c:pt>
                <c:pt idx="1">
                  <c:v>Quarter 1</c:v>
                </c:pt>
                <c:pt idx="2">
                  <c:v>Quarter 2</c:v>
                </c:pt>
                <c:pt idx="3">
                  <c:v>Quarter 3</c:v>
                </c:pt>
                <c:pt idx="4">
                  <c:v>Quarter 4</c:v>
                </c:pt>
              </c:strCache>
            </c:strRef>
          </c:cat>
          <c:val>
            <c:numRef>
              <c:f>Sheet1!$D$2:$D$6</c:f>
              <c:numCache>
                <c:formatCode>General</c:formatCode>
                <c:ptCount val="5"/>
                <c:pt idx="0">
                  <c:v>10.775</c:v>
                </c:pt>
                <c:pt idx="1">
                  <c:v>11.257</c:v>
                </c:pt>
                <c:pt idx="2">
                  <c:v>11.669</c:v>
                </c:pt>
                <c:pt idx="3">
                  <c:v>11.669</c:v>
                </c:pt>
                <c:pt idx="4">
                  <c:v>11.669</c:v>
                </c:pt>
              </c:numCache>
            </c:numRef>
          </c:val>
          <c:smooth val="0"/>
        </c:ser>
        <c:dLbls>
          <c:showLegendKey val="0"/>
          <c:showVal val="0"/>
          <c:showCatName val="0"/>
          <c:showSerName val="0"/>
          <c:showPercent val="0"/>
          <c:showBubbleSize val="0"/>
        </c:dLbls>
        <c:marker val="1"/>
        <c:smooth val="0"/>
        <c:axId val="128152576"/>
        <c:axId val="135222336"/>
      </c:lineChart>
      <c:catAx>
        <c:axId val="128152576"/>
        <c:scaling>
          <c:orientation val="minMax"/>
        </c:scaling>
        <c:delete val="0"/>
        <c:axPos val="b"/>
        <c:majorTickMark val="out"/>
        <c:minorTickMark val="none"/>
        <c:tickLblPos val="nextTo"/>
        <c:crossAx val="135222336"/>
        <c:crosses val="autoZero"/>
        <c:auto val="1"/>
        <c:lblAlgn val="ctr"/>
        <c:lblOffset val="100"/>
        <c:noMultiLvlLbl val="0"/>
      </c:catAx>
      <c:valAx>
        <c:axId val="135222336"/>
        <c:scaling>
          <c:orientation val="minMax"/>
          <c:min val="10"/>
        </c:scaling>
        <c:delete val="0"/>
        <c:axPos val="l"/>
        <c:majorGridlines>
          <c:spPr>
            <a:ln>
              <a:prstDash val="dash"/>
            </a:ln>
          </c:spPr>
        </c:majorGridlines>
        <c:numFmt formatCode="General" sourceLinked="1"/>
        <c:majorTickMark val="out"/>
        <c:minorTickMark val="none"/>
        <c:tickLblPos val="nextTo"/>
        <c:crossAx val="1281525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E108-B968-4188-938C-F293E41F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1791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11866</CharactersWithSpaces>
  <SharedDoc>false</SharedDoc>
  <HLinks>
    <vt:vector size="12" baseType="variant">
      <vt:variant>
        <vt:i4>5177441</vt:i4>
      </vt:variant>
      <vt:variant>
        <vt:i4>17</vt:i4>
      </vt:variant>
      <vt:variant>
        <vt:i4>0</vt:i4>
      </vt:variant>
      <vt:variant>
        <vt:i4>5</vt:i4>
      </vt:variant>
      <vt:variant>
        <vt:lpwstr>mailto:accountancy.practice@threerivers.gov.uk</vt:lpwstr>
      </vt:variant>
      <vt:variant>
        <vt:lpwstr/>
      </vt:variant>
      <vt:variant>
        <vt:i4>3080231</vt:i4>
      </vt:variant>
      <vt:variant>
        <vt:i4>12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9</cp:revision>
  <cp:lastPrinted>2016-11-24T13:38:00Z</cp:lastPrinted>
  <dcterms:created xsi:type="dcterms:W3CDTF">2016-12-01T16:33:00Z</dcterms:created>
  <dcterms:modified xsi:type="dcterms:W3CDTF">2016-12-01T16:39:00Z</dcterms:modified>
</cp:coreProperties>
</file>