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FA" w:rsidRDefault="003B5843" w:rsidP="009F12C3">
      <w:pPr>
        <w:jc w:val="center"/>
        <w:rPr>
          <w:b/>
        </w:rPr>
      </w:pPr>
      <w:r>
        <w:rPr>
          <w:b/>
        </w:rPr>
        <w:t xml:space="preserve"> </w:t>
      </w:r>
      <w:r w:rsidR="007D70ED">
        <w:rPr>
          <w:b/>
        </w:rPr>
        <w:t xml:space="preserve"> </w:t>
      </w:r>
      <w:r w:rsidR="00B21D6C">
        <w:rPr>
          <w:b/>
        </w:rPr>
        <w:t xml:space="preserve"> </w:t>
      </w:r>
      <w:r w:rsidR="003D1652">
        <w:rPr>
          <w:b/>
        </w:rPr>
        <w:t xml:space="preserve"> </w:t>
      </w:r>
      <w:r w:rsidR="002B7760">
        <w:rPr>
          <w:b/>
        </w:rPr>
        <w:t xml:space="preserve"> </w:t>
      </w:r>
      <w:r w:rsidR="00E230C1">
        <w:rPr>
          <w:b/>
        </w:rPr>
        <w:t xml:space="preserve"> </w:t>
      </w:r>
      <w:r w:rsidR="00370C69">
        <w:rPr>
          <w:b/>
        </w:rPr>
        <w:t xml:space="preserve"> </w:t>
      </w:r>
      <w:r w:rsidR="00DE754C">
        <w:rPr>
          <w:b/>
        </w:rPr>
        <w:t>POLICY AND RESOURCES COMMITTEE</w:t>
      </w:r>
    </w:p>
    <w:p w:rsidR="00DE754C" w:rsidRDefault="00DE754C">
      <w:pPr>
        <w:jc w:val="left"/>
        <w:rPr>
          <w:b/>
        </w:rPr>
      </w:pPr>
    </w:p>
    <w:p w:rsidR="00BF34FA" w:rsidRDefault="00BF34FA">
      <w:pPr>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F37B4F">
        <w:rPr>
          <w:b/>
        </w:rPr>
        <w:t>20 MARCH</w:t>
      </w:r>
      <w:r w:rsidR="00BF7102">
        <w:rPr>
          <w:b/>
        </w:rPr>
        <w:t xml:space="preserve"> 2017</w:t>
      </w:r>
    </w:p>
    <w:p w:rsidR="00BF34FA" w:rsidRDefault="00BF34FA">
      <w:pPr>
        <w:jc w:val="center"/>
      </w:pPr>
    </w:p>
    <w:p w:rsidR="00BF34FA" w:rsidRDefault="008E4E40">
      <w:pPr>
        <w:jc w:val="center"/>
        <w:rPr>
          <w:b/>
        </w:rPr>
      </w:pPr>
      <w:r>
        <w:rPr>
          <w:b/>
        </w:rPr>
        <w:t>PART I</w:t>
      </w:r>
      <w:r w:rsidR="00BF34FA">
        <w:rPr>
          <w:b/>
        </w:rPr>
        <w:t xml:space="preserve"> </w:t>
      </w:r>
      <w:r w:rsidR="001660EC">
        <w:rPr>
          <w:b/>
        </w:rPr>
        <w:t>–</w:t>
      </w:r>
      <w:r w:rsidR="00096F7E">
        <w:rPr>
          <w:b/>
        </w:rPr>
        <w:t xml:space="preserve"> </w:t>
      </w:r>
      <w:r w:rsidR="00465CD8">
        <w:rPr>
          <w:b/>
        </w:rPr>
        <w:t>NOT</w:t>
      </w:r>
      <w:r w:rsidR="00BF34FA">
        <w:rPr>
          <w:b/>
        </w:rPr>
        <w:t xml:space="preserve"> </w:t>
      </w:r>
      <w:r w:rsidR="00BF34FA">
        <w:rPr>
          <w:b/>
        </w:rPr>
        <w:fldChar w:fldCharType="begin"/>
      </w:r>
      <w:r w:rsidR="00BF34FA">
        <w:rPr>
          <w:b/>
        </w:rPr>
        <w:instrText xml:space="preserve">  </w:instrText>
      </w:r>
      <w:r w:rsidR="00BF34FA">
        <w:rPr>
          <w:b/>
        </w:rPr>
        <w:fldChar w:fldCharType="end"/>
      </w:r>
      <w:r w:rsidR="00BF34FA">
        <w:rPr>
          <w:b/>
        </w:rPr>
        <w:t>DELEGATED</w:t>
      </w:r>
    </w:p>
    <w:p w:rsidR="00D1006D" w:rsidRDefault="00D1006D">
      <w:pPr>
        <w:jc w:val="center"/>
        <w:rPr>
          <w:b/>
        </w:rPr>
      </w:pPr>
    </w:p>
    <w:p w:rsidR="001660EC" w:rsidRPr="00F3583B" w:rsidRDefault="00096F7E" w:rsidP="001660EC">
      <w:pPr>
        <w:keepNext/>
        <w:ind w:left="1267" w:hanging="1267"/>
        <w:rPr>
          <w:rFonts w:cs="Arial"/>
          <w:b/>
          <w:szCs w:val="22"/>
        </w:rPr>
      </w:pPr>
      <w:r>
        <w:rPr>
          <w:b/>
        </w:rPr>
        <w:t>6</w:t>
      </w:r>
      <w:r w:rsidR="00BF34FA">
        <w:rPr>
          <w:b/>
        </w:rPr>
        <w:fldChar w:fldCharType="begin"/>
      </w:r>
      <w:r w:rsidR="00BF34FA">
        <w:rPr>
          <w:b/>
        </w:rPr>
        <w:instrText xml:space="preserve">  </w:instrText>
      </w:r>
      <w:r w:rsidR="00BF34FA">
        <w:rPr>
          <w:b/>
        </w:rPr>
        <w:fldChar w:fldCharType="end"/>
      </w:r>
      <w:r w:rsidR="001820EA">
        <w:rPr>
          <w:b/>
        </w:rPr>
        <w:t>.</w:t>
      </w:r>
      <w:r w:rsidR="00BF34FA">
        <w:rPr>
          <w:b/>
        </w:rPr>
        <w:tab/>
      </w:r>
      <w:r w:rsidR="00BF34FA" w:rsidRPr="00F3583B">
        <w:rPr>
          <w:rFonts w:cs="Arial"/>
          <w:b/>
          <w:szCs w:val="22"/>
        </w:rPr>
        <w:fldChar w:fldCharType="begin"/>
      </w:r>
      <w:r w:rsidR="00BF34FA" w:rsidRPr="00F3583B">
        <w:rPr>
          <w:rFonts w:cs="Arial"/>
          <w:b/>
          <w:szCs w:val="22"/>
        </w:rPr>
        <w:instrText xml:space="preserve">  </w:instrText>
      </w:r>
      <w:r w:rsidR="00BF34FA" w:rsidRPr="00F3583B">
        <w:rPr>
          <w:rFonts w:cs="Arial"/>
          <w:b/>
          <w:szCs w:val="22"/>
        </w:rPr>
        <w:fldChar w:fldCharType="end"/>
      </w:r>
      <w:r w:rsidR="00BF7102">
        <w:rPr>
          <w:rFonts w:cs="Arial"/>
          <w:b/>
          <w:szCs w:val="22"/>
        </w:rPr>
        <w:t>PROPE</w:t>
      </w:r>
      <w:r w:rsidR="00594DCA">
        <w:rPr>
          <w:rFonts w:cs="Arial"/>
          <w:b/>
          <w:szCs w:val="22"/>
        </w:rPr>
        <w:t>RTY INVESTMENT - GOVERNANCE</w:t>
      </w:r>
      <w:r w:rsidR="00F0715C" w:rsidRPr="00F3583B">
        <w:rPr>
          <w:rFonts w:cs="Arial"/>
          <w:b/>
          <w:szCs w:val="22"/>
        </w:rPr>
        <w:t xml:space="preserve"> </w:t>
      </w:r>
    </w:p>
    <w:p w:rsidR="00D9107B" w:rsidRPr="005B49C8" w:rsidRDefault="00BF34FA" w:rsidP="005B49C8">
      <w:pPr>
        <w:keepNext/>
        <w:ind w:left="1267" w:hanging="1267"/>
        <w:rPr>
          <w:rFonts w:cs="Arial"/>
          <w:b/>
          <w:i/>
          <w:color w:val="008000"/>
          <w:szCs w:val="22"/>
        </w:rPr>
      </w:pPr>
      <w:r w:rsidRPr="00F3583B">
        <w:rPr>
          <w:rFonts w:cs="Arial"/>
          <w:b/>
          <w:szCs w:val="22"/>
        </w:rPr>
        <w:tab/>
      </w:r>
      <w:r w:rsidRPr="00F3583B">
        <w:rPr>
          <w:rFonts w:cs="Arial"/>
          <w:szCs w:val="22"/>
        </w:rPr>
        <w:t>(</w:t>
      </w:r>
      <w:r w:rsidR="001660EC" w:rsidRPr="00F3583B">
        <w:rPr>
          <w:rFonts w:cs="Arial"/>
          <w:szCs w:val="22"/>
        </w:rPr>
        <w:t>DCES)</w:t>
      </w:r>
    </w:p>
    <w:p w:rsidR="00D9107B" w:rsidRPr="00F3583B" w:rsidRDefault="00D9107B">
      <w:pPr>
        <w:ind w:left="1267" w:hanging="1267"/>
        <w:rPr>
          <w:rFonts w:cs="Arial"/>
          <w:szCs w:val="22"/>
        </w:rPr>
      </w:pPr>
    </w:p>
    <w:p w:rsidR="00BF34FA" w:rsidRPr="00F3583B" w:rsidRDefault="00BF34FA">
      <w:pPr>
        <w:keepNext/>
        <w:ind w:left="1267" w:hanging="1267"/>
        <w:rPr>
          <w:rFonts w:cs="Arial"/>
          <w:szCs w:val="22"/>
        </w:rPr>
      </w:pPr>
      <w:r w:rsidRPr="00F3583B">
        <w:rPr>
          <w:rFonts w:cs="Arial"/>
          <w:szCs w:val="22"/>
        </w:rPr>
        <w:t>1.</w:t>
      </w:r>
      <w:r w:rsidRPr="00F3583B">
        <w:rPr>
          <w:rFonts w:cs="Arial"/>
          <w:szCs w:val="22"/>
        </w:rPr>
        <w:tab/>
      </w:r>
      <w:r w:rsidRPr="00F3583B">
        <w:rPr>
          <w:rFonts w:cs="Arial"/>
          <w:b/>
          <w:szCs w:val="22"/>
        </w:rPr>
        <w:t>Summary</w:t>
      </w:r>
    </w:p>
    <w:p w:rsidR="00BF34FA" w:rsidRPr="00F3583B" w:rsidRDefault="00BF34FA">
      <w:pPr>
        <w:keepNext/>
        <w:ind w:left="1267" w:hanging="1267"/>
        <w:rPr>
          <w:rFonts w:cs="Arial"/>
          <w:szCs w:val="22"/>
        </w:rPr>
      </w:pPr>
    </w:p>
    <w:p w:rsidR="008637C9" w:rsidRDefault="008637C9" w:rsidP="00230D19">
      <w:pPr>
        <w:numPr>
          <w:ilvl w:val="1"/>
          <w:numId w:val="14"/>
        </w:numPr>
        <w:rPr>
          <w:szCs w:val="22"/>
        </w:rPr>
      </w:pPr>
      <w:r w:rsidRPr="00B65EB3">
        <w:rPr>
          <w:szCs w:val="22"/>
        </w:rPr>
        <w:t>This</w:t>
      </w:r>
      <w:r w:rsidR="00D1006D">
        <w:rPr>
          <w:szCs w:val="22"/>
        </w:rPr>
        <w:t xml:space="preserve"> report presents details of the proposed governance arrangements for the property investment activity that the Council will be pursuing </w:t>
      </w:r>
      <w:r w:rsidR="0083708A">
        <w:rPr>
          <w:szCs w:val="22"/>
        </w:rPr>
        <w:t>and provides</w:t>
      </w:r>
      <w:r w:rsidR="00CE2118">
        <w:rPr>
          <w:szCs w:val="22"/>
        </w:rPr>
        <w:t xml:space="preserve"> key documentation needed for the formation of the required commercial entities.</w:t>
      </w:r>
      <w:r w:rsidRPr="00B65EB3">
        <w:rPr>
          <w:szCs w:val="22"/>
        </w:rPr>
        <w:t xml:space="preserve"> </w:t>
      </w:r>
      <w:r w:rsidR="00515221">
        <w:rPr>
          <w:szCs w:val="22"/>
        </w:rPr>
        <w:t xml:space="preserve"> </w:t>
      </w:r>
    </w:p>
    <w:p w:rsidR="008E4E40" w:rsidRPr="008E4E40" w:rsidRDefault="008E4E40" w:rsidP="001820EA">
      <w:pPr>
        <w:rPr>
          <w:rFonts w:cs="Arial"/>
          <w:szCs w:val="22"/>
        </w:rPr>
      </w:pPr>
    </w:p>
    <w:p w:rsidR="00BF34FA" w:rsidRDefault="00BF34FA">
      <w:pPr>
        <w:keepNext/>
        <w:ind w:left="1267" w:hanging="1267"/>
        <w:rPr>
          <w:rFonts w:cs="Arial"/>
          <w:b/>
          <w:szCs w:val="22"/>
        </w:rPr>
      </w:pPr>
      <w:r w:rsidRPr="00F3583B">
        <w:rPr>
          <w:rFonts w:cs="Arial"/>
          <w:szCs w:val="22"/>
        </w:rPr>
        <w:t>2.</w:t>
      </w:r>
      <w:r w:rsidRPr="00F3583B">
        <w:rPr>
          <w:rFonts w:cs="Arial"/>
          <w:szCs w:val="22"/>
        </w:rPr>
        <w:tab/>
      </w:r>
      <w:r w:rsidR="002B7760">
        <w:rPr>
          <w:rFonts w:cs="Arial"/>
          <w:b/>
          <w:szCs w:val="22"/>
        </w:rPr>
        <w:t>Details</w:t>
      </w:r>
    </w:p>
    <w:p w:rsidR="002B7760" w:rsidRDefault="002B7760">
      <w:pPr>
        <w:keepNext/>
        <w:ind w:left="1267" w:hanging="1267"/>
        <w:rPr>
          <w:rFonts w:cs="Arial"/>
          <w:b/>
          <w:szCs w:val="22"/>
        </w:rPr>
      </w:pPr>
    </w:p>
    <w:p w:rsidR="002B7760" w:rsidRPr="00096F7E" w:rsidRDefault="002B7760">
      <w:pPr>
        <w:keepNext/>
        <w:ind w:left="1267" w:hanging="1267"/>
        <w:rPr>
          <w:rFonts w:cs="Arial"/>
          <w:b/>
          <w:i/>
          <w:szCs w:val="22"/>
        </w:rPr>
      </w:pPr>
      <w:r w:rsidRPr="00096F7E">
        <w:rPr>
          <w:rFonts w:cs="Arial"/>
          <w:b/>
          <w:i/>
          <w:szCs w:val="22"/>
        </w:rPr>
        <w:tab/>
        <w:t>Background</w:t>
      </w:r>
    </w:p>
    <w:p w:rsidR="00BF34FA" w:rsidRPr="008E4E40" w:rsidRDefault="00BF34FA">
      <w:pPr>
        <w:keepNext/>
        <w:ind w:left="1267" w:hanging="1267"/>
        <w:rPr>
          <w:rFonts w:cs="Arial"/>
          <w:szCs w:val="22"/>
        </w:rPr>
      </w:pPr>
    </w:p>
    <w:p w:rsidR="00B65EB3" w:rsidRDefault="008637C9" w:rsidP="00B65EB3">
      <w:pPr>
        <w:ind w:left="1260" w:hanging="1260"/>
        <w:rPr>
          <w:szCs w:val="22"/>
        </w:rPr>
      </w:pPr>
      <w:r>
        <w:rPr>
          <w:rFonts w:cs="Arial"/>
          <w:szCs w:val="22"/>
        </w:rPr>
        <w:t>2.1</w:t>
      </w:r>
      <w:r>
        <w:rPr>
          <w:rFonts w:cs="Arial"/>
          <w:szCs w:val="22"/>
        </w:rPr>
        <w:tab/>
      </w:r>
      <w:r w:rsidR="00A22730">
        <w:rPr>
          <w:szCs w:val="22"/>
        </w:rPr>
        <w:t>A number of reports were</w:t>
      </w:r>
      <w:r w:rsidR="00D879CD">
        <w:rPr>
          <w:szCs w:val="22"/>
        </w:rPr>
        <w:t xml:space="preserve"> brought to this Committee</w:t>
      </w:r>
      <w:r w:rsidR="00F64221">
        <w:rPr>
          <w:szCs w:val="22"/>
        </w:rPr>
        <w:t xml:space="preserve"> during 2016 identifying the need for the Council to enhance the returns from its </w:t>
      </w:r>
      <w:r w:rsidR="00CE2118">
        <w:rPr>
          <w:szCs w:val="22"/>
        </w:rPr>
        <w:t xml:space="preserve">existing </w:t>
      </w:r>
      <w:r w:rsidR="00F64221">
        <w:rPr>
          <w:szCs w:val="22"/>
        </w:rPr>
        <w:t>asset and financial resources</w:t>
      </w:r>
      <w:r w:rsidR="00CE2118">
        <w:rPr>
          <w:szCs w:val="22"/>
        </w:rPr>
        <w:t>,</w:t>
      </w:r>
      <w:r w:rsidR="00F64221">
        <w:rPr>
          <w:szCs w:val="22"/>
        </w:rPr>
        <w:t xml:space="preserve"> and the merits of investing in the wider property market</w:t>
      </w:r>
      <w:r w:rsidR="00A22730">
        <w:rPr>
          <w:szCs w:val="22"/>
        </w:rPr>
        <w:t xml:space="preserve"> to achieve this. More recently</w:t>
      </w:r>
      <w:r w:rsidR="00843D90">
        <w:rPr>
          <w:szCs w:val="22"/>
        </w:rPr>
        <w:t>,</w:t>
      </w:r>
      <w:r w:rsidR="00F64221">
        <w:rPr>
          <w:szCs w:val="22"/>
        </w:rPr>
        <w:t xml:space="preserve"> a report to the 27 February</w:t>
      </w:r>
      <w:r w:rsidR="00A22730">
        <w:rPr>
          <w:szCs w:val="22"/>
        </w:rPr>
        <w:t xml:space="preserve"> 2017 P&amp;R Committee</w:t>
      </w:r>
      <w:r w:rsidR="00F64221">
        <w:rPr>
          <w:szCs w:val="22"/>
        </w:rPr>
        <w:t xml:space="preserve"> set out the strategy</w:t>
      </w:r>
      <w:r w:rsidR="00A22730">
        <w:rPr>
          <w:szCs w:val="22"/>
        </w:rPr>
        <w:t xml:space="preserve"> that was proposed</w:t>
      </w:r>
      <w:r w:rsidR="00CE2118">
        <w:rPr>
          <w:szCs w:val="22"/>
        </w:rPr>
        <w:t xml:space="preserve">, and that </w:t>
      </w:r>
      <w:r w:rsidR="00F64221">
        <w:rPr>
          <w:szCs w:val="22"/>
        </w:rPr>
        <w:t xml:space="preserve">was </w:t>
      </w:r>
      <w:r w:rsidR="00A22730">
        <w:rPr>
          <w:szCs w:val="22"/>
        </w:rPr>
        <w:t xml:space="preserve">duly </w:t>
      </w:r>
      <w:r w:rsidR="00F64221">
        <w:rPr>
          <w:szCs w:val="22"/>
        </w:rPr>
        <w:t>agreed.</w:t>
      </w:r>
      <w:r w:rsidR="00B65EB3" w:rsidRPr="00B65EB3">
        <w:rPr>
          <w:szCs w:val="22"/>
        </w:rPr>
        <w:t xml:space="preserve"> </w:t>
      </w:r>
    </w:p>
    <w:p w:rsidR="005B49C8" w:rsidRDefault="005B49C8" w:rsidP="00B65EB3">
      <w:pPr>
        <w:ind w:left="1260" w:hanging="1260"/>
        <w:rPr>
          <w:szCs w:val="22"/>
        </w:rPr>
      </w:pPr>
    </w:p>
    <w:p w:rsidR="00B65EB3" w:rsidRDefault="00B65EB3" w:rsidP="0080549E">
      <w:pPr>
        <w:ind w:left="1260" w:hanging="1260"/>
        <w:rPr>
          <w:szCs w:val="22"/>
        </w:rPr>
      </w:pPr>
      <w:r>
        <w:rPr>
          <w:szCs w:val="22"/>
        </w:rPr>
        <w:t>2.2</w:t>
      </w:r>
      <w:r>
        <w:rPr>
          <w:szCs w:val="22"/>
        </w:rPr>
        <w:tab/>
      </w:r>
      <w:r w:rsidR="00F64221">
        <w:rPr>
          <w:szCs w:val="22"/>
        </w:rPr>
        <w:t xml:space="preserve">That </w:t>
      </w:r>
      <w:r w:rsidR="00553FAD">
        <w:rPr>
          <w:szCs w:val="22"/>
        </w:rPr>
        <w:t xml:space="preserve">same </w:t>
      </w:r>
      <w:r w:rsidR="00F64221">
        <w:rPr>
          <w:szCs w:val="22"/>
        </w:rPr>
        <w:t xml:space="preserve">Committee also considered proposals for the governance arrangements </w:t>
      </w:r>
      <w:r w:rsidR="00A22730">
        <w:rPr>
          <w:szCs w:val="22"/>
        </w:rPr>
        <w:t xml:space="preserve">necessary </w:t>
      </w:r>
      <w:r w:rsidR="00F64221">
        <w:rPr>
          <w:szCs w:val="22"/>
        </w:rPr>
        <w:t>for the st</w:t>
      </w:r>
      <w:r w:rsidR="00C5768B">
        <w:rPr>
          <w:szCs w:val="22"/>
        </w:rPr>
        <w:t>ructures</w:t>
      </w:r>
      <w:r w:rsidR="00A22730">
        <w:rPr>
          <w:szCs w:val="22"/>
        </w:rPr>
        <w:t xml:space="preserve"> needed</w:t>
      </w:r>
      <w:r w:rsidR="00F64221">
        <w:rPr>
          <w:szCs w:val="22"/>
        </w:rPr>
        <w:t xml:space="preserve"> to implement and oversee the</w:t>
      </w:r>
      <w:r w:rsidR="00A22730">
        <w:rPr>
          <w:szCs w:val="22"/>
        </w:rPr>
        <w:t xml:space="preserve"> </w:t>
      </w:r>
      <w:r w:rsidR="00464375">
        <w:rPr>
          <w:szCs w:val="22"/>
        </w:rPr>
        <w:t xml:space="preserve">property investment </w:t>
      </w:r>
      <w:r w:rsidR="00A22730">
        <w:rPr>
          <w:szCs w:val="22"/>
        </w:rPr>
        <w:t xml:space="preserve">activity. The conclusion was that Officers were to further develop the proposals for consideration </w:t>
      </w:r>
      <w:r w:rsidR="0074100E">
        <w:rPr>
          <w:szCs w:val="22"/>
        </w:rPr>
        <w:t>by</w:t>
      </w:r>
      <w:r w:rsidR="00A22730">
        <w:rPr>
          <w:szCs w:val="22"/>
        </w:rPr>
        <w:t xml:space="preserve"> this Committee and </w:t>
      </w:r>
      <w:r w:rsidR="00B61885">
        <w:rPr>
          <w:szCs w:val="22"/>
        </w:rPr>
        <w:t xml:space="preserve">for this Committee to make </w:t>
      </w:r>
      <w:r w:rsidR="00A22730">
        <w:rPr>
          <w:szCs w:val="22"/>
        </w:rPr>
        <w:t>recommendation</w:t>
      </w:r>
      <w:r w:rsidR="00553FAD">
        <w:rPr>
          <w:szCs w:val="22"/>
        </w:rPr>
        <w:t>s</w:t>
      </w:r>
      <w:r w:rsidR="00A22730">
        <w:rPr>
          <w:szCs w:val="22"/>
        </w:rPr>
        <w:t xml:space="preserve"> to </w:t>
      </w:r>
      <w:r w:rsidR="00553FAD">
        <w:rPr>
          <w:szCs w:val="22"/>
        </w:rPr>
        <w:t xml:space="preserve">Full </w:t>
      </w:r>
      <w:r w:rsidR="00A22730">
        <w:rPr>
          <w:szCs w:val="22"/>
        </w:rPr>
        <w:t>Council.</w:t>
      </w:r>
      <w:r w:rsidR="00BA5B89">
        <w:rPr>
          <w:szCs w:val="22"/>
        </w:rPr>
        <w:t xml:space="preserve"> </w:t>
      </w:r>
    </w:p>
    <w:p w:rsidR="00B65EB3" w:rsidRDefault="00B65EB3" w:rsidP="00B65EB3">
      <w:pPr>
        <w:ind w:left="1260" w:hanging="1260"/>
        <w:rPr>
          <w:szCs w:val="22"/>
        </w:rPr>
      </w:pPr>
    </w:p>
    <w:p w:rsidR="00230D19" w:rsidRPr="0080549E" w:rsidRDefault="00B65EB3" w:rsidP="00230D19">
      <w:pPr>
        <w:ind w:left="1260" w:hanging="1260"/>
        <w:rPr>
          <w:szCs w:val="22"/>
        </w:rPr>
      </w:pPr>
      <w:r>
        <w:rPr>
          <w:szCs w:val="22"/>
        </w:rPr>
        <w:t>2.3</w:t>
      </w:r>
      <w:r>
        <w:rPr>
          <w:szCs w:val="22"/>
        </w:rPr>
        <w:tab/>
      </w:r>
      <w:r w:rsidR="00FF5683">
        <w:rPr>
          <w:szCs w:val="22"/>
        </w:rPr>
        <w:t>This report provides detail of the governance methodology</w:t>
      </w:r>
      <w:r w:rsidR="00DF23A5">
        <w:rPr>
          <w:szCs w:val="22"/>
        </w:rPr>
        <w:t xml:space="preserve"> &amp; hierarchy</w:t>
      </w:r>
      <w:r w:rsidR="00FF5683">
        <w:rPr>
          <w:szCs w:val="22"/>
        </w:rPr>
        <w:t xml:space="preserve"> and provides examples of how a typical project wou</w:t>
      </w:r>
      <w:r w:rsidR="00DF23A5">
        <w:rPr>
          <w:szCs w:val="22"/>
        </w:rPr>
        <w:t xml:space="preserve">ld flow through the </w:t>
      </w:r>
      <w:r w:rsidR="00FF5683">
        <w:rPr>
          <w:szCs w:val="22"/>
        </w:rPr>
        <w:t>processes</w:t>
      </w:r>
      <w:r w:rsidR="00DF23A5">
        <w:rPr>
          <w:szCs w:val="22"/>
        </w:rPr>
        <w:t xml:space="preserve"> as envisaged.</w:t>
      </w:r>
      <w:r w:rsidR="00230D19" w:rsidRPr="00230D19">
        <w:rPr>
          <w:szCs w:val="22"/>
        </w:rPr>
        <w:t xml:space="preserve"> </w:t>
      </w:r>
      <w:r w:rsidR="00230D19">
        <w:rPr>
          <w:szCs w:val="22"/>
        </w:rPr>
        <w:t>Additionally the core documents needed to establish the operating compani</w:t>
      </w:r>
      <w:r w:rsidR="00C5768B">
        <w:rPr>
          <w:szCs w:val="22"/>
        </w:rPr>
        <w:t xml:space="preserve">es are presented </w:t>
      </w:r>
      <w:r w:rsidR="00FC51A2">
        <w:rPr>
          <w:szCs w:val="22"/>
        </w:rPr>
        <w:t>for consideration by the Committee</w:t>
      </w:r>
      <w:r w:rsidR="00230D19">
        <w:rPr>
          <w:szCs w:val="22"/>
        </w:rPr>
        <w:t>.</w:t>
      </w:r>
    </w:p>
    <w:p w:rsidR="00B65EB3" w:rsidRDefault="00B65EB3" w:rsidP="00230D19">
      <w:pPr>
        <w:rPr>
          <w:szCs w:val="22"/>
        </w:rPr>
      </w:pPr>
    </w:p>
    <w:p w:rsidR="00E70FF5" w:rsidRDefault="00B65EB3" w:rsidP="00230D19">
      <w:pPr>
        <w:ind w:left="1260" w:hanging="1260"/>
        <w:rPr>
          <w:rFonts w:ascii="Calibri" w:eastAsia="Calibri" w:hAnsi="Calibri"/>
          <w:sz w:val="24"/>
          <w:szCs w:val="24"/>
          <w:lang w:eastAsia="en-US"/>
        </w:rPr>
      </w:pPr>
      <w:r>
        <w:rPr>
          <w:szCs w:val="22"/>
        </w:rPr>
        <w:t>2.4</w:t>
      </w:r>
      <w:r>
        <w:rPr>
          <w:szCs w:val="22"/>
        </w:rPr>
        <w:tab/>
      </w:r>
      <w:r w:rsidR="00230D19">
        <w:rPr>
          <w:szCs w:val="22"/>
        </w:rPr>
        <w:t xml:space="preserve">As background information and to set the context for the </w:t>
      </w:r>
      <w:r w:rsidR="00365417">
        <w:rPr>
          <w:szCs w:val="22"/>
        </w:rPr>
        <w:t xml:space="preserve">property investment </w:t>
      </w:r>
      <w:r w:rsidR="00230D19">
        <w:rPr>
          <w:szCs w:val="22"/>
        </w:rPr>
        <w:t>project</w:t>
      </w:r>
      <w:r w:rsidR="00365417">
        <w:rPr>
          <w:szCs w:val="22"/>
        </w:rPr>
        <w:t>s</w:t>
      </w:r>
      <w:r w:rsidR="00C5768B">
        <w:rPr>
          <w:szCs w:val="22"/>
        </w:rPr>
        <w:t>,</w:t>
      </w:r>
      <w:r w:rsidR="00230D19">
        <w:rPr>
          <w:szCs w:val="22"/>
        </w:rPr>
        <w:t xml:space="preserve"> it is worth repeating that</w:t>
      </w:r>
      <w:r w:rsidR="00230D19" w:rsidRPr="00230D19">
        <w:rPr>
          <w:szCs w:val="22"/>
        </w:rPr>
        <w:t xml:space="preserve"> </w:t>
      </w:r>
      <w:r w:rsidR="00365417">
        <w:rPr>
          <w:szCs w:val="22"/>
        </w:rPr>
        <w:t xml:space="preserve">the </w:t>
      </w:r>
      <w:r w:rsidR="00230D19">
        <w:rPr>
          <w:szCs w:val="22"/>
        </w:rPr>
        <w:t xml:space="preserve">investment </w:t>
      </w:r>
      <w:r w:rsidR="00230D19" w:rsidRPr="002B7760">
        <w:rPr>
          <w:szCs w:val="22"/>
        </w:rPr>
        <w:t>opportunities will be primarily sourced from an area w</w:t>
      </w:r>
      <w:r w:rsidR="00C5768B">
        <w:rPr>
          <w:szCs w:val="22"/>
        </w:rPr>
        <w:t>hich is within or close to TRDC. This is</w:t>
      </w:r>
      <w:r w:rsidR="00230D19" w:rsidRPr="002B7760">
        <w:rPr>
          <w:szCs w:val="22"/>
        </w:rPr>
        <w:t xml:space="preserve"> in order that the Council’s local knowledge and interests are best utilised and that benefits accrue to the local economy. However</w:t>
      </w:r>
      <w:r w:rsidR="00843D90">
        <w:rPr>
          <w:szCs w:val="22"/>
        </w:rPr>
        <w:t>,</w:t>
      </w:r>
      <w:r w:rsidR="00230D19" w:rsidRPr="002B7760">
        <w:rPr>
          <w:szCs w:val="22"/>
        </w:rPr>
        <w:t xml:space="preserve"> in appropriate circumstances, opportunities outside that core area will be considered</w:t>
      </w:r>
      <w:r w:rsidR="00230D19" w:rsidRPr="002B7760">
        <w:rPr>
          <w:rFonts w:ascii="Calibri" w:eastAsia="Calibri" w:hAnsi="Calibri"/>
          <w:sz w:val="24"/>
          <w:szCs w:val="24"/>
          <w:lang w:eastAsia="en-US"/>
        </w:rPr>
        <w:t>.</w:t>
      </w:r>
    </w:p>
    <w:p w:rsidR="00230D19" w:rsidRPr="00230D19" w:rsidRDefault="00230D19" w:rsidP="00230D19">
      <w:pPr>
        <w:ind w:left="1260" w:hanging="1260"/>
        <w:rPr>
          <w:rFonts w:ascii="Calibri" w:eastAsia="Calibri" w:hAnsi="Calibri"/>
          <w:sz w:val="24"/>
          <w:szCs w:val="24"/>
          <w:lang w:eastAsia="en-US"/>
        </w:rPr>
      </w:pPr>
    </w:p>
    <w:p w:rsidR="00B73A3B" w:rsidRDefault="00B65EB3" w:rsidP="005B49C8">
      <w:pPr>
        <w:ind w:left="1260" w:hanging="1260"/>
        <w:rPr>
          <w:szCs w:val="22"/>
        </w:rPr>
      </w:pPr>
      <w:r>
        <w:rPr>
          <w:rFonts w:cs="Arial"/>
          <w:szCs w:val="22"/>
        </w:rPr>
        <w:t>2.5</w:t>
      </w:r>
      <w:r w:rsidR="00E70FF5" w:rsidRPr="00F3583B">
        <w:rPr>
          <w:rFonts w:cs="Arial"/>
          <w:szCs w:val="22"/>
        </w:rPr>
        <w:tab/>
      </w:r>
      <w:r w:rsidR="00230D19">
        <w:rPr>
          <w:szCs w:val="22"/>
        </w:rPr>
        <w:t xml:space="preserve">It is also worthy of note that whilst the principles of property investment are common across the </w:t>
      </w:r>
      <w:r w:rsidR="00B73A3B">
        <w:rPr>
          <w:szCs w:val="22"/>
        </w:rPr>
        <w:t xml:space="preserve">various </w:t>
      </w:r>
      <w:r w:rsidR="00365417">
        <w:rPr>
          <w:szCs w:val="22"/>
        </w:rPr>
        <w:t>sectors, each opportunity must</w:t>
      </w:r>
      <w:r w:rsidR="00230D19">
        <w:rPr>
          <w:szCs w:val="22"/>
        </w:rPr>
        <w:t xml:space="preserve"> be assessed on its own merits</w:t>
      </w:r>
      <w:r w:rsidR="0074100E">
        <w:rPr>
          <w:szCs w:val="22"/>
        </w:rPr>
        <w:t xml:space="preserve"> and against the Council’s approved investment strategy</w:t>
      </w:r>
      <w:r w:rsidR="00465CD8">
        <w:rPr>
          <w:szCs w:val="22"/>
        </w:rPr>
        <w:t xml:space="preserve"> with the appropriate business case/due diligence exercise undertaken</w:t>
      </w:r>
      <w:r w:rsidR="00DB6D7B">
        <w:rPr>
          <w:szCs w:val="22"/>
        </w:rPr>
        <w:t>. Accordingly</w:t>
      </w:r>
      <w:r w:rsidR="00230D19">
        <w:rPr>
          <w:szCs w:val="22"/>
        </w:rPr>
        <w:t xml:space="preserve"> the appropriate level of governance w</w:t>
      </w:r>
      <w:r w:rsidR="00B73A3B">
        <w:rPr>
          <w:szCs w:val="22"/>
        </w:rPr>
        <w:t>ill be closely involved with each</w:t>
      </w:r>
      <w:r w:rsidR="00230D19">
        <w:rPr>
          <w:szCs w:val="22"/>
        </w:rPr>
        <w:t xml:space="preserve"> proposal</w:t>
      </w:r>
      <w:r w:rsidR="0083708A">
        <w:rPr>
          <w:szCs w:val="22"/>
        </w:rPr>
        <w:t>,</w:t>
      </w:r>
      <w:r w:rsidR="00230D19">
        <w:rPr>
          <w:szCs w:val="22"/>
        </w:rPr>
        <w:t xml:space="preserve"> as it is </w:t>
      </w:r>
      <w:r w:rsidR="004501BE">
        <w:rPr>
          <w:szCs w:val="22"/>
        </w:rPr>
        <w:t>progressed</w:t>
      </w:r>
      <w:r w:rsidR="00230D19">
        <w:rPr>
          <w:szCs w:val="22"/>
        </w:rPr>
        <w:t>.</w:t>
      </w:r>
    </w:p>
    <w:p w:rsidR="00B73A3B" w:rsidRDefault="00B73A3B" w:rsidP="005B49C8">
      <w:pPr>
        <w:ind w:left="1260" w:hanging="1260"/>
        <w:rPr>
          <w:szCs w:val="22"/>
        </w:rPr>
      </w:pPr>
    </w:p>
    <w:p w:rsidR="00B73A3B" w:rsidRDefault="00B73A3B" w:rsidP="00B73A3B">
      <w:pPr>
        <w:ind w:left="1260" w:hanging="1260"/>
        <w:rPr>
          <w:szCs w:val="22"/>
        </w:rPr>
      </w:pPr>
      <w:r>
        <w:rPr>
          <w:szCs w:val="22"/>
        </w:rPr>
        <w:t>2.6</w:t>
      </w:r>
      <w:r>
        <w:rPr>
          <w:szCs w:val="22"/>
        </w:rPr>
        <w:tab/>
      </w:r>
      <w:r w:rsidRPr="002B7760">
        <w:rPr>
          <w:szCs w:val="22"/>
        </w:rPr>
        <w:t xml:space="preserve">The expectation is that the funding for this strategy will be derived from </w:t>
      </w:r>
      <w:r w:rsidR="00D1006D" w:rsidRPr="002B7760">
        <w:rPr>
          <w:szCs w:val="22"/>
        </w:rPr>
        <w:t>the</w:t>
      </w:r>
      <w:r w:rsidRPr="002B7760">
        <w:rPr>
          <w:szCs w:val="22"/>
        </w:rPr>
        <w:t xml:space="preserve"> Council’s own resources, or funds borrowed from external sources</w:t>
      </w:r>
      <w:r w:rsidR="00837418">
        <w:rPr>
          <w:szCs w:val="22"/>
        </w:rPr>
        <w:t xml:space="preserve"> or through joint ventures with partnering organisations</w:t>
      </w:r>
      <w:r w:rsidRPr="002B7760">
        <w:rPr>
          <w:szCs w:val="22"/>
        </w:rPr>
        <w:t xml:space="preserve">. Decisions on the funding of </w:t>
      </w:r>
      <w:r w:rsidR="00365417">
        <w:rPr>
          <w:szCs w:val="22"/>
        </w:rPr>
        <w:t xml:space="preserve">individual </w:t>
      </w:r>
      <w:r w:rsidRPr="002B7760">
        <w:rPr>
          <w:szCs w:val="22"/>
        </w:rPr>
        <w:t xml:space="preserve">schemes will be taken as each opportunity is brought forward. Such investment activity would be transacted </w:t>
      </w:r>
      <w:r w:rsidR="00FC51A2">
        <w:rPr>
          <w:szCs w:val="22"/>
        </w:rPr>
        <w:t>either directly by the Council</w:t>
      </w:r>
      <w:r w:rsidR="003C6156">
        <w:rPr>
          <w:szCs w:val="22"/>
        </w:rPr>
        <w:t xml:space="preserve"> (Direct Activity)</w:t>
      </w:r>
      <w:r w:rsidR="00FC51A2">
        <w:rPr>
          <w:szCs w:val="22"/>
        </w:rPr>
        <w:t xml:space="preserve"> </w:t>
      </w:r>
      <w:r w:rsidRPr="002B7760">
        <w:rPr>
          <w:szCs w:val="22"/>
        </w:rPr>
        <w:t>or</w:t>
      </w:r>
      <w:r w:rsidR="00FC51A2">
        <w:rPr>
          <w:szCs w:val="22"/>
        </w:rPr>
        <w:t xml:space="preserve"> through a </w:t>
      </w:r>
      <w:r w:rsidRPr="002B7760">
        <w:rPr>
          <w:szCs w:val="22"/>
        </w:rPr>
        <w:t xml:space="preserve">specifically formed </w:t>
      </w:r>
      <w:r w:rsidR="00C5768B">
        <w:rPr>
          <w:szCs w:val="22"/>
        </w:rPr>
        <w:t xml:space="preserve">trading </w:t>
      </w:r>
      <w:r w:rsidRPr="002B7760">
        <w:rPr>
          <w:szCs w:val="22"/>
        </w:rPr>
        <w:t>company (TradCo).</w:t>
      </w:r>
      <w:r w:rsidR="00EC2AA9">
        <w:rPr>
          <w:szCs w:val="22"/>
        </w:rPr>
        <w:t xml:space="preserve">  On 27 February 2017, this Committee also considered a report regarding a</w:t>
      </w:r>
      <w:r w:rsidR="00DD1BE4">
        <w:rPr>
          <w:szCs w:val="22"/>
        </w:rPr>
        <w:t xml:space="preserve"> property</w:t>
      </w:r>
      <w:r w:rsidR="00EC2AA9">
        <w:rPr>
          <w:szCs w:val="22"/>
        </w:rPr>
        <w:t xml:space="preserve"> </w:t>
      </w:r>
      <w:r w:rsidR="00EC2AA9">
        <w:rPr>
          <w:szCs w:val="22"/>
        </w:rPr>
        <w:lastRenderedPageBreak/>
        <w:t>joint venture with Watford Community Housing Trust</w:t>
      </w:r>
      <w:r w:rsidR="00DD1BE4">
        <w:rPr>
          <w:szCs w:val="22"/>
        </w:rPr>
        <w:t xml:space="preserve"> (</w:t>
      </w:r>
      <w:r w:rsidR="0030623D">
        <w:rPr>
          <w:szCs w:val="22"/>
        </w:rPr>
        <w:t>WCHT</w:t>
      </w:r>
      <w:r w:rsidR="00DD1BE4">
        <w:rPr>
          <w:szCs w:val="22"/>
        </w:rPr>
        <w:t>) that would i</w:t>
      </w:r>
      <w:r w:rsidR="003C6156">
        <w:rPr>
          <w:szCs w:val="22"/>
        </w:rPr>
        <w:t xml:space="preserve">nvolve setting up two jointly owned vehicles - </w:t>
      </w:r>
      <w:r w:rsidR="00DD1BE4">
        <w:rPr>
          <w:szCs w:val="22"/>
        </w:rPr>
        <w:t>RentCo and Sale</w:t>
      </w:r>
      <w:r w:rsidR="003A4F04">
        <w:rPr>
          <w:szCs w:val="22"/>
        </w:rPr>
        <w:t xml:space="preserve"> </w:t>
      </w:r>
      <w:r w:rsidR="00DD1BE4">
        <w:rPr>
          <w:szCs w:val="22"/>
        </w:rPr>
        <w:t>LLP.</w:t>
      </w:r>
    </w:p>
    <w:p w:rsidR="00DA1796" w:rsidRDefault="00DA1796" w:rsidP="00B73A3B">
      <w:pPr>
        <w:ind w:left="1260" w:hanging="1260"/>
        <w:rPr>
          <w:szCs w:val="22"/>
        </w:rPr>
      </w:pPr>
    </w:p>
    <w:p w:rsidR="00DA1796" w:rsidRDefault="00DA1796" w:rsidP="00B73A3B">
      <w:pPr>
        <w:ind w:left="1260" w:hanging="1260"/>
        <w:rPr>
          <w:szCs w:val="22"/>
        </w:rPr>
      </w:pPr>
      <w:r>
        <w:rPr>
          <w:szCs w:val="22"/>
        </w:rPr>
        <w:t>2.7</w:t>
      </w:r>
      <w:r>
        <w:rPr>
          <w:szCs w:val="22"/>
        </w:rPr>
        <w:tab/>
        <w:t>The function and purpose of the three companies, TradCo, Sale LLP and RentCo can be summarised as follows:-</w:t>
      </w:r>
    </w:p>
    <w:p w:rsidR="00DA1796" w:rsidRDefault="00DA1796" w:rsidP="00B73A3B">
      <w:pPr>
        <w:ind w:left="1260" w:hanging="1260"/>
        <w:rPr>
          <w:szCs w:val="22"/>
        </w:rPr>
      </w:pPr>
    </w:p>
    <w:p w:rsidR="00DA1796" w:rsidRPr="0030623D" w:rsidRDefault="00DA1796" w:rsidP="0030623D">
      <w:pPr>
        <w:pStyle w:val="ListParagraph"/>
        <w:numPr>
          <w:ilvl w:val="0"/>
          <w:numId w:val="26"/>
        </w:numPr>
        <w:jc w:val="both"/>
        <w:rPr>
          <w:rFonts w:ascii="Arial" w:eastAsia="Times New Roman" w:hAnsi="Arial"/>
          <w:lang w:eastAsia="en-GB"/>
        </w:rPr>
      </w:pPr>
      <w:r w:rsidRPr="0030623D">
        <w:rPr>
          <w:rFonts w:ascii="Arial" w:eastAsia="Times New Roman" w:hAnsi="Arial"/>
          <w:lang w:eastAsia="en-GB"/>
        </w:rPr>
        <w:t xml:space="preserve">TradCo, a company solely owned by TRDC, is needed to allow the Council to undertake trading for commercial purposes, and not just those projects involving Sale LLP </w:t>
      </w:r>
      <w:r w:rsidR="004501BE">
        <w:rPr>
          <w:rFonts w:ascii="Arial" w:eastAsia="Times New Roman" w:hAnsi="Arial"/>
          <w:lang w:eastAsia="en-GB"/>
        </w:rPr>
        <w:t xml:space="preserve">as </w:t>
      </w:r>
      <w:r w:rsidRPr="0030623D">
        <w:rPr>
          <w:rFonts w:ascii="Arial" w:eastAsia="Times New Roman" w:hAnsi="Arial"/>
          <w:lang w:eastAsia="en-GB"/>
        </w:rPr>
        <w:t>below. TradCo will be a company limited by shares and can be set up under the provisions of the Localism Act 2011.</w:t>
      </w:r>
    </w:p>
    <w:p w:rsidR="00DA1796" w:rsidRDefault="00DA1796" w:rsidP="0030623D">
      <w:pPr>
        <w:pStyle w:val="ListParagraph"/>
        <w:numPr>
          <w:ilvl w:val="0"/>
          <w:numId w:val="26"/>
        </w:numPr>
        <w:jc w:val="both"/>
        <w:rPr>
          <w:rFonts w:ascii="Arial" w:hAnsi="Arial" w:cs="Arial"/>
        </w:rPr>
      </w:pPr>
      <w:r w:rsidRPr="00DA1796">
        <w:rPr>
          <w:rFonts w:ascii="Arial" w:hAnsi="Arial" w:cs="Arial"/>
        </w:rPr>
        <w:t xml:space="preserve">Sale LLP is a limited liability partnership, </w:t>
      </w:r>
      <w:r w:rsidR="004501BE">
        <w:rPr>
          <w:rFonts w:ascii="Arial" w:hAnsi="Arial" w:cs="Arial"/>
        </w:rPr>
        <w:t xml:space="preserve">and in the example of the joint venture with WCHT, </w:t>
      </w:r>
      <w:r w:rsidRPr="00DA1796">
        <w:rPr>
          <w:rFonts w:ascii="Arial" w:hAnsi="Arial" w:cs="Arial"/>
        </w:rPr>
        <w:t>the Members</w:t>
      </w:r>
      <w:r w:rsidR="004501BE">
        <w:rPr>
          <w:rFonts w:ascii="Arial" w:hAnsi="Arial" w:cs="Arial"/>
        </w:rPr>
        <w:t xml:space="preserve"> will</w:t>
      </w:r>
      <w:r w:rsidRPr="00DA1796">
        <w:rPr>
          <w:rFonts w:ascii="Arial" w:hAnsi="Arial" w:cs="Arial"/>
        </w:rPr>
        <w:t xml:space="preserve"> be TradCo, acting on behalf of TRDC, and Clarendon Living Limited a subsidiary of </w:t>
      </w:r>
      <w:r w:rsidR="004501BE">
        <w:rPr>
          <w:rFonts w:ascii="Arial" w:hAnsi="Arial" w:cs="Arial"/>
        </w:rPr>
        <w:t>WCHT</w:t>
      </w:r>
      <w:r w:rsidRPr="00DA1796">
        <w:rPr>
          <w:rFonts w:ascii="Arial" w:hAnsi="Arial" w:cs="Arial"/>
        </w:rPr>
        <w:t>. Sale LLP acts as the developer and sale entity for the joint venture.</w:t>
      </w:r>
    </w:p>
    <w:p w:rsidR="0030623D" w:rsidRPr="0030623D" w:rsidRDefault="004501BE" w:rsidP="0030623D">
      <w:pPr>
        <w:pStyle w:val="ListParagraph"/>
        <w:numPr>
          <w:ilvl w:val="0"/>
          <w:numId w:val="26"/>
        </w:numPr>
        <w:jc w:val="both"/>
        <w:rPr>
          <w:rFonts w:ascii="Arial" w:hAnsi="Arial" w:cs="Arial"/>
        </w:rPr>
      </w:pPr>
      <w:r>
        <w:rPr>
          <w:rFonts w:ascii="Arial" w:hAnsi="Arial" w:cs="Arial"/>
        </w:rPr>
        <w:t>RentCo</w:t>
      </w:r>
      <w:r w:rsidR="0030623D" w:rsidRPr="0030623D">
        <w:rPr>
          <w:rFonts w:ascii="Arial" w:hAnsi="Arial" w:cs="Arial"/>
        </w:rPr>
        <w:t xml:space="preserve"> is owned in equal proportions by the Council and WCHT (through its subsidiary company Clarendon Living Limited) and is limited by shares. RentCo is the specific trading company that will undertake longer term rental activities for joint venture projects between the Council and WCHT</w:t>
      </w:r>
      <w:r w:rsidR="0030623D">
        <w:rPr>
          <w:rFonts w:ascii="Arial" w:hAnsi="Arial" w:cs="Arial"/>
        </w:rPr>
        <w:t>.</w:t>
      </w:r>
    </w:p>
    <w:p w:rsidR="0080549E" w:rsidRDefault="00847309" w:rsidP="00847309">
      <w:pPr>
        <w:ind w:left="1260" w:hanging="1260"/>
        <w:rPr>
          <w:rFonts w:eastAsia="Calibri" w:cs="Arial"/>
          <w:szCs w:val="22"/>
          <w:lang w:eastAsia="en-US"/>
        </w:rPr>
      </w:pPr>
      <w:r>
        <w:rPr>
          <w:szCs w:val="22"/>
        </w:rPr>
        <w:t>2.</w:t>
      </w:r>
      <w:r w:rsidR="004501BE">
        <w:rPr>
          <w:szCs w:val="22"/>
        </w:rPr>
        <w:t>8</w:t>
      </w:r>
      <w:r>
        <w:rPr>
          <w:szCs w:val="22"/>
        </w:rPr>
        <w:tab/>
      </w:r>
      <w:r w:rsidRPr="004C4DA8">
        <w:rPr>
          <w:rFonts w:eastAsia="Calibri" w:cs="Arial"/>
          <w:szCs w:val="22"/>
          <w:lang w:eastAsia="en-US"/>
        </w:rPr>
        <w:t xml:space="preserve">For each </w:t>
      </w:r>
      <w:r>
        <w:rPr>
          <w:rFonts w:eastAsia="Calibri" w:cs="Arial"/>
          <w:szCs w:val="22"/>
          <w:lang w:eastAsia="en-US"/>
        </w:rPr>
        <w:t xml:space="preserve">new business </w:t>
      </w:r>
      <w:r w:rsidRPr="004C4DA8">
        <w:rPr>
          <w:rFonts w:eastAsia="Calibri" w:cs="Arial"/>
          <w:szCs w:val="22"/>
          <w:lang w:eastAsia="en-US"/>
        </w:rPr>
        <w:t>opportunity that comes forward, consider</w:t>
      </w:r>
      <w:r>
        <w:rPr>
          <w:rFonts w:eastAsia="Calibri" w:cs="Arial"/>
          <w:szCs w:val="22"/>
          <w:lang w:eastAsia="en-US"/>
        </w:rPr>
        <w:t>ation will</w:t>
      </w:r>
      <w:r w:rsidRPr="004C4DA8">
        <w:rPr>
          <w:rFonts w:eastAsia="Calibri" w:cs="Arial"/>
          <w:szCs w:val="22"/>
          <w:lang w:eastAsia="en-US"/>
        </w:rPr>
        <w:t xml:space="preserve"> be given to th</w:t>
      </w:r>
      <w:r w:rsidR="00C5768B">
        <w:rPr>
          <w:rFonts w:eastAsia="Calibri" w:cs="Arial"/>
          <w:szCs w:val="22"/>
          <w:lang w:eastAsia="en-US"/>
        </w:rPr>
        <w:t>e performance</w:t>
      </w:r>
      <w:r>
        <w:rPr>
          <w:rFonts w:eastAsia="Calibri" w:cs="Arial"/>
          <w:szCs w:val="22"/>
          <w:lang w:eastAsia="en-US"/>
        </w:rPr>
        <w:t xml:space="preserve"> of the investment prospect</w:t>
      </w:r>
      <w:r w:rsidRPr="004C4DA8">
        <w:rPr>
          <w:rFonts w:eastAsia="Calibri" w:cs="Arial"/>
          <w:szCs w:val="22"/>
          <w:lang w:eastAsia="en-US"/>
        </w:rPr>
        <w:t xml:space="preserve"> and a decision made on whet</w:t>
      </w:r>
      <w:r w:rsidR="00C5768B">
        <w:rPr>
          <w:rFonts w:eastAsia="Calibri" w:cs="Arial"/>
          <w:szCs w:val="22"/>
          <w:lang w:eastAsia="en-US"/>
        </w:rPr>
        <w:t>her the proposal is transacted through the Council or</w:t>
      </w:r>
      <w:r w:rsidRPr="004C4DA8">
        <w:rPr>
          <w:rFonts w:eastAsia="Calibri" w:cs="Arial"/>
          <w:szCs w:val="22"/>
          <w:lang w:eastAsia="en-US"/>
        </w:rPr>
        <w:t xml:space="preserve"> TradCo.  Consideration will also be given</w:t>
      </w:r>
      <w:r>
        <w:rPr>
          <w:rFonts w:eastAsia="Calibri" w:cs="Arial"/>
          <w:szCs w:val="22"/>
          <w:lang w:eastAsia="en-US"/>
        </w:rPr>
        <w:t xml:space="preserve"> in early due diligence</w:t>
      </w:r>
      <w:r w:rsidRPr="004C4DA8">
        <w:rPr>
          <w:rFonts w:eastAsia="Calibri" w:cs="Arial"/>
          <w:szCs w:val="22"/>
          <w:lang w:eastAsia="en-US"/>
        </w:rPr>
        <w:t xml:space="preserve"> to any tax and VAT issues and each proposal may require its own specific advice.</w:t>
      </w:r>
    </w:p>
    <w:p w:rsidR="003C6156" w:rsidRDefault="003C6156" w:rsidP="00847309">
      <w:pPr>
        <w:ind w:left="1260" w:hanging="1260"/>
        <w:rPr>
          <w:rFonts w:eastAsia="Calibri" w:cs="Arial"/>
          <w:szCs w:val="22"/>
          <w:lang w:eastAsia="en-US"/>
        </w:rPr>
      </w:pPr>
    </w:p>
    <w:p w:rsidR="003C6156" w:rsidRDefault="003C6156" w:rsidP="00847309">
      <w:pPr>
        <w:ind w:left="1260" w:hanging="1260"/>
        <w:rPr>
          <w:rFonts w:eastAsia="Calibri" w:cs="Arial"/>
          <w:szCs w:val="22"/>
          <w:lang w:eastAsia="en-US"/>
        </w:rPr>
      </w:pPr>
      <w:r>
        <w:rPr>
          <w:rFonts w:eastAsia="Calibri" w:cs="Arial"/>
          <w:szCs w:val="22"/>
          <w:lang w:eastAsia="en-US"/>
        </w:rPr>
        <w:t>2.</w:t>
      </w:r>
      <w:r w:rsidR="004501BE">
        <w:rPr>
          <w:rFonts w:eastAsia="Calibri" w:cs="Arial"/>
          <w:szCs w:val="22"/>
          <w:lang w:eastAsia="en-US"/>
        </w:rPr>
        <w:t>9</w:t>
      </w:r>
      <w:r>
        <w:rPr>
          <w:rFonts w:eastAsia="Calibri" w:cs="Arial"/>
          <w:szCs w:val="22"/>
          <w:lang w:eastAsia="en-US"/>
        </w:rPr>
        <w:tab/>
        <w:t>Where the Council proposes to act for commercial purposes or trade</w:t>
      </w:r>
      <w:r w:rsidR="00DB6D7B">
        <w:rPr>
          <w:rFonts w:eastAsia="Calibri" w:cs="Arial"/>
          <w:szCs w:val="22"/>
          <w:lang w:eastAsia="en-US"/>
        </w:rPr>
        <w:t>,</w:t>
      </w:r>
      <w:r>
        <w:rPr>
          <w:rFonts w:eastAsia="Calibri" w:cs="Arial"/>
          <w:szCs w:val="22"/>
          <w:lang w:eastAsia="en-US"/>
        </w:rPr>
        <w:t xml:space="preserve"> a business </w:t>
      </w:r>
      <w:r w:rsidR="00555CC7">
        <w:rPr>
          <w:rFonts w:eastAsia="Calibri" w:cs="Arial"/>
          <w:szCs w:val="22"/>
          <w:lang w:eastAsia="en-US"/>
        </w:rPr>
        <w:t xml:space="preserve">case </w:t>
      </w:r>
      <w:r w:rsidR="0074100E">
        <w:rPr>
          <w:rFonts w:eastAsia="Calibri" w:cs="Arial"/>
          <w:szCs w:val="22"/>
          <w:lang w:eastAsia="en-US"/>
        </w:rPr>
        <w:t xml:space="preserve">covering the different commercial/trading activity </w:t>
      </w:r>
      <w:r>
        <w:rPr>
          <w:rFonts w:eastAsia="Calibri" w:cs="Arial"/>
          <w:szCs w:val="22"/>
          <w:lang w:eastAsia="en-US"/>
        </w:rPr>
        <w:t xml:space="preserve">needs to be developed and approved </w:t>
      </w:r>
      <w:r w:rsidR="0074100E">
        <w:rPr>
          <w:rFonts w:eastAsia="Calibri" w:cs="Arial"/>
          <w:szCs w:val="22"/>
          <w:lang w:eastAsia="en-US"/>
        </w:rPr>
        <w:t>in advance</w:t>
      </w:r>
      <w:r>
        <w:rPr>
          <w:rFonts w:eastAsia="Calibri" w:cs="Arial"/>
          <w:szCs w:val="22"/>
          <w:lang w:eastAsia="en-US"/>
        </w:rPr>
        <w:t>.</w:t>
      </w:r>
      <w:r w:rsidR="00F82AB3">
        <w:rPr>
          <w:rFonts w:eastAsia="Calibri" w:cs="Arial"/>
          <w:szCs w:val="22"/>
          <w:lang w:eastAsia="en-US"/>
        </w:rPr>
        <w:t xml:space="preserve">  This could be in the form of a single business case </w:t>
      </w:r>
      <w:r w:rsidR="00B61885">
        <w:rPr>
          <w:rFonts w:eastAsia="Calibri" w:cs="Arial"/>
          <w:szCs w:val="22"/>
          <w:lang w:eastAsia="en-US"/>
        </w:rPr>
        <w:t xml:space="preserve">covering </w:t>
      </w:r>
      <w:r w:rsidR="00F82AB3">
        <w:rPr>
          <w:rFonts w:eastAsia="Calibri" w:cs="Arial"/>
          <w:szCs w:val="22"/>
          <w:lang w:eastAsia="en-US"/>
        </w:rPr>
        <w:t>all of the commercial/trading activity proposed at the time.</w:t>
      </w:r>
    </w:p>
    <w:p w:rsidR="002B7760" w:rsidRDefault="002B776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2B7760" w:rsidRPr="00096F7E" w:rsidRDefault="00892CC6" w:rsidP="002B7760">
      <w:pPr>
        <w:tabs>
          <w:tab w:val="clear" w:pos="1260"/>
          <w:tab w:val="clear" w:pos="1980"/>
          <w:tab w:val="clear" w:pos="2700"/>
          <w:tab w:val="clear" w:pos="3420"/>
        </w:tabs>
        <w:spacing w:after="200" w:line="276" w:lineRule="auto"/>
        <w:ind w:left="1260"/>
        <w:contextualSpacing/>
        <w:jc w:val="left"/>
        <w:rPr>
          <w:rFonts w:eastAsia="Calibri" w:cs="Arial"/>
          <w:b/>
          <w:i/>
          <w:szCs w:val="22"/>
          <w:lang w:eastAsia="en-US"/>
        </w:rPr>
      </w:pPr>
      <w:r w:rsidRPr="00096F7E">
        <w:rPr>
          <w:rFonts w:eastAsia="Calibri" w:cs="Arial"/>
          <w:b/>
          <w:i/>
          <w:szCs w:val="22"/>
          <w:lang w:eastAsia="en-US"/>
        </w:rPr>
        <w:t>Governance</w:t>
      </w:r>
    </w:p>
    <w:p w:rsidR="002B7760" w:rsidRDefault="002B776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CB30AD" w:rsidRDefault="00847309" w:rsidP="005B49C8">
      <w:pPr>
        <w:ind w:left="1260" w:hanging="1260"/>
        <w:rPr>
          <w:rFonts w:eastAsia="Calibri" w:cs="Arial"/>
          <w:szCs w:val="22"/>
          <w:lang w:eastAsia="en-US"/>
        </w:rPr>
      </w:pPr>
      <w:r>
        <w:rPr>
          <w:rFonts w:eastAsia="Calibri" w:cs="Arial"/>
          <w:szCs w:val="22"/>
          <w:lang w:eastAsia="en-US"/>
        </w:rPr>
        <w:t>2.</w:t>
      </w:r>
      <w:r w:rsidR="004501BE">
        <w:rPr>
          <w:rFonts w:eastAsia="Calibri" w:cs="Arial"/>
          <w:szCs w:val="22"/>
          <w:lang w:eastAsia="en-US"/>
        </w:rPr>
        <w:t>10</w:t>
      </w:r>
      <w:r w:rsidR="002B7760">
        <w:rPr>
          <w:rFonts w:eastAsia="Calibri" w:cs="Arial"/>
          <w:szCs w:val="22"/>
          <w:lang w:eastAsia="en-US"/>
        </w:rPr>
        <w:tab/>
      </w:r>
      <w:r w:rsidR="00892CC6">
        <w:rPr>
          <w:rFonts w:eastAsia="Calibri" w:cs="Arial"/>
          <w:szCs w:val="22"/>
          <w:lang w:eastAsia="en-US"/>
        </w:rPr>
        <w:t>It is intended that governance of the property inve</w:t>
      </w:r>
      <w:r w:rsidR="00C5768B">
        <w:rPr>
          <w:rFonts w:eastAsia="Calibri" w:cs="Arial"/>
          <w:szCs w:val="22"/>
          <w:lang w:eastAsia="en-US"/>
        </w:rPr>
        <w:t>stment activity will be at several different</w:t>
      </w:r>
      <w:r w:rsidR="00892CC6">
        <w:rPr>
          <w:rFonts w:eastAsia="Calibri" w:cs="Arial"/>
          <w:szCs w:val="22"/>
          <w:lang w:eastAsia="en-US"/>
        </w:rPr>
        <w:t xml:space="preserve"> levels</w:t>
      </w:r>
      <w:r w:rsidR="00F12A39">
        <w:rPr>
          <w:rFonts w:eastAsia="Calibri" w:cs="Arial"/>
          <w:szCs w:val="22"/>
          <w:lang w:eastAsia="en-US"/>
        </w:rPr>
        <w:t xml:space="preserve">.  </w:t>
      </w:r>
      <w:r w:rsidR="007964F0">
        <w:rPr>
          <w:rFonts w:eastAsia="Calibri" w:cs="Arial"/>
          <w:szCs w:val="22"/>
          <w:lang w:eastAsia="en-US"/>
        </w:rPr>
        <w:t>In summary</w:t>
      </w:r>
      <w:r w:rsidR="00CB30AD">
        <w:rPr>
          <w:rFonts w:eastAsia="Calibri" w:cs="Arial"/>
          <w:szCs w:val="22"/>
          <w:lang w:eastAsia="en-US"/>
        </w:rPr>
        <w:t xml:space="preserve"> it is proposed that:</w:t>
      </w:r>
    </w:p>
    <w:p w:rsidR="00CB30AD" w:rsidRDefault="00CB30AD" w:rsidP="005B49C8">
      <w:pPr>
        <w:ind w:left="1260" w:hanging="1260"/>
        <w:rPr>
          <w:rFonts w:eastAsia="Calibri" w:cs="Arial"/>
          <w:szCs w:val="22"/>
          <w:lang w:eastAsia="en-US"/>
        </w:rPr>
      </w:pPr>
    </w:p>
    <w:p w:rsidR="000825D0" w:rsidRDefault="00CB30AD" w:rsidP="003A4F04">
      <w:pPr>
        <w:ind w:left="1260"/>
        <w:rPr>
          <w:rFonts w:eastAsia="Calibri" w:cs="Arial"/>
          <w:szCs w:val="22"/>
          <w:lang w:eastAsia="en-US"/>
        </w:rPr>
      </w:pPr>
      <w:r w:rsidRPr="004D4F8C">
        <w:rPr>
          <w:rFonts w:eastAsia="Calibri" w:cs="Arial"/>
          <w:szCs w:val="22"/>
          <w:u w:val="single"/>
          <w:lang w:eastAsia="en-US"/>
        </w:rPr>
        <w:t>Direct Activity</w:t>
      </w:r>
      <w:r>
        <w:rPr>
          <w:rFonts w:eastAsia="Calibri" w:cs="Arial"/>
          <w:szCs w:val="22"/>
          <w:lang w:eastAsia="en-US"/>
        </w:rPr>
        <w:t xml:space="preserve"> – will be managed through the Policy and Resources Committee with delegations to officers</w:t>
      </w:r>
      <w:r w:rsidR="00D33376">
        <w:rPr>
          <w:rFonts w:eastAsia="Calibri" w:cs="Arial"/>
          <w:szCs w:val="22"/>
          <w:lang w:eastAsia="en-US"/>
        </w:rPr>
        <w:t xml:space="preserve"> (including the </w:t>
      </w:r>
      <w:r w:rsidR="00E21071">
        <w:rPr>
          <w:rFonts w:eastAsia="Calibri" w:cs="Arial"/>
          <w:szCs w:val="22"/>
          <w:lang w:eastAsia="en-US"/>
        </w:rPr>
        <w:t xml:space="preserve">officer </w:t>
      </w:r>
      <w:r w:rsidR="00D33376">
        <w:rPr>
          <w:rFonts w:eastAsia="Calibri" w:cs="Arial"/>
          <w:szCs w:val="22"/>
          <w:lang w:eastAsia="en-US"/>
        </w:rPr>
        <w:t>chair of the new Property Investment Board)</w:t>
      </w:r>
      <w:r>
        <w:rPr>
          <w:rFonts w:eastAsia="Calibri" w:cs="Arial"/>
          <w:szCs w:val="22"/>
          <w:lang w:eastAsia="en-US"/>
        </w:rPr>
        <w:t xml:space="preserve"> for operational/day to day decisions.</w:t>
      </w:r>
      <w:r w:rsidR="00283E93">
        <w:rPr>
          <w:rFonts w:eastAsia="Calibri" w:cs="Arial"/>
          <w:szCs w:val="22"/>
          <w:lang w:eastAsia="en-US"/>
        </w:rPr>
        <w:t xml:space="preserve">  Matters may be referred back to </w:t>
      </w:r>
      <w:r w:rsidR="00660BD0">
        <w:rPr>
          <w:rFonts w:eastAsia="Calibri" w:cs="Arial"/>
          <w:szCs w:val="22"/>
          <w:lang w:eastAsia="en-US"/>
        </w:rPr>
        <w:t>F</w:t>
      </w:r>
      <w:r w:rsidR="00283E93">
        <w:rPr>
          <w:rFonts w:eastAsia="Calibri" w:cs="Arial"/>
          <w:szCs w:val="22"/>
          <w:lang w:eastAsia="en-US"/>
        </w:rPr>
        <w:t>ull Council – including where these relate to issues around the Policy Framework and the Budget.</w:t>
      </w:r>
      <w:r w:rsidR="007964F0">
        <w:rPr>
          <w:rFonts w:eastAsia="Calibri" w:cs="Arial"/>
          <w:szCs w:val="22"/>
          <w:lang w:eastAsia="en-US"/>
        </w:rPr>
        <w:t xml:space="preserve">  The Property Investment Board would also advise the Committee (and </w:t>
      </w:r>
      <w:r w:rsidR="00F82AB3">
        <w:rPr>
          <w:rFonts w:eastAsia="Calibri" w:cs="Arial"/>
          <w:szCs w:val="22"/>
          <w:lang w:eastAsia="en-US"/>
        </w:rPr>
        <w:t>F</w:t>
      </w:r>
      <w:r w:rsidR="007964F0">
        <w:rPr>
          <w:rFonts w:eastAsia="Calibri" w:cs="Arial"/>
          <w:szCs w:val="22"/>
          <w:lang w:eastAsia="en-US"/>
        </w:rPr>
        <w:t xml:space="preserve">ull Council) on any decisions needed by </w:t>
      </w:r>
      <w:r w:rsidR="00843D90">
        <w:rPr>
          <w:rFonts w:eastAsia="Calibri" w:cs="Arial"/>
          <w:szCs w:val="22"/>
          <w:lang w:eastAsia="en-US"/>
        </w:rPr>
        <w:t xml:space="preserve">Members </w:t>
      </w:r>
      <w:r w:rsidR="00F82AB3">
        <w:rPr>
          <w:rFonts w:eastAsia="Calibri" w:cs="Arial"/>
          <w:szCs w:val="22"/>
          <w:lang w:eastAsia="en-US"/>
        </w:rPr>
        <w:t>(see Strategic and Operational below)</w:t>
      </w:r>
      <w:r w:rsidR="007964F0">
        <w:rPr>
          <w:rFonts w:eastAsia="Calibri" w:cs="Arial"/>
          <w:szCs w:val="22"/>
          <w:lang w:eastAsia="en-US"/>
        </w:rPr>
        <w:t>.</w:t>
      </w:r>
    </w:p>
    <w:p w:rsidR="000825D0" w:rsidRDefault="000825D0" w:rsidP="003A4F04">
      <w:pPr>
        <w:ind w:left="1260"/>
        <w:rPr>
          <w:rFonts w:eastAsia="Calibri" w:cs="Arial"/>
          <w:szCs w:val="22"/>
          <w:lang w:eastAsia="en-US"/>
        </w:rPr>
      </w:pPr>
    </w:p>
    <w:p w:rsidR="00283E93" w:rsidRDefault="00283E93" w:rsidP="004D4F8C">
      <w:pPr>
        <w:ind w:left="1260"/>
        <w:rPr>
          <w:rFonts w:cs="Arial"/>
        </w:rPr>
      </w:pPr>
      <w:r w:rsidRPr="004D4F8C">
        <w:rPr>
          <w:rFonts w:eastAsia="Calibri" w:cs="Arial"/>
          <w:szCs w:val="22"/>
          <w:u w:val="single"/>
          <w:lang w:eastAsia="en-US"/>
        </w:rPr>
        <w:t>TradCo and RentCo</w:t>
      </w:r>
      <w:r>
        <w:rPr>
          <w:rFonts w:eastAsia="Calibri" w:cs="Arial"/>
          <w:szCs w:val="22"/>
          <w:lang w:eastAsia="en-US"/>
        </w:rPr>
        <w:t xml:space="preserve"> – will be managed by their respective boards of directors in respect of operational/day to day decisions with significant decisions referred back to the relevant shareholders for approval.</w:t>
      </w:r>
      <w:r w:rsidR="00BF4BB0">
        <w:rPr>
          <w:rFonts w:eastAsia="Calibri" w:cs="Arial"/>
        </w:rPr>
        <w:t xml:space="preserve"> </w:t>
      </w:r>
      <w:r w:rsidRPr="004D4F8C">
        <w:rPr>
          <w:rFonts w:eastAsia="Calibri" w:cs="Arial"/>
        </w:rPr>
        <w:t xml:space="preserve">Council directors will be officers – appointing officers means that any conflict of interests can be more easily managed than is the case with appointing </w:t>
      </w:r>
      <w:r w:rsidR="00843D90">
        <w:rPr>
          <w:rFonts w:eastAsia="Calibri" w:cs="Arial"/>
        </w:rPr>
        <w:t>M</w:t>
      </w:r>
      <w:r w:rsidR="00843D90" w:rsidRPr="004D4F8C">
        <w:rPr>
          <w:rFonts w:eastAsia="Calibri" w:cs="Arial"/>
        </w:rPr>
        <w:t>embers</w:t>
      </w:r>
      <w:r w:rsidR="00BF4BB0">
        <w:rPr>
          <w:rFonts w:eastAsia="Calibri" w:cs="Arial"/>
        </w:rPr>
        <w:t xml:space="preserve">. </w:t>
      </w:r>
      <w:r w:rsidRPr="004D4F8C">
        <w:rPr>
          <w:rFonts w:eastAsia="Calibri" w:cs="Arial"/>
        </w:rPr>
        <w:t xml:space="preserve">Members will have a central role in </w:t>
      </w:r>
      <w:r w:rsidR="0030623D" w:rsidRPr="004D4F8C">
        <w:rPr>
          <w:rFonts w:eastAsia="Calibri" w:cs="Arial"/>
        </w:rPr>
        <w:t xml:space="preserve">shareholder </w:t>
      </w:r>
      <w:r w:rsidR="0030623D">
        <w:rPr>
          <w:rFonts w:eastAsia="Calibri" w:cs="Arial"/>
        </w:rPr>
        <w:t>decision</w:t>
      </w:r>
      <w:r w:rsidR="00843D90">
        <w:rPr>
          <w:rFonts w:eastAsia="Calibri" w:cs="Arial"/>
        </w:rPr>
        <w:t>-making</w:t>
      </w:r>
      <w:r w:rsidRPr="004D4F8C">
        <w:rPr>
          <w:rFonts w:eastAsia="Calibri" w:cs="Arial"/>
        </w:rPr>
        <w:t xml:space="preserve"> which will be managed through the Policy and Resources Committee with delegations from the Committee to officers</w:t>
      </w:r>
      <w:r w:rsidR="00D33376" w:rsidRPr="004D4F8C">
        <w:rPr>
          <w:rFonts w:eastAsia="Calibri" w:cs="Arial"/>
        </w:rPr>
        <w:t xml:space="preserve"> (including the chair of the Property Investment Board)</w:t>
      </w:r>
      <w:r w:rsidRPr="004D4F8C">
        <w:rPr>
          <w:rFonts w:eastAsia="Calibri" w:cs="Arial"/>
        </w:rPr>
        <w:t xml:space="preserve"> in respect of certain </w:t>
      </w:r>
      <w:r w:rsidR="0030623D" w:rsidRPr="004D4F8C">
        <w:rPr>
          <w:rFonts w:eastAsia="Calibri" w:cs="Arial"/>
        </w:rPr>
        <w:t xml:space="preserve">shareholder </w:t>
      </w:r>
      <w:r w:rsidR="0030623D">
        <w:rPr>
          <w:rFonts w:eastAsia="Calibri" w:cs="Arial"/>
        </w:rPr>
        <w:t>decision</w:t>
      </w:r>
      <w:r w:rsidR="00843D90">
        <w:rPr>
          <w:rFonts w:eastAsia="Calibri" w:cs="Arial"/>
        </w:rPr>
        <w:t>-making</w:t>
      </w:r>
      <w:r w:rsidRPr="004D4F8C">
        <w:rPr>
          <w:rFonts w:eastAsia="Calibri" w:cs="Arial"/>
        </w:rPr>
        <w:t>.</w:t>
      </w:r>
      <w:r w:rsidR="007964F0" w:rsidRPr="004D4F8C">
        <w:rPr>
          <w:rFonts w:eastAsia="Calibri" w:cs="Arial"/>
        </w:rPr>
        <w:t xml:space="preserve">  The Property Investment Board would </w:t>
      </w:r>
      <w:r w:rsidR="007964F0" w:rsidRPr="004D4F8C">
        <w:rPr>
          <w:rFonts w:eastAsia="Calibri" w:cs="Arial"/>
        </w:rPr>
        <w:lastRenderedPageBreak/>
        <w:t xml:space="preserve">also have a role in advising the Committee on aspects of </w:t>
      </w:r>
      <w:r w:rsidR="0030623D" w:rsidRPr="004D4F8C">
        <w:rPr>
          <w:rFonts w:eastAsia="Calibri" w:cs="Arial"/>
        </w:rPr>
        <w:t xml:space="preserve">shareholder </w:t>
      </w:r>
      <w:r w:rsidR="0030623D">
        <w:rPr>
          <w:rFonts w:eastAsia="Calibri" w:cs="Arial"/>
        </w:rPr>
        <w:t>decision</w:t>
      </w:r>
      <w:r w:rsidR="00843D90">
        <w:rPr>
          <w:rFonts w:eastAsia="Calibri" w:cs="Arial"/>
        </w:rPr>
        <w:t>-making</w:t>
      </w:r>
      <w:r w:rsidR="007964F0" w:rsidRPr="004D4F8C">
        <w:rPr>
          <w:rFonts w:eastAsia="Calibri" w:cs="Arial"/>
        </w:rPr>
        <w:t>.</w:t>
      </w:r>
    </w:p>
    <w:p w:rsidR="00BF4BB0" w:rsidRPr="00B62729" w:rsidRDefault="00BF4BB0" w:rsidP="004D4F8C">
      <w:pPr>
        <w:ind w:left="1260"/>
        <w:rPr>
          <w:rFonts w:cs="Arial"/>
        </w:rPr>
      </w:pPr>
    </w:p>
    <w:p w:rsidR="00D33376" w:rsidRDefault="00D33376" w:rsidP="004D4F8C">
      <w:pPr>
        <w:ind w:left="1260"/>
        <w:rPr>
          <w:rFonts w:eastAsia="Calibri" w:cs="Arial"/>
          <w:szCs w:val="22"/>
          <w:lang w:eastAsia="en-US"/>
        </w:rPr>
      </w:pPr>
      <w:r w:rsidRPr="004D4F8C">
        <w:rPr>
          <w:rFonts w:eastAsia="Calibri" w:cs="Arial"/>
          <w:szCs w:val="22"/>
          <w:u w:val="single"/>
          <w:lang w:eastAsia="en-US"/>
        </w:rPr>
        <w:t>Sale</w:t>
      </w:r>
      <w:r w:rsidR="000825D0" w:rsidRPr="004D4F8C">
        <w:rPr>
          <w:rFonts w:eastAsia="Calibri" w:cs="Arial"/>
          <w:szCs w:val="22"/>
          <w:u w:val="single"/>
          <w:lang w:eastAsia="en-US"/>
        </w:rPr>
        <w:t xml:space="preserve"> </w:t>
      </w:r>
      <w:r w:rsidRPr="004D4F8C">
        <w:rPr>
          <w:rFonts w:eastAsia="Calibri" w:cs="Arial"/>
          <w:szCs w:val="22"/>
          <w:u w:val="single"/>
          <w:lang w:eastAsia="en-US"/>
        </w:rPr>
        <w:t>LLP</w:t>
      </w:r>
      <w:r>
        <w:rPr>
          <w:rFonts w:eastAsia="Calibri" w:cs="Arial"/>
          <w:szCs w:val="22"/>
          <w:lang w:eastAsia="en-US"/>
        </w:rPr>
        <w:t xml:space="preserve"> – will be managed by its partnership </w:t>
      </w:r>
      <w:r w:rsidR="007B3A64">
        <w:rPr>
          <w:rFonts w:eastAsia="Calibri" w:cs="Arial"/>
          <w:szCs w:val="22"/>
          <w:lang w:eastAsia="en-US"/>
        </w:rPr>
        <w:t xml:space="preserve">board </w:t>
      </w:r>
      <w:r>
        <w:rPr>
          <w:rFonts w:eastAsia="Calibri" w:cs="Arial"/>
          <w:szCs w:val="22"/>
          <w:lang w:eastAsia="en-US"/>
        </w:rPr>
        <w:t xml:space="preserve">comprising representatives of TradCo (acting on behalf of the Council) and the </w:t>
      </w:r>
      <w:r w:rsidR="008701C9">
        <w:rPr>
          <w:rFonts w:eastAsia="Calibri" w:cs="Arial"/>
          <w:szCs w:val="22"/>
          <w:lang w:eastAsia="en-US"/>
        </w:rPr>
        <w:t xml:space="preserve">WCH </w:t>
      </w:r>
      <w:r>
        <w:rPr>
          <w:rFonts w:eastAsia="Calibri" w:cs="Arial"/>
          <w:szCs w:val="22"/>
          <w:lang w:eastAsia="en-US"/>
        </w:rPr>
        <w:t>Trust.  TradCo’s decisions as a partner in the LLP will be determined by TradCo’s board of directors with shareholder input (as detailed in the preceding paragraph).</w:t>
      </w:r>
    </w:p>
    <w:p w:rsidR="00BF4BB0" w:rsidRDefault="00BF4BB0" w:rsidP="004D4F8C">
      <w:pPr>
        <w:rPr>
          <w:rFonts w:eastAsia="Calibri" w:cs="Arial"/>
          <w:szCs w:val="22"/>
          <w:lang w:eastAsia="en-US"/>
        </w:rPr>
      </w:pPr>
    </w:p>
    <w:p w:rsidR="00D61F47" w:rsidRDefault="00D33376" w:rsidP="004D4F8C">
      <w:pPr>
        <w:ind w:left="1260"/>
        <w:rPr>
          <w:rFonts w:eastAsia="Calibri" w:cs="Arial"/>
          <w:szCs w:val="22"/>
          <w:lang w:eastAsia="en-US"/>
        </w:rPr>
      </w:pPr>
      <w:r>
        <w:rPr>
          <w:rFonts w:eastAsia="Calibri" w:cs="Arial"/>
          <w:szCs w:val="22"/>
          <w:lang w:eastAsia="en-US"/>
        </w:rPr>
        <w:t xml:space="preserve">Direct Activity, </w:t>
      </w:r>
      <w:r w:rsidR="0030623D">
        <w:rPr>
          <w:rFonts w:eastAsia="Calibri" w:cs="Arial"/>
          <w:szCs w:val="22"/>
          <w:lang w:eastAsia="en-US"/>
        </w:rPr>
        <w:t>shareholder decision</w:t>
      </w:r>
      <w:r w:rsidR="00843D90">
        <w:rPr>
          <w:rFonts w:eastAsia="Calibri" w:cs="Arial"/>
          <w:szCs w:val="22"/>
          <w:lang w:eastAsia="en-US"/>
        </w:rPr>
        <w:t>-making</w:t>
      </w:r>
      <w:r>
        <w:rPr>
          <w:rFonts w:eastAsia="Calibri" w:cs="Arial"/>
          <w:szCs w:val="22"/>
          <w:lang w:eastAsia="en-US"/>
        </w:rPr>
        <w:t xml:space="preserve"> and the activities of the companies will be subject to scrutiny arrangements by </w:t>
      </w:r>
      <w:r w:rsidR="008701C9">
        <w:rPr>
          <w:rFonts w:eastAsia="Calibri" w:cs="Arial"/>
          <w:szCs w:val="22"/>
          <w:lang w:eastAsia="en-US"/>
        </w:rPr>
        <w:t>M</w:t>
      </w:r>
      <w:r>
        <w:rPr>
          <w:rFonts w:eastAsia="Calibri" w:cs="Arial"/>
          <w:szCs w:val="22"/>
          <w:lang w:eastAsia="en-US"/>
        </w:rPr>
        <w:t>embers as further detailed below.</w:t>
      </w:r>
    </w:p>
    <w:p w:rsidR="00892CC6" w:rsidRDefault="00892CC6" w:rsidP="005B49C8">
      <w:pPr>
        <w:ind w:left="1260" w:hanging="1260"/>
        <w:rPr>
          <w:rFonts w:eastAsia="Calibri" w:cs="Arial"/>
          <w:szCs w:val="22"/>
          <w:lang w:eastAsia="en-US"/>
        </w:rPr>
      </w:pPr>
    </w:p>
    <w:p w:rsidR="002B7760" w:rsidRDefault="007964F0" w:rsidP="00892CC6">
      <w:pPr>
        <w:rPr>
          <w:rFonts w:eastAsia="Calibri" w:cs="Arial"/>
          <w:szCs w:val="22"/>
          <w:lang w:eastAsia="en-US"/>
        </w:rPr>
      </w:pPr>
      <w:r>
        <w:rPr>
          <w:rFonts w:eastAsia="Calibri" w:cs="Arial"/>
          <w:szCs w:val="22"/>
          <w:lang w:eastAsia="en-US"/>
        </w:rPr>
        <w:t>2.1</w:t>
      </w:r>
      <w:r w:rsidR="004501BE">
        <w:rPr>
          <w:rFonts w:eastAsia="Calibri" w:cs="Arial"/>
          <w:szCs w:val="22"/>
          <w:lang w:eastAsia="en-US"/>
        </w:rPr>
        <w:t>1</w:t>
      </w:r>
      <w:r>
        <w:rPr>
          <w:rFonts w:eastAsia="Calibri" w:cs="Arial"/>
          <w:szCs w:val="22"/>
          <w:lang w:eastAsia="en-US"/>
        </w:rPr>
        <w:tab/>
        <w:t>The detail of the governance levels is as follows:</w:t>
      </w:r>
    </w:p>
    <w:p w:rsidR="007964F0" w:rsidRDefault="007964F0" w:rsidP="00892CC6">
      <w:pPr>
        <w:rPr>
          <w:rFonts w:eastAsia="Calibri" w:cs="Arial"/>
          <w:szCs w:val="22"/>
          <w:lang w:eastAsia="en-US"/>
        </w:rPr>
      </w:pPr>
    </w:p>
    <w:p w:rsidR="00DD1BE4" w:rsidRDefault="009B6C6F" w:rsidP="00892CC6">
      <w:pPr>
        <w:numPr>
          <w:ilvl w:val="0"/>
          <w:numId w:val="16"/>
        </w:numPr>
        <w:rPr>
          <w:rFonts w:eastAsia="Calibri" w:cs="Arial"/>
          <w:szCs w:val="22"/>
          <w:lang w:eastAsia="en-US"/>
        </w:rPr>
      </w:pPr>
      <w:r>
        <w:rPr>
          <w:rFonts w:eastAsia="Calibri" w:cs="Arial"/>
          <w:szCs w:val="22"/>
          <w:u w:val="single"/>
          <w:lang w:eastAsia="en-US"/>
        </w:rPr>
        <w:t>Operational</w:t>
      </w:r>
      <w:r>
        <w:rPr>
          <w:rFonts w:eastAsia="Calibri" w:cs="Arial"/>
          <w:szCs w:val="22"/>
          <w:lang w:eastAsia="en-US"/>
        </w:rPr>
        <w:t xml:space="preserve"> – where the day to day investment (site) specific </w:t>
      </w:r>
      <w:r w:rsidR="00251A8E">
        <w:rPr>
          <w:rFonts w:eastAsia="Calibri" w:cs="Arial"/>
          <w:szCs w:val="22"/>
          <w:lang w:eastAsia="en-US"/>
        </w:rPr>
        <w:t>issues are d</w:t>
      </w:r>
      <w:r w:rsidR="00365417">
        <w:rPr>
          <w:rFonts w:eastAsia="Calibri" w:cs="Arial"/>
          <w:szCs w:val="22"/>
          <w:lang w:eastAsia="en-US"/>
        </w:rPr>
        <w:t>ealt with and within the parameters</w:t>
      </w:r>
      <w:r w:rsidR="00251A8E">
        <w:rPr>
          <w:rFonts w:eastAsia="Calibri" w:cs="Arial"/>
          <w:szCs w:val="22"/>
          <w:lang w:eastAsia="en-US"/>
        </w:rPr>
        <w:t xml:space="preserve"> of the</w:t>
      </w:r>
      <w:r w:rsidR="00EC2AA9">
        <w:rPr>
          <w:rFonts w:eastAsia="Calibri" w:cs="Arial"/>
          <w:szCs w:val="22"/>
          <w:lang w:eastAsia="en-US"/>
        </w:rPr>
        <w:t xml:space="preserve"> approved</w:t>
      </w:r>
      <w:r w:rsidR="00251A8E">
        <w:rPr>
          <w:rFonts w:eastAsia="Calibri" w:cs="Arial"/>
          <w:szCs w:val="22"/>
          <w:lang w:eastAsia="en-US"/>
        </w:rPr>
        <w:t xml:space="preserve"> business plan</w:t>
      </w:r>
      <w:r w:rsidR="00DD1BE4">
        <w:rPr>
          <w:rFonts w:eastAsia="Calibri" w:cs="Arial"/>
          <w:szCs w:val="22"/>
          <w:lang w:eastAsia="en-US"/>
        </w:rPr>
        <w:t>s:</w:t>
      </w:r>
    </w:p>
    <w:p w:rsidR="00FB3F7D" w:rsidRDefault="009B6C6F" w:rsidP="00465CD8">
      <w:pPr>
        <w:numPr>
          <w:ilvl w:val="0"/>
          <w:numId w:val="16"/>
        </w:numPr>
        <w:rPr>
          <w:rFonts w:eastAsia="Calibri" w:cs="Arial"/>
          <w:szCs w:val="22"/>
          <w:lang w:eastAsia="en-US"/>
        </w:rPr>
      </w:pPr>
      <w:r w:rsidRPr="00465CD8">
        <w:rPr>
          <w:rFonts w:eastAsia="Calibri" w:cs="Arial"/>
          <w:szCs w:val="22"/>
          <w:u w:val="single"/>
          <w:lang w:eastAsia="en-US"/>
        </w:rPr>
        <w:t>Approval</w:t>
      </w:r>
      <w:r w:rsidRPr="00465CD8">
        <w:rPr>
          <w:rFonts w:eastAsia="Calibri" w:cs="Arial"/>
          <w:szCs w:val="22"/>
          <w:lang w:eastAsia="en-US"/>
        </w:rPr>
        <w:t xml:space="preserve"> – where issues </w:t>
      </w:r>
      <w:r w:rsidR="00251A8E" w:rsidRPr="00465CD8">
        <w:rPr>
          <w:rFonts w:eastAsia="Calibri" w:cs="Arial"/>
          <w:szCs w:val="22"/>
          <w:lang w:eastAsia="en-US"/>
        </w:rPr>
        <w:t xml:space="preserve">within the delegated limits </w:t>
      </w:r>
      <w:r w:rsidRPr="00465CD8">
        <w:rPr>
          <w:rFonts w:eastAsia="Calibri" w:cs="Arial"/>
          <w:szCs w:val="22"/>
          <w:lang w:eastAsia="en-US"/>
        </w:rPr>
        <w:t xml:space="preserve">requiring budgeted expenditure and new business </w:t>
      </w:r>
      <w:r w:rsidR="00F3554A" w:rsidRPr="00B3401A">
        <w:rPr>
          <w:rFonts w:eastAsia="Calibri" w:cs="Arial"/>
          <w:szCs w:val="22"/>
          <w:lang w:eastAsia="en-US"/>
        </w:rPr>
        <w:t xml:space="preserve">approval </w:t>
      </w:r>
      <w:r w:rsidR="00C5768B" w:rsidRPr="00B3401A">
        <w:rPr>
          <w:rFonts w:eastAsia="Calibri" w:cs="Arial"/>
          <w:szCs w:val="22"/>
          <w:lang w:eastAsia="en-US"/>
        </w:rPr>
        <w:t>are covered. T</w:t>
      </w:r>
      <w:r w:rsidRPr="00B3401A">
        <w:rPr>
          <w:rFonts w:eastAsia="Calibri" w:cs="Arial"/>
          <w:szCs w:val="22"/>
          <w:lang w:eastAsia="en-US"/>
        </w:rPr>
        <w:t xml:space="preserve">hese matters would be attended to by the </w:t>
      </w:r>
      <w:r w:rsidR="00F3554A" w:rsidRPr="00FB3F7D">
        <w:rPr>
          <w:rFonts w:eastAsia="Calibri" w:cs="Arial"/>
          <w:szCs w:val="22"/>
          <w:lang w:eastAsia="en-US"/>
        </w:rPr>
        <w:t xml:space="preserve">newly formed </w:t>
      </w:r>
      <w:r w:rsidRPr="00FB3F7D">
        <w:rPr>
          <w:rFonts w:eastAsia="Calibri" w:cs="Arial"/>
          <w:szCs w:val="22"/>
          <w:lang w:eastAsia="en-US"/>
        </w:rPr>
        <w:t>Property Investment Boar</w:t>
      </w:r>
      <w:r w:rsidR="00192864" w:rsidRPr="00FB3F7D">
        <w:rPr>
          <w:rFonts w:eastAsia="Calibri" w:cs="Arial"/>
          <w:szCs w:val="22"/>
          <w:lang w:eastAsia="en-US"/>
        </w:rPr>
        <w:t>d (PIB)</w:t>
      </w:r>
      <w:r w:rsidR="007964F0">
        <w:rPr>
          <w:rFonts w:eastAsia="Calibri" w:cs="Arial"/>
          <w:szCs w:val="22"/>
          <w:lang w:eastAsia="en-US"/>
        </w:rPr>
        <w:t xml:space="preserve"> – with delegated power given to the officer chair of the PIB</w:t>
      </w:r>
      <w:r w:rsidRPr="00FB3F7D">
        <w:rPr>
          <w:rFonts w:eastAsia="Calibri" w:cs="Arial"/>
          <w:szCs w:val="22"/>
          <w:lang w:eastAsia="en-US"/>
        </w:rPr>
        <w:t>.</w:t>
      </w:r>
      <w:r w:rsidR="00251A8E" w:rsidRPr="00FB3F7D">
        <w:rPr>
          <w:rFonts w:eastAsia="Calibri" w:cs="Arial"/>
          <w:szCs w:val="22"/>
          <w:lang w:eastAsia="en-US"/>
        </w:rPr>
        <w:t xml:space="preserve"> </w:t>
      </w:r>
      <w:r w:rsidR="00C5768B" w:rsidRPr="00FB3F7D">
        <w:rPr>
          <w:rFonts w:eastAsia="Calibri" w:cs="Arial"/>
          <w:szCs w:val="22"/>
          <w:lang w:eastAsia="en-US"/>
        </w:rPr>
        <w:t>Whilst part of the same agenda,</w:t>
      </w:r>
      <w:r w:rsidR="00192864" w:rsidRPr="00FB3F7D">
        <w:rPr>
          <w:rFonts w:eastAsia="Calibri" w:cs="Arial"/>
          <w:szCs w:val="22"/>
          <w:lang w:eastAsia="en-US"/>
        </w:rPr>
        <w:t xml:space="preserve"> th</w:t>
      </w:r>
      <w:r w:rsidR="00E17FBF" w:rsidRPr="00FB3F7D">
        <w:rPr>
          <w:rFonts w:eastAsia="Calibri" w:cs="Arial"/>
          <w:szCs w:val="22"/>
          <w:lang w:eastAsia="en-US"/>
        </w:rPr>
        <w:t xml:space="preserve">e PIB meetings will deal with both the </w:t>
      </w:r>
      <w:r w:rsidR="007964F0">
        <w:rPr>
          <w:rFonts w:eastAsia="Calibri" w:cs="Arial"/>
          <w:szCs w:val="22"/>
          <w:lang w:eastAsia="en-US"/>
        </w:rPr>
        <w:t xml:space="preserve">Direct Activity, </w:t>
      </w:r>
      <w:r w:rsidR="00192864" w:rsidRPr="00FB3F7D">
        <w:rPr>
          <w:rFonts w:eastAsia="Calibri" w:cs="Arial"/>
          <w:szCs w:val="22"/>
          <w:lang w:eastAsia="en-US"/>
        </w:rPr>
        <w:t>Trad</w:t>
      </w:r>
      <w:r w:rsidR="007964F0">
        <w:rPr>
          <w:rFonts w:eastAsia="Calibri" w:cs="Arial"/>
          <w:szCs w:val="22"/>
          <w:lang w:eastAsia="en-US"/>
        </w:rPr>
        <w:t>Co and joint venture</w:t>
      </w:r>
      <w:r w:rsidR="00192864" w:rsidRPr="00FB3F7D">
        <w:rPr>
          <w:rFonts w:eastAsia="Calibri" w:cs="Arial"/>
          <w:szCs w:val="22"/>
          <w:lang w:eastAsia="en-US"/>
        </w:rPr>
        <w:t xml:space="preserve"> business</w:t>
      </w:r>
      <w:r w:rsidR="00E17FBF" w:rsidRPr="00FB3F7D">
        <w:rPr>
          <w:rFonts w:eastAsia="Calibri" w:cs="Arial"/>
          <w:szCs w:val="22"/>
          <w:lang w:eastAsia="en-US"/>
        </w:rPr>
        <w:t xml:space="preserve"> </w:t>
      </w:r>
      <w:r w:rsidR="00E17FBF" w:rsidRPr="00AB3AE3">
        <w:rPr>
          <w:rFonts w:eastAsia="Calibri" w:cs="Arial"/>
          <w:szCs w:val="22"/>
          <w:lang w:eastAsia="en-US"/>
        </w:rPr>
        <w:t>opportunities</w:t>
      </w:r>
      <w:r w:rsidR="00192864" w:rsidRPr="00B3401A">
        <w:rPr>
          <w:rFonts w:eastAsia="Calibri" w:cs="Arial"/>
          <w:szCs w:val="22"/>
          <w:lang w:eastAsia="en-US"/>
        </w:rPr>
        <w:t xml:space="preserve">. </w:t>
      </w:r>
      <w:r w:rsidR="00E17FBF" w:rsidRPr="00B3401A">
        <w:rPr>
          <w:rFonts w:eastAsia="Calibri" w:cs="Arial"/>
          <w:szCs w:val="22"/>
          <w:lang w:eastAsia="en-US"/>
        </w:rPr>
        <w:t>The PIB will</w:t>
      </w:r>
      <w:r w:rsidR="00251A8E" w:rsidRPr="00B3401A">
        <w:rPr>
          <w:rFonts w:eastAsia="Calibri" w:cs="Arial"/>
          <w:szCs w:val="22"/>
          <w:lang w:eastAsia="en-US"/>
        </w:rPr>
        <w:t xml:space="preserve"> also monitor relevant performance levels on active investments.</w:t>
      </w:r>
      <w:r w:rsidR="00660BD0">
        <w:rPr>
          <w:rFonts w:eastAsia="Calibri" w:cs="Arial"/>
          <w:szCs w:val="22"/>
          <w:lang w:eastAsia="en-US"/>
        </w:rPr>
        <w:t xml:space="preserve">  Where approvals required are not within delegated limits then they are to be dealt with by the Committee</w:t>
      </w:r>
      <w:r w:rsidR="00133C38">
        <w:rPr>
          <w:rFonts w:eastAsia="Calibri" w:cs="Arial"/>
          <w:szCs w:val="22"/>
          <w:lang w:eastAsia="en-US"/>
        </w:rPr>
        <w:t xml:space="preserve"> under Strategic</w:t>
      </w:r>
      <w:r w:rsidR="00660BD0">
        <w:rPr>
          <w:rFonts w:eastAsia="Calibri" w:cs="Arial"/>
          <w:szCs w:val="22"/>
          <w:lang w:eastAsia="en-US"/>
        </w:rPr>
        <w:t>.</w:t>
      </w:r>
      <w:r w:rsidR="00465CD8" w:rsidRPr="00FB3F7D">
        <w:rPr>
          <w:rFonts w:eastAsia="Calibri" w:cs="Arial"/>
          <w:szCs w:val="22"/>
          <w:lang w:eastAsia="en-US"/>
        </w:rPr>
        <w:t xml:space="preserve"> </w:t>
      </w:r>
    </w:p>
    <w:p w:rsidR="009B6C6F" w:rsidRPr="00FB3F7D" w:rsidRDefault="009B6C6F" w:rsidP="00465CD8">
      <w:pPr>
        <w:numPr>
          <w:ilvl w:val="0"/>
          <w:numId w:val="16"/>
        </w:numPr>
        <w:rPr>
          <w:rFonts w:eastAsia="Calibri" w:cs="Arial"/>
          <w:szCs w:val="22"/>
          <w:lang w:eastAsia="en-US"/>
        </w:rPr>
      </w:pPr>
      <w:r w:rsidRPr="00465CD8">
        <w:rPr>
          <w:rFonts w:eastAsia="Calibri" w:cs="Arial"/>
          <w:szCs w:val="22"/>
          <w:u w:val="single"/>
          <w:lang w:eastAsia="en-US"/>
        </w:rPr>
        <w:t>Scrutiny</w:t>
      </w:r>
      <w:r w:rsidRPr="00465CD8">
        <w:rPr>
          <w:rFonts w:eastAsia="Calibri" w:cs="Arial"/>
          <w:szCs w:val="22"/>
          <w:lang w:eastAsia="en-US"/>
        </w:rPr>
        <w:t xml:space="preserve"> – where decisions made by the PIB are reviewed and periodic p</w:t>
      </w:r>
      <w:r w:rsidR="00365417" w:rsidRPr="00465CD8">
        <w:rPr>
          <w:rFonts w:eastAsia="Calibri" w:cs="Arial"/>
          <w:szCs w:val="22"/>
          <w:lang w:eastAsia="en-US"/>
        </w:rPr>
        <w:t>rogress reports, d</w:t>
      </w:r>
      <w:r w:rsidR="00365417" w:rsidRPr="00B3401A">
        <w:rPr>
          <w:rFonts w:eastAsia="Calibri" w:cs="Arial"/>
          <w:szCs w:val="22"/>
          <w:lang w:eastAsia="en-US"/>
        </w:rPr>
        <w:t xml:space="preserve">estined for </w:t>
      </w:r>
      <w:r w:rsidR="00660BD0">
        <w:rPr>
          <w:rFonts w:eastAsia="Calibri" w:cs="Arial"/>
          <w:szCs w:val="22"/>
          <w:lang w:eastAsia="en-US"/>
        </w:rPr>
        <w:t>the Committee</w:t>
      </w:r>
      <w:r w:rsidR="00365417" w:rsidRPr="00B3401A">
        <w:rPr>
          <w:rFonts w:eastAsia="Calibri" w:cs="Arial"/>
          <w:szCs w:val="22"/>
          <w:lang w:eastAsia="en-US"/>
        </w:rPr>
        <w:t>, are considered</w:t>
      </w:r>
      <w:r w:rsidRPr="00B3401A">
        <w:rPr>
          <w:rFonts w:eastAsia="Calibri" w:cs="Arial"/>
          <w:szCs w:val="22"/>
          <w:lang w:eastAsia="en-US"/>
        </w:rPr>
        <w:t xml:space="preserve">. </w:t>
      </w:r>
      <w:r w:rsidR="0030623D">
        <w:rPr>
          <w:rFonts w:eastAsia="Calibri" w:cs="Arial"/>
          <w:szCs w:val="22"/>
          <w:lang w:eastAsia="en-US"/>
        </w:rPr>
        <w:t>Shareholder decision</w:t>
      </w:r>
      <w:r w:rsidR="00843D90">
        <w:rPr>
          <w:rFonts w:eastAsia="Calibri" w:cs="Arial"/>
          <w:szCs w:val="22"/>
          <w:lang w:eastAsia="en-US"/>
        </w:rPr>
        <w:t>-making</w:t>
      </w:r>
      <w:r w:rsidR="00660BD0">
        <w:rPr>
          <w:rFonts w:eastAsia="Calibri" w:cs="Arial"/>
          <w:szCs w:val="22"/>
          <w:lang w:eastAsia="en-US"/>
        </w:rPr>
        <w:t xml:space="preserve"> by the Committee would also be considered by </w:t>
      </w:r>
      <w:r w:rsidR="004501BE">
        <w:rPr>
          <w:rFonts w:eastAsia="Calibri" w:cs="Arial"/>
          <w:szCs w:val="22"/>
          <w:lang w:eastAsia="en-US"/>
        </w:rPr>
        <w:t xml:space="preserve">these </w:t>
      </w:r>
      <w:r w:rsidR="00660BD0">
        <w:rPr>
          <w:rFonts w:eastAsia="Calibri" w:cs="Arial"/>
          <w:szCs w:val="22"/>
          <w:lang w:eastAsia="en-US"/>
        </w:rPr>
        <w:t xml:space="preserve">scrutiny arrangements.  </w:t>
      </w:r>
      <w:r w:rsidRPr="00B3401A">
        <w:rPr>
          <w:rFonts w:eastAsia="Calibri" w:cs="Arial"/>
          <w:szCs w:val="22"/>
          <w:lang w:eastAsia="en-US"/>
        </w:rPr>
        <w:t xml:space="preserve">It is envisaged that this would work in a similar manner to the </w:t>
      </w:r>
      <w:r w:rsidR="00C85908" w:rsidRPr="00FB3F7D">
        <w:rPr>
          <w:rFonts w:eastAsia="Calibri" w:cs="Arial"/>
          <w:szCs w:val="22"/>
          <w:lang w:eastAsia="en-US"/>
        </w:rPr>
        <w:t xml:space="preserve">existing </w:t>
      </w:r>
      <w:r w:rsidRPr="00FB3F7D">
        <w:rPr>
          <w:rFonts w:eastAsia="Calibri" w:cs="Arial"/>
          <w:szCs w:val="22"/>
          <w:lang w:eastAsia="en-US"/>
        </w:rPr>
        <w:t xml:space="preserve">SO Scrutiny Panel and be named the Property Scrutiny Panel (PSP). </w:t>
      </w:r>
    </w:p>
    <w:p w:rsidR="009B6C6F" w:rsidRDefault="009B6C6F" w:rsidP="009B6C6F">
      <w:pPr>
        <w:numPr>
          <w:ilvl w:val="0"/>
          <w:numId w:val="16"/>
        </w:numPr>
        <w:rPr>
          <w:rFonts w:eastAsia="Calibri" w:cs="Arial"/>
          <w:szCs w:val="22"/>
          <w:lang w:eastAsia="en-US"/>
        </w:rPr>
      </w:pPr>
      <w:r w:rsidRPr="00C62A18">
        <w:rPr>
          <w:rFonts w:eastAsia="Calibri" w:cs="Arial"/>
          <w:szCs w:val="22"/>
          <w:u w:val="single"/>
          <w:lang w:eastAsia="en-US"/>
        </w:rPr>
        <w:t>Strategic</w:t>
      </w:r>
      <w:r>
        <w:rPr>
          <w:rFonts w:eastAsia="Calibri" w:cs="Arial"/>
          <w:szCs w:val="22"/>
          <w:lang w:eastAsia="en-US"/>
        </w:rPr>
        <w:t xml:space="preserve"> – whereby matters that require </w:t>
      </w:r>
      <w:r w:rsidR="00DB6D7B">
        <w:rPr>
          <w:rFonts w:eastAsia="Calibri" w:cs="Arial"/>
          <w:szCs w:val="22"/>
          <w:lang w:eastAsia="en-US"/>
        </w:rPr>
        <w:t xml:space="preserve">P&amp;R </w:t>
      </w:r>
      <w:r>
        <w:rPr>
          <w:rFonts w:eastAsia="Calibri" w:cs="Arial"/>
          <w:szCs w:val="22"/>
          <w:lang w:eastAsia="en-US"/>
        </w:rPr>
        <w:t xml:space="preserve">Committee approval are dealt with. This will be required for policy </w:t>
      </w:r>
      <w:r w:rsidR="00F3554A">
        <w:rPr>
          <w:rFonts w:eastAsia="Calibri" w:cs="Arial"/>
          <w:szCs w:val="22"/>
          <w:lang w:eastAsia="en-US"/>
        </w:rPr>
        <w:t xml:space="preserve">(change) </w:t>
      </w:r>
      <w:r>
        <w:rPr>
          <w:rFonts w:eastAsia="Calibri" w:cs="Arial"/>
          <w:szCs w:val="22"/>
          <w:lang w:eastAsia="en-US"/>
        </w:rPr>
        <w:t xml:space="preserve">issues, budget </w:t>
      </w:r>
      <w:r w:rsidR="00F3554A">
        <w:rPr>
          <w:rFonts w:eastAsia="Calibri" w:cs="Arial"/>
          <w:szCs w:val="22"/>
          <w:lang w:eastAsia="en-US"/>
        </w:rPr>
        <w:t xml:space="preserve">allocation </w:t>
      </w:r>
      <w:r>
        <w:rPr>
          <w:rFonts w:eastAsia="Calibri" w:cs="Arial"/>
          <w:szCs w:val="22"/>
          <w:lang w:eastAsia="en-US"/>
        </w:rPr>
        <w:t>and expenditure</w:t>
      </w:r>
      <w:r w:rsidR="00251A8E">
        <w:rPr>
          <w:rFonts w:eastAsia="Calibri" w:cs="Arial"/>
          <w:szCs w:val="22"/>
          <w:lang w:eastAsia="en-US"/>
        </w:rPr>
        <w:t>/performance</w:t>
      </w:r>
      <w:r>
        <w:rPr>
          <w:rFonts w:eastAsia="Calibri" w:cs="Arial"/>
          <w:szCs w:val="22"/>
          <w:lang w:eastAsia="en-US"/>
        </w:rPr>
        <w:t xml:space="preserve"> matters </w:t>
      </w:r>
      <w:r w:rsidR="00251A8E">
        <w:rPr>
          <w:rFonts w:eastAsia="Calibri" w:cs="Arial"/>
          <w:szCs w:val="22"/>
          <w:lang w:eastAsia="en-US"/>
        </w:rPr>
        <w:t>beyond delegated leve</w:t>
      </w:r>
      <w:r w:rsidR="00C778C3">
        <w:rPr>
          <w:rFonts w:eastAsia="Calibri" w:cs="Arial"/>
          <w:szCs w:val="22"/>
          <w:lang w:eastAsia="en-US"/>
        </w:rPr>
        <w:t xml:space="preserve">ls. </w:t>
      </w:r>
      <w:r w:rsidR="00660BD0">
        <w:rPr>
          <w:rFonts w:eastAsia="Calibri" w:cs="Arial"/>
          <w:szCs w:val="22"/>
          <w:lang w:eastAsia="en-US"/>
        </w:rPr>
        <w:t>The</w:t>
      </w:r>
      <w:r w:rsidR="00C778C3">
        <w:rPr>
          <w:rFonts w:eastAsia="Calibri" w:cs="Arial"/>
          <w:szCs w:val="22"/>
          <w:lang w:eastAsia="en-US"/>
        </w:rPr>
        <w:t xml:space="preserve"> Committee would also receive</w:t>
      </w:r>
      <w:r>
        <w:rPr>
          <w:rFonts w:eastAsia="Calibri" w:cs="Arial"/>
          <w:szCs w:val="22"/>
          <w:lang w:eastAsia="en-US"/>
        </w:rPr>
        <w:t xml:space="preserve"> </w:t>
      </w:r>
      <w:r w:rsidR="00365417">
        <w:rPr>
          <w:rFonts w:eastAsia="Calibri" w:cs="Arial"/>
          <w:szCs w:val="22"/>
          <w:lang w:eastAsia="en-US"/>
        </w:rPr>
        <w:t xml:space="preserve">progress </w:t>
      </w:r>
      <w:r>
        <w:rPr>
          <w:rFonts w:eastAsia="Calibri" w:cs="Arial"/>
          <w:szCs w:val="22"/>
          <w:lang w:eastAsia="en-US"/>
        </w:rPr>
        <w:t>reports</w:t>
      </w:r>
      <w:r w:rsidR="00F3554A">
        <w:rPr>
          <w:rFonts w:eastAsia="Calibri" w:cs="Arial"/>
          <w:szCs w:val="22"/>
          <w:lang w:eastAsia="en-US"/>
        </w:rPr>
        <w:t xml:space="preserve"> from the PSP</w:t>
      </w:r>
      <w:r>
        <w:rPr>
          <w:rFonts w:eastAsia="Calibri" w:cs="Arial"/>
          <w:szCs w:val="22"/>
          <w:lang w:eastAsia="en-US"/>
        </w:rPr>
        <w:t>.</w:t>
      </w:r>
      <w:r w:rsidR="00465CD8">
        <w:rPr>
          <w:rFonts w:eastAsia="Calibri" w:cs="Arial"/>
          <w:szCs w:val="22"/>
          <w:lang w:eastAsia="en-US"/>
        </w:rPr>
        <w:t xml:space="preserve"> </w:t>
      </w:r>
      <w:r w:rsidR="00660BD0">
        <w:rPr>
          <w:rFonts w:eastAsia="Calibri" w:cs="Arial"/>
          <w:szCs w:val="22"/>
          <w:lang w:eastAsia="en-US"/>
        </w:rPr>
        <w:t>Strategic level matters also include any reserved shareholder decisions for RentCo and TradCo that are not to be made under Approval by the PIB or other officers.</w:t>
      </w:r>
    </w:p>
    <w:p w:rsidR="009B6C6F" w:rsidRDefault="009B6C6F" w:rsidP="009B6C6F">
      <w:pPr>
        <w:numPr>
          <w:ilvl w:val="0"/>
          <w:numId w:val="16"/>
        </w:numPr>
        <w:rPr>
          <w:rFonts w:eastAsia="Calibri" w:cs="Arial"/>
          <w:szCs w:val="22"/>
          <w:lang w:eastAsia="en-US"/>
        </w:rPr>
      </w:pPr>
      <w:r w:rsidRPr="00C62A18">
        <w:rPr>
          <w:rFonts w:eastAsia="Calibri" w:cs="Arial"/>
          <w:szCs w:val="22"/>
          <w:u w:val="single"/>
          <w:lang w:eastAsia="en-US"/>
        </w:rPr>
        <w:t>Constitutional</w:t>
      </w:r>
      <w:r w:rsidR="00C85908">
        <w:rPr>
          <w:rFonts w:eastAsia="Calibri" w:cs="Arial"/>
          <w:szCs w:val="22"/>
          <w:lang w:eastAsia="en-US"/>
        </w:rPr>
        <w:t xml:space="preserve"> – where</w:t>
      </w:r>
      <w:r>
        <w:rPr>
          <w:rFonts w:eastAsia="Calibri" w:cs="Arial"/>
          <w:szCs w:val="22"/>
          <w:lang w:eastAsia="en-US"/>
        </w:rPr>
        <w:t xml:space="preserve"> any issues, primarily legal</w:t>
      </w:r>
      <w:r w:rsidR="00F82AB3">
        <w:rPr>
          <w:rFonts w:eastAsia="Calibri" w:cs="Arial"/>
          <w:szCs w:val="22"/>
          <w:lang w:eastAsia="en-US"/>
        </w:rPr>
        <w:t xml:space="preserve"> or financial</w:t>
      </w:r>
      <w:r>
        <w:rPr>
          <w:rFonts w:eastAsia="Calibri" w:cs="Arial"/>
          <w:szCs w:val="22"/>
          <w:lang w:eastAsia="en-US"/>
        </w:rPr>
        <w:t>, that require Full Council</w:t>
      </w:r>
      <w:r w:rsidR="00354E0C">
        <w:rPr>
          <w:rFonts w:eastAsia="Calibri" w:cs="Arial"/>
          <w:szCs w:val="22"/>
          <w:lang w:eastAsia="en-US"/>
        </w:rPr>
        <w:t>, as recommended by P&amp;R Committee,</w:t>
      </w:r>
      <w:r>
        <w:rPr>
          <w:rFonts w:eastAsia="Calibri" w:cs="Arial"/>
          <w:szCs w:val="22"/>
          <w:lang w:eastAsia="en-US"/>
        </w:rPr>
        <w:t xml:space="preserve"> to approve are dealt with. This </w:t>
      </w:r>
      <w:r w:rsidR="00F3554A">
        <w:rPr>
          <w:rFonts w:eastAsia="Calibri" w:cs="Arial"/>
          <w:szCs w:val="22"/>
          <w:lang w:eastAsia="en-US"/>
        </w:rPr>
        <w:t>is only likely to be required for</w:t>
      </w:r>
      <w:r>
        <w:rPr>
          <w:rFonts w:eastAsia="Calibri" w:cs="Arial"/>
          <w:szCs w:val="22"/>
          <w:lang w:eastAsia="en-US"/>
        </w:rPr>
        <w:t xml:space="preserve"> the establishment </w:t>
      </w:r>
      <w:r w:rsidR="00F3554A">
        <w:rPr>
          <w:rFonts w:eastAsia="Calibri" w:cs="Arial"/>
          <w:szCs w:val="22"/>
          <w:lang w:eastAsia="en-US"/>
        </w:rPr>
        <w:t>of the requisite companies</w:t>
      </w:r>
      <w:r>
        <w:rPr>
          <w:rFonts w:eastAsia="Calibri" w:cs="Arial"/>
          <w:szCs w:val="22"/>
          <w:lang w:eastAsia="en-US"/>
        </w:rPr>
        <w:t>.</w:t>
      </w:r>
    </w:p>
    <w:p w:rsidR="009B6C6F" w:rsidRPr="009B6C6F" w:rsidRDefault="009B6C6F" w:rsidP="009B6C6F">
      <w:pPr>
        <w:ind w:left="1980"/>
        <w:rPr>
          <w:rFonts w:eastAsia="Calibri" w:cs="Arial"/>
          <w:szCs w:val="22"/>
          <w:lang w:eastAsia="en-US"/>
        </w:rPr>
      </w:pPr>
    </w:p>
    <w:p w:rsidR="002B7760" w:rsidRPr="002B7760" w:rsidRDefault="00847309">
      <w:pPr>
        <w:ind w:left="1260" w:hanging="1260"/>
        <w:rPr>
          <w:rFonts w:ascii="Calibri" w:eastAsia="Calibri" w:hAnsi="Calibri"/>
          <w:sz w:val="24"/>
          <w:szCs w:val="24"/>
          <w:lang w:eastAsia="en-US"/>
        </w:rPr>
      </w:pPr>
      <w:r>
        <w:rPr>
          <w:rFonts w:eastAsia="Calibri" w:cs="Arial"/>
          <w:szCs w:val="22"/>
          <w:lang w:eastAsia="en-US"/>
        </w:rPr>
        <w:t>2.</w:t>
      </w:r>
      <w:r w:rsidR="009E0907">
        <w:rPr>
          <w:rFonts w:eastAsia="Calibri" w:cs="Arial"/>
          <w:szCs w:val="22"/>
          <w:lang w:eastAsia="en-US"/>
        </w:rPr>
        <w:t>1</w:t>
      </w:r>
      <w:r w:rsidR="004501BE">
        <w:rPr>
          <w:rFonts w:eastAsia="Calibri" w:cs="Arial"/>
          <w:szCs w:val="22"/>
          <w:lang w:eastAsia="en-US"/>
        </w:rPr>
        <w:t>2</w:t>
      </w:r>
      <w:r w:rsidR="002B7760">
        <w:rPr>
          <w:rFonts w:eastAsia="Calibri" w:cs="Arial"/>
          <w:szCs w:val="22"/>
          <w:lang w:eastAsia="en-US"/>
        </w:rPr>
        <w:tab/>
      </w:r>
      <w:r w:rsidR="00D776D2">
        <w:rPr>
          <w:szCs w:val="22"/>
        </w:rPr>
        <w:t>A flow ch</w:t>
      </w:r>
      <w:r w:rsidR="00E17FBF">
        <w:rPr>
          <w:szCs w:val="22"/>
        </w:rPr>
        <w:t xml:space="preserve">art demonstrating </w:t>
      </w:r>
      <w:r w:rsidR="00B3401A">
        <w:rPr>
          <w:szCs w:val="22"/>
        </w:rPr>
        <w:t>how</w:t>
      </w:r>
      <w:r w:rsidR="00D776D2">
        <w:rPr>
          <w:szCs w:val="22"/>
        </w:rPr>
        <w:t xml:space="preserve"> </w:t>
      </w:r>
      <w:r w:rsidR="00AC7D96">
        <w:rPr>
          <w:szCs w:val="22"/>
        </w:rPr>
        <w:t xml:space="preserve">a new business opportunity would be worked through </w:t>
      </w:r>
      <w:r w:rsidR="00D776D2">
        <w:rPr>
          <w:szCs w:val="22"/>
        </w:rPr>
        <w:t>the</w:t>
      </w:r>
      <w:r w:rsidR="00AC7D96">
        <w:rPr>
          <w:szCs w:val="22"/>
        </w:rPr>
        <w:t xml:space="preserve"> governance processes</w:t>
      </w:r>
      <w:r w:rsidR="00D776D2">
        <w:rPr>
          <w:szCs w:val="22"/>
        </w:rPr>
        <w:t xml:space="preserve"> is attached at appendix A.</w:t>
      </w:r>
    </w:p>
    <w:p w:rsidR="002B7760" w:rsidRDefault="002B776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2B7760" w:rsidRDefault="00847309" w:rsidP="002B7760">
      <w:pPr>
        <w:ind w:left="1260" w:hanging="1260"/>
        <w:rPr>
          <w:rFonts w:eastAsia="Calibri" w:cs="Arial"/>
          <w:szCs w:val="22"/>
          <w:lang w:eastAsia="en-US"/>
        </w:rPr>
      </w:pPr>
      <w:r>
        <w:rPr>
          <w:rFonts w:eastAsia="Calibri" w:cs="Arial"/>
          <w:szCs w:val="22"/>
          <w:lang w:eastAsia="en-US"/>
        </w:rPr>
        <w:t>2.</w:t>
      </w:r>
      <w:r w:rsidR="009E0907">
        <w:rPr>
          <w:rFonts w:eastAsia="Calibri" w:cs="Arial"/>
          <w:szCs w:val="22"/>
          <w:lang w:eastAsia="en-US"/>
        </w:rPr>
        <w:t>1</w:t>
      </w:r>
      <w:r w:rsidR="004501BE">
        <w:rPr>
          <w:rFonts w:eastAsia="Calibri" w:cs="Arial"/>
          <w:szCs w:val="22"/>
          <w:lang w:eastAsia="en-US"/>
        </w:rPr>
        <w:t>3</w:t>
      </w:r>
      <w:r w:rsidR="002B7760">
        <w:rPr>
          <w:rFonts w:eastAsia="Calibri" w:cs="Arial"/>
          <w:szCs w:val="22"/>
          <w:lang w:eastAsia="en-US"/>
        </w:rPr>
        <w:tab/>
      </w:r>
      <w:r w:rsidR="0083708A">
        <w:rPr>
          <w:rFonts w:eastAsia="Calibri" w:cs="Arial"/>
          <w:szCs w:val="22"/>
          <w:lang w:eastAsia="en-US"/>
        </w:rPr>
        <w:t>It is recommended that members</w:t>
      </w:r>
      <w:r w:rsidR="008701C9">
        <w:rPr>
          <w:rFonts w:eastAsia="Calibri" w:cs="Arial"/>
          <w:szCs w:val="22"/>
          <w:lang w:eastAsia="en-US"/>
        </w:rPr>
        <w:t>hip</w:t>
      </w:r>
      <w:r w:rsidR="00E17FBF">
        <w:rPr>
          <w:rFonts w:eastAsia="Calibri" w:cs="Arial"/>
          <w:szCs w:val="22"/>
          <w:lang w:eastAsia="en-US"/>
        </w:rPr>
        <w:t xml:space="preserve"> of the three key</w:t>
      </w:r>
      <w:r w:rsidR="0059551A">
        <w:rPr>
          <w:rFonts w:eastAsia="Calibri" w:cs="Arial"/>
          <w:szCs w:val="22"/>
          <w:lang w:eastAsia="en-US"/>
        </w:rPr>
        <w:t xml:space="preserve"> governance </w:t>
      </w:r>
      <w:r w:rsidR="00FC72D5">
        <w:rPr>
          <w:rFonts w:eastAsia="Calibri" w:cs="Arial"/>
          <w:szCs w:val="22"/>
          <w:lang w:eastAsia="en-US"/>
        </w:rPr>
        <w:t xml:space="preserve">level </w:t>
      </w:r>
      <w:r w:rsidR="0059551A">
        <w:rPr>
          <w:rFonts w:eastAsia="Calibri" w:cs="Arial"/>
          <w:szCs w:val="22"/>
          <w:lang w:eastAsia="en-US"/>
        </w:rPr>
        <w:t>bodies</w:t>
      </w:r>
      <w:r w:rsidR="00C85908">
        <w:rPr>
          <w:rFonts w:eastAsia="Calibri" w:cs="Arial"/>
          <w:szCs w:val="22"/>
          <w:lang w:eastAsia="en-US"/>
        </w:rPr>
        <w:t>, in accordance</w:t>
      </w:r>
      <w:r w:rsidR="005D0937">
        <w:rPr>
          <w:rFonts w:eastAsia="Calibri" w:cs="Arial"/>
          <w:szCs w:val="22"/>
          <w:lang w:eastAsia="en-US"/>
        </w:rPr>
        <w:t xml:space="preserve"> with</w:t>
      </w:r>
      <w:r w:rsidR="006E7951">
        <w:rPr>
          <w:rFonts w:eastAsia="Calibri" w:cs="Arial"/>
          <w:szCs w:val="22"/>
          <w:lang w:eastAsia="en-US"/>
        </w:rPr>
        <w:t xml:space="preserve"> </w:t>
      </w:r>
      <w:r w:rsidR="0083708A">
        <w:rPr>
          <w:rFonts w:eastAsia="Calibri" w:cs="Arial"/>
          <w:szCs w:val="22"/>
          <w:lang w:eastAsia="en-US"/>
        </w:rPr>
        <w:t xml:space="preserve">previous </w:t>
      </w:r>
      <w:r w:rsidR="006E7951">
        <w:rPr>
          <w:rFonts w:eastAsia="Calibri" w:cs="Arial"/>
          <w:szCs w:val="22"/>
          <w:lang w:eastAsia="en-US"/>
        </w:rPr>
        <w:t>advice from Anthony Collins Solicitors,</w:t>
      </w:r>
      <w:r w:rsidR="0083708A">
        <w:rPr>
          <w:rFonts w:eastAsia="Calibri" w:cs="Arial"/>
          <w:szCs w:val="22"/>
          <w:lang w:eastAsia="en-US"/>
        </w:rPr>
        <w:t xml:space="preserve"> </w:t>
      </w:r>
      <w:r w:rsidR="008701C9">
        <w:rPr>
          <w:rFonts w:eastAsia="Calibri" w:cs="Arial"/>
          <w:szCs w:val="22"/>
          <w:lang w:eastAsia="en-US"/>
        </w:rPr>
        <w:t xml:space="preserve">be </w:t>
      </w:r>
      <w:r w:rsidR="0059551A">
        <w:rPr>
          <w:rFonts w:eastAsia="Calibri" w:cs="Arial"/>
          <w:szCs w:val="22"/>
          <w:lang w:eastAsia="en-US"/>
        </w:rPr>
        <w:t>as follows:-</w:t>
      </w:r>
    </w:p>
    <w:p w:rsidR="0019689E" w:rsidRDefault="0019689E" w:rsidP="002B7760">
      <w:pPr>
        <w:ind w:left="1260" w:hanging="1260"/>
        <w:rPr>
          <w:rFonts w:eastAsia="Calibri" w:cs="Arial"/>
          <w:szCs w:val="22"/>
          <w:lang w:eastAsia="en-US"/>
        </w:rPr>
      </w:pPr>
    </w:p>
    <w:p w:rsidR="00660BD0" w:rsidRDefault="0019689E" w:rsidP="0019689E">
      <w:pPr>
        <w:numPr>
          <w:ilvl w:val="0"/>
          <w:numId w:val="17"/>
        </w:numPr>
        <w:rPr>
          <w:szCs w:val="22"/>
        </w:rPr>
      </w:pPr>
      <w:r>
        <w:rPr>
          <w:szCs w:val="22"/>
          <w:u w:val="single"/>
        </w:rPr>
        <w:t>Operational</w:t>
      </w:r>
      <w:r w:rsidR="00660BD0">
        <w:rPr>
          <w:szCs w:val="22"/>
          <w:u w:val="single"/>
        </w:rPr>
        <w:t>:</w:t>
      </w:r>
      <w:r>
        <w:rPr>
          <w:szCs w:val="22"/>
        </w:rPr>
        <w:t xml:space="preserve"> </w:t>
      </w:r>
    </w:p>
    <w:p w:rsidR="00133C38" w:rsidRDefault="00133C38" w:rsidP="003A4F04">
      <w:pPr>
        <w:numPr>
          <w:ilvl w:val="1"/>
          <w:numId w:val="17"/>
        </w:numPr>
        <w:rPr>
          <w:szCs w:val="22"/>
        </w:rPr>
      </w:pPr>
      <w:r>
        <w:rPr>
          <w:szCs w:val="22"/>
        </w:rPr>
        <w:t>Direct Activity – officers of TRDC.</w:t>
      </w:r>
    </w:p>
    <w:p w:rsidR="00133C38" w:rsidRDefault="006E7951" w:rsidP="003A4F04">
      <w:pPr>
        <w:numPr>
          <w:ilvl w:val="1"/>
          <w:numId w:val="17"/>
        </w:numPr>
        <w:rPr>
          <w:szCs w:val="22"/>
        </w:rPr>
      </w:pPr>
      <w:r>
        <w:rPr>
          <w:szCs w:val="22"/>
        </w:rPr>
        <w:t xml:space="preserve">TradCo </w:t>
      </w:r>
      <w:r w:rsidR="00FC72D5">
        <w:rPr>
          <w:szCs w:val="22"/>
        </w:rPr>
        <w:t>(a solely TRDC</w:t>
      </w:r>
      <w:r w:rsidR="008701C9">
        <w:rPr>
          <w:szCs w:val="22"/>
        </w:rPr>
        <w:t>-</w:t>
      </w:r>
      <w:r w:rsidR="00FC72D5">
        <w:rPr>
          <w:szCs w:val="22"/>
        </w:rPr>
        <w:t xml:space="preserve">owned body) </w:t>
      </w:r>
      <w:r w:rsidR="00E17FBF">
        <w:rPr>
          <w:szCs w:val="22"/>
        </w:rPr>
        <w:t>would have three</w:t>
      </w:r>
      <w:r>
        <w:rPr>
          <w:szCs w:val="22"/>
        </w:rPr>
        <w:t xml:space="preserve"> TRDC nominee Directors being </w:t>
      </w:r>
      <w:r w:rsidR="00FB3F7D">
        <w:rPr>
          <w:szCs w:val="22"/>
        </w:rPr>
        <w:t>Director of Community &amp; Environmental Services (DCES)</w:t>
      </w:r>
      <w:r>
        <w:rPr>
          <w:szCs w:val="22"/>
        </w:rPr>
        <w:t xml:space="preserve">, </w:t>
      </w:r>
      <w:r w:rsidR="00FB3F7D">
        <w:rPr>
          <w:szCs w:val="22"/>
        </w:rPr>
        <w:t>Head of Finance</w:t>
      </w:r>
      <w:r>
        <w:rPr>
          <w:szCs w:val="22"/>
        </w:rPr>
        <w:t xml:space="preserve"> and ANOther</w:t>
      </w:r>
      <w:r w:rsidR="00660BD0">
        <w:rPr>
          <w:szCs w:val="22"/>
        </w:rPr>
        <w:t xml:space="preserve"> officer</w:t>
      </w:r>
      <w:r w:rsidR="00C85908">
        <w:rPr>
          <w:szCs w:val="22"/>
        </w:rPr>
        <w:t>.</w:t>
      </w:r>
      <w:r w:rsidR="00660BD0">
        <w:rPr>
          <w:szCs w:val="22"/>
        </w:rPr>
        <w:t xml:space="preserve">  Officer appointments are proposed because it is easier to manage conflict of interests</w:t>
      </w:r>
      <w:r w:rsidR="00B61885">
        <w:rPr>
          <w:szCs w:val="22"/>
        </w:rPr>
        <w:t xml:space="preserve"> (between the duty to TRDC and the duty to the company)</w:t>
      </w:r>
      <w:r w:rsidR="00660BD0">
        <w:rPr>
          <w:szCs w:val="22"/>
        </w:rPr>
        <w:t xml:space="preserve"> for officers</w:t>
      </w:r>
      <w:r w:rsidR="00B61885">
        <w:rPr>
          <w:szCs w:val="22"/>
        </w:rPr>
        <w:t xml:space="preserve"> (through their contract of employment)</w:t>
      </w:r>
      <w:r w:rsidR="00660BD0">
        <w:rPr>
          <w:szCs w:val="22"/>
        </w:rPr>
        <w:t xml:space="preserve"> than for </w:t>
      </w:r>
      <w:r w:rsidR="008701C9">
        <w:rPr>
          <w:szCs w:val="22"/>
        </w:rPr>
        <w:t>M</w:t>
      </w:r>
      <w:r w:rsidR="00660BD0">
        <w:rPr>
          <w:szCs w:val="22"/>
        </w:rPr>
        <w:t>embers.</w:t>
      </w:r>
    </w:p>
    <w:p w:rsidR="00133C38" w:rsidRDefault="00133C38" w:rsidP="003A4F04">
      <w:pPr>
        <w:numPr>
          <w:ilvl w:val="1"/>
          <w:numId w:val="17"/>
        </w:numPr>
        <w:rPr>
          <w:szCs w:val="22"/>
        </w:rPr>
      </w:pPr>
      <w:r>
        <w:rPr>
          <w:szCs w:val="22"/>
        </w:rPr>
        <w:lastRenderedPageBreak/>
        <w:t>RentCo (jointly owned with Clarendon Living</w:t>
      </w:r>
      <w:r w:rsidR="00687076">
        <w:rPr>
          <w:szCs w:val="22"/>
        </w:rPr>
        <w:t xml:space="preserve"> Limited</w:t>
      </w:r>
      <w:r w:rsidR="008701C9">
        <w:rPr>
          <w:szCs w:val="22"/>
        </w:rPr>
        <w:t>,</w:t>
      </w:r>
      <w:r>
        <w:rPr>
          <w:szCs w:val="22"/>
        </w:rPr>
        <w:t xml:space="preserve"> a subsidiary of the </w:t>
      </w:r>
      <w:r w:rsidR="008701C9">
        <w:rPr>
          <w:szCs w:val="22"/>
        </w:rPr>
        <w:t xml:space="preserve">WCH </w:t>
      </w:r>
      <w:r>
        <w:rPr>
          <w:szCs w:val="22"/>
        </w:rPr>
        <w:t>Trust) – a company focussed on long term rental – would have four Directors – two TRDC nominees and two Clarendon Living</w:t>
      </w:r>
      <w:r w:rsidR="00687076">
        <w:rPr>
          <w:szCs w:val="22"/>
        </w:rPr>
        <w:t xml:space="preserve"> Limited</w:t>
      </w:r>
      <w:r>
        <w:rPr>
          <w:szCs w:val="22"/>
        </w:rPr>
        <w:t xml:space="preserve"> nominees.</w:t>
      </w:r>
    </w:p>
    <w:p w:rsidR="00133C38" w:rsidRDefault="00133C38" w:rsidP="003A4F04">
      <w:pPr>
        <w:numPr>
          <w:ilvl w:val="1"/>
          <w:numId w:val="17"/>
        </w:numPr>
        <w:rPr>
          <w:szCs w:val="22"/>
        </w:rPr>
      </w:pPr>
      <w:r>
        <w:rPr>
          <w:szCs w:val="22"/>
        </w:rPr>
        <w:t>Sale</w:t>
      </w:r>
      <w:r w:rsidR="003A4F04">
        <w:rPr>
          <w:szCs w:val="22"/>
        </w:rPr>
        <w:t xml:space="preserve"> </w:t>
      </w:r>
      <w:r>
        <w:rPr>
          <w:szCs w:val="22"/>
        </w:rPr>
        <w:t>LLP (jointly owned by TradCo and Clarendon Living</w:t>
      </w:r>
      <w:r w:rsidR="00687076">
        <w:rPr>
          <w:szCs w:val="22"/>
        </w:rPr>
        <w:t xml:space="preserve"> Limited</w:t>
      </w:r>
      <w:r>
        <w:rPr>
          <w:szCs w:val="22"/>
        </w:rPr>
        <w:t xml:space="preserve">) – an entity </w:t>
      </w:r>
      <w:r w:rsidR="008701C9">
        <w:rPr>
          <w:szCs w:val="22"/>
        </w:rPr>
        <w:t xml:space="preserve">that </w:t>
      </w:r>
      <w:r>
        <w:rPr>
          <w:szCs w:val="22"/>
        </w:rPr>
        <w:t xml:space="preserve">focusses on shorter term developments and sale – a partnership </w:t>
      </w:r>
      <w:r w:rsidR="007B3A64">
        <w:rPr>
          <w:szCs w:val="22"/>
        </w:rPr>
        <w:t xml:space="preserve">board </w:t>
      </w:r>
      <w:r>
        <w:rPr>
          <w:szCs w:val="22"/>
        </w:rPr>
        <w:t>with two nominees to the committee from TradCo</w:t>
      </w:r>
      <w:r w:rsidR="004501BE">
        <w:rPr>
          <w:szCs w:val="22"/>
        </w:rPr>
        <w:t xml:space="preserve"> and two from WCHT</w:t>
      </w:r>
      <w:r>
        <w:rPr>
          <w:szCs w:val="22"/>
        </w:rPr>
        <w:t>.</w:t>
      </w:r>
      <w:r w:rsidR="006E7951">
        <w:rPr>
          <w:szCs w:val="22"/>
        </w:rPr>
        <w:t xml:space="preserve"> </w:t>
      </w:r>
    </w:p>
    <w:p w:rsidR="005D0937" w:rsidRDefault="005D0937" w:rsidP="0019689E">
      <w:pPr>
        <w:numPr>
          <w:ilvl w:val="0"/>
          <w:numId w:val="17"/>
        </w:numPr>
        <w:rPr>
          <w:szCs w:val="22"/>
        </w:rPr>
      </w:pPr>
      <w:r>
        <w:rPr>
          <w:szCs w:val="22"/>
          <w:u w:val="single"/>
        </w:rPr>
        <w:t>Approval</w:t>
      </w:r>
      <w:r>
        <w:rPr>
          <w:szCs w:val="22"/>
        </w:rPr>
        <w:t xml:space="preserve"> – The PIB will </w:t>
      </w:r>
      <w:r w:rsidR="00C85908">
        <w:rPr>
          <w:szCs w:val="22"/>
        </w:rPr>
        <w:t>consist</w:t>
      </w:r>
      <w:r w:rsidR="00EE5D30">
        <w:rPr>
          <w:szCs w:val="22"/>
        </w:rPr>
        <w:t xml:space="preserve"> </w:t>
      </w:r>
      <w:r w:rsidR="00C85908">
        <w:rPr>
          <w:szCs w:val="22"/>
        </w:rPr>
        <w:t>solely</w:t>
      </w:r>
      <w:r w:rsidR="00327302">
        <w:rPr>
          <w:szCs w:val="22"/>
        </w:rPr>
        <w:t xml:space="preserve"> of</w:t>
      </w:r>
      <w:r w:rsidR="00C85908">
        <w:rPr>
          <w:szCs w:val="22"/>
        </w:rPr>
        <w:t xml:space="preserve"> </w:t>
      </w:r>
      <w:r w:rsidR="00EE5D30">
        <w:rPr>
          <w:szCs w:val="22"/>
        </w:rPr>
        <w:t xml:space="preserve">officers and </w:t>
      </w:r>
      <w:r>
        <w:rPr>
          <w:szCs w:val="22"/>
        </w:rPr>
        <w:t xml:space="preserve">constitute a membership of </w:t>
      </w:r>
      <w:r w:rsidR="00FB3F7D">
        <w:rPr>
          <w:szCs w:val="22"/>
        </w:rPr>
        <w:t>Chief Executive</w:t>
      </w:r>
      <w:r>
        <w:rPr>
          <w:szCs w:val="22"/>
        </w:rPr>
        <w:t xml:space="preserve">, </w:t>
      </w:r>
      <w:r w:rsidR="00FB3F7D">
        <w:rPr>
          <w:szCs w:val="22"/>
        </w:rPr>
        <w:t>DCES</w:t>
      </w:r>
      <w:r>
        <w:rPr>
          <w:szCs w:val="22"/>
        </w:rPr>
        <w:t xml:space="preserve"> and </w:t>
      </w:r>
      <w:r w:rsidR="00FB3F7D">
        <w:rPr>
          <w:szCs w:val="22"/>
        </w:rPr>
        <w:t>Director of Finance</w:t>
      </w:r>
      <w:r w:rsidR="00EE5D30">
        <w:rPr>
          <w:szCs w:val="22"/>
        </w:rPr>
        <w:t>,</w:t>
      </w:r>
      <w:r>
        <w:rPr>
          <w:szCs w:val="22"/>
        </w:rPr>
        <w:t xml:space="preserve"> or their designated substitutes. </w:t>
      </w:r>
      <w:r w:rsidR="0030623D">
        <w:rPr>
          <w:szCs w:val="22"/>
        </w:rPr>
        <w:t>Delegated decision</w:t>
      </w:r>
      <w:r w:rsidR="00843D90">
        <w:rPr>
          <w:szCs w:val="22"/>
        </w:rPr>
        <w:t>-making</w:t>
      </w:r>
      <w:r w:rsidR="0022018B">
        <w:rPr>
          <w:szCs w:val="22"/>
        </w:rPr>
        <w:t xml:space="preserve"> would rest with the chair of the PIB being</w:t>
      </w:r>
      <w:r w:rsidR="00DB6D7B">
        <w:rPr>
          <w:szCs w:val="22"/>
        </w:rPr>
        <w:t xml:space="preserve"> the Chief Executive</w:t>
      </w:r>
      <w:r w:rsidR="004501BE">
        <w:rPr>
          <w:szCs w:val="22"/>
        </w:rPr>
        <w:t xml:space="preserve"> in consultation with the </w:t>
      </w:r>
      <w:r w:rsidR="002E0198" w:rsidRPr="004E6E34">
        <w:rPr>
          <w:szCs w:val="22"/>
        </w:rPr>
        <w:t>Lead</w:t>
      </w:r>
      <w:r w:rsidR="004501BE" w:rsidRPr="004E6E34">
        <w:rPr>
          <w:szCs w:val="22"/>
        </w:rPr>
        <w:t xml:space="preserve"> Member for Resources</w:t>
      </w:r>
      <w:r w:rsidR="0022018B" w:rsidRPr="004E6E34">
        <w:rPr>
          <w:szCs w:val="22"/>
        </w:rPr>
        <w:t>.</w:t>
      </w:r>
      <w:r w:rsidR="0022018B">
        <w:rPr>
          <w:szCs w:val="22"/>
        </w:rPr>
        <w:t xml:space="preserve">  </w:t>
      </w:r>
      <w:r>
        <w:rPr>
          <w:szCs w:val="22"/>
        </w:rPr>
        <w:t>Depending on the delegation levels ultimately agreed, there may be a variant of the PIB which would include consultation with the Group Leaders.</w:t>
      </w:r>
    </w:p>
    <w:p w:rsidR="00E30489" w:rsidRPr="002B7760" w:rsidRDefault="00E30489" w:rsidP="0019689E">
      <w:pPr>
        <w:numPr>
          <w:ilvl w:val="0"/>
          <w:numId w:val="17"/>
        </w:numPr>
        <w:rPr>
          <w:szCs w:val="22"/>
        </w:rPr>
      </w:pPr>
      <w:r>
        <w:rPr>
          <w:szCs w:val="22"/>
          <w:u w:val="single"/>
        </w:rPr>
        <w:t>Scrutiny</w:t>
      </w:r>
      <w:r>
        <w:rPr>
          <w:szCs w:val="22"/>
        </w:rPr>
        <w:t xml:space="preserve"> – The PSP would be made up of </w:t>
      </w:r>
      <w:r w:rsidR="00B87C77">
        <w:rPr>
          <w:szCs w:val="22"/>
        </w:rPr>
        <w:t>five</w:t>
      </w:r>
      <w:r>
        <w:rPr>
          <w:szCs w:val="22"/>
        </w:rPr>
        <w:t xml:space="preserve"> </w:t>
      </w:r>
      <w:r w:rsidR="00FB3F7D">
        <w:rPr>
          <w:szCs w:val="22"/>
        </w:rPr>
        <w:t>Councillors</w:t>
      </w:r>
      <w:r w:rsidR="00FC72D5">
        <w:rPr>
          <w:szCs w:val="22"/>
        </w:rPr>
        <w:t>, on a non-proportionate basis, upon nomination from each political party.</w:t>
      </w:r>
      <w:r>
        <w:rPr>
          <w:szCs w:val="22"/>
        </w:rPr>
        <w:t xml:space="preserve"> </w:t>
      </w:r>
      <w:r w:rsidR="00465CD8">
        <w:rPr>
          <w:szCs w:val="22"/>
        </w:rPr>
        <w:t xml:space="preserve">It would have </w:t>
      </w:r>
      <w:r w:rsidR="0030623D">
        <w:rPr>
          <w:szCs w:val="22"/>
        </w:rPr>
        <w:t>no decision</w:t>
      </w:r>
      <w:r w:rsidR="00843D90">
        <w:rPr>
          <w:szCs w:val="22"/>
        </w:rPr>
        <w:t>-making</w:t>
      </w:r>
      <w:r w:rsidR="00465CD8">
        <w:rPr>
          <w:szCs w:val="22"/>
        </w:rPr>
        <w:t xml:space="preserve"> powers, right of “call-in” or veto</w:t>
      </w:r>
      <w:r w:rsidR="008701C9">
        <w:rPr>
          <w:szCs w:val="22"/>
        </w:rPr>
        <w:t>.</w:t>
      </w:r>
      <w:r w:rsidR="00465CD8">
        <w:rPr>
          <w:szCs w:val="22"/>
        </w:rPr>
        <w:t xml:space="preserve"> </w:t>
      </w:r>
    </w:p>
    <w:p w:rsidR="002B7760" w:rsidRDefault="002B776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483DBE" w:rsidRDefault="00847309" w:rsidP="001820EA">
      <w:pPr>
        <w:ind w:left="1260" w:hanging="1260"/>
        <w:rPr>
          <w:szCs w:val="22"/>
        </w:rPr>
      </w:pPr>
      <w:r>
        <w:rPr>
          <w:rFonts w:eastAsia="Calibri" w:cs="Arial"/>
          <w:szCs w:val="22"/>
          <w:lang w:eastAsia="en-US"/>
        </w:rPr>
        <w:t>2.</w:t>
      </w:r>
      <w:r w:rsidR="009E0907">
        <w:rPr>
          <w:rFonts w:eastAsia="Calibri" w:cs="Arial"/>
          <w:szCs w:val="22"/>
          <w:lang w:eastAsia="en-US"/>
        </w:rPr>
        <w:t>1</w:t>
      </w:r>
      <w:r w:rsidR="004501BE">
        <w:rPr>
          <w:rFonts w:eastAsia="Calibri" w:cs="Arial"/>
          <w:szCs w:val="22"/>
          <w:lang w:eastAsia="en-US"/>
        </w:rPr>
        <w:t>4</w:t>
      </w:r>
      <w:r w:rsidR="002B7760">
        <w:rPr>
          <w:rFonts w:eastAsia="Calibri" w:cs="Arial"/>
          <w:szCs w:val="22"/>
          <w:lang w:eastAsia="en-US"/>
        </w:rPr>
        <w:tab/>
      </w:r>
      <w:r w:rsidR="00483DBE">
        <w:rPr>
          <w:szCs w:val="22"/>
        </w:rPr>
        <w:t>The three governance</w:t>
      </w:r>
      <w:r>
        <w:rPr>
          <w:szCs w:val="22"/>
        </w:rPr>
        <w:t xml:space="preserve"> </w:t>
      </w:r>
      <w:r w:rsidR="00327302">
        <w:rPr>
          <w:szCs w:val="22"/>
        </w:rPr>
        <w:t xml:space="preserve">levels discussed </w:t>
      </w:r>
      <w:r w:rsidR="00483DBE">
        <w:rPr>
          <w:szCs w:val="22"/>
        </w:rPr>
        <w:t>a</w:t>
      </w:r>
      <w:r w:rsidR="00E17FBF">
        <w:rPr>
          <w:szCs w:val="22"/>
        </w:rPr>
        <w:t>bove require delegated</w:t>
      </w:r>
      <w:r w:rsidR="00483DBE">
        <w:rPr>
          <w:szCs w:val="22"/>
        </w:rPr>
        <w:t xml:space="preserve"> authority, beyond which the matter has to be referred upwards:-</w:t>
      </w:r>
    </w:p>
    <w:p w:rsidR="00483DBE" w:rsidRDefault="00483DBE" w:rsidP="001820EA">
      <w:pPr>
        <w:ind w:left="1260" w:hanging="1260"/>
        <w:rPr>
          <w:szCs w:val="22"/>
        </w:rPr>
      </w:pPr>
    </w:p>
    <w:p w:rsidR="002B7760" w:rsidRPr="00AB208B" w:rsidRDefault="00483DBE" w:rsidP="00AB208B">
      <w:pPr>
        <w:numPr>
          <w:ilvl w:val="0"/>
          <w:numId w:val="19"/>
        </w:numPr>
        <w:rPr>
          <w:szCs w:val="22"/>
          <w:u w:val="single"/>
        </w:rPr>
      </w:pPr>
      <w:r w:rsidRPr="00483DBE">
        <w:rPr>
          <w:szCs w:val="22"/>
          <w:u w:val="single"/>
        </w:rPr>
        <w:t>Operational</w:t>
      </w:r>
      <w:r>
        <w:rPr>
          <w:szCs w:val="22"/>
        </w:rPr>
        <w:t xml:space="preserve"> – </w:t>
      </w:r>
      <w:r w:rsidR="0022018B">
        <w:rPr>
          <w:szCs w:val="22"/>
        </w:rPr>
        <w:t>In respect of Direct Activity</w:t>
      </w:r>
      <w:r w:rsidR="008701C9">
        <w:rPr>
          <w:szCs w:val="22"/>
        </w:rPr>
        <w:t>,</w:t>
      </w:r>
      <w:r w:rsidR="0022018B">
        <w:rPr>
          <w:szCs w:val="22"/>
        </w:rPr>
        <w:t xml:space="preserve"> operational decision can only be taken within delegated authority.  </w:t>
      </w:r>
      <w:r>
        <w:rPr>
          <w:szCs w:val="22"/>
        </w:rPr>
        <w:t xml:space="preserve">All </w:t>
      </w:r>
      <w:r w:rsidR="00E17FBF">
        <w:rPr>
          <w:szCs w:val="22"/>
        </w:rPr>
        <w:t xml:space="preserve">specifically </w:t>
      </w:r>
      <w:r>
        <w:rPr>
          <w:szCs w:val="22"/>
        </w:rPr>
        <w:t>formed trading compani</w:t>
      </w:r>
      <w:r w:rsidR="00AB208B">
        <w:rPr>
          <w:szCs w:val="22"/>
        </w:rPr>
        <w:t>es, referred to here</w:t>
      </w:r>
      <w:r>
        <w:rPr>
          <w:szCs w:val="22"/>
        </w:rPr>
        <w:t xml:space="preserve"> as TradCo, SaleLLP and RentCo</w:t>
      </w:r>
      <w:r w:rsidR="00D62BD2">
        <w:rPr>
          <w:szCs w:val="22"/>
        </w:rPr>
        <w:t>,</w:t>
      </w:r>
      <w:r>
        <w:rPr>
          <w:szCs w:val="22"/>
        </w:rPr>
        <w:t xml:space="preserve"> will have their own establishment documentation (e.g. Articles of Association</w:t>
      </w:r>
      <w:r w:rsidR="00327302">
        <w:rPr>
          <w:szCs w:val="22"/>
        </w:rPr>
        <w:t xml:space="preserve"> and Shareholders</w:t>
      </w:r>
      <w:r w:rsidR="0022018B">
        <w:rPr>
          <w:szCs w:val="22"/>
        </w:rPr>
        <w:t>’/Governance</w:t>
      </w:r>
      <w:r w:rsidR="00327302">
        <w:rPr>
          <w:szCs w:val="22"/>
        </w:rPr>
        <w:t xml:space="preserve"> Agreement</w:t>
      </w:r>
      <w:r>
        <w:rPr>
          <w:szCs w:val="22"/>
        </w:rPr>
        <w:t>) and distinct business plan</w:t>
      </w:r>
      <w:r w:rsidR="00AC7D96">
        <w:rPr>
          <w:szCs w:val="22"/>
        </w:rPr>
        <w:t xml:space="preserve"> wh</w:t>
      </w:r>
      <w:r w:rsidR="00327302">
        <w:rPr>
          <w:szCs w:val="22"/>
        </w:rPr>
        <w:t xml:space="preserve">ich </w:t>
      </w:r>
      <w:r w:rsidR="00AC7D96">
        <w:rPr>
          <w:szCs w:val="22"/>
        </w:rPr>
        <w:t xml:space="preserve">will </w:t>
      </w:r>
      <w:r w:rsidR="00327302">
        <w:rPr>
          <w:szCs w:val="22"/>
        </w:rPr>
        <w:t xml:space="preserve">explicitly </w:t>
      </w:r>
      <w:r w:rsidR="00AC7D96">
        <w:rPr>
          <w:szCs w:val="22"/>
        </w:rPr>
        <w:t>set</w:t>
      </w:r>
      <w:r w:rsidR="00AB208B">
        <w:rPr>
          <w:szCs w:val="22"/>
        </w:rPr>
        <w:t xml:space="preserve"> budgeted </w:t>
      </w:r>
      <w:r w:rsidR="00AB208B" w:rsidRPr="00AB208B">
        <w:rPr>
          <w:szCs w:val="22"/>
        </w:rPr>
        <w:t xml:space="preserve">income </w:t>
      </w:r>
      <w:r w:rsidR="00AB208B">
        <w:rPr>
          <w:szCs w:val="22"/>
        </w:rPr>
        <w:t xml:space="preserve">&amp; expenditure </w:t>
      </w:r>
      <w:r w:rsidR="00AB208B" w:rsidRPr="00AB208B">
        <w:rPr>
          <w:szCs w:val="22"/>
        </w:rPr>
        <w:t>levels</w:t>
      </w:r>
      <w:r w:rsidR="00AB208B">
        <w:rPr>
          <w:szCs w:val="22"/>
        </w:rPr>
        <w:t xml:space="preserve"> and performance criteria</w:t>
      </w:r>
      <w:r w:rsidR="00AB208B" w:rsidRPr="00AB208B">
        <w:rPr>
          <w:szCs w:val="22"/>
        </w:rPr>
        <w:t>. Authority to diverge</w:t>
      </w:r>
      <w:r w:rsidR="00AB208B">
        <w:rPr>
          <w:szCs w:val="22"/>
        </w:rPr>
        <w:t xml:space="preserve"> from those levels will require upwards approval</w:t>
      </w:r>
      <w:r w:rsidR="0022018B">
        <w:rPr>
          <w:szCs w:val="22"/>
        </w:rPr>
        <w:t xml:space="preserve"> to the relevant shareholder.</w:t>
      </w:r>
    </w:p>
    <w:p w:rsidR="0022018B" w:rsidRPr="003A4F04" w:rsidRDefault="00AB208B" w:rsidP="00AB208B">
      <w:pPr>
        <w:numPr>
          <w:ilvl w:val="0"/>
          <w:numId w:val="19"/>
        </w:numPr>
        <w:rPr>
          <w:szCs w:val="22"/>
          <w:u w:val="single"/>
        </w:rPr>
      </w:pPr>
      <w:r>
        <w:rPr>
          <w:szCs w:val="22"/>
          <w:u w:val="single"/>
        </w:rPr>
        <w:t>Approval</w:t>
      </w:r>
      <w:r>
        <w:rPr>
          <w:szCs w:val="22"/>
        </w:rPr>
        <w:t xml:space="preserve"> – There will be two levels within the PIB. </w:t>
      </w:r>
    </w:p>
    <w:p w:rsidR="0022018B" w:rsidRPr="003A4F04" w:rsidRDefault="00AB208B" w:rsidP="003A4F04">
      <w:pPr>
        <w:numPr>
          <w:ilvl w:val="1"/>
          <w:numId w:val="19"/>
        </w:numPr>
        <w:rPr>
          <w:szCs w:val="22"/>
          <w:u w:val="single"/>
        </w:rPr>
      </w:pPr>
      <w:r>
        <w:rPr>
          <w:szCs w:val="22"/>
        </w:rPr>
        <w:t>The first and primary level will be that made up of the</w:t>
      </w:r>
      <w:r w:rsidR="00FB3F7D">
        <w:rPr>
          <w:szCs w:val="22"/>
        </w:rPr>
        <w:t xml:space="preserve"> </w:t>
      </w:r>
      <w:r>
        <w:rPr>
          <w:szCs w:val="22"/>
        </w:rPr>
        <w:t>three Executive Directors (</w:t>
      </w:r>
      <w:r w:rsidR="00354E0C">
        <w:rPr>
          <w:szCs w:val="22"/>
        </w:rPr>
        <w:t>Chief Executive</w:t>
      </w:r>
      <w:r>
        <w:rPr>
          <w:szCs w:val="22"/>
        </w:rPr>
        <w:t xml:space="preserve">, </w:t>
      </w:r>
      <w:r w:rsidR="00354E0C">
        <w:rPr>
          <w:szCs w:val="22"/>
        </w:rPr>
        <w:t>DCES</w:t>
      </w:r>
      <w:r>
        <w:rPr>
          <w:szCs w:val="22"/>
        </w:rPr>
        <w:t xml:space="preserve"> &amp; </w:t>
      </w:r>
      <w:r w:rsidR="00354E0C">
        <w:rPr>
          <w:szCs w:val="22"/>
        </w:rPr>
        <w:t>Director of Finance</w:t>
      </w:r>
      <w:r>
        <w:rPr>
          <w:szCs w:val="22"/>
        </w:rPr>
        <w:t>) who will receive new busin</w:t>
      </w:r>
      <w:r w:rsidR="00AC7D96">
        <w:rPr>
          <w:szCs w:val="22"/>
        </w:rPr>
        <w:t xml:space="preserve">ess proposals and </w:t>
      </w:r>
      <w:r w:rsidR="0022018B">
        <w:rPr>
          <w:szCs w:val="22"/>
        </w:rPr>
        <w:t xml:space="preserve">the chair of the PIB will </w:t>
      </w:r>
      <w:r w:rsidR="00AC7D96">
        <w:rPr>
          <w:szCs w:val="22"/>
        </w:rPr>
        <w:t>have</w:t>
      </w:r>
      <w:r>
        <w:rPr>
          <w:szCs w:val="22"/>
        </w:rPr>
        <w:t xml:space="preserve"> power</w:t>
      </w:r>
      <w:r w:rsidR="0022018B">
        <w:rPr>
          <w:szCs w:val="22"/>
        </w:rPr>
        <w:t xml:space="preserve"> following consultation with the other two Executive Directors</w:t>
      </w:r>
      <w:r>
        <w:rPr>
          <w:szCs w:val="22"/>
        </w:rPr>
        <w:t xml:space="preserve"> </w:t>
      </w:r>
      <w:r w:rsidR="00354E0C">
        <w:rPr>
          <w:szCs w:val="22"/>
        </w:rPr>
        <w:t xml:space="preserve">and the </w:t>
      </w:r>
      <w:r w:rsidR="002E0198" w:rsidRPr="004E6E34">
        <w:rPr>
          <w:szCs w:val="22"/>
        </w:rPr>
        <w:t>Lead</w:t>
      </w:r>
      <w:r w:rsidR="00354E0C" w:rsidRPr="004E6E34">
        <w:rPr>
          <w:szCs w:val="22"/>
        </w:rPr>
        <w:t xml:space="preserve"> Member for Resources</w:t>
      </w:r>
      <w:r w:rsidR="00354E0C">
        <w:rPr>
          <w:szCs w:val="22"/>
        </w:rPr>
        <w:t xml:space="preserve"> </w:t>
      </w:r>
      <w:r>
        <w:rPr>
          <w:szCs w:val="22"/>
        </w:rPr>
        <w:t>to approve acquisitions</w:t>
      </w:r>
      <w:r w:rsidR="00EF423F">
        <w:rPr>
          <w:szCs w:val="22"/>
        </w:rPr>
        <w:t xml:space="preserve"> with adequate business cases and complete due diligence in place up to a</w:t>
      </w:r>
      <w:r w:rsidR="00354E0C">
        <w:rPr>
          <w:szCs w:val="22"/>
        </w:rPr>
        <w:t xml:space="preserve"> total scheme cost</w:t>
      </w:r>
      <w:r w:rsidR="00EF423F">
        <w:rPr>
          <w:szCs w:val="22"/>
        </w:rPr>
        <w:t xml:space="preserve"> of £5million and with a forecast return of 5% gross p.a. </w:t>
      </w:r>
    </w:p>
    <w:p w:rsidR="00AB208B" w:rsidRPr="00EF423F" w:rsidRDefault="00EF423F" w:rsidP="003A4F04">
      <w:pPr>
        <w:numPr>
          <w:ilvl w:val="1"/>
          <w:numId w:val="19"/>
        </w:numPr>
        <w:rPr>
          <w:szCs w:val="22"/>
          <w:u w:val="single"/>
        </w:rPr>
      </w:pPr>
      <w:r>
        <w:rPr>
          <w:szCs w:val="22"/>
        </w:rPr>
        <w:t>Where a new business proposal has a</w:t>
      </w:r>
      <w:r w:rsidR="00354E0C">
        <w:rPr>
          <w:szCs w:val="22"/>
        </w:rPr>
        <w:t xml:space="preserve"> total scheme cost</w:t>
      </w:r>
      <w:r>
        <w:rPr>
          <w:szCs w:val="22"/>
        </w:rPr>
        <w:t xml:space="preserve"> in excess of £5million but less than £10million, all other criteria being within parameters, then the approval would be subject to the </w:t>
      </w:r>
      <w:r w:rsidR="0022018B">
        <w:rPr>
          <w:szCs w:val="22"/>
        </w:rPr>
        <w:t xml:space="preserve">chair of the </w:t>
      </w:r>
      <w:r>
        <w:rPr>
          <w:szCs w:val="22"/>
        </w:rPr>
        <w:t>PIB agreeing the</w:t>
      </w:r>
      <w:r w:rsidR="00AC7D96">
        <w:rPr>
          <w:szCs w:val="22"/>
        </w:rPr>
        <w:t xml:space="preserve"> matter </w:t>
      </w:r>
      <w:r w:rsidR="0022018B">
        <w:rPr>
          <w:szCs w:val="22"/>
        </w:rPr>
        <w:t xml:space="preserve">following </w:t>
      </w:r>
      <w:r w:rsidR="00AC7D96">
        <w:rPr>
          <w:szCs w:val="22"/>
        </w:rPr>
        <w:t>consultation with</w:t>
      </w:r>
      <w:r>
        <w:rPr>
          <w:szCs w:val="22"/>
        </w:rPr>
        <w:t xml:space="preserve"> </w:t>
      </w:r>
      <w:r w:rsidR="00354E0C">
        <w:rPr>
          <w:szCs w:val="22"/>
        </w:rPr>
        <w:t xml:space="preserve">the </w:t>
      </w:r>
      <w:r w:rsidR="002E0198" w:rsidRPr="004E6E34">
        <w:rPr>
          <w:szCs w:val="22"/>
        </w:rPr>
        <w:t>Lead</w:t>
      </w:r>
      <w:r w:rsidR="00354E0C" w:rsidRPr="004E6E34">
        <w:rPr>
          <w:szCs w:val="22"/>
        </w:rPr>
        <w:t xml:space="preserve"> Member for Resources</w:t>
      </w:r>
      <w:r w:rsidR="00354E0C">
        <w:rPr>
          <w:szCs w:val="22"/>
        </w:rPr>
        <w:t xml:space="preserve"> and the </w:t>
      </w:r>
      <w:r>
        <w:rPr>
          <w:szCs w:val="22"/>
        </w:rPr>
        <w:t>Group Leaders.</w:t>
      </w:r>
    </w:p>
    <w:p w:rsidR="001820EA" w:rsidRPr="001820EA" w:rsidRDefault="00EF423F" w:rsidP="00391E75">
      <w:pPr>
        <w:numPr>
          <w:ilvl w:val="0"/>
          <w:numId w:val="19"/>
        </w:numPr>
        <w:rPr>
          <w:rFonts w:eastAsia="Calibri" w:cs="Arial"/>
          <w:szCs w:val="22"/>
          <w:lang w:eastAsia="en-US"/>
        </w:rPr>
      </w:pPr>
      <w:r>
        <w:rPr>
          <w:szCs w:val="22"/>
          <w:u w:val="single"/>
        </w:rPr>
        <w:t>Scrutiny</w:t>
      </w:r>
      <w:r>
        <w:rPr>
          <w:szCs w:val="22"/>
        </w:rPr>
        <w:t xml:space="preserve"> – The PSP will not have any direct delegated powers</w:t>
      </w:r>
      <w:r w:rsidR="00AC7D96">
        <w:rPr>
          <w:szCs w:val="22"/>
        </w:rPr>
        <w:t xml:space="preserve"> to approve expenditure</w:t>
      </w:r>
      <w:r w:rsidR="00D62BD2">
        <w:rPr>
          <w:szCs w:val="22"/>
        </w:rPr>
        <w:t>,</w:t>
      </w:r>
      <w:r w:rsidR="00AC7D96">
        <w:rPr>
          <w:szCs w:val="22"/>
        </w:rPr>
        <w:t xml:space="preserve"> so if a proposal exceeds </w:t>
      </w:r>
      <w:r w:rsidR="00922096">
        <w:rPr>
          <w:szCs w:val="22"/>
        </w:rPr>
        <w:t>the delegations under Approval</w:t>
      </w:r>
      <w:r w:rsidR="00D62BD2">
        <w:rPr>
          <w:szCs w:val="22"/>
        </w:rPr>
        <w:t>, the</w:t>
      </w:r>
      <w:r w:rsidR="00AC7D96">
        <w:rPr>
          <w:szCs w:val="22"/>
        </w:rPr>
        <w:t xml:space="preserve"> matter has to be referred to the Committee (called exceptionally if necessary for urgency reasons) for approval. This would include a case where for instance a proposal was for an initial be</w:t>
      </w:r>
      <w:r w:rsidR="00D62BD2">
        <w:rPr>
          <w:szCs w:val="22"/>
        </w:rPr>
        <w:t>low</w:t>
      </w:r>
      <w:r w:rsidR="008701C9">
        <w:rPr>
          <w:szCs w:val="22"/>
        </w:rPr>
        <w:t>-</w:t>
      </w:r>
      <w:r w:rsidR="00AC7D96">
        <w:rPr>
          <w:szCs w:val="22"/>
        </w:rPr>
        <w:t>target</w:t>
      </w:r>
      <w:r w:rsidR="00D62BD2">
        <w:rPr>
          <w:szCs w:val="22"/>
        </w:rPr>
        <w:t xml:space="preserve"> yield</w:t>
      </w:r>
      <w:r w:rsidR="00AC7D96">
        <w:rPr>
          <w:szCs w:val="22"/>
        </w:rPr>
        <w:t>, but was forecast to exceed the required levels at a later date.</w:t>
      </w:r>
      <w:r w:rsidR="001820EA" w:rsidRPr="001820EA">
        <w:rPr>
          <w:szCs w:val="22"/>
        </w:rPr>
        <w:t xml:space="preserve"> </w:t>
      </w:r>
    </w:p>
    <w:p w:rsidR="004F158F" w:rsidRDefault="004F158F" w:rsidP="00603A00">
      <w:pPr>
        <w:keepNext/>
        <w:ind w:left="1267" w:hanging="1267"/>
        <w:rPr>
          <w:rFonts w:cs="Arial"/>
          <w:b/>
          <w:szCs w:val="22"/>
        </w:rPr>
      </w:pPr>
    </w:p>
    <w:p w:rsidR="00603A00" w:rsidRPr="00603A00" w:rsidRDefault="00603A00" w:rsidP="00603A00">
      <w:pPr>
        <w:keepNext/>
        <w:ind w:left="1267" w:hanging="1267"/>
        <w:rPr>
          <w:rFonts w:cs="Arial"/>
          <w:b/>
          <w:szCs w:val="22"/>
        </w:rPr>
      </w:pPr>
      <w:r>
        <w:rPr>
          <w:rFonts w:cs="Arial"/>
          <w:b/>
          <w:szCs w:val="22"/>
        </w:rPr>
        <w:tab/>
      </w:r>
      <w:r w:rsidR="00847309">
        <w:rPr>
          <w:rFonts w:cs="Arial"/>
          <w:b/>
          <w:szCs w:val="22"/>
        </w:rPr>
        <w:t>Documentation</w:t>
      </w:r>
    </w:p>
    <w:p w:rsidR="00603A00" w:rsidRDefault="00603A0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A6560A" w:rsidRDefault="00847309" w:rsidP="00A6560A">
      <w:pPr>
        <w:ind w:left="1260" w:hanging="1260"/>
        <w:rPr>
          <w:szCs w:val="22"/>
        </w:rPr>
      </w:pPr>
      <w:r>
        <w:rPr>
          <w:rFonts w:eastAsia="Calibri" w:cs="Arial"/>
          <w:szCs w:val="22"/>
          <w:lang w:eastAsia="en-US"/>
        </w:rPr>
        <w:t>2.</w:t>
      </w:r>
      <w:r w:rsidR="009E0907">
        <w:rPr>
          <w:rFonts w:eastAsia="Calibri" w:cs="Arial"/>
          <w:szCs w:val="22"/>
          <w:lang w:eastAsia="en-US"/>
        </w:rPr>
        <w:t>1</w:t>
      </w:r>
      <w:r w:rsidR="00646F7F">
        <w:rPr>
          <w:rFonts w:eastAsia="Calibri" w:cs="Arial"/>
          <w:szCs w:val="22"/>
          <w:lang w:eastAsia="en-US"/>
        </w:rPr>
        <w:t>5</w:t>
      </w:r>
      <w:r w:rsidR="00603A00">
        <w:rPr>
          <w:rFonts w:eastAsia="Calibri" w:cs="Arial"/>
          <w:szCs w:val="22"/>
          <w:lang w:eastAsia="en-US"/>
        </w:rPr>
        <w:tab/>
      </w:r>
      <w:r w:rsidR="00A6560A">
        <w:rPr>
          <w:rFonts w:eastAsia="Calibri" w:cs="Arial"/>
          <w:szCs w:val="22"/>
          <w:lang w:eastAsia="en-US"/>
        </w:rPr>
        <w:t xml:space="preserve">The key documentation </w:t>
      </w:r>
      <w:r w:rsidR="00A6560A">
        <w:rPr>
          <w:szCs w:val="22"/>
        </w:rPr>
        <w:t>for the formation of the required commercial entities</w:t>
      </w:r>
      <w:r w:rsidR="00A6560A">
        <w:rPr>
          <w:rFonts w:eastAsia="Calibri" w:cs="Arial"/>
          <w:szCs w:val="22"/>
          <w:lang w:eastAsia="en-US"/>
        </w:rPr>
        <w:t xml:space="preserve"> is as follows, and attached as appendices</w:t>
      </w:r>
      <w:r w:rsidR="00A6560A">
        <w:rPr>
          <w:szCs w:val="22"/>
        </w:rPr>
        <w:t>:-</w:t>
      </w:r>
      <w:r w:rsidR="00A6560A" w:rsidRPr="00B65EB3">
        <w:rPr>
          <w:szCs w:val="22"/>
        </w:rPr>
        <w:t xml:space="preserve"> </w:t>
      </w:r>
      <w:r w:rsidR="00A6560A">
        <w:rPr>
          <w:szCs w:val="22"/>
        </w:rPr>
        <w:t xml:space="preserve"> </w:t>
      </w:r>
    </w:p>
    <w:p w:rsidR="00A6560A" w:rsidRDefault="00A6560A" w:rsidP="00A6560A">
      <w:pPr>
        <w:ind w:left="1260" w:hanging="1260"/>
        <w:rPr>
          <w:szCs w:val="22"/>
        </w:rPr>
      </w:pPr>
    </w:p>
    <w:p w:rsidR="00922096" w:rsidRDefault="00A6560A" w:rsidP="00A6560A">
      <w:pPr>
        <w:numPr>
          <w:ilvl w:val="0"/>
          <w:numId w:val="20"/>
        </w:numPr>
        <w:rPr>
          <w:szCs w:val="22"/>
        </w:rPr>
      </w:pPr>
      <w:r w:rsidRPr="00C03D1F">
        <w:rPr>
          <w:szCs w:val="22"/>
        </w:rPr>
        <w:t>TradCo</w:t>
      </w:r>
      <w:r>
        <w:rPr>
          <w:szCs w:val="22"/>
        </w:rPr>
        <w:t xml:space="preserve"> – </w:t>
      </w:r>
      <w:r w:rsidR="00F12A39">
        <w:rPr>
          <w:szCs w:val="22"/>
        </w:rPr>
        <w:t xml:space="preserve">Draft </w:t>
      </w:r>
      <w:r>
        <w:rPr>
          <w:szCs w:val="22"/>
        </w:rPr>
        <w:t>Articles of Association (at appendix B)</w:t>
      </w:r>
    </w:p>
    <w:p w:rsidR="00A6560A" w:rsidRDefault="00922096" w:rsidP="00A6560A">
      <w:pPr>
        <w:numPr>
          <w:ilvl w:val="0"/>
          <w:numId w:val="20"/>
        </w:numPr>
        <w:rPr>
          <w:szCs w:val="22"/>
        </w:rPr>
      </w:pPr>
      <w:r>
        <w:rPr>
          <w:szCs w:val="22"/>
        </w:rPr>
        <w:t>TradCo – Governance Agreement (at appendix C)</w:t>
      </w:r>
      <w:r w:rsidR="00A6560A">
        <w:rPr>
          <w:szCs w:val="22"/>
        </w:rPr>
        <w:t xml:space="preserve"> </w:t>
      </w:r>
    </w:p>
    <w:p w:rsidR="00C03D1F" w:rsidRDefault="00C03D1F" w:rsidP="00A6560A">
      <w:pPr>
        <w:numPr>
          <w:ilvl w:val="0"/>
          <w:numId w:val="20"/>
        </w:numPr>
        <w:rPr>
          <w:szCs w:val="22"/>
        </w:rPr>
      </w:pPr>
      <w:r>
        <w:rPr>
          <w:szCs w:val="22"/>
        </w:rPr>
        <w:lastRenderedPageBreak/>
        <w:t xml:space="preserve">Sale LLP – </w:t>
      </w:r>
      <w:r w:rsidR="00F12A39">
        <w:rPr>
          <w:szCs w:val="22"/>
        </w:rPr>
        <w:t xml:space="preserve">Draft </w:t>
      </w:r>
      <w:r>
        <w:rPr>
          <w:szCs w:val="22"/>
        </w:rPr>
        <w:t xml:space="preserve">Membership Agreement (at appendix </w:t>
      </w:r>
      <w:r w:rsidR="00922096">
        <w:rPr>
          <w:szCs w:val="22"/>
        </w:rPr>
        <w:t>D</w:t>
      </w:r>
      <w:r>
        <w:rPr>
          <w:szCs w:val="22"/>
        </w:rPr>
        <w:t>)</w:t>
      </w:r>
    </w:p>
    <w:p w:rsidR="00C03D1F" w:rsidRDefault="00C03D1F" w:rsidP="00C03D1F">
      <w:pPr>
        <w:numPr>
          <w:ilvl w:val="0"/>
          <w:numId w:val="20"/>
        </w:numPr>
        <w:rPr>
          <w:szCs w:val="22"/>
        </w:rPr>
      </w:pPr>
      <w:r w:rsidRPr="00C03D1F">
        <w:rPr>
          <w:szCs w:val="22"/>
        </w:rPr>
        <w:t>RentCo</w:t>
      </w:r>
      <w:r>
        <w:rPr>
          <w:szCs w:val="22"/>
        </w:rPr>
        <w:t xml:space="preserve"> – </w:t>
      </w:r>
      <w:r w:rsidR="00F12A39">
        <w:rPr>
          <w:szCs w:val="22"/>
        </w:rPr>
        <w:t xml:space="preserve">Draft </w:t>
      </w:r>
      <w:r>
        <w:rPr>
          <w:szCs w:val="22"/>
        </w:rPr>
        <w:t xml:space="preserve">Articles of Association (at appendix </w:t>
      </w:r>
      <w:r w:rsidR="00922096">
        <w:rPr>
          <w:szCs w:val="22"/>
        </w:rPr>
        <w:t>E</w:t>
      </w:r>
      <w:r>
        <w:rPr>
          <w:szCs w:val="22"/>
        </w:rPr>
        <w:t>)</w:t>
      </w:r>
    </w:p>
    <w:p w:rsidR="00FB3F7D" w:rsidRDefault="00C03D1F" w:rsidP="00FB3F7D">
      <w:pPr>
        <w:numPr>
          <w:ilvl w:val="0"/>
          <w:numId w:val="20"/>
        </w:numPr>
        <w:tabs>
          <w:tab w:val="clear" w:pos="1260"/>
          <w:tab w:val="clear" w:pos="1980"/>
          <w:tab w:val="clear" w:pos="2700"/>
          <w:tab w:val="clear" w:pos="3420"/>
        </w:tabs>
        <w:spacing w:after="200" w:line="276" w:lineRule="auto"/>
        <w:contextualSpacing/>
        <w:jc w:val="left"/>
        <w:rPr>
          <w:rFonts w:eastAsia="Calibri" w:cs="Arial"/>
          <w:szCs w:val="22"/>
          <w:lang w:eastAsia="en-US"/>
        </w:rPr>
      </w:pPr>
      <w:r w:rsidRPr="00AB3AE3">
        <w:rPr>
          <w:szCs w:val="22"/>
        </w:rPr>
        <w:t xml:space="preserve">RentCo – </w:t>
      </w:r>
      <w:r w:rsidR="00F12A39">
        <w:rPr>
          <w:szCs w:val="22"/>
        </w:rPr>
        <w:t xml:space="preserve">Draft </w:t>
      </w:r>
      <w:r w:rsidRPr="00AB3AE3">
        <w:rPr>
          <w:szCs w:val="22"/>
        </w:rPr>
        <w:t xml:space="preserve">Shareholders Agreement (at appendix </w:t>
      </w:r>
      <w:r w:rsidR="00922096">
        <w:rPr>
          <w:szCs w:val="22"/>
        </w:rPr>
        <w:t>F</w:t>
      </w:r>
      <w:r w:rsidRPr="00AB3AE3">
        <w:rPr>
          <w:szCs w:val="22"/>
        </w:rPr>
        <w:t>)</w:t>
      </w:r>
      <w:r w:rsidR="00AB3AE3" w:rsidRPr="00AB3AE3">
        <w:rPr>
          <w:szCs w:val="22"/>
        </w:rPr>
        <w:t xml:space="preserve"> </w:t>
      </w:r>
    </w:p>
    <w:p w:rsidR="00FB3F7D" w:rsidRPr="00FB3F7D" w:rsidRDefault="00FB3F7D" w:rsidP="00FB3F7D">
      <w:pPr>
        <w:tabs>
          <w:tab w:val="clear" w:pos="1260"/>
          <w:tab w:val="clear" w:pos="1980"/>
          <w:tab w:val="clear" w:pos="2700"/>
          <w:tab w:val="clear" w:pos="3420"/>
        </w:tabs>
        <w:spacing w:after="200" w:line="276" w:lineRule="auto"/>
        <w:ind w:left="1980"/>
        <w:contextualSpacing/>
        <w:jc w:val="left"/>
        <w:rPr>
          <w:rFonts w:eastAsia="Calibri" w:cs="Arial"/>
          <w:szCs w:val="22"/>
          <w:lang w:eastAsia="en-US"/>
        </w:rPr>
      </w:pPr>
    </w:p>
    <w:p w:rsidR="00603A00" w:rsidRPr="00603A00" w:rsidRDefault="002B7760" w:rsidP="00847309">
      <w:pPr>
        <w:ind w:left="1260" w:hanging="1260"/>
        <w:rPr>
          <w:rFonts w:eastAsia="Calibri" w:cs="Arial"/>
          <w:szCs w:val="22"/>
          <w:lang w:eastAsia="en-US"/>
        </w:rPr>
      </w:pPr>
      <w:r>
        <w:rPr>
          <w:rFonts w:eastAsia="Calibri" w:cs="Arial"/>
          <w:szCs w:val="22"/>
          <w:lang w:eastAsia="en-US"/>
        </w:rPr>
        <w:t>2.</w:t>
      </w:r>
      <w:r w:rsidR="009E0907">
        <w:rPr>
          <w:rFonts w:eastAsia="Calibri" w:cs="Arial"/>
          <w:szCs w:val="22"/>
          <w:lang w:eastAsia="en-US"/>
        </w:rPr>
        <w:t>1</w:t>
      </w:r>
      <w:r w:rsidR="00646F7F">
        <w:rPr>
          <w:rFonts w:eastAsia="Calibri" w:cs="Arial"/>
          <w:szCs w:val="22"/>
          <w:lang w:eastAsia="en-US"/>
        </w:rPr>
        <w:t>6</w:t>
      </w:r>
      <w:r w:rsidR="00603A00">
        <w:rPr>
          <w:rFonts w:eastAsia="Calibri" w:cs="Arial"/>
          <w:szCs w:val="22"/>
          <w:lang w:eastAsia="en-US"/>
        </w:rPr>
        <w:tab/>
      </w:r>
      <w:r w:rsidR="00C03D1F">
        <w:rPr>
          <w:rFonts w:eastAsia="Calibri" w:cs="Arial"/>
          <w:szCs w:val="22"/>
          <w:lang w:eastAsia="en-US"/>
        </w:rPr>
        <w:t>The formation of TradCo was discussed at P&amp;R Committee on 27</w:t>
      </w:r>
      <w:r w:rsidR="00C03D1F" w:rsidRPr="00C03D1F">
        <w:rPr>
          <w:rFonts w:eastAsia="Calibri" w:cs="Arial"/>
          <w:szCs w:val="22"/>
          <w:vertAlign w:val="superscript"/>
          <w:lang w:eastAsia="en-US"/>
        </w:rPr>
        <w:t>th</w:t>
      </w:r>
      <w:r w:rsidR="00C03D1F">
        <w:rPr>
          <w:rFonts w:eastAsia="Calibri" w:cs="Arial"/>
          <w:szCs w:val="22"/>
          <w:lang w:eastAsia="en-US"/>
        </w:rPr>
        <w:t xml:space="preserve"> February </w:t>
      </w:r>
      <w:r w:rsidR="00D51EC5">
        <w:rPr>
          <w:rFonts w:eastAsia="Calibri" w:cs="Arial"/>
          <w:szCs w:val="22"/>
          <w:lang w:eastAsia="en-US"/>
        </w:rPr>
        <w:t xml:space="preserve">2017 </w:t>
      </w:r>
      <w:r w:rsidR="00297F41">
        <w:rPr>
          <w:rFonts w:eastAsia="Calibri" w:cs="Arial"/>
          <w:szCs w:val="22"/>
          <w:lang w:eastAsia="en-US"/>
        </w:rPr>
        <w:t xml:space="preserve">(item 6) </w:t>
      </w:r>
      <w:r w:rsidR="00C03D1F">
        <w:rPr>
          <w:rFonts w:eastAsia="Calibri" w:cs="Arial"/>
          <w:szCs w:val="22"/>
          <w:lang w:eastAsia="en-US"/>
        </w:rPr>
        <w:t>and</w:t>
      </w:r>
      <w:r w:rsidR="00297F41">
        <w:rPr>
          <w:rFonts w:eastAsia="Calibri" w:cs="Arial"/>
          <w:szCs w:val="22"/>
          <w:lang w:eastAsia="en-US"/>
        </w:rPr>
        <w:t xml:space="preserve"> legal details were set out within appendix B to that report, as prepared by Anthony Collins Solicitors. The company</w:t>
      </w:r>
      <w:r w:rsidR="00A34C59">
        <w:rPr>
          <w:rFonts w:eastAsia="Calibri" w:cs="Arial"/>
          <w:szCs w:val="22"/>
          <w:lang w:eastAsia="en-US"/>
        </w:rPr>
        <w:t>, solely owned by TRDC,</w:t>
      </w:r>
      <w:r w:rsidR="00297F41">
        <w:rPr>
          <w:rFonts w:eastAsia="Calibri" w:cs="Arial"/>
          <w:szCs w:val="22"/>
          <w:lang w:eastAsia="en-US"/>
        </w:rPr>
        <w:t xml:space="preserve"> is needed to allow the Council to undertake trading for commercia</w:t>
      </w:r>
      <w:r w:rsidR="00D4430D">
        <w:rPr>
          <w:rFonts w:eastAsia="Calibri" w:cs="Arial"/>
          <w:szCs w:val="22"/>
          <w:lang w:eastAsia="en-US"/>
        </w:rPr>
        <w:t>l purposes</w:t>
      </w:r>
      <w:r w:rsidR="006F039F">
        <w:rPr>
          <w:rFonts w:eastAsia="Calibri" w:cs="Arial"/>
          <w:szCs w:val="22"/>
          <w:lang w:eastAsia="en-US"/>
        </w:rPr>
        <w:t>, and not just those projects involving Sale LLP below</w:t>
      </w:r>
      <w:r w:rsidR="00D4430D">
        <w:rPr>
          <w:rFonts w:eastAsia="Calibri" w:cs="Arial"/>
          <w:szCs w:val="22"/>
          <w:lang w:eastAsia="en-US"/>
        </w:rPr>
        <w:t>. TradCo will be</w:t>
      </w:r>
      <w:r w:rsidR="00297F41">
        <w:rPr>
          <w:rFonts w:eastAsia="Calibri" w:cs="Arial"/>
          <w:szCs w:val="22"/>
          <w:lang w:eastAsia="en-US"/>
        </w:rPr>
        <w:t xml:space="preserve"> a comp</w:t>
      </w:r>
      <w:r w:rsidR="00D4430D">
        <w:rPr>
          <w:rFonts w:eastAsia="Calibri" w:cs="Arial"/>
          <w:szCs w:val="22"/>
          <w:lang w:eastAsia="en-US"/>
        </w:rPr>
        <w:t>any limited by shares and can be set up under the provisions of the Localism Act 2011</w:t>
      </w:r>
      <w:r w:rsidR="00297F41">
        <w:rPr>
          <w:rFonts w:eastAsia="Calibri" w:cs="Arial"/>
          <w:szCs w:val="22"/>
          <w:lang w:eastAsia="en-US"/>
        </w:rPr>
        <w:t>.</w:t>
      </w:r>
      <w:r w:rsidR="00D4430D">
        <w:rPr>
          <w:rFonts w:eastAsia="Calibri" w:cs="Arial"/>
          <w:szCs w:val="22"/>
          <w:lang w:eastAsia="en-US"/>
        </w:rPr>
        <w:t xml:space="preserve"> The Articles of Association</w:t>
      </w:r>
      <w:r w:rsidR="00922096">
        <w:rPr>
          <w:rFonts w:eastAsia="Calibri" w:cs="Arial"/>
          <w:szCs w:val="22"/>
          <w:lang w:eastAsia="en-US"/>
        </w:rPr>
        <w:t xml:space="preserve"> and the Governance Agreement</w:t>
      </w:r>
      <w:r w:rsidR="00D4430D">
        <w:rPr>
          <w:rFonts w:eastAsia="Calibri" w:cs="Arial"/>
          <w:szCs w:val="22"/>
          <w:lang w:eastAsia="en-US"/>
        </w:rPr>
        <w:t xml:space="preserve"> at appendi</w:t>
      </w:r>
      <w:r w:rsidR="00922096">
        <w:rPr>
          <w:rFonts w:eastAsia="Calibri" w:cs="Arial"/>
          <w:szCs w:val="22"/>
          <w:lang w:eastAsia="en-US"/>
        </w:rPr>
        <w:t>ces</w:t>
      </w:r>
      <w:r w:rsidR="00D4430D">
        <w:rPr>
          <w:rFonts w:eastAsia="Calibri" w:cs="Arial"/>
          <w:szCs w:val="22"/>
          <w:lang w:eastAsia="en-US"/>
        </w:rPr>
        <w:t xml:space="preserve"> B</w:t>
      </w:r>
      <w:r w:rsidR="00922096">
        <w:rPr>
          <w:rFonts w:eastAsia="Calibri" w:cs="Arial"/>
          <w:szCs w:val="22"/>
          <w:lang w:eastAsia="en-US"/>
        </w:rPr>
        <w:t xml:space="preserve"> and C</w:t>
      </w:r>
      <w:r w:rsidR="00D4430D">
        <w:rPr>
          <w:rFonts w:eastAsia="Calibri" w:cs="Arial"/>
          <w:szCs w:val="22"/>
          <w:lang w:eastAsia="en-US"/>
        </w:rPr>
        <w:t xml:space="preserve"> set out the detail of how business issues will be conducted.</w:t>
      </w:r>
    </w:p>
    <w:p w:rsidR="002B7760" w:rsidRDefault="002B7760" w:rsidP="00603A00">
      <w:pPr>
        <w:rPr>
          <w:rFonts w:eastAsia="Calibri" w:cs="Arial"/>
          <w:szCs w:val="22"/>
          <w:lang w:eastAsia="en-US"/>
        </w:rPr>
      </w:pPr>
    </w:p>
    <w:p w:rsidR="00603A00" w:rsidRPr="007A500B" w:rsidRDefault="002B7760" w:rsidP="007A500B">
      <w:pPr>
        <w:ind w:left="1260" w:hanging="1260"/>
        <w:rPr>
          <w:rFonts w:eastAsia="Calibri" w:cs="Arial"/>
          <w:szCs w:val="22"/>
          <w:lang w:eastAsia="en-US"/>
        </w:rPr>
      </w:pPr>
      <w:r>
        <w:rPr>
          <w:rFonts w:eastAsia="Calibri" w:cs="Arial"/>
          <w:szCs w:val="22"/>
          <w:lang w:eastAsia="en-US"/>
        </w:rPr>
        <w:t>2.</w:t>
      </w:r>
      <w:r w:rsidR="009E0907">
        <w:rPr>
          <w:rFonts w:eastAsia="Calibri" w:cs="Arial"/>
          <w:szCs w:val="22"/>
          <w:lang w:eastAsia="en-US"/>
        </w:rPr>
        <w:t>1</w:t>
      </w:r>
      <w:r w:rsidR="00646F7F">
        <w:rPr>
          <w:rFonts w:eastAsia="Calibri" w:cs="Arial"/>
          <w:szCs w:val="22"/>
          <w:lang w:eastAsia="en-US"/>
        </w:rPr>
        <w:t>7</w:t>
      </w:r>
      <w:r w:rsidR="00603A00">
        <w:rPr>
          <w:rFonts w:eastAsia="Calibri" w:cs="Arial"/>
          <w:szCs w:val="22"/>
          <w:lang w:eastAsia="en-US"/>
        </w:rPr>
        <w:tab/>
      </w:r>
      <w:r w:rsidR="00CD70A5">
        <w:rPr>
          <w:rFonts w:eastAsia="Calibri" w:cs="Arial"/>
          <w:szCs w:val="22"/>
          <w:lang w:eastAsia="en-US"/>
        </w:rPr>
        <w:t>The formation of Sale LLP was also discussed</w:t>
      </w:r>
      <w:r w:rsidR="00E7234C">
        <w:rPr>
          <w:rFonts w:eastAsia="Calibri" w:cs="Arial"/>
          <w:szCs w:val="22"/>
          <w:lang w:eastAsia="en-US"/>
        </w:rPr>
        <w:t xml:space="preserve"> at P&amp;R Committee on 27</w:t>
      </w:r>
      <w:r w:rsidR="00E7234C" w:rsidRPr="00E7234C">
        <w:rPr>
          <w:rFonts w:eastAsia="Calibri" w:cs="Arial"/>
          <w:szCs w:val="22"/>
          <w:vertAlign w:val="superscript"/>
          <w:lang w:eastAsia="en-US"/>
        </w:rPr>
        <w:t>th</w:t>
      </w:r>
      <w:r w:rsidR="00E7234C">
        <w:rPr>
          <w:rFonts w:eastAsia="Calibri" w:cs="Arial"/>
          <w:szCs w:val="22"/>
          <w:lang w:eastAsia="en-US"/>
        </w:rPr>
        <w:t xml:space="preserve"> February (item 7) and legal details were set out within the appendix to that report as prepared by Anthony Collins Solicitors. Sale LLP is a limited liability partnership, the Members being the </w:t>
      </w:r>
      <w:r w:rsidR="00922096">
        <w:rPr>
          <w:rFonts w:eastAsia="Calibri" w:cs="Arial"/>
          <w:szCs w:val="22"/>
          <w:lang w:eastAsia="en-US"/>
        </w:rPr>
        <w:t>TradCo</w:t>
      </w:r>
      <w:r w:rsidR="00E7234C">
        <w:rPr>
          <w:rFonts w:eastAsia="Calibri" w:cs="Arial"/>
          <w:szCs w:val="22"/>
          <w:lang w:eastAsia="en-US"/>
        </w:rPr>
        <w:t xml:space="preserve">, </w:t>
      </w:r>
      <w:r w:rsidR="00922096">
        <w:rPr>
          <w:rFonts w:eastAsia="Calibri" w:cs="Arial"/>
          <w:szCs w:val="22"/>
          <w:lang w:eastAsia="en-US"/>
        </w:rPr>
        <w:t>acting on behalf of TRDC</w:t>
      </w:r>
      <w:r w:rsidR="00E7234C">
        <w:rPr>
          <w:rFonts w:eastAsia="Calibri" w:cs="Arial"/>
          <w:szCs w:val="22"/>
          <w:lang w:eastAsia="en-US"/>
        </w:rPr>
        <w:t>, and Clarendon Living</w:t>
      </w:r>
      <w:r w:rsidR="00687076">
        <w:rPr>
          <w:rFonts w:eastAsia="Calibri" w:cs="Arial"/>
          <w:szCs w:val="22"/>
          <w:lang w:eastAsia="en-US"/>
        </w:rPr>
        <w:t xml:space="preserve"> Limited</w:t>
      </w:r>
      <w:r w:rsidR="00E7234C">
        <w:rPr>
          <w:rFonts w:eastAsia="Calibri" w:cs="Arial"/>
          <w:szCs w:val="22"/>
          <w:lang w:eastAsia="en-US"/>
        </w:rPr>
        <w:t xml:space="preserve"> a subsidiary of </w:t>
      </w:r>
      <w:r w:rsidR="00687076">
        <w:rPr>
          <w:rFonts w:eastAsia="Calibri" w:cs="Arial"/>
          <w:szCs w:val="22"/>
          <w:lang w:eastAsia="en-US"/>
        </w:rPr>
        <w:t>Trust</w:t>
      </w:r>
      <w:r w:rsidR="00E7234C">
        <w:rPr>
          <w:rFonts w:eastAsia="Calibri" w:cs="Arial"/>
          <w:szCs w:val="22"/>
          <w:lang w:eastAsia="en-US"/>
        </w:rPr>
        <w:t xml:space="preserve">. </w:t>
      </w:r>
      <w:r w:rsidR="00687076">
        <w:rPr>
          <w:rFonts w:eastAsia="Calibri" w:cs="Arial"/>
          <w:szCs w:val="22"/>
          <w:lang w:eastAsia="en-US"/>
        </w:rPr>
        <w:t>Sale</w:t>
      </w:r>
      <w:r w:rsidR="003A4F04">
        <w:rPr>
          <w:rFonts w:eastAsia="Calibri" w:cs="Arial"/>
          <w:szCs w:val="22"/>
          <w:lang w:eastAsia="en-US"/>
        </w:rPr>
        <w:t xml:space="preserve"> </w:t>
      </w:r>
      <w:r w:rsidR="00687076">
        <w:rPr>
          <w:rFonts w:eastAsia="Calibri" w:cs="Arial"/>
          <w:szCs w:val="22"/>
          <w:lang w:eastAsia="en-US"/>
        </w:rPr>
        <w:t xml:space="preserve">LLP acts as the developer and sale entity for the joint venture.  </w:t>
      </w:r>
      <w:r w:rsidR="007A500B">
        <w:rPr>
          <w:rFonts w:eastAsia="Calibri" w:cs="Arial"/>
          <w:szCs w:val="22"/>
          <w:lang w:eastAsia="en-US"/>
        </w:rPr>
        <w:t xml:space="preserve">The Membership Agreement at appendix </w:t>
      </w:r>
      <w:r w:rsidR="00687076">
        <w:rPr>
          <w:rFonts w:eastAsia="Calibri" w:cs="Arial"/>
          <w:szCs w:val="22"/>
          <w:lang w:eastAsia="en-US"/>
        </w:rPr>
        <w:t xml:space="preserve">D </w:t>
      </w:r>
      <w:r w:rsidR="007A500B">
        <w:rPr>
          <w:rFonts w:eastAsia="Calibri" w:cs="Arial"/>
          <w:szCs w:val="22"/>
          <w:lang w:eastAsia="en-US"/>
        </w:rPr>
        <w:t>formalises the working arrangements between the two parties and is necessary to progress the</w:t>
      </w:r>
      <w:r w:rsidR="00A34C59">
        <w:rPr>
          <w:rFonts w:eastAsia="Calibri" w:cs="Arial"/>
          <w:szCs w:val="22"/>
          <w:lang w:eastAsia="en-US"/>
        </w:rPr>
        <w:t xml:space="preserve"> proposed</w:t>
      </w:r>
      <w:r w:rsidR="007A500B">
        <w:rPr>
          <w:rFonts w:eastAsia="Calibri" w:cs="Arial"/>
          <w:szCs w:val="22"/>
          <w:lang w:eastAsia="en-US"/>
        </w:rPr>
        <w:t xml:space="preserve"> </w:t>
      </w:r>
      <w:r w:rsidR="00646F7F">
        <w:rPr>
          <w:rFonts w:eastAsia="Calibri" w:cs="Arial"/>
          <w:szCs w:val="22"/>
          <w:lang w:eastAsia="en-US"/>
        </w:rPr>
        <w:t>joint venture</w:t>
      </w:r>
      <w:r w:rsidR="007A500B">
        <w:rPr>
          <w:rFonts w:eastAsia="Calibri" w:cs="Arial"/>
          <w:szCs w:val="22"/>
          <w:lang w:eastAsia="en-US"/>
        </w:rPr>
        <w:t xml:space="preserve"> development</w:t>
      </w:r>
      <w:r w:rsidR="00A34C59">
        <w:rPr>
          <w:rFonts w:eastAsia="Calibri" w:cs="Arial"/>
          <w:szCs w:val="22"/>
          <w:lang w:eastAsia="en-US"/>
        </w:rPr>
        <w:t xml:space="preserve"> at The Grapevine in South Oxhey.</w:t>
      </w:r>
    </w:p>
    <w:p w:rsidR="00603A00" w:rsidRDefault="00603A0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603A00" w:rsidRDefault="00603A00">
      <w:pPr>
        <w:ind w:left="1260" w:hanging="1260"/>
        <w:rPr>
          <w:rFonts w:eastAsia="Calibri" w:cs="Arial"/>
          <w:szCs w:val="22"/>
          <w:lang w:eastAsia="en-US"/>
        </w:rPr>
      </w:pPr>
      <w:r>
        <w:rPr>
          <w:rFonts w:eastAsia="Calibri" w:cs="Arial"/>
          <w:szCs w:val="22"/>
          <w:lang w:eastAsia="en-US"/>
        </w:rPr>
        <w:t>2.</w:t>
      </w:r>
      <w:r w:rsidR="009E0907">
        <w:rPr>
          <w:rFonts w:eastAsia="Calibri" w:cs="Arial"/>
          <w:szCs w:val="22"/>
          <w:lang w:eastAsia="en-US"/>
        </w:rPr>
        <w:t>1</w:t>
      </w:r>
      <w:r w:rsidR="00646F7F">
        <w:rPr>
          <w:rFonts w:eastAsia="Calibri" w:cs="Arial"/>
          <w:szCs w:val="22"/>
          <w:lang w:eastAsia="en-US"/>
        </w:rPr>
        <w:t>8</w:t>
      </w:r>
      <w:r>
        <w:rPr>
          <w:rFonts w:eastAsia="Calibri" w:cs="Arial"/>
          <w:szCs w:val="22"/>
          <w:lang w:eastAsia="en-US"/>
        </w:rPr>
        <w:tab/>
      </w:r>
      <w:r w:rsidR="00A34C59">
        <w:rPr>
          <w:rFonts w:eastAsia="Calibri" w:cs="Arial"/>
          <w:szCs w:val="22"/>
          <w:lang w:eastAsia="en-US"/>
        </w:rPr>
        <w:t>The formation of RentCo was also discussed at P&amp;R Committee on 27 February (item 7) and legal details were set out within the appendix to that report as prepared by Anthony Collins Solicitors. The company is owned in equal proportions by the Council</w:t>
      </w:r>
      <w:r w:rsidR="00AB3AE3">
        <w:rPr>
          <w:rFonts w:eastAsia="Calibri" w:cs="Arial"/>
          <w:szCs w:val="22"/>
          <w:lang w:eastAsia="en-US"/>
        </w:rPr>
        <w:t xml:space="preserve"> </w:t>
      </w:r>
      <w:r w:rsidR="00A34C59">
        <w:rPr>
          <w:rFonts w:eastAsia="Calibri" w:cs="Arial"/>
          <w:szCs w:val="22"/>
          <w:lang w:eastAsia="en-US"/>
        </w:rPr>
        <w:t>and WCHT</w:t>
      </w:r>
      <w:r w:rsidR="00AB3AE3">
        <w:rPr>
          <w:rFonts w:eastAsia="Calibri" w:cs="Arial"/>
          <w:szCs w:val="22"/>
          <w:lang w:eastAsia="en-US"/>
        </w:rPr>
        <w:t xml:space="preserve"> (through its subsidiary </w:t>
      </w:r>
      <w:r w:rsidR="00837418">
        <w:rPr>
          <w:rFonts w:eastAsia="Calibri" w:cs="Arial"/>
          <w:szCs w:val="22"/>
          <w:lang w:eastAsia="en-US"/>
        </w:rPr>
        <w:t xml:space="preserve">company </w:t>
      </w:r>
      <w:r w:rsidR="00AB3AE3">
        <w:rPr>
          <w:rFonts w:eastAsia="Calibri" w:cs="Arial"/>
          <w:szCs w:val="22"/>
          <w:lang w:eastAsia="en-US"/>
        </w:rPr>
        <w:t>Clarendon Living</w:t>
      </w:r>
      <w:r w:rsidR="00837418">
        <w:rPr>
          <w:rFonts w:eastAsia="Calibri" w:cs="Arial"/>
          <w:szCs w:val="22"/>
          <w:lang w:eastAsia="en-US"/>
        </w:rPr>
        <w:t xml:space="preserve"> Limited</w:t>
      </w:r>
      <w:r w:rsidR="00AB3AE3">
        <w:rPr>
          <w:rFonts w:eastAsia="Calibri" w:cs="Arial"/>
          <w:szCs w:val="22"/>
          <w:lang w:eastAsia="en-US"/>
        </w:rPr>
        <w:t>)</w:t>
      </w:r>
      <w:r w:rsidR="00A34C59">
        <w:rPr>
          <w:rFonts w:eastAsia="Calibri" w:cs="Arial"/>
          <w:szCs w:val="22"/>
          <w:lang w:eastAsia="en-US"/>
        </w:rPr>
        <w:t xml:space="preserve"> and is limited by shares. RentCo is the specific trading company that </w:t>
      </w:r>
      <w:r w:rsidR="00687076">
        <w:rPr>
          <w:rFonts w:eastAsia="Calibri" w:cs="Arial"/>
          <w:szCs w:val="22"/>
          <w:lang w:eastAsia="en-US"/>
        </w:rPr>
        <w:t>will undertake longer term rental activities</w:t>
      </w:r>
      <w:r w:rsidR="00A34C59">
        <w:rPr>
          <w:rFonts w:eastAsia="Calibri" w:cs="Arial"/>
          <w:szCs w:val="22"/>
          <w:lang w:eastAsia="en-US"/>
        </w:rPr>
        <w:t xml:space="preserve"> for joint venture projects between the Council and WCHT</w:t>
      </w:r>
      <w:r w:rsidR="00D51EC5">
        <w:rPr>
          <w:rFonts w:eastAsia="Calibri" w:cs="Arial"/>
          <w:szCs w:val="22"/>
          <w:lang w:eastAsia="en-US"/>
        </w:rPr>
        <w:t xml:space="preserve"> and its Articles of Association</w:t>
      </w:r>
      <w:r w:rsidR="00687076">
        <w:rPr>
          <w:rFonts w:eastAsia="Calibri" w:cs="Arial"/>
          <w:szCs w:val="22"/>
          <w:lang w:eastAsia="en-US"/>
        </w:rPr>
        <w:t xml:space="preserve"> and Shareholders’ Agreement</w:t>
      </w:r>
      <w:r w:rsidR="00D51EC5">
        <w:rPr>
          <w:rFonts w:eastAsia="Calibri" w:cs="Arial"/>
          <w:szCs w:val="22"/>
          <w:lang w:eastAsia="en-US"/>
        </w:rPr>
        <w:t xml:space="preserve"> are at </w:t>
      </w:r>
      <w:r w:rsidR="00687076">
        <w:rPr>
          <w:rFonts w:eastAsia="Calibri" w:cs="Arial"/>
          <w:szCs w:val="22"/>
          <w:lang w:eastAsia="en-US"/>
        </w:rPr>
        <w:t>appendices E and F</w:t>
      </w:r>
      <w:r w:rsidR="00837418">
        <w:rPr>
          <w:rFonts w:eastAsia="Calibri" w:cs="Arial"/>
          <w:szCs w:val="22"/>
          <w:lang w:eastAsia="en-US"/>
        </w:rPr>
        <w:t>.  T</w:t>
      </w:r>
      <w:r w:rsidR="00687076">
        <w:rPr>
          <w:rFonts w:eastAsia="Calibri" w:cs="Arial"/>
          <w:szCs w:val="22"/>
          <w:lang w:eastAsia="en-US"/>
        </w:rPr>
        <w:t>he latter sets out the objectives and purpose of RentCo</w:t>
      </w:r>
      <w:r w:rsidR="00A34C59">
        <w:rPr>
          <w:rFonts w:eastAsia="Calibri" w:cs="Arial"/>
          <w:szCs w:val="22"/>
          <w:lang w:eastAsia="en-US"/>
        </w:rPr>
        <w:t>.</w:t>
      </w:r>
    </w:p>
    <w:p w:rsidR="00603A00" w:rsidRDefault="00603A00" w:rsidP="002B7760">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4C4DA8" w:rsidRDefault="00603A00" w:rsidP="004C4DA8">
      <w:pPr>
        <w:ind w:left="1260" w:hanging="1260"/>
        <w:rPr>
          <w:rFonts w:eastAsia="Calibri" w:cs="Arial"/>
          <w:szCs w:val="22"/>
          <w:lang w:eastAsia="en-US"/>
        </w:rPr>
      </w:pPr>
      <w:r>
        <w:rPr>
          <w:rFonts w:eastAsia="Calibri" w:cs="Arial"/>
          <w:szCs w:val="22"/>
          <w:lang w:eastAsia="en-US"/>
        </w:rPr>
        <w:t>2.</w:t>
      </w:r>
      <w:r w:rsidR="009E0907">
        <w:rPr>
          <w:rFonts w:eastAsia="Calibri" w:cs="Arial"/>
          <w:szCs w:val="22"/>
          <w:lang w:eastAsia="en-US"/>
        </w:rPr>
        <w:t>1</w:t>
      </w:r>
      <w:r w:rsidR="00646F7F">
        <w:rPr>
          <w:rFonts w:eastAsia="Calibri" w:cs="Arial"/>
          <w:szCs w:val="22"/>
          <w:lang w:eastAsia="en-US"/>
        </w:rPr>
        <w:t>9</w:t>
      </w:r>
      <w:r w:rsidR="004C4DA8">
        <w:rPr>
          <w:rFonts w:eastAsia="Calibri" w:cs="Arial"/>
          <w:szCs w:val="22"/>
          <w:lang w:eastAsia="en-US"/>
        </w:rPr>
        <w:tab/>
      </w:r>
      <w:r w:rsidR="000F7E39">
        <w:rPr>
          <w:rFonts w:eastAsia="Calibri" w:cs="Arial"/>
          <w:szCs w:val="22"/>
          <w:lang w:eastAsia="en-US"/>
        </w:rPr>
        <w:t>Once these f</w:t>
      </w:r>
      <w:r w:rsidR="00DB6D7B">
        <w:rPr>
          <w:rFonts w:eastAsia="Calibri" w:cs="Arial"/>
          <w:szCs w:val="22"/>
          <w:lang w:eastAsia="en-US"/>
        </w:rPr>
        <w:t>ive</w:t>
      </w:r>
      <w:r w:rsidR="000F7E39">
        <w:rPr>
          <w:rFonts w:eastAsia="Calibri" w:cs="Arial"/>
          <w:szCs w:val="22"/>
          <w:lang w:eastAsia="en-US"/>
        </w:rPr>
        <w:t xml:space="preserve"> key documents are agree</w:t>
      </w:r>
      <w:r w:rsidR="00F04EB6">
        <w:rPr>
          <w:rFonts w:eastAsia="Calibri" w:cs="Arial"/>
          <w:szCs w:val="22"/>
          <w:lang w:eastAsia="en-US"/>
        </w:rPr>
        <w:t xml:space="preserve">d by </w:t>
      </w:r>
      <w:r w:rsidR="00687076">
        <w:rPr>
          <w:rFonts w:eastAsia="Calibri" w:cs="Arial"/>
          <w:szCs w:val="22"/>
          <w:lang w:eastAsia="en-US"/>
        </w:rPr>
        <w:t>the</w:t>
      </w:r>
      <w:r w:rsidR="000F7E39">
        <w:rPr>
          <w:rFonts w:eastAsia="Calibri" w:cs="Arial"/>
          <w:szCs w:val="22"/>
          <w:lang w:eastAsia="en-US"/>
        </w:rPr>
        <w:t xml:space="preserve"> Committee</w:t>
      </w:r>
      <w:r w:rsidR="00E744E5">
        <w:rPr>
          <w:rFonts w:eastAsia="Calibri" w:cs="Arial"/>
          <w:szCs w:val="22"/>
          <w:lang w:eastAsia="en-US"/>
        </w:rPr>
        <w:t xml:space="preserve"> and </w:t>
      </w:r>
      <w:r w:rsidR="00687076">
        <w:rPr>
          <w:rFonts w:eastAsia="Calibri" w:cs="Arial"/>
          <w:szCs w:val="22"/>
          <w:lang w:eastAsia="en-US"/>
        </w:rPr>
        <w:t xml:space="preserve">Full </w:t>
      </w:r>
      <w:r w:rsidR="00E744E5">
        <w:rPr>
          <w:rFonts w:eastAsia="Calibri" w:cs="Arial"/>
          <w:szCs w:val="22"/>
          <w:lang w:eastAsia="en-US"/>
        </w:rPr>
        <w:t>Council</w:t>
      </w:r>
      <w:r w:rsidR="00F04EB6">
        <w:rPr>
          <w:rFonts w:eastAsia="Calibri" w:cs="Arial"/>
          <w:szCs w:val="22"/>
          <w:lang w:eastAsia="en-US"/>
        </w:rPr>
        <w:t xml:space="preserve">, this report recommends that the Chief Executive is given delegated powers to enter into these </w:t>
      </w:r>
      <w:r w:rsidR="00E744E5">
        <w:rPr>
          <w:rFonts w:eastAsia="Calibri" w:cs="Arial"/>
          <w:szCs w:val="22"/>
          <w:lang w:eastAsia="en-US"/>
        </w:rPr>
        <w:t xml:space="preserve">and any </w:t>
      </w:r>
      <w:r w:rsidR="00F04EB6">
        <w:rPr>
          <w:rFonts w:eastAsia="Calibri" w:cs="Arial"/>
          <w:szCs w:val="22"/>
          <w:lang w:eastAsia="en-US"/>
        </w:rPr>
        <w:t>subsidiary agreements as may be necessary.</w:t>
      </w:r>
      <w:r w:rsidR="004C4DA8" w:rsidRPr="004C4DA8">
        <w:rPr>
          <w:rFonts w:eastAsia="Calibri" w:cs="Arial"/>
          <w:szCs w:val="22"/>
          <w:lang w:eastAsia="en-US"/>
        </w:rPr>
        <w:t xml:space="preserve"> </w:t>
      </w:r>
    </w:p>
    <w:p w:rsidR="00603A00" w:rsidRPr="0080549E" w:rsidRDefault="00603A00" w:rsidP="004C4DA8">
      <w:pPr>
        <w:tabs>
          <w:tab w:val="clear" w:pos="1260"/>
          <w:tab w:val="clear" w:pos="1980"/>
          <w:tab w:val="clear" w:pos="2700"/>
          <w:tab w:val="clear" w:pos="3420"/>
        </w:tabs>
        <w:spacing w:after="200" w:line="276" w:lineRule="auto"/>
        <w:contextualSpacing/>
        <w:jc w:val="left"/>
        <w:rPr>
          <w:rFonts w:eastAsia="Calibri" w:cs="Arial"/>
          <w:szCs w:val="22"/>
          <w:lang w:eastAsia="en-US"/>
        </w:rPr>
      </w:pPr>
    </w:p>
    <w:p w:rsidR="004C4DA8" w:rsidRPr="00F04EB6" w:rsidRDefault="004C4DA8" w:rsidP="00F04EB6">
      <w:pPr>
        <w:ind w:left="1260" w:hanging="1260"/>
        <w:rPr>
          <w:rFonts w:eastAsia="Calibri" w:cs="Arial"/>
          <w:szCs w:val="22"/>
          <w:lang w:eastAsia="en-US"/>
        </w:rPr>
      </w:pPr>
      <w:r>
        <w:rPr>
          <w:rFonts w:cs="Arial"/>
          <w:szCs w:val="22"/>
        </w:rPr>
        <w:t>2.</w:t>
      </w:r>
      <w:r w:rsidR="00646F7F">
        <w:rPr>
          <w:rFonts w:cs="Arial"/>
          <w:szCs w:val="22"/>
        </w:rPr>
        <w:t>20</w:t>
      </w:r>
      <w:r>
        <w:rPr>
          <w:rFonts w:cs="Arial"/>
          <w:szCs w:val="22"/>
        </w:rPr>
        <w:tab/>
      </w:r>
      <w:r w:rsidR="00415BA4">
        <w:rPr>
          <w:rFonts w:eastAsia="Calibri" w:cs="Arial"/>
          <w:szCs w:val="22"/>
          <w:lang w:eastAsia="en-US"/>
        </w:rPr>
        <w:t xml:space="preserve">In order to assist all Members in their understanding of relevant matters, and the critical issues involved, it is planned that there will be </w:t>
      </w:r>
      <w:r w:rsidR="00DB6D7B">
        <w:rPr>
          <w:rFonts w:eastAsia="Calibri" w:cs="Arial"/>
          <w:szCs w:val="22"/>
          <w:lang w:eastAsia="en-US"/>
        </w:rPr>
        <w:t xml:space="preserve">pre-meeting briefing sessions on either 15 March at 2.00pm or 16 March at 7.30pm and separately </w:t>
      </w:r>
      <w:r w:rsidR="00415BA4">
        <w:rPr>
          <w:rFonts w:eastAsia="Calibri" w:cs="Arial"/>
          <w:szCs w:val="22"/>
          <w:lang w:eastAsia="en-US"/>
        </w:rPr>
        <w:t>a training seminar</w:t>
      </w:r>
      <w:r w:rsidR="00265868">
        <w:rPr>
          <w:rFonts w:eastAsia="Calibri" w:cs="Arial"/>
          <w:szCs w:val="22"/>
          <w:lang w:eastAsia="en-US"/>
        </w:rPr>
        <w:t>,</w:t>
      </w:r>
      <w:r w:rsidR="00415BA4">
        <w:rPr>
          <w:rFonts w:eastAsia="Calibri" w:cs="Arial"/>
          <w:szCs w:val="22"/>
          <w:lang w:eastAsia="en-US"/>
        </w:rPr>
        <w:t xml:space="preserve"> presented by external speakers</w:t>
      </w:r>
      <w:r w:rsidR="00265868">
        <w:rPr>
          <w:rFonts w:eastAsia="Calibri" w:cs="Arial"/>
          <w:szCs w:val="22"/>
          <w:lang w:eastAsia="en-US"/>
        </w:rPr>
        <w:t>,</w:t>
      </w:r>
      <w:r w:rsidR="00415BA4">
        <w:rPr>
          <w:rFonts w:eastAsia="Calibri" w:cs="Arial"/>
          <w:szCs w:val="22"/>
          <w:lang w:eastAsia="en-US"/>
        </w:rPr>
        <w:t xml:space="preserve"> on Wednesday 29 March at 7.30pm. Details will be circulated separately. </w:t>
      </w:r>
    </w:p>
    <w:p w:rsidR="00BF34FA" w:rsidRPr="00F3583B" w:rsidRDefault="00BF34FA" w:rsidP="007966BD">
      <w:pPr>
        <w:rPr>
          <w:rFonts w:cs="Arial"/>
          <w:szCs w:val="22"/>
        </w:rPr>
      </w:pPr>
      <w:r w:rsidRPr="00F3583B">
        <w:rPr>
          <w:rFonts w:cs="Arial"/>
          <w:szCs w:val="22"/>
        </w:rPr>
        <w:fldChar w:fldCharType="begin"/>
      </w:r>
      <w:r w:rsidRPr="00F3583B">
        <w:rPr>
          <w:rFonts w:cs="Arial"/>
          <w:szCs w:val="22"/>
        </w:rPr>
        <w:instrText xml:space="preserve">  </w:instrText>
      </w:r>
      <w:r w:rsidRPr="00F3583B">
        <w:rPr>
          <w:rFonts w:cs="Arial"/>
          <w:szCs w:val="22"/>
        </w:rPr>
        <w:fldChar w:fldCharType="end"/>
      </w:r>
    </w:p>
    <w:p w:rsidR="00BF34FA" w:rsidRPr="00F3583B" w:rsidRDefault="00BF34FA">
      <w:pPr>
        <w:keepNext/>
        <w:ind w:left="1267" w:hanging="1267"/>
        <w:rPr>
          <w:rFonts w:cs="Arial"/>
          <w:szCs w:val="22"/>
        </w:rPr>
      </w:pPr>
      <w:r w:rsidRPr="00F3583B">
        <w:rPr>
          <w:rFonts w:cs="Arial"/>
          <w:szCs w:val="22"/>
        </w:rPr>
        <w:t>3.</w:t>
      </w:r>
      <w:r w:rsidRPr="00F3583B">
        <w:rPr>
          <w:rFonts w:cs="Arial"/>
          <w:szCs w:val="22"/>
        </w:rPr>
        <w:tab/>
      </w:r>
      <w:r w:rsidRPr="00F3583B">
        <w:rPr>
          <w:rFonts w:cs="Arial"/>
          <w:b/>
          <w:szCs w:val="22"/>
        </w:rPr>
        <w:t>Reasons for Recommendation</w:t>
      </w:r>
    </w:p>
    <w:p w:rsidR="00BF34FA" w:rsidRPr="00F3583B" w:rsidRDefault="00BF34FA">
      <w:pPr>
        <w:keepNext/>
        <w:ind w:left="1267" w:hanging="1267"/>
        <w:rPr>
          <w:rFonts w:cs="Arial"/>
          <w:szCs w:val="22"/>
        </w:rPr>
      </w:pPr>
    </w:p>
    <w:p w:rsidR="00BF34FA" w:rsidRDefault="00BF34FA" w:rsidP="006B4575">
      <w:pPr>
        <w:ind w:left="1276" w:hanging="1276"/>
        <w:rPr>
          <w:rFonts w:cs="Arial"/>
          <w:szCs w:val="22"/>
        </w:rPr>
      </w:pPr>
      <w:r w:rsidRPr="00F3583B">
        <w:rPr>
          <w:rFonts w:cs="Arial"/>
          <w:szCs w:val="22"/>
        </w:rPr>
        <w:t>3.1</w:t>
      </w:r>
      <w:r w:rsidRPr="00F3583B">
        <w:rPr>
          <w:rFonts w:cs="Arial"/>
          <w:szCs w:val="22"/>
        </w:rPr>
        <w:tab/>
      </w:r>
      <w:r w:rsidR="00355AC4">
        <w:rPr>
          <w:rFonts w:cs="Arial"/>
          <w:szCs w:val="22"/>
        </w:rPr>
        <w:t xml:space="preserve"> </w:t>
      </w:r>
      <w:r w:rsidR="006B4575">
        <w:rPr>
          <w:rFonts w:cs="Arial"/>
          <w:szCs w:val="22"/>
        </w:rPr>
        <w:t>It</w:t>
      </w:r>
      <w:r w:rsidR="00397D44">
        <w:rPr>
          <w:rFonts w:cs="Arial"/>
          <w:szCs w:val="22"/>
        </w:rPr>
        <w:t xml:space="preserve"> is necessary that P&amp;R Committee agrees to the recommendations</w:t>
      </w:r>
      <w:r w:rsidR="003032CD">
        <w:rPr>
          <w:rFonts w:cs="Arial"/>
          <w:szCs w:val="22"/>
        </w:rPr>
        <w:t xml:space="preserve"> in order that property investment activ</w:t>
      </w:r>
      <w:r w:rsidR="00847309">
        <w:rPr>
          <w:rFonts w:cs="Arial"/>
          <w:szCs w:val="22"/>
        </w:rPr>
        <w:t>ity can proceed</w:t>
      </w:r>
      <w:r w:rsidR="003032CD">
        <w:rPr>
          <w:rFonts w:cs="Arial"/>
          <w:szCs w:val="22"/>
        </w:rPr>
        <w:t>.</w:t>
      </w:r>
      <w:r w:rsidR="006B4575">
        <w:rPr>
          <w:rFonts w:cs="Arial"/>
          <w:szCs w:val="22"/>
        </w:rPr>
        <w:t xml:space="preserve"> </w:t>
      </w:r>
    </w:p>
    <w:p w:rsidR="009F7F46" w:rsidRPr="00F3583B" w:rsidRDefault="009F7F46">
      <w:pPr>
        <w:ind w:left="1267" w:hanging="1267"/>
        <w:rPr>
          <w:rFonts w:cs="Arial"/>
          <w:szCs w:val="22"/>
        </w:rPr>
      </w:pPr>
    </w:p>
    <w:p w:rsidR="00BF34FA" w:rsidRPr="00F3583B" w:rsidRDefault="00BF34FA">
      <w:pPr>
        <w:keepNext/>
        <w:ind w:left="1267" w:hanging="1267"/>
        <w:rPr>
          <w:rFonts w:cs="Arial"/>
          <w:szCs w:val="22"/>
        </w:rPr>
      </w:pPr>
      <w:r w:rsidRPr="00F3583B">
        <w:rPr>
          <w:rFonts w:cs="Arial"/>
          <w:szCs w:val="22"/>
        </w:rPr>
        <w:t>4.</w:t>
      </w:r>
      <w:r w:rsidRPr="00F3583B">
        <w:rPr>
          <w:rFonts w:cs="Arial"/>
          <w:szCs w:val="22"/>
        </w:rPr>
        <w:tab/>
      </w:r>
      <w:r w:rsidRPr="00F3583B">
        <w:rPr>
          <w:rFonts w:cs="Arial"/>
          <w:b/>
          <w:szCs w:val="22"/>
        </w:rPr>
        <w:t>Policy/Budget Reference and Implications</w:t>
      </w:r>
    </w:p>
    <w:p w:rsidR="00DB28EC" w:rsidRPr="00F3583B" w:rsidRDefault="00DB28EC" w:rsidP="004F12D0">
      <w:pPr>
        <w:rPr>
          <w:rFonts w:cs="Arial"/>
          <w:szCs w:val="22"/>
        </w:rPr>
      </w:pPr>
    </w:p>
    <w:p w:rsidR="00AA72E9" w:rsidRDefault="00BF34FA" w:rsidP="006B4575">
      <w:pPr>
        <w:ind w:left="1267" w:hanging="1267"/>
        <w:rPr>
          <w:rFonts w:cs="Arial"/>
          <w:szCs w:val="22"/>
        </w:rPr>
      </w:pPr>
      <w:r w:rsidRPr="00F3583B">
        <w:rPr>
          <w:rFonts w:cs="Arial"/>
          <w:szCs w:val="22"/>
        </w:rPr>
        <w:t>4.1</w:t>
      </w:r>
      <w:r w:rsidRPr="00F3583B">
        <w:rPr>
          <w:rFonts w:cs="Arial"/>
          <w:szCs w:val="22"/>
        </w:rPr>
        <w:tab/>
        <w:t xml:space="preserve">The </w:t>
      </w:r>
      <w:r w:rsidR="003032CD">
        <w:rPr>
          <w:rFonts w:cs="Arial"/>
          <w:szCs w:val="22"/>
        </w:rPr>
        <w:t>principle of property investment has been approved at Full Council.</w:t>
      </w:r>
    </w:p>
    <w:p w:rsidR="00AA72E9" w:rsidRDefault="00AA72E9" w:rsidP="00017309">
      <w:pPr>
        <w:ind w:left="1267" w:hanging="1267"/>
        <w:rPr>
          <w:rFonts w:cs="Arial"/>
          <w:szCs w:val="22"/>
        </w:rPr>
      </w:pPr>
    </w:p>
    <w:p w:rsidR="00BF34FA" w:rsidRPr="00E84CE0" w:rsidRDefault="00E84CE0" w:rsidP="00017309">
      <w:pPr>
        <w:ind w:left="1267" w:hanging="1267"/>
        <w:rPr>
          <w:rFonts w:cs="Arial"/>
          <w:b/>
          <w:i/>
          <w:color w:val="008000"/>
          <w:szCs w:val="22"/>
        </w:rPr>
      </w:pPr>
      <w:r>
        <w:rPr>
          <w:rFonts w:cs="Arial"/>
          <w:szCs w:val="22"/>
        </w:rPr>
        <w:t>5</w:t>
      </w:r>
      <w:r w:rsidR="00BF34FA" w:rsidRPr="00F3583B">
        <w:rPr>
          <w:rFonts w:cs="Arial"/>
          <w:szCs w:val="22"/>
        </w:rPr>
        <w:t xml:space="preserve"> </w:t>
      </w:r>
      <w:r>
        <w:rPr>
          <w:rFonts w:cs="Arial"/>
          <w:szCs w:val="22"/>
        </w:rPr>
        <w:tab/>
      </w:r>
      <w:r w:rsidRPr="00E84CE0">
        <w:rPr>
          <w:rFonts w:cs="Arial"/>
          <w:b/>
          <w:szCs w:val="22"/>
        </w:rPr>
        <w:t>Financial</w:t>
      </w:r>
      <w:r>
        <w:rPr>
          <w:rFonts w:cs="Arial"/>
          <w:b/>
          <w:szCs w:val="22"/>
        </w:rPr>
        <w:t xml:space="preserve"> Implications</w:t>
      </w:r>
    </w:p>
    <w:p w:rsidR="00BF34FA" w:rsidRDefault="00BF34FA" w:rsidP="005322BE">
      <w:pPr>
        <w:rPr>
          <w:rFonts w:cs="Arial"/>
          <w:b/>
          <w:i/>
          <w:color w:val="008000"/>
          <w:szCs w:val="22"/>
        </w:rPr>
      </w:pPr>
    </w:p>
    <w:p w:rsidR="00216EE8" w:rsidRDefault="00E84CE0" w:rsidP="00E84CE0">
      <w:pPr>
        <w:ind w:left="1260" w:hanging="1260"/>
        <w:rPr>
          <w:rFonts w:cs="Arial"/>
          <w:szCs w:val="22"/>
        </w:rPr>
      </w:pPr>
      <w:r w:rsidRPr="00E84CE0">
        <w:rPr>
          <w:rFonts w:cs="Arial"/>
          <w:szCs w:val="22"/>
        </w:rPr>
        <w:t>5.1</w:t>
      </w:r>
      <w:r>
        <w:rPr>
          <w:rFonts w:cs="Arial"/>
          <w:szCs w:val="22"/>
        </w:rPr>
        <w:tab/>
      </w:r>
      <w:r w:rsidR="00847309">
        <w:rPr>
          <w:rFonts w:cs="Arial"/>
          <w:szCs w:val="22"/>
        </w:rPr>
        <w:t>B</w:t>
      </w:r>
      <w:r w:rsidR="003032CD">
        <w:rPr>
          <w:rFonts w:cs="Arial"/>
          <w:szCs w:val="22"/>
        </w:rPr>
        <w:t>usiness case</w:t>
      </w:r>
      <w:r w:rsidR="00847309">
        <w:rPr>
          <w:rFonts w:cs="Arial"/>
          <w:szCs w:val="22"/>
        </w:rPr>
        <w:t>s</w:t>
      </w:r>
      <w:r w:rsidR="003032CD">
        <w:rPr>
          <w:rFonts w:cs="Arial"/>
          <w:szCs w:val="22"/>
        </w:rPr>
        <w:t xml:space="preserve"> will be presented for app</w:t>
      </w:r>
      <w:r w:rsidR="00847309">
        <w:rPr>
          <w:rFonts w:cs="Arial"/>
          <w:szCs w:val="22"/>
        </w:rPr>
        <w:t>roval in due course</w:t>
      </w:r>
      <w:r w:rsidR="009E0907">
        <w:rPr>
          <w:rFonts w:cs="Arial"/>
          <w:szCs w:val="22"/>
        </w:rPr>
        <w:t xml:space="preserve"> and before any trading/commercial activity is undertaken</w:t>
      </w:r>
      <w:r w:rsidR="003032CD">
        <w:rPr>
          <w:rFonts w:cs="Arial"/>
          <w:szCs w:val="22"/>
        </w:rPr>
        <w:t>.</w:t>
      </w:r>
      <w:r w:rsidR="005E21D9">
        <w:rPr>
          <w:rFonts w:cs="Arial"/>
          <w:szCs w:val="22"/>
        </w:rPr>
        <w:t xml:space="preserve"> </w:t>
      </w:r>
      <w:r w:rsidR="00AF2256">
        <w:rPr>
          <w:rFonts w:cs="Arial"/>
          <w:szCs w:val="22"/>
        </w:rPr>
        <w:t>Each separate entity must have a business plan which demonstrates that it is viable and sustainable in the medium to long term, prior to being incorporated.</w:t>
      </w:r>
    </w:p>
    <w:p w:rsidR="00FC66C0" w:rsidRPr="00E84CE0" w:rsidRDefault="00FC66C0" w:rsidP="00E84CE0">
      <w:pPr>
        <w:ind w:left="1260" w:hanging="1260"/>
        <w:rPr>
          <w:rFonts w:cs="Arial"/>
          <w:szCs w:val="22"/>
        </w:rPr>
      </w:pPr>
    </w:p>
    <w:p w:rsidR="00BF34FA" w:rsidRPr="00F3583B" w:rsidRDefault="00BF34FA">
      <w:pPr>
        <w:keepNext/>
        <w:ind w:left="1267" w:hanging="1267"/>
        <w:rPr>
          <w:rFonts w:cs="Arial"/>
          <w:szCs w:val="22"/>
        </w:rPr>
      </w:pPr>
      <w:r w:rsidRPr="00F3583B">
        <w:rPr>
          <w:rFonts w:cs="Arial"/>
          <w:szCs w:val="22"/>
        </w:rPr>
        <w:fldChar w:fldCharType="begin"/>
      </w:r>
      <w:r w:rsidRPr="00F3583B">
        <w:rPr>
          <w:rFonts w:cs="Arial"/>
          <w:szCs w:val="22"/>
        </w:rPr>
        <w:instrText xml:space="preserve">  </w:instrText>
      </w:r>
      <w:r w:rsidRPr="00F3583B">
        <w:rPr>
          <w:rFonts w:cs="Arial"/>
          <w:szCs w:val="22"/>
        </w:rPr>
        <w:fldChar w:fldCharType="end"/>
      </w:r>
      <w:r w:rsidR="00E84CE0">
        <w:rPr>
          <w:rFonts w:cs="Arial"/>
          <w:szCs w:val="22"/>
        </w:rPr>
        <w:t>6</w:t>
      </w:r>
      <w:r w:rsidR="00D9107B">
        <w:rPr>
          <w:rFonts w:cs="Arial"/>
          <w:szCs w:val="22"/>
        </w:rPr>
        <w:t>.</w:t>
      </w:r>
      <w:r w:rsidRPr="00F3583B">
        <w:rPr>
          <w:rFonts w:cs="Arial"/>
          <w:szCs w:val="22"/>
        </w:rPr>
        <w:tab/>
      </w:r>
      <w:r w:rsidRPr="00F3583B">
        <w:rPr>
          <w:rFonts w:cs="Arial"/>
          <w:b/>
          <w:szCs w:val="22"/>
        </w:rPr>
        <w:t>Legal, Equal Opportunities, Staffing, Environmental, Community Safety, Customer Services Centre, Communications &amp; Website, Risk Management and Health &amp; Safety Implications</w:t>
      </w:r>
    </w:p>
    <w:p w:rsidR="00BF34FA" w:rsidRPr="00F3583B" w:rsidRDefault="00BF34FA">
      <w:pPr>
        <w:keepNext/>
        <w:ind w:left="1267" w:hanging="1267"/>
        <w:rPr>
          <w:rFonts w:cs="Arial"/>
          <w:szCs w:val="22"/>
        </w:rPr>
      </w:pPr>
    </w:p>
    <w:p w:rsidR="00BF34FA" w:rsidRDefault="00BF34FA" w:rsidP="003032CD">
      <w:pPr>
        <w:ind w:left="1267" w:hanging="1267"/>
        <w:rPr>
          <w:rFonts w:cs="Arial"/>
          <w:szCs w:val="22"/>
        </w:rPr>
      </w:pPr>
      <w:r w:rsidRPr="00F3583B">
        <w:rPr>
          <w:rFonts w:cs="Arial"/>
          <w:szCs w:val="22"/>
        </w:rPr>
        <w:fldChar w:fldCharType="begin"/>
      </w:r>
      <w:r w:rsidRPr="00F3583B">
        <w:rPr>
          <w:rFonts w:cs="Arial"/>
          <w:szCs w:val="22"/>
        </w:rPr>
        <w:instrText xml:space="preserve">  </w:instrText>
      </w:r>
      <w:r w:rsidRPr="00F3583B">
        <w:rPr>
          <w:rFonts w:cs="Arial"/>
          <w:szCs w:val="22"/>
        </w:rPr>
        <w:fldChar w:fldCharType="end"/>
      </w:r>
      <w:r w:rsidR="00E84CE0">
        <w:rPr>
          <w:rFonts w:cs="Arial"/>
          <w:szCs w:val="22"/>
        </w:rPr>
        <w:t>6</w:t>
      </w:r>
      <w:r w:rsidR="005322BE" w:rsidRPr="00F3583B">
        <w:rPr>
          <w:rFonts w:cs="Arial"/>
          <w:szCs w:val="22"/>
        </w:rPr>
        <w:t>.1</w:t>
      </w:r>
      <w:r w:rsidR="003032CD">
        <w:rPr>
          <w:rFonts w:cs="Arial"/>
          <w:szCs w:val="22"/>
        </w:rPr>
        <w:tab/>
      </w:r>
      <w:r w:rsidR="0083708A">
        <w:rPr>
          <w:rFonts w:cs="Arial"/>
          <w:szCs w:val="22"/>
        </w:rPr>
        <w:t>Nothing further than is referred to in this report</w:t>
      </w:r>
      <w:r w:rsidRPr="00F3583B">
        <w:rPr>
          <w:rFonts w:cs="Arial"/>
          <w:szCs w:val="22"/>
        </w:rPr>
        <w:t xml:space="preserve"> </w:t>
      </w:r>
    </w:p>
    <w:p w:rsidR="005E21D9" w:rsidRDefault="005E21D9" w:rsidP="004F12D0">
      <w:pPr>
        <w:pStyle w:val="BodyTextIndent"/>
        <w:ind w:left="0" w:firstLine="0"/>
        <w:rPr>
          <w:rFonts w:cs="Arial"/>
          <w:szCs w:val="22"/>
        </w:rPr>
      </w:pPr>
    </w:p>
    <w:p w:rsidR="00BF34FA" w:rsidRPr="00F3583B" w:rsidRDefault="00E84CE0">
      <w:pPr>
        <w:keepNext/>
        <w:ind w:left="1267" w:hanging="1267"/>
        <w:rPr>
          <w:rFonts w:cs="Arial"/>
          <w:szCs w:val="22"/>
        </w:rPr>
      </w:pPr>
      <w:r>
        <w:rPr>
          <w:rFonts w:cs="Arial"/>
          <w:szCs w:val="22"/>
        </w:rPr>
        <w:t>7</w:t>
      </w:r>
      <w:r w:rsidR="00BF34FA" w:rsidRPr="00F3583B">
        <w:rPr>
          <w:rFonts w:cs="Arial"/>
          <w:szCs w:val="22"/>
        </w:rPr>
        <w:fldChar w:fldCharType="begin"/>
      </w:r>
      <w:r w:rsidR="00BF34FA" w:rsidRPr="00F3583B">
        <w:rPr>
          <w:rFonts w:cs="Arial"/>
          <w:szCs w:val="22"/>
        </w:rPr>
        <w:instrText xml:space="preserve">  </w:instrText>
      </w:r>
      <w:r w:rsidR="00BF34FA" w:rsidRPr="00F3583B">
        <w:rPr>
          <w:rFonts w:cs="Arial"/>
          <w:szCs w:val="22"/>
        </w:rPr>
        <w:fldChar w:fldCharType="end"/>
      </w:r>
      <w:r w:rsidR="00BF34FA" w:rsidRPr="00F3583B">
        <w:rPr>
          <w:rFonts w:cs="Arial"/>
          <w:szCs w:val="22"/>
        </w:rPr>
        <w:tab/>
      </w:r>
      <w:r w:rsidR="00BF34FA" w:rsidRPr="00F3583B">
        <w:rPr>
          <w:rFonts w:cs="Arial"/>
          <w:b/>
          <w:szCs w:val="22"/>
        </w:rPr>
        <w:t>Recommendation</w:t>
      </w:r>
    </w:p>
    <w:p w:rsidR="00BF34FA" w:rsidRPr="00F3583B" w:rsidRDefault="00BF34FA">
      <w:pPr>
        <w:keepNext/>
        <w:ind w:left="1267" w:hanging="1267"/>
        <w:rPr>
          <w:rFonts w:cs="Arial"/>
          <w:szCs w:val="22"/>
        </w:rPr>
      </w:pPr>
    </w:p>
    <w:p w:rsidR="00FC66C0" w:rsidRDefault="00BF34FA">
      <w:pPr>
        <w:rPr>
          <w:rFonts w:cs="Arial"/>
          <w:szCs w:val="22"/>
        </w:rPr>
      </w:pPr>
      <w:r w:rsidRPr="00F3583B">
        <w:rPr>
          <w:rFonts w:cs="Arial"/>
          <w:szCs w:val="22"/>
        </w:rPr>
        <w:tab/>
      </w:r>
      <w:r w:rsidRPr="0002431D">
        <w:rPr>
          <w:rFonts w:cs="Arial"/>
          <w:szCs w:val="22"/>
        </w:rPr>
        <w:t>That</w:t>
      </w:r>
      <w:r w:rsidR="004C4DA8">
        <w:rPr>
          <w:rFonts w:cs="Arial"/>
          <w:szCs w:val="22"/>
        </w:rPr>
        <w:t xml:space="preserve"> the Committee</w:t>
      </w:r>
      <w:r w:rsidR="00E744E5">
        <w:rPr>
          <w:rFonts w:cs="Arial"/>
          <w:szCs w:val="22"/>
        </w:rPr>
        <w:t xml:space="preserve"> recommends to Council</w:t>
      </w:r>
      <w:r w:rsidR="004C4DA8">
        <w:rPr>
          <w:rFonts w:cs="Arial"/>
          <w:szCs w:val="22"/>
        </w:rPr>
        <w:t>:-</w:t>
      </w:r>
    </w:p>
    <w:p w:rsidR="00D342BC" w:rsidRPr="0002431D" w:rsidRDefault="00D342BC">
      <w:pPr>
        <w:rPr>
          <w:rFonts w:cs="Arial"/>
          <w:szCs w:val="22"/>
        </w:rPr>
      </w:pPr>
      <w:r w:rsidRPr="0002431D">
        <w:rPr>
          <w:rFonts w:cs="Arial"/>
          <w:szCs w:val="22"/>
        </w:rPr>
        <w:tab/>
      </w:r>
    </w:p>
    <w:p w:rsidR="009E0907" w:rsidRPr="00BF4BB0" w:rsidRDefault="004C4DA8" w:rsidP="004D4F8C">
      <w:pPr>
        <w:ind w:left="1260" w:hanging="1260"/>
        <w:rPr>
          <w:rFonts w:cs="Arial"/>
        </w:rPr>
      </w:pPr>
      <w:r w:rsidRPr="00BF4BB0">
        <w:rPr>
          <w:rFonts w:eastAsia="Calibri" w:cs="Arial"/>
          <w:szCs w:val="22"/>
          <w:lang w:eastAsia="en-US"/>
        </w:rPr>
        <w:t>7</w:t>
      </w:r>
      <w:r w:rsidR="009B25B8" w:rsidRPr="004D4F8C">
        <w:rPr>
          <w:rFonts w:eastAsia="Calibri" w:cs="Arial"/>
          <w:szCs w:val="22"/>
          <w:lang w:eastAsia="en-US"/>
        </w:rPr>
        <w:t>.1</w:t>
      </w:r>
      <w:r w:rsidR="00D342BC" w:rsidRPr="00BF4BB0">
        <w:rPr>
          <w:rFonts w:eastAsia="Calibri" w:cs="Arial"/>
          <w:szCs w:val="22"/>
          <w:lang w:eastAsia="en-US"/>
        </w:rPr>
        <w:tab/>
      </w:r>
      <w:r w:rsidR="009E0907" w:rsidRPr="00BF4BB0">
        <w:rPr>
          <w:rFonts w:eastAsia="Calibri" w:cs="Arial"/>
          <w:szCs w:val="22"/>
          <w:lang w:eastAsia="en-US"/>
        </w:rPr>
        <w:t>To approve the Council establishing and participating</w:t>
      </w:r>
      <w:r w:rsidR="00646F7F">
        <w:rPr>
          <w:rFonts w:eastAsia="Calibri" w:cs="Arial"/>
          <w:szCs w:val="22"/>
          <w:lang w:eastAsia="en-US"/>
        </w:rPr>
        <w:t>,</w:t>
      </w:r>
      <w:r w:rsidR="00AF2256">
        <w:rPr>
          <w:rFonts w:eastAsia="Calibri" w:cs="Arial"/>
          <w:szCs w:val="22"/>
          <w:lang w:eastAsia="en-US"/>
        </w:rPr>
        <w:t xml:space="preserve"> subject to a viable business case,</w:t>
      </w:r>
      <w:r w:rsidR="009E0907" w:rsidRPr="00BF4BB0">
        <w:rPr>
          <w:rFonts w:eastAsia="Calibri" w:cs="Arial"/>
          <w:szCs w:val="22"/>
          <w:lang w:eastAsia="en-US"/>
        </w:rPr>
        <w:t xml:space="preserve"> in TradCo, RentCo and Sale</w:t>
      </w:r>
      <w:r w:rsidR="003A4F04" w:rsidRPr="00BF4BB0">
        <w:rPr>
          <w:rFonts w:eastAsia="Calibri" w:cs="Arial"/>
          <w:szCs w:val="22"/>
          <w:lang w:eastAsia="en-US"/>
        </w:rPr>
        <w:t xml:space="preserve"> </w:t>
      </w:r>
      <w:r w:rsidR="009E0907" w:rsidRPr="00BF4BB0">
        <w:rPr>
          <w:rFonts w:eastAsia="Calibri" w:cs="Arial"/>
          <w:szCs w:val="22"/>
          <w:lang w:eastAsia="en-US"/>
        </w:rPr>
        <w:t>LLP</w:t>
      </w:r>
      <w:r w:rsidR="00C06148" w:rsidRPr="00BF4BB0">
        <w:rPr>
          <w:rFonts w:eastAsia="Calibri" w:cs="Arial"/>
          <w:szCs w:val="22"/>
          <w:lang w:eastAsia="en-US"/>
        </w:rPr>
        <w:t xml:space="preserve"> and participating in the joint venture with Watford Community Housing Trust</w:t>
      </w:r>
      <w:r w:rsidR="009E0907" w:rsidRPr="00BF4BB0">
        <w:rPr>
          <w:rFonts w:eastAsia="Calibri" w:cs="Arial"/>
          <w:szCs w:val="22"/>
          <w:lang w:eastAsia="en-US"/>
        </w:rPr>
        <w:t>.</w:t>
      </w:r>
    </w:p>
    <w:p w:rsidR="009E0907" w:rsidRPr="00BF4BB0" w:rsidRDefault="009E0907" w:rsidP="004D4F8C">
      <w:pPr>
        <w:ind w:left="1260" w:hanging="1260"/>
        <w:rPr>
          <w:rFonts w:cs="Arial"/>
        </w:rPr>
      </w:pPr>
    </w:p>
    <w:p w:rsidR="004D612C" w:rsidRPr="00BF4BB0" w:rsidRDefault="009E0907" w:rsidP="004D4F8C">
      <w:pPr>
        <w:ind w:left="1260" w:hanging="1260"/>
        <w:rPr>
          <w:rFonts w:cs="Arial"/>
        </w:rPr>
      </w:pPr>
      <w:r w:rsidRPr="00BF4BB0">
        <w:rPr>
          <w:rFonts w:eastAsia="Calibri" w:cs="Arial"/>
          <w:szCs w:val="22"/>
          <w:lang w:eastAsia="en-US"/>
        </w:rPr>
        <w:t>7.2</w:t>
      </w:r>
      <w:r w:rsidRPr="00BF4BB0">
        <w:rPr>
          <w:rFonts w:eastAsia="Calibri" w:cs="Arial"/>
          <w:szCs w:val="22"/>
          <w:lang w:eastAsia="en-US"/>
        </w:rPr>
        <w:tab/>
        <w:t>To authorise the Chief Executive to take any and all decisions deemed necessary in his opinion to enable the Council to establish and participate in TradC</w:t>
      </w:r>
      <w:r w:rsidR="004D612C" w:rsidRPr="00BF4BB0">
        <w:rPr>
          <w:rFonts w:eastAsia="Calibri" w:cs="Arial"/>
          <w:szCs w:val="22"/>
          <w:lang w:eastAsia="en-US"/>
        </w:rPr>
        <w:t>o</w:t>
      </w:r>
      <w:r w:rsidRPr="00BF4BB0">
        <w:rPr>
          <w:rFonts w:eastAsia="Calibri" w:cs="Arial"/>
          <w:szCs w:val="22"/>
          <w:lang w:eastAsia="en-US"/>
        </w:rPr>
        <w:t>, RentCo and Sale</w:t>
      </w:r>
      <w:r w:rsidR="003A4F04" w:rsidRPr="00BF4BB0">
        <w:rPr>
          <w:rFonts w:eastAsia="Calibri" w:cs="Arial"/>
          <w:szCs w:val="22"/>
          <w:lang w:eastAsia="en-US"/>
        </w:rPr>
        <w:t xml:space="preserve"> </w:t>
      </w:r>
      <w:r w:rsidRPr="00BF4BB0">
        <w:rPr>
          <w:rFonts w:eastAsia="Calibri" w:cs="Arial"/>
          <w:szCs w:val="22"/>
          <w:lang w:eastAsia="en-US"/>
        </w:rPr>
        <w:t>LLP</w:t>
      </w:r>
      <w:r w:rsidR="00C06148" w:rsidRPr="00BF4BB0">
        <w:rPr>
          <w:rFonts w:eastAsia="Calibri" w:cs="Arial"/>
          <w:szCs w:val="22"/>
          <w:lang w:eastAsia="en-US"/>
        </w:rPr>
        <w:t xml:space="preserve"> and to participate in the joint venture with Watford Community Housing Trust</w:t>
      </w:r>
      <w:r w:rsidRPr="00BF4BB0">
        <w:rPr>
          <w:rFonts w:eastAsia="Calibri" w:cs="Arial"/>
          <w:szCs w:val="22"/>
          <w:lang w:eastAsia="en-US"/>
        </w:rPr>
        <w:t xml:space="preserve"> to include without limitation the negotiation of any terms and the approval for execution and/or signature of all documentation including the documentation</w:t>
      </w:r>
      <w:r w:rsidR="004D612C" w:rsidRPr="00BF4BB0">
        <w:rPr>
          <w:rFonts w:eastAsia="Calibri" w:cs="Arial"/>
          <w:szCs w:val="22"/>
          <w:lang w:eastAsia="en-US"/>
        </w:rPr>
        <w:t xml:space="preserve"> at section 2.1</w:t>
      </w:r>
      <w:r w:rsidR="00646F7F">
        <w:rPr>
          <w:rFonts w:eastAsia="Calibri" w:cs="Arial"/>
          <w:szCs w:val="22"/>
          <w:lang w:eastAsia="en-US"/>
        </w:rPr>
        <w:t>5</w:t>
      </w:r>
      <w:r w:rsidR="004D612C" w:rsidRPr="00BF4BB0">
        <w:rPr>
          <w:rFonts w:eastAsia="Calibri" w:cs="Arial"/>
          <w:szCs w:val="22"/>
          <w:lang w:eastAsia="en-US"/>
        </w:rPr>
        <w:t>.</w:t>
      </w:r>
    </w:p>
    <w:p w:rsidR="004D612C" w:rsidRPr="00BF4BB0" w:rsidRDefault="004D612C" w:rsidP="004D4F8C">
      <w:pPr>
        <w:ind w:left="1260" w:hanging="1260"/>
        <w:rPr>
          <w:rFonts w:cs="Arial"/>
        </w:rPr>
      </w:pPr>
    </w:p>
    <w:p w:rsidR="004D612C" w:rsidRPr="00BF4BB0" w:rsidRDefault="004D612C" w:rsidP="004D4F8C">
      <w:pPr>
        <w:ind w:left="1260" w:hanging="1260"/>
        <w:rPr>
          <w:rFonts w:cs="Arial"/>
        </w:rPr>
      </w:pPr>
      <w:r w:rsidRPr="00BF4BB0">
        <w:rPr>
          <w:rFonts w:eastAsia="Calibri" w:cs="Arial"/>
          <w:szCs w:val="22"/>
          <w:lang w:eastAsia="en-US"/>
        </w:rPr>
        <w:t>7.3</w:t>
      </w:r>
      <w:r w:rsidRPr="00BF4BB0">
        <w:rPr>
          <w:rFonts w:eastAsia="Calibri" w:cs="Arial"/>
          <w:szCs w:val="22"/>
          <w:lang w:eastAsia="en-US"/>
        </w:rPr>
        <w:tab/>
        <w:t xml:space="preserve">To authorise the Chief Executive to approve the appointment of any officer of the Council as a Director of TradCo and/or RentCo and </w:t>
      </w:r>
      <w:r w:rsidR="00C06148" w:rsidRPr="00BF4BB0">
        <w:rPr>
          <w:rFonts w:eastAsia="Calibri" w:cs="Arial"/>
          <w:szCs w:val="22"/>
          <w:lang w:eastAsia="en-US"/>
        </w:rPr>
        <w:t xml:space="preserve">to </w:t>
      </w:r>
      <w:r w:rsidRPr="00BF4BB0">
        <w:rPr>
          <w:rFonts w:eastAsia="Calibri" w:cs="Arial"/>
          <w:szCs w:val="22"/>
          <w:lang w:eastAsia="en-US"/>
        </w:rPr>
        <w:t xml:space="preserve">the partnership </w:t>
      </w:r>
      <w:r w:rsidR="007B3A64">
        <w:rPr>
          <w:rFonts w:eastAsia="Calibri" w:cs="Arial"/>
          <w:szCs w:val="22"/>
          <w:lang w:eastAsia="en-US"/>
        </w:rPr>
        <w:t>board</w:t>
      </w:r>
      <w:r w:rsidR="007B3A64" w:rsidRPr="00BF4BB0">
        <w:rPr>
          <w:rFonts w:eastAsia="Calibri" w:cs="Arial"/>
          <w:szCs w:val="22"/>
          <w:lang w:eastAsia="en-US"/>
        </w:rPr>
        <w:t xml:space="preserve"> </w:t>
      </w:r>
      <w:r w:rsidRPr="00BF4BB0">
        <w:rPr>
          <w:rFonts w:eastAsia="Calibri" w:cs="Arial"/>
          <w:szCs w:val="22"/>
          <w:lang w:eastAsia="en-US"/>
        </w:rPr>
        <w:t>of Sale</w:t>
      </w:r>
      <w:r w:rsidR="003A4F04" w:rsidRPr="00BF4BB0">
        <w:rPr>
          <w:rFonts w:eastAsia="Calibri" w:cs="Arial"/>
          <w:szCs w:val="22"/>
          <w:lang w:eastAsia="en-US"/>
        </w:rPr>
        <w:t xml:space="preserve"> </w:t>
      </w:r>
      <w:r w:rsidRPr="00BF4BB0">
        <w:rPr>
          <w:rFonts w:eastAsia="Calibri" w:cs="Arial"/>
          <w:szCs w:val="22"/>
          <w:lang w:eastAsia="en-US"/>
        </w:rPr>
        <w:t>LLP.</w:t>
      </w:r>
    </w:p>
    <w:p w:rsidR="00F949F5" w:rsidRPr="00BF4BB0" w:rsidRDefault="00F949F5" w:rsidP="004D4F8C">
      <w:pPr>
        <w:ind w:left="1260" w:hanging="1260"/>
        <w:rPr>
          <w:rFonts w:cs="Arial"/>
        </w:rPr>
      </w:pPr>
    </w:p>
    <w:p w:rsidR="00F949F5" w:rsidRPr="00BF4BB0" w:rsidRDefault="00F949F5" w:rsidP="004D4F8C">
      <w:pPr>
        <w:ind w:left="1260" w:hanging="1260"/>
        <w:rPr>
          <w:rFonts w:cs="Arial"/>
        </w:rPr>
      </w:pPr>
      <w:r w:rsidRPr="00BF4BB0">
        <w:rPr>
          <w:rFonts w:eastAsia="Calibri" w:cs="Arial"/>
          <w:szCs w:val="22"/>
          <w:lang w:eastAsia="en-US"/>
        </w:rPr>
        <w:t>7.4</w:t>
      </w:r>
      <w:r w:rsidRPr="00BF4BB0">
        <w:rPr>
          <w:rFonts w:eastAsia="Calibri" w:cs="Arial"/>
          <w:szCs w:val="22"/>
          <w:lang w:eastAsia="en-US"/>
        </w:rPr>
        <w:tab/>
        <w:t xml:space="preserve">To authorise the Chief Executive </w:t>
      </w:r>
      <w:r w:rsidR="0030623D">
        <w:rPr>
          <w:rFonts w:eastAsia="Calibri" w:cs="Arial"/>
          <w:szCs w:val="22"/>
          <w:lang w:eastAsia="en-US"/>
        </w:rPr>
        <w:t>(</w:t>
      </w:r>
      <w:r w:rsidRPr="00BF4BB0">
        <w:rPr>
          <w:rFonts w:eastAsia="Calibri" w:cs="Arial"/>
          <w:szCs w:val="22"/>
          <w:lang w:eastAsia="en-US"/>
        </w:rPr>
        <w:t>following consultation with Group Leaders</w:t>
      </w:r>
      <w:r w:rsidR="0030623D">
        <w:rPr>
          <w:rFonts w:eastAsia="Calibri" w:cs="Arial"/>
          <w:szCs w:val="22"/>
          <w:lang w:eastAsia="en-US"/>
        </w:rPr>
        <w:t>)</w:t>
      </w:r>
      <w:r w:rsidRPr="00BF4BB0">
        <w:rPr>
          <w:rFonts w:eastAsia="Calibri" w:cs="Arial"/>
          <w:szCs w:val="22"/>
          <w:lang w:eastAsia="en-US"/>
        </w:rPr>
        <w:t xml:space="preserve"> to make any shareholder decision in respect of the Council’s interest in TradCo and/or RentCo necessary, in his opinion, to allow for the establishment of TradCo, RentCo and Sale</w:t>
      </w:r>
      <w:r w:rsidR="003A4F04" w:rsidRPr="00BF4BB0">
        <w:rPr>
          <w:rFonts w:eastAsia="Calibri" w:cs="Arial"/>
          <w:szCs w:val="22"/>
          <w:lang w:eastAsia="en-US"/>
        </w:rPr>
        <w:t xml:space="preserve"> </w:t>
      </w:r>
      <w:r w:rsidRPr="00BF4BB0">
        <w:rPr>
          <w:rFonts w:eastAsia="Calibri" w:cs="Arial"/>
          <w:szCs w:val="22"/>
          <w:lang w:eastAsia="en-US"/>
        </w:rPr>
        <w:t>LLP.</w:t>
      </w:r>
    </w:p>
    <w:p w:rsidR="004D612C" w:rsidRPr="00BF4BB0" w:rsidRDefault="004D612C" w:rsidP="004D4F8C">
      <w:pPr>
        <w:ind w:left="1260" w:hanging="1260"/>
        <w:rPr>
          <w:rFonts w:cs="Arial"/>
        </w:rPr>
      </w:pPr>
    </w:p>
    <w:p w:rsidR="00FC66C0" w:rsidRPr="00BF4BB0" w:rsidRDefault="004D612C" w:rsidP="004D4F8C">
      <w:pPr>
        <w:ind w:left="1260" w:hanging="1260"/>
        <w:rPr>
          <w:rFonts w:cs="Arial"/>
        </w:rPr>
      </w:pPr>
      <w:r w:rsidRPr="00BF4BB0">
        <w:rPr>
          <w:rFonts w:eastAsia="Calibri" w:cs="Arial"/>
          <w:szCs w:val="22"/>
          <w:lang w:eastAsia="en-US"/>
        </w:rPr>
        <w:t>7.</w:t>
      </w:r>
      <w:r w:rsidR="00837418" w:rsidRPr="00BF4BB0">
        <w:rPr>
          <w:rFonts w:eastAsia="Calibri" w:cs="Arial"/>
          <w:szCs w:val="22"/>
          <w:lang w:eastAsia="en-US"/>
        </w:rPr>
        <w:t>5</w:t>
      </w:r>
      <w:r w:rsidRPr="00BF4BB0">
        <w:rPr>
          <w:rFonts w:eastAsia="Calibri" w:cs="Arial"/>
          <w:szCs w:val="22"/>
          <w:lang w:eastAsia="en-US"/>
        </w:rPr>
        <w:tab/>
        <w:t>To approve the</w:t>
      </w:r>
      <w:r w:rsidR="0083708A" w:rsidRPr="00BF4BB0">
        <w:rPr>
          <w:rFonts w:eastAsia="Calibri" w:cs="Arial"/>
          <w:szCs w:val="22"/>
          <w:lang w:eastAsia="en-US"/>
        </w:rPr>
        <w:t xml:space="preserve"> methodology of governance as set down at sections 2.</w:t>
      </w:r>
      <w:r w:rsidR="00646F7F">
        <w:rPr>
          <w:rFonts w:eastAsia="Calibri" w:cs="Arial"/>
          <w:szCs w:val="22"/>
          <w:lang w:eastAsia="en-US"/>
        </w:rPr>
        <w:t>10</w:t>
      </w:r>
      <w:r w:rsidRPr="00BF4BB0">
        <w:rPr>
          <w:rFonts w:eastAsia="Calibri" w:cs="Arial"/>
          <w:szCs w:val="22"/>
          <w:lang w:eastAsia="en-US"/>
        </w:rPr>
        <w:t xml:space="preserve"> </w:t>
      </w:r>
      <w:r w:rsidR="00DB6D7B">
        <w:rPr>
          <w:rFonts w:eastAsia="Calibri" w:cs="Arial"/>
          <w:szCs w:val="22"/>
          <w:lang w:eastAsia="en-US"/>
        </w:rPr>
        <w:t>to</w:t>
      </w:r>
      <w:r w:rsidR="0083708A" w:rsidRPr="00BF4BB0">
        <w:rPr>
          <w:rFonts w:eastAsia="Calibri" w:cs="Arial"/>
          <w:szCs w:val="22"/>
          <w:lang w:eastAsia="en-US"/>
        </w:rPr>
        <w:t xml:space="preserve"> 2.</w:t>
      </w:r>
      <w:r w:rsidRPr="00BF4BB0">
        <w:rPr>
          <w:rFonts w:eastAsia="Calibri" w:cs="Arial"/>
          <w:szCs w:val="22"/>
          <w:lang w:eastAsia="en-US"/>
        </w:rPr>
        <w:t>1</w:t>
      </w:r>
      <w:r w:rsidR="00646F7F">
        <w:rPr>
          <w:rFonts w:eastAsia="Calibri" w:cs="Arial"/>
          <w:szCs w:val="22"/>
          <w:lang w:eastAsia="en-US"/>
        </w:rPr>
        <w:t>4</w:t>
      </w:r>
      <w:r w:rsidR="003C7E5D" w:rsidRPr="00BF4BB0">
        <w:rPr>
          <w:rFonts w:eastAsia="Calibri" w:cs="Arial"/>
          <w:szCs w:val="22"/>
          <w:lang w:eastAsia="en-US"/>
        </w:rPr>
        <w:t xml:space="preserve"> and to authorise the Monitoring Officer to make the necessary changes to the Constitution</w:t>
      </w:r>
      <w:r w:rsidR="0083708A" w:rsidRPr="00BF4BB0">
        <w:rPr>
          <w:rFonts w:eastAsia="Calibri" w:cs="Arial"/>
          <w:szCs w:val="22"/>
          <w:lang w:eastAsia="en-US"/>
        </w:rPr>
        <w:t>.</w:t>
      </w:r>
    </w:p>
    <w:p w:rsidR="00E82FD9" w:rsidRPr="00BF4BB0" w:rsidRDefault="00E82FD9" w:rsidP="004D4F8C">
      <w:pPr>
        <w:ind w:left="1260" w:hanging="1260"/>
        <w:rPr>
          <w:rFonts w:cs="Arial"/>
        </w:rPr>
      </w:pPr>
    </w:p>
    <w:p w:rsidR="00574D3B" w:rsidRPr="00BF4BB0" w:rsidRDefault="004C4DA8" w:rsidP="004D4F8C">
      <w:pPr>
        <w:ind w:left="1260" w:hanging="1260"/>
        <w:rPr>
          <w:rFonts w:cs="Arial"/>
        </w:rPr>
      </w:pPr>
      <w:r w:rsidRPr="00BF4BB0">
        <w:rPr>
          <w:rFonts w:eastAsia="Calibri" w:cs="Arial"/>
          <w:szCs w:val="22"/>
          <w:lang w:eastAsia="en-US"/>
        </w:rPr>
        <w:t>7.</w:t>
      </w:r>
      <w:r w:rsidR="00837418" w:rsidRPr="00BF4BB0">
        <w:rPr>
          <w:rFonts w:eastAsia="Calibri" w:cs="Arial"/>
          <w:szCs w:val="22"/>
          <w:lang w:eastAsia="en-US"/>
        </w:rPr>
        <w:t>6</w:t>
      </w:r>
      <w:r w:rsidRPr="00BF4BB0">
        <w:rPr>
          <w:rFonts w:eastAsia="Calibri" w:cs="Arial"/>
          <w:szCs w:val="22"/>
          <w:lang w:eastAsia="en-US"/>
        </w:rPr>
        <w:tab/>
      </w:r>
      <w:r w:rsidR="00574D3B" w:rsidRPr="00BF4BB0">
        <w:rPr>
          <w:rFonts w:eastAsia="Calibri" w:cs="Arial"/>
          <w:szCs w:val="22"/>
          <w:lang w:eastAsia="en-US"/>
        </w:rPr>
        <w:t>T</w:t>
      </w:r>
      <w:r w:rsidR="004D612C" w:rsidRPr="00BF4BB0">
        <w:rPr>
          <w:rFonts w:eastAsia="Calibri" w:cs="Arial"/>
          <w:szCs w:val="22"/>
          <w:lang w:eastAsia="en-US"/>
        </w:rPr>
        <w:t>o authorise the Policy and Resources Committee</w:t>
      </w:r>
      <w:r w:rsidR="00AF2256">
        <w:rPr>
          <w:rFonts w:eastAsia="Calibri" w:cs="Arial"/>
          <w:szCs w:val="22"/>
          <w:lang w:eastAsia="en-US"/>
        </w:rPr>
        <w:t xml:space="preserve">, subject to any necessary referral </w:t>
      </w:r>
      <w:r w:rsidR="00352BDF">
        <w:rPr>
          <w:rFonts w:eastAsia="Calibri" w:cs="Arial"/>
          <w:szCs w:val="22"/>
          <w:lang w:eastAsia="en-US"/>
        </w:rPr>
        <w:t xml:space="preserve">onwards </w:t>
      </w:r>
      <w:r w:rsidR="00AF2256">
        <w:rPr>
          <w:rFonts w:eastAsia="Calibri" w:cs="Arial"/>
          <w:szCs w:val="22"/>
          <w:lang w:eastAsia="en-US"/>
        </w:rPr>
        <w:t>to Council,</w:t>
      </w:r>
      <w:r w:rsidR="004D612C" w:rsidRPr="00BF4BB0">
        <w:rPr>
          <w:rFonts w:eastAsia="Calibri" w:cs="Arial"/>
          <w:szCs w:val="22"/>
          <w:lang w:eastAsia="en-US"/>
        </w:rPr>
        <w:t xml:space="preserve"> to</w:t>
      </w:r>
      <w:r w:rsidR="00574D3B" w:rsidRPr="00BF4BB0">
        <w:rPr>
          <w:rFonts w:eastAsia="Calibri" w:cs="Arial"/>
          <w:szCs w:val="22"/>
          <w:lang w:eastAsia="en-US"/>
        </w:rPr>
        <w:t>:</w:t>
      </w:r>
      <w:r w:rsidR="004D612C" w:rsidRPr="00BF4BB0">
        <w:rPr>
          <w:rFonts w:eastAsia="Calibri" w:cs="Arial"/>
          <w:szCs w:val="22"/>
          <w:lang w:eastAsia="en-US"/>
        </w:rPr>
        <w:t xml:space="preserve"> </w:t>
      </w:r>
    </w:p>
    <w:p w:rsidR="00574D3B" w:rsidRPr="00BF4BB0" w:rsidRDefault="00574D3B" w:rsidP="004D4F8C">
      <w:pPr>
        <w:ind w:left="1260" w:hanging="1260"/>
        <w:rPr>
          <w:rFonts w:cs="Arial"/>
        </w:rPr>
      </w:pPr>
    </w:p>
    <w:p w:rsidR="00BF4BB0" w:rsidRPr="00BF4BB0" w:rsidRDefault="004D612C" w:rsidP="004D4F8C">
      <w:pPr>
        <w:pStyle w:val="ListParagraph"/>
        <w:numPr>
          <w:ilvl w:val="2"/>
          <w:numId w:val="24"/>
        </w:numPr>
        <w:rPr>
          <w:rFonts w:ascii="Arial" w:hAnsi="Arial" w:cs="Arial"/>
        </w:rPr>
      </w:pPr>
      <w:r w:rsidRPr="00BF4BB0">
        <w:rPr>
          <w:rFonts w:ascii="Arial" w:hAnsi="Arial" w:cs="Arial"/>
        </w:rPr>
        <w:t>act as the shareholder</w:t>
      </w:r>
      <w:r w:rsidR="0030623D">
        <w:rPr>
          <w:rFonts w:ascii="Arial" w:hAnsi="Arial" w:cs="Arial"/>
        </w:rPr>
        <w:t xml:space="preserve"> </w:t>
      </w:r>
      <w:r w:rsidR="00843D90">
        <w:rPr>
          <w:rFonts w:ascii="Arial" w:hAnsi="Arial" w:cs="Arial"/>
        </w:rPr>
        <w:t>decision-making</w:t>
      </w:r>
      <w:r w:rsidRPr="00BF4BB0">
        <w:rPr>
          <w:rFonts w:ascii="Arial" w:hAnsi="Arial" w:cs="Arial"/>
        </w:rPr>
        <w:t xml:space="preserve"> body </w:t>
      </w:r>
      <w:r w:rsidR="00574D3B" w:rsidRPr="00BF4BB0">
        <w:rPr>
          <w:rFonts w:ascii="Arial" w:hAnsi="Arial" w:cs="Arial"/>
        </w:rPr>
        <w:t>on behalf of the Council in respect of the Council’s shareholdings in RentCo and TradCo;</w:t>
      </w:r>
    </w:p>
    <w:p w:rsidR="00BF4BB0" w:rsidRPr="00BF4BB0" w:rsidRDefault="00574D3B" w:rsidP="004D4F8C">
      <w:pPr>
        <w:pStyle w:val="ListParagraph"/>
        <w:numPr>
          <w:ilvl w:val="2"/>
          <w:numId w:val="24"/>
        </w:numPr>
        <w:rPr>
          <w:rFonts w:ascii="Arial" w:hAnsi="Arial" w:cs="Arial"/>
        </w:rPr>
      </w:pPr>
      <w:r w:rsidRPr="00BF4BB0">
        <w:rPr>
          <w:rFonts w:ascii="Arial" w:hAnsi="Arial" w:cs="Arial"/>
        </w:rPr>
        <w:t>manage the Council’s property investment activity;</w:t>
      </w:r>
    </w:p>
    <w:p w:rsidR="00BF4BB0" w:rsidRPr="00BF4BB0" w:rsidRDefault="00574D3B" w:rsidP="004D4F8C">
      <w:pPr>
        <w:pStyle w:val="ListParagraph"/>
        <w:numPr>
          <w:ilvl w:val="2"/>
          <w:numId w:val="24"/>
        </w:numPr>
        <w:rPr>
          <w:rFonts w:ascii="Arial" w:hAnsi="Arial" w:cs="Arial"/>
        </w:rPr>
      </w:pPr>
      <w:r w:rsidRPr="00BF4BB0">
        <w:rPr>
          <w:rFonts w:ascii="Arial" w:hAnsi="Arial" w:cs="Arial"/>
        </w:rPr>
        <w:t xml:space="preserve">to put in place any scheme of delegation that the Policy and Resources Committee considers necessary to enable officers (including the chair of the Property Investment Board) to undertake Operational and Approval </w:t>
      </w:r>
      <w:r w:rsidR="00843D90">
        <w:rPr>
          <w:rFonts w:ascii="Arial" w:hAnsi="Arial" w:cs="Arial"/>
        </w:rPr>
        <w:t xml:space="preserve"> decision-making</w:t>
      </w:r>
      <w:r w:rsidRPr="00BF4BB0">
        <w:rPr>
          <w:rFonts w:ascii="Arial" w:hAnsi="Arial" w:cs="Arial"/>
        </w:rPr>
        <w:t xml:space="preserve"> as set out in sections 2.</w:t>
      </w:r>
      <w:r w:rsidR="00646F7F">
        <w:rPr>
          <w:rFonts w:ascii="Arial" w:hAnsi="Arial" w:cs="Arial"/>
        </w:rPr>
        <w:t>10</w:t>
      </w:r>
      <w:r w:rsidRPr="00BF4BB0">
        <w:rPr>
          <w:rFonts w:ascii="Arial" w:hAnsi="Arial" w:cs="Arial"/>
        </w:rPr>
        <w:t xml:space="preserve"> to 2.1</w:t>
      </w:r>
      <w:r w:rsidR="00646F7F">
        <w:rPr>
          <w:rFonts w:ascii="Arial" w:hAnsi="Arial" w:cs="Arial"/>
        </w:rPr>
        <w:t>4</w:t>
      </w:r>
      <w:r w:rsidRPr="00BF4BB0">
        <w:rPr>
          <w:rFonts w:ascii="Arial" w:hAnsi="Arial" w:cs="Arial"/>
        </w:rPr>
        <w:t xml:space="preserve"> of this report;</w:t>
      </w:r>
    </w:p>
    <w:p w:rsidR="001D4EC0" w:rsidRDefault="00574D3B" w:rsidP="004D4F8C">
      <w:pPr>
        <w:pStyle w:val="ListParagraph"/>
        <w:numPr>
          <w:ilvl w:val="2"/>
          <w:numId w:val="24"/>
        </w:numPr>
        <w:rPr>
          <w:rFonts w:ascii="Arial" w:hAnsi="Arial" w:cs="Arial"/>
        </w:rPr>
      </w:pPr>
      <w:proofErr w:type="gramStart"/>
      <w:r w:rsidRPr="0030623D">
        <w:rPr>
          <w:rFonts w:ascii="Arial" w:hAnsi="Arial" w:cs="Arial"/>
        </w:rPr>
        <w:t>approve</w:t>
      </w:r>
      <w:proofErr w:type="gramEnd"/>
      <w:r w:rsidRPr="0030623D">
        <w:rPr>
          <w:rFonts w:ascii="Arial" w:hAnsi="Arial" w:cs="Arial"/>
        </w:rPr>
        <w:t xml:space="preserve"> any business cases in respect of Direct Activity, TradCo, RentCo and/or Sale</w:t>
      </w:r>
      <w:r w:rsidR="003A4F04" w:rsidRPr="0030623D">
        <w:rPr>
          <w:rFonts w:ascii="Arial" w:hAnsi="Arial" w:cs="Arial"/>
        </w:rPr>
        <w:t xml:space="preserve"> </w:t>
      </w:r>
      <w:r w:rsidRPr="0030623D">
        <w:rPr>
          <w:rFonts w:ascii="Arial" w:hAnsi="Arial" w:cs="Arial"/>
        </w:rPr>
        <w:t xml:space="preserve">LLP. </w:t>
      </w:r>
      <w:r w:rsidR="004D612C" w:rsidRPr="0030623D">
        <w:rPr>
          <w:rFonts w:ascii="Arial" w:hAnsi="Arial" w:cs="Arial"/>
        </w:rPr>
        <w:t xml:space="preserve"> </w:t>
      </w:r>
    </w:p>
    <w:p w:rsidR="00096F7E" w:rsidRDefault="00096F7E" w:rsidP="00E82FD9">
      <w:pPr>
        <w:pStyle w:val="ListParagraph"/>
        <w:ind w:left="1335" w:hanging="1335"/>
        <w:jc w:val="both"/>
        <w:rPr>
          <w:rFonts w:ascii="Arial" w:hAnsi="Arial" w:cs="Arial"/>
        </w:rPr>
      </w:pPr>
    </w:p>
    <w:p w:rsidR="001D4EC0" w:rsidRDefault="001D4EC0" w:rsidP="00E82FD9">
      <w:pPr>
        <w:pStyle w:val="ListParagraph"/>
        <w:ind w:left="1335" w:hanging="1335"/>
        <w:jc w:val="both"/>
        <w:rPr>
          <w:rFonts w:ascii="Arial" w:hAnsi="Arial" w:cs="Arial"/>
          <w:b/>
        </w:rPr>
      </w:pPr>
      <w:r>
        <w:rPr>
          <w:rFonts w:ascii="Arial" w:hAnsi="Arial" w:cs="Arial"/>
        </w:rPr>
        <w:tab/>
      </w:r>
      <w:r>
        <w:rPr>
          <w:rFonts w:ascii="Arial" w:hAnsi="Arial" w:cs="Arial"/>
          <w:b/>
        </w:rPr>
        <w:t>Appendices:-</w:t>
      </w:r>
    </w:p>
    <w:p w:rsidR="001D4EC0" w:rsidRDefault="001D4EC0" w:rsidP="00E82FD9">
      <w:pPr>
        <w:pStyle w:val="ListParagraph"/>
        <w:ind w:left="1335" w:hanging="1335"/>
        <w:jc w:val="both"/>
        <w:rPr>
          <w:rFonts w:ascii="Arial" w:hAnsi="Arial" w:cs="Arial"/>
        </w:rPr>
      </w:pPr>
      <w:r>
        <w:rPr>
          <w:rFonts w:ascii="Arial" w:hAnsi="Arial" w:cs="Arial"/>
          <w:b/>
        </w:rPr>
        <w:tab/>
      </w:r>
      <w:r>
        <w:rPr>
          <w:rFonts w:ascii="Arial" w:hAnsi="Arial" w:cs="Arial"/>
        </w:rPr>
        <w:t>A – Governance Flow Chart</w:t>
      </w:r>
      <w:r w:rsidR="00FB7578">
        <w:rPr>
          <w:rFonts w:ascii="Arial" w:hAnsi="Arial" w:cs="Arial"/>
        </w:rPr>
        <w:t xml:space="preserve"> (Page 8)</w:t>
      </w:r>
    </w:p>
    <w:p w:rsidR="00FC66C0" w:rsidRDefault="001D4EC0" w:rsidP="00E82FD9">
      <w:pPr>
        <w:pStyle w:val="ListParagraph"/>
        <w:ind w:left="1335" w:hanging="1335"/>
        <w:jc w:val="both"/>
        <w:rPr>
          <w:rFonts w:ascii="Arial" w:hAnsi="Arial" w:cs="Arial"/>
        </w:rPr>
      </w:pPr>
      <w:r>
        <w:rPr>
          <w:rFonts w:ascii="Arial" w:hAnsi="Arial" w:cs="Arial"/>
        </w:rPr>
        <w:tab/>
        <w:t>B - TradCo</w:t>
      </w:r>
      <w:r w:rsidRPr="001D4EC0">
        <w:rPr>
          <w:rFonts w:ascii="Arial" w:hAnsi="Arial" w:cs="Arial"/>
        </w:rPr>
        <w:t xml:space="preserve"> – Articles of Association</w:t>
      </w:r>
      <w:r w:rsidR="00FB7578">
        <w:rPr>
          <w:rFonts w:ascii="Arial" w:hAnsi="Arial" w:cs="Arial"/>
        </w:rPr>
        <w:t xml:space="preserve"> (Pages 9-36)</w:t>
      </w:r>
    </w:p>
    <w:p w:rsidR="00F949F5" w:rsidRDefault="00F949F5" w:rsidP="00E82FD9">
      <w:pPr>
        <w:pStyle w:val="ListParagraph"/>
        <w:ind w:left="1335" w:hanging="1335"/>
        <w:jc w:val="both"/>
        <w:rPr>
          <w:rFonts w:ascii="Arial" w:hAnsi="Arial" w:cs="Arial"/>
        </w:rPr>
      </w:pPr>
      <w:r>
        <w:rPr>
          <w:rFonts w:ascii="Arial" w:hAnsi="Arial" w:cs="Arial"/>
        </w:rPr>
        <w:tab/>
        <w:t xml:space="preserve">C – </w:t>
      </w:r>
      <w:proofErr w:type="spellStart"/>
      <w:r>
        <w:rPr>
          <w:rFonts w:ascii="Arial" w:hAnsi="Arial" w:cs="Arial"/>
        </w:rPr>
        <w:t>TradCo</w:t>
      </w:r>
      <w:proofErr w:type="spellEnd"/>
      <w:r>
        <w:rPr>
          <w:rFonts w:ascii="Arial" w:hAnsi="Arial" w:cs="Arial"/>
        </w:rPr>
        <w:t xml:space="preserve"> – Governance Agreement</w:t>
      </w:r>
      <w:r w:rsidR="00FB7578">
        <w:rPr>
          <w:rFonts w:ascii="Arial" w:hAnsi="Arial" w:cs="Arial"/>
        </w:rPr>
        <w:t xml:space="preserve"> (Pages 37-63)</w:t>
      </w:r>
    </w:p>
    <w:p w:rsidR="001D4EC0" w:rsidRPr="001D4EC0" w:rsidRDefault="001D4EC0" w:rsidP="00E82FD9">
      <w:pPr>
        <w:pStyle w:val="ListParagraph"/>
        <w:ind w:left="1335" w:hanging="1335"/>
        <w:jc w:val="both"/>
        <w:rPr>
          <w:rFonts w:ascii="Arial" w:hAnsi="Arial" w:cs="Arial"/>
        </w:rPr>
      </w:pPr>
      <w:r>
        <w:rPr>
          <w:rFonts w:ascii="Arial" w:hAnsi="Arial" w:cs="Arial"/>
        </w:rPr>
        <w:tab/>
      </w:r>
      <w:r w:rsidR="00F949F5">
        <w:rPr>
          <w:rFonts w:ascii="Arial" w:hAnsi="Arial" w:cs="Arial"/>
        </w:rPr>
        <w:t xml:space="preserve">D </w:t>
      </w:r>
      <w:r>
        <w:rPr>
          <w:rFonts w:ascii="Arial" w:hAnsi="Arial" w:cs="Arial"/>
        </w:rPr>
        <w:t xml:space="preserve">- </w:t>
      </w:r>
      <w:r w:rsidRPr="001D4EC0">
        <w:rPr>
          <w:rFonts w:ascii="Arial" w:hAnsi="Arial" w:cs="Arial"/>
        </w:rPr>
        <w:t>Sale LLP – Membership Agreement</w:t>
      </w:r>
      <w:r w:rsidR="00FB7578">
        <w:rPr>
          <w:rFonts w:ascii="Arial" w:hAnsi="Arial" w:cs="Arial"/>
        </w:rPr>
        <w:t xml:space="preserve"> (Pages 64-100)</w:t>
      </w:r>
    </w:p>
    <w:p w:rsidR="001D4EC0" w:rsidRPr="001D4EC0" w:rsidRDefault="001D4EC0" w:rsidP="00E82FD9">
      <w:pPr>
        <w:pStyle w:val="ListParagraph"/>
        <w:ind w:left="1335" w:hanging="1335"/>
        <w:jc w:val="both"/>
        <w:rPr>
          <w:rFonts w:ascii="Arial" w:hAnsi="Arial" w:cs="Arial"/>
        </w:rPr>
      </w:pPr>
      <w:r w:rsidRPr="001D4EC0">
        <w:rPr>
          <w:rFonts w:ascii="Arial" w:hAnsi="Arial" w:cs="Arial"/>
        </w:rPr>
        <w:tab/>
      </w:r>
      <w:r w:rsidR="00F949F5">
        <w:rPr>
          <w:rFonts w:ascii="Arial" w:hAnsi="Arial" w:cs="Arial"/>
        </w:rPr>
        <w:t>E</w:t>
      </w:r>
      <w:r w:rsidR="00F949F5" w:rsidRPr="001D4EC0">
        <w:rPr>
          <w:rFonts w:ascii="Arial" w:hAnsi="Arial" w:cs="Arial"/>
        </w:rPr>
        <w:t xml:space="preserve"> </w:t>
      </w:r>
      <w:r w:rsidRPr="001D4EC0">
        <w:rPr>
          <w:rFonts w:ascii="Arial" w:hAnsi="Arial" w:cs="Arial"/>
        </w:rPr>
        <w:t>- RentCo – Articles of Association</w:t>
      </w:r>
      <w:r w:rsidR="00FB7578">
        <w:rPr>
          <w:rFonts w:ascii="Arial" w:hAnsi="Arial" w:cs="Arial"/>
        </w:rPr>
        <w:t xml:space="preserve"> (Pages 101-118)</w:t>
      </w:r>
    </w:p>
    <w:p w:rsidR="001D4EC0" w:rsidRPr="001D4EC0" w:rsidRDefault="001D4EC0" w:rsidP="00E82FD9">
      <w:pPr>
        <w:pStyle w:val="ListParagraph"/>
        <w:ind w:left="1335" w:hanging="1335"/>
        <w:jc w:val="both"/>
        <w:rPr>
          <w:rFonts w:ascii="Arial" w:hAnsi="Arial" w:cs="Arial"/>
        </w:rPr>
      </w:pPr>
      <w:r w:rsidRPr="001D4EC0">
        <w:rPr>
          <w:rFonts w:ascii="Arial" w:hAnsi="Arial" w:cs="Arial"/>
        </w:rPr>
        <w:tab/>
      </w:r>
      <w:r w:rsidR="00F949F5">
        <w:rPr>
          <w:rFonts w:ascii="Arial" w:hAnsi="Arial" w:cs="Arial"/>
        </w:rPr>
        <w:t>F</w:t>
      </w:r>
      <w:r w:rsidR="00F949F5" w:rsidRPr="001D4EC0">
        <w:rPr>
          <w:rFonts w:ascii="Arial" w:hAnsi="Arial" w:cs="Arial"/>
        </w:rPr>
        <w:t xml:space="preserve"> </w:t>
      </w:r>
      <w:r w:rsidRPr="001D4EC0">
        <w:rPr>
          <w:rFonts w:ascii="Arial" w:hAnsi="Arial" w:cs="Arial"/>
        </w:rPr>
        <w:t xml:space="preserve">- </w:t>
      </w:r>
      <w:proofErr w:type="spellStart"/>
      <w:r w:rsidRPr="001D4EC0">
        <w:rPr>
          <w:rFonts w:ascii="Arial" w:hAnsi="Arial" w:cs="Arial"/>
        </w:rPr>
        <w:t>RentCo</w:t>
      </w:r>
      <w:proofErr w:type="spellEnd"/>
      <w:r w:rsidRPr="001D4EC0">
        <w:rPr>
          <w:rFonts w:ascii="Arial" w:hAnsi="Arial" w:cs="Arial"/>
        </w:rPr>
        <w:t xml:space="preserve"> – Shareholders</w:t>
      </w:r>
      <w:r w:rsidR="00C06148">
        <w:rPr>
          <w:rFonts w:ascii="Arial" w:hAnsi="Arial" w:cs="Arial"/>
        </w:rPr>
        <w:t>’</w:t>
      </w:r>
      <w:r w:rsidRPr="001D4EC0">
        <w:rPr>
          <w:rFonts w:ascii="Arial" w:hAnsi="Arial" w:cs="Arial"/>
        </w:rPr>
        <w:t xml:space="preserve"> Agreement</w:t>
      </w:r>
      <w:r w:rsidR="00FB7578">
        <w:rPr>
          <w:rFonts w:ascii="Arial" w:hAnsi="Arial" w:cs="Arial"/>
        </w:rPr>
        <w:t xml:space="preserve"> (Pages 119-164)</w:t>
      </w:r>
      <w:bookmarkStart w:id="0" w:name="_GoBack"/>
      <w:bookmarkEnd w:id="0"/>
    </w:p>
    <w:p w:rsidR="009B25B8" w:rsidRPr="00F3583B" w:rsidRDefault="009B25B8" w:rsidP="0002431D">
      <w:pPr>
        <w:rPr>
          <w:rFonts w:cs="Arial"/>
          <w:szCs w:val="22"/>
        </w:rPr>
      </w:pPr>
    </w:p>
    <w:p w:rsidR="00AC4E3A" w:rsidRDefault="00AC4E3A" w:rsidP="00AC4E3A">
      <w:pPr>
        <w:keepNext/>
        <w:ind w:left="1267" w:hanging="1267"/>
        <w:rPr>
          <w:b/>
        </w:rPr>
      </w:pPr>
      <w:r>
        <w:rPr>
          <w:b/>
        </w:rPr>
        <w:tab/>
        <w:t>Committee Decision on Public Access:-</w:t>
      </w:r>
    </w:p>
    <w:p w:rsidR="00AC4E3A" w:rsidRDefault="00AC4E3A" w:rsidP="00AC4E3A">
      <w:pPr>
        <w:keepNext/>
        <w:ind w:left="1267" w:hanging="1267"/>
      </w:pPr>
    </w:p>
    <w:p w:rsidR="00936783" w:rsidRDefault="003032CD" w:rsidP="003032CD">
      <w:pPr>
        <w:numPr>
          <w:ilvl w:val="0"/>
          <w:numId w:val="13"/>
        </w:numPr>
        <w:rPr>
          <w:rFonts w:cs="Arial"/>
          <w:szCs w:val="22"/>
        </w:rPr>
      </w:pPr>
      <w:r>
        <w:rPr>
          <w:rFonts w:cs="Arial"/>
          <w:szCs w:val="22"/>
        </w:rPr>
        <w:t>Public access to the report</w:t>
      </w:r>
      <w:r>
        <w:rPr>
          <w:rFonts w:cs="Arial"/>
          <w:szCs w:val="22"/>
        </w:rPr>
        <w:tab/>
        <w:t>- Immediate</w:t>
      </w:r>
    </w:p>
    <w:p w:rsidR="003032CD" w:rsidRPr="00F3583B" w:rsidRDefault="003032CD" w:rsidP="003032CD">
      <w:pPr>
        <w:numPr>
          <w:ilvl w:val="0"/>
          <w:numId w:val="13"/>
        </w:numPr>
        <w:rPr>
          <w:rFonts w:cs="Arial"/>
          <w:szCs w:val="22"/>
        </w:rPr>
      </w:pPr>
      <w:r>
        <w:rPr>
          <w:rFonts w:cs="Arial"/>
          <w:szCs w:val="22"/>
        </w:rPr>
        <w:t>Public access to decision</w:t>
      </w:r>
      <w:r>
        <w:rPr>
          <w:rFonts w:cs="Arial"/>
          <w:szCs w:val="22"/>
        </w:rPr>
        <w:tab/>
        <w:t>- Immediate</w:t>
      </w:r>
    </w:p>
    <w:p w:rsidR="00EE1CAB" w:rsidRPr="00E82FD9" w:rsidRDefault="00BF34FA" w:rsidP="00E82FD9">
      <w:pPr>
        <w:ind w:left="1260" w:hanging="1260"/>
        <w:rPr>
          <w:rFonts w:cs="Arial"/>
          <w:b/>
          <w:i/>
          <w:color w:val="008000"/>
          <w:szCs w:val="22"/>
        </w:rPr>
      </w:pPr>
      <w:r w:rsidRPr="00F3583B">
        <w:rPr>
          <w:rFonts w:cs="Arial"/>
          <w:b/>
          <w:i/>
          <w:color w:val="008000"/>
          <w:szCs w:val="22"/>
        </w:rPr>
        <w:tab/>
      </w:r>
    </w:p>
    <w:p w:rsidR="003032CD" w:rsidRDefault="00BF34FA">
      <w:pPr>
        <w:rPr>
          <w:rFonts w:cs="Arial"/>
          <w:szCs w:val="22"/>
        </w:rPr>
      </w:pPr>
      <w:r w:rsidRPr="00F3583B">
        <w:rPr>
          <w:rFonts w:cs="Arial"/>
          <w:szCs w:val="22"/>
        </w:rPr>
        <w:tab/>
      </w:r>
    </w:p>
    <w:p w:rsidR="00C5151A" w:rsidRPr="00F3583B" w:rsidRDefault="003032CD">
      <w:pPr>
        <w:rPr>
          <w:rFonts w:cs="Arial"/>
          <w:b/>
          <w:i/>
          <w:color w:val="008000"/>
          <w:szCs w:val="22"/>
        </w:rPr>
      </w:pPr>
      <w:r>
        <w:rPr>
          <w:rFonts w:cs="Arial"/>
          <w:szCs w:val="22"/>
        </w:rPr>
        <w:tab/>
      </w:r>
      <w:r w:rsidR="00BF34FA" w:rsidRPr="00F3583B">
        <w:rPr>
          <w:rFonts w:cs="Arial"/>
          <w:szCs w:val="22"/>
        </w:rPr>
        <w:t>Report prepared by:</w:t>
      </w:r>
      <w:r w:rsidR="00BF34FA" w:rsidRPr="00F3583B">
        <w:rPr>
          <w:rFonts w:cs="Arial"/>
          <w:szCs w:val="22"/>
        </w:rPr>
        <w:tab/>
      </w:r>
      <w:r w:rsidR="00BF34FA" w:rsidRPr="00F3583B">
        <w:rPr>
          <w:rFonts w:cs="Arial"/>
          <w:szCs w:val="22"/>
        </w:rPr>
        <w:fldChar w:fldCharType="begin"/>
      </w:r>
      <w:r w:rsidR="00BF34FA" w:rsidRPr="00F3583B">
        <w:rPr>
          <w:rFonts w:cs="Arial"/>
          <w:szCs w:val="22"/>
        </w:rPr>
        <w:instrText xml:space="preserve">  </w:instrText>
      </w:r>
      <w:r w:rsidR="00BF34FA" w:rsidRPr="00F3583B">
        <w:rPr>
          <w:rFonts w:cs="Arial"/>
          <w:szCs w:val="22"/>
        </w:rPr>
        <w:fldChar w:fldCharType="end"/>
      </w:r>
      <w:r w:rsidR="00C5151A" w:rsidRPr="00F3583B">
        <w:rPr>
          <w:rFonts w:cs="Arial"/>
          <w:szCs w:val="22"/>
        </w:rPr>
        <w:t>Alan Head</w:t>
      </w:r>
      <w:r w:rsidR="00D9107B">
        <w:rPr>
          <w:rFonts w:cs="Arial"/>
          <w:szCs w:val="22"/>
        </w:rPr>
        <w:t xml:space="preserve">, </w:t>
      </w:r>
      <w:r w:rsidR="00C5151A" w:rsidRPr="00F3583B">
        <w:rPr>
          <w:rFonts w:cs="Arial"/>
          <w:szCs w:val="22"/>
        </w:rPr>
        <w:t>Head of Major Projects</w:t>
      </w:r>
    </w:p>
    <w:p w:rsidR="00BF34FA" w:rsidRPr="00F3583B" w:rsidRDefault="00BF34FA" w:rsidP="00936783">
      <w:pPr>
        <w:keepNext/>
        <w:keepLines/>
        <w:outlineLvl w:val="0"/>
        <w:rPr>
          <w:rFonts w:cs="Arial"/>
          <w:b/>
          <w:i/>
          <w:color w:val="008000"/>
          <w:szCs w:val="22"/>
        </w:rPr>
      </w:pPr>
    </w:p>
    <w:p w:rsidR="00C5151A" w:rsidRPr="00F3583B" w:rsidRDefault="00BF34FA" w:rsidP="00B21D6C">
      <w:pPr>
        <w:keepNext/>
        <w:ind w:left="1259" w:hanging="1259"/>
        <w:rPr>
          <w:rFonts w:cs="Arial"/>
          <w:szCs w:val="22"/>
        </w:rPr>
      </w:pPr>
      <w:r w:rsidRPr="00F3583B">
        <w:rPr>
          <w:rFonts w:cs="Arial"/>
          <w:szCs w:val="22"/>
        </w:rPr>
        <w:tab/>
      </w:r>
    </w:p>
    <w:sectPr w:rsidR="00C5151A" w:rsidRPr="00F3583B">
      <w:headerReference w:type="even" r:id="rId8"/>
      <w:headerReference w:type="default" r:id="rId9"/>
      <w:footerReference w:type="even" r:id="rId10"/>
      <w:footerReference w:type="default" r:id="rId11"/>
      <w:headerReference w:type="first" r:id="rId12"/>
      <w:footerReference w:type="first" r:id="rId13"/>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CA" w:rsidRDefault="000C3BCA">
      <w:r>
        <w:separator/>
      </w:r>
    </w:p>
  </w:endnote>
  <w:endnote w:type="continuationSeparator" w:id="0">
    <w:p w:rsidR="000C3BCA" w:rsidRDefault="000C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0" w:rsidRDefault="00681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0" w:rsidRDefault="00681D80">
    <w:pPr>
      <w:pStyle w:val="Footer"/>
      <w:tabs>
        <w:tab w:val="clear" w:pos="4153"/>
        <w:tab w:val="clear" w:pos="8306"/>
        <w:tab w:val="center" w:pos="4680"/>
        <w:tab w:val="right" w:pos="9090"/>
      </w:tab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0" w:rsidRDefault="00681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CA" w:rsidRDefault="000C3BCA">
      <w:r>
        <w:separator/>
      </w:r>
    </w:p>
  </w:footnote>
  <w:footnote w:type="continuationSeparator" w:id="0">
    <w:p w:rsidR="000C3BCA" w:rsidRDefault="000C3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0" w:rsidRDefault="00681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0" w:rsidRDefault="00681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0" w:rsidRDefault="00681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84"/>
    <w:multiLevelType w:val="hybridMultilevel"/>
    <w:tmpl w:val="79DA3BE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
    <w:nsid w:val="02825EAD"/>
    <w:multiLevelType w:val="hybridMultilevel"/>
    <w:tmpl w:val="98266B94"/>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
    <w:nsid w:val="03A34255"/>
    <w:multiLevelType w:val="hybridMultilevel"/>
    <w:tmpl w:val="DEC2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226E3"/>
    <w:multiLevelType w:val="hybridMultilevel"/>
    <w:tmpl w:val="1E8C5218"/>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
    <w:nsid w:val="0B487F92"/>
    <w:multiLevelType w:val="multilevel"/>
    <w:tmpl w:val="29AE7364"/>
    <w:lvl w:ilvl="0">
      <w:start w:val="1"/>
      <w:numFmt w:val="decimal"/>
      <w:lvlText w:val="%1"/>
      <w:lvlJc w:val="left"/>
      <w:pPr>
        <w:ind w:left="162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060" w:hanging="1800"/>
      </w:pPr>
      <w:rPr>
        <w:rFonts w:hint="default"/>
      </w:rPr>
    </w:lvl>
  </w:abstractNum>
  <w:abstractNum w:abstractNumId="5">
    <w:nsid w:val="108B69FB"/>
    <w:multiLevelType w:val="hybridMultilevel"/>
    <w:tmpl w:val="036811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09733B1"/>
    <w:multiLevelType w:val="hybridMultilevel"/>
    <w:tmpl w:val="A9FC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390879"/>
    <w:multiLevelType w:val="multilevel"/>
    <w:tmpl w:val="7BB407DE"/>
    <w:numStyleLink w:val="NumbListLegal"/>
  </w:abstractNum>
  <w:abstractNum w:abstractNumId="8">
    <w:nsid w:val="18BC2585"/>
    <w:multiLevelType w:val="hybridMultilevel"/>
    <w:tmpl w:val="3A6A63B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9">
    <w:nsid w:val="1BB0617A"/>
    <w:multiLevelType w:val="hybridMultilevel"/>
    <w:tmpl w:val="7C7C3F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0384761"/>
    <w:multiLevelType w:val="hybridMultilevel"/>
    <w:tmpl w:val="3D9A9808"/>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1">
    <w:nsid w:val="23123529"/>
    <w:multiLevelType w:val="hybridMultilevel"/>
    <w:tmpl w:val="41BA0162"/>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nsid w:val="23174F7F"/>
    <w:multiLevelType w:val="hybridMultilevel"/>
    <w:tmpl w:val="2798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4E7DFB"/>
    <w:multiLevelType w:val="hybridMultilevel"/>
    <w:tmpl w:val="C938F2C4"/>
    <w:lvl w:ilvl="0" w:tplc="08090013">
      <w:start w:val="1"/>
      <w:numFmt w:val="upperRoman"/>
      <w:lvlText w:val="%1."/>
      <w:lvlJc w:val="righ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2D1F4CFA"/>
    <w:multiLevelType w:val="hybridMultilevel"/>
    <w:tmpl w:val="95EE5AE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nsid w:val="4247715B"/>
    <w:multiLevelType w:val="multilevel"/>
    <w:tmpl w:val="16306FE2"/>
    <w:lvl w:ilvl="0">
      <w:start w:val="1"/>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FC657A"/>
    <w:multiLevelType w:val="hybridMultilevel"/>
    <w:tmpl w:val="849CE2BC"/>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7">
    <w:nsid w:val="46806D3C"/>
    <w:multiLevelType w:val="hybridMultilevel"/>
    <w:tmpl w:val="EF202142"/>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8">
    <w:nsid w:val="49CE2D10"/>
    <w:multiLevelType w:val="hybridMultilevel"/>
    <w:tmpl w:val="A7A6FEC6"/>
    <w:lvl w:ilvl="0" w:tplc="C0343814">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9">
    <w:nsid w:val="57CD20B7"/>
    <w:multiLevelType w:val="hybridMultilevel"/>
    <w:tmpl w:val="86F277F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nsid w:val="5E093EFA"/>
    <w:multiLevelType w:val="hybridMultilevel"/>
    <w:tmpl w:val="81C6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437A3E"/>
    <w:multiLevelType w:val="hybridMultilevel"/>
    <w:tmpl w:val="C50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B1131F"/>
    <w:multiLevelType w:val="multilevel"/>
    <w:tmpl w:val="7BB407DE"/>
    <w:styleLink w:val="NumbListLegal"/>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588"/>
        </w:tabs>
        <w:ind w:left="1588" w:hanging="908"/>
      </w:pPr>
      <w:rPr>
        <w:rFonts w:cs="Times New Roman" w:hint="default"/>
      </w:rPr>
    </w:lvl>
    <w:lvl w:ilvl="3">
      <w:start w:val="1"/>
      <w:numFmt w:val="lowerLetter"/>
      <w:lvlText w:val="(%4)"/>
      <w:lvlJc w:val="left"/>
      <w:pPr>
        <w:tabs>
          <w:tab w:val="num" w:pos="2041"/>
        </w:tabs>
        <w:ind w:left="2041" w:hanging="453"/>
      </w:pPr>
      <w:rPr>
        <w:rFonts w:cs="Times New Roman" w:hint="default"/>
      </w:rPr>
    </w:lvl>
    <w:lvl w:ilvl="4">
      <w:start w:val="1"/>
      <w:numFmt w:val="lowerRoman"/>
      <w:lvlText w:val="(%5)"/>
      <w:lvlJc w:val="left"/>
      <w:pPr>
        <w:tabs>
          <w:tab w:val="num" w:pos="2495"/>
        </w:tabs>
        <w:ind w:left="2495" w:hanging="454"/>
      </w:pPr>
      <w:rPr>
        <w:rFonts w:cs="Times New Roman" w:hint="default"/>
      </w:rPr>
    </w:lvl>
    <w:lvl w:ilvl="5">
      <w:start w:val="1"/>
      <w:numFmt w:val="upperLetter"/>
      <w:lvlText w:val="(%6)"/>
      <w:lvlJc w:val="left"/>
      <w:pPr>
        <w:tabs>
          <w:tab w:val="num" w:pos="2948"/>
        </w:tabs>
        <w:ind w:left="2948" w:hanging="453"/>
      </w:pPr>
      <w:rPr>
        <w:rFonts w:cs="Times New Roman" w:hint="default"/>
      </w:rPr>
    </w:lvl>
    <w:lvl w:ilvl="6">
      <w:start w:val="1"/>
      <w:numFmt w:val="none"/>
      <w:suff w:val="nothing"/>
      <w:lvlText w:val=""/>
      <w:lvlJc w:val="left"/>
      <w:pPr>
        <w:ind w:left="2948"/>
      </w:pPr>
      <w:rPr>
        <w:rFonts w:cs="Times New Roman" w:hint="default"/>
      </w:rPr>
    </w:lvl>
    <w:lvl w:ilvl="7">
      <w:start w:val="1"/>
      <w:numFmt w:val="none"/>
      <w:suff w:val="nothing"/>
      <w:lvlText w:val=""/>
      <w:lvlJc w:val="left"/>
      <w:pPr>
        <w:ind w:left="2948"/>
      </w:pPr>
      <w:rPr>
        <w:rFonts w:cs="Times New Roman" w:hint="default"/>
      </w:rPr>
    </w:lvl>
    <w:lvl w:ilvl="8">
      <w:start w:val="1"/>
      <w:numFmt w:val="none"/>
      <w:suff w:val="nothing"/>
      <w:lvlText w:val=""/>
      <w:lvlJc w:val="left"/>
      <w:pPr>
        <w:ind w:left="2948"/>
      </w:pPr>
      <w:rPr>
        <w:rFonts w:cs="Times New Roman" w:hint="default"/>
      </w:rPr>
    </w:lvl>
  </w:abstractNum>
  <w:abstractNum w:abstractNumId="23">
    <w:nsid w:val="6C833985"/>
    <w:multiLevelType w:val="multilevel"/>
    <w:tmpl w:val="023CFC3A"/>
    <w:lvl w:ilvl="0">
      <w:start w:val="1"/>
      <w:numFmt w:val="decimal"/>
      <w:lvlText w:val="%1."/>
      <w:lvlJc w:val="left"/>
      <w:pPr>
        <w:tabs>
          <w:tab w:val="num" w:pos="1440"/>
        </w:tabs>
        <w:ind w:left="1440" w:hanging="360"/>
      </w:pPr>
      <w:rPr>
        <w:rFonts w:ascii="Arial" w:hAnsi="Arial" w:cs="Arial" w:hint="default"/>
        <w:sz w:val="20"/>
        <w:szCs w:val="2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4">
    <w:nsid w:val="79C41EDC"/>
    <w:multiLevelType w:val="hybridMultilevel"/>
    <w:tmpl w:val="20C48080"/>
    <w:lvl w:ilvl="0" w:tplc="08090015">
      <w:start w:val="1"/>
      <w:numFmt w:val="upp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nsid w:val="7AB713AC"/>
    <w:multiLevelType w:val="hybridMultilevel"/>
    <w:tmpl w:val="5866D150"/>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abstractNumId w:val="13"/>
  </w:num>
  <w:num w:numId="2">
    <w:abstractNumId w:val="11"/>
  </w:num>
  <w:num w:numId="3">
    <w:abstractNumId w:val="4"/>
  </w:num>
  <w:num w:numId="4">
    <w:abstractNumId w:val="8"/>
  </w:num>
  <w:num w:numId="5">
    <w:abstractNumId w:val="23"/>
  </w:num>
  <w:num w:numId="6">
    <w:abstractNumId w:val="22"/>
  </w:num>
  <w:num w:numId="7">
    <w:abstractNumId w:val="7"/>
  </w:num>
  <w:num w:numId="8">
    <w:abstractNumId w:val="24"/>
  </w:num>
  <w:num w:numId="9">
    <w:abstractNumId w:val="9"/>
  </w:num>
  <w:num w:numId="10">
    <w:abstractNumId w:val="6"/>
  </w:num>
  <w:num w:numId="11">
    <w:abstractNumId w:val="21"/>
  </w:num>
  <w:num w:numId="12">
    <w:abstractNumId w:val="20"/>
  </w:num>
  <w:num w:numId="13">
    <w:abstractNumId w:val="18"/>
  </w:num>
  <w:num w:numId="14">
    <w:abstractNumId w:val="15"/>
  </w:num>
  <w:num w:numId="15">
    <w:abstractNumId w:val="17"/>
  </w:num>
  <w:num w:numId="16">
    <w:abstractNumId w:val="16"/>
  </w:num>
  <w:num w:numId="17">
    <w:abstractNumId w:val="3"/>
  </w:num>
  <w:num w:numId="18">
    <w:abstractNumId w:val="5"/>
  </w:num>
  <w:num w:numId="19">
    <w:abstractNumId w:val="25"/>
  </w:num>
  <w:num w:numId="20">
    <w:abstractNumId w:val="0"/>
  </w:num>
  <w:num w:numId="21">
    <w:abstractNumId w:val="19"/>
  </w:num>
  <w:num w:numId="22">
    <w:abstractNumId w:val="10"/>
  </w:num>
  <w:num w:numId="23">
    <w:abstractNumId w:val="1"/>
  </w:num>
  <w:num w:numId="24">
    <w:abstractNumId w:val="2"/>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866385"/>
    <w:docVar w:name="PilgDocVersion" w:val="5"/>
    <w:docVar w:name="PilgOrigDocID" w:val="1858757"/>
  </w:docVars>
  <w:rsids>
    <w:rsidRoot w:val="00EC5556"/>
    <w:rsid w:val="0000098F"/>
    <w:rsid w:val="00002582"/>
    <w:rsid w:val="000045E3"/>
    <w:rsid w:val="00017309"/>
    <w:rsid w:val="0002431D"/>
    <w:rsid w:val="000431C7"/>
    <w:rsid w:val="00050435"/>
    <w:rsid w:val="000550AE"/>
    <w:rsid w:val="000825D0"/>
    <w:rsid w:val="00092483"/>
    <w:rsid w:val="00096F7E"/>
    <w:rsid w:val="000B589C"/>
    <w:rsid w:val="000B6E97"/>
    <w:rsid w:val="000B79C5"/>
    <w:rsid w:val="000C3BCA"/>
    <w:rsid w:val="000D1B8E"/>
    <w:rsid w:val="000D47A2"/>
    <w:rsid w:val="000D4BBA"/>
    <w:rsid w:val="000D5C11"/>
    <w:rsid w:val="000E4D67"/>
    <w:rsid w:val="000F7E39"/>
    <w:rsid w:val="001221A6"/>
    <w:rsid w:val="00122799"/>
    <w:rsid w:val="0013121E"/>
    <w:rsid w:val="00133C38"/>
    <w:rsid w:val="001660EC"/>
    <w:rsid w:val="001820EA"/>
    <w:rsid w:val="00184298"/>
    <w:rsid w:val="00191060"/>
    <w:rsid w:val="00191DE1"/>
    <w:rsid w:val="00192864"/>
    <w:rsid w:val="00192CEB"/>
    <w:rsid w:val="0019689E"/>
    <w:rsid w:val="001A713C"/>
    <w:rsid w:val="001B3AE1"/>
    <w:rsid w:val="001C6BDB"/>
    <w:rsid w:val="001D4EC0"/>
    <w:rsid w:val="001D5FB1"/>
    <w:rsid w:val="001E10FE"/>
    <w:rsid w:val="001F59B8"/>
    <w:rsid w:val="001F6E09"/>
    <w:rsid w:val="0020136F"/>
    <w:rsid w:val="002105AF"/>
    <w:rsid w:val="00215477"/>
    <w:rsid w:val="00216EE8"/>
    <w:rsid w:val="00217F22"/>
    <w:rsid w:val="0022018B"/>
    <w:rsid w:val="00221E6E"/>
    <w:rsid w:val="00225362"/>
    <w:rsid w:val="00230D19"/>
    <w:rsid w:val="002359BF"/>
    <w:rsid w:val="0024407C"/>
    <w:rsid w:val="00251A8E"/>
    <w:rsid w:val="00251D39"/>
    <w:rsid w:val="002536E9"/>
    <w:rsid w:val="0026293D"/>
    <w:rsid w:val="00265868"/>
    <w:rsid w:val="002721BB"/>
    <w:rsid w:val="00273AD0"/>
    <w:rsid w:val="00283E93"/>
    <w:rsid w:val="00297F41"/>
    <w:rsid w:val="002A1C0F"/>
    <w:rsid w:val="002B7760"/>
    <w:rsid w:val="002C7032"/>
    <w:rsid w:val="002D431C"/>
    <w:rsid w:val="002E0198"/>
    <w:rsid w:val="003032CD"/>
    <w:rsid w:val="0030623D"/>
    <w:rsid w:val="00314484"/>
    <w:rsid w:val="003176D8"/>
    <w:rsid w:val="00327302"/>
    <w:rsid w:val="003320D3"/>
    <w:rsid w:val="00344C90"/>
    <w:rsid w:val="003462BA"/>
    <w:rsid w:val="00352BDF"/>
    <w:rsid w:val="00354E0C"/>
    <w:rsid w:val="00355835"/>
    <w:rsid w:val="00355AC4"/>
    <w:rsid w:val="00365417"/>
    <w:rsid w:val="00370C69"/>
    <w:rsid w:val="00391E75"/>
    <w:rsid w:val="00396B32"/>
    <w:rsid w:val="00397D44"/>
    <w:rsid w:val="003A4F04"/>
    <w:rsid w:val="003B0037"/>
    <w:rsid w:val="003B19F6"/>
    <w:rsid w:val="003B5843"/>
    <w:rsid w:val="003C6156"/>
    <w:rsid w:val="003C7E5D"/>
    <w:rsid w:val="003D1652"/>
    <w:rsid w:val="003D5820"/>
    <w:rsid w:val="003F4AFC"/>
    <w:rsid w:val="003F6869"/>
    <w:rsid w:val="004015E6"/>
    <w:rsid w:val="00407896"/>
    <w:rsid w:val="00410CEF"/>
    <w:rsid w:val="00413A73"/>
    <w:rsid w:val="00415BA4"/>
    <w:rsid w:val="0041749B"/>
    <w:rsid w:val="00417DB5"/>
    <w:rsid w:val="0044162C"/>
    <w:rsid w:val="004501BE"/>
    <w:rsid w:val="00464375"/>
    <w:rsid w:val="00465CD8"/>
    <w:rsid w:val="00482122"/>
    <w:rsid w:val="00483543"/>
    <w:rsid w:val="00483DBE"/>
    <w:rsid w:val="004877E2"/>
    <w:rsid w:val="004929FF"/>
    <w:rsid w:val="00497DA2"/>
    <w:rsid w:val="004A73CB"/>
    <w:rsid w:val="004B0E23"/>
    <w:rsid w:val="004B3244"/>
    <w:rsid w:val="004B34C9"/>
    <w:rsid w:val="004C4DA8"/>
    <w:rsid w:val="004C5F20"/>
    <w:rsid w:val="004D417C"/>
    <w:rsid w:val="004D4F8C"/>
    <w:rsid w:val="004D612C"/>
    <w:rsid w:val="004E5263"/>
    <w:rsid w:val="004E5DC8"/>
    <w:rsid w:val="004E6E34"/>
    <w:rsid w:val="004F12D0"/>
    <w:rsid w:val="004F158F"/>
    <w:rsid w:val="00515221"/>
    <w:rsid w:val="005225B6"/>
    <w:rsid w:val="005322BE"/>
    <w:rsid w:val="0053461F"/>
    <w:rsid w:val="00541B79"/>
    <w:rsid w:val="005464AC"/>
    <w:rsid w:val="00553FAD"/>
    <w:rsid w:val="00555CC7"/>
    <w:rsid w:val="005669A4"/>
    <w:rsid w:val="005701F8"/>
    <w:rsid w:val="00574D3B"/>
    <w:rsid w:val="00577E3C"/>
    <w:rsid w:val="0058561D"/>
    <w:rsid w:val="005863B0"/>
    <w:rsid w:val="00594DCA"/>
    <w:rsid w:val="0059551A"/>
    <w:rsid w:val="005A12CA"/>
    <w:rsid w:val="005A5C5C"/>
    <w:rsid w:val="005B40D4"/>
    <w:rsid w:val="005B4547"/>
    <w:rsid w:val="005B49C8"/>
    <w:rsid w:val="005B79DD"/>
    <w:rsid w:val="005D0937"/>
    <w:rsid w:val="005E21D9"/>
    <w:rsid w:val="005F78E0"/>
    <w:rsid w:val="00603A00"/>
    <w:rsid w:val="00604DDF"/>
    <w:rsid w:val="006216EC"/>
    <w:rsid w:val="00640C2A"/>
    <w:rsid w:val="00646F7F"/>
    <w:rsid w:val="006477F0"/>
    <w:rsid w:val="00660BD0"/>
    <w:rsid w:val="00661DB5"/>
    <w:rsid w:val="006666D7"/>
    <w:rsid w:val="00681D80"/>
    <w:rsid w:val="00682077"/>
    <w:rsid w:val="00687076"/>
    <w:rsid w:val="006A0FD3"/>
    <w:rsid w:val="006A19C5"/>
    <w:rsid w:val="006B4575"/>
    <w:rsid w:val="006E24EE"/>
    <w:rsid w:val="006E7951"/>
    <w:rsid w:val="006F039F"/>
    <w:rsid w:val="007054CB"/>
    <w:rsid w:val="007165F6"/>
    <w:rsid w:val="00721486"/>
    <w:rsid w:val="0073199D"/>
    <w:rsid w:val="0074100E"/>
    <w:rsid w:val="00752D40"/>
    <w:rsid w:val="007603A9"/>
    <w:rsid w:val="00761D0F"/>
    <w:rsid w:val="007964F0"/>
    <w:rsid w:val="007966BD"/>
    <w:rsid w:val="007A500B"/>
    <w:rsid w:val="007B3A64"/>
    <w:rsid w:val="007C0CD6"/>
    <w:rsid w:val="007C50CC"/>
    <w:rsid w:val="007D6660"/>
    <w:rsid w:val="007D70ED"/>
    <w:rsid w:val="007F590E"/>
    <w:rsid w:val="0080549E"/>
    <w:rsid w:val="0083173F"/>
    <w:rsid w:val="0083708A"/>
    <w:rsid w:val="00837418"/>
    <w:rsid w:val="00843D90"/>
    <w:rsid w:val="00847309"/>
    <w:rsid w:val="00854B8D"/>
    <w:rsid w:val="00860A58"/>
    <w:rsid w:val="00861E51"/>
    <w:rsid w:val="008637C9"/>
    <w:rsid w:val="008701C9"/>
    <w:rsid w:val="00871DC4"/>
    <w:rsid w:val="0087444B"/>
    <w:rsid w:val="008816FD"/>
    <w:rsid w:val="00892CC6"/>
    <w:rsid w:val="00894D0A"/>
    <w:rsid w:val="008B11A7"/>
    <w:rsid w:val="008C2C0C"/>
    <w:rsid w:val="008C2F61"/>
    <w:rsid w:val="008D0008"/>
    <w:rsid w:val="008E3514"/>
    <w:rsid w:val="008E4516"/>
    <w:rsid w:val="008E4E40"/>
    <w:rsid w:val="008E6D66"/>
    <w:rsid w:val="008E7F6B"/>
    <w:rsid w:val="008F1430"/>
    <w:rsid w:val="00906A20"/>
    <w:rsid w:val="00922096"/>
    <w:rsid w:val="009255A3"/>
    <w:rsid w:val="00936783"/>
    <w:rsid w:val="009529C1"/>
    <w:rsid w:val="00956AAE"/>
    <w:rsid w:val="009705D8"/>
    <w:rsid w:val="00986A34"/>
    <w:rsid w:val="009A19DF"/>
    <w:rsid w:val="009B25B8"/>
    <w:rsid w:val="009B2E0F"/>
    <w:rsid w:val="009B6276"/>
    <w:rsid w:val="009B6C6F"/>
    <w:rsid w:val="009C611B"/>
    <w:rsid w:val="009C7FEB"/>
    <w:rsid w:val="009E0907"/>
    <w:rsid w:val="009E7F1A"/>
    <w:rsid w:val="009F12C3"/>
    <w:rsid w:val="009F70CC"/>
    <w:rsid w:val="009F7F46"/>
    <w:rsid w:val="00A10279"/>
    <w:rsid w:val="00A22730"/>
    <w:rsid w:val="00A24164"/>
    <w:rsid w:val="00A326AB"/>
    <w:rsid w:val="00A33DBF"/>
    <w:rsid w:val="00A34870"/>
    <w:rsid w:val="00A34C59"/>
    <w:rsid w:val="00A37637"/>
    <w:rsid w:val="00A6560A"/>
    <w:rsid w:val="00AA72E9"/>
    <w:rsid w:val="00AB208B"/>
    <w:rsid w:val="00AB3087"/>
    <w:rsid w:val="00AB3AE3"/>
    <w:rsid w:val="00AC2519"/>
    <w:rsid w:val="00AC4E3A"/>
    <w:rsid w:val="00AC7D96"/>
    <w:rsid w:val="00AF2256"/>
    <w:rsid w:val="00B04B82"/>
    <w:rsid w:val="00B13930"/>
    <w:rsid w:val="00B16A1C"/>
    <w:rsid w:val="00B21D6C"/>
    <w:rsid w:val="00B2545F"/>
    <w:rsid w:val="00B27FFC"/>
    <w:rsid w:val="00B3401A"/>
    <w:rsid w:val="00B353D4"/>
    <w:rsid w:val="00B44B99"/>
    <w:rsid w:val="00B5043F"/>
    <w:rsid w:val="00B52FB9"/>
    <w:rsid w:val="00B61885"/>
    <w:rsid w:val="00B62729"/>
    <w:rsid w:val="00B62B47"/>
    <w:rsid w:val="00B65EB3"/>
    <w:rsid w:val="00B73A3B"/>
    <w:rsid w:val="00B84728"/>
    <w:rsid w:val="00B84D54"/>
    <w:rsid w:val="00B87C77"/>
    <w:rsid w:val="00B92662"/>
    <w:rsid w:val="00BA5B89"/>
    <w:rsid w:val="00BB133F"/>
    <w:rsid w:val="00BB39B1"/>
    <w:rsid w:val="00BB62BC"/>
    <w:rsid w:val="00BB6679"/>
    <w:rsid w:val="00BB670A"/>
    <w:rsid w:val="00BC208E"/>
    <w:rsid w:val="00BC576A"/>
    <w:rsid w:val="00BD7C68"/>
    <w:rsid w:val="00BF122B"/>
    <w:rsid w:val="00BF2266"/>
    <w:rsid w:val="00BF34FA"/>
    <w:rsid w:val="00BF4BB0"/>
    <w:rsid w:val="00BF5C32"/>
    <w:rsid w:val="00BF7102"/>
    <w:rsid w:val="00C03D1F"/>
    <w:rsid w:val="00C05813"/>
    <w:rsid w:val="00C06148"/>
    <w:rsid w:val="00C10740"/>
    <w:rsid w:val="00C305CC"/>
    <w:rsid w:val="00C359F2"/>
    <w:rsid w:val="00C42DBF"/>
    <w:rsid w:val="00C47434"/>
    <w:rsid w:val="00C5151A"/>
    <w:rsid w:val="00C53D25"/>
    <w:rsid w:val="00C54177"/>
    <w:rsid w:val="00C5768B"/>
    <w:rsid w:val="00C62A18"/>
    <w:rsid w:val="00C727D1"/>
    <w:rsid w:val="00C778C3"/>
    <w:rsid w:val="00C84446"/>
    <w:rsid w:val="00C84B7A"/>
    <w:rsid w:val="00C85908"/>
    <w:rsid w:val="00C8744B"/>
    <w:rsid w:val="00CB30AD"/>
    <w:rsid w:val="00CB4684"/>
    <w:rsid w:val="00CB4880"/>
    <w:rsid w:val="00CD02B3"/>
    <w:rsid w:val="00CD2923"/>
    <w:rsid w:val="00CD70A5"/>
    <w:rsid w:val="00CD79C3"/>
    <w:rsid w:val="00CE2118"/>
    <w:rsid w:val="00CF7C21"/>
    <w:rsid w:val="00D04812"/>
    <w:rsid w:val="00D1006D"/>
    <w:rsid w:val="00D17AA9"/>
    <w:rsid w:val="00D33376"/>
    <w:rsid w:val="00D342BC"/>
    <w:rsid w:val="00D34FF1"/>
    <w:rsid w:val="00D4430D"/>
    <w:rsid w:val="00D50E84"/>
    <w:rsid w:val="00D51EC5"/>
    <w:rsid w:val="00D61F47"/>
    <w:rsid w:val="00D62BD2"/>
    <w:rsid w:val="00D71EA9"/>
    <w:rsid w:val="00D7229A"/>
    <w:rsid w:val="00D776D2"/>
    <w:rsid w:val="00D879CD"/>
    <w:rsid w:val="00D9107B"/>
    <w:rsid w:val="00D936FF"/>
    <w:rsid w:val="00D96CAB"/>
    <w:rsid w:val="00DA1796"/>
    <w:rsid w:val="00DB28EC"/>
    <w:rsid w:val="00DB3369"/>
    <w:rsid w:val="00DB6D7B"/>
    <w:rsid w:val="00DD081C"/>
    <w:rsid w:val="00DD1BE4"/>
    <w:rsid w:val="00DD4787"/>
    <w:rsid w:val="00DD6B2C"/>
    <w:rsid w:val="00DD7755"/>
    <w:rsid w:val="00DE754C"/>
    <w:rsid w:val="00DF23A5"/>
    <w:rsid w:val="00E0256B"/>
    <w:rsid w:val="00E06557"/>
    <w:rsid w:val="00E15247"/>
    <w:rsid w:val="00E17FBF"/>
    <w:rsid w:val="00E21071"/>
    <w:rsid w:val="00E230C1"/>
    <w:rsid w:val="00E25710"/>
    <w:rsid w:val="00E30489"/>
    <w:rsid w:val="00E37875"/>
    <w:rsid w:val="00E4418D"/>
    <w:rsid w:val="00E55A3C"/>
    <w:rsid w:val="00E6258F"/>
    <w:rsid w:val="00E70FF5"/>
    <w:rsid w:val="00E7234C"/>
    <w:rsid w:val="00E723D0"/>
    <w:rsid w:val="00E744E5"/>
    <w:rsid w:val="00E82FD9"/>
    <w:rsid w:val="00E84CE0"/>
    <w:rsid w:val="00EA6863"/>
    <w:rsid w:val="00EC2AA9"/>
    <w:rsid w:val="00EC5556"/>
    <w:rsid w:val="00ED585A"/>
    <w:rsid w:val="00EE1CAB"/>
    <w:rsid w:val="00EE5D30"/>
    <w:rsid w:val="00EF423F"/>
    <w:rsid w:val="00F04AC8"/>
    <w:rsid w:val="00F04EB6"/>
    <w:rsid w:val="00F055ED"/>
    <w:rsid w:val="00F0715C"/>
    <w:rsid w:val="00F12A39"/>
    <w:rsid w:val="00F12FFA"/>
    <w:rsid w:val="00F161B3"/>
    <w:rsid w:val="00F34141"/>
    <w:rsid w:val="00F3554A"/>
    <w:rsid w:val="00F3583B"/>
    <w:rsid w:val="00F37B4F"/>
    <w:rsid w:val="00F64221"/>
    <w:rsid w:val="00F82AB3"/>
    <w:rsid w:val="00F936E2"/>
    <w:rsid w:val="00F949F5"/>
    <w:rsid w:val="00FA0C1C"/>
    <w:rsid w:val="00FB3F7D"/>
    <w:rsid w:val="00FB7578"/>
    <w:rsid w:val="00FC51A2"/>
    <w:rsid w:val="00FC64A5"/>
    <w:rsid w:val="00FC66C0"/>
    <w:rsid w:val="00FC72D5"/>
    <w:rsid w:val="00FD0AC3"/>
    <w:rsid w:val="00FF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Level2Number">
    <w:name w:val="Level 2 Number"/>
    <w:basedOn w:val="Normal"/>
    <w:rsid w:val="008E4E40"/>
    <w:pPr>
      <w:tabs>
        <w:tab w:val="clear" w:pos="1260"/>
        <w:tab w:val="clear" w:pos="1980"/>
        <w:tab w:val="clear" w:pos="2700"/>
        <w:tab w:val="clear" w:pos="3420"/>
        <w:tab w:val="num" w:pos="360"/>
      </w:tabs>
      <w:spacing w:after="240"/>
      <w:jc w:val="left"/>
    </w:pPr>
    <w:rPr>
      <w:rFonts w:cs="Arial"/>
      <w:sz w:val="20"/>
      <w:lang w:eastAsia="en-US"/>
    </w:rPr>
  </w:style>
  <w:style w:type="numbering" w:customStyle="1" w:styleId="NumbListLegal">
    <w:name w:val="NumbList Legal"/>
    <w:rsid w:val="008E4E40"/>
    <w:pPr>
      <w:numPr>
        <w:numId w:val="6"/>
      </w:numPr>
    </w:pPr>
  </w:style>
  <w:style w:type="numbering" w:customStyle="1" w:styleId="NumbListLegal1">
    <w:name w:val="NumbList Legal1"/>
    <w:rsid w:val="0002431D"/>
  </w:style>
  <w:style w:type="character" w:styleId="Emphasis">
    <w:name w:val="Emphasis"/>
    <w:qFormat/>
    <w:rsid w:val="008637C9"/>
    <w:rPr>
      <w:i/>
      <w:iCs/>
    </w:rPr>
  </w:style>
  <w:style w:type="character" w:styleId="CommentReference">
    <w:name w:val="annotation reference"/>
    <w:uiPriority w:val="99"/>
    <w:unhideWhenUsed/>
    <w:rsid w:val="00603A00"/>
    <w:rPr>
      <w:sz w:val="16"/>
      <w:szCs w:val="16"/>
    </w:rPr>
  </w:style>
  <w:style w:type="paragraph" w:styleId="CommentText">
    <w:name w:val="annotation text"/>
    <w:basedOn w:val="Normal"/>
    <w:link w:val="CommentTextChar"/>
    <w:uiPriority w:val="99"/>
    <w:unhideWhenUsed/>
    <w:rsid w:val="00603A00"/>
    <w:pPr>
      <w:tabs>
        <w:tab w:val="clear" w:pos="1260"/>
        <w:tab w:val="clear" w:pos="1980"/>
        <w:tab w:val="clear" w:pos="2700"/>
        <w:tab w:val="clear" w:pos="3420"/>
      </w:tabs>
      <w:spacing w:after="200"/>
      <w:jc w:val="left"/>
    </w:pPr>
    <w:rPr>
      <w:rFonts w:ascii="Calibri" w:eastAsia="Calibri" w:hAnsi="Calibri"/>
      <w:sz w:val="20"/>
      <w:lang w:eastAsia="en-US"/>
    </w:rPr>
  </w:style>
  <w:style w:type="character" w:customStyle="1" w:styleId="CommentTextChar">
    <w:name w:val="Comment Text Char"/>
    <w:link w:val="CommentText"/>
    <w:uiPriority w:val="99"/>
    <w:rsid w:val="00603A00"/>
    <w:rPr>
      <w:rFonts w:ascii="Calibri" w:eastAsia="Calibri" w:hAnsi="Calibri"/>
      <w:lang w:eastAsia="en-US"/>
    </w:rPr>
  </w:style>
  <w:style w:type="paragraph" w:styleId="ListParagraph">
    <w:name w:val="List Paragraph"/>
    <w:basedOn w:val="Normal"/>
    <w:uiPriority w:val="34"/>
    <w:qFormat/>
    <w:rsid w:val="004C4DA8"/>
    <w:pPr>
      <w:tabs>
        <w:tab w:val="clear" w:pos="1260"/>
        <w:tab w:val="clear" w:pos="1980"/>
        <w:tab w:val="clear" w:pos="2700"/>
        <w:tab w:val="clear" w:pos="3420"/>
      </w:tabs>
      <w:spacing w:after="200" w:line="276" w:lineRule="auto"/>
      <w:ind w:left="720"/>
      <w:contextualSpacing/>
      <w:jc w:val="left"/>
    </w:pPr>
    <w:rPr>
      <w:rFonts w:ascii="Calibri" w:eastAsia="Calibri" w:hAnsi="Calibri"/>
      <w:szCs w:val="22"/>
      <w:lang w:eastAsia="en-US"/>
    </w:rPr>
  </w:style>
  <w:style w:type="paragraph" w:styleId="CommentSubject">
    <w:name w:val="annotation subject"/>
    <w:basedOn w:val="CommentText"/>
    <w:next w:val="CommentText"/>
    <w:link w:val="CommentSubjectChar"/>
    <w:rsid w:val="00FC51A2"/>
    <w:pPr>
      <w:tabs>
        <w:tab w:val="left" w:pos="1260"/>
        <w:tab w:val="left" w:pos="1980"/>
        <w:tab w:val="left" w:pos="2700"/>
        <w:tab w:val="left" w:pos="3420"/>
      </w:tabs>
      <w:spacing w:after="0"/>
      <w:jc w:val="both"/>
    </w:pPr>
    <w:rPr>
      <w:rFonts w:ascii="Arial" w:eastAsia="Times New Roman" w:hAnsi="Arial"/>
      <w:b/>
      <w:bCs/>
      <w:lang w:eastAsia="en-GB"/>
    </w:rPr>
  </w:style>
  <w:style w:type="character" w:customStyle="1" w:styleId="CommentSubjectChar">
    <w:name w:val="Comment Subject Char"/>
    <w:basedOn w:val="CommentTextChar"/>
    <w:link w:val="CommentSubject"/>
    <w:rsid w:val="00FC51A2"/>
    <w:rPr>
      <w:rFonts w:ascii="Arial" w:eastAsia="Calibri"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Level2Number">
    <w:name w:val="Level 2 Number"/>
    <w:basedOn w:val="Normal"/>
    <w:rsid w:val="008E4E40"/>
    <w:pPr>
      <w:tabs>
        <w:tab w:val="clear" w:pos="1260"/>
        <w:tab w:val="clear" w:pos="1980"/>
        <w:tab w:val="clear" w:pos="2700"/>
        <w:tab w:val="clear" w:pos="3420"/>
        <w:tab w:val="num" w:pos="360"/>
      </w:tabs>
      <w:spacing w:after="240"/>
      <w:jc w:val="left"/>
    </w:pPr>
    <w:rPr>
      <w:rFonts w:cs="Arial"/>
      <w:sz w:val="20"/>
      <w:lang w:eastAsia="en-US"/>
    </w:rPr>
  </w:style>
  <w:style w:type="numbering" w:customStyle="1" w:styleId="NumbListLegal">
    <w:name w:val="NumbList Legal"/>
    <w:rsid w:val="008E4E40"/>
    <w:pPr>
      <w:numPr>
        <w:numId w:val="6"/>
      </w:numPr>
    </w:pPr>
  </w:style>
  <w:style w:type="numbering" w:customStyle="1" w:styleId="NumbListLegal1">
    <w:name w:val="NumbList Legal1"/>
    <w:rsid w:val="0002431D"/>
  </w:style>
  <w:style w:type="character" w:styleId="Emphasis">
    <w:name w:val="Emphasis"/>
    <w:qFormat/>
    <w:rsid w:val="008637C9"/>
    <w:rPr>
      <w:i/>
      <w:iCs/>
    </w:rPr>
  </w:style>
  <w:style w:type="character" w:styleId="CommentReference">
    <w:name w:val="annotation reference"/>
    <w:uiPriority w:val="99"/>
    <w:unhideWhenUsed/>
    <w:rsid w:val="00603A00"/>
    <w:rPr>
      <w:sz w:val="16"/>
      <w:szCs w:val="16"/>
    </w:rPr>
  </w:style>
  <w:style w:type="paragraph" w:styleId="CommentText">
    <w:name w:val="annotation text"/>
    <w:basedOn w:val="Normal"/>
    <w:link w:val="CommentTextChar"/>
    <w:uiPriority w:val="99"/>
    <w:unhideWhenUsed/>
    <w:rsid w:val="00603A00"/>
    <w:pPr>
      <w:tabs>
        <w:tab w:val="clear" w:pos="1260"/>
        <w:tab w:val="clear" w:pos="1980"/>
        <w:tab w:val="clear" w:pos="2700"/>
        <w:tab w:val="clear" w:pos="3420"/>
      </w:tabs>
      <w:spacing w:after="200"/>
      <w:jc w:val="left"/>
    </w:pPr>
    <w:rPr>
      <w:rFonts w:ascii="Calibri" w:eastAsia="Calibri" w:hAnsi="Calibri"/>
      <w:sz w:val="20"/>
      <w:lang w:eastAsia="en-US"/>
    </w:rPr>
  </w:style>
  <w:style w:type="character" w:customStyle="1" w:styleId="CommentTextChar">
    <w:name w:val="Comment Text Char"/>
    <w:link w:val="CommentText"/>
    <w:uiPriority w:val="99"/>
    <w:rsid w:val="00603A00"/>
    <w:rPr>
      <w:rFonts w:ascii="Calibri" w:eastAsia="Calibri" w:hAnsi="Calibri"/>
      <w:lang w:eastAsia="en-US"/>
    </w:rPr>
  </w:style>
  <w:style w:type="paragraph" w:styleId="ListParagraph">
    <w:name w:val="List Paragraph"/>
    <w:basedOn w:val="Normal"/>
    <w:uiPriority w:val="34"/>
    <w:qFormat/>
    <w:rsid w:val="004C4DA8"/>
    <w:pPr>
      <w:tabs>
        <w:tab w:val="clear" w:pos="1260"/>
        <w:tab w:val="clear" w:pos="1980"/>
        <w:tab w:val="clear" w:pos="2700"/>
        <w:tab w:val="clear" w:pos="3420"/>
      </w:tabs>
      <w:spacing w:after="200" w:line="276" w:lineRule="auto"/>
      <w:ind w:left="720"/>
      <w:contextualSpacing/>
      <w:jc w:val="left"/>
    </w:pPr>
    <w:rPr>
      <w:rFonts w:ascii="Calibri" w:eastAsia="Calibri" w:hAnsi="Calibri"/>
      <w:szCs w:val="22"/>
      <w:lang w:eastAsia="en-US"/>
    </w:rPr>
  </w:style>
  <w:style w:type="paragraph" w:styleId="CommentSubject">
    <w:name w:val="annotation subject"/>
    <w:basedOn w:val="CommentText"/>
    <w:next w:val="CommentText"/>
    <w:link w:val="CommentSubjectChar"/>
    <w:rsid w:val="00FC51A2"/>
    <w:pPr>
      <w:tabs>
        <w:tab w:val="left" w:pos="1260"/>
        <w:tab w:val="left" w:pos="1980"/>
        <w:tab w:val="left" w:pos="2700"/>
        <w:tab w:val="left" w:pos="3420"/>
      </w:tabs>
      <w:spacing w:after="0"/>
      <w:jc w:val="both"/>
    </w:pPr>
    <w:rPr>
      <w:rFonts w:ascii="Arial" w:eastAsia="Times New Roman" w:hAnsi="Arial"/>
      <w:b/>
      <w:bCs/>
      <w:lang w:eastAsia="en-GB"/>
    </w:rPr>
  </w:style>
  <w:style w:type="character" w:customStyle="1" w:styleId="CommentSubjectChar">
    <w:name w:val="Comment Subject Char"/>
    <w:basedOn w:val="CommentTextChar"/>
    <w:link w:val="CommentSubject"/>
    <w:rsid w:val="00FC51A2"/>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039">
      <w:bodyDiv w:val="1"/>
      <w:marLeft w:val="0"/>
      <w:marRight w:val="0"/>
      <w:marTop w:val="0"/>
      <w:marBottom w:val="0"/>
      <w:divBdr>
        <w:top w:val="none" w:sz="0" w:space="0" w:color="auto"/>
        <w:left w:val="none" w:sz="0" w:space="0" w:color="auto"/>
        <w:bottom w:val="none" w:sz="0" w:space="0" w:color="auto"/>
        <w:right w:val="none" w:sz="0" w:space="0" w:color="auto"/>
      </w:divBdr>
    </w:div>
    <w:div w:id="557326155">
      <w:bodyDiv w:val="1"/>
      <w:marLeft w:val="0"/>
      <w:marRight w:val="0"/>
      <w:marTop w:val="0"/>
      <w:marBottom w:val="0"/>
      <w:divBdr>
        <w:top w:val="none" w:sz="0" w:space="0" w:color="auto"/>
        <w:left w:val="none" w:sz="0" w:space="0" w:color="auto"/>
        <w:bottom w:val="none" w:sz="0" w:space="0" w:color="auto"/>
        <w:right w:val="none" w:sz="0" w:space="0" w:color="auto"/>
      </w:divBdr>
    </w:div>
    <w:div w:id="1178543823">
      <w:bodyDiv w:val="1"/>
      <w:marLeft w:val="0"/>
      <w:marRight w:val="0"/>
      <w:marTop w:val="0"/>
      <w:marBottom w:val="0"/>
      <w:divBdr>
        <w:top w:val="none" w:sz="0" w:space="0" w:color="auto"/>
        <w:left w:val="none" w:sz="0" w:space="0" w:color="auto"/>
        <w:bottom w:val="none" w:sz="0" w:space="0" w:color="auto"/>
        <w:right w:val="none" w:sz="0" w:space="0" w:color="auto"/>
      </w:divBdr>
    </w:div>
    <w:div w:id="1220046056">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2838</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Property Investment Governance PR Committee Report 200317v3</vt:lpstr>
    </vt:vector>
  </TitlesOfParts>
  <Company>Pre-installed Company</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Investment Governance PR Committee Report 200317v3</dc:title>
  <dc:creator>Jeanne Mock</dc:creator>
  <cp:lastModifiedBy>Sarah Haythorpe</cp:lastModifiedBy>
  <cp:revision>4</cp:revision>
  <cp:lastPrinted>2017-03-10T13:14:00Z</cp:lastPrinted>
  <dcterms:created xsi:type="dcterms:W3CDTF">2017-03-10T10:31:00Z</dcterms:created>
  <dcterms:modified xsi:type="dcterms:W3CDTF">2017-03-10T13:14:00Z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40608.0004</vt:lpwstr>
  </property>
  <property fmtid="{D5CDD505-2E9C-101B-9397-08002B2CF9AE}" pid="3" name="EntityDescription">
    <vt:lpwstr>Establishment of Commercial Purposes/Trading Vehicle</vt:lpwstr>
  </property>
  <property fmtid="{D5CDD505-2E9C-101B-9397-08002B2CF9AE}" pid="4" name="Corresp">
    <vt:lpwstr/>
  </property>
</Properties>
</file>