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6E" w:rsidRPr="00F86C49" w:rsidRDefault="00821BA0" w:rsidP="008A256E">
      <w:pPr>
        <w:ind w:left="-142" w:right="-269"/>
        <w:jc w:val="center"/>
        <w:rPr>
          <w:b/>
        </w:rPr>
      </w:pPr>
      <w:bookmarkStart w:id="0" w:name="_GoBack"/>
      <w:bookmarkEnd w:id="0"/>
      <w:r w:rsidRPr="00F86C49">
        <w:rPr>
          <w:b/>
        </w:rPr>
        <w:t xml:space="preserve">OLICY </w:t>
      </w:r>
      <w:r w:rsidR="0067012B" w:rsidRPr="00F86C49">
        <w:rPr>
          <w:b/>
        </w:rPr>
        <w:t>AND</w:t>
      </w:r>
      <w:r w:rsidRPr="00F86C49">
        <w:rPr>
          <w:b/>
        </w:rPr>
        <w:t xml:space="preserve"> RESOURCES</w:t>
      </w:r>
      <w:r w:rsidR="00F4144B" w:rsidRPr="00F86C49">
        <w:rPr>
          <w:b/>
        </w:rPr>
        <w:t xml:space="preserve"> COMMITTEE </w:t>
      </w:r>
      <w:r w:rsidR="00A6630B" w:rsidRPr="00F86C49">
        <w:rPr>
          <w:b/>
        </w:rPr>
        <w:t>–</w:t>
      </w:r>
      <w:r w:rsidR="0020606A" w:rsidRPr="00F86C49">
        <w:rPr>
          <w:b/>
        </w:rPr>
        <w:t xml:space="preserve"> </w:t>
      </w:r>
      <w:r w:rsidR="00F86C49" w:rsidRPr="00F86C49">
        <w:rPr>
          <w:b/>
        </w:rPr>
        <w:t>20</w:t>
      </w:r>
      <w:r w:rsidR="0020606A" w:rsidRPr="00F86C49">
        <w:rPr>
          <w:b/>
        </w:rPr>
        <w:t xml:space="preserve"> </w:t>
      </w:r>
      <w:r w:rsidR="00F86C49" w:rsidRPr="00F86C49">
        <w:rPr>
          <w:b/>
        </w:rPr>
        <w:t>MARCH</w:t>
      </w:r>
      <w:r w:rsidR="0020606A" w:rsidRPr="00F86C49">
        <w:rPr>
          <w:b/>
        </w:rPr>
        <w:t xml:space="preserve"> </w:t>
      </w:r>
      <w:r w:rsidR="005D4B2F" w:rsidRPr="00F86C49">
        <w:rPr>
          <w:b/>
        </w:rPr>
        <w:t>201</w:t>
      </w:r>
      <w:r w:rsidR="00F86C49" w:rsidRPr="00F86C49">
        <w:rPr>
          <w:b/>
        </w:rPr>
        <w:t>7</w:t>
      </w:r>
    </w:p>
    <w:p w:rsidR="0067012B" w:rsidRPr="00F86C49" w:rsidRDefault="0067012B" w:rsidP="008A256E">
      <w:pPr>
        <w:ind w:left="-142" w:right="-269"/>
        <w:jc w:val="center"/>
        <w:rPr>
          <w:b/>
        </w:rPr>
      </w:pPr>
    </w:p>
    <w:p w:rsidR="00F4144B" w:rsidRPr="00F86C49" w:rsidRDefault="00F4144B">
      <w:pPr>
        <w:jc w:val="center"/>
        <w:rPr>
          <w:b/>
        </w:rPr>
      </w:pPr>
      <w:r w:rsidRPr="00F86C49">
        <w:rPr>
          <w:b/>
        </w:rPr>
        <w:t xml:space="preserve">PART </w:t>
      </w:r>
      <w:r w:rsidRPr="00F86C49">
        <w:rPr>
          <w:b/>
        </w:rPr>
        <w:fldChar w:fldCharType="begin"/>
      </w:r>
      <w:r w:rsidRPr="00F86C49">
        <w:rPr>
          <w:b/>
        </w:rPr>
        <w:instrText xml:space="preserve">  </w:instrText>
      </w:r>
      <w:r w:rsidRPr="00F86C49">
        <w:rPr>
          <w:b/>
        </w:rPr>
        <w:fldChar w:fldCharType="end"/>
      </w:r>
      <w:r w:rsidRPr="00F86C49">
        <w:rPr>
          <w:b/>
        </w:rPr>
        <w:t xml:space="preserve">I - </w:t>
      </w:r>
      <w:r w:rsidRPr="00F86C49">
        <w:rPr>
          <w:b/>
        </w:rPr>
        <w:fldChar w:fldCharType="begin"/>
      </w:r>
      <w:r w:rsidRPr="00F86C49">
        <w:rPr>
          <w:b/>
        </w:rPr>
        <w:instrText xml:space="preserve">  </w:instrText>
      </w:r>
      <w:r w:rsidRPr="00F86C49">
        <w:rPr>
          <w:b/>
        </w:rPr>
        <w:fldChar w:fldCharType="end"/>
      </w:r>
      <w:r w:rsidRPr="00F86C49">
        <w:rPr>
          <w:b/>
        </w:rPr>
        <w:fldChar w:fldCharType="begin"/>
      </w:r>
      <w:r w:rsidRPr="00F86C49">
        <w:rPr>
          <w:b/>
        </w:rPr>
        <w:instrText xml:space="preserve">  </w:instrText>
      </w:r>
      <w:r w:rsidRPr="00F86C49">
        <w:rPr>
          <w:b/>
        </w:rPr>
        <w:fldChar w:fldCharType="end"/>
      </w:r>
      <w:r w:rsidRPr="00F86C49">
        <w:rPr>
          <w:b/>
        </w:rPr>
        <w:t xml:space="preserve"> NOT DELEGATED</w:t>
      </w:r>
    </w:p>
    <w:p w:rsidR="00FD020F" w:rsidRPr="00923197" w:rsidRDefault="00FD020F">
      <w:pPr>
        <w:jc w:val="center"/>
        <w:rPr>
          <w:b/>
          <w:color w:val="365F91" w:themeColor="accent1" w:themeShade="BF"/>
        </w:rPr>
      </w:pPr>
    </w:p>
    <w:p w:rsidR="00F4144B" w:rsidRPr="00F86C49" w:rsidRDefault="00F75D1C">
      <w:pPr>
        <w:keepNext/>
        <w:ind w:left="1267" w:hanging="1267"/>
        <w:rPr>
          <w:b/>
          <w:i/>
        </w:rPr>
      </w:pPr>
      <w:r>
        <w:rPr>
          <w:b/>
          <w:color w:val="365F91" w:themeColor="accent1" w:themeShade="BF"/>
        </w:rPr>
        <w:t>13.</w:t>
      </w:r>
      <w:r w:rsidR="00F4144B" w:rsidRPr="00923197">
        <w:rPr>
          <w:b/>
          <w:color w:val="365F91" w:themeColor="accent1" w:themeShade="BF"/>
        </w:rPr>
        <w:fldChar w:fldCharType="begin"/>
      </w:r>
      <w:r w:rsidR="00F4144B" w:rsidRPr="00923197">
        <w:rPr>
          <w:b/>
          <w:color w:val="365F91" w:themeColor="accent1" w:themeShade="BF"/>
        </w:rPr>
        <w:instrText xml:space="preserve">  </w:instrText>
      </w:r>
      <w:r w:rsidR="00F4144B" w:rsidRPr="00923197">
        <w:rPr>
          <w:b/>
          <w:color w:val="365F91" w:themeColor="accent1" w:themeShade="BF"/>
        </w:rPr>
        <w:fldChar w:fldCharType="end"/>
      </w:r>
      <w:r w:rsidR="00F4144B" w:rsidRPr="00923197">
        <w:rPr>
          <w:b/>
          <w:color w:val="365F91" w:themeColor="accent1" w:themeShade="BF"/>
        </w:rPr>
        <w:tab/>
      </w:r>
      <w:r w:rsidR="00A6630B" w:rsidRPr="00F86C49">
        <w:rPr>
          <w:b/>
        </w:rPr>
        <w:t xml:space="preserve">BUDGET MONITORING – </w:t>
      </w:r>
      <w:r w:rsidR="0020606A" w:rsidRPr="00F86C49">
        <w:rPr>
          <w:b/>
        </w:rPr>
        <w:t>MONTH</w:t>
      </w:r>
      <w:r w:rsidR="005D4B2F" w:rsidRPr="00F86C49">
        <w:rPr>
          <w:b/>
        </w:rPr>
        <w:t xml:space="preserve"> </w:t>
      </w:r>
      <w:r w:rsidR="00F86C49" w:rsidRPr="00F86C49">
        <w:rPr>
          <w:b/>
        </w:rPr>
        <w:t>10</w:t>
      </w:r>
      <w:r w:rsidR="005D4B2F" w:rsidRPr="00F86C49">
        <w:rPr>
          <w:b/>
        </w:rPr>
        <w:t xml:space="preserve"> </w:t>
      </w:r>
      <w:r w:rsidR="00A6630B" w:rsidRPr="00F86C49">
        <w:rPr>
          <w:b/>
        </w:rPr>
        <w:t>(</w:t>
      </w:r>
      <w:r w:rsidR="00F86C49" w:rsidRPr="00F86C49">
        <w:rPr>
          <w:b/>
        </w:rPr>
        <w:t>JANUARY</w:t>
      </w:r>
      <w:r w:rsidR="00A6630B" w:rsidRPr="00F86C49">
        <w:rPr>
          <w:b/>
        </w:rPr>
        <w:t>)</w:t>
      </w:r>
      <w:r w:rsidR="00F4144B" w:rsidRPr="00F86C49">
        <w:rPr>
          <w:b/>
        </w:rPr>
        <w:fldChar w:fldCharType="begin"/>
      </w:r>
      <w:r w:rsidR="00F4144B" w:rsidRPr="00F86C49">
        <w:rPr>
          <w:b/>
        </w:rPr>
        <w:instrText xml:space="preserve">  </w:instrText>
      </w:r>
      <w:r w:rsidR="00F4144B" w:rsidRPr="00F86C49">
        <w:rPr>
          <w:b/>
        </w:rPr>
        <w:fldChar w:fldCharType="end"/>
      </w:r>
    </w:p>
    <w:p w:rsidR="00F4144B" w:rsidRPr="00F86C49" w:rsidRDefault="00F4144B">
      <w:pPr>
        <w:keepNext/>
        <w:ind w:left="1267" w:hanging="1267"/>
        <w:rPr>
          <w:b/>
          <w:i/>
        </w:rPr>
      </w:pPr>
      <w:r w:rsidRPr="00F86C49">
        <w:rPr>
          <w:b/>
        </w:rPr>
        <w:tab/>
      </w:r>
      <w:r w:rsidRPr="00F86C49">
        <w:fldChar w:fldCharType="begin"/>
      </w:r>
      <w:r w:rsidRPr="00F86C49">
        <w:instrText xml:space="preserve">  </w:instrText>
      </w:r>
      <w:r w:rsidRPr="00F86C49">
        <w:fldChar w:fldCharType="end"/>
      </w:r>
      <w:r w:rsidRPr="00F86C49">
        <w:t>(D</w:t>
      </w:r>
      <w:r w:rsidR="005D4B2F" w:rsidRPr="00F86C49">
        <w:t>o</w:t>
      </w:r>
      <w:r w:rsidR="00F0377C" w:rsidRPr="00F86C49">
        <w:t>F</w:t>
      </w:r>
      <w:r w:rsidRPr="00F86C49">
        <w:t>)</w:t>
      </w:r>
    </w:p>
    <w:p w:rsidR="00F4144B" w:rsidRPr="006111BF" w:rsidRDefault="00F4144B">
      <w:pPr>
        <w:ind w:left="1260" w:hanging="1260"/>
      </w:pPr>
    </w:p>
    <w:p w:rsidR="00F4144B" w:rsidRPr="006111BF" w:rsidRDefault="00F4144B">
      <w:pPr>
        <w:keepNext/>
        <w:ind w:left="1267" w:hanging="1267"/>
        <w:rPr>
          <w:b/>
        </w:rPr>
      </w:pPr>
      <w:r w:rsidRPr="006111BF">
        <w:t>1.</w:t>
      </w:r>
      <w:r w:rsidRPr="006111BF">
        <w:tab/>
      </w:r>
      <w:r w:rsidRPr="006111BF">
        <w:rPr>
          <w:b/>
        </w:rPr>
        <w:t>Summary</w:t>
      </w:r>
    </w:p>
    <w:p w:rsidR="00420328" w:rsidRPr="006111BF" w:rsidRDefault="00420328">
      <w:pPr>
        <w:keepNext/>
        <w:ind w:left="1267" w:hanging="1267"/>
      </w:pPr>
    </w:p>
    <w:p w:rsidR="00420328" w:rsidRPr="006111BF" w:rsidRDefault="00420328" w:rsidP="00B32E05">
      <w:pPr>
        <w:pStyle w:val="ListParagraph"/>
        <w:keepNext/>
        <w:numPr>
          <w:ilvl w:val="1"/>
          <w:numId w:val="21"/>
        </w:numPr>
        <w:ind w:left="1276" w:hanging="1276"/>
      </w:pPr>
      <w:r w:rsidRPr="006111BF">
        <w:t xml:space="preserve">Budget </w:t>
      </w:r>
      <w:r w:rsidR="005E56BF" w:rsidRPr="006111BF">
        <w:t>m</w:t>
      </w:r>
      <w:r w:rsidRPr="006111BF">
        <w:t>onitoring report is</w:t>
      </w:r>
      <w:r w:rsidR="001712A5" w:rsidRPr="006111BF">
        <w:t xml:space="preserve"> a key tool in </w:t>
      </w:r>
      <w:r w:rsidR="00BA4783" w:rsidRPr="006111BF">
        <w:t>scrutinising</w:t>
      </w:r>
      <w:r w:rsidRPr="006111BF">
        <w:t xml:space="preserve"> the </w:t>
      </w:r>
      <w:r w:rsidR="001712A5" w:rsidRPr="006111BF">
        <w:t xml:space="preserve">Council’s </w:t>
      </w:r>
      <w:r w:rsidRPr="006111BF">
        <w:t xml:space="preserve">financial </w:t>
      </w:r>
      <w:r w:rsidR="001712A5" w:rsidRPr="006111BF">
        <w:t>performance. It</w:t>
      </w:r>
      <w:r w:rsidRPr="006111BF">
        <w:t xml:space="preserve"> is designed to provide an overview to </w:t>
      </w:r>
      <w:r w:rsidR="001712A5" w:rsidRPr="006111BF">
        <w:t xml:space="preserve">all </w:t>
      </w:r>
      <w:r w:rsidRPr="006111BF">
        <w:t>relevant stakeholders.</w:t>
      </w:r>
      <w:r w:rsidR="007178AB" w:rsidRPr="006111BF">
        <w:t xml:space="preserve"> </w:t>
      </w:r>
      <w:r w:rsidRPr="006111BF">
        <w:t>It is essential that the council monitors its budgets throughout the year to ensure that it is meeting its strategic objectives and that corrective action is taken where necessary.</w:t>
      </w:r>
    </w:p>
    <w:p w:rsidR="00F4144B" w:rsidRPr="006111BF" w:rsidRDefault="00F4144B">
      <w:pPr>
        <w:keepNext/>
        <w:ind w:left="1267" w:hanging="1267"/>
      </w:pPr>
    </w:p>
    <w:p w:rsidR="003D5D0F" w:rsidRPr="006111BF" w:rsidRDefault="00420328" w:rsidP="00A6630B">
      <w:pPr>
        <w:ind w:left="1267" w:hanging="1267"/>
      </w:pPr>
      <w:r w:rsidRPr="006111BF">
        <w:t>1.</w:t>
      </w:r>
      <w:r w:rsidR="00C7077D" w:rsidRPr="006111BF">
        <w:t>2</w:t>
      </w:r>
      <w:r w:rsidR="00F4144B" w:rsidRPr="006111BF">
        <w:tab/>
      </w:r>
      <w:r w:rsidR="00A6630B" w:rsidRPr="006111BF">
        <w:t>This report seeks approval to</w:t>
      </w:r>
      <w:r w:rsidR="002145A5" w:rsidRPr="006111BF">
        <w:t xml:space="preserve"> a</w:t>
      </w:r>
      <w:r w:rsidR="00A6630B" w:rsidRPr="006111BF">
        <w:t xml:space="preserve"> change in the</w:t>
      </w:r>
      <w:r w:rsidR="003D5D0F" w:rsidRPr="006111BF">
        <w:t xml:space="preserve"> Committee’s</w:t>
      </w:r>
      <w:r w:rsidR="00B75474" w:rsidRPr="006111BF">
        <w:t xml:space="preserve"> 201</w:t>
      </w:r>
      <w:r w:rsidR="00F17085" w:rsidRPr="006111BF">
        <w:t>6</w:t>
      </w:r>
      <w:r w:rsidR="00B75474" w:rsidRPr="006111BF">
        <w:t xml:space="preserve"> - 20</w:t>
      </w:r>
      <w:r w:rsidR="008E35A7">
        <w:t>20</w:t>
      </w:r>
      <w:r w:rsidR="003D5D0F" w:rsidRPr="006111BF">
        <w:t xml:space="preserve"> medium</w:t>
      </w:r>
      <w:r w:rsidR="00A6630B" w:rsidRPr="006111BF">
        <w:t xml:space="preserve">-term </w:t>
      </w:r>
      <w:r w:rsidR="00EF1B00" w:rsidRPr="006111BF">
        <w:t xml:space="preserve">revenue </w:t>
      </w:r>
      <w:r w:rsidR="00A6630B" w:rsidRPr="006111BF">
        <w:t xml:space="preserve">financial </w:t>
      </w:r>
      <w:r w:rsidR="0041297B" w:rsidRPr="006111BF">
        <w:t>plan</w:t>
      </w:r>
      <w:r w:rsidR="00EF1B00" w:rsidRPr="006111BF">
        <w:t>.</w:t>
      </w:r>
      <w:r w:rsidR="00B32E05" w:rsidRPr="006111BF">
        <w:t xml:space="preserve"> The report shows the Council’s overall consolidated medium term financial plan for both revenue and capital.</w:t>
      </w:r>
    </w:p>
    <w:p w:rsidR="001342E3" w:rsidRPr="00923197" w:rsidRDefault="001342E3" w:rsidP="00A6630B">
      <w:pPr>
        <w:ind w:left="1267" w:hanging="1267"/>
        <w:rPr>
          <w:color w:val="365F91" w:themeColor="accent1" w:themeShade="BF"/>
        </w:rPr>
      </w:pPr>
    </w:p>
    <w:p w:rsidR="006E177E" w:rsidRPr="006111BF" w:rsidRDefault="006E177E" w:rsidP="005C5E36">
      <w:pPr>
        <w:keepNext/>
        <w:numPr>
          <w:ilvl w:val="0"/>
          <w:numId w:val="15"/>
        </w:numPr>
        <w:rPr>
          <w:b/>
        </w:rPr>
      </w:pPr>
      <w:r w:rsidRPr="006111BF">
        <w:rPr>
          <w:b/>
        </w:rPr>
        <w:t>Details</w:t>
      </w:r>
    </w:p>
    <w:p w:rsidR="00063A57" w:rsidRPr="006111BF" w:rsidRDefault="00063A57" w:rsidP="00063A57">
      <w:pPr>
        <w:keepNext/>
        <w:tabs>
          <w:tab w:val="clear" w:pos="1260"/>
        </w:tabs>
        <w:rPr>
          <w:b/>
        </w:rPr>
      </w:pPr>
    </w:p>
    <w:p w:rsidR="00F6577F" w:rsidRPr="006111BF" w:rsidRDefault="00F6577F" w:rsidP="00F6577F">
      <w:pPr>
        <w:ind w:left="1267" w:hanging="1267"/>
      </w:pPr>
      <w:r w:rsidRPr="006111BF">
        <w:t>2.</w:t>
      </w:r>
      <w:r w:rsidR="00064A10" w:rsidRPr="006111BF">
        <w:t>1</w:t>
      </w:r>
      <w:r w:rsidRPr="006111BF">
        <w:tab/>
        <w:t>An overall increase in the Council’s budgets requiring the use of balances must be approved by Council. Virements between cost centres within each service are approved by each committee. Virements between service committees must be approved by Council along with proposals for the use of ‘windfall’ income.</w:t>
      </w:r>
    </w:p>
    <w:p w:rsidR="000C1D55" w:rsidRPr="00923197" w:rsidRDefault="000C1D55" w:rsidP="006E177E">
      <w:pPr>
        <w:keepNext/>
        <w:ind w:left="1267" w:hanging="1267"/>
        <w:rPr>
          <w:color w:val="365F91" w:themeColor="accent1" w:themeShade="BF"/>
        </w:rPr>
      </w:pPr>
    </w:p>
    <w:p w:rsidR="00420328" w:rsidRPr="006111BF" w:rsidRDefault="009B30AD" w:rsidP="006E177E">
      <w:pPr>
        <w:keepNext/>
        <w:ind w:left="1267" w:hanging="1267"/>
        <w:rPr>
          <w:b/>
          <w:i/>
        </w:rPr>
      </w:pPr>
      <w:r w:rsidRPr="00923197">
        <w:rPr>
          <w:color w:val="365F91" w:themeColor="accent1" w:themeShade="BF"/>
        </w:rPr>
        <w:t xml:space="preserve">                    </w:t>
      </w:r>
      <w:r w:rsidR="00420328" w:rsidRPr="00923197">
        <w:rPr>
          <w:b/>
          <w:i/>
          <w:color w:val="365F91" w:themeColor="accent1" w:themeShade="BF"/>
        </w:rPr>
        <w:tab/>
      </w:r>
      <w:r w:rsidR="00420328" w:rsidRPr="006111BF">
        <w:rPr>
          <w:b/>
          <w:i/>
        </w:rPr>
        <w:t>Revenue</w:t>
      </w:r>
    </w:p>
    <w:p w:rsidR="00863115" w:rsidRPr="006111BF" w:rsidRDefault="00863115" w:rsidP="006E177E">
      <w:pPr>
        <w:keepNext/>
        <w:ind w:left="1267" w:hanging="1267"/>
        <w:rPr>
          <w:b/>
          <w:i/>
        </w:rPr>
      </w:pPr>
    </w:p>
    <w:p w:rsidR="00C41023" w:rsidRDefault="006E177E" w:rsidP="006E632E">
      <w:pPr>
        <w:ind w:left="1267" w:hanging="1267"/>
      </w:pPr>
      <w:r w:rsidRPr="006111BF">
        <w:t>2.</w:t>
      </w:r>
      <w:r w:rsidR="00064A10" w:rsidRPr="006111BF">
        <w:t>2</w:t>
      </w:r>
      <w:r w:rsidRPr="006111BF">
        <w:tab/>
      </w:r>
      <w:r w:rsidR="00420328" w:rsidRPr="006111BF">
        <w:t xml:space="preserve">The </w:t>
      </w:r>
      <w:r w:rsidR="00E52857" w:rsidRPr="006111BF">
        <w:t xml:space="preserve">original </w:t>
      </w:r>
      <w:r w:rsidR="0080035B" w:rsidRPr="006111BF">
        <w:t xml:space="preserve">net </w:t>
      </w:r>
      <w:r w:rsidR="008C3FEE" w:rsidRPr="006111BF">
        <w:t>revenue</w:t>
      </w:r>
      <w:r w:rsidR="0080035B" w:rsidRPr="006111BF">
        <w:t xml:space="preserve"> </w:t>
      </w:r>
      <w:r w:rsidR="00E52857" w:rsidRPr="006111BF">
        <w:t>budget</w:t>
      </w:r>
      <w:r w:rsidR="008C3FEE" w:rsidRPr="006111BF">
        <w:t xml:space="preserve"> for 2016/17 </w:t>
      </w:r>
      <w:r w:rsidR="00DB14F9" w:rsidRPr="006111BF">
        <w:t>(</w:t>
      </w:r>
      <w:r w:rsidR="00E52857" w:rsidRPr="006111BF">
        <w:t xml:space="preserve">as approved by </w:t>
      </w:r>
      <w:r w:rsidR="005E56BF" w:rsidRPr="006111BF">
        <w:t xml:space="preserve">Council </w:t>
      </w:r>
      <w:r w:rsidR="00BD37AD" w:rsidRPr="006111BF">
        <w:t>in</w:t>
      </w:r>
      <w:r w:rsidR="005E56BF" w:rsidRPr="006111BF">
        <w:t xml:space="preserve"> February 2016)</w:t>
      </w:r>
      <w:r w:rsidR="008C3FEE" w:rsidRPr="006111BF">
        <w:t xml:space="preserve"> was </w:t>
      </w:r>
      <w:r w:rsidR="008C3FEE" w:rsidRPr="006111BF">
        <w:rPr>
          <w:b/>
        </w:rPr>
        <w:t>£11.78</w:t>
      </w:r>
      <w:r w:rsidR="00FE5B84" w:rsidRPr="006111BF">
        <w:rPr>
          <w:b/>
        </w:rPr>
        <w:t>2</w:t>
      </w:r>
      <w:r w:rsidR="008C3FEE" w:rsidRPr="006111BF">
        <w:rPr>
          <w:b/>
        </w:rPr>
        <w:t xml:space="preserve"> </w:t>
      </w:r>
      <w:r w:rsidR="004B6E0C" w:rsidRPr="006111BF">
        <w:rPr>
          <w:b/>
        </w:rPr>
        <w:t>million</w:t>
      </w:r>
      <w:r w:rsidR="004B6E0C" w:rsidRPr="00923197">
        <w:rPr>
          <w:color w:val="365F91" w:themeColor="accent1" w:themeShade="BF"/>
        </w:rPr>
        <w:t xml:space="preserve">. </w:t>
      </w:r>
      <w:r w:rsidR="005E56BF" w:rsidRPr="006111BF">
        <w:t xml:space="preserve">The </w:t>
      </w:r>
      <w:r w:rsidR="00F374B0">
        <w:t>revised</w:t>
      </w:r>
      <w:r w:rsidR="005D52D8" w:rsidRPr="006111BF">
        <w:t xml:space="preserve"> </w:t>
      </w:r>
      <w:r w:rsidR="00E52857" w:rsidRPr="006111BF">
        <w:t>budget</w:t>
      </w:r>
      <w:r w:rsidR="00FE5B84" w:rsidRPr="006111BF">
        <w:t xml:space="preserve"> is £</w:t>
      </w:r>
      <w:r w:rsidR="00DE4F82" w:rsidRPr="003678F9">
        <w:rPr>
          <w:b/>
        </w:rPr>
        <w:t>12.</w:t>
      </w:r>
      <w:r w:rsidR="003678F9" w:rsidRPr="003678F9">
        <w:rPr>
          <w:b/>
        </w:rPr>
        <w:t>472</w:t>
      </w:r>
      <w:r w:rsidR="00FE5B84" w:rsidRPr="003678F9">
        <w:rPr>
          <w:b/>
        </w:rPr>
        <w:t xml:space="preserve"> </w:t>
      </w:r>
      <w:r w:rsidR="00FE5B84" w:rsidRPr="00391687">
        <w:rPr>
          <w:b/>
        </w:rPr>
        <w:t>million</w:t>
      </w:r>
      <w:r w:rsidR="005D52D8" w:rsidRPr="00391687">
        <w:rPr>
          <w:b/>
        </w:rPr>
        <w:t xml:space="preserve">, </w:t>
      </w:r>
      <w:r w:rsidR="00F374B0" w:rsidRPr="00F374B0">
        <w:t>set at</w:t>
      </w:r>
      <w:r w:rsidR="00F374B0">
        <w:rPr>
          <w:b/>
        </w:rPr>
        <w:t xml:space="preserve"> </w:t>
      </w:r>
      <w:r w:rsidR="00F374B0" w:rsidRPr="002547A8">
        <w:t xml:space="preserve">Council on 21 February 2017. </w:t>
      </w:r>
      <w:r w:rsidR="00F374B0">
        <w:t>T</w:t>
      </w:r>
      <w:r w:rsidR="005D52D8" w:rsidRPr="00391687">
        <w:t xml:space="preserve">he </w:t>
      </w:r>
      <w:r w:rsidR="005D52D8" w:rsidRPr="006111BF">
        <w:t xml:space="preserve">table below shows the Quarter </w:t>
      </w:r>
      <w:r w:rsidR="006111BF">
        <w:t>4</w:t>
      </w:r>
      <w:r w:rsidR="005D52D8" w:rsidRPr="006111BF">
        <w:t xml:space="preserve"> variances</w:t>
      </w:r>
      <w:r w:rsidR="00C7077D" w:rsidRPr="006111BF">
        <w:t xml:space="preserve"> </w:t>
      </w:r>
      <w:r w:rsidR="00D41B6B" w:rsidRPr="006111BF">
        <w:t xml:space="preserve">reported for this period </w:t>
      </w:r>
      <w:r w:rsidR="00C7077D" w:rsidRPr="006111BF">
        <w:t xml:space="preserve">to give a forecast outturn of </w:t>
      </w:r>
      <w:r w:rsidR="00C7077D" w:rsidRPr="006111BF">
        <w:rPr>
          <w:b/>
        </w:rPr>
        <w:t>£</w:t>
      </w:r>
      <w:r w:rsidR="00C7077D" w:rsidRPr="003678F9">
        <w:rPr>
          <w:b/>
        </w:rPr>
        <w:t>12.</w:t>
      </w:r>
      <w:r w:rsidR="003678F9" w:rsidRPr="003678F9">
        <w:rPr>
          <w:b/>
        </w:rPr>
        <w:t>4</w:t>
      </w:r>
      <w:r w:rsidR="003678F9">
        <w:rPr>
          <w:b/>
        </w:rPr>
        <w:t>65</w:t>
      </w:r>
      <w:r w:rsidR="00C7077D" w:rsidRPr="003678F9">
        <w:rPr>
          <w:b/>
        </w:rPr>
        <w:t xml:space="preserve"> </w:t>
      </w:r>
      <w:r w:rsidR="00C7077D" w:rsidRPr="006111BF">
        <w:rPr>
          <w:b/>
        </w:rPr>
        <w:t>million</w:t>
      </w:r>
      <w:r w:rsidR="005D52D8" w:rsidRPr="006111BF">
        <w:t>.</w:t>
      </w:r>
      <w:r w:rsidR="00750866" w:rsidRPr="006111BF">
        <w:t xml:space="preserve">   </w:t>
      </w:r>
      <w:r w:rsidR="00C41023">
        <w:t xml:space="preserve">The table below shows how the forecast has been constructed. </w:t>
      </w:r>
    </w:p>
    <w:p w:rsidR="00C41023" w:rsidRPr="00923197" w:rsidRDefault="00C41023" w:rsidP="00C41023">
      <w:pPr>
        <w:ind w:left="1267" w:hanging="1267"/>
        <w:rPr>
          <w:color w:val="365F91" w:themeColor="accent1" w:themeShade="BF"/>
        </w:rPr>
      </w:pPr>
    </w:p>
    <w:tbl>
      <w:tblPr>
        <w:tblStyle w:val="TableGrid"/>
        <w:tblW w:w="0" w:type="auto"/>
        <w:tblInd w:w="1384" w:type="dxa"/>
        <w:tblLook w:val="04A0" w:firstRow="1" w:lastRow="0" w:firstColumn="1" w:lastColumn="0" w:noHBand="0" w:noVBand="1"/>
      </w:tblPr>
      <w:tblGrid>
        <w:gridCol w:w="7371"/>
        <w:gridCol w:w="992"/>
      </w:tblGrid>
      <w:tr w:rsidR="00C41023" w:rsidRPr="00923197" w:rsidTr="006E5E77">
        <w:trPr>
          <w:trHeight w:val="601"/>
        </w:trPr>
        <w:tc>
          <w:tcPr>
            <w:tcW w:w="7371" w:type="dxa"/>
            <w:vAlign w:val="center"/>
          </w:tcPr>
          <w:p w:rsidR="00C41023" w:rsidRPr="006111BF" w:rsidRDefault="00C41023" w:rsidP="006E5E77">
            <w:pPr>
              <w:jc w:val="center"/>
              <w:rPr>
                <w:b/>
              </w:rPr>
            </w:pPr>
            <w:r w:rsidRPr="006111BF">
              <w:rPr>
                <w:b/>
              </w:rPr>
              <w:t>Net Revenue Budget 2016/17</w:t>
            </w:r>
          </w:p>
        </w:tc>
        <w:tc>
          <w:tcPr>
            <w:tcW w:w="992" w:type="dxa"/>
            <w:vAlign w:val="center"/>
          </w:tcPr>
          <w:p w:rsidR="00C41023" w:rsidRPr="006111BF" w:rsidRDefault="00C41023" w:rsidP="006E5E77">
            <w:pPr>
              <w:jc w:val="center"/>
              <w:rPr>
                <w:b/>
              </w:rPr>
            </w:pPr>
            <w:r w:rsidRPr="006111BF">
              <w:rPr>
                <w:b/>
              </w:rPr>
              <w:t>£</w:t>
            </w:r>
            <w:r>
              <w:rPr>
                <w:b/>
              </w:rPr>
              <w:t xml:space="preserve"> million</w:t>
            </w:r>
          </w:p>
        </w:tc>
      </w:tr>
      <w:tr w:rsidR="00C41023" w:rsidRPr="00923197" w:rsidTr="006E5E77">
        <w:trPr>
          <w:trHeight w:val="412"/>
        </w:trPr>
        <w:tc>
          <w:tcPr>
            <w:tcW w:w="7371" w:type="dxa"/>
            <w:vAlign w:val="center"/>
          </w:tcPr>
          <w:p w:rsidR="00C41023" w:rsidRPr="00391687" w:rsidRDefault="00C41023" w:rsidP="006E5E77">
            <w:pPr>
              <w:jc w:val="left"/>
              <w:rPr>
                <w:b/>
              </w:rPr>
            </w:pPr>
            <w:r w:rsidRPr="00391687">
              <w:rPr>
                <w:b/>
              </w:rPr>
              <w:t>Original Net Revenue Budget</w:t>
            </w:r>
          </w:p>
        </w:tc>
        <w:tc>
          <w:tcPr>
            <w:tcW w:w="992" w:type="dxa"/>
            <w:vAlign w:val="center"/>
          </w:tcPr>
          <w:p w:rsidR="00C41023" w:rsidRPr="00923197" w:rsidRDefault="00C41023" w:rsidP="006E5E77">
            <w:pPr>
              <w:jc w:val="right"/>
              <w:rPr>
                <w:color w:val="365F91" w:themeColor="accent1" w:themeShade="BF"/>
              </w:rPr>
            </w:pPr>
            <w:r w:rsidRPr="00391687">
              <w:rPr>
                <w:b/>
              </w:rPr>
              <w:t>11</w:t>
            </w:r>
            <w:r>
              <w:rPr>
                <w:b/>
              </w:rPr>
              <w:t>.</w:t>
            </w:r>
            <w:r w:rsidRPr="00391687">
              <w:rPr>
                <w:b/>
              </w:rPr>
              <w:t>782</w:t>
            </w:r>
          </w:p>
        </w:tc>
      </w:tr>
      <w:tr w:rsidR="00C41023" w:rsidRPr="00923197" w:rsidTr="006E5E77">
        <w:trPr>
          <w:trHeight w:val="417"/>
        </w:trPr>
        <w:tc>
          <w:tcPr>
            <w:tcW w:w="7371" w:type="dxa"/>
            <w:vAlign w:val="center"/>
          </w:tcPr>
          <w:p w:rsidR="00C41023" w:rsidRPr="00391687" w:rsidRDefault="00C41023" w:rsidP="006E5E77">
            <w:pPr>
              <w:jc w:val="left"/>
            </w:pPr>
            <w:r w:rsidRPr="00391687">
              <w:t>Variances Previously Reported</w:t>
            </w:r>
          </w:p>
        </w:tc>
        <w:tc>
          <w:tcPr>
            <w:tcW w:w="992" w:type="dxa"/>
            <w:vAlign w:val="center"/>
          </w:tcPr>
          <w:p w:rsidR="00C41023" w:rsidRPr="00940D6B" w:rsidRDefault="00C41023" w:rsidP="005B42AD">
            <w:pPr>
              <w:jc w:val="right"/>
            </w:pPr>
            <w:r>
              <w:t>0.</w:t>
            </w:r>
            <w:r w:rsidR="005B42AD">
              <w:t>690</w:t>
            </w:r>
          </w:p>
        </w:tc>
      </w:tr>
      <w:tr w:rsidR="00C41023" w:rsidRPr="00923197" w:rsidTr="006E5E77">
        <w:trPr>
          <w:trHeight w:val="408"/>
        </w:trPr>
        <w:tc>
          <w:tcPr>
            <w:tcW w:w="7371" w:type="dxa"/>
            <w:vAlign w:val="center"/>
          </w:tcPr>
          <w:p w:rsidR="00C41023" w:rsidRPr="00391687" w:rsidRDefault="00C41023" w:rsidP="006E5E77">
            <w:pPr>
              <w:jc w:val="left"/>
              <w:rPr>
                <w:b/>
              </w:rPr>
            </w:pPr>
            <w:r>
              <w:rPr>
                <w:b/>
              </w:rPr>
              <w:t>Net Revenue</w:t>
            </w:r>
            <w:r w:rsidRPr="00391687">
              <w:rPr>
                <w:b/>
              </w:rPr>
              <w:t xml:space="preserve"> Budget</w:t>
            </w:r>
          </w:p>
        </w:tc>
        <w:tc>
          <w:tcPr>
            <w:tcW w:w="992" w:type="dxa"/>
            <w:vAlign w:val="center"/>
          </w:tcPr>
          <w:p w:rsidR="00C41023" w:rsidRPr="006252D8" w:rsidRDefault="00C41023" w:rsidP="006E5E77">
            <w:pPr>
              <w:jc w:val="right"/>
              <w:rPr>
                <w:b/>
              </w:rPr>
            </w:pPr>
            <w:r w:rsidRPr="006252D8">
              <w:rPr>
                <w:b/>
              </w:rPr>
              <w:t>1</w:t>
            </w:r>
            <w:r>
              <w:rPr>
                <w:b/>
              </w:rPr>
              <w:t>2.472</w:t>
            </w:r>
          </w:p>
        </w:tc>
      </w:tr>
      <w:tr w:rsidR="00C41023" w:rsidRPr="00923197" w:rsidTr="006E5E77">
        <w:trPr>
          <w:trHeight w:val="419"/>
        </w:trPr>
        <w:tc>
          <w:tcPr>
            <w:tcW w:w="7371" w:type="dxa"/>
            <w:vAlign w:val="center"/>
          </w:tcPr>
          <w:p w:rsidR="00C41023" w:rsidRPr="00391687" w:rsidRDefault="00C41023" w:rsidP="006E5E77">
            <w:pPr>
              <w:jc w:val="left"/>
            </w:pPr>
            <w:r w:rsidRPr="00391687">
              <w:t xml:space="preserve">Variances Reported This Period  Quarter </w:t>
            </w:r>
            <w:r>
              <w:t>4</w:t>
            </w:r>
            <w:r w:rsidRPr="00391687">
              <w:t xml:space="preserve"> – Period </w:t>
            </w:r>
            <w:r>
              <w:t>10</w:t>
            </w:r>
            <w:r w:rsidRPr="00391687">
              <w:t xml:space="preserve"> (End of </w:t>
            </w:r>
            <w:r>
              <w:t>January</w:t>
            </w:r>
            <w:r w:rsidRPr="00391687">
              <w:t>)</w:t>
            </w:r>
          </w:p>
        </w:tc>
        <w:tc>
          <w:tcPr>
            <w:tcW w:w="992" w:type="dxa"/>
            <w:vAlign w:val="center"/>
          </w:tcPr>
          <w:p w:rsidR="00C41023" w:rsidRPr="006252D8" w:rsidRDefault="00C41023" w:rsidP="006E5E77">
            <w:pPr>
              <w:jc w:val="right"/>
            </w:pPr>
            <w:r>
              <w:t>(0.007)</w:t>
            </w:r>
          </w:p>
        </w:tc>
      </w:tr>
      <w:tr w:rsidR="00C41023" w:rsidRPr="00923197" w:rsidTr="006E5E77">
        <w:trPr>
          <w:trHeight w:val="408"/>
        </w:trPr>
        <w:tc>
          <w:tcPr>
            <w:tcW w:w="7371" w:type="dxa"/>
            <w:vAlign w:val="center"/>
          </w:tcPr>
          <w:p w:rsidR="00C41023" w:rsidRPr="00391687" w:rsidRDefault="00C41023" w:rsidP="006E5E77">
            <w:pPr>
              <w:jc w:val="left"/>
              <w:rPr>
                <w:b/>
              </w:rPr>
            </w:pPr>
            <w:r w:rsidRPr="00391687">
              <w:rPr>
                <w:b/>
              </w:rPr>
              <w:t>Forecast Outturn</w:t>
            </w:r>
          </w:p>
        </w:tc>
        <w:tc>
          <w:tcPr>
            <w:tcW w:w="992" w:type="dxa"/>
            <w:vAlign w:val="center"/>
          </w:tcPr>
          <w:p w:rsidR="00C41023" w:rsidRPr="006252D8" w:rsidRDefault="00C41023" w:rsidP="006E5E77">
            <w:pPr>
              <w:jc w:val="right"/>
              <w:rPr>
                <w:b/>
              </w:rPr>
            </w:pPr>
            <w:r w:rsidRPr="006252D8">
              <w:rPr>
                <w:b/>
              </w:rPr>
              <w:t>1</w:t>
            </w:r>
            <w:r>
              <w:rPr>
                <w:b/>
              </w:rPr>
              <w:t>2.465</w:t>
            </w:r>
          </w:p>
        </w:tc>
      </w:tr>
    </w:tbl>
    <w:p w:rsidR="00C41023" w:rsidRPr="00923197" w:rsidRDefault="00C41023" w:rsidP="00C41023">
      <w:pPr>
        <w:ind w:left="1267" w:hanging="1267"/>
        <w:rPr>
          <w:color w:val="365F91" w:themeColor="accent1" w:themeShade="BF"/>
        </w:rPr>
      </w:pPr>
    </w:p>
    <w:p w:rsidR="00D41B6B" w:rsidRPr="00923197" w:rsidRDefault="00D41B6B" w:rsidP="006E632E">
      <w:pPr>
        <w:ind w:left="1267" w:hanging="1267"/>
        <w:rPr>
          <w:b/>
          <w:i/>
          <w:color w:val="365F91" w:themeColor="accent1" w:themeShade="BF"/>
        </w:rPr>
      </w:pPr>
      <w:r w:rsidRPr="00923197">
        <w:rPr>
          <w:color w:val="365F91" w:themeColor="accent1" w:themeShade="BF"/>
        </w:rPr>
        <w:tab/>
      </w:r>
      <w:r w:rsidRPr="006111BF">
        <w:rPr>
          <w:b/>
          <w:i/>
        </w:rPr>
        <w:t>Service Budgets</w:t>
      </w:r>
      <w:r w:rsidR="00750866" w:rsidRPr="006111BF">
        <w:rPr>
          <w:b/>
          <w:i/>
        </w:rPr>
        <w:t xml:space="preserve"> </w:t>
      </w:r>
    </w:p>
    <w:p w:rsidR="00D41B6B" w:rsidRPr="00923197" w:rsidRDefault="00D41B6B" w:rsidP="006E632E">
      <w:pPr>
        <w:ind w:left="1267" w:hanging="1267"/>
        <w:rPr>
          <w:color w:val="365F91" w:themeColor="accent1" w:themeShade="BF"/>
        </w:rPr>
      </w:pPr>
    </w:p>
    <w:p w:rsidR="00D41B6B" w:rsidRPr="00923197" w:rsidRDefault="00D41B6B" w:rsidP="006E632E">
      <w:pPr>
        <w:ind w:left="1267" w:hanging="1267"/>
        <w:rPr>
          <w:b/>
          <w:color w:val="365F91" w:themeColor="accent1" w:themeShade="BF"/>
        </w:rPr>
      </w:pPr>
      <w:r w:rsidRPr="006111BF">
        <w:t>2.3</w:t>
      </w:r>
      <w:r w:rsidRPr="006111BF">
        <w:tab/>
        <w:t xml:space="preserve">After removing other non-service costs (parish precepts and interest earned on investments) and indirect costs (internal recharges, capital financing charges &amp; adjustments under statute) the net original direct revenue budget was set at </w:t>
      </w:r>
      <w:r w:rsidRPr="006111BF">
        <w:rPr>
          <w:b/>
        </w:rPr>
        <w:t>£10.775 million</w:t>
      </w:r>
      <w:r w:rsidRPr="006111BF">
        <w:t xml:space="preserve"> </w:t>
      </w:r>
      <w:r w:rsidRPr="00636EFD">
        <w:t xml:space="preserve">and the </w:t>
      </w:r>
      <w:r w:rsidR="00D027A0">
        <w:t xml:space="preserve">revised budget set at Council </w:t>
      </w:r>
      <w:r w:rsidR="00C54247" w:rsidRPr="002547A8">
        <w:t>on 21 February 2017</w:t>
      </w:r>
      <w:r w:rsidR="00C54247">
        <w:t xml:space="preserve"> is </w:t>
      </w:r>
      <w:r w:rsidRPr="00636EFD">
        <w:rPr>
          <w:b/>
        </w:rPr>
        <w:t>£11.</w:t>
      </w:r>
      <w:r w:rsidR="00636EFD" w:rsidRPr="00636EFD">
        <w:rPr>
          <w:b/>
        </w:rPr>
        <w:t>619</w:t>
      </w:r>
      <w:r w:rsidRPr="00636EFD">
        <w:rPr>
          <w:b/>
        </w:rPr>
        <w:t xml:space="preserve"> million</w:t>
      </w:r>
      <w:r w:rsidRPr="00636EFD">
        <w:t xml:space="preserve">. The forecast outturn is now estimated to be </w:t>
      </w:r>
      <w:r w:rsidRPr="00636EFD">
        <w:rPr>
          <w:b/>
        </w:rPr>
        <w:t>£11.6</w:t>
      </w:r>
      <w:r w:rsidR="00636EFD" w:rsidRPr="00636EFD">
        <w:rPr>
          <w:b/>
        </w:rPr>
        <w:t xml:space="preserve">12 </w:t>
      </w:r>
      <w:r w:rsidRPr="006111BF">
        <w:rPr>
          <w:b/>
        </w:rPr>
        <w:t>million</w:t>
      </w:r>
      <w:r w:rsidR="00C54247">
        <w:rPr>
          <w:b/>
        </w:rPr>
        <w:t xml:space="preserve"> </w:t>
      </w:r>
      <w:r w:rsidR="00C54247" w:rsidRPr="00C54247">
        <w:t xml:space="preserve">which </w:t>
      </w:r>
      <w:r w:rsidRPr="006111BF">
        <w:t xml:space="preserve">results in a favourable variance of </w:t>
      </w:r>
      <w:r w:rsidRPr="006111BF">
        <w:rPr>
          <w:b/>
        </w:rPr>
        <w:t>£</w:t>
      </w:r>
      <w:r w:rsidRPr="00D027A0">
        <w:rPr>
          <w:b/>
        </w:rPr>
        <w:t>0.</w:t>
      </w:r>
      <w:r w:rsidR="00D027A0" w:rsidRPr="00D027A0">
        <w:rPr>
          <w:b/>
        </w:rPr>
        <w:t>00</w:t>
      </w:r>
      <w:r w:rsidRPr="00D027A0">
        <w:rPr>
          <w:b/>
        </w:rPr>
        <w:t xml:space="preserve">7 </w:t>
      </w:r>
      <w:r w:rsidRPr="006111BF">
        <w:rPr>
          <w:b/>
        </w:rPr>
        <w:t>million.</w:t>
      </w:r>
    </w:p>
    <w:p w:rsidR="00B32E05" w:rsidRPr="00923197" w:rsidRDefault="00D41B6B" w:rsidP="006E632E">
      <w:pPr>
        <w:ind w:left="1267" w:hanging="1267"/>
        <w:rPr>
          <w:color w:val="365F91" w:themeColor="accent1" w:themeShade="BF"/>
        </w:rPr>
      </w:pPr>
      <w:r w:rsidRPr="00923197">
        <w:rPr>
          <w:color w:val="365F91" w:themeColor="accent1" w:themeShade="BF"/>
        </w:rPr>
        <w:tab/>
      </w:r>
      <w:r w:rsidR="00750866" w:rsidRPr="00391687">
        <w:t xml:space="preserve"> </w:t>
      </w:r>
    </w:p>
    <w:p w:rsidR="00954C32" w:rsidRDefault="00636EFD" w:rsidP="00954C32">
      <w:pPr>
        <w:ind w:left="1276" w:hanging="1276"/>
        <w:rPr>
          <w:rFonts w:cs="Arial"/>
          <w:szCs w:val="22"/>
        </w:rPr>
      </w:pPr>
      <w:r>
        <w:rPr>
          <w:rFonts w:cs="Arial"/>
          <w:szCs w:val="22"/>
        </w:rPr>
        <w:t>2.4</w:t>
      </w:r>
      <w:r w:rsidR="006A2B17" w:rsidRPr="00636EFD">
        <w:rPr>
          <w:rFonts w:cs="Arial"/>
          <w:szCs w:val="22"/>
        </w:rPr>
        <w:t xml:space="preserve"> </w:t>
      </w:r>
      <w:r w:rsidR="006A2B17" w:rsidRPr="00636EFD">
        <w:rPr>
          <w:rFonts w:cs="Arial"/>
          <w:szCs w:val="22"/>
        </w:rPr>
        <w:tab/>
      </w:r>
      <w:r w:rsidR="00B32E05" w:rsidRPr="00954C32">
        <w:rPr>
          <w:rFonts w:cs="Arial"/>
          <w:szCs w:val="22"/>
        </w:rPr>
        <w:t xml:space="preserve">The main variances that contribute to </w:t>
      </w:r>
      <w:r w:rsidR="00305D4A" w:rsidRPr="00954C32">
        <w:rPr>
          <w:rFonts w:cs="Arial"/>
          <w:szCs w:val="22"/>
        </w:rPr>
        <w:t xml:space="preserve">this </w:t>
      </w:r>
      <w:r w:rsidR="00B32E05" w:rsidRPr="00954C32">
        <w:rPr>
          <w:rFonts w:cs="Arial"/>
          <w:szCs w:val="22"/>
        </w:rPr>
        <w:t>are</w:t>
      </w:r>
      <w:r w:rsidR="001862CF" w:rsidRPr="00954C32">
        <w:rPr>
          <w:rFonts w:cs="Arial"/>
          <w:szCs w:val="22"/>
        </w:rPr>
        <w:t xml:space="preserve"> </w:t>
      </w:r>
      <w:r w:rsidR="00954C32" w:rsidRPr="00954C32">
        <w:rPr>
          <w:rFonts w:cs="Arial"/>
          <w:szCs w:val="22"/>
        </w:rPr>
        <w:t>as follows:</w:t>
      </w:r>
    </w:p>
    <w:p w:rsidR="005F55E4" w:rsidRDefault="005F55E4" w:rsidP="00954C32">
      <w:pPr>
        <w:ind w:left="1276" w:hanging="1276"/>
        <w:rPr>
          <w:rFonts w:cs="Arial"/>
          <w:szCs w:val="22"/>
        </w:rPr>
      </w:pPr>
    </w:p>
    <w:p w:rsidR="005F55E4" w:rsidRPr="005F55E4" w:rsidRDefault="005F55E4" w:rsidP="00954C32">
      <w:pPr>
        <w:ind w:left="1276" w:hanging="1276"/>
        <w:rPr>
          <w:u w:val="single"/>
        </w:rPr>
      </w:pPr>
      <w:r>
        <w:rPr>
          <w:rFonts w:cs="Arial"/>
          <w:szCs w:val="22"/>
        </w:rPr>
        <w:tab/>
      </w:r>
      <w:r>
        <w:rPr>
          <w:rFonts w:cs="Arial"/>
          <w:szCs w:val="22"/>
        </w:rPr>
        <w:tab/>
      </w:r>
      <w:r>
        <w:rPr>
          <w:rFonts w:cs="Arial"/>
          <w:szCs w:val="22"/>
        </w:rPr>
        <w:tab/>
      </w:r>
      <w:r w:rsidRPr="005F55E4">
        <w:rPr>
          <w:rFonts w:cs="Arial"/>
          <w:szCs w:val="22"/>
          <w:u w:val="single"/>
        </w:rPr>
        <w:t>Unfavourable</w:t>
      </w:r>
    </w:p>
    <w:p w:rsidR="001862CF" w:rsidRDefault="00954C32" w:rsidP="00954C32">
      <w:pPr>
        <w:pStyle w:val="ListParagraph"/>
        <w:numPr>
          <w:ilvl w:val="0"/>
          <w:numId w:val="35"/>
        </w:numPr>
      </w:pPr>
      <w:r>
        <w:t>Increased cost of ICT disaster recovery - £39,620</w:t>
      </w:r>
    </w:p>
    <w:p w:rsidR="00954C32" w:rsidRDefault="00954C32" w:rsidP="00954C32">
      <w:pPr>
        <w:pStyle w:val="ListParagraph"/>
        <w:numPr>
          <w:ilvl w:val="0"/>
          <w:numId w:val="35"/>
        </w:numPr>
      </w:pPr>
      <w:r>
        <w:t>Shortfall in licensing income from private hire operators - £10,000</w:t>
      </w:r>
    </w:p>
    <w:p w:rsidR="005F55E4" w:rsidRDefault="005F55E4" w:rsidP="005F55E4">
      <w:pPr>
        <w:ind w:left="1636"/>
      </w:pPr>
    </w:p>
    <w:p w:rsidR="005F55E4" w:rsidRPr="005F55E4" w:rsidRDefault="005F55E4" w:rsidP="005F55E4">
      <w:pPr>
        <w:tabs>
          <w:tab w:val="clear" w:pos="1260"/>
          <w:tab w:val="clear" w:pos="1980"/>
          <w:tab w:val="left" w:pos="1276"/>
          <w:tab w:val="left" w:pos="1418"/>
          <w:tab w:val="left" w:pos="1701"/>
          <w:tab w:val="left" w:pos="1985"/>
        </w:tabs>
        <w:ind w:left="1985" w:hanging="425"/>
        <w:rPr>
          <w:u w:val="single"/>
        </w:rPr>
      </w:pPr>
      <w:r w:rsidRPr="005F55E4">
        <w:rPr>
          <w:rFonts w:cs="Arial"/>
          <w:szCs w:val="22"/>
        </w:rPr>
        <w:tab/>
      </w:r>
      <w:r w:rsidRPr="005F55E4">
        <w:rPr>
          <w:rFonts w:cs="Arial"/>
          <w:szCs w:val="22"/>
        </w:rPr>
        <w:tab/>
      </w:r>
      <w:r>
        <w:rPr>
          <w:rFonts w:cs="Arial"/>
          <w:szCs w:val="22"/>
          <w:u w:val="single"/>
        </w:rPr>
        <w:t>F</w:t>
      </w:r>
      <w:r w:rsidRPr="005F55E4">
        <w:rPr>
          <w:rFonts w:cs="Arial"/>
          <w:szCs w:val="22"/>
          <w:u w:val="single"/>
        </w:rPr>
        <w:t>avourable</w:t>
      </w:r>
    </w:p>
    <w:p w:rsidR="00954C32" w:rsidRDefault="005F55E4" w:rsidP="00954C32">
      <w:pPr>
        <w:pStyle w:val="ListParagraph"/>
        <w:numPr>
          <w:ilvl w:val="0"/>
          <w:numId w:val="35"/>
        </w:numPr>
      </w:pPr>
      <w:r>
        <w:lastRenderedPageBreak/>
        <w:t>Increase in pre planning application fee income – £10,000</w:t>
      </w:r>
    </w:p>
    <w:p w:rsidR="005F55E4" w:rsidRPr="00954C32" w:rsidRDefault="005F55E4" w:rsidP="00954C32">
      <w:pPr>
        <w:pStyle w:val="ListParagraph"/>
        <w:numPr>
          <w:ilvl w:val="0"/>
          <w:numId w:val="35"/>
        </w:numPr>
      </w:pPr>
      <w:r>
        <w:t>Underspend on repairs &amp; maintenance at Three Rivers House - £34,000</w:t>
      </w:r>
    </w:p>
    <w:p w:rsidR="00DC2F15" w:rsidRPr="00954C32" w:rsidRDefault="006634A9" w:rsidP="001862CF">
      <w:pPr>
        <w:tabs>
          <w:tab w:val="clear" w:pos="2700"/>
        </w:tabs>
        <w:ind w:left="1276"/>
        <w:rPr>
          <w:rFonts w:cs="Arial"/>
          <w:b/>
          <w:szCs w:val="22"/>
        </w:rPr>
      </w:pPr>
      <w:r w:rsidRPr="00954C32">
        <w:t xml:space="preserve"> </w:t>
      </w:r>
    </w:p>
    <w:p w:rsidR="006A2B17" w:rsidRPr="00391687" w:rsidRDefault="00B32E05" w:rsidP="00DC2F15">
      <w:pPr>
        <w:ind w:firstLine="1276"/>
        <w:rPr>
          <w:rFonts w:cs="Arial"/>
          <w:b/>
          <w:szCs w:val="22"/>
        </w:rPr>
      </w:pPr>
      <w:r w:rsidRPr="00954C32">
        <w:rPr>
          <w:rFonts w:cs="Arial"/>
          <w:szCs w:val="22"/>
        </w:rPr>
        <w:t xml:space="preserve">The </w:t>
      </w:r>
      <w:r w:rsidRPr="00391687">
        <w:rPr>
          <w:rFonts w:cs="Arial"/>
          <w:szCs w:val="22"/>
        </w:rPr>
        <w:t xml:space="preserve">details of all variances are shown at </w:t>
      </w:r>
      <w:r w:rsidRPr="00391687">
        <w:rPr>
          <w:rFonts w:cs="Arial"/>
          <w:b/>
          <w:szCs w:val="22"/>
        </w:rPr>
        <w:t>Appendix 2.</w:t>
      </w:r>
    </w:p>
    <w:p w:rsidR="005A1A4C" w:rsidRPr="00391687" w:rsidRDefault="005A1A4C" w:rsidP="006E632E">
      <w:pPr>
        <w:ind w:left="1267" w:hanging="1267"/>
      </w:pPr>
    </w:p>
    <w:p w:rsidR="00325194" w:rsidRPr="00391687" w:rsidRDefault="00636EFD" w:rsidP="006E632E">
      <w:pPr>
        <w:ind w:left="1267" w:hanging="1267"/>
      </w:pPr>
      <w:r>
        <w:t>2.5</w:t>
      </w:r>
      <w:r w:rsidR="00CD3615" w:rsidRPr="00391687">
        <w:tab/>
        <w:t xml:space="preserve">The table below shows the net </w:t>
      </w:r>
      <w:r w:rsidR="00DD486A" w:rsidRPr="00391687">
        <w:t>direct expenditure (</w:t>
      </w:r>
      <w:r w:rsidR="00CB2CA2" w:rsidRPr="00391687">
        <w:t>service</w:t>
      </w:r>
      <w:r w:rsidR="00DD486A" w:rsidRPr="00391687">
        <w:t xml:space="preserve"> costs) budgets, forecast outturn and variance for each </w:t>
      </w:r>
      <w:r w:rsidR="00D34C39" w:rsidRPr="00391687">
        <w:t>s</w:t>
      </w:r>
      <w:r w:rsidR="00DD486A" w:rsidRPr="00391687">
        <w:t>e</w:t>
      </w:r>
      <w:r w:rsidR="00AB5497" w:rsidRPr="00391687">
        <w:t xml:space="preserve">rvice </w:t>
      </w:r>
      <w:r w:rsidR="00D34C39" w:rsidRPr="00391687">
        <w:t>c</w:t>
      </w:r>
      <w:r w:rsidR="00AB5497" w:rsidRPr="00391687">
        <w:t>ommittee</w:t>
      </w:r>
      <w:r w:rsidR="00DD486A" w:rsidRPr="00391687">
        <w:t>.</w:t>
      </w:r>
    </w:p>
    <w:p w:rsidR="00DD486A" w:rsidRPr="00923197" w:rsidRDefault="00DD486A" w:rsidP="006E632E">
      <w:pPr>
        <w:ind w:left="1267" w:hanging="1267"/>
        <w:rPr>
          <w:rFonts w:cs="Arial"/>
          <w:color w:val="365F91" w:themeColor="accent1" w:themeShade="BF"/>
          <w:szCs w:val="22"/>
        </w:rPr>
      </w:pPr>
    </w:p>
    <w:tbl>
      <w:tblPr>
        <w:tblW w:w="8789" w:type="dxa"/>
        <w:tblInd w:w="1384" w:type="dxa"/>
        <w:tblLayout w:type="fixed"/>
        <w:tblLook w:val="04A0" w:firstRow="1" w:lastRow="0" w:firstColumn="1" w:lastColumn="0" w:noHBand="0" w:noVBand="1"/>
      </w:tblPr>
      <w:tblGrid>
        <w:gridCol w:w="2977"/>
        <w:gridCol w:w="1276"/>
        <w:gridCol w:w="1134"/>
        <w:gridCol w:w="1134"/>
        <w:gridCol w:w="1134"/>
        <w:gridCol w:w="1134"/>
      </w:tblGrid>
      <w:tr w:rsidR="00923197" w:rsidRPr="00923197" w:rsidTr="002D18A1">
        <w:trPr>
          <w:trHeight w:val="293"/>
        </w:trPr>
        <w:tc>
          <w:tcPr>
            <w:tcW w:w="8789" w:type="dxa"/>
            <w:gridSpan w:val="6"/>
            <w:vMerge w:val="restart"/>
            <w:tcBorders>
              <w:top w:val="single" w:sz="4" w:space="0" w:color="auto"/>
              <w:left w:val="single" w:sz="4" w:space="0" w:color="auto"/>
              <w:bottom w:val="nil"/>
              <w:right w:val="single" w:sz="4" w:space="0" w:color="000000"/>
            </w:tcBorders>
            <w:vAlign w:val="center"/>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2016/17 Revenue  Account – General Fund Summary</w:t>
            </w:r>
          </w:p>
        </w:tc>
      </w:tr>
      <w:tr w:rsidR="00923197" w:rsidRPr="00923197" w:rsidTr="002D18A1">
        <w:trPr>
          <w:trHeight w:val="293"/>
        </w:trPr>
        <w:tc>
          <w:tcPr>
            <w:tcW w:w="8789" w:type="dxa"/>
            <w:gridSpan w:val="6"/>
            <w:vMerge/>
            <w:tcBorders>
              <w:top w:val="single" w:sz="4" w:space="0" w:color="auto"/>
              <w:left w:val="single" w:sz="4" w:space="0" w:color="auto"/>
              <w:bottom w:val="nil"/>
              <w:right w:val="single" w:sz="4" w:space="0" w:color="000000"/>
            </w:tcBorders>
            <w:vAlign w:val="center"/>
            <w:hideMark/>
          </w:tcPr>
          <w:p w:rsidR="006634A9" w:rsidRPr="00391687" w:rsidRDefault="006634A9" w:rsidP="008C45E6">
            <w:pPr>
              <w:tabs>
                <w:tab w:val="clear" w:pos="1260"/>
                <w:tab w:val="clear" w:pos="1980"/>
                <w:tab w:val="clear" w:pos="2700"/>
                <w:tab w:val="clear" w:pos="3420"/>
              </w:tabs>
              <w:jc w:val="left"/>
              <w:rPr>
                <w:rFonts w:cs="Arial"/>
                <w:b/>
                <w:bCs/>
                <w:szCs w:val="22"/>
              </w:rPr>
            </w:pPr>
          </w:p>
        </w:tc>
      </w:tr>
      <w:tr w:rsidR="00923197" w:rsidRPr="00923197" w:rsidTr="002D18A1">
        <w:trPr>
          <w:trHeight w:val="945"/>
        </w:trPr>
        <w:tc>
          <w:tcPr>
            <w:tcW w:w="297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Service Area</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Original Budget</w:t>
            </w:r>
          </w:p>
        </w:tc>
        <w:tc>
          <w:tcPr>
            <w:tcW w:w="1134" w:type="dxa"/>
            <w:tcBorders>
              <w:top w:val="single" w:sz="4" w:space="0" w:color="auto"/>
              <w:left w:val="nil"/>
              <w:bottom w:val="nil"/>
              <w:right w:val="single" w:sz="4" w:space="0" w:color="auto"/>
            </w:tcBorders>
            <w:shd w:val="clear" w:color="auto" w:fill="auto"/>
            <w:vAlign w:val="center"/>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 Latest Budget </w:t>
            </w:r>
          </w:p>
        </w:tc>
        <w:tc>
          <w:tcPr>
            <w:tcW w:w="1134" w:type="dxa"/>
            <w:tcBorders>
              <w:top w:val="single" w:sz="4" w:space="0" w:color="auto"/>
              <w:left w:val="nil"/>
              <w:bottom w:val="nil"/>
              <w:right w:val="single" w:sz="4" w:space="0" w:color="auto"/>
            </w:tcBorders>
          </w:tcPr>
          <w:p w:rsidR="00C03B4D" w:rsidRPr="00391687" w:rsidRDefault="00C03B4D" w:rsidP="008C45E6">
            <w:pPr>
              <w:tabs>
                <w:tab w:val="clear" w:pos="1260"/>
                <w:tab w:val="clear" w:pos="1980"/>
                <w:tab w:val="clear" w:pos="2700"/>
                <w:tab w:val="clear" w:pos="3420"/>
              </w:tabs>
              <w:jc w:val="center"/>
              <w:rPr>
                <w:rFonts w:cs="Arial"/>
                <w:b/>
                <w:bCs/>
                <w:szCs w:val="22"/>
              </w:rPr>
            </w:pPr>
            <w:r w:rsidRPr="00391687">
              <w:rPr>
                <w:rFonts w:cs="Arial"/>
                <w:b/>
                <w:bCs/>
                <w:szCs w:val="22"/>
              </w:rPr>
              <w:t>Actuals</w:t>
            </w:r>
          </w:p>
          <w:p w:rsidR="00A516D7" w:rsidRPr="00391687" w:rsidRDefault="00C03B4D"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To </w:t>
            </w:r>
          </w:p>
          <w:p w:rsidR="00C03B4D" w:rsidRPr="00391687" w:rsidRDefault="00A516D7" w:rsidP="008E35A7">
            <w:pPr>
              <w:tabs>
                <w:tab w:val="clear" w:pos="1260"/>
                <w:tab w:val="clear" w:pos="1980"/>
                <w:tab w:val="clear" w:pos="2700"/>
                <w:tab w:val="clear" w:pos="3420"/>
              </w:tabs>
              <w:jc w:val="center"/>
              <w:rPr>
                <w:rFonts w:cs="Arial"/>
                <w:b/>
                <w:bCs/>
                <w:szCs w:val="22"/>
              </w:rPr>
            </w:pPr>
            <w:r w:rsidRPr="00391687">
              <w:rPr>
                <w:rFonts w:cs="Arial"/>
                <w:b/>
                <w:bCs/>
                <w:szCs w:val="22"/>
              </w:rPr>
              <w:t xml:space="preserve">Period </w:t>
            </w:r>
            <w:r w:rsidR="008E35A7">
              <w:rPr>
                <w:rFonts w:cs="Arial"/>
                <w:b/>
                <w:bCs/>
                <w:szCs w:val="22"/>
              </w:rPr>
              <w:t>10</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 Outturn </w:t>
            </w:r>
          </w:p>
        </w:tc>
        <w:tc>
          <w:tcPr>
            <w:tcW w:w="1134" w:type="dxa"/>
            <w:tcBorders>
              <w:top w:val="single" w:sz="4" w:space="0" w:color="auto"/>
              <w:left w:val="nil"/>
              <w:bottom w:val="nil"/>
              <w:right w:val="single" w:sz="4" w:space="0" w:color="auto"/>
            </w:tcBorders>
            <w:shd w:val="clear" w:color="auto" w:fill="auto"/>
            <w:vAlign w:val="center"/>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 Variance </w:t>
            </w:r>
          </w:p>
        </w:tc>
      </w:tr>
      <w:tr w:rsidR="00923197" w:rsidRPr="00923197" w:rsidTr="002D18A1">
        <w:trPr>
          <w:trHeight w:val="91"/>
        </w:trPr>
        <w:tc>
          <w:tcPr>
            <w:tcW w:w="2977" w:type="dxa"/>
            <w:vMerge/>
            <w:tcBorders>
              <w:top w:val="single" w:sz="4" w:space="0" w:color="auto"/>
              <w:left w:val="single" w:sz="4" w:space="0" w:color="auto"/>
              <w:bottom w:val="single" w:sz="4" w:space="0" w:color="000000"/>
              <w:right w:val="nil"/>
            </w:tcBorders>
            <w:vAlign w:val="center"/>
            <w:hideMark/>
          </w:tcPr>
          <w:p w:rsidR="006634A9" w:rsidRPr="00391687" w:rsidRDefault="006634A9" w:rsidP="008C45E6">
            <w:pPr>
              <w:tabs>
                <w:tab w:val="clear" w:pos="1260"/>
                <w:tab w:val="clear" w:pos="1980"/>
                <w:tab w:val="clear" w:pos="2700"/>
                <w:tab w:val="clear" w:pos="3420"/>
              </w:tabs>
              <w:jc w:val="left"/>
              <w:rPr>
                <w:rFonts w:cs="Arial"/>
                <w:b/>
                <w:bCs/>
                <w:szCs w:val="22"/>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 £000 </w:t>
            </w:r>
          </w:p>
        </w:tc>
        <w:tc>
          <w:tcPr>
            <w:tcW w:w="1134" w:type="dxa"/>
            <w:tcBorders>
              <w:top w:val="nil"/>
              <w:left w:val="nil"/>
              <w:bottom w:val="single" w:sz="4" w:space="0" w:color="auto"/>
              <w:right w:val="single" w:sz="4" w:space="0" w:color="auto"/>
            </w:tcBorders>
          </w:tcPr>
          <w:p w:rsidR="00C03B4D" w:rsidRPr="00391687" w:rsidRDefault="00C03B4D" w:rsidP="00C03B4D">
            <w:pPr>
              <w:tabs>
                <w:tab w:val="clear" w:pos="1260"/>
                <w:tab w:val="clear" w:pos="1980"/>
                <w:tab w:val="clear" w:pos="2700"/>
                <w:tab w:val="clear" w:pos="3420"/>
              </w:tabs>
              <w:jc w:val="center"/>
              <w:rPr>
                <w:rFonts w:cs="Arial"/>
                <w:b/>
                <w:bCs/>
                <w:szCs w:val="22"/>
              </w:rPr>
            </w:pPr>
            <w:r w:rsidRPr="00391687">
              <w:rPr>
                <w:rFonts w:cs="Arial"/>
                <w:b/>
                <w:bCs/>
                <w:szCs w:val="22"/>
              </w:rPr>
              <w:t>£000</w:t>
            </w:r>
          </w:p>
        </w:tc>
        <w:tc>
          <w:tcPr>
            <w:tcW w:w="1134" w:type="dxa"/>
            <w:tcBorders>
              <w:top w:val="nil"/>
              <w:left w:val="single" w:sz="4" w:space="0" w:color="auto"/>
              <w:bottom w:val="single" w:sz="4" w:space="0" w:color="auto"/>
              <w:right w:val="nil"/>
            </w:tcBorders>
            <w:shd w:val="clear" w:color="auto" w:fill="auto"/>
            <w:noWrap/>
            <w:vAlign w:val="bottom"/>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 £000 </w:t>
            </w:r>
          </w:p>
        </w:tc>
        <w:tc>
          <w:tcPr>
            <w:tcW w:w="1134" w:type="dxa"/>
            <w:tcBorders>
              <w:top w:val="nil"/>
              <w:left w:val="single" w:sz="4" w:space="0" w:color="auto"/>
              <w:bottom w:val="nil"/>
              <w:right w:val="single" w:sz="4" w:space="0" w:color="auto"/>
            </w:tcBorders>
            <w:shd w:val="clear" w:color="auto" w:fill="auto"/>
            <w:noWrap/>
            <w:vAlign w:val="bottom"/>
            <w:hideMark/>
          </w:tcPr>
          <w:p w:rsidR="006634A9" w:rsidRPr="00391687" w:rsidRDefault="006634A9" w:rsidP="008C45E6">
            <w:pPr>
              <w:tabs>
                <w:tab w:val="clear" w:pos="1260"/>
                <w:tab w:val="clear" w:pos="1980"/>
                <w:tab w:val="clear" w:pos="2700"/>
                <w:tab w:val="clear" w:pos="3420"/>
              </w:tabs>
              <w:jc w:val="center"/>
              <w:rPr>
                <w:rFonts w:cs="Arial"/>
                <w:b/>
                <w:bCs/>
                <w:szCs w:val="22"/>
              </w:rPr>
            </w:pPr>
            <w:r w:rsidRPr="00391687">
              <w:rPr>
                <w:rFonts w:cs="Arial"/>
                <w:b/>
                <w:bCs/>
                <w:szCs w:val="22"/>
              </w:rPr>
              <w:t xml:space="preserve"> £000 </w:t>
            </w:r>
          </w:p>
        </w:tc>
      </w:tr>
      <w:tr w:rsidR="00923197" w:rsidRPr="00923197" w:rsidTr="002D18A1">
        <w:trPr>
          <w:trHeight w:val="300"/>
        </w:trPr>
        <w:tc>
          <w:tcPr>
            <w:tcW w:w="2977" w:type="dxa"/>
            <w:tcBorders>
              <w:top w:val="nil"/>
              <w:left w:val="single" w:sz="4" w:space="0" w:color="auto"/>
              <w:bottom w:val="nil"/>
              <w:right w:val="nil"/>
            </w:tcBorders>
            <w:shd w:val="clear" w:color="auto" w:fill="auto"/>
            <w:noWrap/>
            <w:vAlign w:val="center"/>
            <w:hideMark/>
          </w:tcPr>
          <w:p w:rsidR="006634A9" w:rsidRPr="00391687" w:rsidRDefault="006634A9" w:rsidP="00172723">
            <w:pPr>
              <w:tabs>
                <w:tab w:val="clear" w:pos="1260"/>
                <w:tab w:val="clear" w:pos="1980"/>
                <w:tab w:val="clear" w:pos="2700"/>
                <w:tab w:val="clear" w:pos="3420"/>
              </w:tabs>
              <w:jc w:val="left"/>
              <w:rPr>
                <w:rFonts w:cs="Arial"/>
                <w:szCs w:val="22"/>
              </w:rPr>
            </w:pPr>
            <w:r w:rsidRPr="00391687">
              <w:rPr>
                <w:rFonts w:cs="Arial"/>
                <w:szCs w:val="22"/>
              </w:rPr>
              <w:t>Leisure, Wellbeing &amp; Health</w:t>
            </w:r>
          </w:p>
        </w:tc>
        <w:tc>
          <w:tcPr>
            <w:tcW w:w="1276" w:type="dxa"/>
            <w:tcBorders>
              <w:top w:val="nil"/>
              <w:left w:val="single" w:sz="4" w:space="0" w:color="auto"/>
              <w:bottom w:val="nil"/>
              <w:right w:val="single" w:sz="4" w:space="0" w:color="auto"/>
            </w:tcBorders>
            <w:shd w:val="clear" w:color="auto" w:fill="auto"/>
            <w:noWrap/>
            <w:vAlign w:val="center"/>
            <w:hideMark/>
          </w:tcPr>
          <w:p w:rsidR="006634A9" w:rsidRPr="00A95B35" w:rsidRDefault="006634A9" w:rsidP="008C45E6">
            <w:pPr>
              <w:tabs>
                <w:tab w:val="clear" w:pos="1260"/>
                <w:tab w:val="clear" w:pos="1980"/>
                <w:tab w:val="clear" w:pos="2700"/>
                <w:tab w:val="clear" w:pos="3420"/>
              </w:tabs>
              <w:jc w:val="right"/>
              <w:rPr>
                <w:rFonts w:cs="Arial"/>
                <w:szCs w:val="22"/>
              </w:rPr>
            </w:pPr>
            <w:r w:rsidRPr="00A95B35">
              <w:rPr>
                <w:rFonts w:cs="Arial"/>
                <w:szCs w:val="22"/>
              </w:rPr>
              <w:t xml:space="preserve">2,339 </w:t>
            </w:r>
          </w:p>
        </w:tc>
        <w:tc>
          <w:tcPr>
            <w:tcW w:w="1134" w:type="dxa"/>
            <w:tcBorders>
              <w:top w:val="nil"/>
              <w:left w:val="nil"/>
              <w:bottom w:val="nil"/>
              <w:right w:val="single" w:sz="4" w:space="0" w:color="auto"/>
            </w:tcBorders>
            <w:shd w:val="clear" w:color="auto" w:fill="auto"/>
            <w:noWrap/>
            <w:vAlign w:val="center"/>
            <w:hideMark/>
          </w:tcPr>
          <w:p w:rsidR="006634A9" w:rsidRPr="005E6029" w:rsidRDefault="006634A9" w:rsidP="005E6029">
            <w:pPr>
              <w:tabs>
                <w:tab w:val="clear" w:pos="1260"/>
                <w:tab w:val="clear" w:pos="1980"/>
                <w:tab w:val="clear" w:pos="2700"/>
                <w:tab w:val="clear" w:pos="3420"/>
              </w:tabs>
              <w:jc w:val="right"/>
              <w:rPr>
                <w:rFonts w:cs="Arial"/>
                <w:szCs w:val="22"/>
              </w:rPr>
            </w:pPr>
            <w:r w:rsidRPr="005E6029">
              <w:rPr>
                <w:rFonts w:cs="Arial"/>
                <w:szCs w:val="22"/>
              </w:rPr>
              <w:t>2,</w:t>
            </w:r>
            <w:r w:rsidR="005E6029" w:rsidRPr="005E6029">
              <w:rPr>
                <w:rFonts w:cs="Arial"/>
                <w:szCs w:val="22"/>
              </w:rPr>
              <w:t>219</w:t>
            </w:r>
          </w:p>
        </w:tc>
        <w:tc>
          <w:tcPr>
            <w:tcW w:w="1134" w:type="dxa"/>
            <w:tcBorders>
              <w:top w:val="nil"/>
              <w:left w:val="nil"/>
              <w:bottom w:val="nil"/>
              <w:right w:val="single" w:sz="4" w:space="0" w:color="auto"/>
            </w:tcBorders>
            <w:vAlign w:val="center"/>
          </w:tcPr>
          <w:p w:rsidR="006634A9" w:rsidRPr="003240CF" w:rsidRDefault="003240CF" w:rsidP="00E70EE6">
            <w:pPr>
              <w:tabs>
                <w:tab w:val="clear" w:pos="1260"/>
                <w:tab w:val="clear" w:pos="1980"/>
                <w:tab w:val="clear" w:pos="2700"/>
                <w:tab w:val="clear" w:pos="3420"/>
              </w:tabs>
              <w:jc w:val="right"/>
              <w:rPr>
                <w:rFonts w:cs="Arial"/>
                <w:szCs w:val="22"/>
              </w:rPr>
            </w:pPr>
            <w:r w:rsidRPr="003240CF">
              <w:rPr>
                <w:rFonts w:cs="Arial"/>
                <w:szCs w:val="22"/>
              </w:rPr>
              <w:t>1,386</w:t>
            </w:r>
          </w:p>
        </w:tc>
        <w:tc>
          <w:tcPr>
            <w:tcW w:w="1134" w:type="dxa"/>
            <w:tcBorders>
              <w:top w:val="nil"/>
              <w:left w:val="single" w:sz="4" w:space="0" w:color="auto"/>
              <w:bottom w:val="nil"/>
              <w:right w:val="nil"/>
            </w:tcBorders>
            <w:shd w:val="clear" w:color="auto" w:fill="auto"/>
            <w:noWrap/>
            <w:vAlign w:val="center"/>
            <w:hideMark/>
          </w:tcPr>
          <w:p w:rsidR="006634A9" w:rsidRPr="005314C1" w:rsidRDefault="006634A9" w:rsidP="005314C1">
            <w:pPr>
              <w:tabs>
                <w:tab w:val="clear" w:pos="1260"/>
                <w:tab w:val="clear" w:pos="1980"/>
                <w:tab w:val="clear" w:pos="2700"/>
                <w:tab w:val="clear" w:pos="3420"/>
              </w:tabs>
              <w:jc w:val="right"/>
              <w:rPr>
                <w:rFonts w:cs="Arial"/>
                <w:szCs w:val="22"/>
              </w:rPr>
            </w:pPr>
            <w:r w:rsidRPr="005314C1">
              <w:rPr>
                <w:rFonts w:cs="Arial"/>
                <w:szCs w:val="22"/>
              </w:rPr>
              <w:t>2,2</w:t>
            </w:r>
            <w:r w:rsidR="005314C1" w:rsidRPr="005314C1">
              <w:rPr>
                <w:rFonts w:cs="Arial"/>
                <w:szCs w:val="22"/>
              </w:rPr>
              <w:t>17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6634A9" w:rsidRPr="00962FA6" w:rsidRDefault="006634A9" w:rsidP="00962FA6">
            <w:pPr>
              <w:tabs>
                <w:tab w:val="clear" w:pos="1260"/>
                <w:tab w:val="clear" w:pos="1980"/>
                <w:tab w:val="clear" w:pos="2700"/>
                <w:tab w:val="clear" w:pos="3420"/>
              </w:tabs>
              <w:jc w:val="right"/>
              <w:rPr>
                <w:rFonts w:cs="Arial"/>
                <w:szCs w:val="22"/>
              </w:rPr>
            </w:pPr>
            <w:r w:rsidRPr="00962FA6">
              <w:rPr>
                <w:rFonts w:cs="Arial"/>
                <w:szCs w:val="22"/>
              </w:rPr>
              <w:t>(</w:t>
            </w:r>
            <w:r w:rsidR="00962FA6" w:rsidRPr="00962FA6">
              <w:rPr>
                <w:rFonts w:cs="Arial"/>
                <w:szCs w:val="22"/>
              </w:rPr>
              <w:t>2</w:t>
            </w:r>
            <w:r w:rsidRPr="00962FA6">
              <w:rPr>
                <w:rFonts w:cs="Arial"/>
                <w:szCs w:val="22"/>
              </w:rPr>
              <w:t>)</w:t>
            </w:r>
          </w:p>
        </w:tc>
      </w:tr>
      <w:tr w:rsidR="00923197" w:rsidRPr="00923197" w:rsidTr="002D18A1">
        <w:trPr>
          <w:trHeight w:val="300"/>
        </w:trPr>
        <w:tc>
          <w:tcPr>
            <w:tcW w:w="2977" w:type="dxa"/>
            <w:tcBorders>
              <w:top w:val="nil"/>
              <w:left w:val="single" w:sz="4" w:space="0" w:color="auto"/>
              <w:bottom w:val="nil"/>
              <w:right w:val="nil"/>
            </w:tcBorders>
            <w:shd w:val="clear" w:color="auto" w:fill="auto"/>
            <w:noWrap/>
            <w:vAlign w:val="center"/>
            <w:hideMark/>
          </w:tcPr>
          <w:p w:rsidR="00E70EE6" w:rsidRPr="00391687" w:rsidRDefault="006634A9" w:rsidP="008C45E6">
            <w:pPr>
              <w:tabs>
                <w:tab w:val="clear" w:pos="1260"/>
                <w:tab w:val="clear" w:pos="1980"/>
                <w:tab w:val="clear" w:pos="2700"/>
                <w:tab w:val="clear" w:pos="3420"/>
              </w:tabs>
              <w:jc w:val="left"/>
              <w:rPr>
                <w:rFonts w:cs="Arial"/>
                <w:szCs w:val="22"/>
              </w:rPr>
            </w:pPr>
            <w:r w:rsidRPr="00391687">
              <w:rPr>
                <w:rFonts w:cs="Arial"/>
                <w:szCs w:val="22"/>
              </w:rPr>
              <w:t xml:space="preserve">Sustainable Development, </w:t>
            </w:r>
          </w:p>
          <w:p w:rsidR="006634A9" w:rsidRPr="00391687" w:rsidRDefault="006634A9" w:rsidP="008C45E6">
            <w:pPr>
              <w:tabs>
                <w:tab w:val="clear" w:pos="1260"/>
                <w:tab w:val="clear" w:pos="1980"/>
                <w:tab w:val="clear" w:pos="2700"/>
                <w:tab w:val="clear" w:pos="3420"/>
              </w:tabs>
              <w:jc w:val="left"/>
              <w:rPr>
                <w:rFonts w:cs="Arial"/>
                <w:szCs w:val="22"/>
              </w:rPr>
            </w:pPr>
            <w:r w:rsidRPr="00391687">
              <w:rPr>
                <w:rFonts w:cs="Arial"/>
                <w:szCs w:val="22"/>
              </w:rPr>
              <w:t>Planning &amp; Transport</w:t>
            </w:r>
          </w:p>
        </w:tc>
        <w:tc>
          <w:tcPr>
            <w:tcW w:w="1276" w:type="dxa"/>
            <w:tcBorders>
              <w:top w:val="nil"/>
              <w:left w:val="single" w:sz="4" w:space="0" w:color="auto"/>
              <w:bottom w:val="nil"/>
              <w:right w:val="single" w:sz="4" w:space="0" w:color="auto"/>
            </w:tcBorders>
            <w:shd w:val="clear" w:color="auto" w:fill="auto"/>
            <w:noWrap/>
            <w:vAlign w:val="center"/>
            <w:hideMark/>
          </w:tcPr>
          <w:p w:rsidR="006634A9" w:rsidRPr="00A95B35" w:rsidRDefault="006634A9" w:rsidP="00641034">
            <w:pPr>
              <w:tabs>
                <w:tab w:val="clear" w:pos="1260"/>
                <w:tab w:val="clear" w:pos="1980"/>
                <w:tab w:val="clear" w:pos="2700"/>
                <w:tab w:val="clear" w:pos="3420"/>
              </w:tabs>
              <w:jc w:val="right"/>
              <w:rPr>
                <w:rFonts w:cs="Arial"/>
                <w:szCs w:val="22"/>
              </w:rPr>
            </w:pPr>
            <w:r w:rsidRPr="00A95B35">
              <w:rPr>
                <w:rFonts w:cs="Arial"/>
                <w:szCs w:val="22"/>
              </w:rPr>
              <w:t>1,649</w:t>
            </w:r>
          </w:p>
        </w:tc>
        <w:tc>
          <w:tcPr>
            <w:tcW w:w="1134" w:type="dxa"/>
            <w:tcBorders>
              <w:top w:val="nil"/>
              <w:left w:val="nil"/>
              <w:bottom w:val="nil"/>
              <w:right w:val="single" w:sz="4" w:space="0" w:color="auto"/>
            </w:tcBorders>
            <w:shd w:val="clear" w:color="auto" w:fill="auto"/>
            <w:noWrap/>
            <w:vAlign w:val="center"/>
            <w:hideMark/>
          </w:tcPr>
          <w:p w:rsidR="006634A9" w:rsidRPr="005E6029" w:rsidRDefault="006634A9" w:rsidP="005E6029">
            <w:pPr>
              <w:tabs>
                <w:tab w:val="clear" w:pos="1260"/>
                <w:tab w:val="clear" w:pos="1980"/>
                <w:tab w:val="clear" w:pos="2700"/>
                <w:tab w:val="clear" w:pos="3420"/>
              </w:tabs>
              <w:jc w:val="right"/>
              <w:rPr>
                <w:rFonts w:cs="Arial"/>
                <w:szCs w:val="22"/>
              </w:rPr>
            </w:pPr>
            <w:r w:rsidRPr="005E6029">
              <w:rPr>
                <w:rFonts w:cs="Arial"/>
                <w:szCs w:val="22"/>
              </w:rPr>
              <w:t>1,</w:t>
            </w:r>
            <w:r w:rsidR="005E6029" w:rsidRPr="005E6029">
              <w:rPr>
                <w:rFonts w:cs="Arial"/>
                <w:szCs w:val="22"/>
              </w:rPr>
              <w:t>951</w:t>
            </w:r>
          </w:p>
        </w:tc>
        <w:tc>
          <w:tcPr>
            <w:tcW w:w="1134" w:type="dxa"/>
            <w:tcBorders>
              <w:top w:val="nil"/>
              <w:left w:val="nil"/>
              <w:bottom w:val="nil"/>
              <w:right w:val="single" w:sz="4" w:space="0" w:color="auto"/>
            </w:tcBorders>
            <w:vAlign w:val="center"/>
          </w:tcPr>
          <w:p w:rsidR="006634A9" w:rsidRPr="003240CF" w:rsidRDefault="003240CF" w:rsidP="00641034">
            <w:pPr>
              <w:tabs>
                <w:tab w:val="clear" w:pos="1260"/>
                <w:tab w:val="clear" w:pos="1980"/>
                <w:tab w:val="clear" w:pos="2700"/>
                <w:tab w:val="clear" w:pos="3420"/>
              </w:tabs>
              <w:jc w:val="right"/>
              <w:rPr>
                <w:rFonts w:cs="Arial"/>
                <w:szCs w:val="22"/>
              </w:rPr>
            </w:pPr>
            <w:r w:rsidRPr="003240CF">
              <w:rPr>
                <w:rFonts w:cs="Arial"/>
                <w:szCs w:val="22"/>
              </w:rPr>
              <w:t>1,045</w:t>
            </w:r>
          </w:p>
        </w:tc>
        <w:tc>
          <w:tcPr>
            <w:tcW w:w="1134" w:type="dxa"/>
            <w:tcBorders>
              <w:top w:val="nil"/>
              <w:left w:val="single" w:sz="4" w:space="0" w:color="auto"/>
              <w:bottom w:val="nil"/>
              <w:right w:val="nil"/>
            </w:tcBorders>
            <w:shd w:val="clear" w:color="auto" w:fill="auto"/>
            <w:noWrap/>
            <w:vAlign w:val="center"/>
            <w:hideMark/>
          </w:tcPr>
          <w:p w:rsidR="006634A9" w:rsidRPr="005314C1" w:rsidRDefault="005314C1" w:rsidP="005314C1">
            <w:pPr>
              <w:tabs>
                <w:tab w:val="clear" w:pos="1260"/>
                <w:tab w:val="clear" w:pos="1980"/>
                <w:tab w:val="clear" w:pos="2700"/>
                <w:tab w:val="clear" w:pos="3420"/>
              </w:tabs>
              <w:jc w:val="right"/>
              <w:rPr>
                <w:rFonts w:cs="Arial"/>
                <w:szCs w:val="22"/>
              </w:rPr>
            </w:pPr>
            <w:r w:rsidRPr="005314C1">
              <w:rPr>
                <w:rFonts w:cs="Arial"/>
                <w:szCs w:val="22"/>
              </w:rPr>
              <w:t>1,94</w:t>
            </w:r>
            <w:r>
              <w:rPr>
                <w:rFonts w:cs="Arial"/>
                <w:szCs w:val="22"/>
              </w:rPr>
              <w:t>4</w:t>
            </w:r>
          </w:p>
        </w:tc>
        <w:tc>
          <w:tcPr>
            <w:tcW w:w="1134" w:type="dxa"/>
            <w:tcBorders>
              <w:top w:val="nil"/>
              <w:left w:val="single" w:sz="4" w:space="0" w:color="auto"/>
              <w:bottom w:val="nil"/>
              <w:right w:val="single" w:sz="4" w:space="0" w:color="auto"/>
            </w:tcBorders>
            <w:shd w:val="clear" w:color="auto" w:fill="auto"/>
            <w:noWrap/>
            <w:vAlign w:val="center"/>
            <w:hideMark/>
          </w:tcPr>
          <w:p w:rsidR="006634A9" w:rsidRPr="00962FA6" w:rsidRDefault="00962FA6" w:rsidP="00641034">
            <w:pPr>
              <w:tabs>
                <w:tab w:val="clear" w:pos="1260"/>
                <w:tab w:val="clear" w:pos="1980"/>
                <w:tab w:val="clear" w:pos="2700"/>
                <w:tab w:val="clear" w:pos="3420"/>
              </w:tabs>
              <w:jc w:val="right"/>
              <w:rPr>
                <w:rFonts w:cs="Arial"/>
                <w:szCs w:val="22"/>
              </w:rPr>
            </w:pPr>
            <w:r>
              <w:rPr>
                <w:rFonts w:cs="Arial"/>
                <w:szCs w:val="22"/>
              </w:rPr>
              <w:t>(7)</w:t>
            </w:r>
          </w:p>
        </w:tc>
      </w:tr>
      <w:tr w:rsidR="00923197" w:rsidRPr="00923197" w:rsidTr="002D18A1">
        <w:trPr>
          <w:trHeight w:val="300"/>
        </w:trPr>
        <w:tc>
          <w:tcPr>
            <w:tcW w:w="2977" w:type="dxa"/>
            <w:tcBorders>
              <w:top w:val="nil"/>
              <w:left w:val="single" w:sz="4" w:space="0" w:color="auto"/>
              <w:bottom w:val="nil"/>
              <w:right w:val="nil"/>
            </w:tcBorders>
            <w:shd w:val="clear" w:color="auto" w:fill="auto"/>
            <w:noWrap/>
            <w:vAlign w:val="center"/>
            <w:hideMark/>
          </w:tcPr>
          <w:p w:rsidR="006634A9" w:rsidRPr="00391687" w:rsidRDefault="006634A9" w:rsidP="00641034">
            <w:pPr>
              <w:tabs>
                <w:tab w:val="clear" w:pos="1260"/>
                <w:tab w:val="clear" w:pos="1980"/>
                <w:tab w:val="clear" w:pos="2700"/>
                <w:tab w:val="clear" w:pos="3420"/>
              </w:tabs>
              <w:jc w:val="left"/>
              <w:rPr>
                <w:rFonts w:cs="Arial"/>
                <w:szCs w:val="22"/>
              </w:rPr>
            </w:pPr>
            <w:r w:rsidRPr="00391687">
              <w:rPr>
                <w:rFonts w:cs="Arial"/>
                <w:szCs w:val="22"/>
              </w:rPr>
              <w:t xml:space="preserve">General Public Services &amp; </w:t>
            </w:r>
            <w:r w:rsidR="00641034" w:rsidRPr="00391687">
              <w:rPr>
                <w:rFonts w:cs="Arial"/>
                <w:szCs w:val="22"/>
              </w:rPr>
              <w:t>C</w:t>
            </w:r>
            <w:r w:rsidRPr="00391687">
              <w:rPr>
                <w:rFonts w:cs="Arial"/>
                <w:szCs w:val="22"/>
              </w:rPr>
              <w:t>ommunity Safety</w:t>
            </w:r>
          </w:p>
        </w:tc>
        <w:tc>
          <w:tcPr>
            <w:tcW w:w="1276" w:type="dxa"/>
            <w:tcBorders>
              <w:top w:val="nil"/>
              <w:left w:val="single" w:sz="4" w:space="0" w:color="auto"/>
              <w:bottom w:val="nil"/>
              <w:right w:val="single" w:sz="4" w:space="0" w:color="auto"/>
            </w:tcBorders>
            <w:shd w:val="clear" w:color="auto" w:fill="auto"/>
            <w:noWrap/>
            <w:vAlign w:val="center"/>
            <w:hideMark/>
          </w:tcPr>
          <w:p w:rsidR="006634A9" w:rsidRPr="00A95B35" w:rsidRDefault="006634A9" w:rsidP="00641034">
            <w:pPr>
              <w:tabs>
                <w:tab w:val="clear" w:pos="1260"/>
                <w:tab w:val="clear" w:pos="1980"/>
                <w:tab w:val="clear" w:pos="2700"/>
                <w:tab w:val="clear" w:pos="3420"/>
              </w:tabs>
              <w:jc w:val="right"/>
              <w:rPr>
                <w:rFonts w:cs="Arial"/>
                <w:szCs w:val="22"/>
              </w:rPr>
            </w:pPr>
            <w:r w:rsidRPr="00A95B35">
              <w:rPr>
                <w:rFonts w:cs="Arial"/>
                <w:szCs w:val="22"/>
              </w:rPr>
              <w:t>2,257</w:t>
            </w:r>
          </w:p>
        </w:tc>
        <w:tc>
          <w:tcPr>
            <w:tcW w:w="1134" w:type="dxa"/>
            <w:tcBorders>
              <w:top w:val="nil"/>
              <w:left w:val="nil"/>
              <w:bottom w:val="nil"/>
              <w:right w:val="single" w:sz="4" w:space="0" w:color="auto"/>
            </w:tcBorders>
            <w:shd w:val="clear" w:color="auto" w:fill="auto"/>
            <w:noWrap/>
            <w:vAlign w:val="center"/>
            <w:hideMark/>
          </w:tcPr>
          <w:p w:rsidR="006634A9" w:rsidRPr="005E6029" w:rsidRDefault="006634A9" w:rsidP="005E6029">
            <w:pPr>
              <w:tabs>
                <w:tab w:val="clear" w:pos="1260"/>
                <w:tab w:val="clear" w:pos="1980"/>
                <w:tab w:val="clear" w:pos="2700"/>
                <w:tab w:val="clear" w:pos="3420"/>
              </w:tabs>
              <w:jc w:val="right"/>
              <w:rPr>
                <w:rFonts w:cs="Arial"/>
                <w:szCs w:val="22"/>
              </w:rPr>
            </w:pPr>
            <w:r w:rsidRPr="005E6029">
              <w:rPr>
                <w:rFonts w:cs="Arial"/>
                <w:szCs w:val="22"/>
              </w:rPr>
              <w:t>2,</w:t>
            </w:r>
            <w:r w:rsidR="005E6029" w:rsidRPr="005E6029">
              <w:rPr>
                <w:rFonts w:cs="Arial"/>
                <w:szCs w:val="22"/>
              </w:rPr>
              <w:t>0</w:t>
            </w:r>
            <w:r w:rsidRPr="005E6029">
              <w:rPr>
                <w:rFonts w:cs="Arial"/>
                <w:szCs w:val="22"/>
              </w:rPr>
              <w:t>55</w:t>
            </w:r>
          </w:p>
        </w:tc>
        <w:tc>
          <w:tcPr>
            <w:tcW w:w="1134" w:type="dxa"/>
            <w:tcBorders>
              <w:top w:val="nil"/>
              <w:left w:val="nil"/>
              <w:bottom w:val="nil"/>
              <w:right w:val="single" w:sz="4" w:space="0" w:color="auto"/>
            </w:tcBorders>
            <w:vAlign w:val="center"/>
          </w:tcPr>
          <w:p w:rsidR="006634A9" w:rsidRPr="003240CF" w:rsidRDefault="003240CF" w:rsidP="00641034">
            <w:pPr>
              <w:tabs>
                <w:tab w:val="clear" w:pos="1260"/>
                <w:tab w:val="clear" w:pos="1980"/>
                <w:tab w:val="clear" w:pos="2700"/>
                <w:tab w:val="clear" w:pos="3420"/>
              </w:tabs>
              <w:jc w:val="right"/>
              <w:rPr>
                <w:rFonts w:cs="Arial"/>
                <w:szCs w:val="22"/>
              </w:rPr>
            </w:pPr>
            <w:r w:rsidRPr="003240CF">
              <w:rPr>
                <w:rFonts w:cs="Arial"/>
                <w:szCs w:val="22"/>
              </w:rPr>
              <w:t>1,533</w:t>
            </w:r>
          </w:p>
        </w:tc>
        <w:tc>
          <w:tcPr>
            <w:tcW w:w="1134" w:type="dxa"/>
            <w:tcBorders>
              <w:top w:val="nil"/>
              <w:left w:val="single" w:sz="4" w:space="0" w:color="auto"/>
              <w:bottom w:val="nil"/>
              <w:right w:val="nil"/>
            </w:tcBorders>
            <w:shd w:val="clear" w:color="auto" w:fill="auto"/>
            <w:noWrap/>
            <w:vAlign w:val="center"/>
            <w:hideMark/>
          </w:tcPr>
          <w:p w:rsidR="006634A9" w:rsidRPr="005314C1" w:rsidRDefault="006634A9" w:rsidP="005314C1">
            <w:pPr>
              <w:tabs>
                <w:tab w:val="clear" w:pos="1260"/>
                <w:tab w:val="clear" w:pos="1980"/>
                <w:tab w:val="clear" w:pos="2700"/>
                <w:tab w:val="clear" w:pos="3420"/>
              </w:tabs>
              <w:jc w:val="right"/>
              <w:rPr>
                <w:rFonts w:cs="Arial"/>
                <w:szCs w:val="22"/>
              </w:rPr>
            </w:pPr>
            <w:r w:rsidRPr="005314C1">
              <w:rPr>
                <w:rFonts w:cs="Arial"/>
                <w:szCs w:val="22"/>
              </w:rPr>
              <w:t>2,</w:t>
            </w:r>
            <w:r w:rsidR="005314C1" w:rsidRPr="005314C1">
              <w:rPr>
                <w:rFonts w:cs="Arial"/>
                <w:szCs w:val="22"/>
              </w:rPr>
              <w:t>055</w:t>
            </w:r>
          </w:p>
        </w:tc>
        <w:tc>
          <w:tcPr>
            <w:tcW w:w="1134" w:type="dxa"/>
            <w:tcBorders>
              <w:top w:val="nil"/>
              <w:left w:val="single" w:sz="4" w:space="0" w:color="auto"/>
              <w:bottom w:val="nil"/>
              <w:right w:val="single" w:sz="4" w:space="0" w:color="auto"/>
            </w:tcBorders>
            <w:shd w:val="clear" w:color="auto" w:fill="auto"/>
            <w:noWrap/>
            <w:vAlign w:val="center"/>
            <w:hideMark/>
          </w:tcPr>
          <w:p w:rsidR="006634A9" w:rsidRPr="00962FA6" w:rsidRDefault="00962FA6" w:rsidP="00641034">
            <w:pPr>
              <w:tabs>
                <w:tab w:val="clear" w:pos="1260"/>
                <w:tab w:val="clear" w:pos="1980"/>
                <w:tab w:val="clear" w:pos="2700"/>
                <w:tab w:val="clear" w:pos="3420"/>
              </w:tabs>
              <w:jc w:val="right"/>
              <w:rPr>
                <w:rFonts w:cs="Arial"/>
                <w:szCs w:val="22"/>
              </w:rPr>
            </w:pPr>
            <w:r>
              <w:rPr>
                <w:rFonts w:cs="Arial"/>
                <w:szCs w:val="22"/>
              </w:rPr>
              <w:t xml:space="preserve">0  </w:t>
            </w:r>
          </w:p>
        </w:tc>
      </w:tr>
      <w:tr w:rsidR="00923197" w:rsidRPr="00923197" w:rsidTr="002D18A1">
        <w:trPr>
          <w:trHeight w:val="286"/>
        </w:trPr>
        <w:tc>
          <w:tcPr>
            <w:tcW w:w="2977" w:type="dxa"/>
            <w:tcBorders>
              <w:top w:val="nil"/>
              <w:left w:val="single" w:sz="4" w:space="0" w:color="auto"/>
              <w:bottom w:val="single" w:sz="4" w:space="0" w:color="auto"/>
              <w:right w:val="nil"/>
            </w:tcBorders>
            <w:shd w:val="clear" w:color="auto" w:fill="auto"/>
            <w:noWrap/>
            <w:hideMark/>
          </w:tcPr>
          <w:p w:rsidR="0029366B" w:rsidRPr="00391687" w:rsidRDefault="006634A9" w:rsidP="00641034">
            <w:pPr>
              <w:tabs>
                <w:tab w:val="clear" w:pos="1260"/>
                <w:tab w:val="clear" w:pos="1980"/>
                <w:tab w:val="clear" w:pos="2700"/>
                <w:tab w:val="clear" w:pos="3420"/>
              </w:tabs>
              <w:jc w:val="left"/>
              <w:rPr>
                <w:rFonts w:cs="Arial"/>
                <w:szCs w:val="22"/>
              </w:rPr>
            </w:pPr>
            <w:r w:rsidRPr="00391687">
              <w:rPr>
                <w:rFonts w:cs="Arial"/>
                <w:szCs w:val="22"/>
              </w:rPr>
              <w:t>Policy &amp; Resources</w:t>
            </w:r>
          </w:p>
        </w:tc>
        <w:tc>
          <w:tcPr>
            <w:tcW w:w="1276" w:type="dxa"/>
            <w:tcBorders>
              <w:top w:val="nil"/>
              <w:left w:val="single" w:sz="4" w:space="0" w:color="auto"/>
              <w:bottom w:val="single" w:sz="4" w:space="0" w:color="auto"/>
              <w:right w:val="single" w:sz="4" w:space="0" w:color="auto"/>
            </w:tcBorders>
            <w:shd w:val="clear" w:color="auto" w:fill="auto"/>
            <w:noWrap/>
            <w:hideMark/>
          </w:tcPr>
          <w:p w:rsidR="0029366B" w:rsidRPr="00A95B35" w:rsidRDefault="006634A9" w:rsidP="00D86BB1">
            <w:pPr>
              <w:tabs>
                <w:tab w:val="clear" w:pos="1260"/>
                <w:tab w:val="clear" w:pos="1980"/>
                <w:tab w:val="clear" w:pos="2700"/>
                <w:tab w:val="clear" w:pos="3420"/>
              </w:tabs>
              <w:jc w:val="right"/>
              <w:rPr>
                <w:rFonts w:cs="Arial"/>
                <w:szCs w:val="22"/>
              </w:rPr>
            </w:pPr>
            <w:r w:rsidRPr="00A95B35">
              <w:rPr>
                <w:rFonts w:cs="Arial"/>
                <w:szCs w:val="22"/>
              </w:rPr>
              <w:t>4,530</w:t>
            </w:r>
          </w:p>
        </w:tc>
        <w:tc>
          <w:tcPr>
            <w:tcW w:w="1134" w:type="dxa"/>
            <w:tcBorders>
              <w:top w:val="nil"/>
              <w:left w:val="nil"/>
              <w:bottom w:val="single" w:sz="4" w:space="0" w:color="auto"/>
              <w:right w:val="single" w:sz="4" w:space="0" w:color="auto"/>
            </w:tcBorders>
            <w:shd w:val="clear" w:color="auto" w:fill="auto"/>
            <w:noWrap/>
            <w:hideMark/>
          </w:tcPr>
          <w:p w:rsidR="006634A9" w:rsidRPr="005E6029" w:rsidRDefault="005E6029" w:rsidP="005E6029">
            <w:pPr>
              <w:tabs>
                <w:tab w:val="clear" w:pos="1260"/>
                <w:tab w:val="clear" w:pos="1980"/>
                <w:tab w:val="clear" w:pos="2700"/>
                <w:tab w:val="clear" w:pos="3420"/>
              </w:tabs>
              <w:jc w:val="right"/>
              <w:rPr>
                <w:rFonts w:cs="Arial"/>
                <w:szCs w:val="22"/>
              </w:rPr>
            </w:pPr>
            <w:r w:rsidRPr="005E6029">
              <w:rPr>
                <w:rFonts w:cs="Arial"/>
                <w:szCs w:val="22"/>
              </w:rPr>
              <w:t>5,394</w:t>
            </w:r>
          </w:p>
        </w:tc>
        <w:tc>
          <w:tcPr>
            <w:tcW w:w="1134" w:type="dxa"/>
            <w:tcBorders>
              <w:top w:val="nil"/>
              <w:left w:val="nil"/>
              <w:bottom w:val="single" w:sz="4" w:space="0" w:color="auto"/>
              <w:right w:val="single" w:sz="4" w:space="0" w:color="auto"/>
            </w:tcBorders>
          </w:tcPr>
          <w:p w:rsidR="006634A9" w:rsidRPr="003240CF" w:rsidRDefault="003240CF" w:rsidP="00641034">
            <w:pPr>
              <w:tabs>
                <w:tab w:val="clear" w:pos="1260"/>
                <w:tab w:val="clear" w:pos="1980"/>
                <w:tab w:val="clear" w:pos="2700"/>
                <w:tab w:val="clear" w:pos="3420"/>
              </w:tabs>
              <w:jc w:val="right"/>
              <w:rPr>
                <w:rFonts w:cs="Arial"/>
                <w:szCs w:val="22"/>
              </w:rPr>
            </w:pPr>
            <w:r w:rsidRPr="003240CF">
              <w:rPr>
                <w:rFonts w:cs="Arial"/>
                <w:szCs w:val="22"/>
              </w:rPr>
              <w:t>5,100</w:t>
            </w:r>
          </w:p>
        </w:tc>
        <w:tc>
          <w:tcPr>
            <w:tcW w:w="1134" w:type="dxa"/>
            <w:tcBorders>
              <w:top w:val="nil"/>
              <w:left w:val="single" w:sz="4" w:space="0" w:color="auto"/>
              <w:bottom w:val="single" w:sz="4" w:space="0" w:color="auto"/>
              <w:right w:val="nil"/>
            </w:tcBorders>
            <w:shd w:val="clear" w:color="auto" w:fill="auto"/>
            <w:noWrap/>
            <w:hideMark/>
          </w:tcPr>
          <w:p w:rsidR="006634A9" w:rsidRPr="005314C1" w:rsidRDefault="006634A9" w:rsidP="005314C1">
            <w:pPr>
              <w:tabs>
                <w:tab w:val="clear" w:pos="1260"/>
                <w:tab w:val="clear" w:pos="1980"/>
                <w:tab w:val="clear" w:pos="2700"/>
                <w:tab w:val="clear" w:pos="3420"/>
              </w:tabs>
              <w:jc w:val="right"/>
              <w:rPr>
                <w:rFonts w:cs="Arial"/>
                <w:szCs w:val="22"/>
              </w:rPr>
            </w:pPr>
            <w:r w:rsidRPr="005314C1">
              <w:rPr>
                <w:rFonts w:cs="Arial"/>
                <w:szCs w:val="22"/>
              </w:rPr>
              <w:t>5,</w:t>
            </w:r>
            <w:r w:rsidR="005314C1" w:rsidRPr="005314C1">
              <w:rPr>
                <w:rFonts w:cs="Arial"/>
                <w:szCs w:val="22"/>
              </w:rPr>
              <w:t>39</w:t>
            </w:r>
            <w:r w:rsidR="00E70EE6" w:rsidRPr="005314C1">
              <w:rPr>
                <w:rFonts w:cs="Arial"/>
                <w:szCs w:val="22"/>
              </w:rPr>
              <w:t>6</w:t>
            </w:r>
          </w:p>
        </w:tc>
        <w:tc>
          <w:tcPr>
            <w:tcW w:w="1134" w:type="dxa"/>
            <w:tcBorders>
              <w:top w:val="nil"/>
              <w:left w:val="single" w:sz="4" w:space="0" w:color="auto"/>
              <w:bottom w:val="single" w:sz="4" w:space="0" w:color="auto"/>
              <w:right w:val="single" w:sz="4" w:space="0" w:color="auto"/>
            </w:tcBorders>
            <w:shd w:val="clear" w:color="auto" w:fill="auto"/>
            <w:noWrap/>
            <w:hideMark/>
          </w:tcPr>
          <w:p w:rsidR="006634A9" w:rsidRPr="00962FA6" w:rsidRDefault="00962FA6" w:rsidP="00641034">
            <w:pPr>
              <w:tabs>
                <w:tab w:val="clear" w:pos="1260"/>
                <w:tab w:val="clear" w:pos="1980"/>
                <w:tab w:val="clear" w:pos="2700"/>
                <w:tab w:val="clear" w:pos="3420"/>
              </w:tabs>
              <w:jc w:val="right"/>
              <w:rPr>
                <w:rFonts w:cs="Arial"/>
                <w:szCs w:val="22"/>
              </w:rPr>
            </w:pPr>
            <w:r>
              <w:rPr>
                <w:rFonts w:cs="Arial"/>
                <w:szCs w:val="22"/>
              </w:rPr>
              <w:t>2</w:t>
            </w:r>
          </w:p>
        </w:tc>
      </w:tr>
      <w:tr w:rsidR="00A516D7" w:rsidRPr="00923197" w:rsidTr="002D18A1">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4A9" w:rsidRPr="00391687" w:rsidRDefault="006634A9" w:rsidP="008C45E6">
            <w:pPr>
              <w:tabs>
                <w:tab w:val="clear" w:pos="1260"/>
                <w:tab w:val="clear" w:pos="1980"/>
                <w:tab w:val="clear" w:pos="2700"/>
                <w:tab w:val="clear" w:pos="3420"/>
              </w:tabs>
              <w:jc w:val="left"/>
              <w:rPr>
                <w:rFonts w:cs="Arial"/>
                <w:b/>
                <w:bCs/>
                <w:szCs w:val="22"/>
              </w:rPr>
            </w:pPr>
            <w:r w:rsidRPr="00391687">
              <w:rPr>
                <w:rFonts w:cs="Arial"/>
                <w:b/>
                <w:bCs/>
                <w:szCs w:val="22"/>
              </w:rPr>
              <w:t>Net General Fund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34A9" w:rsidRPr="00A95B35" w:rsidRDefault="006634A9" w:rsidP="008C45E6">
            <w:pPr>
              <w:tabs>
                <w:tab w:val="clear" w:pos="1260"/>
                <w:tab w:val="clear" w:pos="1980"/>
                <w:tab w:val="clear" w:pos="2700"/>
                <w:tab w:val="clear" w:pos="3420"/>
              </w:tabs>
              <w:jc w:val="right"/>
              <w:rPr>
                <w:rFonts w:cs="Arial"/>
                <w:b/>
                <w:bCs/>
                <w:szCs w:val="22"/>
              </w:rPr>
            </w:pPr>
            <w:r w:rsidRPr="00A95B35">
              <w:rPr>
                <w:rFonts w:cs="Arial"/>
                <w:b/>
                <w:bCs/>
                <w:szCs w:val="22"/>
              </w:rPr>
              <w:t xml:space="preserve">10,775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34A9" w:rsidRPr="005E6029" w:rsidRDefault="006634A9" w:rsidP="005E6029">
            <w:pPr>
              <w:tabs>
                <w:tab w:val="clear" w:pos="1260"/>
                <w:tab w:val="clear" w:pos="1980"/>
                <w:tab w:val="clear" w:pos="2700"/>
                <w:tab w:val="clear" w:pos="3420"/>
              </w:tabs>
              <w:jc w:val="right"/>
              <w:rPr>
                <w:rFonts w:cs="Arial"/>
                <w:b/>
                <w:bCs/>
                <w:szCs w:val="22"/>
              </w:rPr>
            </w:pPr>
            <w:r w:rsidRPr="005E6029">
              <w:rPr>
                <w:rFonts w:cs="Arial"/>
                <w:b/>
                <w:bCs/>
                <w:szCs w:val="22"/>
              </w:rPr>
              <w:t>11,</w:t>
            </w:r>
            <w:r w:rsidR="005E6029" w:rsidRPr="005E6029">
              <w:rPr>
                <w:rFonts w:cs="Arial"/>
                <w:b/>
                <w:bCs/>
                <w:szCs w:val="22"/>
              </w:rPr>
              <w:t>619</w:t>
            </w:r>
          </w:p>
        </w:tc>
        <w:tc>
          <w:tcPr>
            <w:tcW w:w="1134" w:type="dxa"/>
            <w:tcBorders>
              <w:top w:val="single" w:sz="4" w:space="0" w:color="auto"/>
              <w:left w:val="nil"/>
              <w:bottom w:val="single" w:sz="4" w:space="0" w:color="auto"/>
              <w:right w:val="single" w:sz="4" w:space="0" w:color="auto"/>
            </w:tcBorders>
            <w:vAlign w:val="center"/>
          </w:tcPr>
          <w:p w:rsidR="006634A9" w:rsidRPr="00923197" w:rsidRDefault="003240CF" w:rsidP="003240CF">
            <w:pPr>
              <w:tabs>
                <w:tab w:val="clear" w:pos="1260"/>
                <w:tab w:val="clear" w:pos="1980"/>
                <w:tab w:val="clear" w:pos="2700"/>
                <w:tab w:val="clear" w:pos="3420"/>
              </w:tabs>
              <w:jc w:val="right"/>
              <w:rPr>
                <w:rFonts w:cs="Arial"/>
                <w:b/>
                <w:bCs/>
                <w:color w:val="365F91" w:themeColor="accent1" w:themeShade="BF"/>
                <w:szCs w:val="22"/>
              </w:rPr>
            </w:pPr>
            <w:r>
              <w:rPr>
                <w:rFonts w:cs="Arial"/>
                <w:b/>
                <w:bCs/>
                <w:szCs w:val="22"/>
              </w:rPr>
              <w:t>9</w:t>
            </w:r>
            <w:r w:rsidR="00E70EE6" w:rsidRPr="003240CF">
              <w:rPr>
                <w:rFonts w:cs="Arial"/>
                <w:b/>
                <w:bCs/>
                <w:szCs w:val="22"/>
              </w:rPr>
              <w:t>,</w:t>
            </w:r>
            <w:r>
              <w:rPr>
                <w:rFonts w:cs="Arial"/>
                <w:b/>
                <w:bCs/>
                <w:szCs w:val="22"/>
              </w:rPr>
              <w:t>064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4A9" w:rsidRPr="005314C1" w:rsidRDefault="005314C1" w:rsidP="00E70EE6">
            <w:pPr>
              <w:tabs>
                <w:tab w:val="clear" w:pos="1260"/>
                <w:tab w:val="clear" w:pos="1980"/>
                <w:tab w:val="clear" w:pos="2700"/>
                <w:tab w:val="clear" w:pos="3420"/>
              </w:tabs>
              <w:jc w:val="right"/>
              <w:rPr>
                <w:rFonts w:cs="Arial"/>
                <w:b/>
                <w:bCs/>
                <w:szCs w:val="22"/>
              </w:rPr>
            </w:pPr>
            <w:r>
              <w:rPr>
                <w:rFonts w:cs="Arial"/>
                <w:b/>
                <w:bCs/>
                <w:szCs w:val="22"/>
              </w:rPr>
              <w:t>11,612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34A9" w:rsidRPr="00962FA6" w:rsidRDefault="00962FA6" w:rsidP="00E70EE6">
            <w:pPr>
              <w:tabs>
                <w:tab w:val="clear" w:pos="1260"/>
                <w:tab w:val="clear" w:pos="1980"/>
                <w:tab w:val="clear" w:pos="2700"/>
                <w:tab w:val="clear" w:pos="3420"/>
              </w:tabs>
              <w:jc w:val="right"/>
              <w:rPr>
                <w:rFonts w:cs="Arial"/>
                <w:b/>
                <w:bCs/>
                <w:szCs w:val="22"/>
              </w:rPr>
            </w:pPr>
            <w:r w:rsidRPr="00962FA6">
              <w:rPr>
                <w:rFonts w:cs="Arial"/>
                <w:b/>
                <w:bCs/>
                <w:szCs w:val="22"/>
              </w:rPr>
              <w:t>(7)</w:t>
            </w:r>
          </w:p>
        </w:tc>
      </w:tr>
    </w:tbl>
    <w:p w:rsidR="006D4526" w:rsidRPr="00923197" w:rsidRDefault="006D4526" w:rsidP="00BD2BDD">
      <w:pPr>
        <w:ind w:left="1267" w:firstLine="9"/>
        <w:rPr>
          <w:rFonts w:cs="Arial"/>
          <w:color w:val="365F91" w:themeColor="accent1" w:themeShade="BF"/>
          <w:szCs w:val="22"/>
        </w:rPr>
      </w:pPr>
    </w:p>
    <w:p w:rsidR="006D4526" w:rsidRPr="00923197" w:rsidRDefault="006D4526" w:rsidP="00BD2BDD">
      <w:pPr>
        <w:ind w:left="1267" w:firstLine="9"/>
        <w:rPr>
          <w:rFonts w:cs="Arial"/>
          <w:color w:val="365F91" w:themeColor="accent1" w:themeShade="BF"/>
          <w:szCs w:val="22"/>
        </w:rPr>
      </w:pPr>
      <w:r w:rsidRPr="00391687">
        <w:rPr>
          <w:rFonts w:cs="Arial"/>
          <w:szCs w:val="22"/>
        </w:rPr>
        <w:t xml:space="preserve">To date the services </w:t>
      </w:r>
      <w:r w:rsidRPr="001028D0">
        <w:rPr>
          <w:rFonts w:cs="Arial"/>
          <w:szCs w:val="22"/>
        </w:rPr>
        <w:t xml:space="preserve">have spent </w:t>
      </w:r>
      <w:r w:rsidR="001028D0" w:rsidRPr="001028D0">
        <w:rPr>
          <w:rFonts w:cs="Arial"/>
          <w:szCs w:val="22"/>
        </w:rPr>
        <w:t>78</w:t>
      </w:r>
      <w:r w:rsidR="00341BBB" w:rsidRPr="001028D0">
        <w:rPr>
          <w:rFonts w:cs="Arial"/>
          <w:szCs w:val="22"/>
        </w:rPr>
        <w:t>.</w:t>
      </w:r>
      <w:r w:rsidR="001028D0" w:rsidRPr="001028D0">
        <w:rPr>
          <w:rFonts w:cs="Arial"/>
          <w:szCs w:val="22"/>
        </w:rPr>
        <w:t>0</w:t>
      </w:r>
      <w:r w:rsidRPr="001028D0">
        <w:rPr>
          <w:rFonts w:cs="Arial"/>
          <w:szCs w:val="22"/>
        </w:rPr>
        <w:t xml:space="preserve">% of </w:t>
      </w:r>
      <w:r w:rsidRPr="00391687">
        <w:rPr>
          <w:rFonts w:cs="Arial"/>
          <w:szCs w:val="22"/>
        </w:rPr>
        <w:t xml:space="preserve">their </w:t>
      </w:r>
      <w:r w:rsidR="00341BBB" w:rsidRPr="00391687">
        <w:rPr>
          <w:rFonts w:cs="Arial"/>
          <w:szCs w:val="22"/>
        </w:rPr>
        <w:t>late</w:t>
      </w:r>
      <w:r w:rsidRPr="00391687">
        <w:rPr>
          <w:rFonts w:cs="Arial"/>
          <w:szCs w:val="22"/>
        </w:rPr>
        <w:t>st budgets</w:t>
      </w:r>
      <w:r w:rsidR="00341BBB" w:rsidRPr="00391687">
        <w:rPr>
          <w:rFonts w:cs="Arial"/>
          <w:szCs w:val="22"/>
        </w:rPr>
        <w:t>.</w:t>
      </w:r>
    </w:p>
    <w:p w:rsidR="006D4526" w:rsidRPr="00923197" w:rsidRDefault="006D4526" w:rsidP="00BD2BDD">
      <w:pPr>
        <w:ind w:left="1267" w:firstLine="9"/>
        <w:rPr>
          <w:rFonts w:cs="Arial"/>
          <w:color w:val="365F91" w:themeColor="accent1" w:themeShade="BF"/>
          <w:szCs w:val="22"/>
        </w:rPr>
      </w:pPr>
    </w:p>
    <w:p w:rsidR="006239CF" w:rsidRPr="00923197" w:rsidRDefault="00636EFD" w:rsidP="00C22386">
      <w:pPr>
        <w:ind w:left="1276" w:hanging="1276"/>
        <w:rPr>
          <w:rFonts w:cs="Arial"/>
          <w:color w:val="365F91" w:themeColor="accent1" w:themeShade="BF"/>
          <w:szCs w:val="22"/>
        </w:rPr>
      </w:pPr>
      <w:r>
        <w:rPr>
          <w:rFonts w:cs="Arial"/>
          <w:szCs w:val="22"/>
        </w:rPr>
        <w:t>2.6</w:t>
      </w:r>
      <w:r w:rsidR="00C22386" w:rsidRPr="00391687">
        <w:rPr>
          <w:rFonts w:cs="Arial"/>
          <w:szCs w:val="22"/>
        </w:rPr>
        <w:tab/>
      </w:r>
      <w:r w:rsidR="006239CF" w:rsidRPr="00391687">
        <w:rPr>
          <w:rFonts w:cs="Arial"/>
          <w:szCs w:val="22"/>
        </w:rPr>
        <w:t xml:space="preserve">The trend </w:t>
      </w:r>
      <w:r w:rsidR="003A19C3" w:rsidRPr="00391687">
        <w:rPr>
          <w:rFonts w:cs="Arial"/>
          <w:szCs w:val="22"/>
        </w:rPr>
        <w:t>over the financial year (2016/17) is plotted</w:t>
      </w:r>
      <w:r w:rsidR="006239CF" w:rsidRPr="00391687">
        <w:rPr>
          <w:rFonts w:cs="Arial"/>
          <w:szCs w:val="22"/>
        </w:rPr>
        <w:t xml:space="preserve"> </w:t>
      </w:r>
      <w:r w:rsidR="00D27EFC" w:rsidRPr="00391687">
        <w:rPr>
          <w:rFonts w:cs="Arial"/>
          <w:szCs w:val="22"/>
        </w:rPr>
        <w:t>o</w:t>
      </w:r>
      <w:r w:rsidR="006239CF" w:rsidRPr="00391687">
        <w:rPr>
          <w:rFonts w:cs="Arial"/>
          <w:szCs w:val="22"/>
        </w:rPr>
        <w:t>n the graph below;</w:t>
      </w:r>
    </w:p>
    <w:p w:rsidR="00C22386" w:rsidRPr="00923197" w:rsidRDefault="00C22386" w:rsidP="00C22386">
      <w:pPr>
        <w:pStyle w:val="ListParagraph"/>
        <w:ind w:left="360"/>
        <w:rPr>
          <w:rFonts w:cs="Arial"/>
          <w:color w:val="365F91" w:themeColor="accent1" w:themeShade="BF"/>
          <w:szCs w:val="22"/>
        </w:rPr>
      </w:pPr>
    </w:p>
    <w:p w:rsidR="006239CF" w:rsidRPr="00923197" w:rsidRDefault="00F04C17" w:rsidP="003A19C3">
      <w:pPr>
        <w:ind w:left="1267" w:firstLine="9"/>
        <w:rPr>
          <w:rFonts w:cs="Arial"/>
          <w:color w:val="365F91" w:themeColor="accent1" w:themeShade="BF"/>
          <w:szCs w:val="22"/>
        </w:rPr>
      </w:pPr>
      <w:r w:rsidRPr="00923197">
        <w:rPr>
          <w:rFonts w:cs="Arial"/>
          <w:noProof/>
          <w:color w:val="365F91" w:themeColor="accent1" w:themeShade="BF"/>
          <w:szCs w:val="22"/>
        </w:rPr>
        <w:drawing>
          <wp:inline distT="0" distB="0" distL="0" distR="0" wp14:anchorId="37D69DEA" wp14:editId="3F74DB1F">
            <wp:extent cx="4929808" cy="2122999"/>
            <wp:effectExtent l="0" t="0" r="2349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39CF" w:rsidRPr="00923197" w:rsidRDefault="006239CF" w:rsidP="006E632E">
      <w:pPr>
        <w:ind w:left="1267" w:hanging="1267"/>
        <w:rPr>
          <w:rFonts w:cs="Arial"/>
          <w:color w:val="365F91" w:themeColor="accent1" w:themeShade="BF"/>
          <w:szCs w:val="22"/>
        </w:rPr>
      </w:pPr>
    </w:p>
    <w:p w:rsidR="00AB0AE0" w:rsidRPr="00391687" w:rsidRDefault="00AB0AE0" w:rsidP="006E632E">
      <w:pPr>
        <w:ind w:left="1267" w:hanging="1267"/>
        <w:rPr>
          <w:rFonts w:cs="Arial"/>
          <w:szCs w:val="22"/>
        </w:rPr>
      </w:pPr>
      <w:r w:rsidRPr="00391687">
        <w:rPr>
          <w:rFonts w:cs="Arial"/>
          <w:szCs w:val="22"/>
        </w:rPr>
        <w:t>2.</w:t>
      </w:r>
      <w:r w:rsidR="00636EFD">
        <w:rPr>
          <w:rFonts w:cs="Arial"/>
          <w:szCs w:val="22"/>
        </w:rPr>
        <w:t>7</w:t>
      </w:r>
      <w:r w:rsidRPr="00391687">
        <w:rPr>
          <w:rFonts w:cs="Arial"/>
          <w:szCs w:val="22"/>
        </w:rPr>
        <w:tab/>
      </w:r>
      <w:r w:rsidR="00C63536" w:rsidRPr="00391687">
        <w:rPr>
          <w:rFonts w:cs="Arial"/>
          <w:szCs w:val="22"/>
        </w:rPr>
        <w:t>The effect of the variance</w:t>
      </w:r>
      <w:r w:rsidR="003D7268" w:rsidRPr="00391687">
        <w:rPr>
          <w:rFonts w:cs="Arial"/>
          <w:szCs w:val="22"/>
        </w:rPr>
        <w:t>s</w:t>
      </w:r>
      <w:r w:rsidR="00C63536" w:rsidRPr="00391687">
        <w:rPr>
          <w:rFonts w:cs="Arial"/>
          <w:szCs w:val="22"/>
        </w:rPr>
        <w:t xml:space="preserve"> on the Council’s</w:t>
      </w:r>
      <w:r w:rsidR="008A05B6">
        <w:rPr>
          <w:rFonts w:cs="Arial"/>
          <w:szCs w:val="22"/>
        </w:rPr>
        <w:t xml:space="preserve"> </w:t>
      </w:r>
      <w:r w:rsidRPr="00391687">
        <w:rPr>
          <w:rFonts w:cs="Arial"/>
          <w:szCs w:val="22"/>
        </w:rPr>
        <w:t>general fund balance over the medium term is shown in the table below</w:t>
      </w:r>
      <w:r w:rsidR="002A370A" w:rsidRPr="00391687">
        <w:rPr>
          <w:rFonts w:cs="Arial"/>
          <w:szCs w:val="22"/>
        </w:rPr>
        <w:t>.</w:t>
      </w:r>
    </w:p>
    <w:p w:rsidR="00AB0AE0" w:rsidRPr="00923197" w:rsidRDefault="00AB0AE0" w:rsidP="006E632E">
      <w:pPr>
        <w:ind w:left="1267" w:hanging="1267"/>
        <w:rPr>
          <w:rFonts w:cs="Arial"/>
          <w:color w:val="365F91" w:themeColor="accent1" w:themeShade="BF"/>
          <w:szCs w:val="22"/>
        </w:rPr>
      </w:pPr>
    </w:p>
    <w:tbl>
      <w:tblPr>
        <w:tblStyle w:val="TableGrid"/>
        <w:tblW w:w="0" w:type="auto"/>
        <w:tblInd w:w="1267" w:type="dxa"/>
        <w:tblLook w:val="04A0" w:firstRow="1" w:lastRow="0" w:firstColumn="1" w:lastColumn="0" w:noHBand="0" w:noVBand="1"/>
      </w:tblPr>
      <w:tblGrid>
        <w:gridCol w:w="2329"/>
        <w:gridCol w:w="1227"/>
        <w:gridCol w:w="1287"/>
        <w:gridCol w:w="1287"/>
        <w:gridCol w:w="1287"/>
        <w:gridCol w:w="1287"/>
      </w:tblGrid>
      <w:tr w:rsidR="0076246C" w:rsidRPr="00923197" w:rsidTr="00B52AC1">
        <w:trPr>
          <w:trHeight w:val="575"/>
        </w:trPr>
        <w:tc>
          <w:tcPr>
            <w:tcW w:w="0" w:type="auto"/>
            <w:vMerge w:val="restart"/>
          </w:tcPr>
          <w:p w:rsidR="00F257E9" w:rsidRPr="00B52AC1" w:rsidRDefault="00F257E9" w:rsidP="00C63536">
            <w:pPr>
              <w:jc w:val="center"/>
              <w:rPr>
                <w:rFonts w:cs="Arial"/>
                <w:szCs w:val="22"/>
              </w:rPr>
            </w:pPr>
          </w:p>
          <w:p w:rsidR="00F257E9" w:rsidRPr="00B52AC1" w:rsidRDefault="00F257E9" w:rsidP="00194A36">
            <w:pPr>
              <w:jc w:val="center"/>
              <w:rPr>
                <w:rFonts w:cs="Arial"/>
                <w:szCs w:val="22"/>
              </w:rPr>
            </w:pPr>
          </w:p>
          <w:p w:rsidR="00F257E9" w:rsidRPr="00B52AC1" w:rsidRDefault="00F257E9" w:rsidP="00194A36">
            <w:pPr>
              <w:jc w:val="center"/>
              <w:rPr>
                <w:rFonts w:cs="Arial"/>
                <w:szCs w:val="22"/>
              </w:rPr>
            </w:pPr>
            <w:r w:rsidRPr="00B52AC1">
              <w:rPr>
                <w:rFonts w:cs="Arial"/>
                <w:szCs w:val="22"/>
              </w:rPr>
              <w:t>Movement  on            General Fund</w:t>
            </w:r>
          </w:p>
        </w:tc>
        <w:tc>
          <w:tcPr>
            <w:tcW w:w="0" w:type="auto"/>
            <w:vAlign w:val="center"/>
          </w:tcPr>
          <w:p w:rsidR="00F257E9" w:rsidRPr="00B52AC1" w:rsidRDefault="00F257E9" w:rsidP="00D37698">
            <w:pPr>
              <w:jc w:val="center"/>
              <w:rPr>
                <w:rFonts w:cs="Arial"/>
                <w:b/>
                <w:szCs w:val="22"/>
              </w:rPr>
            </w:pPr>
            <w:r w:rsidRPr="00B52AC1">
              <w:rPr>
                <w:rFonts w:cs="Arial"/>
                <w:b/>
                <w:szCs w:val="22"/>
              </w:rPr>
              <w:t>2016/17</w:t>
            </w:r>
          </w:p>
        </w:tc>
        <w:tc>
          <w:tcPr>
            <w:tcW w:w="0" w:type="auto"/>
            <w:vAlign w:val="center"/>
          </w:tcPr>
          <w:p w:rsidR="00F257E9" w:rsidRPr="00B52AC1" w:rsidRDefault="00F257E9" w:rsidP="00D37698">
            <w:pPr>
              <w:jc w:val="center"/>
              <w:rPr>
                <w:rFonts w:cs="Arial"/>
                <w:b/>
                <w:szCs w:val="22"/>
              </w:rPr>
            </w:pPr>
            <w:r w:rsidRPr="00B52AC1">
              <w:rPr>
                <w:rFonts w:cs="Arial"/>
                <w:b/>
                <w:szCs w:val="22"/>
              </w:rPr>
              <w:t>2016/17</w:t>
            </w:r>
          </w:p>
        </w:tc>
        <w:tc>
          <w:tcPr>
            <w:tcW w:w="0" w:type="auto"/>
            <w:vAlign w:val="center"/>
          </w:tcPr>
          <w:p w:rsidR="00F257E9" w:rsidRPr="00B52AC1" w:rsidRDefault="00F257E9" w:rsidP="00D37698">
            <w:pPr>
              <w:jc w:val="center"/>
              <w:rPr>
                <w:rFonts w:cs="Arial"/>
                <w:b/>
                <w:szCs w:val="22"/>
              </w:rPr>
            </w:pPr>
            <w:r w:rsidRPr="00B52AC1">
              <w:rPr>
                <w:rFonts w:cs="Arial"/>
                <w:b/>
                <w:szCs w:val="22"/>
              </w:rPr>
              <w:t>2017/18</w:t>
            </w:r>
          </w:p>
        </w:tc>
        <w:tc>
          <w:tcPr>
            <w:tcW w:w="0" w:type="auto"/>
            <w:vAlign w:val="center"/>
          </w:tcPr>
          <w:p w:rsidR="00F257E9" w:rsidRPr="00391687" w:rsidRDefault="00F257E9" w:rsidP="00D37698">
            <w:pPr>
              <w:jc w:val="center"/>
              <w:rPr>
                <w:rFonts w:cs="Arial"/>
                <w:b/>
                <w:szCs w:val="22"/>
              </w:rPr>
            </w:pPr>
          </w:p>
          <w:p w:rsidR="00F257E9" w:rsidRPr="00391687" w:rsidRDefault="00F257E9" w:rsidP="00D37698">
            <w:pPr>
              <w:jc w:val="center"/>
              <w:rPr>
                <w:rFonts w:cs="Arial"/>
                <w:b/>
                <w:szCs w:val="22"/>
              </w:rPr>
            </w:pPr>
            <w:r w:rsidRPr="00391687">
              <w:rPr>
                <w:rFonts w:cs="Arial"/>
                <w:b/>
                <w:szCs w:val="22"/>
              </w:rPr>
              <w:t>2018/19</w:t>
            </w:r>
          </w:p>
          <w:p w:rsidR="00F257E9" w:rsidRPr="00391687" w:rsidRDefault="00F257E9" w:rsidP="00D37698">
            <w:pPr>
              <w:jc w:val="center"/>
              <w:rPr>
                <w:rFonts w:cs="Arial"/>
                <w:b/>
                <w:szCs w:val="22"/>
              </w:rPr>
            </w:pPr>
          </w:p>
        </w:tc>
        <w:tc>
          <w:tcPr>
            <w:tcW w:w="0" w:type="auto"/>
            <w:vAlign w:val="center"/>
          </w:tcPr>
          <w:p w:rsidR="00F257E9" w:rsidRPr="00391687" w:rsidRDefault="00F257E9" w:rsidP="000737C5">
            <w:pPr>
              <w:jc w:val="center"/>
              <w:rPr>
                <w:rFonts w:cs="Arial"/>
                <w:b/>
                <w:szCs w:val="22"/>
              </w:rPr>
            </w:pPr>
          </w:p>
          <w:p w:rsidR="00F257E9" w:rsidRPr="00391687" w:rsidRDefault="00F257E9" w:rsidP="000737C5">
            <w:pPr>
              <w:jc w:val="center"/>
              <w:rPr>
                <w:rFonts w:cs="Arial"/>
                <w:b/>
                <w:szCs w:val="22"/>
              </w:rPr>
            </w:pPr>
            <w:r w:rsidRPr="00391687">
              <w:rPr>
                <w:rFonts w:cs="Arial"/>
                <w:b/>
                <w:szCs w:val="22"/>
              </w:rPr>
              <w:t>201</w:t>
            </w:r>
            <w:r>
              <w:rPr>
                <w:rFonts w:cs="Arial"/>
                <w:b/>
                <w:szCs w:val="22"/>
              </w:rPr>
              <w:t>9</w:t>
            </w:r>
            <w:r w:rsidRPr="00391687">
              <w:rPr>
                <w:rFonts w:cs="Arial"/>
                <w:b/>
                <w:szCs w:val="22"/>
              </w:rPr>
              <w:t>/</w:t>
            </w:r>
            <w:r>
              <w:rPr>
                <w:rFonts w:cs="Arial"/>
                <w:b/>
                <w:szCs w:val="22"/>
              </w:rPr>
              <w:t>20</w:t>
            </w:r>
          </w:p>
          <w:p w:rsidR="00F257E9" w:rsidRPr="00391687" w:rsidRDefault="00F257E9" w:rsidP="000737C5">
            <w:pPr>
              <w:jc w:val="center"/>
              <w:rPr>
                <w:rFonts w:cs="Arial"/>
                <w:b/>
                <w:szCs w:val="22"/>
              </w:rPr>
            </w:pPr>
          </w:p>
        </w:tc>
      </w:tr>
      <w:tr w:rsidR="0076246C" w:rsidRPr="00923197" w:rsidTr="00B52AC1">
        <w:tc>
          <w:tcPr>
            <w:tcW w:w="0" w:type="auto"/>
            <w:vMerge/>
          </w:tcPr>
          <w:p w:rsidR="00F257E9" w:rsidRPr="00B52AC1" w:rsidRDefault="00F257E9" w:rsidP="006E632E">
            <w:pPr>
              <w:rPr>
                <w:rFonts w:cs="Arial"/>
                <w:szCs w:val="22"/>
              </w:rPr>
            </w:pPr>
          </w:p>
        </w:tc>
        <w:tc>
          <w:tcPr>
            <w:tcW w:w="0" w:type="auto"/>
          </w:tcPr>
          <w:p w:rsidR="00F257E9" w:rsidRPr="00B52AC1" w:rsidRDefault="00F257E9" w:rsidP="00BE0A3D">
            <w:pPr>
              <w:jc w:val="center"/>
              <w:rPr>
                <w:rFonts w:cs="Arial"/>
                <w:b/>
                <w:sz w:val="20"/>
              </w:rPr>
            </w:pPr>
            <w:r>
              <w:rPr>
                <w:rFonts w:cs="Arial"/>
                <w:b/>
                <w:sz w:val="20"/>
              </w:rPr>
              <w:t>Revised Budget</w:t>
            </w:r>
          </w:p>
        </w:tc>
        <w:tc>
          <w:tcPr>
            <w:tcW w:w="0" w:type="auto"/>
          </w:tcPr>
          <w:p w:rsidR="00F257E9" w:rsidRPr="00B52AC1" w:rsidRDefault="00F257E9" w:rsidP="00BE0A3D">
            <w:pPr>
              <w:jc w:val="center"/>
              <w:rPr>
                <w:rFonts w:cs="Arial"/>
                <w:b/>
                <w:sz w:val="20"/>
              </w:rPr>
            </w:pPr>
            <w:r w:rsidRPr="00B52AC1">
              <w:rPr>
                <w:rFonts w:cs="Arial"/>
                <w:b/>
                <w:sz w:val="20"/>
              </w:rPr>
              <w:t>Outturn Forecast</w:t>
            </w:r>
          </w:p>
        </w:tc>
        <w:tc>
          <w:tcPr>
            <w:tcW w:w="0" w:type="auto"/>
          </w:tcPr>
          <w:p w:rsidR="00F257E9" w:rsidRPr="00B52AC1" w:rsidRDefault="00F257E9" w:rsidP="00BE0A3D">
            <w:pPr>
              <w:jc w:val="center"/>
              <w:rPr>
                <w:rFonts w:cs="Arial"/>
                <w:b/>
                <w:sz w:val="20"/>
              </w:rPr>
            </w:pPr>
            <w:r w:rsidRPr="00B52AC1">
              <w:rPr>
                <w:rFonts w:cs="Arial"/>
                <w:b/>
                <w:sz w:val="20"/>
              </w:rPr>
              <w:t>Outturn Forecast</w:t>
            </w:r>
          </w:p>
        </w:tc>
        <w:tc>
          <w:tcPr>
            <w:tcW w:w="0" w:type="auto"/>
          </w:tcPr>
          <w:p w:rsidR="00F257E9" w:rsidRPr="00B52AC1" w:rsidRDefault="00F257E9" w:rsidP="00BE0A3D">
            <w:pPr>
              <w:jc w:val="center"/>
              <w:rPr>
                <w:rFonts w:cs="Arial"/>
                <w:b/>
                <w:sz w:val="20"/>
              </w:rPr>
            </w:pPr>
            <w:r w:rsidRPr="00B52AC1">
              <w:rPr>
                <w:rFonts w:cs="Arial"/>
                <w:b/>
                <w:sz w:val="20"/>
              </w:rPr>
              <w:t>Outturn Forecast</w:t>
            </w:r>
          </w:p>
        </w:tc>
        <w:tc>
          <w:tcPr>
            <w:tcW w:w="0" w:type="auto"/>
          </w:tcPr>
          <w:p w:rsidR="00F257E9" w:rsidRPr="00B52AC1" w:rsidRDefault="00F257E9" w:rsidP="000737C5">
            <w:pPr>
              <w:jc w:val="center"/>
              <w:rPr>
                <w:rFonts w:cs="Arial"/>
                <w:b/>
                <w:sz w:val="20"/>
              </w:rPr>
            </w:pPr>
            <w:r w:rsidRPr="00B52AC1">
              <w:rPr>
                <w:rFonts w:cs="Arial"/>
                <w:b/>
                <w:sz w:val="20"/>
              </w:rPr>
              <w:t>Outturn Forecast</w:t>
            </w:r>
          </w:p>
        </w:tc>
      </w:tr>
      <w:tr w:rsidR="0076246C" w:rsidRPr="00923197" w:rsidTr="00B52AC1">
        <w:tc>
          <w:tcPr>
            <w:tcW w:w="0" w:type="auto"/>
            <w:vMerge/>
          </w:tcPr>
          <w:p w:rsidR="00F257E9" w:rsidRPr="00B52AC1" w:rsidRDefault="00F257E9" w:rsidP="006E632E">
            <w:pPr>
              <w:rPr>
                <w:rFonts w:cs="Arial"/>
                <w:szCs w:val="22"/>
              </w:rPr>
            </w:pPr>
          </w:p>
        </w:tc>
        <w:tc>
          <w:tcPr>
            <w:tcW w:w="0" w:type="auto"/>
          </w:tcPr>
          <w:p w:rsidR="00F257E9" w:rsidRPr="00B52AC1" w:rsidRDefault="00F257E9" w:rsidP="004F0D6A">
            <w:pPr>
              <w:jc w:val="center"/>
              <w:rPr>
                <w:rFonts w:cs="Arial"/>
                <w:b/>
                <w:szCs w:val="22"/>
              </w:rPr>
            </w:pPr>
            <w:r w:rsidRPr="00B52AC1">
              <w:rPr>
                <w:rFonts w:cs="Arial"/>
                <w:b/>
                <w:szCs w:val="22"/>
              </w:rPr>
              <w:t>£000</w:t>
            </w:r>
          </w:p>
        </w:tc>
        <w:tc>
          <w:tcPr>
            <w:tcW w:w="0" w:type="auto"/>
          </w:tcPr>
          <w:p w:rsidR="00F257E9" w:rsidRPr="00B52AC1" w:rsidRDefault="00F257E9" w:rsidP="004F0D6A">
            <w:pPr>
              <w:jc w:val="center"/>
              <w:rPr>
                <w:rFonts w:cs="Arial"/>
                <w:b/>
                <w:szCs w:val="22"/>
              </w:rPr>
            </w:pPr>
            <w:r w:rsidRPr="00B52AC1">
              <w:rPr>
                <w:rFonts w:cs="Arial"/>
                <w:b/>
                <w:szCs w:val="22"/>
              </w:rPr>
              <w:t>£000</w:t>
            </w:r>
          </w:p>
        </w:tc>
        <w:tc>
          <w:tcPr>
            <w:tcW w:w="0" w:type="auto"/>
          </w:tcPr>
          <w:p w:rsidR="00F257E9" w:rsidRPr="00B52AC1" w:rsidRDefault="00F257E9" w:rsidP="00C63536">
            <w:pPr>
              <w:jc w:val="center"/>
              <w:rPr>
                <w:rFonts w:cs="Arial"/>
                <w:b/>
                <w:szCs w:val="22"/>
              </w:rPr>
            </w:pPr>
            <w:r w:rsidRPr="00B52AC1">
              <w:rPr>
                <w:rFonts w:cs="Arial"/>
                <w:b/>
                <w:szCs w:val="22"/>
              </w:rPr>
              <w:t>£000</w:t>
            </w:r>
          </w:p>
        </w:tc>
        <w:tc>
          <w:tcPr>
            <w:tcW w:w="0" w:type="auto"/>
          </w:tcPr>
          <w:p w:rsidR="00F257E9" w:rsidRPr="00391687" w:rsidRDefault="00F257E9" w:rsidP="004F0D6A">
            <w:pPr>
              <w:jc w:val="center"/>
              <w:rPr>
                <w:rFonts w:cs="Arial"/>
                <w:b/>
                <w:szCs w:val="22"/>
              </w:rPr>
            </w:pPr>
            <w:r w:rsidRPr="00391687">
              <w:rPr>
                <w:rFonts w:cs="Arial"/>
                <w:b/>
                <w:szCs w:val="22"/>
              </w:rPr>
              <w:t>£000</w:t>
            </w:r>
          </w:p>
        </w:tc>
        <w:tc>
          <w:tcPr>
            <w:tcW w:w="0" w:type="auto"/>
          </w:tcPr>
          <w:p w:rsidR="00F257E9" w:rsidRPr="00391687" w:rsidRDefault="00F257E9" w:rsidP="000737C5">
            <w:pPr>
              <w:jc w:val="center"/>
              <w:rPr>
                <w:rFonts w:cs="Arial"/>
                <w:b/>
                <w:szCs w:val="22"/>
              </w:rPr>
            </w:pPr>
            <w:r w:rsidRPr="00391687">
              <w:rPr>
                <w:rFonts w:cs="Arial"/>
                <w:b/>
                <w:szCs w:val="22"/>
              </w:rPr>
              <w:t>£000</w:t>
            </w:r>
          </w:p>
        </w:tc>
      </w:tr>
      <w:tr w:rsidR="0076246C" w:rsidRPr="00923197" w:rsidTr="00B52AC1">
        <w:tc>
          <w:tcPr>
            <w:tcW w:w="0" w:type="auto"/>
          </w:tcPr>
          <w:p w:rsidR="00F257E9" w:rsidRPr="00B52AC1" w:rsidRDefault="00F257E9" w:rsidP="008A05B6">
            <w:pPr>
              <w:jc w:val="left"/>
              <w:rPr>
                <w:rFonts w:cs="Arial"/>
                <w:szCs w:val="22"/>
              </w:rPr>
            </w:pPr>
            <w:r w:rsidRPr="00B52AC1">
              <w:rPr>
                <w:rFonts w:cs="Arial"/>
                <w:szCs w:val="22"/>
              </w:rPr>
              <w:t>Balance B/</w:t>
            </w:r>
            <w:proofErr w:type="spellStart"/>
            <w:r w:rsidRPr="00B52AC1">
              <w:rPr>
                <w:rFonts w:cs="Arial"/>
                <w:szCs w:val="22"/>
              </w:rPr>
              <w:t>F</w:t>
            </w:r>
            <w:r w:rsidR="008A05B6">
              <w:rPr>
                <w:rFonts w:cs="Arial"/>
                <w:szCs w:val="22"/>
              </w:rPr>
              <w:t>wd</w:t>
            </w:r>
            <w:proofErr w:type="spellEnd"/>
          </w:p>
        </w:tc>
        <w:tc>
          <w:tcPr>
            <w:tcW w:w="0" w:type="auto"/>
          </w:tcPr>
          <w:p w:rsidR="00F257E9" w:rsidRPr="00AC071D" w:rsidRDefault="00F257E9" w:rsidP="00C63536">
            <w:pPr>
              <w:jc w:val="right"/>
              <w:rPr>
                <w:rFonts w:cs="Arial"/>
                <w:color w:val="000000" w:themeColor="text1"/>
                <w:szCs w:val="22"/>
              </w:rPr>
            </w:pPr>
            <w:r w:rsidRPr="00AC071D">
              <w:rPr>
                <w:rFonts w:cs="Arial"/>
                <w:color w:val="000000" w:themeColor="text1"/>
                <w:szCs w:val="22"/>
              </w:rPr>
              <w:t>(4,396)</w:t>
            </w:r>
          </w:p>
        </w:tc>
        <w:tc>
          <w:tcPr>
            <w:tcW w:w="0" w:type="auto"/>
          </w:tcPr>
          <w:p w:rsidR="00F257E9" w:rsidRPr="00054B4A" w:rsidRDefault="00F257E9" w:rsidP="0015440F">
            <w:pPr>
              <w:jc w:val="right"/>
              <w:rPr>
                <w:rFonts w:cs="Arial"/>
                <w:szCs w:val="22"/>
              </w:rPr>
            </w:pPr>
            <w:r w:rsidRPr="00054B4A">
              <w:rPr>
                <w:rFonts w:cs="Arial"/>
                <w:szCs w:val="22"/>
              </w:rPr>
              <w:t>(4,396)</w:t>
            </w:r>
          </w:p>
        </w:tc>
        <w:tc>
          <w:tcPr>
            <w:tcW w:w="0" w:type="auto"/>
          </w:tcPr>
          <w:p w:rsidR="00F257E9" w:rsidRPr="00054B4A" w:rsidRDefault="00F257E9" w:rsidP="0076246C">
            <w:pPr>
              <w:jc w:val="right"/>
              <w:rPr>
                <w:rFonts w:cs="Arial"/>
                <w:szCs w:val="22"/>
              </w:rPr>
            </w:pPr>
            <w:r w:rsidRPr="00054B4A">
              <w:rPr>
                <w:rFonts w:cs="Arial"/>
                <w:szCs w:val="22"/>
              </w:rPr>
              <w:t>(3,</w:t>
            </w:r>
            <w:r w:rsidR="0076246C" w:rsidRPr="00054B4A">
              <w:rPr>
                <w:rFonts w:cs="Arial"/>
                <w:szCs w:val="22"/>
              </w:rPr>
              <w:t>719</w:t>
            </w:r>
            <w:r w:rsidRPr="00054B4A">
              <w:rPr>
                <w:rFonts w:cs="Arial"/>
                <w:szCs w:val="22"/>
              </w:rPr>
              <w:t>)</w:t>
            </w:r>
          </w:p>
        </w:tc>
        <w:tc>
          <w:tcPr>
            <w:tcW w:w="0" w:type="auto"/>
          </w:tcPr>
          <w:p w:rsidR="00F257E9" w:rsidRPr="00054B4A" w:rsidRDefault="0076246C" w:rsidP="0076246C">
            <w:pPr>
              <w:jc w:val="right"/>
              <w:rPr>
                <w:rFonts w:cs="Arial"/>
                <w:szCs w:val="22"/>
              </w:rPr>
            </w:pPr>
            <w:r w:rsidRPr="00054B4A">
              <w:rPr>
                <w:rFonts w:cs="Arial"/>
                <w:szCs w:val="22"/>
              </w:rPr>
              <w:t>(3,184)</w:t>
            </w:r>
          </w:p>
        </w:tc>
        <w:tc>
          <w:tcPr>
            <w:tcW w:w="0" w:type="auto"/>
          </w:tcPr>
          <w:p w:rsidR="00F257E9" w:rsidRPr="00054B4A" w:rsidRDefault="0076246C" w:rsidP="00B52AC1">
            <w:pPr>
              <w:jc w:val="right"/>
              <w:rPr>
                <w:rFonts w:cs="Arial"/>
                <w:szCs w:val="22"/>
              </w:rPr>
            </w:pPr>
            <w:r w:rsidRPr="00054B4A">
              <w:rPr>
                <w:rFonts w:cs="Arial"/>
                <w:szCs w:val="22"/>
              </w:rPr>
              <w:t>(3,414)</w:t>
            </w:r>
          </w:p>
        </w:tc>
      </w:tr>
      <w:tr w:rsidR="0076246C" w:rsidRPr="00923197" w:rsidTr="00B52AC1">
        <w:tc>
          <w:tcPr>
            <w:tcW w:w="0" w:type="auto"/>
          </w:tcPr>
          <w:p w:rsidR="00F257E9" w:rsidRPr="00B52AC1" w:rsidRDefault="00F257E9" w:rsidP="00194A36">
            <w:pPr>
              <w:jc w:val="left"/>
              <w:rPr>
                <w:rFonts w:cs="Arial"/>
                <w:szCs w:val="22"/>
              </w:rPr>
            </w:pPr>
            <w:r w:rsidRPr="00B52AC1">
              <w:rPr>
                <w:rFonts w:cs="Arial"/>
                <w:szCs w:val="22"/>
              </w:rPr>
              <w:t>(Surplus)/deficit for year</w:t>
            </w:r>
          </w:p>
        </w:tc>
        <w:tc>
          <w:tcPr>
            <w:tcW w:w="0" w:type="auto"/>
          </w:tcPr>
          <w:p w:rsidR="00F257E9" w:rsidRPr="00FB6FE1" w:rsidRDefault="0076246C" w:rsidP="00F257E9">
            <w:pPr>
              <w:jc w:val="right"/>
              <w:rPr>
                <w:rFonts w:cs="Arial"/>
                <w:szCs w:val="22"/>
              </w:rPr>
            </w:pPr>
            <w:r w:rsidRPr="00FB6FE1">
              <w:rPr>
                <w:rFonts w:cs="Arial"/>
                <w:szCs w:val="22"/>
              </w:rPr>
              <w:t>684</w:t>
            </w:r>
          </w:p>
        </w:tc>
        <w:tc>
          <w:tcPr>
            <w:tcW w:w="0" w:type="auto"/>
          </w:tcPr>
          <w:p w:rsidR="00F257E9" w:rsidRPr="00054B4A" w:rsidRDefault="0076246C" w:rsidP="00F257E9">
            <w:pPr>
              <w:jc w:val="right"/>
              <w:rPr>
                <w:rFonts w:cs="Arial"/>
                <w:szCs w:val="22"/>
              </w:rPr>
            </w:pPr>
            <w:r w:rsidRPr="00054B4A">
              <w:rPr>
                <w:rFonts w:cs="Arial"/>
                <w:szCs w:val="22"/>
              </w:rPr>
              <w:t>677</w:t>
            </w:r>
          </w:p>
        </w:tc>
        <w:tc>
          <w:tcPr>
            <w:tcW w:w="0" w:type="auto"/>
          </w:tcPr>
          <w:p w:rsidR="00F257E9" w:rsidRPr="00054B4A" w:rsidRDefault="0076246C" w:rsidP="00A63DE4">
            <w:pPr>
              <w:jc w:val="right"/>
              <w:rPr>
                <w:rFonts w:cs="Arial"/>
                <w:szCs w:val="22"/>
              </w:rPr>
            </w:pPr>
            <w:r w:rsidRPr="00054B4A">
              <w:rPr>
                <w:rFonts w:cs="Arial"/>
                <w:szCs w:val="22"/>
              </w:rPr>
              <w:t>535</w:t>
            </w:r>
          </w:p>
        </w:tc>
        <w:tc>
          <w:tcPr>
            <w:tcW w:w="0" w:type="auto"/>
          </w:tcPr>
          <w:p w:rsidR="00F257E9" w:rsidRPr="00054B4A" w:rsidRDefault="0076246C" w:rsidP="00A63DE4">
            <w:pPr>
              <w:jc w:val="right"/>
              <w:rPr>
                <w:rFonts w:cs="Arial"/>
                <w:szCs w:val="22"/>
              </w:rPr>
            </w:pPr>
            <w:r w:rsidRPr="00054B4A">
              <w:rPr>
                <w:rFonts w:cs="Arial"/>
                <w:szCs w:val="22"/>
              </w:rPr>
              <w:t>(230)</w:t>
            </w:r>
          </w:p>
        </w:tc>
        <w:tc>
          <w:tcPr>
            <w:tcW w:w="0" w:type="auto"/>
          </w:tcPr>
          <w:p w:rsidR="00F257E9" w:rsidRPr="00054B4A" w:rsidRDefault="0076246C" w:rsidP="000737C5">
            <w:pPr>
              <w:jc w:val="right"/>
              <w:rPr>
                <w:rFonts w:cs="Arial"/>
                <w:szCs w:val="22"/>
              </w:rPr>
            </w:pPr>
            <w:r w:rsidRPr="00054B4A">
              <w:rPr>
                <w:rFonts w:cs="Arial"/>
                <w:szCs w:val="22"/>
              </w:rPr>
              <w:t>(16)</w:t>
            </w:r>
          </w:p>
        </w:tc>
      </w:tr>
      <w:tr w:rsidR="0076246C" w:rsidRPr="00923197" w:rsidTr="00B52AC1">
        <w:tc>
          <w:tcPr>
            <w:tcW w:w="0" w:type="auto"/>
          </w:tcPr>
          <w:p w:rsidR="00F257E9" w:rsidRPr="00B52AC1" w:rsidRDefault="00F257E9" w:rsidP="001D686A">
            <w:pPr>
              <w:jc w:val="left"/>
              <w:rPr>
                <w:rFonts w:cs="Arial"/>
                <w:szCs w:val="22"/>
              </w:rPr>
            </w:pPr>
            <w:r w:rsidRPr="00B52AC1">
              <w:rPr>
                <w:rFonts w:cs="Arial"/>
                <w:szCs w:val="22"/>
              </w:rPr>
              <w:t>Balance at 31 March</w:t>
            </w:r>
          </w:p>
        </w:tc>
        <w:tc>
          <w:tcPr>
            <w:tcW w:w="0" w:type="auto"/>
          </w:tcPr>
          <w:p w:rsidR="00F257E9" w:rsidRPr="00FB6FE1" w:rsidRDefault="00F257E9" w:rsidP="0076246C">
            <w:pPr>
              <w:jc w:val="right"/>
              <w:rPr>
                <w:rFonts w:cs="Arial"/>
                <w:szCs w:val="22"/>
              </w:rPr>
            </w:pPr>
            <w:r w:rsidRPr="00FB6FE1">
              <w:rPr>
                <w:rFonts w:cs="Arial"/>
                <w:szCs w:val="22"/>
              </w:rPr>
              <w:t>(3,</w:t>
            </w:r>
            <w:r w:rsidR="0076246C" w:rsidRPr="00FB6FE1">
              <w:rPr>
                <w:rFonts w:cs="Arial"/>
                <w:szCs w:val="22"/>
              </w:rPr>
              <w:t>712</w:t>
            </w:r>
            <w:r w:rsidRPr="00FB6FE1">
              <w:rPr>
                <w:rFonts w:cs="Arial"/>
                <w:szCs w:val="22"/>
              </w:rPr>
              <w:t>)</w:t>
            </w:r>
          </w:p>
        </w:tc>
        <w:tc>
          <w:tcPr>
            <w:tcW w:w="0" w:type="auto"/>
          </w:tcPr>
          <w:p w:rsidR="00F257E9" w:rsidRPr="00054B4A" w:rsidRDefault="00F257E9" w:rsidP="0076246C">
            <w:pPr>
              <w:jc w:val="right"/>
              <w:rPr>
                <w:rFonts w:cs="Arial"/>
                <w:szCs w:val="22"/>
              </w:rPr>
            </w:pPr>
            <w:r w:rsidRPr="00054B4A">
              <w:rPr>
                <w:rFonts w:cs="Arial"/>
                <w:szCs w:val="22"/>
              </w:rPr>
              <w:t>(3,</w:t>
            </w:r>
            <w:r w:rsidR="0076246C" w:rsidRPr="00054B4A">
              <w:rPr>
                <w:rFonts w:cs="Arial"/>
                <w:szCs w:val="22"/>
              </w:rPr>
              <w:t>719</w:t>
            </w:r>
            <w:r w:rsidRPr="00054B4A">
              <w:rPr>
                <w:rFonts w:cs="Arial"/>
                <w:szCs w:val="22"/>
              </w:rPr>
              <w:t>)</w:t>
            </w:r>
          </w:p>
        </w:tc>
        <w:tc>
          <w:tcPr>
            <w:tcW w:w="0" w:type="auto"/>
          </w:tcPr>
          <w:p w:rsidR="00F257E9" w:rsidRPr="00054B4A" w:rsidRDefault="0076246C" w:rsidP="0076246C">
            <w:pPr>
              <w:jc w:val="right"/>
              <w:rPr>
                <w:rFonts w:cs="Arial"/>
                <w:szCs w:val="22"/>
              </w:rPr>
            </w:pPr>
            <w:r w:rsidRPr="00054B4A">
              <w:rPr>
                <w:rFonts w:cs="Arial"/>
                <w:szCs w:val="22"/>
              </w:rPr>
              <w:t>(3,184)</w:t>
            </w:r>
          </w:p>
        </w:tc>
        <w:tc>
          <w:tcPr>
            <w:tcW w:w="0" w:type="auto"/>
          </w:tcPr>
          <w:p w:rsidR="00F257E9" w:rsidRPr="00054B4A" w:rsidRDefault="0076246C" w:rsidP="00A63DE4">
            <w:pPr>
              <w:jc w:val="right"/>
              <w:rPr>
                <w:rFonts w:cs="Arial"/>
                <w:szCs w:val="22"/>
              </w:rPr>
            </w:pPr>
            <w:r w:rsidRPr="00054B4A">
              <w:rPr>
                <w:rFonts w:cs="Arial"/>
                <w:szCs w:val="22"/>
              </w:rPr>
              <w:t>(3,414)</w:t>
            </w:r>
          </w:p>
        </w:tc>
        <w:tc>
          <w:tcPr>
            <w:tcW w:w="0" w:type="auto"/>
          </w:tcPr>
          <w:p w:rsidR="00F257E9" w:rsidRPr="00054B4A" w:rsidRDefault="0076246C" w:rsidP="000737C5">
            <w:pPr>
              <w:jc w:val="right"/>
              <w:rPr>
                <w:rFonts w:cs="Arial"/>
                <w:szCs w:val="22"/>
              </w:rPr>
            </w:pPr>
            <w:r w:rsidRPr="00054B4A">
              <w:rPr>
                <w:rFonts w:cs="Arial"/>
                <w:szCs w:val="22"/>
              </w:rPr>
              <w:t>(3,430)</w:t>
            </w:r>
          </w:p>
        </w:tc>
      </w:tr>
    </w:tbl>
    <w:p w:rsidR="00AB0AE0" w:rsidRPr="00923197" w:rsidRDefault="00AB0AE0" w:rsidP="006E632E">
      <w:pPr>
        <w:ind w:left="1267" w:hanging="1267"/>
        <w:rPr>
          <w:rFonts w:cs="Arial"/>
          <w:color w:val="365F91" w:themeColor="accent1" w:themeShade="BF"/>
          <w:szCs w:val="22"/>
        </w:rPr>
      </w:pPr>
    </w:p>
    <w:p w:rsidR="00AB0AE0" w:rsidRPr="00391687" w:rsidRDefault="0008621F" w:rsidP="006E632E">
      <w:pPr>
        <w:ind w:left="1267" w:hanging="1267"/>
        <w:rPr>
          <w:rFonts w:cs="Arial"/>
          <w:szCs w:val="22"/>
        </w:rPr>
      </w:pPr>
      <w:r w:rsidRPr="00923197">
        <w:rPr>
          <w:rFonts w:cs="Arial"/>
          <w:color w:val="365F91" w:themeColor="accent1" w:themeShade="BF"/>
          <w:szCs w:val="22"/>
        </w:rPr>
        <w:tab/>
      </w:r>
      <w:r w:rsidRPr="00391687">
        <w:rPr>
          <w:rFonts w:cs="Arial"/>
          <w:szCs w:val="22"/>
        </w:rPr>
        <w:tab/>
      </w:r>
      <w:r w:rsidR="001D686A" w:rsidRPr="00391687">
        <w:rPr>
          <w:rFonts w:cs="Arial"/>
          <w:szCs w:val="22"/>
        </w:rPr>
        <w:t>A minimum pru</w:t>
      </w:r>
      <w:r w:rsidR="00F9724C" w:rsidRPr="00391687">
        <w:rPr>
          <w:rFonts w:cs="Arial"/>
          <w:szCs w:val="22"/>
        </w:rPr>
        <w:t xml:space="preserve">dent general fund balance of </w:t>
      </w:r>
      <w:r w:rsidR="003A7356" w:rsidRPr="00391687">
        <w:rPr>
          <w:rFonts w:cs="Arial"/>
          <w:szCs w:val="22"/>
        </w:rPr>
        <w:t xml:space="preserve">not less than </w:t>
      </w:r>
      <w:r w:rsidR="00F9724C" w:rsidRPr="00391687">
        <w:rPr>
          <w:rFonts w:cs="Arial"/>
          <w:szCs w:val="22"/>
        </w:rPr>
        <w:t>£2</w:t>
      </w:r>
      <w:r w:rsidR="001D686A" w:rsidRPr="00391687">
        <w:rPr>
          <w:rFonts w:cs="Arial"/>
          <w:szCs w:val="22"/>
        </w:rPr>
        <w:t xml:space="preserve"> million is </w:t>
      </w:r>
      <w:r w:rsidR="00FE2932" w:rsidRPr="00391687">
        <w:rPr>
          <w:rFonts w:cs="Arial"/>
          <w:szCs w:val="22"/>
        </w:rPr>
        <w:t>considered</w:t>
      </w:r>
      <w:r w:rsidR="007A341F" w:rsidRPr="00391687">
        <w:rPr>
          <w:rFonts w:cs="Arial"/>
          <w:szCs w:val="22"/>
        </w:rPr>
        <w:t xml:space="preserve"> </w:t>
      </w:r>
      <w:r w:rsidR="001D686A" w:rsidRPr="00391687">
        <w:rPr>
          <w:rFonts w:cs="Arial"/>
          <w:szCs w:val="22"/>
        </w:rPr>
        <w:t xml:space="preserve">appropriate. </w:t>
      </w:r>
    </w:p>
    <w:p w:rsidR="003A7356" w:rsidRPr="00923197" w:rsidRDefault="003A7356" w:rsidP="00181F47">
      <w:pPr>
        <w:ind w:left="1267" w:hanging="1267"/>
        <w:rPr>
          <w:rFonts w:cs="Arial"/>
          <w:color w:val="365F91" w:themeColor="accent1" w:themeShade="BF"/>
          <w:szCs w:val="22"/>
        </w:rPr>
      </w:pPr>
    </w:p>
    <w:p w:rsidR="00181F47" w:rsidRPr="00391687" w:rsidRDefault="00672E45" w:rsidP="00181F47">
      <w:pPr>
        <w:ind w:left="1267" w:hanging="1267"/>
        <w:rPr>
          <w:rFonts w:cs="Arial"/>
          <w:szCs w:val="22"/>
        </w:rPr>
      </w:pPr>
      <w:r w:rsidRPr="00391687">
        <w:rPr>
          <w:rFonts w:cs="Arial"/>
          <w:szCs w:val="22"/>
        </w:rPr>
        <w:t>2.</w:t>
      </w:r>
      <w:r w:rsidR="00636EFD">
        <w:rPr>
          <w:rFonts w:cs="Arial"/>
          <w:szCs w:val="22"/>
        </w:rPr>
        <w:t>8</w:t>
      </w:r>
      <w:r w:rsidRPr="00391687">
        <w:rPr>
          <w:rFonts w:cs="Arial"/>
          <w:szCs w:val="22"/>
        </w:rPr>
        <w:tab/>
      </w:r>
      <w:r w:rsidRPr="00391687">
        <w:rPr>
          <w:rFonts w:cs="Arial"/>
          <w:b/>
          <w:szCs w:val="22"/>
        </w:rPr>
        <w:t xml:space="preserve">Appendix </w:t>
      </w:r>
      <w:r w:rsidR="00A81F67" w:rsidRPr="00391687">
        <w:rPr>
          <w:rFonts w:cs="Arial"/>
          <w:b/>
          <w:szCs w:val="22"/>
        </w:rPr>
        <w:t>1</w:t>
      </w:r>
      <w:r w:rsidR="006368E4" w:rsidRPr="00391687">
        <w:rPr>
          <w:rFonts w:cs="Arial"/>
          <w:szCs w:val="22"/>
        </w:rPr>
        <w:t xml:space="preserve"> </w:t>
      </w:r>
      <w:r w:rsidR="00C42DD6" w:rsidRPr="00391687">
        <w:rPr>
          <w:rFonts w:cs="Arial"/>
          <w:szCs w:val="22"/>
        </w:rPr>
        <w:t xml:space="preserve">shows the medium term revenue budget </w:t>
      </w:r>
      <w:r w:rsidR="001712A5" w:rsidRPr="00391687">
        <w:rPr>
          <w:rFonts w:cs="Arial"/>
          <w:szCs w:val="22"/>
        </w:rPr>
        <w:t xml:space="preserve">by cost centre </w:t>
      </w:r>
      <w:r w:rsidR="00C42DD6" w:rsidRPr="00391687">
        <w:rPr>
          <w:rFonts w:cs="Arial"/>
          <w:szCs w:val="22"/>
        </w:rPr>
        <w:t xml:space="preserve">by </w:t>
      </w:r>
      <w:r w:rsidR="00BB49F7" w:rsidRPr="00391687">
        <w:rPr>
          <w:rFonts w:cs="Arial"/>
          <w:szCs w:val="22"/>
        </w:rPr>
        <w:t>c</w:t>
      </w:r>
      <w:r w:rsidR="00C42DD6" w:rsidRPr="00391687">
        <w:rPr>
          <w:rFonts w:cs="Arial"/>
          <w:szCs w:val="22"/>
        </w:rPr>
        <w:t>ommittee.</w:t>
      </w:r>
    </w:p>
    <w:p w:rsidR="00A81F67" w:rsidRPr="00391687" w:rsidRDefault="00A81F67" w:rsidP="00181F47">
      <w:pPr>
        <w:ind w:left="1267" w:hanging="1267"/>
        <w:rPr>
          <w:rFonts w:cs="Arial"/>
          <w:szCs w:val="22"/>
        </w:rPr>
      </w:pPr>
    </w:p>
    <w:p w:rsidR="00A81F67" w:rsidRPr="00391687" w:rsidRDefault="00A81F67" w:rsidP="00172723">
      <w:pPr>
        <w:ind w:left="1267" w:hanging="1267"/>
      </w:pPr>
      <w:r w:rsidRPr="00391687">
        <w:rPr>
          <w:rFonts w:cs="Arial"/>
          <w:szCs w:val="22"/>
        </w:rPr>
        <w:t>2.</w:t>
      </w:r>
      <w:r w:rsidR="00636EFD">
        <w:rPr>
          <w:rFonts w:cs="Arial"/>
          <w:szCs w:val="22"/>
        </w:rPr>
        <w:t>9</w:t>
      </w:r>
      <w:r w:rsidRPr="00391687">
        <w:rPr>
          <w:rFonts w:cs="Arial"/>
          <w:szCs w:val="22"/>
        </w:rPr>
        <w:tab/>
      </w:r>
      <w:r w:rsidRPr="00391687">
        <w:rPr>
          <w:rFonts w:cs="Arial"/>
          <w:b/>
          <w:szCs w:val="22"/>
        </w:rPr>
        <w:t>Appendix 2</w:t>
      </w:r>
      <w:r w:rsidRPr="00391687">
        <w:rPr>
          <w:rFonts w:cs="Arial"/>
          <w:szCs w:val="22"/>
        </w:rPr>
        <w:t xml:space="preserve"> shows the e</w:t>
      </w:r>
      <w:r w:rsidR="00D27EFC" w:rsidRPr="00391687">
        <w:t>xplanations of r</w:t>
      </w:r>
      <w:r w:rsidRPr="00391687">
        <w:t xml:space="preserve">evenue </w:t>
      </w:r>
      <w:r w:rsidR="00D27EFC" w:rsidRPr="00391687">
        <w:t>v</w:t>
      </w:r>
      <w:r w:rsidRPr="00391687">
        <w:t xml:space="preserve">ariances reported </w:t>
      </w:r>
      <w:r w:rsidR="003E7844" w:rsidRPr="00391687">
        <w:t>since the last report</w:t>
      </w:r>
      <w:r w:rsidRPr="00391687">
        <w:t>.</w:t>
      </w:r>
    </w:p>
    <w:p w:rsidR="00197BE0" w:rsidRPr="003273F0" w:rsidRDefault="00197BE0" w:rsidP="00172723">
      <w:pPr>
        <w:ind w:left="1267" w:hanging="1267"/>
      </w:pPr>
    </w:p>
    <w:p w:rsidR="00EC67E2" w:rsidRPr="003273F0" w:rsidRDefault="00C46A80" w:rsidP="00172723">
      <w:pPr>
        <w:ind w:left="1267" w:hanging="1267"/>
        <w:rPr>
          <w:rFonts w:cs="Arial"/>
          <w:szCs w:val="22"/>
        </w:rPr>
      </w:pPr>
      <w:r w:rsidRPr="003273F0">
        <w:rPr>
          <w:rFonts w:cs="Arial"/>
          <w:szCs w:val="22"/>
        </w:rPr>
        <w:t>2.</w:t>
      </w:r>
      <w:r w:rsidR="003A7356" w:rsidRPr="003273F0">
        <w:rPr>
          <w:rFonts w:cs="Arial"/>
          <w:szCs w:val="22"/>
        </w:rPr>
        <w:t>1</w:t>
      </w:r>
      <w:r w:rsidR="00A46AF6">
        <w:rPr>
          <w:rFonts w:cs="Arial"/>
          <w:szCs w:val="22"/>
        </w:rPr>
        <w:t>0</w:t>
      </w:r>
      <w:r w:rsidRPr="003273F0">
        <w:rPr>
          <w:rFonts w:cs="Arial"/>
          <w:szCs w:val="22"/>
        </w:rPr>
        <w:tab/>
      </w:r>
      <w:r w:rsidR="00EC67E2" w:rsidRPr="003273F0">
        <w:rPr>
          <w:rFonts w:cs="Arial"/>
          <w:b/>
          <w:szCs w:val="22"/>
        </w:rPr>
        <w:t xml:space="preserve">Appendix </w:t>
      </w:r>
      <w:r w:rsidR="00A46AF6">
        <w:rPr>
          <w:rFonts w:cs="Arial"/>
          <w:b/>
          <w:szCs w:val="22"/>
        </w:rPr>
        <w:t>3</w:t>
      </w:r>
      <w:r w:rsidR="00EC67E2" w:rsidRPr="003273F0">
        <w:rPr>
          <w:rFonts w:cs="Arial"/>
          <w:szCs w:val="22"/>
        </w:rPr>
        <w:t xml:space="preserve"> shows the </w:t>
      </w:r>
      <w:r w:rsidR="001712A5" w:rsidRPr="003273F0">
        <w:rPr>
          <w:rFonts w:cs="Arial"/>
          <w:szCs w:val="22"/>
        </w:rPr>
        <w:t>Council’s key budget indicators for service income.</w:t>
      </w:r>
    </w:p>
    <w:p w:rsidR="00EC67E2" w:rsidRPr="003273F0" w:rsidRDefault="00EC67E2" w:rsidP="00EC67E2">
      <w:pPr>
        <w:tabs>
          <w:tab w:val="clear" w:pos="1260"/>
        </w:tabs>
        <w:rPr>
          <w:rFonts w:cs="Arial"/>
          <w:szCs w:val="22"/>
        </w:rPr>
      </w:pPr>
    </w:p>
    <w:p w:rsidR="00EC67E2" w:rsidRPr="003273F0" w:rsidRDefault="00EC67E2" w:rsidP="00EC67E2">
      <w:pPr>
        <w:rPr>
          <w:rFonts w:cs="Arial"/>
          <w:szCs w:val="22"/>
        </w:rPr>
      </w:pPr>
      <w:r w:rsidRPr="003273F0">
        <w:rPr>
          <w:rFonts w:cs="Arial"/>
          <w:szCs w:val="22"/>
        </w:rPr>
        <w:t>2.</w:t>
      </w:r>
      <w:r w:rsidR="003A7356" w:rsidRPr="003273F0">
        <w:rPr>
          <w:rFonts w:cs="Arial"/>
          <w:szCs w:val="22"/>
        </w:rPr>
        <w:t>1</w:t>
      </w:r>
      <w:r w:rsidR="00A46AF6">
        <w:rPr>
          <w:rFonts w:cs="Arial"/>
          <w:szCs w:val="22"/>
        </w:rPr>
        <w:t>1</w:t>
      </w:r>
      <w:r w:rsidRPr="003273F0">
        <w:rPr>
          <w:rFonts w:cs="Arial"/>
          <w:szCs w:val="22"/>
        </w:rPr>
        <w:t xml:space="preserve">            </w:t>
      </w:r>
      <w:r w:rsidR="001073C1">
        <w:rPr>
          <w:rFonts w:cs="Arial"/>
          <w:szCs w:val="22"/>
        </w:rPr>
        <w:t xml:space="preserve"> </w:t>
      </w:r>
      <w:r w:rsidRPr="003273F0">
        <w:rPr>
          <w:rFonts w:cs="Arial"/>
          <w:b/>
          <w:szCs w:val="22"/>
        </w:rPr>
        <w:t xml:space="preserve">Appendix </w:t>
      </w:r>
      <w:r w:rsidR="00A46AF6">
        <w:rPr>
          <w:rFonts w:cs="Arial"/>
          <w:b/>
          <w:szCs w:val="22"/>
        </w:rPr>
        <w:t>4</w:t>
      </w:r>
      <w:r w:rsidRPr="003273F0">
        <w:rPr>
          <w:rFonts w:cs="Arial"/>
          <w:szCs w:val="22"/>
        </w:rPr>
        <w:t xml:space="preserve"> </w:t>
      </w:r>
      <w:r w:rsidR="008D4B88" w:rsidRPr="003273F0">
        <w:rPr>
          <w:rFonts w:cs="Arial"/>
          <w:szCs w:val="22"/>
        </w:rPr>
        <w:t>shows the Council</w:t>
      </w:r>
      <w:r w:rsidR="00B636C7" w:rsidRPr="003273F0">
        <w:rPr>
          <w:rFonts w:cs="Arial"/>
          <w:szCs w:val="22"/>
        </w:rPr>
        <w:t>’</w:t>
      </w:r>
      <w:r w:rsidR="008D4B88" w:rsidRPr="003273F0">
        <w:rPr>
          <w:rFonts w:cs="Arial"/>
          <w:szCs w:val="22"/>
        </w:rPr>
        <w:t xml:space="preserve">s </w:t>
      </w:r>
      <w:r w:rsidR="00A81F67" w:rsidRPr="003273F0">
        <w:rPr>
          <w:rFonts w:cs="Arial"/>
          <w:szCs w:val="22"/>
        </w:rPr>
        <w:t>k</w:t>
      </w:r>
      <w:r w:rsidR="008D4B88" w:rsidRPr="003273F0">
        <w:rPr>
          <w:rFonts w:cs="Arial"/>
          <w:szCs w:val="22"/>
        </w:rPr>
        <w:t xml:space="preserve">ey </w:t>
      </w:r>
      <w:r w:rsidR="00A81F67" w:rsidRPr="003273F0">
        <w:rPr>
          <w:rFonts w:cs="Arial"/>
          <w:szCs w:val="22"/>
        </w:rPr>
        <w:t>b</w:t>
      </w:r>
      <w:r w:rsidR="008D4B88" w:rsidRPr="003273F0">
        <w:rPr>
          <w:rFonts w:cs="Arial"/>
          <w:szCs w:val="22"/>
        </w:rPr>
        <w:t>udgetary</w:t>
      </w:r>
      <w:r w:rsidR="00A81F67" w:rsidRPr="003273F0">
        <w:rPr>
          <w:rFonts w:cs="Arial"/>
          <w:szCs w:val="22"/>
        </w:rPr>
        <w:t xml:space="preserve"> r</w:t>
      </w:r>
      <w:r w:rsidR="008D4B88" w:rsidRPr="003273F0">
        <w:rPr>
          <w:rFonts w:cs="Arial"/>
          <w:szCs w:val="22"/>
        </w:rPr>
        <w:t>isks</w:t>
      </w:r>
      <w:r w:rsidR="001712A5" w:rsidRPr="003273F0">
        <w:rPr>
          <w:rFonts w:cs="Arial"/>
          <w:szCs w:val="22"/>
        </w:rPr>
        <w:t>.</w:t>
      </w:r>
      <w:r w:rsidR="008D4B88" w:rsidRPr="003273F0">
        <w:rPr>
          <w:rFonts w:cs="Arial"/>
          <w:szCs w:val="22"/>
        </w:rPr>
        <w:t xml:space="preserve"> </w:t>
      </w:r>
    </w:p>
    <w:p w:rsidR="003A7356" w:rsidRPr="00923197" w:rsidRDefault="003A7356" w:rsidP="006E177E">
      <w:pPr>
        <w:keepNext/>
        <w:ind w:left="1267" w:hanging="1267"/>
        <w:rPr>
          <w:color w:val="365F91" w:themeColor="accent1" w:themeShade="BF"/>
        </w:rPr>
      </w:pPr>
    </w:p>
    <w:p w:rsidR="006368E4" w:rsidRPr="003273F0" w:rsidRDefault="00D972D6" w:rsidP="006E177E">
      <w:pPr>
        <w:keepNext/>
        <w:ind w:left="1267" w:hanging="1267"/>
        <w:rPr>
          <w:b/>
          <w:i/>
        </w:rPr>
      </w:pPr>
      <w:r w:rsidRPr="00923197">
        <w:rPr>
          <w:color w:val="365F91" w:themeColor="accent1" w:themeShade="BF"/>
        </w:rPr>
        <w:tab/>
      </w:r>
      <w:r w:rsidR="006368E4" w:rsidRPr="003273F0">
        <w:rPr>
          <w:b/>
          <w:i/>
        </w:rPr>
        <w:t>Capital</w:t>
      </w:r>
    </w:p>
    <w:p w:rsidR="009C64F1" w:rsidRPr="003273F0" w:rsidRDefault="009C64F1" w:rsidP="006E177E">
      <w:pPr>
        <w:keepNext/>
        <w:ind w:left="1267" w:hanging="1267"/>
        <w:rPr>
          <w:b/>
        </w:rPr>
      </w:pPr>
    </w:p>
    <w:p w:rsidR="00CA1432" w:rsidRPr="00923197" w:rsidRDefault="009C64F1" w:rsidP="009C64F1">
      <w:pPr>
        <w:ind w:left="1267" w:hanging="1267"/>
        <w:rPr>
          <w:color w:val="365F91" w:themeColor="accent1" w:themeShade="BF"/>
          <w:highlight w:val="yellow"/>
        </w:rPr>
      </w:pPr>
      <w:r w:rsidRPr="003273F0">
        <w:t>2.</w:t>
      </w:r>
      <w:r w:rsidR="00D972D6" w:rsidRPr="003273F0">
        <w:t>1</w:t>
      </w:r>
      <w:r w:rsidR="00E63EBF">
        <w:t>2</w:t>
      </w:r>
      <w:r w:rsidRPr="003273F0">
        <w:tab/>
        <w:t xml:space="preserve">The original budget for 2016/17 (as approved by Council in February 2016) was </w:t>
      </w:r>
      <w:r w:rsidRPr="003273F0">
        <w:rPr>
          <w:b/>
        </w:rPr>
        <w:t>£6.656 million</w:t>
      </w:r>
      <w:r w:rsidRPr="003273F0">
        <w:t>.</w:t>
      </w:r>
      <w:r w:rsidR="00F17085" w:rsidRPr="003273F0">
        <w:t xml:space="preserve"> </w:t>
      </w:r>
      <w:r w:rsidRPr="00391687">
        <w:t>The latest budget</w:t>
      </w:r>
      <w:r w:rsidR="007E4391">
        <w:t xml:space="preserve"> as approved by Council on 21 February</w:t>
      </w:r>
      <w:r w:rsidRPr="00391687">
        <w:t xml:space="preserve"> </w:t>
      </w:r>
      <w:r w:rsidRPr="007E4391">
        <w:t xml:space="preserve">is </w:t>
      </w:r>
      <w:r w:rsidRPr="007E4391">
        <w:rPr>
          <w:b/>
        </w:rPr>
        <w:t>£</w:t>
      </w:r>
      <w:r w:rsidR="007E4391" w:rsidRPr="007E4391">
        <w:rPr>
          <w:b/>
        </w:rPr>
        <w:t>7.6</w:t>
      </w:r>
      <w:r w:rsidR="007E4391">
        <w:rPr>
          <w:b/>
        </w:rPr>
        <w:t>6</w:t>
      </w:r>
      <w:r w:rsidR="007E4391" w:rsidRPr="007E4391">
        <w:rPr>
          <w:b/>
        </w:rPr>
        <w:t>4</w:t>
      </w:r>
      <w:r w:rsidRPr="007E4391">
        <w:rPr>
          <w:b/>
        </w:rPr>
        <w:t xml:space="preserve"> </w:t>
      </w:r>
      <w:r w:rsidRPr="00391687">
        <w:rPr>
          <w:b/>
        </w:rPr>
        <w:t>million</w:t>
      </w:r>
      <w:r w:rsidR="007E4391">
        <w:rPr>
          <w:b/>
        </w:rPr>
        <w:t>.</w:t>
      </w:r>
    </w:p>
    <w:p w:rsidR="00CA1432" w:rsidRPr="00923197" w:rsidRDefault="00CA1432" w:rsidP="009C64F1">
      <w:pPr>
        <w:ind w:left="1267" w:hanging="1267"/>
        <w:rPr>
          <w:color w:val="365F91" w:themeColor="accent1" w:themeShade="BF"/>
        </w:rPr>
      </w:pPr>
    </w:p>
    <w:p w:rsidR="009C64F1" w:rsidRPr="003273F0" w:rsidRDefault="00CA1432" w:rsidP="009C64F1">
      <w:pPr>
        <w:ind w:left="1267" w:hanging="1267"/>
        <w:rPr>
          <w:b/>
        </w:rPr>
      </w:pPr>
      <w:r w:rsidRPr="009233F2">
        <w:t>2.1</w:t>
      </w:r>
      <w:r w:rsidR="00E63EBF">
        <w:t>3</w:t>
      </w:r>
      <w:r w:rsidRPr="00923197">
        <w:rPr>
          <w:color w:val="365F91" w:themeColor="accent1" w:themeShade="BF"/>
        </w:rPr>
        <w:tab/>
      </w:r>
      <w:r w:rsidR="00434D29" w:rsidRPr="003273F0">
        <w:t xml:space="preserve">Services have identified </w:t>
      </w:r>
      <w:r w:rsidR="00234D8A" w:rsidRPr="003273F0">
        <w:t xml:space="preserve">a variance of </w:t>
      </w:r>
      <w:r w:rsidR="00434D29" w:rsidRPr="003273F0">
        <w:rPr>
          <w:b/>
        </w:rPr>
        <w:t>£</w:t>
      </w:r>
      <w:r w:rsidR="00312893" w:rsidRPr="00312893">
        <w:rPr>
          <w:b/>
        </w:rPr>
        <w:t>1</w:t>
      </w:r>
      <w:r w:rsidR="00434D29" w:rsidRPr="00312893">
        <w:rPr>
          <w:b/>
        </w:rPr>
        <w:t>.</w:t>
      </w:r>
      <w:r w:rsidR="00312893" w:rsidRPr="00312893">
        <w:rPr>
          <w:b/>
        </w:rPr>
        <w:t>752</w:t>
      </w:r>
      <w:r w:rsidR="006A2B17" w:rsidRPr="00312893">
        <w:rPr>
          <w:b/>
        </w:rPr>
        <w:t xml:space="preserve"> </w:t>
      </w:r>
      <w:r w:rsidR="00434D29" w:rsidRPr="003273F0">
        <w:rPr>
          <w:b/>
        </w:rPr>
        <w:t>million</w:t>
      </w:r>
      <w:r w:rsidR="00234D8A" w:rsidRPr="003273F0">
        <w:rPr>
          <w:b/>
        </w:rPr>
        <w:t xml:space="preserve"> </w:t>
      </w:r>
      <w:r w:rsidR="00234D8A" w:rsidRPr="003273F0">
        <w:t xml:space="preserve">which </w:t>
      </w:r>
      <w:r w:rsidR="00434D29" w:rsidRPr="00312893">
        <w:t>reduce</w:t>
      </w:r>
      <w:r w:rsidR="00234D8A" w:rsidRPr="00312893">
        <w:t>s</w:t>
      </w:r>
      <w:r w:rsidR="00434D29" w:rsidRPr="00312893">
        <w:t xml:space="preserve"> </w:t>
      </w:r>
      <w:r w:rsidR="00434D29" w:rsidRPr="004D7092">
        <w:t>the 2</w:t>
      </w:r>
      <w:r w:rsidR="00434D29" w:rsidRPr="003273F0">
        <w:t>016/17 budget to</w:t>
      </w:r>
      <w:r w:rsidR="00434D29" w:rsidRPr="003273F0">
        <w:rPr>
          <w:b/>
        </w:rPr>
        <w:t xml:space="preserve"> </w:t>
      </w:r>
      <w:r w:rsidR="00434D29" w:rsidRPr="00312893">
        <w:rPr>
          <w:b/>
        </w:rPr>
        <w:t>£</w:t>
      </w:r>
      <w:r w:rsidR="00312893" w:rsidRPr="00312893">
        <w:rPr>
          <w:b/>
        </w:rPr>
        <w:t>5</w:t>
      </w:r>
      <w:r w:rsidR="00434D29" w:rsidRPr="00312893">
        <w:rPr>
          <w:b/>
        </w:rPr>
        <w:t>.</w:t>
      </w:r>
      <w:r w:rsidR="00312893" w:rsidRPr="00312893">
        <w:rPr>
          <w:b/>
        </w:rPr>
        <w:t>912</w:t>
      </w:r>
      <w:r w:rsidR="00434D29" w:rsidRPr="00312893">
        <w:rPr>
          <w:b/>
        </w:rPr>
        <w:t xml:space="preserve"> </w:t>
      </w:r>
      <w:r w:rsidR="00434D29" w:rsidRPr="003273F0">
        <w:rPr>
          <w:b/>
        </w:rPr>
        <w:t>million</w:t>
      </w:r>
      <w:r w:rsidR="001E5E8F" w:rsidRPr="003273F0">
        <w:rPr>
          <w:b/>
        </w:rPr>
        <w:t xml:space="preserve">, </w:t>
      </w:r>
      <w:r w:rsidR="001E5E8F" w:rsidRPr="003273F0">
        <w:t>the table below summarises the capital budget changes</w:t>
      </w:r>
      <w:r w:rsidR="00D41B6B" w:rsidRPr="003273F0">
        <w:t>, by committee</w:t>
      </w:r>
      <w:r w:rsidR="006A2B17" w:rsidRPr="003273F0">
        <w:t>.</w:t>
      </w:r>
    </w:p>
    <w:p w:rsidR="004F0D6A" w:rsidRPr="00923197" w:rsidRDefault="004F0D6A" w:rsidP="009C64F1">
      <w:pPr>
        <w:ind w:left="1267" w:hanging="1267"/>
        <w:rPr>
          <w:b/>
          <w:color w:val="365F91" w:themeColor="accent1" w:themeShade="BF"/>
        </w:rPr>
      </w:pPr>
    </w:p>
    <w:tbl>
      <w:tblPr>
        <w:tblStyle w:val="TableGrid"/>
        <w:tblW w:w="8646" w:type="dxa"/>
        <w:tblInd w:w="1384" w:type="dxa"/>
        <w:tblLayout w:type="fixed"/>
        <w:tblLook w:val="04A0" w:firstRow="1" w:lastRow="0" w:firstColumn="1" w:lastColumn="0" w:noHBand="0" w:noVBand="1"/>
      </w:tblPr>
      <w:tblGrid>
        <w:gridCol w:w="2977"/>
        <w:gridCol w:w="1134"/>
        <w:gridCol w:w="992"/>
        <w:gridCol w:w="1275"/>
        <w:gridCol w:w="1134"/>
        <w:gridCol w:w="1134"/>
      </w:tblGrid>
      <w:tr w:rsidR="00923197" w:rsidRPr="00923197" w:rsidTr="003273F0">
        <w:tc>
          <w:tcPr>
            <w:tcW w:w="2977" w:type="dxa"/>
            <w:vAlign w:val="center"/>
          </w:tcPr>
          <w:p w:rsidR="001E5E8F" w:rsidRPr="003273F0" w:rsidRDefault="001E5E8F" w:rsidP="00234D8A">
            <w:pPr>
              <w:jc w:val="center"/>
              <w:rPr>
                <w:b/>
              </w:rPr>
            </w:pPr>
            <w:r w:rsidRPr="003273F0">
              <w:rPr>
                <w:b/>
              </w:rPr>
              <w:t>Service</w:t>
            </w:r>
            <w:r w:rsidR="00234D8A" w:rsidRPr="003273F0">
              <w:rPr>
                <w:b/>
              </w:rPr>
              <w:t xml:space="preserve"> </w:t>
            </w:r>
            <w:r w:rsidRPr="003273F0">
              <w:rPr>
                <w:b/>
              </w:rPr>
              <w:t>Area</w:t>
            </w:r>
          </w:p>
        </w:tc>
        <w:tc>
          <w:tcPr>
            <w:tcW w:w="1134" w:type="dxa"/>
          </w:tcPr>
          <w:p w:rsidR="00234D8A" w:rsidRPr="003273F0" w:rsidRDefault="00234D8A" w:rsidP="004F0D6A">
            <w:pPr>
              <w:jc w:val="center"/>
              <w:rPr>
                <w:b/>
              </w:rPr>
            </w:pPr>
          </w:p>
          <w:p w:rsidR="001E5E8F" w:rsidRPr="003273F0" w:rsidRDefault="001E5E8F" w:rsidP="004F0D6A">
            <w:pPr>
              <w:jc w:val="center"/>
              <w:rPr>
                <w:b/>
              </w:rPr>
            </w:pPr>
            <w:r w:rsidRPr="003273F0">
              <w:rPr>
                <w:b/>
              </w:rPr>
              <w:t>Original Budget</w:t>
            </w:r>
          </w:p>
          <w:p w:rsidR="001E5E8F" w:rsidRPr="003273F0" w:rsidRDefault="001E5E8F" w:rsidP="004F0D6A">
            <w:pPr>
              <w:jc w:val="center"/>
            </w:pPr>
            <w:r w:rsidRPr="003273F0">
              <w:rPr>
                <w:b/>
              </w:rPr>
              <w:t>£000</w:t>
            </w:r>
          </w:p>
        </w:tc>
        <w:tc>
          <w:tcPr>
            <w:tcW w:w="992" w:type="dxa"/>
          </w:tcPr>
          <w:p w:rsidR="00234D8A" w:rsidRPr="003273F0" w:rsidRDefault="00234D8A" w:rsidP="004F0D6A">
            <w:pPr>
              <w:jc w:val="center"/>
              <w:rPr>
                <w:b/>
              </w:rPr>
            </w:pPr>
          </w:p>
          <w:p w:rsidR="001E5E8F" w:rsidRPr="003273F0" w:rsidRDefault="001E5E8F" w:rsidP="004F0D6A">
            <w:pPr>
              <w:jc w:val="center"/>
            </w:pPr>
            <w:r w:rsidRPr="003273F0">
              <w:rPr>
                <w:b/>
              </w:rPr>
              <w:t>Latest                Budget                   £000</w:t>
            </w:r>
          </w:p>
        </w:tc>
        <w:tc>
          <w:tcPr>
            <w:tcW w:w="1275" w:type="dxa"/>
          </w:tcPr>
          <w:p w:rsidR="005B42AD" w:rsidRDefault="005B42AD" w:rsidP="003273F0">
            <w:pPr>
              <w:jc w:val="center"/>
              <w:rPr>
                <w:b/>
              </w:rPr>
            </w:pPr>
          </w:p>
          <w:p w:rsidR="001E5E8F" w:rsidRPr="003273F0" w:rsidRDefault="00312893" w:rsidP="003273F0">
            <w:pPr>
              <w:jc w:val="center"/>
              <w:rPr>
                <w:b/>
              </w:rPr>
            </w:pPr>
            <w:r>
              <w:rPr>
                <w:b/>
              </w:rPr>
              <w:t>Spend to Date</w:t>
            </w:r>
            <w:r w:rsidR="001E5E8F" w:rsidRPr="003273F0">
              <w:rPr>
                <w:b/>
              </w:rPr>
              <w:t xml:space="preserve">                £000</w:t>
            </w:r>
          </w:p>
        </w:tc>
        <w:tc>
          <w:tcPr>
            <w:tcW w:w="1134" w:type="dxa"/>
          </w:tcPr>
          <w:p w:rsidR="001E5E8F" w:rsidRPr="003273F0" w:rsidRDefault="001E5E8F" w:rsidP="004F0D6A">
            <w:pPr>
              <w:jc w:val="center"/>
              <w:rPr>
                <w:b/>
              </w:rPr>
            </w:pPr>
          </w:p>
          <w:p w:rsidR="00234D8A" w:rsidRPr="003273F0" w:rsidRDefault="00234D8A" w:rsidP="004F0D6A">
            <w:pPr>
              <w:jc w:val="center"/>
              <w:rPr>
                <w:b/>
              </w:rPr>
            </w:pPr>
          </w:p>
          <w:p w:rsidR="001E5E8F" w:rsidRPr="003273F0" w:rsidRDefault="001E5E8F" w:rsidP="004F0D6A">
            <w:pPr>
              <w:jc w:val="center"/>
              <w:rPr>
                <w:b/>
              </w:rPr>
            </w:pPr>
            <w:r w:rsidRPr="003273F0">
              <w:rPr>
                <w:b/>
              </w:rPr>
              <w:t>Variance</w:t>
            </w:r>
          </w:p>
          <w:p w:rsidR="001E5E8F" w:rsidRPr="003273F0" w:rsidRDefault="001E5E8F" w:rsidP="004F0D6A">
            <w:pPr>
              <w:jc w:val="center"/>
            </w:pPr>
            <w:r w:rsidRPr="003273F0">
              <w:rPr>
                <w:b/>
              </w:rPr>
              <w:t>£000</w:t>
            </w:r>
          </w:p>
        </w:tc>
        <w:tc>
          <w:tcPr>
            <w:tcW w:w="1134" w:type="dxa"/>
          </w:tcPr>
          <w:p w:rsidR="001E5E8F" w:rsidRPr="003273F0" w:rsidRDefault="001E5E8F" w:rsidP="004F0D6A">
            <w:pPr>
              <w:jc w:val="center"/>
              <w:rPr>
                <w:b/>
              </w:rPr>
            </w:pPr>
          </w:p>
          <w:p w:rsidR="00234D8A" w:rsidRPr="003273F0" w:rsidRDefault="00234D8A" w:rsidP="004F0D6A">
            <w:pPr>
              <w:jc w:val="center"/>
              <w:rPr>
                <w:b/>
              </w:rPr>
            </w:pPr>
          </w:p>
          <w:p w:rsidR="001E5E8F" w:rsidRPr="003273F0" w:rsidRDefault="001E5E8F" w:rsidP="004F0D6A">
            <w:pPr>
              <w:jc w:val="center"/>
              <w:rPr>
                <w:b/>
              </w:rPr>
            </w:pPr>
            <w:r w:rsidRPr="003273F0">
              <w:rPr>
                <w:b/>
              </w:rPr>
              <w:t>Forecast</w:t>
            </w:r>
          </w:p>
          <w:p w:rsidR="001E5E8F" w:rsidRPr="003273F0" w:rsidRDefault="001E5E8F" w:rsidP="004F0D6A">
            <w:pPr>
              <w:jc w:val="center"/>
              <w:rPr>
                <w:b/>
              </w:rPr>
            </w:pPr>
            <w:r w:rsidRPr="003273F0">
              <w:rPr>
                <w:b/>
              </w:rPr>
              <w:t>£000</w:t>
            </w:r>
          </w:p>
        </w:tc>
      </w:tr>
      <w:tr w:rsidR="00923197" w:rsidRPr="00923197" w:rsidTr="003273F0">
        <w:tc>
          <w:tcPr>
            <w:tcW w:w="2977" w:type="dxa"/>
            <w:vAlign w:val="center"/>
          </w:tcPr>
          <w:p w:rsidR="001E5E8F" w:rsidRPr="003273F0" w:rsidRDefault="001E5E8F" w:rsidP="001E5E8F">
            <w:pPr>
              <w:jc w:val="left"/>
            </w:pPr>
            <w:r w:rsidRPr="003273F0">
              <w:t>Leisure, Wellbeing &amp; Health</w:t>
            </w:r>
          </w:p>
        </w:tc>
        <w:tc>
          <w:tcPr>
            <w:tcW w:w="1134" w:type="dxa"/>
            <w:vAlign w:val="center"/>
          </w:tcPr>
          <w:p w:rsidR="001E5E8F" w:rsidRPr="007A41D3" w:rsidRDefault="001E5E8F" w:rsidP="001E5E8F">
            <w:pPr>
              <w:jc w:val="right"/>
            </w:pPr>
            <w:r w:rsidRPr="007A41D3">
              <w:t>2,809</w:t>
            </w:r>
          </w:p>
        </w:tc>
        <w:tc>
          <w:tcPr>
            <w:tcW w:w="992" w:type="dxa"/>
            <w:vAlign w:val="center"/>
          </w:tcPr>
          <w:p w:rsidR="001E5E8F" w:rsidRPr="008D7E01" w:rsidRDefault="007E4391" w:rsidP="001E5E8F">
            <w:pPr>
              <w:jc w:val="right"/>
            </w:pPr>
            <w:r w:rsidRPr="008D7E01">
              <w:t>2,156</w:t>
            </w:r>
          </w:p>
        </w:tc>
        <w:tc>
          <w:tcPr>
            <w:tcW w:w="1275" w:type="dxa"/>
            <w:vAlign w:val="center"/>
          </w:tcPr>
          <w:p w:rsidR="001E5E8F" w:rsidRPr="00312893" w:rsidRDefault="00312893" w:rsidP="001E5E8F">
            <w:pPr>
              <w:jc w:val="right"/>
            </w:pPr>
            <w:r w:rsidRPr="00312893">
              <w:t>756</w:t>
            </w:r>
          </w:p>
        </w:tc>
        <w:tc>
          <w:tcPr>
            <w:tcW w:w="1134" w:type="dxa"/>
            <w:vAlign w:val="center"/>
          </w:tcPr>
          <w:p w:rsidR="001E5E8F" w:rsidRPr="00312893" w:rsidRDefault="001E5E8F" w:rsidP="00312893">
            <w:pPr>
              <w:jc w:val="right"/>
            </w:pPr>
            <w:r w:rsidRPr="00312893">
              <w:t>(</w:t>
            </w:r>
            <w:r w:rsidR="00312893" w:rsidRPr="00312893">
              <w:t>99</w:t>
            </w:r>
            <w:r w:rsidRPr="00312893">
              <w:t>0)</w:t>
            </w:r>
          </w:p>
        </w:tc>
        <w:tc>
          <w:tcPr>
            <w:tcW w:w="1134" w:type="dxa"/>
            <w:vAlign w:val="center"/>
          </w:tcPr>
          <w:p w:rsidR="001E5E8F" w:rsidRPr="00312893" w:rsidRDefault="00312893" w:rsidP="001E5E8F">
            <w:pPr>
              <w:jc w:val="right"/>
            </w:pPr>
            <w:r w:rsidRPr="00312893">
              <w:t>1,166</w:t>
            </w:r>
          </w:p>
        </w:tc>
      </w:tr>
      <w:tr w:rsidR="00923197" w:rsidRPr="00923197" w:rsidTr="003273F0">
        <w:tc>
          <w:tcPr>
            <w:tcW w:w="2977" w:type="dxa"/>
            <w:vAlign w:val="center"/>
          </w:tcPr>
          <w:p w:rsidR="001E5E8F" w:rsidRPr="003273F0" w:rsidRDefault="001E5E8F" w:rsidP="001E5E8F">
            <w:pPr>
              <w:jc w:val="left"/>
            </w:pPr>
            <w:r w:rsidRPr="003273F0">
              <w:t>Sustainable Development, Planning &amp; Transport</w:t>
            </w:r>
          </w:p>
        </w:tc>
        <w:tc>
          <w:tcPr>
            <w:tcW w:w="1134" w:type="dxa"/>
            <w:vAlign w:val="center"/>
          </w:tcPr>
          <w:p w:rsidR="001E5E8F" w:rsidRPr="007A41D3" w:rsidRDefault="001E5E8F" w:rsidP="001E5E8F">
            <w:pPr>
              <w:jc w:val="right"/>
            </w:pPr>
            <w:r w:rsidRPr="007A41D3">
              <w:t>1,624</w:t>
            </w:r>
          </w:p>
        </w:tc>
        <w:tc>
          <w:tcPr>
            <w:tcW w:w="992" w:type="dxa"/>
            <w:vAlign w:val="center"/>
          </w:tcPr>
          <w:p w:rsidR="001E5E8F" w:rsidRPr="008D7E01" w:rsidRDefault="007E4391" w:rsidP="008D7E01">
            <w:pPr>
              <w:jc w:val="right"/>
            </w:pPr>
            <w:r w:rsidRPr="008D7E01">
              <w:t>2,</w:t>
            </w:r>
            <w:r w:rsidR="008D7E01" w:rsidRPr="008D7E01">
              <w:t>215</w:t>
            </w:r>
          </w:p>
        </w:tc>
        <w:tc>
          <w:tcPr>
            <w:tcW w:w="1275" w:type="dxa"/>
            <w:vAlign w:val="center"/>
          </w:tcPr>
          <w:p w:rsidR="001E5E8F" w:rsidRPr="00312893" w:rsidRDefault="00312893" w:rsidP="001E5E8F">
            <w:pPr>
              <w:jc w:val="right"/>
            </w:pPr>
            <w:r w:rsidRPr="00312893">
              <w:t>1,065</w:t>
            </w:r>
          </w:p>
        </w:tc>
        <w:tc>
          <w:tcPr>
            <w:tcW w:w="1134" w:type="dxa"/>
            <w:vAlign w:val="center"/>
          </w:tcPr>
          <w:p w:rsidR="001E5E8F" w:rsidRPr="00312893" w:rsidRDefault="001E5E8F" w:rsidP="00312893">
            <w:pPr>
              <w:jc w:val="right"/>
            </w:pPr>
            <w:r w:rsidRPr="00312893">
              <w:t>(</w:t>
            </w:r>
            <w:r w:rsidR="00312893" w:rsidRPr="00312893">
              <w:t>242</w:t>
            </w:r>
            <w:r w:rsidRPr="00312893">
              <w:t>)</w:t>
            </w:r>
          </w:p>
        </w:tc>
        <w:tc>
          <w:tcPr>
            <w:tcW w:w="1134" w:type="dxa"/>
            <w:vAlign w:val="center"/>
          </w:tcPr>
          <w:p w:rsidR="001E5E8F" w:rsidRPr="00312893" w:rsidRDefault="00312893" w:rsidP="001E5E8F">
            <w:pPr>
              <w:jc w:val="right"/>
            </w:pPr>
            <w:r w:rsidRPr="00312893">
              <w:t>1,973</w:t>
            </w:r>
          </w:p>
        </w:tc>
      </w:tr>
      <w:tr w:rsidR="00923197" w:rsidRPr="00923197" w:rsidTr="003273F0">
        <w:tc>
          <w:tcPr>
            <w:tcW w:w="2977" w:type="dxa"/>
            <w:vAlign w:val="center"/>
          </w:tcPr>
          <w:p w:rsidR="001E5E8F" w:rsidRPr="003273F0" w:rsidRDefault="001E5E8F" w:rsidP="001E5E8F">
            <w:pPr>
              <w:jc w:val="left"/>
            </w:pPr>
            <w:r w:rsidRPr="003273F0">
              <w:t>General Public Services &amp; Community Safety</w:t>
            </w:r>
          </w:p>
        </w:tc>
        <w:tc>
          <w:tcPr>
            <w:tcW w:w="1134" w:type="dxa"/>
            <w:vAlign w:val="center"/>
          </w:tcPr>
          <w:p w:rsidR="001E5E8F" w:rsidRPr="007A41D3" w:rsidRDefault="001E5E8F" w:rsidP="001E5E8F">
            <w:pPr>
              <w:jc w:val="right"/>
            </w:pPr>
            <w:r w:rsidRPr="007A41D3">
              <w:t>1,367</w:t>
            </w:r>
          </w:p>
        </w:tc>
        <w:tc>
          <w:tcPr>
            <w:tcW w:w="992" w:type="dxa"/>
            <w:vAlign w:val="center"/>
          </w:tcPr>
          <w:p w:rsidR="001E5E8F" w:rsidRPr="008D7E01" w:rsidRDefault="007E4391" w:rsidP="001E5E8F">
            <w:pPr>
              <w:jc w:val="right"/>
            </w:pPr>
            <w:r w:rsidRPr="008D7E01">
              <w:t>973</w:t>
            </w:r>
          </w:p>
        </w:tc>
        <w:tc>
          <w:tcPr>
            <w:tcW w:w="1275" w:type="dxa"/>
            <w:vAlign w:val="center"/>
          </w:tcPr>
          <w:p w:rsidR="001E5E8F" w:rsidRPr="00312893" w:rsidRDefault="00312893" w:rsidP="00C7077D">
            <w:pPr>
              <w:jc w:val="right"/>
            </w:pPr>
            <w:r w:rsidRPr="00312893">
              <w:t>376</w:t>
            </w:r>
          </w:p>
        </w:tc>
        <w:tc>
          <w:tcPr>
            <w:tcW w:w="1134" w:type="dxa"/>
            <w:vAlign w:val="center"/>
          </w:tcPr>
          <w:p w:rsidR="001E5E8F" w:rsidRPr="00312893" w:rsidRDefault="001E5E8F" w:rsidP="001E5E8F">
            <w:pPr>
              <w:jc w:val="right"/>
            </w:pPr>
            <w:r w:rsidRPr="00312893">
              <w:t>0</w:t>
            </w:r>
          </w:p>
        </w:tc>
        <w:tc>
          <w:tcPr>
            <w:tcW w:w="1134" w:type="dxa"/>
            <w:vAlign w:val="center"/>
          </w:tcPr>
          <w:p w:rsidR="001E5E8F" w:rsidRPr="00312893" w:rsidRDefault="001E5E8F" w:rsidP="001E5E8F">
            <w:pPr>
              <w:jc w:val="right"/>
            </w:pPr>
            <w:r w:rsidRPr="00312893">
              <w:t>973</w:t>
            </w:r>
          </w:p>
        </w:tc>
      </w:tr>
      <w:tr w:rsidR="00923197" w:rsidRPr="00923197" w:rsidTr="003273F0">
        <w:tc>
          <w:tcPr>
            <w:tcW w:w="2977" w:type="dxa"/>
            <w:vAlign w:val="center"/>
          </w:tcPr>
          <w:p w:rsidR="001E5E8F" w:rsidRPr="003273F0" w:rsidRDefault="001E5E8F" w:rsidP="001E5E8F">
            <w:pPr>
              <w:jc w:val="left"/>
            </w:pPr>
            <w:r w:rsidRPr="003273F0">
              <w:t>Policy &amp; Resources</w:t>
            </w:r>
          </w:p>
        </w:tc>
        <w:tc>
          <w:tcPr>
            <w:tcW w:w="1134" w:type="dxa"/>
            <w:vAlign w:val="center"/>
          </w:tcPr>
          <w:p w:rsidR="001E5E8F" w:rsidRPr="007A41D3" w:rsidRDefault="001E5E8F" w:rsidP="001E5E8F">
            <w:pPr>
              <w:jc w:val="right"/>
            </w:pPr>
            <w:r w:rsidRPr="007A41D3">
              <w:t>856</w:t>
            </w:r>
          </w:p>
        </w:tc>
        <w:tc>
          <w:tcPr>
            <w:tcW w:w="992" w:type="dxa"/>
            <w:vAlign w:val="center"/>
          </w:tcPr>
          <w:p w:rsidR="001E5E8F" w:rsidRPr="008D7E01" w:rsidRDefault="007E4391" w:rsidP="001E5E8F">
            <w:pPr>
              <w:jc w:val="right"/>
            </w:pPr>
            <w:r w:rsidRPr="008D7E01">
              <w:t>2,320</w:t>
            </w:r>
          </w:p>
        </w:tc>
        <w:tc>
          <w:tcPr>
            <w:tcW w:w="1275" w:type="dxa"/>
            <w:vAlign w:val="center"/>
          </w:tcPr>
          <w:p w:rsidR="001E5E8F" w:rsidRPr="00312893" w:rsidRDefault="00312893" w:rsidP="001E5E8F">
            <w:pPr>
              <w:jc w:val="right"/>
            </w:pPr>
            <w:r w:rsidRPr="00312893">
              <w:t>734</w:t>
            </w:r>
          </w:p>
        </w:tc>
        <w:tc>
          <w:tcPr>
            <w:tcW w:w="1134" w:type="dxa"/>
            <w:vAlign w:val="center"/>
          </w:tcPr>
          <w:p w:rsidR="001E5E8F" w:rsidRPr="00312893" w:rsidRDefault="00312893" w:rsidP="00312893">
            <w:pPr>
              <w:jc w:val="right"/>
            </w:pPr>
            <w:r w:rsidRPr="00312893">
              <w:t>(520)</w:t>
            </w:r>
          </w:p>
        </w:tc>
        <w:tc>
          <w:tcPr>
            <w:tcW w:w="1134" w:type="dxa"/>
            <w:vAlign w:val="center"/>
          </w:tcPr>
          <w:p w:rsidR="001E5E8F" w:rsidRPr="00312893" w:rsidRDefault="00312893" w:rsidP="00312893">
            <w:pPr>
              <w:jc w:val="right"/>
            </w:pPr>
            <w:r w:rsidRPr="00312893">
              <w:t>1,800</w:t>
            </w:r>
          </w:p>
        </w:tc>
      </w:tr>
      <w:tr w:rsidR="001E5E8F" w:rsidRPr="00923197" w:rsidTr="003273F0">
        <w:tc>
          <w:tcPr>
            <w:tcW w:w="2977" w:type="dxa"/>
            <w:vAlign w:val="center"/>
          </w:tcPr>
          <w:p w:rsidR="001E5E8F" w:rsidRPr="003273F0" w:rsidRDefault="001E5E8F" w:rsidP="001E5E8F">
            <w:pPr>
              <w:jc w:val="left"/>
              <w:rPr>
                <w:b/>
              </w:rPr>
            </w:pPr>
            <w:r w:rsidRPr="003273F0">
              <w:rPr>
                <w:b/>
              </w:rPr>
              <w:t>Total Services Capital</w:t>
            </w:r>
          </w:p>
        </w:tc>
        <w:tc>
          <w:tcPr>
            <w:tcW w:w="1134" w:type="dxa"/>
            <w:vAlign w:val="center"/>
          </w:tcPr>
          <w:p w:rsidR="001E5E8F" w:rsidRPr="007A41D3" w:rsidRDefault="001E5E8F" w:rsidP="00B5700D">
            <w:pPr>
              <w:keepNext/>
              <w:jc w:val="right"/>
              <w:rPr>
                <w:b/>
              </w:rPr>
            </w:pPr>
            <w:r w:rsidRPr="007A41D3">
              <w:rPr>
                <w:b/>
              </w:rPr>
              <w:t>6,656</w:t>
            </w:r>
          </w:p>
        </w:tc>
        <w:tc>
          <w:tcPr>
            <w:tcW w:w="992" w:type="dxa"/>
            <w:vAlign w:val="center"/>
          </w:tcPr>
          <w:p w:rsidR="001E5E8F" w:rsidRPr="008D7E01" w:rsidRDefault="008D7E01" w:rsidP="001E5E8F">
            <w:pPr>
              <w:jc w:val="right"/>
              <w:rPr>
                <w:b/>
              </w:rPr>
            </w:pPr>
            <w:r w:rsidRPr="008D7E01">
              <w:rPr>
                <w:b/>
              </w:rPr>
              <w:t>7,664</w:t>
            </w:r>
          </w:p>
        </w:tc>
        <w:tc>
          <w:tcPr>
            <w:tcW w:w="1275" w:type="dxa"/>
            <w:vAlign w:val="center"/>
          </w:tcPr>
          <w:p w:rsidR="001E5E8F" w:rsidRPr="00312893" w:rsidRDefault="00312893" w:rsidP="00C7077D">
            <w:pPr>
              <w:jc w:val="right"/>
              <w:rPr>
                <w:b/>
              </w:rPr>
            </w:pPr>
            <w:r w:rsidRPr="00312893">
              <w:rPr>
                <w:b/>
              </w:rPr>
              <w:t>2,931</w:t>
            </w:r>
          </w:p>
        </w:tc>
        <w:tc>
          <w:tcPr>
            <w:tcW w:w="1134" w:type="dxa"/>
            <w:vAlign w:val="center"/>
          </w:tcPr>
          <w:p w:rsidR="001E5E8F" w:rsidRPr="00312893" w:rsidRDefault="00312893" w:rsidP="001E5E8F">
            <w:pPr>
              <w:jc w:val="right"/>
              <w:rPr>
                <w:b/>
              </w:rPr>
            </w:pPr>
            <w:r w:rsidRPr="00312893">
              <w:rPr>
                <w:b/>
              </w:rPr>
              <w:t>(1,752)</w:t>
            </w:r>
          </w:p>
        </w:tc>
        <w:tc>
          <w:tcPr>
            <w:tcW w:w="1134" w:type="dxa"/>
            <w:vAlign w:val="center"/>
          </w:tcPr>
          <w:p w:rsidR="001E5E8F" w:rsidRPr="00312893" w:rsidRDefault="00312893" w:rsidP="001E5E8F">
            <w:pPr>
              <w:jc w:val="right"/>
              <w:rPr>
                <w:b/>
              </w:rPr>
            </w:pPr>
            <w:r w:rsidRPr="00312893">
              <w:rPr>
                <w:b/>
              </w:rPr>
              <w:t>5,912</w:t>
            </w:r>
          </w:p>
        </w:tc>
      </w:tr>
    </w:tbl>
    <w:p w:rsidR="00E63EBF" w:rsidRDefault="00E63EBF" w:rsidP="00E63EBF">
      <w:pPr>
        <w:ind w:left="1267" w:hanging="1267"/>
        <w:rPr>
          <w:rFonts w:cs="Arial"/>
          <w:szCs w:val="22"/>
        </w:rPr>
      </w:pPr>
    </w:p>
    <w:p w:rsidR="008E0170" w:rsidRPr="008E0170" w:rsidRDefault="00B62B27" w:rsidP="00E63EBF">
      <w:pPr>
        <w:ind w:left="1267" w:hanging="1267"/>
        <w:rPr>
          <w:rFonts w:cs="Arial"/>
          <w:szCs w:val="22"/>
        </w:rPr>
      </w:pPr>
      <w:r w:rsidRPr="008E0170">
        <w:rPr>
          <w:rFonts w:cs="Arial"/>
          <w:szCs w:val="22"/>
        </w:rPr>
        <w:t>2.1</w:t>
      </w:r>
      <w:r w:rsidR="00E63EBF">
        <w:rPr>
          <w:rFonts w:cs="Arial"/>
          <w:szCs w:val="22"/>
        </w:rPr>
        <w:t>4</w:t>
      </w:r>
      <w:r w:rsidRPr="008E0170">
        <w:rPr>
          <w:rFonts w:cs="Arial"/>
          <w:szCs w:val="22"/>
        </w:rPr>
        <w:tab/>
      </w:r>
      <w:r w:rsidR="00F712DC" w:rsidRPr="008E0170">
        <w:rPr>
          <w:rFonts w:cs="Arial"/>
          <w:szCs w:val="22"/>
        </w:rPr>
        <w:t xml:space="preserve">The </w:t>
      </w:r>
      <w:r w:rsidRPr="008E0170">
        <w:rPr>
          <w:rFonts w:cs="Arial"/>
          <w:szCs w:val="22"/>
        </w:rPr>
        <w:t xml:space="preserve">main </w:t>
      </w:r>
      <w:r w:rsidR="00F712DC" w:rsidRPr="008E0170">
        <w:rPr>
          <w:rFonts w:cs="Arial"/>
          <w:szCs w:val="22"/>
        </w:rPr>
        <w:t>re</w:t>
      </w:r>
      <w:r w:rsidR="00234D8A" w:rsidRPr="008E0170">
        <w:rPr>
          <w:rFonts w:cs="Arial"/>
          <w:szCs w:val="22"/>
        </w:rPr>
        <w:t xml:space="preserve">ason for </w:t>
      </w:r>
      <w:r w:rsidR="00D8159C" w:rsidRPr="008E0170">
        <w:rPr>
          <w:rFonts w:cs="Arial"/>
          <w:szCs w:val="22"/>
        </w:rPr>
        <w:t xml:space="preserve">the £1.752 million </w:t>
      </w:r>
      <w:r w:rsidR="00234D8A" w:rsidRPr="008E0170">
        <w:rPr>
          <w:rFonts w:cs="Arial"/>
          <w:szCs w:val="22"/>
        </w:rPr>
        <w:t xml:space="preserve">variance </w:t>
      </w:r>
      <w:r w:rsidR="00AF5CA0" w:rsidRPr="008E0170">
        <w:rPr>
          <w:rFonts w:cs="Arial"/>
          <w:szCs w:val="22"/>
        </w:rPr>
        <w:t>are</w:t>
      </w:r>
      <w:r w:rsidR="00751AFC" w:rsidRPr="008E0170">
        <w:rPr>
          <w:rFonts w:cs="Arial"/>
          <w:szCs w:val="22"/>
        </w:rPr>
        <w:t xml:space="preserve"> rephasing of projects totalling </w:t>
      </w:r>
    </w:p>
    <w:p w:rsidR="00D8159C" w:rsidRDefault="008E0170" w:rsidP="00E63EBF">
      <w:pPr>
        <w:ind w:left="1267" w:hanging="1267"/>
        <w:rPr>
          <w:rFonts w:cs="Arial"/>
          <w:szCs w:val="22"/>
        </w:rPr>
      </w:pPr>
      <w:r w:rsidRPr="008E0170">
        <w:rPr>
          <w:rFonts w:cs="Arial"/>
          <w:szCs w:val="22"/>
        </w:rPr>
        <w:tab/>
        <w:t>£1.520 million</w:t>
      </w:r>
      <w:r w:rsidR="00751AFC" w:rsidRPr="008E0170">
        <w:rPr>
          <w:rFonts w:cs="Arial"/>
          <w:szCs w:val="22"/>
        </w:rPr>
        <w:t xml:space="preserve"> </w:t>
      </w:r>
      <w:r w:rsidR="00D8159C" w:rsidRPr="008E0170">
        <w:rPr>
          <w:rFonts w:cs="Arial"/>
          <w:szCs w:val="22"/>
        </w:rPr>
        <w:t>to 2017/18</w:t>
      </w:r>
      <w:r w:rsidR="00751AFC" w:rsidRPr="008E0170">
        <w:rPr>
          <w:rFonts w:cs="Arial"/>
          <w:szCs w:val="22"/>
        </w:rPr>
        <w:t xml:space="preserve"> and underspend</w:t>
      </w:r>
      <w:r w:rsidRPr="008E0170">
        <w:rPr>
          <w:rFonts w:cs="Arial"/>
          <w:szCs w:val="22"/>
        </w:rPr>
        <w:t>s totalling</w:t>
      </w:r>
      <w:r w:rsidR="00751AFC" w:rsidRPr="008E0170">
        <w:rPr>
          <w:rFonts w:cs="Arial"/>
          <w:szCs w:val="22"/>
        </w:rPr>
        <w:t xml:space="preserve"> £</w:t>
      </w:r>
      <w:r w:rsidR="005B42AD">
        <w:rPr>
          <w:rFonts w:cs="Arial"/>
          <w:szCs w:val="22"/>
        </w:rPr>
        <w:t>0.</w:t>
      </w:r>
      <w:r w:rsidRPr="008E0170">
        <w:rPr>
          <w:rFonts w:cs="Arial"/>
          <w:szCs w:val="22"/>
        </w:rPr>
        <w:t>23</w:t>
      </w:r>
      <w:r w:rsidR="005B42AD">
        <w:rPr>
          <w:rFonts w:cs="Arial"/>
          <w:szCs w:val="22"/>
        </w:rPr>
        <w:t>2 million</w:t>
      </w:r>
      <w:r w:rsidR="00751AFC" w:rsidRPr="008E0170">
        <w:rPr>
          <w:rFonts w:cs="Arial"/>
          <w:szCs w:val="22"/>
        </w:rPr>
        <w:t>. The variance for each category is shown below, with further detail shown at Appendix 6.</w:t>
      </w:r>
    </w:p>
    <w:p w:rsidR="00751AFC" w:rsidRDefault="00751AFC" w:rsidP="00E63EBF">
      <w:pPr>
        <w:ind w:left="1267" w:hanging="1267"/>
        <w:rPr>
          <w:rFonts w:cs="Arial"/>
          <w:szCs w:val="22"/>
        </w:rPr>
      </w:pPr>
    </w:p>
    <w:p w:rsidR="00751AFC" w:rsidRDefault="00751AFC" w:rsidP="00E63EBF">
      <w:pPr>
        <w:ind w:left="1267" w:hanging="1267"/>
        <w:rPr>
          <w:rFonts w:cs="Arial"/>
          <w:szCs w:val="22"/>
          <w:u w:val="single"/>
        </w:rPr>
      </w:pPr>
      <w:r>
        <w:rPr>
          <w:rFonts w:cs="Arial"/>
          <w:szCs w:val="22"/>
        </w:rPr>
        <w:tab/>
      </w:r>
      <w:r>
        <w:rPr>
          <w:rFonts w:cs="Arial"/>
          <w:szCs w:val="22"/>
          <w:u w:val="single"/>
        </w:rPr>
        <w:t>Rephasing</w:t>
      </w:r>
      <w:r w:rsidR="00527215">
        <w:rPr>
          <w:rFonts w:cs="Arial"/>
          <w:szCs w:val="22"/>
          <w:u w:val="single"/>
        </w:rPr>
        <w:t xml:space="preserve"> to 2017/18</w:t>
      </w:r>
    </w:p>
    <w:p w:rsidR="00527215" w:rsidRDefault="00527215" w:rsidP="00E63EBF">
      <w:pPr>
        <w:ind w:left="1267" w:hanging="1267"/>
        <w:rPr>
          <w:rFonts w:cs="Arial"/>
          <w:szCs w:val="22"/>
        </w:rPr>
      </w:pPr>
    </w:p>
    <w:p w:rsidR="00527215" w:rsidRDefault="00527215" w:rsidP="00E63EBF">
      <w:pPr>
        <w:pStyle w:val="ListParagraph"/>
        <w:numPr>
          <w:ilvl w:val="0"/>
          <w:numId w:val="33"/>
        </w:numPr>
        <w:rPr>
          <w:rFonts w:cs="Arial"/>
          <w:szCs w:val="22"/>
        </w:rPr>
      </w:pPr>
      <w:r>
        <w:rPr>
          <w:rFonts w:cs="Arial"/>
          <w:szCs w:val="22"/>
        </w:rPr>
        <w:t>Cemetery whole life costing - £4,000</w:t>
      </w:r>
    </w:p>
    <w:p w:rsidR="00527215" w:rsidRDefault="00527215" w:rsidP="00E63EBF">
      <w:pPr>
        <w:pStyle w:val="ListParagraph"/>
        <w:numPr>
          <w:ilvl w:val="0"/>
          <w:numId w:val="33"/>
        </w:numPr>
        <w:rPr>
          <w:rFonts w:cs="Arial"/>
          <w:szCs w:val="22"/>
        </w:rPr>
      </w:pPr>
      <w:r>
        <w:rPr>
          <w:rFonts w:cs="Arial"/>
          <w:szCs w:val="22"/>
        </w:rPr>
        <w:t>Open spaces access improvements - £19,200</w:t>
      </w:r>
    </w:p>
    <w:p w:rsidR="00527215" w:rsidRDefault="00527215" w:rsidP="00E63EBF">
      <w:pPr>
        <w:pStyle w:val="ListParagraph"/>
        <w:numPr>
          <w:ilvl w:val="0"/>
          <w:numId w:val="33"/>
        </w:numPr>
        <w:rPr>
          <w:rFonts w:cs="Arial"/>
          <w:szCs w:val="22"/>
        </w:rPr>
      </w:pPr>
      <w:r>
        <w:rPr>
          <w:rFonts w:cs="Arial"/>
          <w:szCs w:val="22"/>
        </w:rPr>
        <w:t>Maple Cross tennis court refurbishment - £1,540</w:t>
      </w:r>
    </w:p>
    <w:p w:rsidR="00527215" w:rsidRDefault="00527215" w:rsidP="00E63EBF">
      <w:pPr>
        <w:pStyle w:val="ListParagraph"/>
        <w:numPr>
          <w:ilvl w:val="0"/>
          <w:numId w:val="33"/>
        </w:numPr>
        <w:rPr>
          <w:rFonts w:cs="Arial"/>
          <w:szCs w:val="22"/>
        </w:rPr>
      </w:pPr>
      <w:r>
        <w:rPr>
          <w:rFonts w:cs="Arial"/>
          <w:szCs w:val="22"/>
        </w:rPr>
        <w:t>South Oxhey Leisure Centre - £10,000</w:t>
      </w:r>
    </w:p>
    <w:p w:rsidR="00527215" w:rsidRDefault="00527215" w:rsidP="00E63EBF">
      <w:pPr>
        <w:pStyle w:val="ListParagraph"/>
        <w:numPr>
          <w:ilvl w:val="0"/>
          <w:numId w:val="33"/>
        </w:numPr>
        <w:rPr>
          <w:rFonts w:cs="Arial"/>
          <w:szCs w:val="22"/>
        </w:rPr>
      </w:pPr>
      <w:r>
        <w:rPr>
          <w:rFonts w:cs="Arial"/>
          <w:szCs w:val="22"/>
        </w:rPr>
        <w:t xml:space="preserve">Watersmeet air </w:t>
      </w:r>
      <w:r w:rsidR="00871648">
        <w:rPr>
          <w:rFonts w:cs="Arial"/>
          <w:szCs w:val="22"/>
        </w:rPr>
        <w:t>conditioning</w:t>
      </w:r>
      <w:r>
        <w:rPr>
          <w:rFonts w:cs="Arial"/>
          <w:szCs w:val="22"/>
        </w:rPr>
        <w:t xml:space="preserve"> - £3,000</w:t>
      </w:r>
    </w:p>
    <w:p w:rsidR="00527215" w:rsidRDefault="00527215" w:rsidP="00E63EBF">
      <w:pPr>
        <w:pStyle w:val="ListParagraph"/>
        <w:numPr>
          <w:ilvl w:val="0"/>
          <w:numId w:val="33"/>
        </w:numPr>
        <w:rPr>
          <w:rFonts w:cs="Arial"/>
          <w:szCs w:val="22"/>
        </w:rPr>
      </w:pPr>
      <w:proofErr w:type="spellStart"/>
      <w:r>
        <w:rPr>
          <w:rFonts w:cs="Arial"/>
          <w:szCs w:val="22"/>
        </w:rPr>
        <w:t>Leavesden</w:t>
      </w:r>
      <w:proofErr w:type="spellEnd"/>
      <w:r>
        <w:rPr>
          <w:rFonts w:cs="Arial"/>
          <w:szCs w:val="22"/>
        </w:rPr>
        <w:t xml:space="preserve"> </w:t>
      </w:r>
      <w:r w:rsidR="00871648">
        <w:rPr>
          <w:rFonts w:cs="Arial"/>
          <w:szCs w:val="22"/>
        </w:rPr>
        <w:t>Management</w:t>
      </w:r>
      <w:r>
        <w:rPr>
          <w:rFonts w:cs="Arial"/>
          <w:szCs w:val="22"/>
        </w:rPr>
        <w:t xml:space="preserve"> Plan - £200,000</w:t>
      </w:r>
    </w:p>
    <w:p w:rsidR="00527215" w:rsidRDefault="00527215" w:rsidP="00E63EBF">
      <w:pPr>
        <w:pStyle w:val="ListParagraph"/>
        <w:numPr>
          <w:ilvl w:val="0"/>
          <w:numId w:val="33"/>
        </w:numPr>
        <w:rPr>
          <w:rFonts w:cs="Arial"/>
          <w:szCs w:val="22"/>
        </w:rPr>
      </w:pPr>
      <w:r>
        <w:rPr>
          <w:rFonts w:cs="Arial"/>
          <w:szCs w:val="22"/>
        </w:rPr>
        <w:t>Improving play areas - £169,000</w:t>
      </w:r>
    </w:p>
    <w:p w:rsidR="00527215" w:rsidRDefault="00527215" w:rsidP="00E63EBF">
      <w:pPr>
        <w:pStyle w:val="ListParagraph"/>
        <w:numPr>
          <w:ilvl w:val="0"/>
          <w:numId w:val="33"/>
        </w:numPr>
        <w:rPr>
          <w:rFonts w:cs="Arial"/>
          <w:szCs w:val="22"/>
        </w:rPr>
      </w:pPr>
      <w:proofErr w:type="spellStart"/>
      <w:r>
        <w:rPr>
          <w:rFonts w:cs="Arial"/>
          <w:szCs w:val="22"/>
        </w:rPr>
        <w:t>Scotsbridge</w:t>
      </w:r>
      <w:proofErr w:type="spellEnd"/>
      <w:r>
        <w:rPr>
          <w:rFonts w:cs="Arial"/>
          <w:szCs w:val="22"/>
        </w:rPr>
        <w:t xml:space="preserve"> all weather hockey pitch - £50,000</w:t>
      </w:r>
    </w:p>
    <w:p w:rsidR="00527215" w:rsidRDefault="00527215" w:rsidP="00E63EBF">
      <w:pPr>
        <w:pStyle w:val="ListParagraph"/>
        <w:numPr>
          <w:ilvl w:val="0"/>
          <w:numId w:val="33"/>
        </w:numPr>
        <w:rPr>
          <w:rFonts w:cs="Arial"/>
          <w:szCs w:val="22"/>
        </w:rPr>
      </w:pPr>
      <w:r>
        <w:rPr>
          <w:rFonts w:cs="Arial"/>
          <w:szCs w:val="22"/>
        </w:rPr>
        <w:t xml:space="preserve">Cycle </w:t>
      </w:r>
      <w:r w:rsidR="00871648">
        <w:rPr>
          <w:rFonts w:cs="Arial"/>
          <w:szCs w:val="22"/>
        </w:rPr>
        <w:t>schemes</w:t>
      </w:r>
      <w:r>
        <w:rPr>
          <w:rFonts w:cs="Arial"/>
          <w:szCs w:val="22"/>
        </w:rPr>
        <w:t xml:space="preserve"> - £31,670</w:t>
      </w:r>
    </w:p>
    <w:p w:rsidR="00527215" w:rsidRDefault="00527215" w:rsidP="00E63EBF">
      <w:pPr>
        <w:pStyle w:val="ListParagraph"/>
        <w:numPr>
          <w:ilvl w:val="0"/>
          <w:numId w:val="33"/>
        </w:numPr>
        <w:rPr>
          <w:rFonts w:cs="Arial"/>
          <w:szCs w:val="22"/>
        </w:rPr>
      </w:pPr>
      <w:r>
        <w:rPr>
          <w:rFonts w:cs="Arial"/>
          <w:szCs w:val="22"/>
        </w:rPr>
        <w:t xml:space="preserve">Retail </w:t>
      </w:r>
      <w:r w:rsidR="00871648">
        <w:rPr>
          <w:rFonts w:cs="Arial"/>
          <w:szCs w:val="22"/>
        </w:rPr>
        <w:t>parades</w:t>
      </w:r>
      <w:r>
        <w:rPr>
          <w:rFonts w:cs="Arial"/>
          <w:szCs w:val="22"/>
        </w:rPr>
        <w:t xml:space="preserve"> - £70,750</w:t>
      </w:r>
    </w:p>
    <w:p w:rsidR="00527215" w:rsidRDefault="00527215" w:rsidP="00E63EBF">
      <w:pPr>
        <w:pStyle w:val="ListParagraph"/>
        <w:numPr>
          <w:ilvl w:val="0"/>
          <w:numId w:val="33"/>
        </w:numPr>
        <w:rPr>
          <w:rFonts w:cs="Arial"/>
          <w:szCs w:val="22"/>
        </w:rPr>
      </w:pPr>
      <w:r>
        <w:rPr>
          <w:rFonts w:cs="Arial"/>
          <w:szCs w:val="22"/>
        </w:rPr>
        <w:t>Rickmansworth work hub - £20,000</w:t>
      </w:r>
    </w:p>
    <w:p w:rsidR="00527215" w:rsidRDefault="00527215" w:rsidP="00E63EBF">
      <w:pPr>
        <w:pStyle w:val="ListParagraph"/>
        <w:numPr>
          <w:ilvl w:val="0"/>
          <w:numId w:val="33"/>
        </w:numPr>
        <w:rPr>
          <w:rFonts w:cs="Arial"/>
          <w:szCs w:val="22"/>
        </w:rPr>
      </w:pPr>
      <w:r>
        <w:rPr>
          <w:rFonts w:cs="Arial"/>
          <w:szCs w:val="22"/>
        </w:rPr>
        <w:t>Controlled parking - £60,000</w:t>
      </w:r>
    </w:p>
    <w:p w:rsidR="00527215" w:rsidRDefault="00527215" w:rsidP="00E63EBF">
      <w:pPr>
        <w:pStyle w:val="ListParagraph"/>
        <w:numPr>
          <w:ilvl w:val="0"/>
          <w:numId w:val="33"/>
        </w:numPr>
        <w:rPr>
          <w:rFonts w:cs="Arial"/>
          <w:szCs w:val="22"/>
        </w:rPr>
      </w:pPr>
      <w:r>
        <w:rPr>
          <w:rFonts w:cs="Arial"/>
          <w:szCs w:val="22"/>
        </w:rPr>
        <w:t>ICT managed services - £194,380</w:t>
      </w:r>
    </w:p>
    <w:p w:rsidR="00527215" w:rsidRDefault="00527215" w:rsidP="00E63EBF">
      <w:pPr>
        <w:pStyle w:val="ListParagraph"/>
        <w:numPr>
          <w:ilvl w:val="0"/>
          <w:numId w:val="33"/>
        </w:numPr>
        <w:rPr>
          <w:rFonts w:cs="Arial"/>
          <w:szCs w:val="22"/>
        </w:rPr>
      </w:pPr>
      <w:r>
        <w:rPr>
          <w:rFonts w:cs="Arial"/>
          <w:szCs w:val="22"/>
        </w:rPr>
        <w:t>Shared services hardware replacement - £</w:t>
      </w:r>
      <w:r w:rsidR="00A2553A">
        <w:rPr>
          <w:rFonts w:cs="Arial"/>
          <w:szCs w:val="22"/>
        </w:rPr>
        <w:t>51,610</w:t>
      </w:r>
    </w:p>
    <w:p w:rsidR="00871648" w:rsidRDefault="00871648" w:rsidP="00E63EBF">
      <w:pPr>
        <w:pStyle w:val="ListParagraph"/>
        <w:numPr>
          <w:ilvl w:val="0"/>
          <w:numId w:val="33"/>
        </w:numPr>
        <w:rPr>
          <w:rFonts w:cs="Arial"/>
          <w:szCs w:val="22"/>
        </w:rPr>
      </w:pPr>
      <w:r>
        <w:rPr>
          <w:rFonts w:cs="Arial"/>
          <w:szCs w:val="22"/>
        </w:rPr>
        <w:t>ICT licences - £44,840</w:t>
      </w:r>
    </w:p>
    <w:p w:rsidR="00871648" w:rsidRDefault="00871648" w:rsidP="00E63EBF">
      <w:pPr>
        <w:pStyle w:val="ListParagraph"/>
        <w:numPr>
          <w:ilvl w:val="0"/>
          <w:numId w:val="33"/>
        </w:numPr>
        <w:rPr>
          <w:rFonts w:cs="Arial"/>
          <w:szCs w:val="22"/>
        </w:rPr>
      </w:pPr>
      <w:r>
        <w:rPr>
          <w:rFonts w:cs="Arial"/>
          <w:szCs w:val="22"/>
        </w:rPr>
        <w:t>ICT hardware replacement - £218,710</w:t>
      </w:r>
    </w:p>
    <w:p w:rsidR="00871648" w:rsidRDefault="00871648" w:rsidP="00E63EBF">
      <w:pPr>
        <w:pStyle w:val="ListParagraph"/>
        <w:numPr>
          <w:ilvl w:val="0"/>
          <w:numId w:val="33"/>
        </w:numPr>
        <w:rPr>
          <w:rFonts w:cs="Arial"/>
          <w:szCs w:val="22"/>
        </w:rPr>
      </w:pPr>
      <w:r>
        <w:rPr>
          <w:rFonts w:cs="Arial"/>
          <w:szCs w:val="22"/>
        </w:rPr>
        <w:t>Chorleywood house estate - £10,000</w:t>
      </w:r>
    </w:p>
    <w:p w:rsidR="00871648" w:rsidRDefault="00871648" w:rsidP="00E63EBF">
      <w:pPr>
        <w:pStyle w:val="ListParagraph"/>
        <w:numPr>
          <w:ilvl w:val="0"/>
          <w:numId w:val="33"/>
        </w:numPr>
        <w:rPr>
          <w:rFonts w:cs="Arial"/>
          <w:szCs w:val="22"/>
        </w:rPr>
      </w:pPr>
      <w:r>
        <w:rPr>
          <w:rFonts w:cs="Arial"/>
          <w:szCs w:val="22"/>
        </w:rPr>
        <w:t>Parking bays - £40,000</w:t>
      </w:r>
    </w:p>
    <w:p w:rsidR="00871648" w:rsidRDefault="00871648" w:rsidP="00E63EBF">
      <w:pPr>
        <w:pStyle w:val="ListParagraph"/>
        <w:numPr>
          <w:ilvl w:val="0"/>
          <w:numId w:val="33"/>
        </w:numPr>
        <w:rPr>
          <w:rFonts w:cs="Arial"/>
          <w:szCs w:val="22"/>
        </w:rPr>
      </w:pPr>
      <w:r>
        <w:rPr>
          <w:rFonts w:cs="Arial"/>
          <w:szCs w:val="22"/>
        </w:rPr>
        <w:t>Bury Lake Young Mariners - £250,000</w:t>
      </w:r>
    </w:p>
    <w:p w:rsidR="00871648" w:rsidRDefault="00871648" w:rsidP="00E63EBF">
      <w:pPr>
        <w:pStyle w:val="ListParagraph"/>
        <w:numPr>
          <w:ilvl w:val="0"/>
          <w:numId w:val="33"/>
        </w:numPr>
        <w:rPr>
          <w:rFonts w:cs="Arial"/>
          <w:szCs w:val="22"/>
        </w:rPr>
      </w:pPr>
      <w:r>
        <w:rPr>
          <w:rFonts w:cs="Arial"/>
          <w:szCs w:val="22"/>
        </w:rPr>
        <w:t>Capital Grant and Loans - £71,680</w:t>
      </w:r>
    </w:p>
    <w:p w:rsidR="00527215" w:rsidRPr="00527215" w:rsidRDefault="00527215" w:rsidP="005B42AD">
      <w:pPr>
        <w:pStyle w:val="ListParagraph"/>
        <w:widowControl w:val="0"/>
        <w:ind w:left="1985"/>
        <w:rPr>
          <w:rFonts w:cs="Arial"/>
          <w:szCs w:val="22"/>
        </w:rPr>
      </w:pPr>
    </w:p>
    <w:p w:rsidR="00D8159C" w:rsidRDefault="00871648" w:rsidP="005B42AD">
      <w:pPr>
        <w:ind w:left="1267" w:hanging="1267"/>
        <w:rPr>
          <w:rFonts w:cs="Arial"/>
          <w:szCs w:val="22"/>
        </w:rPr>
      </w:pPr>
      <w:r>
        <w:rPr>
          <w:rFonts w:cs="Arial"/>
          <w:szCs w:val="22"/>
        </w:rPr>
        <w:tab/>
      </w:r>
      <w:r>
        <w:rPr>
          <w:rFonts w:cs="Arial"/>
          <w:szCs w:val="22"/>
          <w:u w:val="single"/>
        </w:rPr>
        <w:t>Underspends</w:t>
      </w:r>
    </w:p>
    <w:p w:rsidR="00871648" w:rsidRDefault="00871648" w:rsidP="005B42AD">
      <w:pPr>
        <w:ind w:left="1267" w:hanging="1267"/>
        <w:rPr>
          <w:rFonts w:cs="Arial"/>
          <w:szCs w:val="22"/>
        </w:rPr>
      </w:pPr>
    </w:p>
    <w:p w:rsidR="00871648" w:rsidRDefault="00871648" w:rsidP="005B42AD">
      <w:pPr>
        <w:pStyle w:val="ListParagraph"/>
        <w:numPr>
          <w:ilvl w:val="0"/>
          <w:numId w:val="34"/>
        </w:numPr>
        <w:rPr>
          <w:rFonts w:cs="Arial"/>
          <w:szCs w:val="22"/>
        </w:rPr>
      </w:pPr>
      <w:r>
        <w:rPr>
          <w:rFonts w:cs="Arial"/>
          <w:szCs w:val="22"/>
        </w:rPr>
        <w:t>Allotments - £7,300</w:t>
      </w:r>
    </w:p>
    <w:p w:rsidR="00871648" w:rsidRDefault="00871648" w:rsidP="005B42AD">
      <w:pPr>
        <w:pStyle w:val="ListParagraph"/>
        <w:numPr>
          <w:ilvl w:val="0"/>
          <w:numId w:val="34"/>
        </w:numPr>
        <w:rPr>
          <w:rFonts w:cs="Arial"/>
          <w:szCs w:val="22"/>
        </w:rPr>
      </w:pPr>
      <w:r>
        <w:rPr>
          <w:rFonts w:cs="Arial"/>
          <w:szCs w:val="22"/>
        </w:rPr>
        <w:lastRenderedPageBreak/>
        <w:t>Energy performance certificates - £1,400</w:t>
      </w:r>
    </w:p>
    <w:p w:rsidR="00871648" w:rsidRDefault="00871648" w:rsidP="005B42AD">
      <w:pPr>
        <w:pStyle w:val="ListParagraph"/>
        <w:numPr>
          <w:ilvl w:val="0"/>
          <w:numId w:val="34"/>
        </w:numPr>
        <w:rPr>
          <w:rFonts w:cs="Arial"/>
          <w:szCs w:val="22"/>
        </w:rPr>
      </w:pPr>
      <w:r>
        <w:rPr>
          <w:rFonts w:cs="Arial"/>
          <w:szCs w:val="22"/>
        </w:rPr>
        <w:t>Footpaths and alleyways - £20,000</w:t>
      </w:r>
    </w:p>
    <w:p w:rsidR="00871648" w:rsidRDefault="00871648" w:rsidP="005B42AD">
      <w:pPr>
        <w:pStyle w:val="ListParagraph"/>
        <w:numPr>
          <w:ilvl w:val="0"/>
          <w:numId w:val="34"/>
        </w:numPr>
        <w:rPr>
          <w:rFonts w:cs="Arial"/>
          <w:szCs w:val="22"/>
        </w:rPr>
      </w:pPr>
      <w:proofErr w:type="spellStart"/>
      <w:r>
        <w:rPr>
          <w:rFonts w:cs="Arial"/>
          <w:szCs w:val="22"/>
        </w:rPr>
        <w:t>Leavesden</w:t>
      </w:r>
      <w:proofErr w:type="spellEnd"/>
      <w:r>
        <w:rPr>
          <w:rFonts w:cs="Arial"/>
          <w:szCs w:val="22"/>
        </w:rPr>
        <w:t xml:space="preserve"> management plan - £202,950</w:t>
      </w:r>
    </w:p>
    <w:p w:rsidR="00F63095" w:rsidRPr="00923197" w:rsidRDefault="00F63095" w:rsidP="00DC4B93">
      <w:pPr>
        <w:pStyle w:val="ListParagraph"/>
        <w:keepNext/>
        <w:ind w:left="1260"/>
        <w:rPr>
          <w:rFonts w:cs="Arial"/>
          <w:color w:val="365F91" w:themeColor="accent1" w:themeShade="BF"/>
          <w:szCs w:val="22"/>
          <w:highlight w:val="yellow"/>
        </w:rPr>
      </w:pPr>
    </w:p>
    <w:p w:rsidR="00B62B27" w:rsidRPr="00923197" w:rsidRDefault="00DC4B93" w:rsidP="00DC4B93">
      <w:pPr>
        <w:pStyle w:val="ListParagraph"/>
        <w:keepNext/>
        <w:ind w:left="1260" w:hanging="1260"/>
        <w:rPr>
          <w:rFonts w:cs="Arial"/>
          <w:color w:val="365F91" w:themeColor="accent1" w:themeShade="BF"/>
          <w:szCs w:val="22"/>
        </w:rPr>
      </w:pPr>
      <w:r w:rsidRPr="009233F2">
        <w:rPr>
          <w:rFonts w:cs="Arial"/>
          <w:szCs w:val="22"/>
        </w:rPr>
        <w:t>2.1</w:t>
      </w:r>
      <w:r w:rsidR="00E63EBF">
        <w:rPr>
          <w:rFonts w:cs="Arial"/>
          <w:szCs w:val="22"/>
        </w:rPr>
        <w:t>5</w:t>
      </w:r>
      <w:r w:rsidRPr="009233F2">
        <w:rPr>
          <w:rFonts w:cs="Arial"/>
          <w:szCs w:val="22"/>
        </w:rPr>
        <w:t xml:space="preserve"> </w:t>
      </w:r>
      <w:r w:rsidRPr="00923197">
        <w:rPr>
          <w:rFonts w:cs="Arial"/>
          <w:color w:val="365F91" w:themeColor="accent1" w:themeShade="BF"/>
          <w:szCs w:val="22"/>
        </w:rPr>
        <w:tab/>
      </w:r>
      <w:r w:rsidR="00B62B27" w:rsidRPr="00D37D55">
        <w:rPr>
          <w:rFonts w:cs="Arial"/>
          <w:szCs w:val="22"/>
        </w:rPr>
        <w:t xml:space="preserve">Capital spend up </w:t>
      </w:r>
      <w:r w:rsidR="00751AFC">
        <w:rPr>
          <w:rFonts w:cs="Arial"/>
          <w:szCs w:val="22"/>
        </w:rPr>
        <w:t>date</w:t>
      </w:r>
      <w:r w:rsidR="00B62B27" w:rsidRPr="00D37D55">
        <w:rPr>
          <w:rFonts w:cs="Arial"/>
          <w:szCs w:val="22"/>
        </w:rPr>
        <w:t xml:space="preserve"> was </w:t>
      </w:r>
      <w:r w:rsidR="00B62B27" w:rsidRPr="00751AFC">
        <w:rPr>
          <w:rFonts w:cs="Arial"/>
          <w:b/>
          <w:szCs w:val="22"/>
        </w:rPr>
        <w:t>£</w:t>
      </w:r>
      <w:r w:rsidR="00751AFC" w:rsidRPr="00751AFC">
        <w:rPr>
          <w:rFonts w:cs="Arial"/>
          <w:b/>
          <w:szCs w:val="22"/>
        </w:rPr>
        <w:t>2.931</w:t>
      </w:r>
      <w:r w:rsidR="00751AFC">
        <w:rPr>
          <w:rFonts w:cs="Arial"/>
          <w:b/>
          <w:szCs w:val="22"/>
        </w:rPr>
        <w:t xml:space="preserve"> </w:t>
      </w:r>
      <w:r w:rsidR="00F91C09" w:rsidRPr="00751AFC">
        <w:rPr>
          <w:rFonts w:cs="Arial"/>
          <w:b/>
          <w:szCs w:val="22"/>
        </w:rPr>
        <w:t>million</w:t>
      </w:r>
      <w:r w:rsidR="00B62B27" w:rsidRPr="00751AFC">
        <w:rPr>
          <w:rFonts w:cs="Arial"/>
          <w:szCs w:val="22"/>
        </w:rPr>
        <w:t xml:space="preserve"> </w:t>
      </w:r>
      <w:r w:rsidR="00B62B27" w:rsidRPr="00D37D55">
        <w:rPr>
          <w:rFonts w:cs="Arial"/>
          <w:szCs w:val="22"/>
        </w:rPr>
        <w:t xml:space="preserve">which represents </w:t>
      </w:r>
      <w:r w:rsidR="00751AFC" w:rsidRPr="00751AFC">
        <w:rPr>
          <w:rFonts w:cs="Arial"/>
          <w:szCs w:val="22"/>
        </w:rPr>
        <w:t>38.24</w:t>
      </w:r>
      <w:r w:rsidR="00B62B27" w:rsidRPr="00751AFC">
        <w:rPr>
          <w:rFonts w:cs="Arial"/>
          <w:szCs w:val="22"/>
        </w:rPr>
        <w:t xml:space="preserve">% </w:t>
      </w:r>
      <w:r w:rsidR="00B62B27" w:rsidRPr="00D37D55">
        <w:rPr>
          <w:rFonts w:cs="Arial"/>
          <w:szCs w:val="22"/>
        </w:rPr>
        <w:t>of the latest budget</w:t>
      </w:r>
      <w:r w:rsidR="00751AFC">
        <w:rPr>
          <w:rFonts w:cs="Arial"/>
          <w:szCs w:val="22"/>
        </w:rPr>
        <w:t>.</w:t>
      </w:r>
      <w:r w:rsidR="00F91C09" w:rsidRPr="00923197">
        <w:rPr>
          <w:rFonts w:cs="Arial"/>
          <w:color w:val="365F91" w:themeColor="accent1" w:themeShade="BF"/>
          <w:szCs w:val="22"/>
        </w:rPr>
        <w:t xml:space="preserve"> </w:t>
      </w:r>
    </w:p>
    <w:p w:rsidR="00B62B27" w:rsidRPr="00923197" w:rsidRDefault="00B62B27" w:rsidP="00B62B27">
      <w:pPr>
        <w:keepNext/>
        <w:rPr>
          <w:rFonts w:cs="Arial"/>
          <w:color w:val="365F91" w:themeColor="accent1" w:themeShade="BF"/>
          <w:szCs w:val="22"/>
        </w:rPr>
      </w:pPr>
    </w:p>
    <w:p w:rsidR="00A81F67" w:rsidRPr="00D37D55" w:rsidRDefault="00674638" w:rsidP="00A81F67">
      <w:pPr>
        <w:keepNext/>
        <w:ind w:left="1267" w:hanging="1267"/>
        <w:rPr>
          <w:rFonts w:cs="Arial"/>
          <w:szCs w:val="22"/>
        </w:rPr>
      </w:pPr>
      <w:r w:rsidRPr="00D37D55">
        <w:rPr>
          <w:rFonts w:cs="Arial"/>
          <w:szCs w:val="22"/>
        </w:rPr>
        <w:t>2.</w:t>
      </w:r>
      <w:r w:rsidR="00A81F67" w:rsidRPr="00D37D55">
        <w:rPr>
          <w:rFonts w:cs="Arial"/>
          <w:szCs w:val="22"/>
        </w:rPr>
        <w:t>1</w:t>
      </w:r>
      <w:r w:rsidR="00E63EBF">
        <w:rPr>
          <w:rFonts w:cs="Arial"/>
          <w:szCs w:val="22"/>
        </w:rPr>
        <w:t>6</w:t>
      </w:r>
      <w:r w:rsidRPr="00D37D55">
        <w:rPr>
          <w:rFonts w:cs="Arial"/>
          <w:szCs w:val="22"/>
        </w:rPr>
        <w:tab/>
      </w:r>
      <w:r w:rsidR="00A81F67" w:rsidRPr="00D37D55">
        <w:tab/>
      </w:r>
      <w:r w:rsidR="00A81F67" w:rsidRPr="00D37D55">
        <w:rPr>
          <w:b/>
        </w:rPr>
        <w:t xml:space="preserve">Appendix </w:t>
      </w:r>
      <w:r w:rsidR="00A46AF6">
        <w:rPr>
          <w:b/>
        </w:rPr>
        <w:t>5</w:t>
      </w:r>
      <w:r w:rsidR="00A81F67" w:rsidRPr="00D37D55">
        <w:t xml:space="preserve"> shows the Council</w:t>
      </w:r>
      <w:r w:rsidR="00842B6A" w:rsidRPr="00D37D55">
        <w:t>’</w:t>
      </w:r>
      <w:r w:rsidR="00A81F67" w:rsidRPr="00D37D55">
        <w:t>s medium term capital investment programme 2016 -20</w:t>
      </w:r>
      <w:r w:rsidR="00751AFC">
        <w:t>20</w:t>
      </w:r>
      <w:r w:rsidR="00A81F67" w:rsidRPr="00D37D55">
        <w:t xml:space="preserve"> by cost centre by Committee</w:t>
      </w:r>
      <w:r w:rsidR="00D41B6B" w:rsidRPr="00D37D55">
        <w:rPr>
          <w:rFonts w:cs="Arial"/>
          <w:szCs w:val="22"/>
        </w:rPr>
        <w:t>, including the comments on the latest position of each service.</w:t>
      </w:r>
    </w:p>
    <w:p w:rsidR="00A81F67" w:rsidRPr="00D37D55" w:rsidRDefault="00A81F67" w:rsidP="00A81F67">
      <w:pPr>
        <w:keepNext/>
        <w:ind w:left="1267" w:hanging="1267"/>
        <w:rPr>
          <w:rFonts w:cs="Arial"/>
          <w:szCs w:val="22"/>
        </w:rPr>
      </w:pPr>
    </w:p>
    <w:p w:rsidR="00674638" w:rsidRPr="00D37D55" w:rsidRDefault="00A81F67" w:rsidP="00A81F67">
      <w:pPr>
        <w:keepNext/>
        <w:ind w:left="1267" w:hanging="1267"/>
        <w:rPr>
          <w:rFonts w:cs="Arial"/>
          <w:b/>
          <w:szCs w:val="22"/>
        </w:rPr>
      </w:pPr>
      <w:r w:rsidRPr="00D37D55">
        <w:rPr>
          <w:rFonts w:cs="Arial"/>
          <w:szCs w:val="22"/>
        </w:rPr>
        <w:t>2.</w:t>
      </w:r>
      <w:r w:rsidR="00B7187F" w:rsidRPr="00D37D55">
        <w:rPr>
          <w:rFonts w:cs="Arial"/>
          <w:szCs w:val="22"/>
        </w:rPr>
        <w:t>1</w:t>
      </w:r>
      <w:r w:rsidR="00E63EBF">
        <w:rPr>
          <w:rFonts w:cs="Arial"/>
          <w:szCs w:val="22"/>
        </w:rPr>
        <w:t>7</w:t>
      </w:r>
      <w:r w:rsidRPr="00D37D55">
        <w:rPr>
          <w:rFonts w:cs="Arial"/>
          <w:szCs w:val="22"/>
        </w:rPr>
        <w:tab/>
      </w:r>
      <w:r w:rsidR="007514DD" w:rsidRPr="00D37D55">
        <w:rPr>
          <w:rFonts w:cs="Arial"/>
          <w:b/>
          <w:szCs w:val="22"/>
        </w:rPr>
        <w:t xml:space="preserve">Appendix </w:t>
      </w:r>
      <w:r w:rsidR="00A46AF6">
        <w:rPr>
          <w:rFonts w:cs="Arial"/>
          <w:b/>
          <w:szCs w:val="22"/>
        </w:rPr>
        <w:t>6</w:t>
      </w:r>
      <w:r w:rsidR="007514DD" w:rsidRPr="00D37D55">
        <w:rPr>
          <w:rFonts w:cs="Arial"/>
          <w:szCs w:val="22"/>
        </w:rPr>
        <w:t xml:space="preserve"> </w:t>
      </w:r>
      <w:r w:rsidR="00F61EB1" w:rsidRPr="00D37D55">
        <w:rPr>
          <w:rFonts w:cs="Arial"/>
          <w:szCs w:val="22"/>
        </w:rPr>
        <w:t>shows the</w:t>
      </w:r>
      <w:r w:rsidR="00F61EB1" w:rsidRPr="00D37D55">
        <w:rPr>
          <w:rFonts w:cs="Arial"/>
          <w:b/>
          <w:szCs w:val="22"/>
        </w:rPr>
        <w:t xml:space="preserve"> </w:t>
      </w:r>
      <w:r w:rsidR="00F61EB1" w:rsidRPr="00D37D55">
        <w:rPr>
          <w:rFonts w:cs="Arial"/>
          <w:szCs w:val="22"/>
        </w:rPr>
        <w:t>e</w:t>
      </w:r>
      <w:r w:rsidR="00F61EB1" w:rsidRPr="00D37D55">
        <w:t>xplanations of capital variances reported this period</w:t>
      </w:r>
      <w:r w:rsidR="00FF25AA" w:rsidRPr="00D37D55">
        <w:t>.</w:t>
      </w:r>
    </w:p>
    <w:p w:rsidR="00CA1432" w:rsidRPr="00D37D55" w:rsidRDefault="00CA1432" w:rsidP="00A81F67">
      <w:pPr>
        <w:keepNext/>
        <w:ind w:left="1267" w:hanging="1267"/>
        <w:rPr>
          <w:rFonts w:cs="Arial"/>
          <w:b/>
          <w:szCs w:val="22"/>
        </w:rPr>
      </w:pPr>
    </w:p>
    <w:p w:rsidR="00CA1432" w:rsidRPr="00D37D55" w:rsidRDefault="00CA1432" w:rsidP="00A81F67">
      <w:pPr>
        <w:keepNext/>
        <w:ind w:left="1267" w:hanging="1267"/>
      </w:pPr>
      <w:r w:rsidRPr="00D37D55">
        <w:rPr>
          <w:rFonts w:cs="Arial"/>
          <w:szCs w:val="22"/>
        </w:rPr>
        <w:t>2.</w:t>
      </w:r>
      <w:r w:rsidR="00636EFD">
        <w:rPr>
          <w:rFonts w:cs="Arial"/>
          <w:szCs w:val="22"/>
        </w:rPr>
        <w:t>1</w:t>
      </w:r>
      <w:r w:rsidR="00E63EBF">
        <w:rPr>
          <w:rFonts w:cs="Arial"/>
          <w:szCs w:val="22"/>
        </w:rPr>
        <w:t>8</w:t>
      </w:r>
      <w:r w:rsidRPr="00D37D55">
        <w:rPr>
          <w:rFonts w:cs="Arial"/>
          <w:b/>
          <w:szCs w:val="22"/>
        </w:rPr>
        <w:tab/>
        <w:t xml:space="preserve">Appendix </w:t>
      </w:r>
      <w:r w:rsidR="00A46AF6">
        <w:rPr>
          <w:rFonts w:cs="Arial"/>
          <w:b/>
          <w:szCs w:val="22"/>
        </w:rPr>
        <w:t>7</w:t>
      </w:r>
      <w:r w:rsidR="00F61EB1" w:rsidRPr="00D37D55">
        <w:rPr>
          <w:rFonts w:cs="Arial"/>
          <w:szCs w:val="22"/>
        </w:rPr>
        <w:t xml:space="preserve"> shows the funding of the capital programme.</w:t>
      </w:r>
    </w:p>
    <w:p w:rsidR="00CA1432" w:rsidRPr="00D37D55" w:rsidRDefault="00CA1432" w:rsidP="00A81F67">
      <w:pPr>
        <w:keepNext/>
        <w:ind w:left="1267" w:hanging="1267"/>
        <w:rPr>
          <w:rFonts w:cs="Arial"/>
          <w:szCs w:val="22"/>
        </w:rPr>
      </w:pPr>
    </w:p>
    <w:p w:rsidR="00F4144B" w:rsidRPr="00D37D55" w:rsidRDefault="006E177E" w:rsidP="000F504C">
      <w:pPr>
        <w:ind w:left="1267" w:hanging="1267"/>
        <w:jc w:val="left"/>
      </w:pPr>
      <w:r w:rsidRPr="00D37D55">
        <w:fldChar w:fldCharType="begin"/>
      </w:r>
      <w:r w:rsidRPr="00D37D55">
        <w:instrText xml:space="preserve">  </w:instrText>
      </w:r>
      <w:r w:rsidRPr="00D37D55">
        <w:fldChar w:fldCharType="end"/>
      </w:r>
      <w:r w:rsidR="00F4144B" w:rsidRPr="00D37D55">
        <w:t>3.</w:t>
      </w:r>
      <w:r w:rsidR="00F4144B" w:rsidRPr="00D37D55">
        <w:tab/>
      </w:r>
      <w:r w:rsidR="00F4144B" w:rsidRPr="00D37D55">
        <w:rPr>
          <w:b/>
        </w:rPr>
        <w:t>Options/Reasons for Recommendation</w:t>
      </w:r>
    </w:p>
    <w:p w:rsidR="00F4144B" w:rsidRPr="00D37D55" w:rsidRDefault="00F4144B">
      <w:pPr>
        <w:keepNext/>
        <w:ind w:left="1267" w:hanging="1267"/>
      </w:pPr>
    </w:p>
    <w:p w:rsidR="00A6630B" w:rsidRPr="00D37D55" w:rsidRDefault="00CF3D9A" w:rsidP="00CF3D9A">
      <w:pPr>
        <w:ind w:left="1267" w:hanging="1267"/>
      </w:pPr>
      <w:r w:rsidRPr="00D37D55">
        <w:t>3.1</w:t>
      </w:r>
      <w:r w:rsidRPr="00D37D55">
        <w:tab/>
      </w:r>
      <w:r w:rsidR="00F4144B" w:rsidRPr="00D37D55">
        <w:fldChar w:fldCharType="begin"/>
      </w:r>
      <w:r w:rsidR="00F4144B" w:rsidRPr="00D37D55">
        <w:instrText xml:space="preserve">  </w:instrText>
      </w:r>
      <w:r w:rsidR="00F4144B" w:rsidRPr="00D37D55">
        <w:fldChar w:fldCharType="end"/>
      </w:r>
      <w:r w:rsidR="00A6630B" w:rsidRPr="00D37D55">
        <w:t xml:space="preserve">The recommendations below enable the </w:t>
      </w:r>
      <w:r w:rsidR="00BE4FC7" w:rsidRPr="00D37D55">
        <w:t>Committee</w:t>
      </w:r>
      <w:r w:rsidR="00A6630B" w:rsidRPr="00D37D55">
        <w:t xml:space="preserve"> to make recommendations to Council concerning the</w:t>
      </w:r>
      <w:r w:rsidR="00011910" w:rsidRPr="00D37D55">
        <w:t>ir</w:t>
      </w:r>
      <w:r w:rsidR="00A6630B" w:rsidRPr="00D37D55">
        <w:t xml:space="preserve"> budget.</w:t>
      </w:r>
    </w:p>
    <w:p w:rsidR="00F4144B" w:rsidRPr="00D37D55" w:rsidRDefault="00F4144B">
      <w:pPr>
        <w:ind w:left="1267" w:hanging="1267"/>
      </w:pPr>
    </w:p>
    <w:p w:rsidR="00F4144B" w:rsidRPr="00D37D55" w:rsidRDefault="00F4144B">
      <w:pPr>
        <w:keepNext/>
        <w:ind w:left="1267" w:hanging="1267"/>
        <w:rPr>
          <w:b/>
        </w:rPr>
      </w:pPr>
      <w:r w:rsidRPr="00D37D55">
        <w:t>4.</w:t>
      </w:r>
      <w:r w:rsidRPr="00D37D55">
        <w:tab/>
      </w:r>
      <w:r w:rsidRPr="00D37D55">
        <w:rPr>
          <w:b/>
        </w:rPr>
        <w:t>Policy</w:t>
      </w:r>
      <w:r w:rsidR="00CF3D9A" w:rsidRPr="00D37D55">
        <w:rPr>
          <w:b/>
        </w:rPr>
        <w:t xml:space="preserve"> </w:t>
      </w:r>
      <w:r w:rsidRPr="00D37D55">
        <w:rPr>
          <w:b/>
        </w:rPr>
        <w:t>/</w:t>
      </w:r>
      <w:r w:rsidR="00CF3D9A" w:rsidRPr="00D37D55">
        <w:rPr>
          <w:b/>
        </w:rPr>
        <w:t xml:space="preserve"> </w:t>
      </w:r>
      <w:r w:rsidRPr="00D37D55">
        <w:rPr>
          <w:b/>
        </w:rPr>
        <w:t>Budget Reference and Implications</w:t>
      </w:r>
    </w:p>
    <w:p w:rsidR="00F62C05" w:rsidRPr="00D37D55" w:rsidRDefault="00F62C05" w:rsidP="00F62C05">
      <w:pPr>
        <w:ind w:left="1267" w:hanging="1267"/>
      </w:pPr>
      <w:r w:rsidRPr="00D37D55">
        <w:tab/>
      </w:r>
    </w:p>
    <w:p w:rsidR="005A1298" w:rsidRPr="00D37D55" w:rsidRDefault="005A1298" w:rsidP="005A1298">
      <w:pPr>
        <w:ind w:left="1267" w:hanging="1267"/>
        <w:rPr>
          <w:b/>
          <w:i/>
        </w:rPr>
      </w:pPr>
      <w:r w:rsidRPr="00D37D55">
        <w:t>4.1</w:t>
      </w:r>
      <w:r w:rsidRPr="00D37D55">
        <w:tab/>
      </w:r>
      <w:r w:rsidR="00E5034C" w:rsidRPr="00D37D55">
        <w:t xml:space="preserve">In accordance with the Council’s financial procedure rules, if the </w:t>
      </w:r>
      <w:r w:rsidRPr="00D37D55">
        <w:t xml:space="preserve">recommendations </w:t>
      </w:r>
      <w:r w:rsidR="00E5034C" w:rsidRPr="00D37D55">
        <w:t>are accepted, this will amend the Council’s budgets</w:t>
      </w:r>
      <w:r w:rsidR="00B35FEB" w:rsidRPr="00D37D55">
        <w:t>.</w:t>
      </w:r>
    </w:p>
    <w:p w:rsidR="00F4144B" w:rsidRPr="00D37D55" w:rsidRDefault="00F4144B">
      <w:pPr>
        <w:keepNext/>
        <w:ind w:left="1267" w:hanging="1267"/>
      </w:pPr>
    </w:p>
    <w:p w:rsidR="00F4144B" w:rsidRPr="00D37D55" w:rsidRDefault="00F4144B">
      <w:pPr>
        <w:ind w:left="1267" w:hanging="1267"/>
      </w:pPr>
      <w:r w:rsidRPr="00D37D55">
        <w:t>4.</w:t>
      </w:r>
      <w:r w:rsidR="00F62C05" w:rsidRPr="00D37D55">
        <w:t>2</w:t>
      </w:r>
      <w:r w:rsidRPr="00D37D55">
        <w:tab/>
      </w:r>
      <w:r w:rsidR="00A6630B" w:rsidRPr="00D37D55">
        <w:t xml:space="preserve">There are no substantial changes to Council policy resulting from this report. </w:t>
      </w:r>
    </w:p>
    <w:p w:rsidR="009E6A69" w:rsidRPr="00D37D55" w:rsidRDefault="009E6A69">
      <w:pPr>
        <w:ind w:left="1267" w:hanging="1267"/>
      </w:pPr>
    </w:p>
    <w:p w:rsidR="00F4144B" w:rsidRPr="00D37D55" w:rsidRDefault="009E0C43">
      <w:pPr>
        <w:keepNext/>
        <w:ind w:left="1267" w:hanging="1267"/>
      </w:pPr>
      <w:r w:rsidRPr="00D37D55">
        <w:t>5.</w:t>
      </w:r>
      <w:r w:rsidR="00F4144B" w:rsidRPr="00D37D55">
        <w:fldChar w:fldCharType="begin"/>
      </w:r>
      <w:r w:rsidR="00F4144B" w:rsidRPr="00D37D55">
        <w:instrText xml:space="preserve">  </w:instrText>
      </w:r>
      <w:r w:rsidR="00F4144B" w:rsidRPr="00D37D55">
        <w:fldChar w:fldCharType="end"/>
      </w:r>
      <w:r w:rsidR="00F4144B" w:rsidRPr="00D37D55">
        <w:tab/>
      </w:r>
      <w:r w:rsidR="00F4144B" w:rsidRPr="00D37D55">
        <w:rPr>
          <w:b/>
        </w:rPr>
        <w:t xml:space="preserve">Legal, Equal Opportunities, Staffing, Environmental, Community Safety, </w:t>
      </w:r>
      <w:r w:rsidR="000F504C" w:rsidRPr="00D37D55">
        <w:rPr>
          <w:b/>
        </w:rPr>
        <w:t xml:space="preserve">Public Health, </w:t>
      </w:r>
      <w:r w:rsidR="00F4144B" w:rsidRPr="00D37D55">
        <w:rPr>
          <w:b/>
        </w:rPr>
        <w:t>Customer Services Centre, Communications &amp; Website, and Health &amp; Safety Implications</w:t>
      </w:r>
    </w:p>
    <w:p w:rsidR="00F4144B" w:rsidRPr="00D37D55" w:rsidRDefault="00F4144B">
      <w:pPr>
        <w:keepNext/>
        <w:ind w:left="1267" w:hanging="1267"/>
      </w:pPr>
    </w:p>
    <w:p w:rsidR="00F4144B" w:rsidRPr="00D37D55" w:rsidRDefault="009E0C43">
      <w:pPr>
        <w:ind w:left="1267" w:hanging="1267"/>
      </w:pPr>
      <w:r w:rsidRPr="00D37D55">
        <w:t>5.1</w:t>
      </w:r>
      <w:r w:rsidR="00F4144B" w:rsidRPr="00D37D55">
        <w:fldChar w:fldCharType="begin"/>
      </w:r>
      <w:r w:rsidR="00F4144B" w:rsidRPr="00D37D55">
        <w:instrText xml:space="preserve">  </w:instrText>
      </w:r>
      <w:r w:rsidR="00F4144B" w:rsidRPr="00D37D55">
        <w:fldChar w:fldCharType="end"/>
      </w:r>
      <w:r w:rsidR="00F4144B" w:rsidRPr="00D37D55">
        <w:tab/>
        <w:t>None specific.</w:t>
      </w:r>
    </w:p>
    <w:p w:rsidR="00F4144B" w:rsidRPr="00D37D55" w:rsidRDefault="00F4144B">
      <w:pPr>
        <w:ind w:left="1267" w:hanging="1267"/>
      </w:pPr>
    </w:p>
    <w:p w:rsidR="00C37CBD" w:rsidRPr="00D37D55" w:rsidRDefault="00C37CBD" w:rsidP="00C37CBD">
      <w:pPr>
        <w:keepNext/>
        <w:ind w:left="1267" w:hanging="1267"/>
      </w:pPr>
      <w:r w:rsidRPr="00D37D55">
        <w:t>6.</w:t>
      </w:r>
      <w:r w:rsidRPr="00D37D55">
        <w:tab/>
      </w:r>
      <w:r w:rsidRPr="00D37D55">
        <w:rPr>
          <w:b/>
        </w:rPr>
        <w:t>Financial Implications</w:t>
      </w:r>
    </w:p>
    <w:p w:rsidR="00D2402D" w:rsidRPr="00D37D55" w:rsidRDefault="00885C90" w:rsidP="00C37CBD">
      <w:pPr>
        <w:keepNext/>
        <w:ind w:left="1267" w:hanging="1267"/>
        <w:rPr>
          <w:b/>
          <w:i/>
        </w:rPr>
      </w:pPr>
      <w:r w:rsidRPr="00D37D55">
        <w:t xml:space="preserve">                      </w:t>
      </w:r>
    </w:p>
    <w:p w:rsidR="00C37CBD" w:rsidRPr="00D37D55" w:rsidRDefault="00C37CBD" w:rsidP="00C37CBD">
      <w:pPr>
        <w:keepNext/>
        <w:tabs>
          <w:tab w:val="left" w:pos="567"/>
        </w:tabs>
        <w:ind w:left="1267" w:hanging="1267"/>
      </w:pPr>
      <w:r w:rsidRPr="00D37D55">
        <w:t>6.1</w:t>
      </w:r>
      <w:r w:rsidRPr="00D37D55">
        <w:rPr>
          <w:i/>
        </w:rPr>
        <w:tab/>
      </w:r>
      <w:r w:rsidRPr="00D37D55">
        <w:rPr>
          <w:i/>
        </w:rPr>
        <w:tab/>
      </w:r>
      <w:r w:rsidR="006E177E" w:rsidRPr="00D37D55">
        <w:t>The following revenue</w:t>
      </w:r>
      <w:r w:rsidR="00466E0D" w:rsidRPr="00D37D55">
        <w:t xml:space="preserve"> and capital</w:t>
      </w:r>
      <w:r w:rsidR="006E177E" w:rsidRPr="00D37D55">
        <w:t xml:space="preserve"> variations have been identified for </w:t>
      </w:r>
      <w:r w:rsidR="00991A84" w:rsidRPr="00D37D55">
        <w:t>all</w:t>
      </w:r>
      <w:r w:rsidR="0044131D" w:rsidRPr="00D37D55">
        <w:t xml:space="preserve"> </w:t>
      </w:r>
      <w:r w:rsidR="003A7356" w:rsidRPr="00D37D55">
        <w:t xml:space="preserve">Service </w:t>
      </w:r>
      <w:r w:rsidR="00562EAF" w:rsidRPr="00D37D55">
        <w:t>Committee</w:t>
      </w:r>
      <w:r w:rsidR="0044131D" w:rsidRPr="00D37D55">
        <w:t>s</w:t>
      </w:r>
      <w:r w:rsidR="00D30152" w:rsidRPr="00D37D55">
        <w:t xml:space="preserve"> for </w:t>
      </w:r>
      <w:r w:rsidR="008109FB" w:rsidRPr="00D37D55">
        <w:t xml:space="preserve">Period </w:t>
      </w:r>
      <w:r w:rsidR="00D37D55" w:rsidRPr="00D37D55">
        <w:t>10</w:t>
      </w:r>
      <w:r w:rsidR="008109FB" w:rsidRPr="00D37D55">
        <w:t xml:space="preserve"> (end of </w:t>
      </w:r>
      <w:r w:rsidR="00D37D55" w:rsidRPr="00D37D55">
        <w:t>January</w:t>
      </w:r>
      <w:r w:rsidR="008109FB" w:rsidRPr="00D37D55">
        <w:t>).</w:t>
      </w:r>
    </w:p>
    <w:p w:rsidR="00BA4783" w:rsidRPr="00923197" w:rsidRDefault="00BA4783" w:rsidP="00C37CBD">
      <w:pPr>
        <w:rPr>
          <w:color w:val="365F91" w:themeColor="accent1" w:themeShade="B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8"/>
        <w:gridCol w:w="1243"/>
        <w:gridCol w:w="1134"/>
        <w:gridCol w:w="1134"/>
        <w:gridCol w:w="993"/>
      </w:tblGrid>
      <w:tr w:rsidR="00237823" w:rsidRPr="00923197" w:rsidTr="008E0170">
        <w:tc>
          <w:tcPr>
            <w:tcW w:w="3718" w:type="dxa"/>
          </w:tcPr>
          <w:p w:rsidR="00237823" w:rsidRPr="00D37D55" w:rsidRDefault="00237823" w:rsidP="00D82603">
            <w:pPr>
              <w:widowControl w:val="0"/>
              <w:jc w:val="center"/>
              <w:rPr>
                <w:sz w:val="20"/>
              </w:rPr>
            </w:pPr>
          </w:p>
          <w:p w:rsidR="00237823" w:rsidRPr="00D37D55" w:rsidRDefault="00237823" w:rsidP="00D30152">
            <w:pPr>
              <w:widowControl w:val="0"/>
              <w:jc w:val="center"/>
              <w:rPr>
                <w:sz w:val="20"/>
              </w:rPr>
            </w:pPr>
            <w:r w:rsidRPr="00D37D55">
              <w:rPr>
                <w:sz w:val="20"/>
              </w:rPr>
              <w:t>Variance</w:t>
            </w:r>
          </w:p>
        </w:tc>
        <w:tc>
          <w:tcPr>
            <w:tcW w:w="1243" w:type="dxa"/>
            <w:tcBorders>
              <w:bottom w:val="single" w:sz="4" w:space="0" w:color="auto"/>
            </w:tcBorders>
          </w:tcPr>
          <w:p w:rsidR="00237823" w:rsidRPr="00D37D55" w:rsidRDefault="00237823" w:rsidP="00D82603">
            <w:pPr>
              <w:widowControl w:val="0"/>
              <w:jc w:val="center"/>
              <w:rPr>
                <w:sz w:val="20"/>
              </w:rPr>
            </w:pPr>
            <w:r w:rsidRPr="00D37D55">
              <w:rPr>
                <w:sz w:val="20"/>
              </w:rPr>
              <w:t>2016/17</w:t>
            </w:r>
          </w:p>
          <w:p w:rsidR="00237823" w:rsidRPr="00D37D55" w:rsidRDefault="00237823" w:rsidP="00D82603">
            <w:pPr>
              <w:widowControl w:val="0"/>
              <w:jc w:val="center"/>
              <w:rPr>
                <w:sz w:val="20"/>
              </w:rPr>
            </w:pPr>
            <w:r w:rsidRPr="00D37D55">
              <w:rPr>
                <w:sz w:val="20"/>
              </w:rPr>
              <w:t>£</w:t>
            </w:r>
          </w:p>
        </w:tc>
        <w:tc>
          <w:tcPr>
            <w:tcW w:w="1134" w:type="dxa"/>
            <w:tcBorders>
              <w:bottom w:val="single" w:sz="4" w:space="0" w:color="auto"/>
            </w:tcBorders>
          </w:tcPr>
          <w:p w:rsidR="00237823" w:rsidRPr="00D37D55" w:rsidRDefault="00237823" w:rsidP="00D82603">
            <w:pPr>
              <w:widowControl w:val="0"/>
              <w:jc w:val="center"/>
              <w:rPr>
                <w:sz w:val="20"/>
              </w:rPr>
            </w:pPr>
            <w:r w:rsidRPr="00D37D55">
              <w:rPr>
                <w:sz w:val="20"/>
              </w:rPr>
              <w:t>2017/18</w:t>
            </w:r>
          </w:p>
          <w:p w:rsidR="00237823" w:rsidRPr="00D37D55" w:rsidRDefault="00237823" w:rsidP="00D82603">
            <w:pPr>
              <w:widowControl w:val="0"/>
              <w:jc w:val="center"/>
              <w:rPr>
                <w:sz w:val="20"/>
              </w:rPr>
            </w:pPr>
            <w:r w:rsidRPr="00D37D55">
              <w:rPr>
                <w:sz w:val="20"/>
              </w:rPr>
              <w:t>£</w:t>
            </w:r>
          </w:p>
        </w:tc>
        <w:tc>
          <w:tcPr>
            <w:tcW w:w="1134" w:type="dxa"/>
            <w:tcBorders>
              <w:bottom w:val="single" w:sz="4" w:space="0" w:color="auto"/>
            </w:tcBorders>
          </w:tcPr>
          <w:p w:rsidR="00237823" w:rsidRPr="00D37D55" w:rsidRDefault="00237823" w:rsidP="000737C5">
            <w:pPr>
              <w:widowControl w:val="0"/>
              <w:jc w:val="center"/>
              <w:rPr>
                <w:sz w:val="20"/>
              </w:rPr>
            </w:pPr>
            <w:r w:rsidRPr="00D37D55">
              <w:rPr>
                <w:sz w:val="20"/>
              </w:rPr>
              <w:t>2018/19</w:t>
            </w:r>
          </w:p>
          <w:p w:rsidR="00237823" w:rsidRPr="00D37D55" w:rsidRDefault="00237823" w:rsidP="000737C5">
            <w:pPr>
              <w:widowControl w:val="0"/>
              <w:jc w:val="center"/>
              <w:rPr>
                <w:sz w:val="20"/>
              </w:rPr>
            </w:pPr>
            <w:r w:rsidRPr="00D37D55">
              <w:rPr>
                <w:sz w:val="20"/>
              </w:rPr>
              <w:t>£</w:t>
            </w:r>
          </w:p>
        </w:tc>
        <w:tc>
          <w:tcPr>
            <w:tcW w:w="993" w:type="dxa"/>
            <w:tcBorders>
              <w:bottom w:val="single" w:sz="4" w:space="0" w:color="auto"/>
            </w:tcBorders>
          </w:tcPr>
          <w:p w:rsidR="00237823" w:rsidRPr="00D37D55" w:rsidRDefault="00237823" w:rsidP="00D82603">
            <w:pPr>
              <w:widowControl w:val="0"/>
              <w:jc w:val="center"/>
              <w:rPr>
                <w:sz w:val="20"/>
              </w:rPr>
            </w:pPr>
            <w:r w:rsidRPr="00D37D55">
              <w:rPr>
                <w:sz w:val="20"/>
              </w:rPr>
              <w:t>201</w:t>
            </w:r>
            <w:r>
              <w:rPr>
                <w:sz w:val="20"/>
              </w:rPr>
              <w:t>9</w:t>
            </w:r>
            <w:r w:rsidRPr="00D37D55">
              <w:rPr>
                <w:sz w:val="20"/>
              </w:rPr>
              <w:t>/</w:t>
            </w:r>
            <w:r>
              <w:rPr>
                <w:sz w:val="20"/>
              </w:rPr>
              <w:t>20</w:t>
            </w:r>
          </w:p>
          <w:p w:rsidR="00237823" w:rsidRPr="00D37D55" w:rsidRDefault="00237823" w:rsidP="00D82603">
            <w:pPr>
              <w:widowControl w:val="0"/>
              <w:jc w:val="center"/>
              <w:rPr>
                <w:sz w:val="20"/>
              </w:rPr>
            </w:pPr>
            <w:r w:rsidRPr="00D37D55">
              <w:rPr>
                <w:sz w:val="20"/>
              </w:rPr>
              <w:t>£</w:t>
            </w:r>
          </w:p>
        </w:tc>
      </w:tr>
      <w:tr w:rsidR="00237823" w:rsidRPr="00923197" w:rsidTr="008E0170">
        <w:tc>
          <w:tcPr>
            <w:tcW w:w="3718" w:type="dxa"/>
          </w:tcPr>
          <w:p w:rsidR="00237823" w:rsidRPr="00D37D55" w:rsidRDefault="00237823" w:rsidP="00466E0D">
            <w:pPr>
              <w:widowControl w:val="0"/>
              <w:spacing w:before="60" w:after="60"/>
              <w:rPr>
                <w:sz w:val="20"/>
              </w:rPr>
            </w:pPr>
            <w:r w:rsidRPr="00D37D55">
              <w:rPr>
                <w:b/>
                <w:sz w:val="20"/>
              </w:rPr>
              <w:t xml:space="preserve">Revenue </w:t>
            </w:r>
            <w:r w:rsidRPr="00D37D55">
              <w:rPr>
                <w:sz w:val="20"/>
              </w:rPr>
              <w:t>- (Favourable )/ Unfavourable</w:t>
            </w:r>
          </w:p>
        </w:tc>
        <w:tc>
          <w:tcPr>
            <w:tcW w:w="1243" w:type="dxa"/>
            <w:shd w:val="clear" w:color="auto" w:fill="FFFFFF"/>
          </w:tcPr>
          <w:p w:rsidR="00237823" w:rsidRPr="00AA2D17" w:rsidRDefault="00AA2D17" w:rsidP="00AA2D17">
            <w:pPr>
              <w:widowControl w:val="0"/>
              <w:spacing w:before="60" w:after="60"/>
              <w:jc w:val="right"/>
              <w:rPr>
                <w:sz w:val="20"/>
              </w:rPr>
            </w:pPr>
            <w:r w:rsidRPr="00AA2D17">
              <w:rPr>
                <w:sz w:val="20"/>
              </w:rPr>
              <w:t>(7,000)</w:t>
            </w:r>
          </w:p>
        </w:tc>
        <w:tc>
          <w:tcPr>
            <w:tcW w:w="1134" w:type="dxa"/>
            <w:shd w:val="clear" w:color="auto" w:fill="FFFFFF"/>
          </w:tcPr>
          <w:p w:rsidR="00237823" w:rsidRPr="00AA2D17" w:rsidRDefault="00AA2D17" w:rsidP="009452E7">
            <w:pPr>
              <w:widowControl w:val="0"/>
              <w:spacing w:before="60" w:after="60"/>
              <w:ind w:right="7"/>
              <w:jc w:val="right"/>
              <w:rPr>
                <w:sz w:val="20"/>
              </w:rPr>
            </w:pPr>
            <w:r w:rsidRPr="00AA2D17">
              <w:rPr>
                <w:sz w:val="20"/>
              </w:rPr>
              <w:t>0</w:t>
            </w:r>
          </w:p>
        </w:tc>
        <w:tc>
          <w:tcPr>
            <w:tcW w:w="1134" w:type="dxa"/>
            <w:shd w:val="clear" w:color="auto" w:fill="FFFFFF"/>
          </w:tcPr>
          <w:p w:rsidR="00237823" w:rsidRPr="00AA2D17" w:rsidRDefault="00AA2D17" w:rsidP="000737C5">
            <w:pPr>
              <w:widowControl w:val="0"/>
              <w:spacing w:before="60" w:after="60"/>
              <w:ind w:right="7"/>
              <w:jc w:val="right"/>
              <w:rPr>
                <w:sz w:val="20"/>
              </w:rPr>
            </w:pPr>
            <w:r w:rsidRPr="00AA2D17">
              <w:rPr>
                <w:sz w:val="20"/>
              </w:rPr>
              <w:t>0</w:t>
            </w:r>
          </w:p>
        </w:tc>
        <w:tc>
          <w:tcPr>
            <w:tcW w:w="993" w:type="dxa"/>
            <w:shd w:val="clear" w:color="auto" w:fill="FFFFFF"/>
          </w:tcPr>
          <w:p w:rsidR="00237823" w:rsidRPr="00AA2D17" w:rsidRDefault="00AA2D17" w:rsidP="005D1D55">
            <w:pPr>
              <w:widowControl w:val="0"/>
              <w:spacing w:before="60" w:after="60"/>
              <w:ind w:right="7"/>
              <w:jc w:val="right"/>
              <w:rPr>
                <w:sz w:val="20"/>
              </w:rPr>
            </w:pPr>
            <w:r w:rsidRPr="00AA2D17">
              <w:rPr>
                <w:sz w:val="20"/>
              </w:rPr>
              <w:t>0</w:t>
            </w:r>
          </w:p>
        </w:tc>
      </w:tr>
      <w:tr w:rsidR="00237823" w:rsidRPr="00923197" w:rsidTr="008E0170">
        <w:tc>
          <w:tcPr>
            <w:tcW w:w="3718" w:type="dxa"/>
          </w:tcPr>
          <w:p w:rsidR="00237823" w:rsidRPr="00D37D55" w:rsidRDefault="00237823" w:rsidP="00466E0D">
            <w:pPr>
              <w:widowControl w:val="0"/>
              <w:spacing w:before="60" w:after="60"/>
              <w:rPr>
                <w:sz w:val="20"/>
              </w:rPr>
            </w:pPr>
            <w:r w:rsidRPr="00D37D55">
              <w:rPr>
                <w:b/>
                <w:sz w:val="20"/>
              </w:rPr>
              <w:t>Capital</w:t>
            </w:r>
            <w:r w:rsidRPr="00D37D55">
              <w:rPr>
                <w:sz w:val="20"/>
              </w:rPr>
              <w:t xml:space="preserve"> - Increase / (Decrease)</w:t>
            </w:r>
          </w:p>
        </w:tc>
        <w:tc>
          <w:tcPr>
            <w:tcW w:w="1243" w:type="dxa"/>
            <w:shd w:val="clear" w:color="auto" w:fill="FFFFFF"/>
          </w:tcPr>
          <w:p w:rsidR="00237823" w:rsidRPr="00923197" w:rsidRDefault="00751AFC" w:rsidP="0077607D">
            <w:pPr>
              <w:widowControl w:val="0"/>
              <w:spacing w:before="60" w:after="60"/>
              <w:jc w:val="right"/>
              <w:rPr>
                <w:color w:val="365F91" w:themeColor="accent1" w:themeShade="BF"/>
                <w:sz w:val="20"/>
              </w:rPr>
            </w:pPr>
            <w:r w:rsidRPr="00FE23E8">
              <w:rPr>
                <w:sz w:val="20"/>
              </w:rPr>
              <w:t>(1,752,030)</w:t>
            </w:r>
          </w:p>
        </w:tc>
        <w:tc>
          <w:tcPr>
            <w:tcW w:w="1134" w:type="dxa"/>
            <w:shd w:val="clear" w:color="auto" w:fill="FFFFFF"/>
          </w:tcPr>
          <w:p w:rsidR="00237823" w:rsidRPr="008E0170" w:rsidRDefault="008E0170" w:rsidP="0077607D">
            <w:pPr>
              <w:widowControl w:val="0"/>
              <w:spacing w:before="60" w:after="60"/>
              <w:ind w:right="7"/>
              <w:jc w:val="right"/>
              <w:rPr>
                <w:sz w:val="20"/>
              </w:rPr>
            </w:pPr>
            <w:r w:rsidRPr="008E0170">
              <w:rPr>
                <w:sz w:val="20"/>
              </w:rPr>
              <w:t>1,520,380</w:t>
            </w:r>
          </w:p>
        </w:tc>
        <w:tc>
          <w:tcPr>
            <w:tcW w:w="1134" w:type="dxa"/>
            <w:shd w:val="clear" w:color="auto" w:fill="FFFFFF"/>
          </w:tcPr>
          <w:p w:rsidR="00237823" w:rsidRPr="008E0170" w:rsidRDefault="00237823" w:rsidP="000737C5">
            <w:pPr>
              <w:widowControl w:val="0"/>
              <w:spacing w:before="60" w:after="60"/>
              <w:ind w:right="7"/>
              <w:jc w:val="right"/>
              <w:rPr>
                <w:sz w:val="20"/>
              </w:rPr>
            </w:pPr>
            <w:r w:rsidRPr="008E0170">
              <w:rPr>
                <w:sz w:val="20"/>
              </w:rPr>
              <w:t>0</w:t>
            </w:r>
          </w:p>
        </w:tc>
        <w:tc>
          <w:tcPr>
            <w:tcW w:w="993" w:type="dxa"/>
            <w:shd w:val="clear" w:color="auto" w:fill="FFFFFF"/>
          </w:tcPr>
          <w:p w:rsidR="00237823" w:rsidRPr="008E0170" w:rsidRDefault="00237823" w:rsidP="00D82603">
            <w:pPr>
              <w:widowControl w:val="0"/>
              <w:spacing w:before="60" w:after="60"/>
              <w:ind w:right="7"/>
              <w:jc w:val="right"/>
              <w:rPr>
                <w:sz w:val="20"/>
              </w:rPr>
            </w:pPr>
            <w:r w:rsidRPr="008E0170">
              <w:rPr>
                <w:sz w:val="20"/>
              </w:rPr>
              <w:t>0</w:t>
            </w:r>
          </w:p>
        </w:tc>
      </w:tr>
    </w:tbl>
    <w:p w:rsidR="00735FB1" w:rsidRPr="00923197" w:rsidRDefault="00735FB1" w:rsidP="002655E2">
      <w:pPr>
        <w:keepNext/>
        <w:tabs>
          <w:tab w:val="clear" w:pos="1260"/>
          <w:tab w:val="clear" w:pos="1980"/>
          <w:tab w:val="left" w:pos="1276"/>
        </w:tabs>
        <w:rPr>
          <w:color w:val="365F91" w:themeColor="accent1" w:themeShade="BF"/>
        </w:rPr>
      </w:pPr>
      <w:r w:rsidRPr="00923197">
        <w:rPr>
          <w:color w:val="365F91" w:themeColor="accent1" w:themeShade="BF"/>
        </w:rPr>
        <w:t xml:space="preserve">   </w:t>
      </w:r>
    </w:p>
    <w:p w:rsidR="00D41B6B" w:rsidRPr="00D37D55" w:rsidRDefault="00D41B6B" w:rsidP="002655E2">
      <w:pPr>
        <w:keepNext/>
        <w:tabs>
          <w:tab w:val="clear" w:pos="1260"/>
          <w:tab w:val="clear" w:pos="1980"/>
          <w:tab w:val="left" w:pos="1276"/>
        </w:tabs>
      </w:pPr>
    </w:p>
    <w:p w:rsidR="00C37CBD" w:rsidRPr="00D37D55" w:rsidRDefault="005A3853" w:rsidP="00E01F01">
      <w:pPr>
        <w:keepNext/>
        <w:tabs>
          <w:tab w:val="clear" w:pos="1260"/>
        </w:tabs>
        <w:rPr>
          <w:b/>
        </w:rPr>
      </w:pPr>
      <w:r w:rsidRPr="00D37D55">
        <w:t>7</w:t>
      </w:r>
      <w:r w:rsidR="00D97B2B" w:rsidRPr="00D37D55">
        <w:t>.</w:t>
      </w:r>
      <w:r w:rsidR="00E01F01" w:rsidRPr="00D37D55">
        <w:rPr>
          <w:b/>
        </w:rPr>
        <w:t xml:space="preserve">                  </w:t>
      </w:r>
      <w:r w:rsidR="00C37CBD" w:rsidRPr="00D37D55">
        <w:rPr>
          <w:b/>
        </w:rPr>
        <w:t xml:space="preserve">Risk </w:t>
      </w:r>
      <w:r w:rsidR="00E37DDC" w:rsidRPr="00D37D55">
        <w:rPr>
          <w:b/>
        </w:rPr>
        <w:t>Management Implications</w:t>
      </w:r>
    </w:p>
    <w:p w:rsidR="00C37CBD" w:rsidRPr="00D37D55" w:rsidRDefault="00C37CBD" w:rsidP="00C37CBD">
      <w:pPr>
        <w:ind w:left="1260" w:hanging="1260"/>
      </w:pPr>
      <w:r w:rsidRPr="00D37D55">
        <w:rPr>
          <w:b/>
          <w:i/>
        </w:rPr>
        <w:tab/>
      </w:r>
    </w:p>
    <w:p w:rsidR="00C37CBD" w:rsidRPr="00D37D55" w:rsidRDefault="005A3853" w:rsidP="00C37CBD">
      <w:pPr>
        <w:ind w:left="1276" w:hanging="1276"/>
      </w:pPr>
      <w:r w:rsidRPr="00D37D55">
        <w:t>7</w:t>
      </w:r>
      <w:r w:rsidR="00D972D6" w:rsidRPr="00D37D55">
        <w:t>.1</w:t>
      </w:r>
      <w:r w:rsidR="00C37CBD" w:rsidRPr="00D37D55">
        <w:tab/>
        <w:t>There are no risks to the Council in agreeing the recommendations.</w:t>
      </w:r>
    </w:p>
    <w:p w:rsidR="00C37CBD" w:rsidRPr="00D37D55" w:rsidRDefault="00C37CBD" w:rsidP="00C37CBD"/>
    <w:p w:rsidR="00C37CBD" w:rsidRPr="00D37D55" w:rsidRDefault="005A3853" w:rsidP="00C37CBD">
      <w:pPr>
        <w:ind w:left="1260" w:hanging="1260"/>
        <w:rPr>
          <w:i/>
        </w:rPr>
      </w:pPr>
      <w:r w:rsidRPr="00D37D55">
        <w:t>7</w:t>
      </w:r>
      <w:r w:rsidR="00C37CBD" w:rsidRPr="00D37D55">
        <w:t>.</w:t>
      </w:r>
      <w:r w:rsidR="00D972D6" w:rsidRPr="00D37D55">
        <w:t>2</w:t>
      </w:r>
      <w:r w:rsidR="00C37CBD" w:rsidRPr="00D37D55">
        <w:tab/>
      </w:r>
      <w:r w:rsidR="00C37CBD" w:rsidRPr="00D37D55">
        <w:rPr>
          <w:i/>
        </w:rPr>
        <w:t xml:space="preserve">The following table gives the risks if the recommendations are rejected, together with a scored assessment of their impact and likelihood: </w:t>
      </w:r>
    </w:p>
    <w:p w:rsidR="00AF634A" w:rsidRPr="00D37D55" w:rsidRDefault="00AF634A" w:rsidP="00C37CBD">
      <w:pPr>
        <w:ind w:left="1260" w:hanging="1260"/>
        <w:rPr>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D37D55" w:rsidRPr="00D37D55" w:rsidTr="00D82603">
        <w:tc>
          <w:tcPr>
            <w:tcW w:w="5384" w:type="dxa"/>
            <w:gridSpan w:val="2"/>
          </w:tcPr>
          <w:p w:rsidR="00C37CBD" w:rsidRPr="00D37D55" w:rsidRDefault="00C37CBD" w:rsidP="00D82603">
            <w:pPr>
              <w:jc w:val="center"/>
              <w:rPr>
                <w:i/>
                <w:sz w:val="20"/>
              </w:rPr>
            </w:pPr>
            <w:r w:rsidRPr="00D37D55">
              <w:rPr>
                <w:i/>
                <w:sz w:val="20"/>
              </w:rPr>
              <w:t>Description of Risk</w:t>
            </w:r>
          </w:p>
        </w:tc>
        <w:tc>
          <w:tcPr>
            <w:tcW w:w="1170" w:type="dxa"/>
          </w:tcPr>
          <w:p w:rsidR="00C37CBD" w:rsidRPr="00D37D55" w:rsidRDefault="00C37CBD" w:rsidP="00D82603">
            <w:pPr>
              <w:jc w:val="center"/>
              <w:rPr>
                <w:i/>
                <w:sz w:val="20"/>
              </w:rPr>
            </w:pPr>
            <w:r w:rsidRPr="00D37D55">
              <w:rPr>
                <w:i/>
                <w:sz w:val="20"/>
              </w:rPr>
              <w:t>Impact</w:t>
            </w:r>
          </w:p>
        </w:tc>
        <w:tc>
          <w:tcPr>
            <w:tcW w:w="1350" w:type="dxa"/>
          </w:tcPr>
          <w:p w:rsidR="00C37CBD" w:rsidRPr="00D37D55" w:rsidRDefault="00C37CBD" w:rsidP="00D82603">
            <w:pPr>
              <w:ind w:left="34"/>
              <w:jc w:val="center"/>
              <w:rPr>
                <w:i/>
                <w:sz w:val="20"/>
              </w:rPr>
            </w:pPr>
            <w:r w:rsidRPr="00D37D55">
              <w:rPr>
                <w:i/>
                <w:sz w:val="20"/>
              </w:rPr>
              <w:t>Likelihood</w:t>
            </w:r>
          </w:p>
        </w:tc>
      </w:tr>
      <w:tr w:rsidR="00C37CBD" w:rsidRPr="00D37D55" w:rsidTr="00D82603">
        <w:tc>
          <w:tcPr>
            <w:tcW w:w="328" w:type="dxa"/>
          </w:tcPr>
          <w:p w:rsidR="00C37CBD" w:rsidRPr="00D37D55" w:rsidRDefault="00C37CBD" w:rsidP="00D82603">
            <w:pPr>
              <w:jc w:val="left"/>
              <w:rPr>
                <w:i/>
                <w:sz w:val="20"/>
              </w:rPr>
            </w:pPr>
            <w:r w:rsidRPr="00D37D55">
              <w:rPr>
                <w:i/>
                <w:sz w:val="20"/>
              </w:rPr>
              <w:t>1</w:t>
            </w:r>
          </w:p>
        </w:tc>
        <w:tc>
          <w:tcPr>
            <w:tcW w:w="5056" w:type="dxa"/>
          </w:tcPr>
          <w:p w:rsidR="00C37CBD" w:rsidRPr="00D37D55" w:rsidRDefault="00C37CBD" w:rsidP="00D82603">
            <w:pPr>
              <w:jc w:val="left"/>
              <w:rPr>
                <w:i/>
                <w:sz w:val="20"/>
              </w:rPr>
            </w:pPr>
            <w:r w:rsidRPr="00D37D55">
              <w:rPr>
                <w:i/>
                <w:sz w:val="20"/>
              </w:rPr>
              <w:t>The Council’s Medium-Term Financial Plan would be out of date and officers would not have accurate budgets to work to.</w:t>
            </w:r>
          </w:p>
        </w:tc>
        <w:tc>
          <w:tcPr>
            <w:tcW w:w="1170" w:type="dxa"/>
          </w:tcPr>
          <w:p w:rsidR="00C37CBD" w:rsidRPr="00D37D55" w:rsidRDefault="00C37CBD" w:rsidP="00D82603">
            <w:pPr>
              <w:jc w:val="center"/>
              <w:rPr>
                <w:i/>
                <w:sz w:val="20"/>
              </w:rPr>
            </w:pPr>
          </w:p>
          <w:p w:rsidR="00C37CBD" w:rsidRPr="00D37D55" w:rsidRDefault="00C37CBD" w:rsidP="00D82603">
            <w:pPr>
              <w:jc w:val="center"/>
              <w:rPr>
                <w:i/>
                <w:sz w:val="20"/>
              </w:rPr>
            </w:pPr>
            <w:r w:rsidRPr="00D37D55">
              <w:rPr>
                <w:i/>
                <w:sz w:val="20"/>
              </w:rPr>
              <w:t>III</w:t>
            </w:r>
          </w:p>
        </w:tc>
        <w:tc>
          <w:tcPr>
            <w:tcW w:w="1350" w:type="dxa"/>
          </w:tcPr>
          <w:p w:rsidR="00C37CBD" w:rsidRPr="00D37D55" w:rsidRDefault="00C37CBD" w:rsidP="00D82603">
            <w:pPr>
              <w:jc w:val="center"/>
              <w:rPr>
                <w:i/>
                <w:sz w:val="20"/>
              </w:rPr>
            </w:pPr>
          </w:p>
          <w:p w:rsidR="00C37CBD" w:rsidRPr="00D37D55" w:rsidRDefault="00C37CBD" w:rsidP="00D82603">
            <w:pPr>
              <w:jc w:val="center"/>
              <w:rPr>
                <w:i/>
                <w:sz w:val="20"/>
              </w:rPr>
            </w:pPr>
            <w:r w:rsidRPr="00D37D55">
              <w:rPr>
                <w:i/>
                <w:sz w:val="20"/>
              </w:rPr>
              <w:t>A</w:t>
            </w:r>
          </w:p>
        </w:tc>
      </w:tr>
    </w:tbl>
    <w:p w:rsidR="00C37CBD" w:rsidRPr="00D37D55" w:rsidRDefault="00C37CBD" w:rsidP="00C37CBD"/>
    <w:p w:rsidR="00C37CBD" w:rsidRPr="00D37D55" w:rsidRDefault="005A3853" w:rsidP="00C37CBD">
      <w:pPr>
        <w:ind w:left="1276" w:hanging="1276"/>
      </w:pPr>
      <w:r w:rsidRPr="00D37D55">
        <w:t>7</w:t>
      </w:r>
      <w:r w:rsidR="00C37CBD" w:rsidRPr="00D37D55">
        <w:t>.</w:t>
      </w:r>
      <w:r w:rsidR="00D972D6" w:rsidRPr="00D37D55">
        <w:t>3</w:t>
      </w:r>
      <w:r w:rsidR="00C37CBD" w:rsidRPr="00D37D55">
        <w:tab/>
        <w:t xml:space="preserve">The Council has determined its aversion to risk and is prepared to tolerate risks where the combination of impact and likelihood are plotted in the shaded area of the matrix. The remaining risks require a treatment plan. </w:t>
      </w:r>
      <w:r w:rsidR="00D972D6" w:rsidRPr="00D37D55">
        <w:t>The risk is managed within the Finance services service plan</w:t>
      </w:r>
      <w:r w:rsidR="003A7356" w:rsidRPr="00D37D55">
        <w:t>.</w:t>
      </w:r>
    </w:p>
    <w:p w:rsidR="00C22386" w:rsidRPr="00D37D55" w:rsidRDefault="00C22386" w:rsidP="00C37CBD">
      <w:pPr>
        <w:ind w:left="1276" w:hanging="1276"/>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D37D55" w:rsidRPr="00D37D55" w:rsidTr="00D82603">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C37CBD" w:rsidRPr="00D37D55" w:rsidRDefault="00C81C40" w:rsidP="00D82603">
            <w:pPr>
              <w:keepNext/>
              <w:keepLines/>
              <w:ind w:left="113" w:right="113"/>
              <w:jc w:val="center"/>
              <w:rPr>
                <w:b/>
                <w:szCs w:val="22"/>
              </w:rPr>
            </w:pPr>
            <w:r w:rsidRPr="00D37D55">
              <w:rPr>
                <w:b/>
                <w:noProof/>
                <w:szCs w:val="22"/>
              </w:rPr>
              <mc:AlternateContent>
                <mc:Choice Requires="wps">
                  <w:drawing>
                    <wp:anchor distT="0" distB="0" distL="114300" distR="114300" simplePos="0" relativeHeight="251657216" behindDoc="0" locked="0" layoutInCell="0" allowOverlap="1" wp14:anchorId="438267F5" wp14:editId="7CDAED01">
                      <wp:simplePos x="0" y="0"/>
                      <wp:positionH relativeFrom="column">
                        <wp:posOffset>1115695</wp:posOffset>
                      </wp:positionH>
                      <wp:positionV relativeFrom="paragraph">
                        <wp:posOffset>107950</wp:posOffset>
                      </wp:positionV>
                      <wp:extent cx="0" cy="129667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jOLwIAAFQEAAAOAAAAZHJzL2Uyb0RvYy54bWysVE2P2jAQvVfqf7B8h3w0s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xdb4zi8CAABUBAAADgAAAAAAAAAAAAAAAAAuAgAA&#10;ZHJzL2Uyb0RvYy54bWxQSwECLQAUAAYACAAAACEAxMC8G94AAAAKAQAADwAAAAAAAAAAAAAAAACJ&#10;BAAAZHJzL2Rvd25yZXYueG1sUEsFBgAAAAAEAAQA8wAAAJQFAAAAAA==&#10;" o:allowincell="f">
                      <v:stroke endarrow="block"/>
                    </v:line>
                  </w:pict>
                </mc:Fallback>
              </mc:AlternateContent>
            </w:r>
            <w:r w:rsidRPr="00D37D55">
              <w:rPr>
                <w:noProof/>
                <w:szCs w:val="22"/>
              </w:rPr>
              <mc:AlternateContent>
                <mc:Choice Requires="wps">
                  <w:drawing>
                    <wp:anchor distT="0" distB="0" distL="114300" distR="114300" simplePos="0" relativeHeight="251658240" behindDoc="0" locked="0" layoutInCell="0" allowOverlap="1" wp14:anchorId="5D64DB1D" wp14:editId="0136DEC0">
                      <wp:simplePos x="0" y="0"/>
                      <wp:positionH relativeFrom="column">
                        <wp:posOffset>1298575</wp:posOffset>
                      </wp:positionH>
                      <wp:positionV relativeFrom="paragraph">
                        <wp:posOffset>1388110</wp:posOffset>
                      </wp:positionV>
                      <wp:extent cx="228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ptKAIAAEo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LoF6bSgCAABKBAAADgAAAAAAAAAAAAAAAAAuAgAAZHJzL2Uy&#10;b0RvYy54bWxQSwECLQAUAAYACAAAACEASGthZd8AAAALAQAADwAAAAAAAAAAAAAAAACCBAAAZHJz&#10;L2Rvd25yZXYueG1sUEsFBgAAAAAEAAQA8wAAAI4FAAAAAA==&#10;" o:allowincell="f">
                      <v:stroke endarrow="block"/>
                    </v:line>
                  </w:pict>
                </mc:Fallback>
              </mc:AlternateContent>
            </w:r>
            <w:r w:rsidR="00C37CBD" w:rsidRPr="00D37D55">
              <w:rPr>
                <w:b/>
                <w:szCs w:val="22"/>
              </w:rPr>
              <w:t>Likelihood</w:t>
            </w:r>
          </w:p>
        </w:tc>
        <w:tc>
          <w:tcPr>
            <w:tcW w:w="452" w:type="dxa"/>
            <w:tcBorders>
              <w:top w:val="single" w:sz="4" w:space="0" w:color="auto"/>
              <w:left w:val="single" w:sz="4" w:space="0" w:color="auto"/>
            </w:tcBorders>
          </w:tcPr>
          <w:p w:rsidR="00C37CBD" w:rsidRPr="00D37D55" w:rsidRDefault="00C37CBD" w:rsidP="00D82603">
            <w:pPr>
              <w:keepNext/>
              <w:keepLines/>
            </w:pPr>
            <w:r w:rsidRPr="00D37D55">
              <w:t>A</w:t>
            </w:r>
          </w:p>
        </w:tc>
        <w:tc>
          <w:tcPr>
            <w:tcW w:w="723" w:type="dxa"/>
            <w:tcBorders>
              <w:top w:val="single" w:sz="4" w:space="0" w:color="auto"/>
            </w:tcBorders>
            <w:shd w:val="pct15" w:color="auto" w:fill="FFFFFF"/>
          </w:tcPr>
          <w:p w:rsidR="00C37CBD" w:rsidRPr="00D37D55" w:rsidRDefault="00C37CBD" w:rsidP="00D82603">
            <w:pPr>
              <w:keepNext/>
              <w:keepLines/>
            </w:pPr>
          </w:p>
        </w:tc>
        <w:tc>
          <w:tcPr>
            <w:tcW w:w="723" w:type="dxa"/>
            <w:tcBorders>
              <w:top w:val="single" w:sz="4" w:space="0" w:color="auto"/>
            </w:tcBorders>
          </w:tcPr>
          <w:p w:rsidR="00C37CBD" w:rsidRPr="00D37D55" w:rsidRDefault="00C37CBD" w:rsidP="00D82603">
            <w:pPr>
              <w:keepNext/>
              <w:keepLines/>
            </w:pPr>
          </w:p>
        </w:tc>
        <w:tc>
          <w:tcPr>
            <w:tcW w:w="724" w:type="dxa"/>
            <w:tcBorders>
              <w:top w:val="single" w:sz="4" w:space="0" w:color="auto"/>
              <w:bottom w:val="single" w:sz="4" w:space="0" w:color="auto"/>
            </w:tcBorders>
          </w:tcPr>
          <w:p w:rsidR="00C37CBD" w:rsidRPr="00D37D55" w:rsidRDefault="00C37CBD" w:rsidP="00D82603">
            <w:pPr>
              <w:keepNext/>
              <w:keepLines/>
            </w:pPr>
            <w:r w:rsidRPr="00D37D55">
              <w:t>1</w:t>
            </w:r>
          </w:p>
        </w:tc>
        <w:tc>
          <w:tcPr>
            <w:tcW w:w="723" w:type="dxa"/>
            <w:tcBorders>
              <w:top w:val="single" w:sz="4" w:space="0" w:color="auto"/>
              <w:bottom w:val="single" w:sz="4" w:space="0" w:color="auto"/>
              <w:right w:val="single" w:sz="4" w:space="0" w:color="auto"/>
            </w:tcBorders>
          </w:tcPr>
          <w:p w:rsidR="00C37CBD" w:rsidRPr="00D37D55" w:rsidRDefault="00C37CBD" w:rsidP="00D82603">
            <w:pPr>
              <w:keepNext/>
              <w:keepLines/>
              <w:jc w:val="center"/>
            </w:pPr>
          </w:p>
        </w:tc>
        <w:tc>
          <w:tcPr>
            <w:tcW w:w="724" w:type="dxa"/>
            <w:tcBorders>
              <w:top w:val="single" w:sz="4" w:space="0" w:color="auto"/>
              <w:bottom w:val="single" w:sz="4" w:space="0" w:color="auto"/>
              <w:right w:val="single" w:sz="4" w:space="0" w:color="auto"/>
            </w:tcBorders>
          </w:tcPr>
          <w:p w:rsidR="00C37CBD" w:rsidRPr="00D37D55" w:rsidRDefault="00C37CBD" w:rsidP="00D82603">
            <w:pPr>
              <w:keepNext/>
              <w:keepLines/>
              <w:jc w:val="center"/>
            </w:pPr>
          </w:p>
        </w:tc>
        <w:tc>
          <w:tcPr>
            <w:tcW w:w="1508" w:type="dxa"/>
            <w:tcBorders>
              <w:top w:val="nil"/>
              <w:left w:val="single" w:sz="4" w:space="0" w:color="auto"/>
              <w:bottom w:val="nil"/>
              <w:right w:val="nil"/>
            </w:tcBorders>
          </w:tcPr>
          <w:p w:rsidR="00C37CBD" w:rsidRPr="00D37D55" w:rsidRDefault="00C37CBD" w:rsidP="00D82603">
            <w:pPr>
              <w:keepNext/>
              <w:keepLines/>
              <w:rPr>
                <w:sz w:val="16"/>
              </w:rPr>
            </w:pPr>
            <w:r w:rsidRPr="00D37D55">
              <w:rPr>
                <w:sz w:val="16"/>
              </w:rPr>
              <w:t>Impact</w:t>
            </w:r>
          </w:p>
        </w:tc>
        <w:tc>
          <w:tcPr>
            <w:tcW w:w="1608" w:type="dxa"/>
            <w:tcBorders>
              <w:top w:val="nil"/>
              <w:left w:val="nil"/>
              <w:bottom w:val="nil"/>
              <w:right w:val="nil"/>
            </w:tcBorders>
          </w:tcPr>
          <w:p w:rsidR="00C37CBD" w:rsidRPr="00D37D55" w:rsidRDefault="00C37CBD" w:rsidP="00D82603">
            <w:pPr>
              <w:keepNext/>
              <w:keepLines/>
              <w:rPr>
                <w:sz w:val="16"/>
              </w:rPr>
            </w:pPr>
            <w:r w:rsidRPr="00D37D55">
              <w:rPr>
                <w:sz w:val="16"/>
              </w:rPr>
              <w:t>Likelihood</w:t>
            </w:r>
          </w:p>
        </w:tc>
      </w:tr>
      <w:tr w:rsidR="00D37D55" w:rsidRPr="00D37D55" w:rsidTr="00D82603">
        <w:trPr>
          <w:cantSplit/>
        </w:trPr>
        <w:tc>
          <w:tcPr>
            <w:tcW w:w="645" w:type="dxa"/>
            <w:vMerge/>
            <w:tcBorders>
              <w:left w:val="single" w:sz="4" w:space="0" w:color="auto"/>
              <w:bottom w:val="single" w:sz="4" w:space="0" w:color="auto"/>
              <w:right w:val="single" w:sz="4" w:space="0" w:color="auto"/>
            </w:tcBorders>
          </w:tcPr>
          <w:p w:rsidR="00C37CBD" w:rsidRPr="00D37D55" w:rsidRDefault="00C37CBD" w:rsidP="00D82603">
            <w:pPr>
              <w:keepNext/>
              <w:keepLines/>
            </w:pPr>
          </w:p>
        </w:tc>
        <w:tc>
          <w:tcPr>
            <w:tcW w:w="452" w:type="dxa"/>
            <w:tcBorders>
              <w:left w:val="single" w:sz="4" w:space="0" w:color="auto"/>
            </w:tcBorders>
          </w:tcPr>
          <w:p w:rsidR="00C37CBD" w:rsidRPr="00D37D55" w:rsidRDefault="00C37CBD" w:rsidP="00D82603">
            <w:pPr>
              <w:keepNext/>
              <w:keepLines/>
            </w:pPr>
            <w:r w:rsidRPr="00D37D55">
              <w:t>B</w:t>
            </w:r>
          </w:p>
        </w:tc>
        <w:tc>
          <w:tcPr>
            <w:tcW w:w="723" w:type="dxa"/>
            <w:shd w:val="pct15" w:color="auto" w:fill="FFFFFF"/>
          </w:tcPr>
          <w:p w:rsidR="00C37CBD" w:rsidRPr="00D37D55" w:rsidRDefault="00C37CBD" w:rsidP="00D82603">
            <w:pPr>
              <w:keepNext/>
              <w:keepLines/>
            </w:pPr>
          </w:p>
        </w:tc>
        <w:tc>
          <w:tcPr>
            <w:tcW w:w="723" w:type="dxa"/>
          </w:tcPr>
          <w:p w:rsidR="00C37CBD" w:rsidRPr="00D37D55" w:rsidRDefault="00C37CBD" w:rsidP="00D82603">
            <w:pPr>
              <w:keepNext/>
              <w:keepLines/>
            </w:pPr>
          </w:p>
        </w:tc>
        <w:tc>
          <w:tcPr>
            <w:tcW w:w="724" w:type="dxa"/>
            <w:tcBorders>
              <w:bottom w:val="single" w:sz="4" w:space="0" w:color="auto"/>
            </w:tcBorders>
          </w:tcPr>
          <w:p w:rsidR="00C37CBD" w:rsidRPr="00D37D55" w:rsidRDefault="00C37CBD" w:rsidP="00D82603">
            <w:pPr>
              <w:keepNext/>
              <w:keepLines/>
            </w:pPr>
          </w:p>
        </w:tc>
        <w:tc>
          <w:tcPr>
            <w:tcW w:w="723" w:type="dxa"/>
            <w:tcBorders>
              <w:right w:val="single" w:sz="4" w:space="0" w:color="auto"/>
            </w:tcBorders>
          </w:tcPr>
          <w:p w:rsidR="00C37CBD" w:rsidRPr="00D37D55" w:rsidRDefault="00C37CBD" w:rsidP="00D82603">
            <w:pPr>
              <w:keepNext/>
              <w:keepLines/>
              <w:jc w:val="center"/>
            </w:pPr>
          </w:p>
        </w:tc>
        <w:tc>
          <w:tcPr>
            <w:tcW w:w="724" w:type="dxa"/>
            <w:tcBorders>
              <w:right w:val="single" w:sz="4" w:space="0" w:color="auto"/>
            </w:tcBorders>
          </w:tcPr>
          <w:p w:rsidR="00C37CBD" w:rsidRPr="00D37D55" w:rsidRDefault="00C37CBD" w:rsidP="00D82603">
            <w:pPr>
              <w:keepNext/>
              <w:keepLines/>
              <w:jc w:val="center"/>
            </w:pPr>
          </w:p>
        </w:tc>
        <w:tc>
          <w:tcPr>
            <w:tcW w:w="1508" w:type="dxa"/>
            <w:tcBorders>
              <w:top w:val="nil"/>
              <w:left w:val="single" w:sz="4" w:space="0" w:color="auto"/>
              <w:bottom w:val="nil"/>
              <w:right w:val="nil"/>
            </w:tcBorders>
          </w:tcPr>
          <w:p w:rsidR="00C37CBD" w:rsidRPr="00D37D55" w:rsidRDefault="00C37CBD" w:rsidP="00D82603">
            <w:pPr>
              <w:keepNext/>
              <w:keepLines/>
              <w:rPr>
                <w:sz w:val="16"/>
              </w:rPr>
            </w:pPr>
            <w:r w:rsidRPr="00D37D55">
              <w:rPr>
                <w:sz w:val="16"/>
              </w:rPr>
              <w:t>V = Catastrophic</w:t>
            </w:r>
          </w:p>
        </w:tc>
        <w:tc>
          <w:tcPr>
            <w:tcW w:w="1608" w:type="dxa"/>
            <w:tcBorders>
              <w:top w:val="nil"/>
              <w:left w:val="nil"/>
              <w:bottom w:val="nil"/>
              <w:right w:val="nil"/>
            </w:tcBorders>
          </w:tcPr>
          <w:p w:rsidR="00C37CBD" w:rsidRPr="00D37D55" w:rsidRDefault="00C37CBD" w:rsidP="00D82603">
            <w:pPr>
              <w:keepNext/>
              <w:keepLines/>
              <w:rPr>
                <w:sz w:val="16"/>
              </w:rPr>
            </w:pPr>
            <w:r w:rsidRPr="00D37D55">
              <w:rPr>
                <w:sz w:val="16"/>
              </w:rPr>
              <w:t>A = &gt;98%</w:t>
            </w:r>
          </w:p>
        </w:tc>
      </w:tr>
      <w:tr w:rsidR="00D37D55" w:rsidRPr="00D37D55" w:rsidTr="00D82603">
        <w:trPr>
          <w:cantSplit/>
        </w:trPr>
        <w:tc>
          <w:tcPr>
            <w:tcW w:w="645" w:type="dxa"/>
            <w:vMerge/>
            <w:tcBorders>
              <w:left w:val="single" w:sz="4" w:space="0" w:color="auto"/>
              <w:bottom w:val="single" w:sz="4" w:space="0" w:color="auto"/>
              <w:right w:val="single" w:sz="4" w:space="0" w:color="auto"/>
            </w:tcBorders>
          </w:tcPr>
          <w:p w:rsidR="00C37CBD" w:rsidRPr="00D37D55" w:rsidRDefault="00C37CBD" w:rsidP="00D82603">
            <w:pPr>
              <w:keepNext/>
              <w:keepLines/>
            </w:pPr>
          </w:p>
        </w:tc>
        <w:tc>
          <w:tcPr>
            <w:tcW w:w="452" w:type="dxa"/>
            <w:tcBorders>
              <w:left w:val="single" w:sz="4" w:space="0" w:color="auto"/>
            </w:tcBorders>
          </w:tcPr>
          <w:p w:rsidR="00C37CBD" w:rsidRPr="00D37D55" w:rsidRDefault="00C37CBD" w:rsidP="00D82603">
            <w:pPr>
              <w:keepNext/>
              <w:keepLines/>
            </w:pPr>
            <w:r w:rsidRPr="00D37D55">
              <w:t>C</w:t>
            </w:r>
          </w:p>
        </w:tc>
        <w:tc>
          <w:tcPr>
            <w:tcW w:w="723" w:type="dxa"/>
            <w:shd w:val="pct15" w:color="auto" w:fill="FFFFFF"/>
          </w:tcPr>
          <w:p w:rsidR="00C37CBD" w:rsidRPr="00D37D55" w:rsidRDefault="00C37CBD" w:rsidP="00D82603">
            <w:pPr>
              <w:keepNext/>
              <w:keepLines/>
            </w:pPr>
          </w:p>
        </w:tc>
        <w:tc>
          <w:tcPr>
            <w:tcW w:w="723" w:type="dxa"/>
            <w:tcBorders>
              <w:top w:val="single" w:sz="4" w:space="0" w:color="auto"/>
              <w:bottom w:val="single" w:sz="4" w:space="0" w:color="auto"/>
            </w:tcBorders>
          </w:tcPr>
          <w:p w:rsidR="00C37CBD" w:rsidRPr="00D37D55" w:rsidRDefault="00C37CBD" w:rsidP="00D82603">
            <w:pPr>
              <w:keepNext/>
              <w:keepLines/>
            </w:pPr>
          </w:p>
        </w:tc>
        <w:tc>
          <w:tcPr>
            <w:tcW w:w="724" w:type="dxa"/>
            <w:tcBorders>
              <w:top w:val="single" w:sz="4" w:space="0" w:color="auto"/>
              <w:bottom w:val="single" w:sz="4" w:space="0" w:color="auto"/>
            </w:tcBorders>
          </w:tcPr>
          <w:p w:rsidR="00C37CBD" w:rsidRPr="00D37D55" w:rsidRDefault="00C37CBD" w:rsidP="00D82603">
            <w:pPr>
              <w:keepNext/>
              <w:keepLines/>
            </w:pPr>
          </w:p>
        </w:tc>
        <w:tc>
          <w:tcPr>
            <w:tcW w:w="723" w:type="dxa"/>
            <w:tcBorders>
              <w:top w:val="single" w:sz="4" w:space="0" w:color="auto"/>
              <w:bottom w:val="single" w:sz="4" w:space="0" w:color="auto"/>
              <w:right w:val="single" w:sz="4" w:space="0" w:color="auto"/>
            </w:tcBorders>
          </w:tcPr>
          <w:p w:rsidR="00C37CBD" w:rsidRPr="00D37D55" w:rsidRDefault="00C37CBD" w:rsidP="00D82603">
            <w:pPr>
              <w:keepNext/>
              <w:keepLines/>
              <w:jc w:val="center"/>
            </w:pPr>
          </w:p>
        </w:tc>
        <w:tc>
          <w:tcPr>
            <w:tcW w:w="724" w:type="dxa"/>
            <w:tcBorders>
              <w:right w:val="single" w:sz="4" w:space="0" w:color="auto"/>
            </w:tcBorders>
          </w:tcPr>
          <w:p w:rsidR="00C37CBD" w:rsidRPr="00D37D55" w:rsidRDefault="00C37CBD" w:rsidP="00D82603">
            <w:pPr>
              <w:keepNext/>
              <w:keepLines/>
              <w:jc w:val="center"/>
            </w:pPr>
          </w:p>
        </w:tc>
        <w:tc>
          <w:tcPr>
            <w:tcW w:w="1508" w:type="dxa"/>
            <w:tcBorders>
              <w:top w:val="nil"/>
              <w:left w:val="single" w:sz="4" w:space="0" w:color="auto"/>
              <w:bottom w:val="nil"/>
              <w:right w:val="nil"/>
            </w:tcBorders>
          </w:tcPr>
          <w:p w:rsidR="00C37CBD" w:rsidRPr="00D37D55" w:rsidRDefault="00C37CBD" w:rsidP="00D82603">
            <w:pPr>
              <w:keepNext/>
              <w:keepLines/>
              <w:rPr>
                <w:sz w:val="16"/>
              </w:rPr>
            </w:pPr>
            <w:r w:rsidRPr="00D37D55">
              <w:rPr>
                <w:sz w:val="16"/>
              </w:rPr>
              <w:t>IV = Critical</w:t>
            </w:r>
          </w:p>
        </w:tc>
        <w:tc>
          <w:tcPr>
            <w:tcW w:w="1608" w:type="dxa"/>
            <w:tcBorders>
              <w:top w:val="nil"/>
              <w:left w:val="nil"/>
              <w:bottom w:val="nil"/>
              <w:right w:val="nil"/>
            </w:tcBorders>
          </w:tcPr>
          <w:p w:rsidR="00C37CBD" w:rsidRPr="00D37D55" w:rsidRDefault="00C37CBD" w:rsidP="00D82603">
            <w:pPr>
              <w:keepNext/>
              <w:keepLines/>
              <w:rPr>
                <w:sz w:val="16"/>
              </w:rPr>
            </w:pPr>
            <w:r w:rsidRPr="00D37D55">
              <w:rPr>
                <w:sz w:val="16"/>
              </w:rPr>
              <w:t>B = 75% - 97%</w:t>
            </w:r>
          </w:p>
        </w:tc>
      </w:tr>
      <w:tr w:rsidR="00D37D55" w:rsidRPr="00D37D55" w:rsidTr="00D82603">
        <w:trPr>
          <w:cantSplit/>
        </w:trPr>
        <w:tc>
          <w:tcPr>
            <w:tcW w:w="645" w:type="dxa"/>
            <w:vMerge/>
            <w:tcBorders>
              <w:left w:val="single" w:sz="4" w:space="0" w:color="auto"/>
              <w:bottom w:val="single" w:sz="4" w:space="0" w:color="auto"/>
              <w:right w:val="single" w:sz="4" w:space="0" w:color="auto"/>
            </w:tcBorders>
          </w:tcPr>
          <w:p w:rsidR="00C37CBD" w:rsidRPr="00D37D55" w:rsidRDefault="00C37CBD" w:rsidP="00D82603">
            <w:pPr>
              <w:keepNext/>
              <w:keepLines/>
            </w:pPr>
          </w:p>
        </w:tc>
        <w:tc>
          <w:tcPr>
            <w:tcW w:w="452" w:type="dxa"/>
            <w:tcBorders>
              <w:left w:val="single" w:sz="4" w:space="0" w:color="auto"/>
            </w:tcBorders>
          </w:tcPr>
          <w:p w:rsidR="00C37CBD" w:rsidRPr="00D37D55" w:rsidRDefault="00C37CBD" w:rsidP="00D82603">
            <w:pPr>
              <w:keepNext/>
              <w:keepLines/>
            </w:pPr>
            <w:r w:rsidRPr="00D37D55">
              <w:t>D</w:t>
            </w:r>
          </w:p>
        </w:tc>
        <w:tc>
          <w:tcPr>
            <w:tcW w:w="723" w:type="dxa"/>
            <w:tcBorders>
              <w:bottom w:val="single" w:sz="4" w:space="0" w:color="auto"/>
            </w:tcBorders>
            <w:shd w:val="pct15" w:color="auto" w:fill="FFFFFF"/>
          </w:tcPr>
          <w:p w:rsidR="00C37CBD" w:rsidRPr="00D37D55" w:rsidRDefault="00C37CBD" w:rsidP="00D82603">
            <w:pPr>
              <w:keepNext/>
              <w:keepLines/>
            </w:pPr>
          </w:p>
        </w:tc>
        <w:tc>
          <w:tcPr>
            <w:tcW w:w="723" w:type="dxa"/>
            <w:tcBorders>
              <w:top w:val="single" w:sz="4" w:space="0" w:color="auto"/>
            </w:tcBorders>
            <w:shd w:val="pct15" w:color="auto" w:fill="FFFFFF"/>
          </w:tcPr>
          <w:p w:rsidR="00C37CBD" w:rsidRPr="00D37D55" w:rsidRDefault="00C37CBD" w:rsidP="00D82603">
            <w:pPr>
              <w:keepNext/>
              <w:keepLines/>
            </w:pPr>
          </w:p>
        </w:tc>
        <w:tc>
          <w:tcPr>
            <w:tcW w:w="724" w:type="dxa"/>
            <w:tcBorders>
              <w:top w:val="single" w:sz="4" w:space="0" w:color="auto"/>
              <w:bottom w:val="single" w:sz="4" w:space="0" w:color="auto"/>
            </w:tcBorders>
          </w:tcPr>
          <w:p w:rsidR="00C37CBD" w:rsidRPr="00D37D55" w:rsidRDefault="00C37CBD" w:rsidP="00D82603">
            <w:pPr>
              <w:keepNext/>
              <w:keepLines/>
            </w:pPr>
          </w:p>
        </w:tc>
        <w:tc>
          <w:tcPr>
            <w:tcW w:w="723" w:type="dxa"/>
            <w:tcBorders>
              <w:top w:val="single" w:sz="4" w:space="0" w:color="auto"/>
              <w:bottom w:val="single" w:sz="4" w:space="0" w:color="auto"/>
              <w:right w:val="single" w:sz="4" w:space="0" w:color="auto"/>
            </w:tcBorders>
          </w:tcPr>
          <w:p w:rsidR="00C37CBD" w:rsidRPr="00D37D55" w:rsidRDefault="00C37CBD" w:rsidP="00D82603">
            <w:pPr>
              <w:keepNext/>
              <w:keepLines/>
              <w:jc w:val="center"/>
            </w:pPr>
          </w:p>
        </w:tc>
        <w:tc>
          <w:tcPr>
            <w:tcW w:w="724" w:type="dxa"/>
            <w:tcBorders>
              <w:right w:val="single" w:sz="4" w:space="0" w:color="auto"/>
            </w:tcBorders>
          </w:tcPr>
          <w:p w:rsidR="00C37CBD" w:rsidRPr="00D37D55" w:rsidRDefault="00C37CBD" w:rsidP="00D82603">
            <w:pPr>
              <w:keepNext/>
              <w:keepLines/>
              <w:jc w:val="center"/>
            </w:pPr>
          </w:p>
        </w:tc>
        <w:tc>
          <w:tcPr>
            <w:tcW w:w="1508" w:type="dxa"/>
            <w:tcBorders>
              <w:top w:val="nil"/>
              <w:left w:val="single" w:sz="4" w:space="0" w:color="auto"/>
              <w:bottom w:val="nil"/>
              <w:right w:val="nil"/>
            </w:tcBorders>
          </w:tcPr>
          <w:p w:rsidR="00C37CBD" w:rsidRPr="00D37D55" w:rsidRDefault="00C37CBD" w:rsidP="00D82603">
            <w:pPr>
              <w:keepNext/>
              <w:keepLines/>
              <w:rPr>
                <w:sz w:val="16"/>
              </w:rPr>
            </w:pPr>
            <w:r w:rsidRPr="00D37D55">
              <w:rPr>
                <w:sz w:val="16"/>
              </w:rPr>
              <w:t>III = Significant</w:t>
            </w:r>
          </w:p>
        </w:tc>
        <w:tc>
          <w:tcPr>
            <w:tcW w:w="1608" w:type="dxa"/>
            <w:tcBorders>
              <w:top w:val="nil"/>
              <w:left w:val="nil"/>
              <w:bottom w:val="nil"/>
              <w:right w:val="nil"/>
            </w:tcBorders>
          </w:tcPr>
          <w:p w:rsidR="00C37CBD" w:rsidRPr="00D37D55" w:rsidRDefault="00C37CBD" w:rsidP="00D82603">
            <w:pPr>
              <w:keepNext/>
              <w:keepLines/>
              <w:rPr>
                <w:sz w:val="16"/>
              </w:rPr>
            </w:pPr>
            <w:r w:rsidRPr="00D37D55">
              <w:rPr>
                <w:sz w:val="16"/>
              </w:rPr>
              <w:t>C = 50% - 74%</w:t>
            </w:r>
          </w:p>
        </w:tc>
      </w:tr>
      <w:tr w:rsidR="00D37D55" w:rsidRPr="00D37D55" w:rsidTr="00D82603">
        <w:trPr>
          <w:cantSplit/>
        </w:trPr>
        <w:tc>
          <w:tcPr>
            <w:tcW w:w="645" w:type="dxa"/>
            <w:vMerge/>
            <w:tcBorders>
              <w:left w:val="single" w:sz="4" w:space="0" w:color="auto"/>
              <w:bottom w:val="single" w:sz="4" w:space="0" w:color="auto"/>
              <w:right w:val="single" w:sz="4" w:space="0" w:color="auto"/>
            </w:tcBorders>
          </w:tcPr>
          <w:p w:rsidR="00C37CBD" w:rsidRPr="00D37D55" w:rsidRDefault="00C37CBD" w:rsidP="00D82603">
            <w:pPr>
              <w:keepNext/>
              <w:keepLines/>
            </w:pPr>
          </w:p>
        </w:tc>
        <w:tc>
          <w:tcPr>
            <w:tcW w:w="452" w:type="dxa"/>
            <w:tcBorders>
              <w:left w:val="single" w:sz="4" w:space="0" w:color="auto"/>
            </w:tcBorders>
          </w:tcPr>
          <w:p w:rsidR="00C37CBD" w:rsidRPr="00D37D55" w:rsidRDefault="00C37CBD" w:rsidP="00D82603">
            <w:pPr>
              <w:keepNext/>
              <w:keepLines/>
            </w:pPr>
            <w:r w:rsidRPr="00D37D55">
              <w:t>E</w:t>
            </w:r>
          </w:p>
        </w:tc>
        <w:tc>
          <w:tcPr>
            <w:tcW w:w="723" w:type="dxa"/>
            <w:tcBorders>
              <w:bottom w:val="single" w:sz="4" w:space="0" w:color="auto"/>
            </w:tcBorders>
            <w:shd w:val="pct15" w:color="auto" w:fill="FFFFFF"/>
          </w:tcPr>
          <w:p w:rsidR="00C37CBD" w:rsidRPr="00D37D55" w:rsidRDefault="00C37CBD" w:rsidP="00D82603">
            <w:pPr>
              <w:keepNext/>
              <w:keepLines/>
            </w:pPr>
          </w:p>
        </w:tc>
        <w:tc>
          <w:tcPr>
            <w:tcW w:w="723" w:type="dxa"/>
            <w:shd w:val="pct15" w:color="auto" w:fill="FFFFFF"/>
          </w:tcPr>
          <w:p w:rsidR="00C37CBD" w:rsidRPr="00D37D55" w:rsidRDefault="00C37CBD" w:rsidP="00D82603">
            <w:pPr>
              <w:keepNext/>
              <w:keepLines/>
            </w:pPr>
          </w:p>
        </w:tc>
        <w:tc>
          <w:tcPr>
            <w:tcW w:w="724" w:type="dxa"/>
            <w:tcBorders>
              <w:bottom w:val="single" w:sz="4" w:space="0" w:color="auto"/>
            </w:tcBorders>
          </w:tcPr>
          <w:p w:rsidR="00C37CBD" w:rsidRPr="00D37D55" w:rsidRDefault="00C37CBD" w:rsidP="00D82603">
            <w:pPr>
              <w:keepNext/>
              <w:keepLines/>
            </w:pPr>
          </w:p>
        </w:tc>
        <w:tc>
          <w:tcPr>
            <w:tcW w:w="723" w:type="dxa"/>
            <w:tcBorders>
              <w:top w:val="single" w:sz="4" w:space="0" w:color="auto"/>
              <w:right w:val="single" w:sz="4" w:space="0" w:color="auto"/>
            </w:tcBorders>
          </w:tcPr>
          <w:p w:rsidR="00C37CBD" w:rsidRPr="00D37D55" w:rsidRDefault="00C37CBD" w:rsidP="00D82603">
            <w:pPr>
              <w:keepNext/>
              <w:keepLines/>
              <w:jc w:val="center"/>
            </w:pPr>
          </w:p>
        </w:tc>
        <w:tc>
          <w:tcPr>
            <w:tcW w:w="724" w:type="dxa"/>
            <w:tcBorders>
              <w:top w:val="single" w:sz="4" w:space="0" w:color="auto"/>
              <w:bottom w:val="single" w:sz="4" w:space="0" w:color="auto"/>
              <w:right w:val="single" w:sz="4" w:space="0" w:color="auto"/>
            </w:tcBorders>
          </w:tcPr>
          <w:p w:rsidR="00C37CBD" w:rsidRPr="00D37D55" w:rsidRDefault="00C37CBD" w:rsidP="00D82603">
            <w:pPr>
              <w:keepNext/>
              <w:keepLines/>
              <w:jc w:val="center"/>
            </w:pPr>
          </w:p>
        </w:tc>
        <w:tc>
          <w:tcPr>
            <w:tcW w:w="1508" w:type="dxa"/>
            <w:tcBorders>
              <w:top w:val="nil"/>
              <w:left w:val="single" w:sz="4" w:space="0" w:color="auto"/>
              <w:bottom w:val="nil"/>
              <w:right w:val="nil"/>
            </w:tcBorders>
          </w:tcPr>
          <w:p w:rsidR="00C37CBD" w:rsidRPr="00D37D55" w:rsidRDefault="00C37CBD" w:rsidP="00D82603">
            <w:pPr>
              <w:keepNext/>
              <w:keepLines/>
              <w:rPr>
                <w:sz w:val="16"/>
              </w:rPr>
            </w:pPr>
            <w:r w:rsidRPr="00D37D55">
              <w:rPr>
                <w:sz w:val="16"/>
              </w:rPr>
              <w:t>II = Marginal</w:t>
            </w:r>
          </w:p>
        </w:tc>
        <w:tc>
          <w:tcPr>
            <w:tcW w:w="1608" w:type="dxa"/>
            <w:tcBorders>
              <w:top w:val="nil"/>
              <w:left w:val="nil"/>
              <w:bottom w:val="nil"/>
              <w:right w:val="nil"/>
            </w:tcBorders>
          </w:tcPr>
          <w:p w:rsidR="00C37CBD" w:rsidRPr="00D37D55" w:rsidRDefault="00C37CBD" w:rsidP="00D82603">
            <w:pPr>
              <w:keepNext/>
              <w:keepLines/>
              <w:rPr>
                <w:sz w:val="16"/>
              </w:rPr>
            </w:pPr>
            <w:r w:rsidRPr="00D37D55">
              <w:rPr>
                <w:sz w:val="16"/>
              </w:rPr>
              <w:t>D = 25% - 49%</w:t>
            </w:r>
          </w:p>
        </w:tc>
      </w:tr>
      <w:tr w:rsidR="00D37D55" w:rsidRPr="00D37D55" w:rsidTr="00D82603">
        <w:trPr>
          <w:cantSplit/>
        </w:trPr>
        <w:tc>
          <w:tcPr>
            <w:tcW w:w="645" w:type="dxa"/>
            <w:vMerge/>
            <w:tcBorders>
              <w:left w:val="single" w:sz="4" w:space="0" w:color="auto"/>
              <w:bottom w:val="single" w:sz="4" w:space="0" w:color="auto"/>
              <w:right w:val="single" w:sz="4" w:space="0" w:color="auto"/>
            </w:tcBorders>
          </w:tcPr>
          <w:p w:rsidR="00C37CBD" w:rsidRPr="00D37D55" w:rsidRDefault="00C37CBD" w:rsidP="00D82603">
            <w:pPr>
              <w:keepNext/>
              <w:keepLines/>
            </w:pPr>
          </w:p>
        </w:tc>
        <w:tc>
          <w:tcPr>
            <w:tcW w:w="452" w:type="dxa"/>
            <w:tcBorders>
              <w:left w:val="single" w:sz="4" w:space="0" w:color="auto"/>
            </w:tcBorders>
          </w:tcPr>
          <w:p w:rsidR="00C37CBD" w:rsidRPr="00D37D55" w:rsidRDefault="00C37CBD" w:rsidP="00D82603">
            <w:pPr>
              <w:keepNext/>
              <w:keepLines/>
            </w:pPr>
            <w:r w:rsidRPr="00D37D55">
              <w:t>F</w:t>
            </w:r>
          </w:p>
        </w:tc>
        <w:tc>
          <w:tcPr>
            <w:tcW w:w="723" w:type="dxa"/>
            <w:shd w:val="pct15" w:color="auto" w:fill="FFFFFF"/>
          </w:tcPr>
          <w:p w:rsidR="00C37CBD" w:rsidRPr="00D37D55" w:rsidRDefault="00C37CBD" w:rsidP="00D82603">
            <w:pPr>
              <w:keepNext/>
              <w:keepLines/>
            </w:pPr>
          </w:p>
        </w:tc>
        <w:tc>
          <w:tcPr>
            <w:tcW w:w="723" w:type="dxa"/>
            <w:shd w:val="pct15" w:color="auto" w:fill="FFFFFF"/>
          </w:tcPr>
          <w:p w:rsidR="00C37CBD" w:rsidRPr="00D37D55" w:rsidRDefault="00C37CBD" w:rsidP="00D82603">
            <w:pPr>
              <w:keepNext/>
              <w:keepLines/>
            </w:pPr>
          </w:p>
        </w:tc>
        <w:tc>
          <w:tcPr>
            <w:tcW w:w="724" w:type="dxa"/>
            <w:tcBorders>
              <w:top w:val="single" w:sz="4" w:space="0" w:color="auto"/>
            </w:tcBorders>
            <w:shd w:val="pct15" w:color="auto" w:fill="FFFFFF"/>
          </w:tcPr>
          <w:p w:rsidR="00C37CBD" w:rsidRPr="00D37D55" w:rsidRDefault="00C37CBD" w:rsidP="00D82603">
            <w:pPr>
              <w:keepNext/>
              <w:keepLines/>
            </w:pPr>
          </w:p>
        </w:tc>
        <w:tc>
          <w:tcPr>
            <w:tcW w:w="723" w:type="dxa"/>
            <w:tcBorders>
              <w:right w:val="single" w:sz="4" w:space="0" w:color="auto"/>
            </w:tcBorders>
          </w:tcPr>
          <w:p w:rsidR="00C37CBD" w:rsidRPr="00D37D55" w:rsidRDefault="00C37CBD" w:rsidP="00D82603">
            <w:pPr>
              <w:keepNext/>
              <w:keepLines/>
              <w:jc w:val="center"/>
            </w:pPr>
          </w:p>
        </w:tc>
        <w:tc>
          <w:tcPr>
            <w:tcW w:w="724" w:type="dxa"/>
            <w:tcBorders>
              <w:right w:val="single" w:sz="4" w:space="0" w:color="auto"/>
            </w:tcBorders>
          </w:tcPr>
          <w:p w:rsidR="00C37CBD" w:rsidRPr="00D37D55" w:rsidRDefault="00C37CBD" w:rsidP="00D82603">
            <w:pPr>
              <w:keepNext/>
              <w:keepLines/>
              <w:jc w:val="center"/>
            </w:pPr>
          </w:p>
        </w:tc>
        <w:tc>
          <w:tcPr>
            <w:tcW w:w="1508" w:type="dxa"/>
            <w:tcBorders>
              <w:top w:val="nil"/>
              <w:left w:val="single" w:sz="4" w:space="0" w:color="auto"/>
              <w:bottom w:val="nil"/>
              <w:right w:val="nil"/>
            </w:tcBorders>
          </w:tcPr>
          <w:p w:rsidR="00C37CBD" w:rsidRPr="00D37D55" w:rsidRDefault="00C37CBD" w:rsidP="00D82603">
            <w:pPr>
              <w:keepNext/>
              <w:keepLines/>
              <w:rPr>
                <w:sz w:val="16"/>
              </w:rPr>
            </w:pPr>
            <w:r w:rsidRPr="00D37D55">
              <w:rPr>
                <w:sz w:val="16"/>
              </w:rPr>
              <w:t>I = Negligible</w:t>
            </w:r>
          </w:p>
        </w:tc>
        <w:tc>
          <w:tcPr>
            <w:tcW w:w="1608" w:type="dxa"/>
            <w:tcBorders>
              <w:top w:val="nil"/>
              <w:left w:val="nil"/>
              <w:bottom w:val="nil"/>
              <w:right w:val="nil"/>
            </w:tcBorders>
          </w:tcPr>
          <w:p w:rsidR="00C37CBD" w:rsidRPr="00D37D55" w:rsidRDefault="00C37CBD" w:rsidP="00D82603">
            <w:pPr>
              <w:keepNext/>
              <w:keepLines/>
              <w:rPr>
                <w:sz w:val="16"/>
              </w:rPr>
            </w:pPr>
            <w:r w:rsidRPr="00D37D55">
              <w:rPr>
                <w:sz w:val="16"/>
              </w:rPr>
              <w:t>E = 3% - 24%</w:t>
            </w:r>
          </w:p>
        </w:tc>
      </w:tr>
      <w:tr w:rsidR="00D37D55" w:rsidRPr="00D37D55" w:rsidTr="00D82603">
        <w:trPr>
          <w:cantSplit/>
        </w:trPr>
        <w:tc>
          <w:tcPr>
            <w:tcW w:w="645" w:type="dxa"/>
            <w:vMerge/>
            <w:tcBorders>
              <w:left w:val="single" w:sz="4" w:space="0" w:color="auto"/>
              <w:bottom w:val="single" w:sz="4" w:space="0" w:color="auto"/>
              <w:right w:val="single" w:sz="4" w:space="0" w:color="auto"/>
            </w:tcBorders>
          </w:tcPr>
          <w:p w:rsidR="00C37CBD" w:rsidRPr="00D37D55" w:rsidRDefault="00C37CBD" w:rsidP="00D82603">
            <w:pPr>
              <w:keepNext/>
              <w:keepLines/>
            </w:pPr>
          </w:p>
        </w:tc>
        <w:tc>
          <w:tcPr>
            <w:tcW w:w="452" w:type="dxa"/>
            <w:tcBorders>
              <w:left w:val="single" w:sz="4" w:space="0" w:color="auto"/>
              <w:bottom w:val="single" w:sz="4" w:space="0" w:color="auto"/>
            </w:tcBorders>
          </w:tcPr>
          <w:p w:rsidR="00C37CBD" w:rsidRPr="00D37D55" w:rsidRDefault="00C37CBD" w:rsidP="00D82603">
            <w:pPr>
              <w:keepNext/>
              <w:keepLines/>
            </w:pPr>
          </w:p>
        </w:tc>
        <w:tc>
          <w:tcPr>
            <w:tcW w:w="723" w:type="dxa"/>
            <w:tcBorders>
              <w:bottom w:val="single" w:sz="4" w:space="0" w:color="auto"/>
            </w:tcBorders>
          </w:tcPr>
          <w:p w:rsidR="00C37CBD" w:rsidRPr="00D37D55" w:rsidRDefault="00C37CBD" w:rsidP="00D82603">
            <w:pPr>
              <w:keepNext/>
              <w:keepLines/>
              <w:jc w:val="center"/>
            </w:pPr>
            <w:r w:rsidRPr="00D37D55">
              <w:t>I</w:t>
            </w:r>
          </w:p>
        </w:tc>
        <w:tc>
          <w:tcPr>
            <w:tcW w:w="723" w:type="dxa"/>
            <w:tcBorders>
              <w:bottom w:val="single" w:sz="4" w:space="0" w:color="auto"/>
            </w:tcBorders>
          </w:tcPr>
          <w:p w:rsidR="00C37CBD" w:rsidRPr="00D37D55" w:rsidRDefault="00C37CBD" w:rsidP="00D82603">
            <w:pPr>
              <w:keepNext/>
              <w:keepLines/>
              <w:jc w:val="center"/>
            </w:pPr>
            <w:r w:rsidRPr="00D37D55">
              <w:t>II</w:t>
            </w:r>
          </w:p>
        </w:tc>
        <w:tc>
          <w:tcPr>
            <w:tcW w:w="724" w:type="dxa"/>
            <w:tcBorders>
              <w:bottom w:val="single" w:sz="4" w:space="0" w:color="auto"/>
            </w:tcBorders>
          </w:tcPr>
          <w:p w:rsidR="00C37CBD" w:rsidRPr="00D37D55" w:rsidRDefault="00C37CBD" w:rsidP="00D82603">
            <w:pPr>
              <w:keepNext/>
              <w:keepLines/>
              <w:jc w:val="center"/>
            </w:pPr>
            <w:r w:rsidRPr="00D37D55">
              <w:t>III</w:t>
            </w:r>
          </w:p>
        </w:tc>
        <w:tc>
          <w:tcPr>
            <w:tcW w:w="723" w:type="dxa"/>
            <w:tcBorders>
              <w:bottom w:val="single" w:sz="4" w:space="0" w:color="auto"/>
              <w:right w:val="single" w:sz="4" w:space="0" w:color="auto"/>
            </w:tcBorders>
          </w:tcPr>
          <w:p w:rsidR="00C37CBD" w:rsidRPr="00D37D55" w:rsidRDefault="00C37CBD" w:rsidP="00D82603">
            <w:pPr>
              <w:keepNext/>
              <w:keepLines/>
              <w:jc w:val="center"/>
            </w:pPr>
            <w:r w:rsidRPr="00D37D55">
              <w:t>IV</w:t>
            </w:r>
          </w:p>
        </w:tc>
        <w:tc>
          <w:tcPr>
            <w:tcW w:w="724" w:type="dxa"/>
            <w:tcBorders>
              <w:bottom w:val="single" w:sz="4" w:space="0" w:color="auto"/>
              <w:right w:val="single" w:sz="4" w:space="0" w:color="auto"/>
            </w:tcBorders>
          </w:tcPr>
          <w:p w:rsidR="00C37CBD" w:rsidRPr="00D37D55" w:rsidRDefault="00C37CBD" w:rsidP="00D82603">
            <w:pPr>
              <w:keepNext/>
              <w:keepLines/>
              <w:jc w:val="center"/>
            </w:pPr>
            <w:r w:rsidRPr="00D37D55">
              <w:t>V</w:t>
            </w:r>
          </w:p>
        </w:tc>
        <w:tc>
          <w:tcPr>
            <w:tcW w:w="1508" w:type="dxa"/>
            <w:tcBorders>
              <w:top w:val="nil"/>
              <w:left w:val="single" w:sz="4" w:space="0" w:color="auto"/>
              <w:bottom w:val="nil"/>
              <w:right w:val="nil"/>
            </w:tcBorders>
          </w:tcPr>
          <w:p w:rsidR="00C37CBD" w:rsidRPr="00D37D55" w:rsidRDefault="00C37CBD" w:rsidP="00D82603">
            <w:pPr>
              <w:keepNext/>
              <w:keepLines/>
            </w:pPr>
          </w:p>
        </w:tc>
        <w:tc>
          <w:tcPr>
            <w:tcW w:w="1608" w:type="dxa"/>
            <w:tcBorders>
              <w:top w:val="nil"/>
              <w:left w:val="nil"/>
              <w:bottom w:val="nil"/>
              <w:right w:val="nil"/>
            </w:tcBorders>
          </w:tcPr>
          <w:p w:rsidR="00C37CBD" w:rsidRPr="00D37D55" w:rsidRDefault="00C37CBD" w:rsidP="00D82603">
            <w:pPr>
              <w:keepNext/>
              <w:keepLines/>
              <w:rPr>
                <w:sz w:val="16"/>
              </w:rPr>
            </w:pPr>
            <w:r w:rsidRPr="00D37D55">
              <w:rPr>
                <w:sz w:val="16"/>
              </w:rPr>
              <w:t xml:space="preserve">F = </w:t>
            </w:r>
            <w:r w:rsidRPr="00D37D55">
              <w:rPr>
                <w:spacing w:val="-8"/>
                <w:sz w:val="16"/>
              </w:rPr>
              <w:t xml:space="preserve"> &lt;2%</w:t>
            </w:r>
          </w:p>
        </w:tc>
      </w:tr>
      <w:tr w:rsidR="00D37D55" w:rsidRPr="00D37D55" w:rsidTr="00D82603">
        <w:trPr>
          <w:cantSplit/>
          <w:trHeight w:val="420"/>
        </w:trPr>
        <w:tc>
          <w:tcPr>
            <w:tcW w:w="645" w:type="dxa"/>
            <w:vMerge/>
            <w:tcBorders>
              <w:left w:val="single" w:sz="4" w:space="0" w:color="auto"/>
              <w:bottom w:val="single" w:sz="4" w:space="0" w:color="auto"/>
              <w:right w:val="single" w:sz="4" w:space="0" w:color="auto"/>
            </w:tcBorders>
          </w:tcPr>
          <w:p w:rsidR="00C37CBD" w:rsidRPr="00D37D55" w:rsidRDefault="00C37CBD" w:rsidP="00D82603">
            <w:pPr>
              <w:keepNext/>
              <w:keepLines/>
            </w:pPr>
          </w:p>
        </w:tc>
        <w:tc>
          <w:tcPr>
            <w:tcW w:w="4069" w:type="dxa"/>
            <w:gridSpan w:val="6"/>
            <w:tcBorders>
              <w:left w:val="single" w:sz="4" w:space="0" w:color="auto"/>
              <w:bottom w:val="single" w:sz="4" w:space="0" w:color="auto"/>
              <w:right w:val="single" w:sz="4" w:space="0" w:color="auto"/>
            </w:tcBorders>
          </w:tcPr>
          <w:p w:rsidR="00C37CBD" w:rsidRPr="00D37D55" w:rsidRDefault="00C37CBD" w:rsidP="00D82603">
            <w:pPr>
              <w:keepNext/>
              <w:keepLines/>
              <w:spacing w:before="40"/>
              <w:jc w:val="center"/>
              <w:rPr>
                <w:b/>
                <w:szCs w:val="22"/>
              </w:rPr>
            </w:pPr>
            <w:r w:rsidRPr="00D37D55">
              <w:rPr>
                <w:b/>
                <w:szCs w:val="22"/>
              </w:rPr>
              <w:t>Impact</w:t>
            </w:r>
          </w:p>
          <w:p w:rsidR="00C37CBD" w:rsidRPr="00D37D55" w:rsidRDefault="00C37CBD" w:rsidP="00D82603">
            <w:pPr>
              <w:keepNext/>
              <w:keepLines/>
              <w:rPr>
                <w:b/>
                <w:sz w:val="20"/>
              </w:rPr>
            </w:pPr>
          </w:p>
        </w:tc>
        <w:tc>
          <w:tcPr>
            <w:tcW w:w="1508" w:type="dxa"/>
            <w:tcBorders>
              <w:top w:val="nil"/>
              <w:left w:val="single" w:sz="4" w:space="0" w:color="auto"/>
              <w:bottom w:val="nil"/>
              <w:right w:val="nil"/>
            </w:tcBorders>
          </w:tcPr>
          <w:p w:rsidR="00C37CBD" w:rsidRPr="00D37D55" w:rsidRDefault="00C37CBD" w:rsidP="00D82603">
            <w:pPr>
              <w:keepNext/>
              <w:keepLines/>
            </w:pPr>
          </w:p>
        </w:tc>
        <w:tc>
          <w:tcPr>
            <w:tcW w:w="1608" w:type="dxa"/>
            <w:tcBorders>
              <w:top w:val="nil"/>
              <w:left w:val="nil"/>
              <w:bottom w:val="nil"/>
              <w:right w:val="nil"/>
            </w:tcBorders>
          </w:tcPr>
          <w:p w:rsidR="00C37CBD" w:rsidRPr="00D37D55" w:rsidRDefault="00C37CBD" w:rsidP="00D82603">
            <w:pPr>
              <w:keepNext/>
              <w:keepLines/>
            </w:pPr>
          </w:p>
        </w:tc>
      </w:tr>
    </w:tbl>
    <w:p w:rsidR="00C37CBD" w:rsidRPr="00923197" w:rsidRDefault="00C37CBD" w:rsidP="00C37CBD">
      <w:pPr>
        <w:rPr>
          <w:color w:val="365F91" w:themeColor="accent1" w:themeShade="BF"/>
        </w:rPr>
      </w:pPr>
    </w:p>
    <w:p w:rsidR="00C37CBD" w:rsidRPr="00D37D55" w:rsidRDefault="005A3853" w:rsidP="00C37CBD">
      <w:pPr>
        <w:keepNext/>
        <w:ind w:left="1267" w:hanging="1267"/>
      </w:pPr>
      <w:r w:rsidRPr="00D37D55">
        <w:t>8</w:t>
      </w:r>
      <w:r w:rsidR="00C37CBD" w:rsidRPr="00D37D55">
        <w:t>.</w:t>
      </w:r>
      <w:r w:rsidR="00C37CBD" w:rsidRPr="00D37D55">
        <w:fldChar w:fldCharType="begin"/>
      </w:r>
      <w:r w:rsidR="00C37CBD" w:rsidRPr="00D37D55">
        <w:instrText xml:space="preserve">  </w:instrText>
      </w:r>
      <w:r w:rsidR="00C37CBD" w:rsidRPr="00D37D55">
        <w:fldChar w:fldCharType="end"/>
      </w:r>
      <w:r w:rsidR="00C37CBD" w:rsidRPr="00D37D55">
        <w:tab/>
      </w:r>
      <w:r w:rsidR="00C37CBD" w:rsidRPr="00D37D55">
        <w:rPr>
          <w:b/>
        </w:rPr>
        <w:t>Recommendation</w:t>
      </w:r>
    </w:p>
    <w:p w:rsidR="00C37CBD" w:rsidRPr="00D37D55" w:rsidRDefault="00C37CBD" w:rsidP="00C37CBD">
      <w:pPr>
        <w:keepNext/>
        <w:ind w:left="1267" w:hanging="1267"/>
      </w:pPr>
      <w:r w:rsidRPr="00D37D55">
        <w:tab/>
      </w:r>
      <w:r w:rsidRPr="00D37D55">
        <w:tab/>
      </w:r>
    </w:p>
    <w:p w:rsidR="00C37CBD" w:rsidRPr="00D37D55" w:rsidRDefault="00C37CBD" w:rsidP="00C37CBD">
      <w:pPr>
        <w:keepNext/>
        <w:ind w:left="1267" w:hanging="1267"/>
      </w:pPr>
      <w:r w:rsidRPr="00D37D55">
        <w:tab/>
        <w:t>To Council:</w:t>
      </w:r>
    </w:p>
    <w:p w:rsidR="00C37CBD" w:rsidRPr="00D37D55" w:rsidRDefault="00C37CBD" w:rsidP="00C37CBD">
      <w:pPr>
        <w:keepNext/>
        <w:ind w:left="1267" w:hanging="1267"/>
      </w:pPr>
    </w:p>
    <w:p w:rsidR="0047247F" w:rsidRPr="00D37D55" w:rsidRDefault="005A3853" w:rsidP="00AB0E6E">
      <w:pPr>
        <w:keepNext/>
        <w:tabs>
          <w:tab w:val="left" w:pos="567"/>
        </w:tabs>
        <w:ind w:left="1267" w:hanging="1267"/>
      </w:pPr>
      <w:r w:rsidRPr="00D37D55">
        <w:t>8</w:t>
      </w:r>
      <w:r w:rsidR="00C37CBD" w:rsidRPr="00D37D55">
        <w:t xml:space="preserve">.1  </w:t>
      </w:r>
      <w:r w:rsidR="00C37CBD" w:rsidRPr="00D37D55">
        <w:tab/>
      </w:r>
      <w:r w:rsidR="00C37CBD" w:rsidRPr="00D37D55">
        <w:tab/>
        <w:t xml:space="preserve">That the following </w:t>
      </w:r>
      <w:r w:rsidR="002E3C59" w:rsidRPr="00D37D55">
        <w:t>re</w:t>
      </w:r>
      <w:r w:rsidR="00735FB1" w:rsidRPr="00D37D55">
        <w:t>venue</w:t>
      </w:r>
      <w:r w:rsidR="00BA4DBB" w:rsidRPr="00D37D55">
        <w:t xml:space="preserve"> and capital budget</w:t>
      </w:r>
      <w:r w:rsidR="00C37CBD" w:rsidRPr="00D37D55">
        <w:t xml:space="preserve"> variations be approved and incorporated into the three-year medium-term financial plan:-</w:t>
      </w:r>
    </w:p>
    <w:p w:rsidR="00B35FEB" w:rsidRPr="00923197" w:rsidRDefault="00B35FEB" w:rsidP="00AB0E6E">
      <w:pPr>
        <w:keepNext/>
        <w:tabs>
          <w:tab w:val="left" w:pos="567"/>
        </w:tabs>
        <w:ind w:left="1267" w:hanging="1267"/>
        <w:rPr>
          <w:color w:val="365F91" w:themeColor="accent1" w:themeShade="B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239"/>
        <w:gridCol w:w="1113"/>
        <w:gridCol w:w="1058"/>
        <w:gridCol w:w="1058"/>
      </w:tblGrid>
      <w:tr w:rsidR="00CA148D" w:rsidRPr="00923197" w:rsidTr="00AF4402">
        <w:tc>
          <w:tcPr>
            <w:tcW w:w="3827" w:type="dxa"/>
          </w:tcPr>
          <w:p w:rsidR="00CA148D" w:rsidRPr="00D37D55" w:rsidRDefault="00CA148D" w:rsidP="004F0D6A">
            <w:pPr>
              <w:widowControl w:val="0"/>
              <w:jc w:val="center"/>
              <w:rPr>
                <w:sz w:val="20"/>
              </w:rPr>
            </w:pPr>
          </w:p>
          <w:p w:rsidR="00CA148D" w:rsidRPr="00D37D55" w:rsidRDefault="00CA148D" w:rsidP="004F0D6A">
            <w:pPr>
              <w:widowControl w:val="0"/>
              <w:jc w:val="center"/>
              <w:rPr>
                <w:sz w:val="20"/>
              </w:rPr>
            </w:pPr>
            <w:r w:rsidRPr="00D37D55">
              <w:rPr>
                <w:sz w:val="20"/>
              </w:rPr>
              <w:t>Variance</w:t>
            </w:r>
          </w:p>
        </w:tc>
        <w:tc>
          <w:tcPr>
            <w:tcW w:w="1239" w:type="dxa"/>
            <w:tcBorders>
              <w:bottom w:val="single" w:sz="4" w:space="0" w:color="auto"/>
            </w:tcBorders>
          </w:tcPr>
          <w:p w:rsidR="00CA148D" w:rsidRPr="00D37D55" w:rsidRDefault="00CA148D" w:rsidP="004F0D6A">
            <w:pPr>
              <w:widowControl w:val="0"/>
              <w:jc w:val="center"/>
              <w:rPr>
                <w:sz w:val="20"/>
              </w:rPr>
            </w:pPr>
            <w:r w:rsidRPr="00D37D55">
              <w:rPr>
                <w:sz w:val="20"/>
              </w:rPr>
              <w:t>2016/17</w:t>
            </w:r>
          </w:p>
          <w:p w:rsidR="00CA148D" w:rsidRPr="00D37D55" w:rsidRDefault="00CA148D" w:rsidP="004F0D6A">
            <w:pPr>
              <w:widowControl w:val="0"/>
              <w:jc w:val="center"/>
              <w:rPr>
                <w:sz w:val="20"/>
              </w:rPr>
            </w:pPr>
            <w:r w:rsidRPr="00D37D55">
              <w:rPr>
                <w:sz w:val="20"/>
              </w:rPr>
              <w:t>£</w:t>
            </w:r>
          </w:p>
        </w:tc>
        <w:tc>
          <w:tcPr>
            <w:tcW w:w="1058" w:type="dxa"/>
            <w:tcBorders>
              <w:bottom w:val="single" w:sz="4" w:space="0" w:color="auto"/>
            </w:tcBorders>
          </w:tcPr>
          <w:p w:rsidR="00CA148D" w:rsidRPr="00D37D55" w:rsidRDefault="00CA148D" w:rsidP="004F0D6A">
            <w:pPr>
              <w:widowControl w:val="0"/>
              <w:jc w:val="center"/>
              <w:rPr>
                <w:sz w:val="20"/>
              </w:rPr>
            </w:pPr>
            <w:r w:rsidRPr="00D37D55">
              <w:rPr>
                <w:sz w:val="20"/>
              </w:rPr>
              <w:t>2017/18</w:t>
            </w:r>
          </w:p>
          <w:p w:rsidR="00CA148D" w:rsidRPr="00D37D55" w:rsidRDefault="00CA148D" w:rsidP="004F0D6A">
            <w:pPr>
              <w:widowControl w:val="0"/>
              <w:jc w:val="center"/>
              <w:rPr>
                <w:sz w:val="20"/>
              </w:rPr>
            </w:pPr>
            <w:r w:rsidRPr="00D37D55">
              <w:rPr>
                <w:sz w:val="20"/>
              </w:rPr>
              <w:t>£</w:t>
            </w:r>
          </w:p>
        </w:tc>
        <w:tc>
          <w:tcPr>
            <w:tcW w:w="1058" w:type="dxa"/>
            <w:tcBorders>
              <w:bottom w:val="single" w:sz="4" w:space="0" w:color="auto"/>
            </w:tcBorders>
          </w:tcPr>
          <w:p w:rsidR="00CA148D" w:rsidRPr="00D37D55" w:rsidRDefault="00CA148D" w:rsidP="000737C5">
            <w:pPr>
              <w:widowControl w:val="0"/>
              <w:jc w:val="center"/>
              <w:rPr>
                <w:sz w:val="20"/>
              </w:rPr>
            </w:pPr>
            <w:r w:rsidRPr="00D37D55">
              <w:rPr>
                <w:sz w:val="20"/>
              </w:rPr>
              <w:t>2018/19</w:t>
            </w:r>
          </w:p>
          <w:p w:rsidR="00CA148D" w:rsidRPr="00D37D55" w:rsidRDefault="00CA148D" w:rsidP="000737C5">
            <w:pPr>
              <w:widowControl w:val="0"/>
              <w:jc w:val="center"/>
              <w:rPr>
                <w:sz w:val="20"/>
              </w:rPr>
            </w:pPr>
            <w:r w:rsidRPr="00D37D55">
              <w:rPr>
                <w:sz w:val="20"/>
              </w:rPr>
              <w:t>£</w:t>
            </w:r>
          </w:p>
        </w:tc>
        <w:tc>
          <w:tcPr>
            <w:tcW w:w="1058" w:type="dxa"/>
            <w:tcBorders>
              <w:bottom w:val="single" w:sz="4" w:space="0" w:color="auto"/>
            </w:tcBorders>
          </w:tcPr>
          <w:p w:rsidR="00CA148D" w:rsidRPr="00D37D55" w:rsidRDefault="00CA148D" w:rsidP="004F0D6A">
            <w:pPr>
              <w:widowControl w:val="0"/>
              <w:jc w:val="center"/>
              <w:rPr>
                <w:sz w:val="20"/>
              </w:rPr>
            </w:pPr>
            <w:r w:rsidRPr="00D37D55">
              <w:rPr>
                <w:sz w:val="20"/>
              </w:rPr>
              <w:t>201</w:t>
            </w:r>
            <w:r>
              <w:rPr>
                <w:sz w:val="20"/>
              </w:rPr>
              <w:t>9</w:t>
            </w:r>
            <w:r w:rsidRPr="00D37D55">
              <w:rPr>
                <w:sz w:val="20"/>
              </w:rPr>
              <w:t>/</w:t>
            </w:r>
            <w:r>
              <w:rPr>
                <w:sz w:val="20"/>
              </w:rPr>
              <w:t>20</w:t>
            </w:r>
          </w:p>
          <w:p w:rsidR="00CA148D" w:rsidRPr="00D37D55" w:rsidRDefault="00CA148D" w:rsidP="004F0D6A">
            <w:pPr>
              <w:widowControl w:val="0"/>
              <w:jc w:val="center"/>
              <w:rPr>
                <w:sz w:val="20"/>
              </w:rPr>
            </w:pPr>
            <w:r w:rsidRPr="00D37D55">
              <w:rPr>
                <w:sz w:val="20"/>
              </w:rPr>
              <w:t>£</w:t>
            </w:r>
          </w:p>
        </w:tc>
      </w:tr>
      <w:tr w:rsidR="00AA2D17" w:rsidRPr="00923197" w:rsidTr="00AF4402">
        <w:tc>
          <w:tcPr>
            <w:tcW w:w="3827" w:type="dxa"/>
          </w:tcPr>
          <w:p w:rsidR="00AA2D17" w:rsidRPr="00D37D55" w:rsidRDefault="00AA2D17" w:rsidP="00795983">
            <w:pPr>
              <w:widowControl w:val="0"/>
              <w:spacing w:before="60" w:after="60"/>
              <w:rPr>
                <w:sz w:val="20"/>
              </w:rPr>
            </w:pPr>
            <w:r w:rsidRPr="00D37D55">
              <w:rPr>
                <w:b/>
                <w:sz w:val="20"/>
              </w:rPr>
              <w:t xml:space="preserve">Revenue </w:t>
            </w:r>
            <w:r w:rsidRPr="00D37D55">
              <w:rPr>
                <w:sz w:val="20"/>
              </w:rPr>
              <w:t>- (Favourable)</w:t>
            </w:r>
            <w:r w:rsidR="00795983" w:rsidRPr="00795983">
              <w:rPr>
                <w:sz w:val="16"/>
                <w:szCs w:val="16"/>
              </w:rPr>
              <w:t xml:space="preserve"> </w:t>
            </w:r>
            <w:r w:rsidRPr="00D37D55">
              <w:rPr>
                <w:sz w:val="20"/>
              </w:rPr>
              <w:t>/</w:t>
            </w:r>
            <w:r w:rsidRPr="00795983">
              <w:rPr>
                <w:sz w:val="16"/>
                <w:szCs w:val="16"/>
              </w:rPr>
              <w:t xml:space="preserve"> </w:t>
            </w:r>
            <w:r w:rsidRPr="00D37D55">
              <w:rPr>
                <w:sz w:val="20"/>
              </w:rPr>
              <w:t>Unfavourable</w:t>
            </w:r>
          </w:p>
        </w:tc>
        <w:tc>
          <w:tcPr>
            <w:tcW w:w="1239" w:type="dxa"/>
            <w:shd w:val="clear" w:color="auto" w:fill="FFFFFF"/>
          </w:tcPr>
          <w:p w:rsidR="00AA2D17" w:rsidRPr="00AA2D17" w:rsidRDefault="00AA2D17" w:rsidP="006E5E77">
            <w:pPr>
              <w:widowControl w:val="0"/>
              <w:spacing w:before="60" w:after="60"/>
              <w:jc w:val="right"/>
              <w:rPr>
                <w:sz w:val="20"/>
              </w:rPr>
            </w:pPr>
            <w:r w:rsidRPr="00AA2D17">
              <w:rPr>
                <w:sz w:val="20"/>
              </w:rPr>
              <w:t>(7,000)</w:t>
            </w:r>
          </w:p>
        </w:tc>
        <w:tc>
          <w:tcPr>
            <w:tcW w:w="1058" w:type="dxa"/>
            <w:shd w:val="clear" w:color="auto" w:fill="FFFFFF"/>
          </w:tcPr>
          <w:p w:rsidR="00AA2D17" w:rsidRPr="00AA2D17" w:rsidRDefault="00AA2D17" w:rsidP="006E5E77">
            <w:pPr>
              <w:widowControl w:val="0"/>
              <w:spacing w:before="60" w:after="60"/>
              <w:ind w:right="7"/>
              <w:jc w:val="right"/>
              <w:rPr>
                <w:sz w:val="20"/>
              </w:rPr>
            </w:pPr>
            <w:r w:rsidRPr="00AA2D17">
              <w:rPr>
                <w:sz w:val="20"/>
              </w:rPr>
              <w:t>0</w:t>
            </w:r>
          </w:p>
        </w:tc>
        <w:tc>
          <w:tcPr>
            <w:tcW w:w="1058" w:type="dxa"/>
            <w:shd w:val="clear" w:color="auto" w:fill="FFFFFF"/>
          </w:tcPr>
          <w:p w:rsidR="00AA2D17" w:rsidRPr="00AA2D17" w:rsidRDefault="00AA2D17" w:rsidP="006E5E77">
            <w:pPr>
              <w:widowControl w:val="0"/>
              <w:spacing w:before="60" w:after="60"/>
              <w:ind w:right="7"/>
              <w:jc w:val="right"/>
              <w:rPr>
                <w:sz w:val="20"/>
              </w:rPr>
            </w:pPr>
            <w:r w:rsidRPr="00AA2D17">
              <w:rPr>
                <w:sz w:val="20"/>
              </w:rPr>
              <w:t>0</w:t>
            </w:r>
          </w:p>
        </w:tc>
        <w:tc>
          <w:tcPr>
            <w:tcW w:w="1058" w:type="dxa"/>
            <w:shd w:val="clear" w:color="auto" w:fill="FFFFFF"/>
          </w:tcPr>
          <w:p w:rsidR="00AA2D17" w:rsidRPr="00AA2D17" w:rsidRDefault="00AA2D17" w:rsidP="006E5E77">
            <w:pPr>
              <w:widowControl w:val="0"/>
              <w:spacing w:before="60" w:after="60"/>
              <w:ind w:right="7"/>
              <w:jc w:val="right"/>
              <w:rPr>
                <w:sz w:val="20"/>
              </w:rPr>
            </w:pPr>
            <w:r w:rsidRPr="00AA2D17">
              <w:rPr>
                <w:sz w:val="20"/>
              </w:rPr>
              <w:t>0</w:t>
            </w:r>
          </w:p>
        </w:tc>
      </w:tr>
      <w:tr w:rsidR="00AF4402" w:rsidRPr="00923197" w:rsidTr="00AF4402">
        <w:tc>
          <w:tcPr>
            <w:tcW w:w="3827" w:type="dxa"/>
          </w:tcPr>
          <w:p w:rsidR="00AF4402" w:rsidRPr="00D37D55" w:rsidRDefault="00AF4402" w:rsidP="004F0D6A">
            <w:pPr>
              <w:widowControl w:val="0"/>
              <w:spacing w:before="60" w:after="60"/>
              <w:rPr>
                <w:sz w:val="20"/>
              </w:rPr>
            </w:pPr>
            <w:r w:rsidRPr="00D37D55">
              <w:rPr>
                <w:b/>
                <w:sz w:val="20"/>
              </w:rPr>
              <w:t>Capital</w:t>
            </w:r>
            <w:r w:rsidRPr="00D37D55">
              <w:rPr>
                <w:sz w:val="20"/>
              </w:rPr>
              <w:t xml:space="preserve"> - Increase / (Decrease)</w:t>
            </w:r>
          </w:p>
        </w:tc>
        <w:tc>
          <w:tcPr>
            <w:tcW w:w="1239" w:type="dxa"/>
            <w:shd w:val="clear" w:color="auto" w:fill="FFFFFF"/>
          </w:tcPr>
          <w:p w:rsidR="00AF4402" w:rsidRPr="00923197" w:rsidRDefault="00AF4402" w:rsidP="004F0D6A">
            <w:pPr>
              <w:widowControl w:val="0"/>
              <w:spacing w:before="60" w:after="60"/>
              <w:jc w:val="right"/>
              <w:rPr>
                <w:color w:val="365F91" w:themeColor="accent1" w:themeShade="BF"/>
                <w:sz w:val="20"/>
              </w:rPr>
            </w:pPr>
            <w:r w:rsidRPr="00FE23E8">
              <w:rPr>
                <w:sz w:val="20"/>
              </w:rPr>
              <w:t>(1,752,030)</w:t>
            </w:r>
          </w:p>
        </w:tc>
        <w:tc>
          <w:tcPr>
            <w:tcW w:w="1058" w:type="dxa"/>
            <w:shd w:val="clear" w:color="auto" w:fill="FFFFFF"/>
          </w:tcPr>
          <w:p w:rsidR="00AF4402" w:rsidRPr="008E0170" w:rsidRDefault="00AF4402" w:rsidP="006E5E77">
            <w:pPr>
              <w:widowControl w:val="0"/>
              <w:spacing w:before="60" w:after="60"/>
              <w:ind w:right="7"/>
              <w:jc w:val="right"/>
              <w:rPr>
                <w:sz w:val="20"/>
              </w:rPr>
            </w:pPr>
            <w:r w:rsidRPr="008E0170">
              <w:rPr>
                <w:sz w:val="20"/>
              </w:rPr>
              <w:t>1,520,380</w:t>
            </w:r>
          </w:p>
        </w:tc>
        <w:tc>
          <w:tcPr>
            <w:tcW w:w="1058" w:type="dxa"/>
            <w:shd w:val="clear" w:color="auto" w:fill="FFFFFF"/>
          </w:tcPr>
          <w:p w:rsidR="00AF4402" w:rsidRPr="00923197" w:rsidRDefault="00AF4402" w:rsidP="000737C5">
            <w:pPr>
              <w:widowControl w:val="0"/>
              <w:spacing w:before="60" w:after="60"/>
              <w:ind w:right="7"/>
              <w:jc w:val="right"/>
              <w:rPr>
                <w:color w:val="365F91" w:themeColor="accent1" w:themeShade="BF"/>
                <w:sz w:val="20"/>
              </w:rPr>
            </w:pPr>
            <w:r w:rsidRPr="00923197">
              <w:rPr>
                <w:color w:val="365F91" w:themeColor="accent1" w:themeShade="BF"/>
                <w:sz w:val="20"/>
              </w:rPr>
              <w:t>0</w:t>
            </w:r>
          </w:p>
        </w:tc>
        <w:tc>
          <w:tcPr>
            <w:tcW w:w="1058" w:type="dxa"/>
            <w:shd w:val="clear" w:color="auto" w:fill="FFFFFF"/>
          </w:tcPr>
          <w:p w:rsidR="00AF4402" w:rsidRPr="00923197" w:rsidRDefault="00AF4402" w:rsidP="004F0D6A">
            <w:pPr>
              <w:widowControl w:val="0"/>
              <w:spacing w:before="60" w:after="60"/>
              <w:ind w:right="7"/>
              <w:jc w:val="right"/>
              <w:rPr>
                <w:color w:val="365F91" w:themeColor="accent1" w:themeShade="BF"/>
                <w:sz w:val="20"/>
              </w:rPr>
            </w:pPr>
            <w:r w:rsidRPr="00923197">
              <w:rPr>
                <w:color w:val="365F91" w:themeColor="accent1" w:themeShade="BF"/>
                <w:sz w:val="20"/>
              </w:rPr>
              <w:t>0</w:t>
            </w:r>
          </w:p>
        </w:tc>
      </w:tr>
    </w:tbl>
    <w:p w:rsidR="00D972D6" w:rsidRPr="00923197" w:rsidRDefault="00B35FEB" w:rsidP="00D41B6B">
      <w:pPr>
        <w:keepNext/>
        <w:tabs>
          <w:tab w:val="clear" w:pos="1260"/>
        </w:tabs>
        <w:rPr>
          <w:color w:val="365F91" w:themeColor="accent1" w:themeShade="BF"/>
        </w:rPr>
      </w:pPr>
      <w:r w:rsidRPr="00923197">
        <w:rPr>
          <w:color w:val="365F91" w:themeColor="accent1" w:themeShade="BF"/>
        </w:rPr>
        <w:tab/>
      </w:r>
      <w:r w:rsidR="00C37CBD" w:rsidRPr="00923197">
        <w:rPr>
          <w:color w:val="365F91" w:themeColor="accent1" w:themeShade="BF"/>
        </w:rPr>
        <w:tab/>
      </w:r>
    </w:p>
    <w:p w:rsidR="007514DD" w:rsidRPr="00D37D55" w:rsidRDefault="00D972D6" w:rsidP="00C37CBD">
      <w:r w:rsidRPr="00923197">
        <w:rPr>
          <w:color w:val="365F91" w:themeColor="accent1" w:themeShade="BF"/>
        </w:rPr>
        <w:tab/>
      </w:r>
      <w:r w:rsidR="00C37CBD" w:rsidRPr="00D37D55">
        <w:t>Report prepared by:</w:t>
      </w:r>
      <w:r w:rsidR="00C37CBD" w:rsidRPr="00D37D55">
        <w:tab/>
      </w:r>
      <w:r w:rsidR="00237823">
        <w:t>Bryan Collett</w:t>
      </w:r>
      <w:r w:rsidR="00BA4DBB" w:rsidRPr="00D37D55">
        <w:t xml:space="preserve"> </w:t>
      </w:r>
      <w:r w:rsidR="00C37CBD" w:rsidRPr="00D37D55">
        <w:t xml:space="preserve">– </w:t>
      </w:r>
      <w:r w:rsidR="00237823">
        <w:t xml:space="preserve">Assistant </w:t>
      </w:r>
      <w:r w:rsidR="00112412" w:rsidRPr="00D37D55">
        <w:t>Finance Manager</w:t>
      </w:r>
    </w:p>
    <w:p w:rsidR="007514DD" w:rsidRPr="00D37D55" w:rsidRDefault="007514DD" w:rsidP="00C37CBD"/>
    <w:p w:rsidR="007514DD" w:rsidRPr="00D37D55" w:rsidRDefault="007514DD" w:rsidP="00C37CBD">
      <w:r w:rsidRPr="00D37D55">
        <w:tab/>
        <w:t xml:space="preserve">Checked by: Nigel Pollard – Section Head </w:t>
      </w:r>
      <w:r w:rsidR="008A05B6">
        <w:t xml:space="preserve"> (</w:t>
      </w:r>
      <w:r w:rsidRPr="00D37D55">
        <w:t>Accountancy</w:t>
      </w:r>
      <w:r w:rsidR="008A05B6">
        <w:t>)</w:t>
      </w:r>
    </w:p>
    <w:p w:rsidR="007514DD" w:rsidRDefault="007514DD" w:rsidP="008E25BA">
      <w:pPr>
        <w:keepNext/>
        <w:ind w:left="1267" w:hanging="1267"/>
        <w:outlineLvl w:val="0"/>
      </w:pPr>
    </w:p>
    <w:p w:rsidR="007E3F7C" w:rsidRPr="00D37D55" w:rsidRDefault="007E3F7C" w:rsidP="008E25BA">
      <w:pPr>
        <w:keepNext/>
        <w:ind w:left="1267" w:hanging="1267"/>
        <w:outlineLvl w:val="0"/>
      </w:pPr>
    </w:p>
    <w:p w:rsidR="00C37CBD" w:rsidRPr="008118B0" w:rsidRDefault="00C37CBD" w:rsidP="008E25BA">
      <w:pPr>
        <w:keepNext/>
        <w:ind w:left="1267" w:hanging="1267"/>
        <w:outlineLvl w:val="0"/>
        <w:rPr>
          <w:b/>
        </w:rPr>
      </w:pPr>
      <w:r w:rsidRPr="00D37D55">
        <w:tab/>
      </w:r>
      <w:r w:rsidRPr="00D37D55">
        <w:tab/>
      </w:r>
      <w:r w:rsidRPr="00D37D55">
        <w:rPr>
          <w:b/>
        </w:rPr>
        <w:t>Background Papers</w:t>
      </w:r>
    </w:p>
    <w:p w:rsidR="00B5553E" w:rsidRPr="008118B0" w:rsidRDefault="00B5553E" w:rsidP="008E25BA">
      <w:pPr>
        <w:keepNext/>
        <w:ind w:left="1267" w:hanging="1267"/>
        <w:outlineLvl w:val="0"/>
        <w:rPr>
          <w:b/>
        </w:rPr>
      </w:pPr>
    </w:p>
    <w:p w:rsidR="000902CC" w:rsidRPr="008118B0" w:rsidRDefault="00C37CBD" w:rsidP="00C37CBD">
      <w:pPr>
        <w:ind w:left="1260" w:hanging="1260"/>
      </w:pPr>
      <w:r w:rsidRPr="008118B0">
        <w:rPr>
          <w:i/>
        </w:rPr>
        <w:tab/>
      </w:r>
      <w:r w:rsidR="000902CC" w:rsidRPr="008118B0">
        <w:t>2016/17 Budget Monitoring Quarter 1 (April – June) report</w:t>
      </w:r>
    </w:p>
    <w:p w:rsidR="00C37CBD" w:rsidRPr="008118B0" w:rsidRDefault="000902CC" w:rsidP="00C37CBD">
      <w:pPr>
        <w:ind w:left="1260" w:hanging="1260"/>
      </w:pPr>
      <w:r w:rsidRPr="008118B0">
        <w:rPr>
          <w:i/>
        </w:rPr>
        <w:tab/>
      </w:r>
      <w:r w:rsidR="008E25BA" w:rsidRPr="008118B0">
        <w:t>201</w:t>
      </w:r>
      <w:r w:rsidR="00B5553E" w:rsidRPr="008118B0">
        <w:t>6/</w:t>
      </w:r>
      <w:r w:rsidR="008E25BA" w:rsidRPr="008118B0">
        <w:t>1</w:t>
      </w:r>
      <w:r w:rsidR="00B5553E" w:rsidRPr="008118B0">
        <w:t>7</w:t>
      </w:r>
      <w:r w:rsidR="008E25BA" w:rsidRPr="008118B0">
        <w:t xml:space="preserve"> </w:t>
      </w:r>
      <w:r w:rsidR="00B5553E" w:rsidRPr="008118B0">
        <w:t xml:space="preserve">Budget Monitoring </w:t>
      </w:r>
      <w:r w:rsidR="009417BF" w:rsidRPr="008118B0">
        <w:t>Period</w:t>
      </w:r>
      <w:r w:rsidR="00B5553E" w:rsidRPr="008118B0">
        <w:t xml:space="preserve"> </w:t>
      </w:r>
      <w:r w:rsidR="009417BF" w:rsidRPr="008118B0">
        <w:t>4</w:t>
      </w:r>
      <w:r w:rsidR="00B5553E" w:rsidRPr="008118B0">
        <w:t xml:space="preserve"> (Ju</w:t>
      </w:r>
      <w:r w:rsidR="009417BF" w:rsidRPr="008118B0">
        <w:t>ly</w:t>
      </w:r>
      <w:r w:rsidR="00B5553E" w:rsidRPr="008118B0">
        <w:t xml:space="preserve">) </w:t>
      </w:r>
      <w:r w:rsidR="008E25BA" w:rsidRPr="008118B0">
        <w:t>report</w:t>
      </w:r>
    </w:p>
    <w:p w:rsidR="00CA148D" w:rsidRPr="008118B0" w:rsidRDefault="00CA148D" w:rsidP="00CA148D">
      <w:pPr>
        <w:ind w:left="1260" w:firstLine="16"/>
      </w:pPr>
      <w:r w:rsidRPr="008118B0">
        <w:t>2016/17 Budget Monitoring Period 6 (September) report</w:t>
      </w:r>
    </w:p>
    <w:p w:rsidR="00CA148D" w:rsidRPr="008118B0" w:rsidRDefault="00CA148D" w:rsidP="00CA148D">
      <w:pPr>
        <w:ind w:left="1260" w:firstLine="16"/>
      </w:pPr>
      <w:r w:rsidRPr="008118B0">
        <w:t>2016/17 Budget Monitoring Period 8 (November) report</w:t>
      </w:r>
    </w:p>
    <w:p w:rsidR="009D3B3E" w:rsidRPr="008118B0" w:rsidRDefault="00CA148D" w:rsidP="00CA148D">
      <w:pPr>
        <w:ind w:left="1260" w:firstLine="16"/>
      </w:pPr>
      <w:r w:rsidRPr="008118B0">
        <w:t>Financial Planning report 23 January 2017</w:t>
      </w:r>
    </w:p>
    <w:p w:rsidR="007E3F7C" w:rsidRPr="008118B0" w:rsidRDefault="007E3F7C" w:rsidP="00CA148D">
      <w:pPr>
        <w:ind w:left="1260" w:firstLine="16"/>
      </w:pPr>
      <w:r w:rsidRPr="008118B0">
        <w:t>Liberal Democrat budget proposal and recommendations 2</w:t>
      </w:r>
      <w:r w:rsidR="00AF4402">
        <w:t>1</w:t>
      </w:r>
      <w:r w:rsidRPr="008118B0">
        <w:t xml:space="preserve"> </w:t>
      </w:r>
      <w:r w:rsidR="00AF4402">
        <w:t xml:space="preserve">February </w:t>
      </w:r>
      <w:r w:rsidRPr="008118B0">
        <w:t xml:space="preserve">2017 </w:t>
      </w:r>
    </w:p>
    <w:p w:rsidR="00CA148D" w:rsidRDefault="00CA148D" w:rsidP="00CA148D">
      <w:pPr>
        <w:ind w:left="1260" w:firstLine="16"/>
        <w:rPr>
          <w:color w:val="365F91" w:themeColor="accent1" w:themeShade="BF"/>
        </w:rPr>
      </w:pPr>
    </w:p>
    <w:p w:rsidR="007E3F7C" w:rsidRPr="00CA148D" w:rsidRDefault="007E3F7C" w:rsidP="00CA148D">
      <w:pPr>
        <w:ind w:left="1260" w:firstLine="16"/>
        <w:rPr>
          <w:color w:val="365F91" w:themeColor="accent1" w:themeShade="BF"/>
        </w:rPr>
      </w:pPr>
    </w:p>
    <w:p w:rsidR="00C37CBD" w:rsidRPr="00D37D55" w:rsidRDefault="00C37CBD" w:rsidP="00C37CBD">
      <w:pPr>
        <w:ind w:left="1260" w:hanging="1260"/>
        <w:rPr>
          <w:b/>
        </w:rPr>
      </w:pPr>
      <w:r w:rsidRPr="00923197">
        <w:rPr>
          <w:b/>
          <w:i/>
          <w:color w:val="365F91" w:themeColor="accent1" w:themeShade="BF"/>
          <w:sz w:val="26"/>
        </w:rPr>
        <w:tab/>
      </w:r>
      <w:r w:rsidRPr="00D37D55">
        <w:rPr>
          <w:b/>
        </w:rPr>
        <w:t xml:space="preserve">APPENDICES </w:t>
      </w:r>
    </w:p>
    <w:p w:rsidR="00D41B6B" w:rsidRPr="00D37D55" w:rsidRDefault="00D41B6B" w:rsidP="00C37CBD">
      <w:pPr>
        <w:ind w:left="1260" w:hanging="1260"/>
        <w:rPr>
          <w:b/>
        </w:rPr>
      </w:pPr>
    </w:p>
    <w:p w:rsidR="00BE1B3A" w:rsidRPr="00D37D55" w:rsidRDefault="00C37CBD" w:rsidP="00B5553E">
      <w:pPr>
        <w:keepNext/>
        <w:ind w:left="1259" w:hanging="1259"/>
        <w:jc w:val="left"/>
        <w:rPr>
          <w:rFonts w:cs="Arial"/>
          <w:szCs w:val="22"/>
        </w:rPr>
      </w:pPr>
      <w:r w:rsidRPr="00D37D55">
        <w:tab/>
      </w:r>
      <w:r w:rsidR="00BE1B3A" w:rsidRPr="00D37D55">
        <w:tab/>
      </w:r>
      <w:r w:rsidR="00197BE0" w:rsidRPr="00D37D55">
        <w:rPr>
          <w:rFonts w:cs="Arial"/>
          <w:szCs w:val="22"/>
        </w:rPr>
        <w:t xml:space="preserve">Appendix </w:t>
      </w:r>
      <w:proofErr w:type="gramStart"/>
      <w:r w:rsidR="00197BE0" w:rsidRPr="00D37D55">
        <w:rPr>
          <w:rFonts w:cs="Arial"/>
          <w:szCs w:val="22"/>
        </w:rPr>
        <w:t>1</w:t>
      </w:r>
      <w:r w:rsidR="00AF4402">
        <w:rPr>
          <w:rFonts w:cs="Arial"/>
          <w:szCs w:val="22"/>
        </w:rPr>
        <w:t xml:space="preserve"> </w:t>
      </w:r>
      <w:r w:rsidR="00197BE0" w:rsidRPr="00D37D55">
        <w:rPr>
          <w:rFonts w:cs="Arial"/>
          <w:szCs w:val="22"/>
        </w:rPr>
        <w:t xml:space="preserve"> </w:t>
      </w:r>
      <w:r w:rsidR="00102D03" w:rsidRPr="00D37D55">
        <w:rPr>
          <w:rFonts w:cs="Arial"/>
          <w:szCs w:val="22"/>
        </w:rPr>
        <w:t>M</w:t>
      </w:r>
      <w:r w:rsidR="00197BE0" w:rsidRPr="00D37D55">
        <w:rPr>
          <w:rFonts w:cs="Arial"/>
          <w:szCs w:val="22"/>
        </w:rPr>
        <w:t>edium</w:t>
      </w:r>
      <w:proofErr w:type="gramEnd"/>
      <w:r w:rsidR="00197BE0" w:rsidRPr="00D37D55">
        <w:rPr>
          <w:rFonts w:cs="Arial"/>
          <w:szCs w:val="22"/>
        </w:rPr>
        <w:t xml:space="preserve"> term revenue budget by cost centre by Committee</w:t>
      </w:r>
      <w:r w:rsidR="00102D03" w:rsidRPr="00D37D55">
        <w:rPr>
          <w:rFonts w:cs="Arial"/>
          <w:szCs w:val="22"/>
        </w:rPr>
        <w:t xml:space="preserve"> (2016-</w:t>
      </w:r>
      <w:r w:rsidR="008E35A7">
        <w:rPr>
          <w:rFonts w:cs="Arial"/>
          <w:szCs w:val="22"/>
        </w:rPr>
        <w:t>20</w:t>
      </w:r>
      <w:r w:rsidR="00102D03" w:rsidRPr="00D37D55">
        <w:rPr>
          <w:rFonts w:cs="Arial"/>
          <w:szCs w:val="22"/>
        </w:rPr>
        <w:t>)</w:t>
      </w:r>
    </w:p>
    <w:p w:rsidR="00C37CBD" w:rsidRPr="00D37D55" w:rsidRDefault="00C37CBD" w:rsidP="00B5553E">
      <w:pPr>
        <w:jc w:val="left"/>
        <w:rPr>
          <w:rFonts w:cs="Arial"/>
          <w:szCs w:val="22"/>
        </w:rPr>
      </w:pPr>
      <w:r w:rsidRPr="00D37D55">
        <w:rPr>
          <w:rFonts w:cs="Arial"/>
          <w:szCs w:val="22"/>
        </w:rPr>
        <w:tab/>
      </w:r>
      <w:r w:rsidR="00197BE0" w:rsidRPr="00D37D55">
        <w:rPr>
          <w:rFonts w:cs="Arial"/>
          <w:szCs w:val="22"/>
        </w:rPr>
        <w:t xml:space="preserve">Appendix </w:t>
      </w:r>
      <w:proofErr w:type="gramStart"/>
      <w:r w:rsidR="00197BE0" w:rsidRPr="00D37D55">
        <w:rPr>
          <w:rFonts w:cs="Arial"/>
          <w:szCs w:val="22"/>
        </w:rPr>
        <w:t xml:space="preserve">2 </w:t>
      </w:r>
      <w:r w:rsidR="00AF4402">
        <w:rPr>
          <w:rFonts w:cs="Arial"/>
          <w:szCs w:val="22"/>
        </w:rPr>
        <w:t xml:space="preserve"> </w:t>
      </w:r>
      <w:r w:rsidR="00102D03" w:rsidRPr="00D37D55">
        <w:rPr>
          <w:rFonts w:cs="Arial"/>
          <w:szCs w:val="22"/>
        </w:rPr>
        <w:t>E</w:t>
      </w:r>
      <w:r w:rsidR="00197BE0" w:rsidRPr="00D37D55">
        <w:t>xplanations</w:t>
      </w:r>
      <w:proofErr w:type="gramEnd"/>
      <w:r w:rsidR="00197BE0" w:rsidRPr="00D37D55">
        <w:t xml:space="preserve"> of revenue variances reported this Period</w:t>
      </w:r>
    </w:p>
    <w:p w:rsidR="00E37DDC" w:rsidRPr="00D37D55" w:rsidRDefault="00E37DDC" w:rsidP="00B5553E">
      <w:pPr>
        <w:pStyle w:val="BodyTextIndent"/>
        <w:jc w:val="left"/>
        <w:rPr>
          <w:rFonts w:cs="Arial"/>
          <w:szCs w:val="22"/>
        </w:rPr>
      </w:pPr>
      <w:r w:rsidRPr="00D37D55">
        <w:rPr>
          <w:rFonts w:cs="Arial"/>
          <w:szCs w:val="22"/>
        </w:rPr>
        <w:tab/>
      </w:r>
      <w:r w:rsidR="00197BE0" w:rsidRPr="00D37D55">
        <w:rPr>
          <w:rFonts w:cs="Arial"/>
          <w:szCs w:val="22"/>
        </w:rPr>
        <w:t xml:space="preserve">Appendix </w:t>
      </w:r>
      <w:proofErr w:type="gramStart"/>
      <w:r w:rsidR="00895B97">
        <w:rPr>
          <w:rFonts w:cs="Arial"/>
          <w:szCs w:val="22"/>
        </w:rPr>
        <w:t>3</w:t>
      </w:r>
      <w:r w:rsidR="00AF4402">
        <w:rPr>
          <w:rFonts w:cs="Arial"/>
          <w:szCs w:val="22"/>
        </w:rPr>
        <w:t xml:space="preserve"> </w:t>
      </w:r>
      <w:r w:rsidR="00197BE0" w:rsidRPr="00D37D55">
        <w:rPr>
          <w:rFonts w:cs="Arial"/>
          <w:szCs w:val="22"/>
        </w:rPr>
        <w:t xml:space="preserve"> </w:t>
      </w:r>
      <w:r w:rsidR="00102D03" w:rsidRPr="00D37D55">
        <w:rPr>
          <w:rFonts w:cs="Arial"/>
          <w:szCs w:val="22"/>
        </w:rPr>
        <w:t>K</w:t>
      </w:r>
      <w:r w:rsidR="00197BE0" w:rsidRPr="00D37D55">
        <w:rPr>
          <w:rFonts w:cs="Arial"/>
          <w:szCs w:val="22"/>
        </w:rPr>
        <w:t>ey</w:t>
      </w:r>
      <w:proofErr w:type="gramEnd"/>
      <w:r w:rsidR="00197BE0" w:rsidRPr="00D37D55">
        <w:rPr>
          <w:rFonts w:cs="Arial"/>
          <w:szCs w:val="22"/>
        </w:rPr>
        <w:t xml:space="preserve"> budget indicators </w:t>
      </w:r>
      <w:r w:rsidR="00102D03" w:rsidRPr="00D37D55">
        <w:rPr>
          <w:rFonts w:cs="Arial"/>
          <w:szCs w:val="22"/>
        </w:rPr>
        <w:t xml:space="preserve">– Income </w:t>
      </w:r>
      <w:r w:rsidR="00BB49F7" w:rsidRPr="00D37D55">
        <w:rPr>
          <w:rFonts w:cs="Arial"/>
          <w:szCs w:val="22"/>
        </w:rPr>
        <w:t>s</w:t>
      </w:r>
      <w:r w:rsidR="00102D03" w:rsidRPr="00D37D55">
        <w:rPr>
          <w:rFonts w:cs="Arial"/>
          <w:szCs w:val="22"/>
        </w:rPr>
        <w:t>treams</w:t>
      </w:r>
    </w:p>
    <w:p w:rsidR="00E37DDC" w:rsidRPr="00D37D55" w:rsidRDefault="00C37CBD" w:rsidP="00B5553E">
      <w:pPr>
        <w:pStyle w:val="BodyTextIndent"/>
        <w:jc w:val="left"/>
        <w:rPr>
          <w:rFonts w:cs="Arial"/>
          <w:szCs w:val="22"/>
        </w:rPr>
      </w:pPr>
      <w:r w:rsidRPr="00D37D55">
        <w:rPr>
          <w:rFonts w:cs="Arial"/>
          <w:szCs w:val="22"/>
        </w:rPr>
        <w:tab/>
      </w:r>
      <w:r w:rsidR="00BA2EDB" w:rsidRPr="00D37D55">
        <w:rPr>
          <w:rFonts w:cs="Arial"/>
          <w:szCs w:val="22"/>
        </w:rPr>
        <w:t xml:space="preserve">Appendix </w:t>
      </w:r>
      <w:proofErr w:type="gramStart"/>
      <w:r w:rsidR="00895B97">
        <w:rPr>
          <w:rFonts w:cs="Arial"/>
          <w:szCs w:val="22"/>
        </w:rPr>
        <w:t>4</w:t>
      </w:r>
      <w:r w:rsidR="00BA2EDB" w:rsidRPr="00D37D55">
        <w:rPr>
          <w:rFonts w:cs="Arial"/>
          <w:szCs w:val="22"/>
        </w:rPr>
        <w:t xml:space="preserve"> </w:t>
      </w:r>
      <w:r w:rsidR="00AF4402">
        <w:rPr>
          <w:rFonts w:cs="Arial"/>
          <w:szCs w:val="22"/>
        </w:rPr>
        <w:t xml:space="preserve"> </w:t>
      </w:r>
      <w:r w:rsidR="00BA2EDB" w:rsidRPr="00D37D55">
        <w:rPr>
          <w:rFonts w:cs="Arial"/>
          <w:szCs w:val="22"/>
        </w:rPr>
        <w:t>Budgetary</w:t>
      </w:r>
      <w:proofErr w:type="gramEnd"/>
      <w:r w:rsidR="00BA2EDB" w:rsidRPr="00D37D55">
        <w:rPr>
          <w:rFonts w:cs="Arial"/>
          <w:szCs w:val="22"/>
        </w:rPr>
        <w:t xml:space="preserve"> risks</w:t>
      </w:r>
    </w:p>
    <w:p w:rsidR="00102D03" w:rsidRPr="00D37D55" w:rsidRDefault="00197BE0" w:rsidP="00B5553E">
      <w:pPr>
        <w:pStyle w:val="BodyTextIndent"/>
        <w:tabs>
          <w:tab w:val="clear" w:pos="1260"/>
          <w:tab w:val="left" w:pos="2552"/>
        </w:tabs>
        <w:ind w:left="2552"/>
        <w:jc w:val="left"/>
      </w:pPr>
      <w:r w:rsidRPr="00D37D55">
        <w:t xml:space="preserve">Appendix </w:t>
      </w:r>
      <w:proofErr w:type="gramStart"/>
      <w:r w:rsidR="00895B97">
        <w:t>5</w:t>
      </w:r>
      <w:r w:rsidRPr="00D37D55">
        <w:t xml:space="preserve"> </w:t>
      </w:r>
      <w:r w:rsidR="00AF4402">
        <w:t xml:space="preserve"> </w:t>
      </w:r>
      <w:r w:rsidR="00102D03" w:rsidRPr="00D37D55">
        <w:t>Me</w:t>
      </w:r>
      <w:r w:rsidRPr="00D37D55">
        <w:t>dium</w:t>
      </w:r>
      <w:proofErr w:type="gramEnd"/>
      <w:r w:rsidRPr="00D37D55">
        <w:t xml:space="preserve"> term capital investment programme </w:t>
      </w:r>
      <w:r w:rsidR="00102D03" w:rsidRPr="00D37D55">
        <w:t>(</w:t>
      </w:r>
      <w:r w:rsidRPr="00D37D55">
        <w:t>2016 -20</w:t>
      </w:r>
      <w:r w:rsidR="008E35A7">
        <w:t>20</w:t>
      </w:r>
      <w:r w:rsidR="00102D03" w:rsidRPr="00D37D55">
        <w:t>)</w:t>
      </w:r>
      <w:r w:rsidRPr="00D37D55">
        <w:t xml:space="preserve"> </w:t>
      </w:r>
    </w:p>
    <w:p w:rsidR="00102D03" w:rsidRPr="00D37D55" w:rsidRDefault="00102D03" w:rsidP="00B5553E">
      <w:pPr>
        <w:pStyle w:val="BodyTextIndent"/>
        <w:tabs>
          <w:tab w:val="clear" w:pos="1260"/>
          <w:tab w:val="left" w:pos="2552"/>
        </w:tabs>
        <w:ind w:left="2552"/>
        <w:jc w:val="left"/>
      </w:pPr>
      <w:r w:rsidRPr="00D37D55">
        <w:t xml:space="preserve">Appendix </w:t>
      </w:r>
      <w:proofErr w:type="gramStart"/>
      <w:r w:rsidR="00895B97">
        <w:t>6</w:t>
      </w:r>
      <w:r w:rsidRPr="00D37D55">
        <w:t xml:space="preserve"> </w:t>
      </w:r>
      <w:r w:rsidR="00AF4402">
        <w:t xml:space="preserve"> </w:t>
      </w:r>
      <w:r w:rsidRPr="00D37D55">
        <w:t>Explanations</w:t>
      </w:r>
      <w:proofErr w:type="gramEnd"/>
      <w:r w:rsidRPr="00D37D55">
        <w:t xml:space="preserve"> of capital variances reported this Period</w:t>
      </w:r>
    </w:p>
    <w:p w:rsidR="002742B7" w:rsidRDefault="00112412" w:rsidP="00D41B6B">
      <w:pPr>
        <w:pStyle w:val="BodyTextIndent"/>
        <w:jc w:val="left"/>
        <w:rPr>
          <w:rFonts w:cs="Arial"/>
          <w:szCs w:val="22"/>
        </w:rPr>
      </w:pPr>
      <w:r w:rsidRPr="00D37D55">
        <w:rPr>
          <w:rFonts w:cs="Arial"/>
          <w:szCs w:val="22"/>
        </w:rPr>
        <w:tab/>
      </w:r>
      <w:r w:rsidR="00197BE0" w:rsidRPr="00D37D55">
        <w:rPr>
          <w:rFonts w:cs="Arial"/>
          <w:szCs w:val="22"/>
        </w:rPr>
        <w:t xml:space="preserve">Appendix </w:t>
      </w:r>
      <w:proofErr w:type="gramStart"/>
      <w:r w:rsidR="00895B97">
        <w:rPr>
          <w:rFonts w:cs="Arial"/>
          <w:szCs w:val="22"/>
        </w:rPr>
        <w:t>7</w:t>
      </w:r>
      <w:r w:rsidR="00197BE0" w:rsidRPr="00D37D55">
        <w:rPr>
          <w:rFonts w:cs="Arial"/>
          <w:szCs w:val="22"/>
        </w:rPr>
        <w:t xml:space="preserve"> </w:t>
      </w:r>
      <w:r w:rsidR="00AF4402">
        <w:rPr>
          <w:rFonts w:cs="Arial"/>
          <w:szCs w:val="22"/>
        </w:rPr>
        <w:t xml:space="preserve"> </w:t>
      </w:r>
      <w:r w:rsidR="00102D03" w:rsidRPr="00D37D55">
        <w:rPr>
          <w:rFonts w:cs="Arial"/>
          <w:szCs w:val="22"/>
        </w:rPr>
        <w:t>F</w:t>
      </w:r>
      <w:r w:rsidR="00197BE0" w:rsidRPr="00D37D55">
        <w:rPr>
          <w:rFonts w:cs="Arial"/>
          <w:szCs w:val="22"/>
        </w:rPr>
        <w:t>unding</w:t>
      </w:r>
      <w:proofErr w:type="gramEnd"/>
      <w:r w:rsidR="00197BE0" w:rsidRPr="00D37D55">
        <w:rPr>
          <w:rFonts w:cs="Arial"/>
          <w:szCs w:val="22"/>
        </w:rPr>
        <w:t xml:space="preserve"> the capital programme</w:t>
      </w:r>
      <w:r w:rsidR="00102D03" w:rsidRPr="00D37D55">
        <w:rPr>
          <w:rFonts w:cs="Arial"/>
          <w:szCs w:val="22"/>
        </w:rPr>
        <w:t xml:space="preserve"> (2016-20</w:t>
      </w:r>
      <w:r w:rsidR="008E35A7">
        <w:rPr>
          <w:rFonts w:cs="Arial"/>
          <w:szCs w:val="22"/>
        </w:rPr>
        <w:t>20</w:t>
      </w:r>
      <w:r w:rsidR="00102D03" w:rsidRPr="00D37D55">
        <w:rPr>
          <w:rFonts w:cs="Arial"/>
          <w:szCs w:val="22"/>
        </w:rPr>
        <w:t>)</w:t>
      </w:r>
    </w:p>
    <w:p w:rsidR="00191364" w:rsidRDefault="009350C2" w:rsidP="00D41B6B">
      <w:pPr>
        <w:pStyle w:val="BodyTextIndent"/>
        <w:jc w:val="left"/>
        <w:rPr>
          <w:rFonts w:cs="Arial"/>
          <w:color w:val="365F91" w:themeColor="accent1" w:themeShade="BF"/>
          <w:szCs w:val="22"/>
        </w:rPr>
      </w:pPr>
      <w:r>
        <w:rPr>
          <w:rFonts w:cs="Arial"/>
          <w:color w:val="365F91" w:themeColor="accent1" w:themeShade="BF"/>
          <w:szCs w:val="22"/>
        </w:rPr>
        <w:tab/>
      </w:r>
    </w:p>
    <w:p w:rsidR="00197BE0" w:rsidRPr="002742B7" w:rsidRDefault="00191364" w:rsidP="00AF4402">
      <w:pPr>
        <w:pStyle w:val="BodyTextIndent"/>
        <w:jc w:val="left"/>
        <w:rPr>
          <w:color w:val="17365D" w:themeColor="text2" w:themeShade="BF"/>
        </w:rPr>
        <w:sectPr w:rsidR="00197BE0" w:rsidRPr="002742B7" w:rsidSect="00CD1860">
          <w:pgSz w:w="11909" w:h="16834" w:code="9"/>
          <w:pgMar w:top="851" w:right="1077" w:bottom="567" w:left="1077" w:header="709" w:footer="709" w:gutter="0"/>
          <w:cols w:space="720"/>
        </w:sectPr>
      </w:pPr>
      <w:r>
        <w:rPr>
          <w:rFonts w:cs="Arial"/>
          <w:color w:val="365F91" w:themeColor="accent1" w:themeShade="BF"/>
          <w:szCs w:val="22"/>
        </w:rPr>
        <w:tab/>
      </w:r>
    </w:p>
    <w:p w:rsidR="00872691" w:rsidRPr="00DF26F8" w:rsidRDefault="00AE3C2B" w:rsidP="00922D3A">
      <w:pPr>
        <w:pStyle w:val="BodyTextIndent"/>
        <w:jc w:val="right"/>
        <w:rPr>
          <w:b/>
          <w:noProof/>
          <w:sz w:val="28"/>
          <w:szCs w:val="28"/>
        </w:rPr>
      </w:pPr>
      <w:r>
        <w:rPr>
          <w:b/>
          <w:noProof/>
          <w:sz w:val="28"/>
          <w:szCs w:val="28"/>
        </w:rPr>
        <w:lastRenderedPageBreak/>
        <w:tab/>
      </w:r>
      <w:r>
        <w:rPr>
          <w:b/>
          <w:noProof/>
          <w:sz w:val="28"/>
          <w:szCs w:val="28"/>
        </w:rPr>
        <w:tab/>
      </w:r>
      <w:r>
        <w:rPr>
          <w:b/>
          <w:noProof/>
          <w:sz w:val="28"/>
          <w:szCs w:val="28"/>
        </w:rPr>
        <w:tab/>
      </w:r>
      <w:r>
        <w:rPr>
          <w:b/>
          <w:noProof/>
          <w:sz w:val="28"/>
          <w:szCs w:val="28"/>
        </w:rPr>
        <w:tab/>
      </w:r>
      <w:r w:rsidR="00922D3A" w:rsidRPr="00DF26F8">
        <w:rPr>
          <w:b/>
          <w:noProof/>
          <w:sz w:val="28"/>
          <w:szCs w:val="28"/>
        </w:rPr>
        <w:t>A</w:t>
      </w:r>
      <w:r w:rsidR="00820F0F" w:rsidRPr="00DF26F8">
        <w:rPr>
          <w:b/>
          <w:noProof/>
          <w:sz w:val="28"/>
          <w:szCs w:val="28"/>
        </w:rPr>
        <w:t>PPENDIX 1</w:t>
      </w:r>
    </w:p>
    <w:p w:rsidR="009D3B19" w:rsidRDefault="00872691" w:rsidP="00872691">
      <w:pPr>
        <w:pStyle w:val="BodyTextIndent"/>
        <w:jc w:val="left"/>
        <w:rPr>
          <w:b/>
          <w:noProof/>
          <w:sz w:val="28"/>
          <w:szCs w:val="28"/>
        </w:rPr>
      </w:pPr>
      <w:r>
        <w:rPr>
          <w:b/>
          <w:noProof/>
          <w:sz w:val="28"/>
          <w:szCs w:val="28"/>
        </w:rPr>
        <w:t>Medium Term Revenue Budget by Committee</w:t>
      </w:r>
    </w:p>
    <w:p w:rsidR="00A475EC" w:rsidRPr="00DF26F8" w:rsidRDefault="00A475EC" w:rsidP="00872691">
      <w:pPr>
        <w:pStyle w:val="BodyTextIndent"/>
        <w:jc w:val="left"/>
        <w:rPr>
          <w:b/>
          <w:noProof/>
          <w:color w:val="365F91" w:themeColor="accent1" w:themeShade="BF"/>
          <w:sz w:val="16"/>
          <w:szCs w:val="16"/>
        </w:rPr>
      </w:pPr>
    </w:p>
    <w:p w:rsidR="00922D3A" w:rsidRPr="00923197" w:rsidRDefault="002B3D4F" w:rsidP="00C0265D">
      <w:pPr>
        <w:pStyle w:val="BodyTextIndent"/>
        <w:ind w:hanging="1418"/>
        <w:jc w:val="center"/>
        <w:rPr>
          <w:b/>
          <w:noProof/>
          <w:color w:val="365F91" w:themeColor="accent1" w:themeShade="BF"/>
          <w:sz w:val="28"/>
          <w:szCs w:val="28"/>
        </w:rPr>
      </w:pPr>
      <w:r w:rsidRPr="002B3D4F">
        <w:rPr>
          <w:noProof/>
        </w:rPr>
        <w:drawing>
          <wp:inline distT="0" distB="0" distL="0" distR="0" wp14:anchorId="6D0FF0A7" wp14:editId="17901D66">
            <wp:extent cx="9605175" cy="6114552"/>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5582" cy="6114811"/>
                    </a:xfrm>
                    <a:prstGeom prst="rect">
                      <a:avLst/>
                    </a:prstGeom>
                    <a:noFill/>
                    <a:ln>
                      <a:noFill/>
                    </a:ln>
                  </pic:spPr>
                </pic:pic>
              </a:graphicData>
            </a:graphic>
          </wp:inline>
        </w:drawing>
      </w:r>
    </w:p>
    <w:p w:rsidR="00922D3A" w:rsidRPr="00923197" w:rsidRDefault="00766E7B" w:rsidP="00C0265D">
      <w:pPr>
        <w:pStyle w:val="BodyTextIndent"/>
        <w:ind w:hanging="1418"/>
        <w:jc w:val="left"/>
        <w:rPr>
          <w:noProof/>
          <w:color w:val="365F91" w:themeColor="accent1" w:themeShade="BF"/>
        </w:rPr>
      </w:pPr>
      <w:r w:rsidRPr="00766E7B">
        <w:rPr>
          <w:noProof/>
        </w:rPr>
        <w:lastRenderedPageBreak/>
        <w:drawing>
          <wp:inline distT="0" distB="0" distL="0" distR="0" wp14:anchorId="15F081ED" wp14:editId="46B512B3">
            <wp:extent cx="9644932" cy="675065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6503" cy="6751758"/>
                    </a:xfrm>
                    <a:prstGeom prst="rect">
                      <a:avLst/>
                    </a:prstGeom>
                    <a:noFill/>
                    <a:ln>
                      <a:noFill/>
                    </a:ln>
                  </pic:spPr>
                </pic:pic>
              </a:graphicData>
            </a:graphic>
          </wp:inline>
        </w:drawing>
      </w:r>
    </w:p>
    <w:p w:rsidR="0092736F" w:rsidRPr="00923197" w:rsidRDefault="00766E7B" w:rsidP="00C0265D">
      <w:pPr>
        <w:pStyle w:val="BodyTextIndent"/>
        <w:ind w:hanging="1418"/>
        <w:jc w:val="left"/>
        <w:rPr>
          <w:color w:val="365F91" w:themeColor="accent1" w:themeShade="BF"/>
        </w:rPr>
      </w:pPr>
      <w:r w:rsidRPr="00766E7B">
        <w:rPr>
          <w:noProof/>
        </w:rPr>
        <w:lastRenderedPageBreak/>
        <w:drawing>
          <wp:inline distT="0" distB="0" distL="0" distR="0" wp14:anchorId="4C6BA457" wp14:editId="588C74D2">
            <wp:extent cx="9605175" cy="534327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2995" cy="5347627"/>
                    </a:xfrm>
                    <a:prstGeom prst="rect">
                      <a:avLst/>
                    </a:prstGeom>
                    <a:noFill/>
                    <a:ln>
                      <a:noFill/>
                    </a:ln>
                  </pic:spPr>
                </pic:pic>
              </a:graphicData>
            </a:graphic>
          </wp:inline>
        </w:drawing>
      </w:r>
      <w:r w:rsidR="0092736F" w:rsidRPr="00923197">
        <w:rPr>
          <w:color w:val="365F91" w:themeColor="accent1" w:themeShade="BF"/>
        </w:rPr>
        <w:br w:type="page"/>
      </w:r>
    </w:p>
    <w:p w:rsidR="007A6308" w:rsidRPr="00923197" w:rsidRDefault="00C35E52" w:rsidP="00B517BE">
      <w:pPr>
        <w:pStyle w:val="BodyTextIndent"/>
        <w:ind w:hanging="1418"/>
        <w:jc w:val="left"/>
        <w:rPr>
          <w:color w:val="365F91" w:themeColor="accent1" w:themeShade="BF"/>
        </w:rPr>
      </w:pPr>
      <w:r w:rsidRPr="00C35E52">
        <w:rPr>
          <w:noProof/>
        </w:rPr>
        <w:lastRenderedPageBreak/>
        <w:drawing>
          <wp:inline distT="0" distB="0" distL="0" distR="0" wp14:anchorId="434A4DC6" wp14:editId="14968E48">
            <wp:extent cx="9605175" cy="6663193"/>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4868" cy="6662980"/>
                    </a:xfrm>
                    <a:prstGeom prst="rect">
                      <a:avLst/>
                    </a:prstGeom>
                    <a:noFill/>
                    <a:ln>
                      <a:noFill/>
                    </a:ln>
                  </pic:spPr>
                </pic:pic>
              </a:graphicData>
            </a:graphic>
          </wp:inline>
        </w:drawing>
      </w:r>
    </w:p>
    <w:p w:rsidR="00E06B8E" w:rsidRPr="00923197" w:rsidRDefault="00227DDC" w:rsidP="00B517BE">
      <w:pPr>
        <w:pStyle w:val="BodyTextIndent"/>
        <w:ind w:hanging="1418"/>
        <w:jc w:val="left"/>
        <w:rPr>
          <w:color w:val="365F91" w:themeColor="accent1" w:themeShade="BF"/>
        </w:rPr>
      </w:pPr>
      <w:r w:rsidRPr="00227DDC">
        <w:rPr>
          <w:noProof/>
        </w:rPr>
        <w:lastRenderedPageBreak/>
        <w:drawing>
          <wp:inline distT="0" distB="0" distL="0" distR="0" wp14:anchorId="34728235" wp14:editId="27F9E8C6">
            <wp:extent cx="9589273" cy="609865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93975" cy="6101641"/>
                    </a:xfrm>
                    <a:prstGeom prst="rect">
                      <a:avLst/>
                    </a:prstGeom>
                    <a:noFill/>
                    <a:ln>
                      <a:noFill/>
                    </a:ln>
                  </pic:spPr>
                </pic:pic>
              </a:graphicData>
            </a:graphic>
          </wp:inline>
        </w:drawing>
      </w:r>
    </w:p>
    <w:p w:rsidR="00E06B8E" w:rsidRPr="00923197" w:rsidRDefault="00E06B8E" w:rsidP="004B2FC0">
      <w:pPr>
        <w:pStyle w:val="BodyTextIndent"/>
        <w:ind w:hanging="1702"/>
        <w:jc w:val="left"/>
        <w:rPr>
          <w:color w:val="365F91" w:themeColor="accent1" w:themeShade="BF"/>
        </w:rPr>
      </w:pPr>
    </w:p>
    <w:p w:rsidR="0092736F" w:rsidRDefault="0092736F" w:rsidP="00E06B8E">
      <w:pPr>
        <w:pStyle w:val="BodyTextIndent"/>
        <w:jc w:val="left"/>
        <w:rPr>
          <w:color w:val="365F91" w:themeColor="accent1" w:themeShade="BF"/>
        </w:rPr>
      </w:pPr>
    </w:p>
    <w:p w:rsidR="0058599D" w:rsidRDefault="0058599D" w:rsidP="00E06B8E">
      <w:pPr>
        <w:pStyle w:val="BodyTextIndent"/>
        <w:jc w:val="left"/>
        <w:rPr>
          <w:color w:val="365F91" w:themeColor="accent1" w:themeShade="BF"/>
        </w:rPr>
      </w:pPr>
    </w:p>
    <w:p w:rsidR="00AE3C2B" w:rsidRPr="00AE3C2B" w:rsidRDefault="00AE3C2B" w:rsidP="00D777FE">
      <w:pPr>
        <w:pStyle w:val="BodyTextIndent"/>
        <w:jc w:val="left"/>
        <w:rPr>
          <w:b/>
          <w:sz w:val="28"/>
          <w:szCs w:val="28"/>
        </w:rPr>
      </w:pPr>
      <w:r w:rsidRPr="00AE3C2B">
        <w:rPr>
          <w:b/>
          <w:sz w:val="28"/>
          <w:szCs w:val="28"/>
        </w:rPr>
        <w:lastRenderedPageBreak/>
        <w:t>Summary by Committee</w:t>
      </w:r>
    </w:p>
    <w:p w:rsidR="00AE3C2B" w:rsidRPr="00923197" w:rsidRDefault="00AE3C2B" w:rsidP="00E06B8E">
      <w:pPr>
        <w:pStyle w:val="BodyTextIndent"/>
        <w:jc w:val="left"/>
        <w:rPr>
          <w:color w:val="365F91" w:themeColor="accent1" w:themeShade="BF"/>
        </w:rPr>
      </w:pPr>
    </w:p>
    <w:p w:rsidR="005A5223" w:rsidRPr="00923197" w:rsidRDefault="00227DDC" w:rsidP="00B517BE">
      <w:pPr>
        <w:pStyle w:val="BodyTextIndent"/>
        <w:ind w:hanging="1418"/>
        <w:jc w:val="left"/>
        <w:rPr>
          <w:color w:val="365F91" w:themeColor="accent1" w:themeShade="BF"/>
        </w:rPr>
      </w:pPr>
      <w:r w:rsidRPr="00227DDC">
        <w:rPr>
          <w:noProof/>
        </w:rPr>
        <w:drawing>
          <wp:inline distT="0" distB="0" distL="0" distR="0" wp14:anchorId="0B8BD208" wp14:editId="0E053F4C">
            <wp:extent cx="9597224" cy="3193464"/>
            <wp:effectExtent l="0" t="0" r="444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96917" cy="3193362"/>
                    </a:xfrm>
                    <a:prstGeom prst="rect">
                      <a:avLst/>
                    </a:prstGeom>
                    <a:noFill/>
                    <a:ln>
                      <a:noFill/>
                    </a:ln>
                  </pic:spPr>
                </pic:pic>
              </a:graphicData>
            </a:graphic>
          </wp:inline>
        </w:drawing>
      </w:r>
    </w:p>
    <w:p w:rsidR="0092736F" w:rsidRPr="00923197" w:rsidRDefault="0092736F" w:rsidP="002758D3">
      <w:pPr>
        <w:pStyle w:val="BodyTextIndent"/>
        <w:jc w:val="center"/>
        <w:rPr>
          <w:color w:val="365F91" w:themeColor="accent1" w:themeShade="BF"/>
        </w:rPr>
      </w:pPr>
    </w:p>
    <w:p w:rsidR="008220D0" w:rsidRPr="00923197" w:rsidRDefault="008220D0" w:rsidP="008220D0">
      <w:pPr>
        <w:pStyle w:val="BodyTextIndent"/>
        <w:jc w:val="center"/>
        <w:rPr>
          <w:color w:val="365F91" w:themeColor="accent1" w:themeShade="BF"/>
        </w:rPr>
        <w:sectPr w:rsidR="008220D0" w:rsidRPr="00923197" w:rsidSect="00A475EC">
          <w:pgSz w:w="16834" w:h="11909" w:orient="landscape" w:code="9"/>
          <w:pgMar w:top="709" w:right="1077" w:bottom="568" w:left="794" w:header="709" w:footer="709" w:gutter="0"/>
          <w:cols w:space="720"/>
          <w:docGrid w:linePitch="299"/>
        </w:sectPr>
      </w:pPr>
    </w:p>
    <w:p w:rsidR="00872691" w:rsidRDefault="00AE3C2B" w:rsidP="00F9663F">
      <w:pPr>
        <w:pStyle w:val="BodyTextIndent"/>
        <w:jc w:val="left"/>
        <w:rPr>
          <w:b/>
          <w:noProof/>
          <w:sz w:val="28"/>
          <w:szCs w:val="28"/>
        </w:rPr>
      </w:pPr>
      <w:r>
        <w:rPr>
          <w:b/>
          <w:noProof/>
          <w:color w:val="365F91" w:themeColor="accent1" w:themeShade="BF"/>
          <w:sz w:val="28"/>
          <w:szCs w:val="28"/>
        </w:rPr>
        <w:lastRenderedPageBreak/>
        <w:tab/>
      </w:r>
      <w:r>
        <w:rPr>
          <w:b/>
          <w:noProof/>
          <w:color w:val="365F91" w:themeColor="accent1" w:themeShade="BF"/>
          <w:sz w:val="28"/>
          <w:szCs w:val="28"/>
        </w:rPr>
        <w:tab/>
      </w:r>
      <w:r>
        <w:rPr>
          <w:b/>
          <w:noProof/>
          <w:color w:val="365F91" w:themeColor="accent1" w:themeShade="BF"/>
          <w:sz w:val="28"/>
          <w:szCs w:val="28"/>
        </w:rPr>
        <w:tab/>
      </w:r>
      <w:r>
        <w:rPr>
          <w:b/>
          <w:noProof/>
          <w:color w:val="365F91" w:themeColor="accent1" w:themeShade="BF"/>
          <w:sz w:val="28"/>
          <w:szCs w:val="28"/>
        </w:rPr>
        <w:tab/>
      </w:r>
      <w:r>
        <w:rPr>
          <w:b/>
          <w:noProof/>
          <w:color w:val="365F91" w:themeColor="accent1" w:themeShade="BF"/>
          <w:sz w:val="28"/>
          <w:szCs w:val="28"/>
        </w:rPr>
        <w:tab/>
      </w:r>
      <w:r>
        <w:rPr>
          <w:b/>
          <w:noProof/>
          <w:color w:val="365F91" w:themeColor="accent1" w:themeShade="BF"/>
          <w:sz w:val="28"/>
          <w:szCs w:val="28"/>
        </w:rPr>
        <w:tab/>
      </w:r>
      <w:r>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872691">
        <w:rPr>
          <w:b/>
          <w:noProof/>
          <w:color w:val="365F91" w:themeColor="accent1" w:themeShade="BF"/>
          <w:sz w:val="28"/>
          <w:szCs w:val="28"/>
        </w:rPr>
        <w:tab/>
      </w:r>
      <w:r w:rsidR="00B8612D" w:rsidRPr="00AE3C2B">
        <w:rPr>
          <w:b/>
          <w:noProof/>
          <w:sz w:val="28"/>
          <w:szCs w:val="28"/>
        </w:rPr>
        <w:t>APPENDIX 2</w:t>
      </w:r>
    </w:p>
    <w:p w:rsidR="00872691" w:rsidRPr="00AE3C2B" w:rsidRDefault="00872691" w:rsidP="00F9663F">
      <w:pPr>
        <w:pStyle w:val="BodyTextIndent"/>
        <w:jc w:val="left"/>
        <w:rPr>
          <w:b/>
          <w:noProof/>
          <w:sz w:val="28"/>
          <w:szCs w:val="28"/>
        </w:rPr>
      </w:pPr>
      <w:r>
        <w:rPr>
          <w:b/>
          <w:noProof/>
          <w:sz w:val="28"/>
          <w:szCs w:val="28"/>
        </w:rPr>
        <w:t>Explanation</w:t>
      </w:r>
      <w:r w:rsidRPr="00AE3C2B">
        <w:rPr>
          <w:b/>
          <w:noProof/>
          <w:sz w:val="28"/>
          <w:szCs w:val="28"/>
        </w:rPr>
        <w:t xml:space="preserve"> of Variances Reported this Period</w:t>
      </w:r>
      <w:r>
        <w:rPr>
          <w:b/>
          <w:noProof/>
          <w:sz w:val="28"/>
          <w:szCs w:val="28"/>
        </w:rPr>
        <w:t xml:space="preserve"> - Revenue</w:t>
      </w:r>
      <w:r w:rsidRPr="00AE3C2B">
        <w:rPr>
          <w:b/>
          <w:noProof/>
          <w:sz w:val="28"/>
          <w:szCs w:val="28"/>
        </w:rPr>
        <w:t xml:space="preserve"> </w:t>
      </w:r>
      <w:r>
        <w:rPr>
          <w:b/>
          <w:noProof/>
          <w:color w:val="365F91" w:themeColor="accent1" w:themeShade="BF"/>
          <w:sz w:val="28"/>
          <w:szCs w:val="28"/>
        </w:rPr>
        <w:t xml:space="preserve">     </w:t>
      </w:r>
    </w:p>
    <w:p w:rsidR="008B4D66" w:rsidRPr="009912E0" w:rsidRDefault="008B4D66" w:rsidP="00B8612D">
      <w:pPr>
        <w:pStyle w:val="BodyTextIndent"/>
        <w:jc w:val="right"/>
        <w:rPr>
          <w:b/>
          <w:noProof/>
          <w:color w:val="365F91" w:themeColor="accent1" w:themeShade="BF"/>
          <w:sz w:val="16"/>
          <w:szCs w:val="16"/>
        </w:rPr>
      </w:pPr>
    </w:p>
    <w:p w:rsidR="0032635D" w:rsidRDefault="008B51DE" w:rsidP="006025C2">
      <w:pPr>
        <w:pStyle w:val="BodyTextIndent"/>
        <w:jc w:val="left"/>
        <w:rPr>
          <w:noProof/>
          <w:color w:val="365F91" w:themeColor="accent1" w:themeShade="BF"/>
        </w:rPr>
      </w:pPr>
      <w:r w:rsidRPr="008B51DE">
        <w:rPr>
          <w:noProof/>
        </w:rPr>
        <w:drawing>
          <wp:inline distT="0" distB="0" distL="0" distR="0" wp14:anchorId="57E80531" wp14:editId="7B1C0496">
            <wp:extent cx="9484112" cy="6114553"/>
            <wp:effectExtent l="0" t="0" r="3175"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01505" cy="6125766"/>
                    </a:xfrm>
                    <a:prstGeom prst="rect">
                      <a:avLst/>
                    </a:prstGeom>
                    <a:noFill/>
                    <a:ln>
                      <a:noFill/>
                    </a:ln>
                  </pic:spPr>
                </pic:pic>
              </a:graphicData>
            </a:graphic>
          </wp:inline>
        </w:drawing>
      </w:r>
    </w:p>
    <w:p w:rsidR="00602384" w:rsidRDefault="00AE3C2B" w:rsidP="00AE3C2B">
      <w:pPr>
        <w:pStyle w:val="BodyTextIndent"/>
        <w:jc w:val="center"/>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72691">
        <w:rPr>
          <w:b/>
          <w:sz w:val="28"/>
          <w:szCs w:val="28"/>
        </w:rPr>
        <w:tab/>
      </w:r>
      <w:r w:rsidR="00872691">
        <w:rPr>
          <w:b/>
          <w:sz w:val="28"/>
          <w:szCs w:val="28"/>
        </w:rPr>
        <w:tab/>
      </w:r>
      <w:r w:rsidR="00872691">
        <w:rPr>
          <w:b/>
          <w:sz w:val="28"/>
          <w:szCs w:val="28"/>
        </w:rPr>
        <w:tab/>
      </w:r>
      <w:r w:rsidR="00872691">
        <w:rPr>
          <w:b/>
          <w:sz w:val="28"/>
          <w:szCs w:val="28"/>
        </w:rPr>
        <w:tab/>
      </w:r>
      <w:r w:rsidR="00FE13DE" w:rsidRPr="008D1857">
        <w:rPr>
          <w:b/>
          <w:sz w:val="28"/>
          <w:szCs w:val="28"/>
        </w:rPr>
        <w:t xml:space="preserve">APPENDIX </w:t>
      </w:r>
      <w:r w:rsidR="00895B97">
        <w:rPr>
          <w:b/>
          <w:sz w:val="28"/>
          <w:szCs w:val="28"/>
        </w:rPr>
        <w:t>3</w:t>
      </w:r>
    </w:p>
    <w:p w:rsidR="00872691" w:rsidRDefault="00872691" w:rsidP="00872691">
      <w:pPr>
        <w:pStyle w:val="BodyTextIndent"/>
        <w:jc w:val="left"/>
        <w:rPr>
          <w:b/>
          <w:sz w:val="28"/>
          <w:szCs w:val="28"/>
        </w:rPr>
      </w:pPr>
      <w:r>
        <w:rPr>
          <w:b/>
          <w:sz w:val="28"/>
          <w:szCs w:val="28"/>
        </w:rPr>
        <w:t>Key Budget Indicators</w:t>
      </w:r>
    </w:p>
    <w:p w:rsidR="00895B97" w:rsidRPr="00923197" w:rsidRDefault="00895B97" w:rsidP="00FE13DE">
      <w:pPr>
        <w:pStyle w:val="BodyTextIndent"/>
        <w:jc w:val="right"/>
        <w:rPr>
          <w:b/>
          <w:color w:val="365F91" w:themeColor="accent1" w:themeShade="BF"/>
          <w:sz w:val="28"/>
          <w:szCs w:val="28"/>
        </w:rPr>
      </w:pPr>
    </w:p>
    <w:p w:rsidR="00FE13DE" w:rsidRPr="00923197" w:rsidRDefault="00A64FE7" w:rsidP="00FE13DE">
      <w:pPr>
        <w:pStyle w:val="BodyTextIndent"/>
        <w:jc w:val="left"/>
        <w:rPr>
          <w:b/>
          <w:color w:val="365F91" w:themeColor="accent1" w:themeShade="BF"/>
          <w:sz w:val="28"/>
          <w:szCs w:val="28"/>
        </w:rPr>
        <w:sectPr w:rsidR="00FE13DE" w:rsidRPr="00923197" w:rsidSect="009912E0">
          <w:pgSz w:w="16834" w:h="11909" w:orient="landscape" w:code="9"/>
          <w:pgMar w:top="709" w:right="1077" w:bottom="709" w:left="794" w:header="709" w:footer="709" w:gutter="0"/>
          <w:cols w:space="720"/>
          <w:docGrid w:linePitch="299"/>
        </w:sectPr>
      </w:pPr>
      <w:r w:rsidRPr="00A64FE7">
        <w:rPr>
          <w:noProof/>
        </w:rPr>
        <w:drawing>
          <wp:inline distT="0" distB="0" distL="0" distR="0" wp14:anchorId="13501669" wp14:editId="027871AC">
            <wp:extent cx="9477954" cy="5645426"/>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7785" cy="5645325"/>
                    </a:xfrm>
                    <a:prstGeom prst="rect">
                      <a:avLst/>
                    </a:prstGeom>
                    <a:noFill/>
                    <a:ln>
                      <a:noFill/>
                    </a:ln>
                  </pic:spPr>
                </pic:pic>
              </a:graphicData>
            </a:graphic>
          </wp:inline>
        </w:drawing>
      </w:r>
    </w:p>
    <w:p w:rsidR="00617B95" w:rsidRPr="00923197" w:rsidRDefault="005E2449" w:rsidP="002758D3">
      <w:pPr>
        <w:pStyle w:val="BodyTextIndent"/>
        <w:jc w:val="center"/>
        <w:rPr>
          <w:color w:val="365F91" w:themeColor="accent1" w:themeShade="BF"/>
        </w:rPr>
        <w:sectPr w:rsidR="00617B95" w:rsidRPr="00923197" w:rsidSect="00FA4518">
          <w:pgSz w:w="16834" w:h="11909" w:orient="landscape" w:code="9"/>
          <w:pgMar w:top="1077" w:right="1077" w:bottom="1077" w:left="794" w:header="709" w:footer="709" w:gutter="0"/>
          <w:cols w:space="720"/>
          <w:docGrid w:linePitch="299"/>
        </w:sectPr>
      </w:pPr>
      <w:r w:rsidRPr="005E2449">
        <w:rPr>
          <w:noProof/>
        </w:rPr>
        <w:lastRenderedPageBreak/>
        <w:drawing>
          <wp:inline distT="0" distB="0" distL="0" distR="0">
            <wp:extent cx="9422295" cy="5534108"/>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2295" cy="5534108"/>
                    </a:xfrm>
                    <a:prstGeom prst="rect">
                      <a:avLst/>
                    </a:prstGeom>
                    <a:noFill/>
                    <a:ln>
                      <a:noFill/>
                    </a:ln>
                  </pic:spPr>
                </pic:pic>
              </a:graphicData>
            </a:graphic>
          </wp:inline>
        </w:drawing>
      </w:r>
    </w:p>
    <w:p w:rsidR="00481561" w:rsidRPr="00923197" w:rsidRDefault="005E2449" w:rsidP="00481561">
      <w:pPr>
        <w:pStyle w:val="BodyTextIndent"/>
        <w:jc w:val="center"/>
        <w:rPr>
          <w:color w:val="365F91" w:themeColor="accent1" w:themeShade="BF"/>
        </w:rPr>
        <w:sectPr w:rsidR="00481561" w:rsidRPr="00923197" w:rsidSect="00FA4518">
          <w:pgSz w:w="16834" w:h="11909" w:orient="landscape" w:code="9"/>
          <w:pgMar w:top="1077" w:right="1077" w:bottom="1077" w:left="794" w:header="709" w:footer="709" w:gutter="0"/>
          <w:cols w:space="720"/>
          <w:docGrid w:linePitch="299"/>
        </w:sectPr>
      </w:pPr>
      <w:r w:rsidRPr="004C78A7">
        <w:rPr>
          <w:noProof/>
        </w:rPr>
        <w:lastRenderedPageBreak/>
        <w:drawing>
          <wp:inline distT="0" distB="0" distL="0" distR="0" wp14:anchorId="3EB5B395" wp14:editId="5BB7405B">
            <wp:extent cx="9382539" cy="6035040"/>
            <wp:effectExtent l="0" t="0" r="952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82371" cy="6034932"/>
                    </a:xfrm>
                    <a:prstGeom prst="rect">
                      <a:avLst/>
                    </a:prstGeom>
                    <a:noFill/>
                    <a:ln>
                      <a:noFill/>
                    </a:ln>
                  </pic:spPr>
                </pic:pic>
              </a:graphicData>
            </a:graphic>
          </wp:inline>
        </w:drawing>
      </w:r>
    </w:p>
    <w:p w:rsidR="00481561" w:rsidRPr="00923197" w:rsidRDefault="00E64DBA" w:rsidP="00481561">
      <w:pPr>
        <w:pStyle w:val="BodyTextIndent"/>
        <w:jc w:val="center"/>
        <w:rPr>
          <w:color w:val="365F91" w:themeColor="accent1" w:themeShade="BF"/>
        </w:rPr>
        <w:sectPr w:rsidR="00481561" w:rsidRPr="00923197" w:rsidSect="00FA4518">
          <w:pgSz w:w="16834" w:h="11909" w:orient="landscape" w:code="9"/>
          <w:pgMar w:top="1077" w:right="1077" w:bottom="1077" w:left="794" w:header="709" w:footer="709" w:gutter="0"/>
          <w:cols w:space="720"/>
          <w:docGrid w:linePitch="299"/>
        </w:sectPr>
      </w:pPr>
      <w:r w:rsidRPr="00E64DBA">
        <w:rPr>
          <w:noProof/>
        </w:rPr>
        <w:lastRenderedPageBreak/>
        <w:drawing>
          <wp:inline distT="0" distB="0" distL="0" distR="0">
            <wp:extent cx="9374587" cy="5613621"/>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74742" cy="5613714"/>
                    </a:xfrm>
                    <a:prstGeom prst="rect">
                      <a:avLst/>
                    </a:prstGeom>
                    <a:noFill/>
                    <a:ln>
                      <a:noFill/>
                    </a:ln>
                  </pic:spPr>
                </pic:pic>
              </a:graphicData>
            </a:graphic>
          </wp:inline>
        </w:drawing>
      </w:r>
    </w:p>
    <w:p w:rsidR="00481561" w:rsidRPr="00923197" w:rsidRDefault="00C07475" w:rsidP="00204636">
      <w:pPr>
        <w:pStyle w:val="BodyTextIndent"/>
        <w:jc w:val="left"/>
        <w:rPr>
          <w:color w:val="365F91" w:themeColor="accent1" w:themeShade="BF"/>
        </w:rPr>
      </w:pPr>
      <w:r w:rsidRPr="00C07475">
        <w:rPr>
          <w:noProof/>
        </w:rPr>
        <w:lastRenderedPageBreak/>
        <w:drawing>
          <wp:inline distT="0" distB="0" distL="0" distR="0">
            <wp:extent cx="9477954" cy="5669280"/>
            <wp:effectExtent l="0" t="0" r="952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77991" cy="5669302"/>
                    </a:xfrm>
                    <a:prstGeom prst="rect">
                      <a:avLst/>
                    </a:prstGeom>
                    <a:noFill/>
                    <a:ln>
                      <a:noFill/>
                    </a:ln>
                  </pic:spPr>
                </pic:pic>
              </a:graphicData>
            </a:graphic>
          </wp:inline>
        </w:drawing>
      </w:r>
    </w:p>
    <w:p w:rsidR="00A5607B" w:rsidRDefault="00A5607B" w:rsidP="00ED7571">
      <w:pPr>
        <w:pStyle w:val="BodyTextIndent"/>
        <w:jc w:val="right"/>
        <w:rPr>
          <w:b/>
          <w:sz w:val="28"/>
          <w:szCs w:val="28"/>
        </w:rPr>
      </w:pPr>
    </w:p>
    <w:p w:rsidR="00A5607B" w:rsidRDefault="00A5607B" w:rsidP="00ED7571">
      <w:pPr>
        <w:pStyle w:val="BodyTextIndent"/>
        <w:jc w:val="right"/>
        <w:rPr>
          <w:b/>
          <w:sz w:val="28"/>
          <w:szCs w:val="28"/>
        </w:rPr>
      </w:pPr>
    </w:p>
    <w:p w:rsidR="00A5607B" w:rsidRDefault="00A5607B" w:rsidP="00ED7571">
      <w:pPr>
        <w:pStyle w:val="BodyTextIndent"/>
        <w:jc w:val="right"/>
        <w:rPr>
          <w:b/>
          <w:sz w:val="28"/>
          <w:szCs w:val="28"/>
        </w:rPr>
      </w:pPr>
    </w:p>
    <w:p w:rsidR="00A5607B" w:rsidRDefault="00A5607B" w:rsidP="00ED7571">
      <w:pPr>
        <w:pStyle w:val="BodyTextIndent"/>
        <w:jc w:val="right"/>
        <w:rPr>
          <w:b/>
          <w:sz w:val="28"/>
          <w:szCs w:val="28"/>
        </w:rPr>
      </w:pPr>
    </w:p>
    <w:p w:rsidR="00A5607B" w:rsidRDefault="00A5607B" w:rsidP="00ED7571">
      <w:pPr>
        <w:pStyle w:val="BodyTextIndent"/>
        <w:jc w:val="right"/>
        <w:rPr>
          <w:b/>
          <w:sz w:val="28"/>
          <w:szCs w:val="28"/>
        </w:rPr>
      </w:pPr>
    </w:p>
    <w:p w:rsidR="00ED7571" w:rsidRDefault="00ED7571" w:rsidP="00ED7571">
      <w:pPr>
        <w:pStyle w:val="BodyTextIndent"/>
        <w:jc w:val="right"/>
        <w:rPr>
          <w:b/>
          <w:sz w:val="28"/>
          <w:szCs w:val="28"/>
        </w:rPr>
      </w:pPr>
      <w:r w:rsidRPr="00AE3C2B">
        <w:rPr>
          <w:b/>
          <w:sz w:val="28"/>
          <w:szCs w:val="28"/>
        </w:rPr>
        <w:lastRenderedPageBreak/>
        <w:t xml:space="preserve">APPENDIX </w:t>
      </w:r>
      <w:r w:rsidR="00895B97" w:rsidRPr="00AE3C2B">
        <w:rPr>
          <w:b/>
          <w:sz w:val="28"/>
          <w:szCs w:val="28"/>
        </w:rPr>
        <w:t>4</w:t>
      </w:r>
    </w:p>
    <w:p w:rsidR="00872691" w:rsidRDefault="00872691" w:rsidP="00872691">
      <w:pPr>
        <w:pStyle w:val="BodyTextIndent"/>
        <w:jc w:val="left"/>
        <w:rPr>
          <w:b/>
          <w:sz w:val="28"/>
          <w:szCs w:val="28"/>
        </w:rPr>
      </w:pPr>
      <w:r>
        <w:rPr>
          <w:b/>
          <w:sz w:val="28"/>
          <w:szCs w:val="28"/>
        </w:rPr>
        <w:t>Budgetary Risks</w:t>
      </w:r>
    </w:p>
    <w:p w:rsidR="00400F3A" w:rsidRPr="00AE3C2B" w:rsidRDefault="00400F3A" w:rsidP="00872691">
      <w:pPr>
        <w:pStyle w:val="BodyTextIndent"/>
        <w:jc w:val="left"/>
        <w:rPr>
          <w:b/>
          <w:sz w:val="28"/>
          <w:szCs w:val="28"/>
        </w:rPr>
      </w:pPr>
    </w:p>
    <w:p w:rsidR="00425C06" w:rsidRDefault="00400F3A" w:rsidP="007E6824">
      <w:pPr>
        <w:pStyle w:val="BodyTextIndent"/>
        <w:jc w:val="left"/>
        <w:rPr>
          <w:b/>
          <w:color w:val="365F91" w:themeColor="accent1" w:themeShade="BF"/>
          <w:sz w:val="28"/>
          <w:szCs w:val="28"/>
        </w:rPr>
      </w:pPr>
      <w:r w:rsidRPr="00400F3A">
        <w:rPr>
          <w:noProof/>
        </w:rPr>
        <w:drawing>
          <wp:inline distT="0" distB="0" distL="0" distR="0" wp14:anchorId="2100B277" wp14:editId="32CB4B95">
            <wp:extent cx="9501505" cy="3854458"/>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01505" cy="3854458"/>
                    </a:xfrm>
                    <a:prstGeom prst="rect">
                      <a:avLst/>
                    </a:prstGeom>
                    <a:noFill/>
                    <a:ln>
                      <a:noFill/>
                    </a:ln>
                  </pic:spPr>
                </pic:pic>
              </a:graphicData>
            </a:graphic>
          </wp:inline>
        </w:drawing>
      </w:r>
    </w:p>
    <w:p w:rsidR="00425C06" w:rsidRPr="00400F3A" w:rsidRDefault="00425C06" w:rsidP="007E6824">
      <w:pPr>
        <w:pStyle w:val="BodyTextIndent"/>
        <w:jc w:val="left"/>
        <w:rPr>
          <w:b/>
          <w:color w:val="365F91" w:themeColor="accent1" w:themeShade="BF"/>
          <w:sz w:val="16"/>
          <w:szCs w:val="16"/>
        </w:rPr>
      </w:pPr>
    </w:p>
    <w:p w:rsidR="00425C06" w:rsidRPr="00372831" w:rsidRDefault="00425C06" w:rsidP="007E6824">
      <w:pPr>
        <w:pStyle w:val="BodyTextIndent"/>
        <w:jc w:val="left"/>
        <w:rPr>
          <w:b/>
          <w:color w:val="365F91" w:themeColor="accent1" w:themeShade="BF"/>
          <w:sz w:val="16"/>
          <w:szCs w:val="16"/>
        </w:rPr>
      </w:pPr>
    </w:p>
    <w:p w:rsidR="00425C06" w:rsidRDefault="00425C06" w:rsidP="007E6824">
      <w:pPr>
        <w:pStyle w:val="BodyTextIndent"/>
        <w:jc w:val="left"/>
        <w:rPr>
          <w:b/>
          <w:color w:val="365F91" w:themeColor="accent1" w:themeShade="BF"/>
          <w:sz w:val="28"/>
          <w:szCs w:val="28"/>
        </w:rPr>
      </w:pPr>
      <w:r w:rsidRPr="00425C06">
        <w:rPr>
          <w:noProof/>
        </w:rPr>
        <w:drawing>
          <wp:inline distT="0" distB="0" distL="0" distR="0">
            <wp:extent cx="4420925" cy="1669774"/>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925" cy="1669774"/>
                    </a:xfrm>
                    <a:prstGeom prst="rect">
                      <a:avLst/>
                    </a:prstGeom>
                    <a:noFill/>
                    <a:ln>
                      <a:noFill/>
                    </a:ln>
                  </pic:spPr>
                </pic:pic>
              </a:graphicData>
            </a:graphic>
          </wp:inline>
        </w:drawing>
      </w:r>
    </w:p>
    <w:p w:rsidR="00372831" w:rsidRDefault="00372831" w:rsidP="00CB0059">
      <w:pPr>
        <w:pStyle w:val="BodyTextIndent"/>
        <w:jc w:val="left"/>
        <w:rPr>
          <w:i/>
          <w:sz w:val="20"/>
        </w:rPr>
      </w:pPr>
    </w:p>
    <w:p w:rsidR="00ED7571" w:rsidRPr="00372831" w:rsidRDefault="00CB0059" w:rsidP="00CB0059">
      <w:pPr>
        <w:pStyle w:val="BodyTextIndent"/>
        <w:jc w:val="left"/>
        <w:rPr>
          <w:i/>
          <w:sz w:val="20"/>
        </w:rPr>
      </w:pPr>
      <w:r w:rsidRPr="00372831">
        <w:rPr>
          <w:i/>
          <w:sz w:val="20"/>
        </w:rPr>
        <w:t xml:space="preserve">Note: The </w:t>
      </w:r>
      <w:r w:rsidR="00400F3A">
        <w:rPr>
          <w:i/>
          <w:sz w:val="20"/>
        </w:rPr>
        <w:t xml:space="preserve">risk </w:t>
      </w:r>
      <w:r w:rsidRPr="00372831">
        <w:rPr>
          <w:i/>
          <w:sz w:val="20"/>
        </w:rPr>
        <w:t xml:space="preserve">number relate to the Council’s risk </w:t>
      </w:r>
      <w:r w:rsidR="00372831" w:rsidRPr="00372831">
        <w:rPr>
          <w:i/>
          <w:sz w:val="20"/>
        </w:rPr>
        <w:t>register.</w:t>
      </w:r>
    </w:p>
    <w:p w:rsidR="001C6ED4" w:rsidRPr="000438B0" w:rsidRDefault="00643B93" w:rsidP="00EA1EDC">
      <w:pPr>
        <w:pStyle w:val="BodyTextIndent"/>
        <w:tabs>
          <w:tab w:val="left" w:pos="14884"/>
        </w:tabs>
        <w:ind w:right="79"/>
        <w:jc w:val="right"/>
        <w:rPr>
          <w:b/>
          <w:sz w:val="28"/>
          <w:szCs w:val="28"/>
        </w:rPr>
      </w:pPr>
      <w:r w:rsidRPr="000438B0">
        <w:rPr>
          <w:b/>
          <w:sz w:val="28"/>
          <w:szCs w:val="28"/>
        </w:rPr>
        <w:lastRenderedPageBreak/>
        <w:t xml:space="preserve">APPENDIX </w:t>
      </w:r>
      <w:r w:rsidR="00895B97" w:rsidRPr="000438B0">
        <w:rPr>
          <w:b/>
          <w:sz w:val="28"/>
          <w:szCs w:val="28"/>
        </w:rPr>
        <w:t>5</w:t>
      </w:r>
    </w:p>
    <w:p w:rsidR="00AE3C2B" w:rsidRPr="00AE3C2B" w:rsidRDefault="00AE3C2B" w:rsidP="00400F3A">
      <w:pPr>
        <w:pStyle w:val="BodyTextIndent"/>
        <w:tabs>
          <w:tab w:val="left" w:pos="14884"/>
        </w:tabs>
        <w:ind w:right="79"/>
        <w:jc w:val="left"/>
        <w:rPr>
          <w:b/>
          <w:sz w:val="28"/>
          <w:szCs w:val="28"/>
        </w:rPr>
      </w:pPr>
      <w:r w:rsidRPr="00AE3C2B">
        <w:rPr>
          <w:b/>
          <w:sz w:val="28"/>
          <w:szCs w:val="28"/>
        </w:rPr>
        <w:t>Medium Term Capital Investment Programme</w:t>
      </w:r>
    </w:p>
    <w:p w:rsidR="001C6ED4" w:rsidRPr="00923197" w:rsidRDefault="001C6ED4" w:rsidP="00892FCF">
      <w:pPr>
        <w:pStyle w:val="BodyTextIndent"/>
        <w:jc w:val="left"/>
        <w:rPr>
          <w:noProof/>
          <w:color w:val="365F91" w:themeColor="accent1" w:themeShade="BF"/>
        </w:rPr>
      </w:pPr>
    </w:p>
    <w:p w:rsidR="00481561" w:rsidRPr="00923197" w:rsidRDefault="007F2F3C" w:rsidP="00481561">
      <w:pPr>
        <w:pStyle w:val="BodyTextIndent"/>
        <w:jc w:val="center"/>
        <w:rPr>
          <w:color w:val="365F91" w:themeColor="accent1" w:themeShade="BF"/>
        </w:rPr>
        <w:sectPr w:rsidR="00481561" w:rsidRPr="00923197" w:rsidSect="00425C06">
          <w:footerReference w:type="default" r:id="rId24"/>
          <w:pgSz w:w="16834" w:h="11909" w:orient="landscape" w:code="9"/>
          <w:pgMar w:top="426" w:right="1077" w:bottom="426" w:left="794" w:header="709" w:footer="709" w:gutter="0"/>
          <w:cols w:space="720"/>
          <w:docGrid w:linePitch="299"/>
        </w:sectPr>
      </w:pPr>
      <w:r w:rsidRPr="007F2F3C">
        <w:rPr>
          <w:noProof/>
        </w:rPr>
        <w:drawing>
          <wp:inline distT="0" distB="0" distL="0" distR="0" wp14:anchorId="6AF9EE28" wp14:editId="11327410">
            <wp:extent cx="9501505" cy="474373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01505" cy="4743730"/>
                    </a:xfrm>
                    <a:prstGeom prst="rect">
                      <a:avLst/>
                    </a:prstGeom>
                    <a:noFill/>
                    <a:ln>
                      <a:noFill/>
                    </a:ln>
                  </pic:spPr>
                </pic:pic>
              </a:graphicData>
            </a:graphic>
          </wp:inline>
        </w:drawing>
      </w:r>
    </w:p>
    <w:p w:rsidR="00ED7DF9" w:rsidRPr="00923197" w:rsidRDefault="007F2F3C" w:rsidP="001C6ED4">
      <w:pPr>
        <w:pStyle w:val="BodyTextIndent"/>
        <w:jc w:val="left"/>
        <w:rPr>
          <w:color w:val="365F91" w:themeColor="accent1" w:themeShade="BF"/>
        </w:rPr>
        <w:sectPr w:rsidR="00ED7DF9" w:rsidRPr="00923197" w:rsidSect="00745ED2">
          <w:pgSz w:w="16834" w:h="11909" w:orient="landscape" w:code="9"/>
          <w:pgMar w:top="1077" w:right="1077" w:bottom="1077" w:left="794" w:header="709" w:footer="709" w:gutter="0"/>
          <w:cols w:space="720"/>
          <w:docGrid w:linePitch="299"/>
        </w:sectPr>
      </w:pPr>
      <w:r w:rsidRPr="007F2F3C">
        <w:rPr>
          <w:noProof/>
        </w:rPr>
        <w:lastRenderedPageBreak/>
        <w:drawing>
          <wp:inline distT="0" distB="0" distL="0" distR="0" wp14:anchorId="33110DDD" wp14:editId="304DABBB">
            <wp:extent cx="9501078" cy="6162261"/>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01505" cy="6162538"/>
                    </a:xfrm>
                    <a:prstGeom prst="rect">
                      <a:avLst/>
                    </a:prstGeom>
                    <a:noFill/>
                    <a:ln>
                      <a:noFill/>
                    </a:ln>
                  </pic:spPr>
                </pic:pic>
              </a:graphicData>
            </a:graphic>
          </wp:inline>
        </w:drawing>
      </w:r>
    </w:p>
    <w:p w:rsidR="00ED7DF9" w:rsidRPr="00923197" w:rsidRDefault="007F2F3C" w:rsidP="00481561">
      <w:pPr>
        <w:pStyle w:val="BodyTextIndent"/>
        <w:jc w:val="center"/>
        <w:rPr>
          <w:color w:val="365F91" w:themeColor="accent1" w:themeShade="BF"/>
        </w:rPr>
        <w:sectPr w:rsidR="00ED7DF9" w:rsidRPr="00923197" w:rsidSect="00745ED2">
          <w:pgSz w:w="16834" w:h="11909" w:orient="landscape" w:code="9"/>
          <w:pgMar w:top="1077" w:right="1077" w:bottom="1077" w:left="794" w:header="709" w:footer="709" w:gutter="0"/>
          <w:cols w:space="720"/>
          <w:docGrid w:linePitch="299"/>
        </w:sectPr>
      </w:pPr>
      <w:r w:rsidRPr="007F2F3C">
        <w:rPr>
          <w:noProof/>
        </w:rPr>
        <w:lastRenderedPageBreak/>
        <w:drawing>
          <wp:inline distT="0" distB="0" distL="0" distR="0" wp14:anchorId="6296D961" wp14:editId="501E396D">
            <wp:extent cx="9501808" cy="6138407"/>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01505" cy="6138211"/>
                    </a:xfrm>
                    <a:prstGeom prst="rect">
                      <a:avLst/>
                    </a:prstGeom>
                    <a:noFill/>
                    <a:ln>
                      <a:noFill/>
                    </a:ln>
                  </pic:spPr>
                </pic:pic>
              </a:graphicData>
            </a:graphic>
          </wp:inline>
        </w:drawing>
      </w:r>
    </w:p>
    <w:p w:rsidR="00ED7DF9" w:rsidRPr="00923197" w:rsidRDefault="007F2F3C" w:rsidP="00481561">
      <w:pPr>
        <w:pStyle w:val="BodyTextIndent"/>
        <w:jc w:val="center"/>
        <w:rPr>
          <w:color w:val="365F91" w:themeColor="accent1" w:themeShade="BF"/>
        </w:rPr>
        <w:sectPr w:rsidR="00ED7DF9" w:rsidRPr="00923197" w:rsidSect="00745ED2">
          <w:pgSz w:w="16834" w:h="11909" w:orient="landscape" w:code="9"/>
          <w:pgMar w:top="1077" w:right="1077" w:bottom="1077" w:left="794" w:header="709" w:footer="709" w:gutter="0"/>
          <w:cols w:space="720"/>
          <w:docGrid w:linePitch="299"/>
        </w:sectPr>
      </w:pPr>
      <w:r w:rsidRPr="007F2F3C">
        <w:rPr>
          <w:noProof/>
        </w:rPr>
        <w:lastRenderedPageBreak/>
        <w:drawing>
          <wp:inline distT="0" distB="0" distL="0" distR="0" wp14:anchorId="5FD5D708" wp14:editId="29A7439F">
            <wp:extent cx="9501505" cy="2870835"/>
            <wp:effectExtent l="0" t="0" r="444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01505" cy="2870835"/>
                    </a:xfrm>
                    <a:prstGeom prst="rect">
                      <a:avLst/>
                    </a:prstGeom>
                    <a:noFill/>
                    <a:ln>
                      <a:noFill/>
                    </a:ln>
                  </pic:spPr>
                </pic:pic>
              </a:graphicData>
            </a:graphic>
          </wp:inline>
        </w:drawing>
      </w:r>
    </w:p>
    <w:p w:rsidR="001C6ED4" w:rsidRDefault="007F2F3C" w:rsidP="00EA1EDC">
      <w:pPr>
        <w:pStyle w:val="BodyTextIndent"/>
        <w:jc w:val="left"/>
        <w:rPr>
          <w:b/>
          <w:noProof/>
          <w:color w:val="365F91" w:themeColor="accent1" w:themeShade="BF"/>
          <w:sz w:val="28"/>
          <w:szCs w:val="28"/>
        </w:rPr>
      </w:pPr>
      <w:r w:rsidRPr="007F2F3C">
        <w:rPr>
          <w:noProof/>
        </w:rPr>
        <w:lastRenderedPageBreak/>
        <w:drawing>
          <wp:inline distT="0" distB="0" distL="0" distR="0" wp14:anchorId="28E00FFC" wp14:editId="36D20286">
            <wp:extent cx="9501505" cy="5732181"/>
            <wp:effectExtent l="0" t="0" r="444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1505" cy="5732181"/>
                    </a:xfrm>
                    <a:prstGeom prst="rect">
                      <a:avLst/>
                    </a:prstGeom>
                    <a:noFill/>
                    <a:ln>
                      <a:noFill/>
                    </a:ln>
                  </pic:spPr>
                </pic:pic>
              </a:graphicData>
            </a:graphic>
          </wp:inline>
        </w:drawing>
      </w:r>
    </w:p>
    <w:p w:rsidR="007574D8" w:rsidRDefault="007574D8" w:rsidP="00EA1EDC">
      <w:pPr>
        <w:pStyle w:val="BodyTextIndent"/>
        <w:jc w:val="left"/>
        <w:rPr>
          <w:b/>
          <w:noProof/>
          <w:color w:val="365F91" w:themeColor="accent1" w:themeShade="BF"/>
          <w:sz w:val="28"/>
          <w:szCs w:val="28"/>
        </w:rPr>
      </w:pPr>
    </w:p>
    <w:p w:rsidR="007574D8" w:rsidRDefault="007574D8" w:rsidP="00EA1EDC">
      <w:pPr>
        <w:pStyle w:val="BodyTextIndent"/>
        <w:jc w:val="left"/>
        <w:rPr>
          <w:b/>
          <w:noProof/>
          <w:color w:val="365F91" w:themeColor="accent1" w:themeShade="BF"/>
          <w:sz w:val="28"/>
          <w:szCs w:val="28"/>
        </w:rPr>
      </w:pPr>
    </w:p>
    <w:p w:rsidR="00EA5FF0" w:rsidRPr="00D777FE" w:rsidRDefault="001365F0" w:rsidP="001365F0">
      <w:pPr>
        <w:pStyle w:val="BodyTextIndent"/>
        <w:jc w:val="right"/>
        <w:rPr>
          <w:b/>
          <w:noProof/>
          <w:sz w:val="28"/>
          <w:szCs w:val="28"/>
        </w:rPr>
      </w:pPr>
      <w:r w:rsidRPr="00D777FE">
        <w:rPr>
          <w:b/>
          <w:noProof/>
          <w:sz w:val="28"/>
          <w:szCs w:val="28"/>
        </w:rPr>
        <w:lastRenderedPageBreak/>
        <w:t xml:space="preserve">APPENDIX </w:t>
      </w:r>
      <w:r w:rsidR="00895B97" w:rsidRPr="00D777FE">
        <w:rPr>
          <w:b/>
          <w:noProof/>
          <w:sz w:val="28"/>
          <w:szCs w:val="28"/>
        </w:rPr>
        <w:t>6</w:t>
      </w:r>
    </w:p>
    <w:p w:rsidR="00EA5FF0" w:rsidRPr="00923197" w:rsidRDefault="00D777FE" w:rsidP="00F9663F">
      <w:pPr>
        <w:pStyle w:val="BodyTextIndent"/>
        <w:jc w:val="left"/>
        <w:rPr>
          <w:b/>
          <w:noProof/>
          <w:color w:val="365F91" w:themeColor="accent1" w:themeShade="BF"/>
          <w:sz w:val="28"/>
          <w:szCs w:val="28"/>
        </w:rPr>
      </w:pPr>
      <w:r>
        <w:rPr>
          <w:b/>
          <w:noProof/>
          <w:sz w:val="28"/>
          <w:szCs w:val="28"/>
        </w:rPr>
        <w:t>Explanation</w:t>
      </w:r>
      <w:r w:rsidR="00F9663F" w:rsidRPr="00AE3C2B">
        <w:rPr>
          <w:b/>
          <w:noProof/>
          <w:sz w:val="28"/>
          <w:szCs w:val="28"/>
        </w:rPr>
        <w:t xml:space="preserve"> of Variances Reported this Period</w:t>
      </w:r>
      <w:r w:rsidR="00F9663F">
        <w:rPr>
          <w:b/>
          <w:noProof/>
          <w:sz w:val="28"/>
          <w:szCs w:val="28"/>
        </w:rPr>
        <w:t xml:space="preserve"> - Capital</w:t>
      </w:r>
    </w:p>
    <w:p w:rsidR="001365F0" w:rsidRPr="00923197" w:rsidRDefault="001365F0" w:rsidP="001C6ED4">
      <w:pPr>
        <w:pStyle w:val="BodyTextIndent"/>
        <w:jc w:val="left"/>
        <w:rPr>
          <w:b/>
          <w:noProof/>
          <w:color w:val="365F91" w:themeColor="accent1" w:themeShade="BF"/>
          <w:sz w:val="28"/>
          <w:szCs w:val="28"/>
        </w:rPr>
      </w:pPr>
    </w:p>
    <w:p w:rsidR="001365F0" w:rsidRPr="00923197" w:rsidRDefault="00D777FE" w:rsidP="001365F0">
      <w:pPr>
        <w:pStyle w:val="BodyTextIndent"/>
        <w:jc w:val="right"/>
        <w:rPr>
          <w:b/>
          <w:color w:val="365F91" w:themeColor="accent1" w:themeShade="BF"/>
          <w:sz w:val="28"/>
          <w:szCs w:val="28"/>
        </w:rPr>
        <w:sectPr w:rsidR="001365F0" w:rsidRPr="00923197" w:rsidSect="00ED7DF9">
          <w:pgSz w:w="16834" w:h="11909" w:orient="landscape" w:code="9"/>
          <w:pgMar w:top="1077" w:right="1077" w:bottom="1077" w:left="794" w:header="709" w:footer="709" w:gutter="0"/>
          <w:cols w:space="720"/>
          <w:docGrid w:linePitch="299"/>
        </w:sectPr>
      </w:pPr>
      <w:r w:rsidRPr="00D777FE">
        <w:rPr>
          <w:noProof/>
        </w:rPr>
        <w:drawing>
          <wp:inline distT="0" distB="0" distL="0" distR="0" wp14:anchorId="3A9DA252" wp14:editId="4C69057F">
            <wp:extent cx="9497803" cy="530352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01505" cy="5305587"/>
                    </a:xfrm>
                    <a:prstGeom prst="rect">
                      <a:avLst/>
                    </a:prstGeom>
                    <a:noFill/>
                    <a:ln>
                      <a:noFill/>
                    </a:ln>
                  </pic:spPr>
                </pic:pic>
              </a:graphicData>
            </a:graphic>
          </wp:inline>
        </w:drawing>
      </w:r>
    </w:p>
    <w:p w:rsidR="00B4411E" w:rsidRPr="00923197" w:rsidRDefault="00830B8E" w:rsidP="003755E4">
      <w:pPr>
        <w:pStyle w:val="BodyTextIndent"/>
        <w:jc w:val="center"/>
        <w:rPr>
          <w:color w:val="365F91" w:themeColor="accent1" w:themeShade="BF"/>
        </w:rPr>
      </w:pPr>
      <w:r w:rsidRPr="00830B8E">
        <w:rPr>
          <w:noProof/>
        </w:rPr>
        <w:lastRenderedPageBreak/>
        <w:drawing>
          <wp:inline distT="0" distB="0" distL="0" distR="0" wp14:anchorId="604B0B01" wp14:editId="39F1FCBB">
            <wp:extent cx="9501505" cy="4693997"/>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01505" cy="4693997"/>
                    </a:xfrm>
                    <a:prstGeom prst="rect">
                      <a:avLst/>
                    </a:prstGeom>
                    <a:noFill/>
                    <a:ln>
                      <a:noFill/>
                    </a:ln>
                  </pic:spPr>
                </pic:pic>
              </a:graphicData>
            </a:graphic>
          </wp:inline>
        </w:drawing>
      </w:r>
    </w:p>
    <w:p w:rsidR="00EA5FF0" w:rsidRPr="00923197" w:rsidRDefault="00EA5FF0" w:rsidP="003755E4">
      <w:pPr>
        <w:pStyle w:val="BodyTextIndent"/>
        <w:jc w:val="center"/>
        <w:rPr>
          <w:color w:val="365F91" w:themeColor="accent1" w:themeShade="BF"/>
        </w:rPr>
      </w:pPr>
    </w:p>
    <w:p w:rsidR="00EA5FF0" w:rsidRPr="00923197" w:rsidRDefault="00EA5FF0" w:rsidP="003755E4">
      <w:pPr>
        <w:pStyle w:val="BodyTextIndent"/>
        <w:jc w:val="center"/>
        <w:rPr>
          <w:color w:val="365F91" w:themeColor="accent1" w:themeShade="BF"/>
        </w:rPr>
        <w:sectPr w:rsidR="00EA5FF0" w:rsidRPr="00923197" w:rsidSect="00ED7DF9">
          <w:pgSz w:w="16834" w:h="11909" w:orient="landscape" w:code="9"/>
          <w:pgMar w:top="1077" w:right="1077" w:bottom="1077" w:left="794" w:header="709" w:footer="709" w:gutter="0"/>
          <w:cols w:space="720"/>
          <w:docGrid w:linePitch="299"/>
        </w:sectPr>
      </w:pPr>
    </w:p>
    <w:p w:rsidR="00ED7DF9" w:rsidRDefault="00094AA6" w:rsidP="00094AA6">
      <w:pPr>
        <w:pStyle w:val="BodyTextIndent"/>
        <w:jc w:val="right"/>
        <w:rPr>
          <w:b/>
          <w:sz w:val="28"/>
          <w:szCs w:val="28"/>
        </w:rPr>
      </w:pPr>
      <w:r w:rsidRPr="00AE3C2B">
        <w:rPr>
          <w:b/>
          <w:sz w:val="28"/>
          <w:szCs w:val="28"/>
        </w:rPr>
        <w:lastRenderedPageBreak/>
        <w:t xml:space="preserve">APPENDIX </w:t>
      </w:r>
      <w:r w:rsidR="00895B97" w:rsidRPr="00AE3C2B">
        <w:rPr>
          <w:b/>
          <w:sz w:val="28"/>
          <w:szCs w:val="28"/>
        </w:rPr>
        <w:t>7</w:t>
      </w:r>
    </w:p>
    <w:p w:rsidR="00400F3A" w:rsidRDefault="00400F3A" w:rsidP="00094AA6">
      <w:pPr>
        <w:pStyle w:val="BodyTextIndent"/>
        <w:jc w:val="right"/>
        <w:rPr>
          <w:b/>
          <w:sz w:val="28"/>
          <w:szCs w:val="28"/>
        </w:rPr>
      </w:pPr>
    </w:p>
    <w:p w:rsidR="007574D8" w:rsidRDefault="007574D8" w:rsidP="00400F3A">
      <w:pPr>
        <w:pStyle w:val="BodyTextIndent"/>
        <w:jc w:val="left"/>
        <w:rPr>
          <w:b/>
          <w:sz w:val="28"/>
          <w:szCs w:val="28"/>
        </w:rPr>
      </w:pPr>
      <w:r>
        <w:rPr>
          <w:b/>
          <w:sz w:val="28"/>
          <w:szCs w:val="28"/>
        </w:rPr>
        <w:t>Funding the Capital Investment Programme 2016-2020</w:t>
      </w:r>
    </w:p>
    <w:p w:rsidR="004C5257" w:rsidRPr="00AE3C2B" w:rsidRDefault="004C5257" w:rsidP="00400F3A">
      <w:pPr>
        <w:pStyle w:val="BodyTextIndent"/>
        <w:jc w:val="left"/>
        <w:rPr>
          <w:b/>
          <w:sz w:val="28"/>
          <w:szCs w:val="28"/>
        </w:rPr>
      </w:pPr>
    </w:p>
    <w:p w:rsidR="00094AA6" w:rsidRDefault="00094AA6" w:rsidP="00094AA6">
      <w:pPr>
        <w:pStyle w:val="BodyTextIndent"/>
        <w:jc w:val="right"/>
        <w:rPr>
          <w:b/>
          <w:color w:val="365F91" w:themeColor="accent1" w:themeShade="BF"/>
          <w:sz w:val="28"/>
          <w:szCs w:val="28"/>
        </w:rPr>
      </w:pPr>
    </w:p>
    <w:p w:rsidR="007574D8" w:rsidRPr="00923197" w:rsidRDefault="004C5257" w:rsidP="00094AA6">
      <w:pPr>
        <w:pStyle w:val="BodyTextIndent"/>
        <w:jc w:val="right"/>
        <w:rPr>
          <w:b/>
          <w:color w:val="365F91" w:themeColor="accent1" w:themeShade="BF"/>
          <w:sz w:val="28"/>
          <w:szCs w:val="28"/>
        </w:rPr>
      </w:pPr>
      <w:r w:rsidRPr="004C5257">
        <w:rPr>
          <w:noProof/>
        </w:rPr>
        <w:drawing>
          <wp:inline distT="0" distB="0" distL="0" distR="0" wp14:anchorId="2B467977" wp14:editId="49AE862C">
            <wp:extent cx="6194066" cy="683017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4425" cy="6830566"/>
                    </a:xfrm>
                    <a:prstGeom prst="rect">
                      <a:avLst/>
                    </a:prstGeom>
                    <a:noFill/>
                    <a:ln>
                      <a:noFill/>
                    </a:ln>
                  </pic:spPr>
                </pic:pic>
              </a:graphicData>
            </a:graphic>
          </wp:inline>
        </w:drawing>
      </w:r>
    </w:p>
    <w:p w:rsidR="00094AA6" w:rsidRPr="00923197" w:rsidRDefault="00094AA6" w:rsidP="003A5DC3">
      <w:pPr>
        <w:pStyle w:val="BodyTextIndent"/>
        <w:jc w:val="left"/>
        <w:rPr>
          <w:b/>
          <w:color w:val="365F91" w:themeColor="accent1" w:themeShade="BF"/>
          <w:sz w:val="28"/>
          <w:szCs w:val="28"/>
        </w:rPr>
      </w:pPr>
    </w:p>
    <w:sectPr w:rsidR="00094AA6" w:rsidRPr="00923197" w:rsidSect="00B4411E">
      <w:pgSz w:w="11909" w:h="16834" w:code="9"/>
      <w:pgMar w:top="1077" w:right="1077" w:bottom="794" w:left="107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50" w:rsidRDefault="005B0650">
      <w:r>
        <w:separator/>
      </w:r>
    </w:p>
  </w:endnote>
  <w:endnote w:type="continuationSeparator" w:id="0">
    <w:p w:rsidR="005B0650" w:rsidRDefault="005B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77" w:rsidRDefault="006E5E77">
    <w:pPr>
      <w:pStyle w:val="Footer"/>
      <w:tabs>
        <w:tab w:val="clear" w:pos="4153"/>
        <w:tab w:val="clear" w:pos="8306"/>
        <w:tab w:val="center" w:pos="468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50" w:rsidRDefault="005B0650">
      <w:r>
        <w:separator/>
      </w:r>
    </w:p>
  </w:footnote>
  <w:footnote w:type="continuationSeparator" w:id="0">
    <w:p w:rsidR="005B0650" w:rsidRDefault="005B0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966"/>
    <w:multiLevelType w:val="hybridMultilevel"/>
    <w:tmpl w:val="697C221E"/>
    <w:lvl w:ilvl="0" w:tplc="08090001">
      <w:start w:val="1"/>
      <w:numFmt w:val="bullet"/>
      <w:lvlText w:val=""/>
      <w:lvlJc w:val="left"/>
      <w:pPr>
        <w:ind w:left="3376" w:hanging="360"/>
      </w:pPr>
      <w:rPr>
        <w:rFonts w:ascii="Symbol" w:hAnsi="Symbol" w:hint="default"/>
      </w:rPr>
    </w:lvl>
    <w:lvl w:ilvl="1" w:tplc="08090003" w:tentative="1">
      <w:start w:val="1"/>
      <w:numFmt w:val="bullet"/>
      <w:lvlText w:val="o"/>
      <w:lvlJc w:val="left"/>
      <w:pPr>
        <w:ind w:left="4096" w:hanging="360"/>
      </w:pPr>
      <w:rPr>
        <w:rFonts w:ascii="Courier New" w:hAnsi="Courier New" w:cs="Courier New" w:hint="default"/>
      </w:rPr>
    </w:lvl>
    <w:lvl w:ilvl="2" w:tplc="08090005" w:tentative="1">
      <w:start w:val="1"/>
      <w:numFmt w:val="bullet"/>
      <w:lvlText w:val=""/>
      <w:lvlJc w:val="left"/>
      <w:pPr>
        <w:ind w:left="4816" w:hanging="360"/>
      </w:pPr>
      <w:rPr>
        <w:rFonts w:ascii="Wingdings" w:hAnsi="Wingdings" w:hint="default"/>
      </w:rPr>
    </w:lvl>
    <w:lvl w:ilvl="3" w:tplc="08090001" w:tentative="1">
      <w:start w:val="1"/>
      <w:numFmt w:val="bullet"/>
      <w:lvlText w:val=""/>
      <w:lvlJc w:val="left"/>
      <w:pPr>
        <w:ind w:left="5536" w:hanging="360"/>
      </w:pPr>
      <w:rPr>
        <w:rFonts w:ascii="Symbol" w:hAnsi="Symbol" w:hint="default"/>
      </w:rPr>
    </w:lvl>
    <w:lvl w:ilvl="4" w:tplc="08090003" w:tentative="1">
      <w:start w:val="1"/>
      <w:numFmt w:val="bullet"/>
      <w:lvlText w:val="o"/>
      <w:lvlJc w:val="left"/>
      <w:pPr>
        <w:ind w:left="6256" w:hanging="360"/>
      </w:pPr>
      <w:rPr>
        <w:rFonts w:ascii="Courier New" w:hAnsi="Courier New" w:cs="Courier New" w:hint="default"/>
      </w:rPr>
    </w:lvl>
    <w:lvl w:ilvl="5" w:tplc="08090005" w:tentative="1">
      <w:start w:val="1"/>
      <w:numFmt w:val="bullet"/>
      <w:lvlText w:val=""/>
      <w:lvlJc w:val="left"/>
      <w:pPr>
        <w:ind w:left="6976" w:hanging="360"/>
      </w:pPr>
      <w:rPr>
        <w:rFonts w:ascii="Wingdings" w:hAnsi="Wingdings" w:hint="default"/>
      </w:rPr>
    </w:lvl>
    <w:lvl w:ilvl="6" w:tplc="08090001" w:tentative="1">
      <w:start w:val="1"/>
      <w:numFmt w:val="bullet"/>
      <w:lvlText w:val=""/>
      <w:lvlJc w:val="left"/>
      <w:pPr>
        <w:ind w:left="7696" w:hanging="360"/>
      </w:pPr>
      <w:rPr>
        <w:rFonts w:ascii="Symbol" w:hAnsi="Symbol" w:hint="default"/>
      </w:rPr>
    </w:lvl>
    <w:lvl w:ilvl="7" w:tplc="08090003" w:tentative="1">
      <w:start w:val="1"/>
      <w:numFmt w:val="bullet"/>
      <w:lvlText w:val="o"/>
      <w:lvlJc w:val="left"/>
      <w:pPr>
        <w:ind w:left="8416" w:hanging="360"/>
      </w:pPr>
      <w:rPr>
        <w:rFonts w:ascii="Courier New" w:hAnsi="Courier New" w:cs="Courier New" w:hint="default"/>
      </w:rPr>
    </w:lvl>
    <w:lvl w:ilvl="8" w:tplc="08090005" w:tentative="1">
      <w:start w:val="1"/>
      <w:numFmt w:val="bullet"/>
      <w:lvlText w:val=""/>
      <w:lvlJc w:val="left"/>
      <w:pPr>
        <w:ind w:left="9136" w:hanging="360"/>
      </w:pPr>
      <w:rPr>
        <w:rFonts w:ascii="Wingdings" w:hAnsi="Wingdings" w:hint="default"/>
      </w:rPr>
    </w:lvl>
  </w:abstractNum>
  <w:abstractNum w:abstractNumId="1">
    <w:nsid w:val="09663727"/>
    <w:multiLevelType w:val="multilevel"/>
    <w:tmpl w:val="02223EF8"/>
    <w:lvl w:ilvl="0">
      <w:start w:val="3"/>
      <w:numFmt w:val="decimal"/>
      <w:lvlText w:val="%1"/>
      <w:lvlJc w:val="left"/>
      <w:pPr>
        <w:tabs>
          <w:tab w:val="num" w:pos="1230"/>
        </w:tabs>
        <w:ind w:left="1230" w:hanging="1230"/>
      </w:pPr>
      <w:rPr>
        <w:rFonts w:hint="default"/>
      </w:rPr>
    </w:lvl>
    <w:lvl w:ilvl="1">
      <w:start w:val="1"/>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CE3201"/>
    <w:multiLevelType w:val="multilevel"/>
    <w:tmpl w:val="6F6E454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5F1920"/>
    <w:multiLevelType w:val="multilevel"/>
    <w:tmpl w:val="095C5F14"/>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C32D30"/>
    <w:multiLevelType w:val="hybridMultilevel"/>
    <w:tmpl w:val="811439A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nsid w:val="1CBE4F5F"/>
    <w:multiLevelType w:val="hybridMultilevel"/>
    <w:tmpl w:val="662E78BC"/>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6">
    <w:nsid w:val="231D5B66"/>
    <w:multiLevelType w:val="multilevel"/>
    <w:tmpl w:val="5094A8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9C525C"/>
    <w:multiLevelType w:val="hybridMultilevel"/>
    <w:tmpl w:val="D0CA7D64"/>
    <w:lvl w:ilvl="0" w:tplc="8DA453F2">
      <w:start w:val="7"/>
      <w:numFmt w:val="decimal"/>
      <w:lvlText w:val="%1."/>
      <w:lvlJc w:val="left"/>
      <w:pPr>
        <w:tabs>
          <w:tab w:val="num" w:pos="1260"/>
        </w:tabs>
        <w:ind w:left="1260" w:hanging="12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8">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9">
    <w:nsid w:val="2F3134F7"/>
    <w:multiLevelType w:val="multilevel"/>
    <w:tmpl w:val="5A54BFEE"/>
    <w:lvl w:ilvl="0">
      <w:start w:val="4"/>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D7310F"/>
    <w:multiLevelType w:val="multilevel"/>
    <w:tmpl w:val="821A9BA0"/>
    <w:lvl w:ilvl="0">
      <w:start w:val="2"/>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195B16"/>
    <w:multiLevelType w:val="multilevel"/>
    <w:tmpl w:val="3BCC8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823A63"/>
    <w:multiLevelType w:val="hybridMultilevel"/>
    <w:tmpl w:val="353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09431B"/>
    <w:multiLevelType w:val="hybridMultilevel"/>
    <w:tmpl w:val="3D28834A"/>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4">
    <w:nsid w:val="454E0F24"/>
    <w:multiLevelType w:val="multilevel"/>
    <w:tmpl w:val="15DE6374"/>
    <w:lvl w:ilvl="0">
      <w:start w:val="6"/>
      <w:numFmt w:val="decimal"/>
      <w:lvlText w:val="%1"/>
      <w:lvlJc w:val="left"/>
      <w:pPr>
        <w:tabs>
          <w:tab w:val="num" w:pos="1290"/>
        </w:tabs>
        <w:ind w:left="1290" w:hanging="1290"/>
      </w:pPr>
      <w:rPr>
        <w:rFonts w:hint="default"/>
        <w:b w:val="0"/>
        <w:i w:val="0"/>
      </w:rPr>
    </w:lvl>
    <w:lvl w:ilvl="1">
      <w:start w:val="4"/>
      <w:numFmt w:val="decimal"/>
      <w:lvlText w:val="%1.%2"/>
      <w:lvlJc w:val="left"/>
      <w:pPr>
        <w:tabs>
          <w:tab w:val="num" w:pos="1290"/>
        </w:tabs>
        <w:ind w:left="1290" w:hanging="1290"/>
      </w:pPr>
      <w:rPr>
        <w:rFonts w:hint="default"/>
        <w:b w:val="0"/>
        <w:i w:val="0"/>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b w:val="0"/>
        <w:i w:val="0"/>
      </w:rPr>
    </w:lvl>
    <w:lvl w:ilvl="4">
      <w:start w:val="1"/>
      <w:numFmt w:val="decimal"/>
      <w:lvlText w:val="%1.%2.%3.%4.%5"/>
      <w:lvlJc w:val="left"/>
      <w:pPr>
        <w:tabs>
          <w:tab w:val="num" w:pos="1290"/>
        </w:tabs>
        <w:ind w:left="1290" w:hanging="1290"/>
      </w:pPr>
      <w:rPr>
        <w:rFonts w:hint="default"/>
        <w:b w:val="0"/>
        <w:i w:val="0"/>
      </w:rPr>
    </w:lvl>
    <w:lvl w:ilvl="5">
      <w:start w:val="1"/>
      <w:numFmt w:val="decimal"/>
      <w:lvlText w:val="%1.%2.%3.%4.%5.%6"/>
      <w:lvlJc w:val="left"/>
      <w:pPr>
        <w:tabs>
          <w:tab w:val="num" w:pos="1290"/>
        </w:tabs>
        <w:ind w:left="1290" w:hanging="129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5">
    <w:nsid w:val="495A3DD8"/>
    <w:multiLevelType w:val="hybridMultilevel"/>
    <w:tmpl w:val="A4C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CB512F"/>
    <w:multiLevelType w:val="hybridMultilevel"/>
    <w:tmpl w:val="C240BBFC"/>
    <w:lvl w:ilvl="0" w:tplc="08090001">
      <w:start w:val="1"/>
      <w:numFmt w:val="bullet"/>
      <w:lvlText w:val=""/>
      <w:lvlJc w:val="left"/>
      <w:pPr>
        <w:ind w:left="1977" w:hanging="360"/>
      </w:pPr>
      <w:rPr>
        <w:rFonts w:ascii="Symbol" w:hAnsi="Symbol" w:hint="default"/>
      </w:rPr>
    </w:lvl>
    <w:lvl w:ilvl="1" w:tplc="08090003">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7">
    <w:nsid w:val="52A2574D"/>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912103"/>
    <w:multiLevelType w:val="multilevel"/>
    <w:tmpl w:val="25F6C98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A412EA"/>
    <w:multiLevelType w:val="hybridMultilevel"/>
    <w:tmpl w:val="9D66D400"/>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0">
    <w:nsid w:val="56FA7411"/>
    <w:multiLevelType w:val="hybridMultilevel"/>
    <w:tmpl w:val="1C843F1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59CB028D"/>
    <w:multiLevelType w:val="multilevel"/>
    <w:tmpl w:val="3162064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EF0003"/>
    <w:multiLevelType w:val="hybridMultilevel"/>
    <w:tmpl w:val="A0626E60"/>
    <w:lvl w:ilvl="0" w:tplc="08090001">
      <w:start w:val="1"/>
      <w:numFmt w:val="bullet"/>
      <w:lvlText w:val=""/>
      <w:lvlJc w:val="left"/>
      <w:pPr>
        <w:ind w:left="2038" w:hanging="360"/>
      </w:pPr>
      <w:rPr>
        <w:rFonts w:ascii="Symbol" w:hAnsi="Symbol" w:hint="default"/>
      </w:rPr>
    </w:lvl>
    <w:lvl w:ilvl="1" w:tplc="08090003" w:tentative="1">
      <w:start w:val="1"/>
      <w:numFmt w:val="bullet"/>
      <w:lvlText w:val="o"/>
      <w:lvlJc w:val="left"/>
      <w:pPr>
        <w:ind w:left="2758" w:hanging="360"/>
      </w:pPr>
      <w:rPr>
        <w:rFonts w:ascii="Courier New" w:hAnsi="Courier New" w:cs="Courier New" w:hint="default"/>
      </w:rPr>
    </w:lvl>
    <w:lvl w:ilvl="2" w:tplc="08090005" w:tentative="1">
      <w:start w:val="1"/>
      <w:numFmt w:val="bullet"/>
      <w:lvlText w:val=""/>
      <w:lvlJc w:val="left"/>
      <w:pPr>
        <w:ind w:left="3478" w:hanging="360"/>
      </w:pPr>
      <w:rPr>
        <w:rFonts w:ascii="Wingdings" w:hAnsi="Wingdings" w:hint="default"/>
      </w:rPr>
    </w:lvl>
    <w:lvl w:ilvl="3" w:tplc="08090001" w:tentative="1">
      <w:start w:val="1"/>
      <w:numFmt w:val="bullet"/>
      <w:lvlText w:val=""/>
      <w:lvlJc w:val="left"/>
      <w:pPr>
        <w:ind w:left="4198" w:hanging="360"/>
      </w:pPr>
      <w:rPr>
        <w:rFonts w:ascii="Symbol" w:hAnsi="Symbol" w:hint="default"/>
      </w:rPr>
    </w:lvl>
    <w:lvl w:ilvl="4" w:tplc="08090003" w:tentative="1">
      <w:start w:val="1"/>
      <w:numFmt w:val="bullet"/>
      <w:lvlText w:val="o"/>
      <w:lvlJc w:val="left"/>
      <w:pPr>
        <w:ind w:left="4918" w:hanging="360"/>
      </w:pPr>
      <w:rPr>
        <w:rFonts w:ascii="Courier New" w:hAnsi="Courier New" w:cs="Courier New" w:hint="default"/>
      </w:rPr>
    </w:lvl>
    <w:lvl w:ilvl="5" w:tplc="08090005" w:tentative="1">
      <w:start w:val="1"/>
      <w:numFmt w:val="bullet"/>
      <w:lvlText w:val=""/>
      <w:lvlJc w:val="left"/>
      <w:pPr>
        <w:ind w:left="5638" w:hanging="360"/>
      </w:pPr>
      <w:rPr>
        <w:rFonts w:ascii="Wingdings" w:hAnsi="Wingdings" w:hint="default"/>
      </w:rPr>
    </w:lvl>
    <w:lvl w:ilvl="6" w:tplc="08090001" w:tentative="1">
      <w:start w:val="1"/>
      <w:numFmt w:val="bullet"/>
      <w:lvlText w:val=""/>
      <w:lvlJc w:val="left"/>
      <w:pPr>
        <w:ind w:left="6358" w:hanging="360"/>
      </w:pPr>
      <w:rPr>
        <w:rFonts w:ascii="Symbol" w:hAnsi="Symbol" w:hint="default"/>
      </w:rPr>
    </w:lvl>
    <w:lvl w:ilvl="7" w:tplc="08090003" w:tentative="1">
      <w:start w:val="1"/>
      <w:numFmt w:val="bullet"/>
      <w:lvlText w:val="o"/>
      <w:lvlJc w:val="left"/>
      <w:pPr>
        <w:ind w:left="7078" w:hanging="360"/>
      </w:pPr>
      <w:rPr>
        <w:rFonts w:ascii="Courier New" w:hAnsi="Courier New" w:cs="Courier New" w:hint="default"/>
      </w:rPr>
    </w:lvl>
    <w:lvl w:ilvl="8" w:tplc="08090005" w:tentative="1">
      <w:start w:val="1"/>
      <w:numFmt w:val="bullet"/>
      <w:lvlText w:val=""/>
      <w:lvlJc w:val="left"/>
      <w:pPr>
        <w:ind w:left="7798" w:hanging="360"/>
      </w:pPr>
      <w:rPr>
        <w:rFonts w:ascii="Wingdings" w:hAnsi="Wingdings" w:hint="default"/>
      </w:rPr>
    </w:lvl>
  </w:abstractNum>
  <w:abstractNum w:abstractNumId="23">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cs="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cs="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cs="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24">
    <w:nsid w:val="60E045A1"/>
    <w:multiLevelType w:val="hybridMultilevel"/>
    <w:tmpl w:val="AC7A499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5">
    <w:nsid w:val="64BC58EE"/>
    <w:multiLevelType w:val="multilevel"/>
    <w:tmpl w:val="E8128488"/>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D30864"/>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94F3F7B"/>
    <w:multiLevelType w:val="multilevel"/>
    <w:tmpl w:val="7FE0380E"/>
    <w:lvl w:ilvl="0">
      <w:start w:val="2"/>
      <w:numFmt w:val="decimal"/>
      <w:lvlText w:val="%1."/>
      <w:lvlJc w:val="left"/>
      <w:pPr>
        <w:tabs>
          <w:tab w:val="num" w:pos="1260"/>
        </w:tabs>
        <w:ind w:left="1260" w:hanging="1260"/>
      </w:pPr>
      <w:rPr>
        <w:rFonts w:hint="default"/>
        <w:b w:val="0"/>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A2A1EA1"/>
    <w:multiLevelType w:val="multilevel"/>
    <w:tmpl w:val="609CA74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0F396C"/>
    <w:multiLevelType w:val="hybridMultilevel"/>
    <w:tmpl w:val="E99C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F405FA"/>
    <w:multiLevelType w:val="multilevel"/>
    <w:tmpl w:val="131A40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8F21D7"/>
    <w:multiLevelType w:val="hybridMultilevel"/>
    <w:tmpl w:val="DAA0BE0C"/>
    <w:lvl w:ilvl="0" w:tplc="0F523B72">
      <w:start w:val="9"/>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15B6D2C"/>
    <w:multiLevelType w:val="hybridMultilevel"/>
    <w:tmpl w:val="D6424E40"/>
    <w:lvl w:ilvl="0" w:tplc="08090017">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34">
    <w:nsid w:val="76741469"/>
    <w:multiLevelType w:val="hybridMultilevel"/>
    <w:tmpl w:val="6CD6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21"/>
  </w:num>
  <w:num w:numId="5">
    <w:abstractNumId w:val="25"/>
  </w:num>
  <w:num w:numId="6">
    <w:abstractNumId w:val="8"/>
  </w:num>
  <w:num w:numId="7">
    <w:abstractNumId w:val="33"/>
  </w:num>
  <w:num w:numId="8">
    <w:abstractNumId w:val="23"/>
  </w:num>
  <w:num w:numId="9">
    <w:abstractNumId w:val="3"/>
  </w:num>
  <w:num w:numId="10">
    <w:abstractNumId w:val="31"/>
  </w:num>
  <w:num w:numId="11">
    <w:abstractNumId w:val="7"/>
  </w:num>
  <w:num w:numId="12">
    <w:abstractNumId w:val="17"/>
  </w:num>
  <w:num w:numId="13">
    <w:abstractNumId w:val="26"/>
  </w:num>
  <w:num w:numId="14">
    <w:abstractNumId w:val="6"/>
  </w:num>
  <w:num w:numId="15">
    <w:abstractNumId w:val="27"/>
  </w:num>
  <w:num w:numId="16">
    <w:abstractNumId w:val="14"/>
  </w:num>
  <w:num w:numId="17">
    <w:abstractNumId w:val="18"/>
  </w:num>
  <w:num w:numId="18">
    <w:abstractNumId w:val="2"/>
  </w:num>
  <w:num w:numId="19">
    <w:abstractNumId w:val="10"/>
  </w:num>
  <w:num w:numId="20">
    <w:abstractNumId w:val="22"/>
  </w:num>
  <w:num w:numId="21">
    <w:abstractNumId w:val="30"/>
  </w:num>
  <w:num w:numId="22">
    <w:abstractNumId w:val="24"/>
  </w:num>
  <w:num w:numId="23">
    <w:abstractNumId w:val="12"/>
  </w:num>
  <w:num w:numId="24">
    <w:abstractNumId w:val="20"/>
  </w:num>
  <w:num w:numId="25">
    <w:abstractNumId w:val="13"/>
  </w:num>
  <w:num w:numId="26">
    <w:abstractNumId w:val="29"/>
  </w:num>
  <w:num w:numId="27">
    <w:abstractNumId w:val="15"/>
  </w:num>
  <w:num w:numId="28">
    <w:abstractNumId w:val="16"/>
  </w:num>
  <w:num w:numId="29">
    <w:abstractNumId w:val="34"/>
  </w:num>
  <w:num w:numId="30">
    <w:abstractNumId w:val="0"/>
  </w:num>
  <w:num w:numId="31">
    <w:abstractNumId w:val="32"/>
  </w:num>
  <w:num w:numId="32">
    <w:abstractNumId w:val="28"/>
  </w:num>
  <w:num w:numId="33">
    <w:abstractNumId w:val="5"/>
  </w:num>
  <w:num w:numId="34">
    <w:abstractNumId w:val="1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1EF9"/>
    <w:rsid w:val="0000215E"/>
    <w:rsid w:val="00003045"/>
    <w:rsid w:val="0000715D"/>
    <w:rsid w:val="000101DE"/>
    <w:rsid w:val="00010D3E"/>
    <w:rsid w:val="00011910"/>
    <w:rsid w:val="00012B4D"/>
    <w:rsid w:val="00013A51"/>
    <w:rsid w:val="00015C23"/>
    <w:rsid w:val="00030A19"/>
    <w:rsid w:val="00033470"/>
    <w:rsid w:val="000438B0"/>
    <w:rsid w:val="00043BB1"/>
    <w:rsid w:val="000503BE"/>
    <w:rsid w:val="000528C8"/>
    <w:rsid w:val="00054B4A"/>
    <w:rsid w:val="00057939"/>
    <w:rsid w:val="00063A57"/>
    <w:rsid w:val="00064A10"/>
    <w:rsid w:val="00064D88"/>
    <w:rsid w:val="0006506B"/>
    <w:rsid w:val="00066FBC"/>
    <w:rsid w:val="000737C5"/>
    <w:rsid w:val="0007504B"/>
    <w:rsid w:val="0008014A"/>
    <w:rsid w:val="00082385"/>
    <w:rsid w:val="000833FE"/>
    <w:rsid w:val="0008621F"/>
    <w:rsid w:val="000902CC"/>
    <w:rsid w:val="00090943"/>
    <w:rsid w:val="00094AA6"/>
    <w:rsid w:val="00094FAF"/>
    <w:rsid w:val="000A03A7"/>
    <w:rsid w:val="000A068B"/>
    <w:rsid w:val="000A7D80"/>
    <w:rsid w:val="000B25D1"/>
    <w:rsid w:val="000B4721"/>
    <w:rsid w:val="000B73E3"/>
    <w:rsid w:val="000C024C"/>
    <w:rsid w:val="000C1D55"/>
    <w:rsid w:val="000C31DE"/>
    <w:rsid w:val="000C3874"/>
    <w:rsid w:val="000C3A9F"/>
    <w:rsid w:val="000D3DFD"/>
    <w:rsid w:val="000E608B"/>
    <w:rsid w:val="000E7A74"/>
    <w:rsid w:val="000E7EDD"/>
    <w:rsid w:val="000F1D74"/>
    <w:rsid w:val="000F256E"/>
    <w:rsid w:val="000F504C"/>
    <w:rsid w:val="001028D0"/>
    <w:rsid w:val="00102D03"/>
    <w:rsid w:val="00103611"/>
    <w:rsid w:val="001073C1"/>
    <w:rsid w:val="00112412"/>
    <w:rsid w:val="00114246"/>
    <w:rsid w:val="00114D5C"/>
    <w:rsid w:val="001174FB"/>
    <w:rsid w:val="00123374"/>
    <w:rsid w:val="00127CB5"/>
    <w:rsid w:val="00131888"/>
    <w:rsid w:val="001342E3"/>
    <w:rsid w:val="001365F0"/>
    <w:rsid w:val="001402B6"/>
    <w:rsid w:val="00142C2C"/>
    <w:rsid w:val="00143669"/>
    <w:rsid w:val="00152B1A"/>
    <w:rsid w:val="0015440F"/>
    <w:rsid w:val="00157B4D"/>
    <w:rsid w:val="00157D77"/>
    <w:rsid w:val="0016063E"/>
    <w:rsid w:val="00162512"/>
    <w:rsid w:val="001646F6"/>
    <w:rsid w:val="001712A5"/>
    <w:rsid w:val="00172723"/>
    <w:rsid w:val="001729E8"/>
    <w:rsid w:val="00174BF2"/>
    <w:rsid w:val="00175D6A"/>
    <w:rsid w:val="00176C9F"/>
    <w:rsid w:val="00177C91"/>
    <w:rsid w:val="00180711"/>
    <w:rsid w:val="00181F47"/>
    <w:rsid w:val="00185A50"/>
    <w:rsid w:val="001862CF"/>
    <w:rsid w:val="00191364"/>
    <w:rsid w:val="00194A36"/>
    <w:rsid w:val="00197BE0"/>
    <w:rsid w:val="001B07D5"/>
    <w:rsid w:val="001B7AF5"/>
    <w:rsid w:val="001C6ED4"/>
    <w:rsid w:val="001C6FC7"/>
    <w:rsid w:val="001C7314"/>
    <w:rsid w:val="001D686A"/>
    <w:rsid w:val="001E06A2"/>
    <w:rsid w:val="001E0765"/>
    <w:rsid w:val="001E131D"/>
    <w:rsid w:val="001E1CFB"/>
    <w:rsid w:val="001E23B7"/>
    <w:rsid w:val="001E267B"/>
    <w:rsid w:val="001E5E8F"/>
    <w:rsid w:val="001F2DCD"/>
    <w:rsid w:val="001F32D0"/>
    <w:rsid w:val="001F6B14"/>
    <w:rsid w:val="00201E01"/>
    <w:rsid w:val="00204636"/>
    <w:rsid w:val="0020606A"/>
    <w:rsid w:val="00211467"/>
    <w:rsid w:val="00211CE9"/>
    <w:rsid w:val="002121C2"/>
    <w:rsid w:val="002139D0"/>
    <w:rsid w:val="002145A5"/>
    <w:rsid w:val="00221ADD"/>
    <w:rsid w:val="00223DAB"/>
    <w:rsid w:val="002247E5"/>
    <w:rsid w:val="00227DDC"/>
    <w:rsid w:val="00234D8A"/>
    <w:rsid w:val="002366EB"/>
    <w:rsid w:val="00237823"/>
    <w:rsid w:val="00237F82"/>
    <w:rsid w:val="002401C9"/>
    <w:rsid w:val="002407C7"/>
    <w:rsid w:val="00241330"/>
    <w:rsid w:val="00241768"/>
    <w:rsid w:val="002426CA"/>
    <w:rsid w:val="00242CB6"/>
    <w:rsid w:val="00243159"/>
    <w:rsid w:val="0025081B"/>
    <w:rsid w:val="002549FA"/>
    <w:rsid w:val="002569C7"/>
    <w:rsid w:val="00262878"/>
    <w:rsid w:val="002655E2"/>
    <w:rsid w:val="00270B0E"/>
    <w:rsid w:val="0027213F"/>
    <w:rsid w:val="002742B7"/>
    <w:rsid w:val="002748D1"/>
    <w:rsid w:val="00274C92"/>
    <w:rsid w:val="002758D3"/>
    <w:rsid w:val="0027667D"/>
    <w:rsid w:val="0028459D"/>
    <w:rsid w:val="00291B05"/>
    <w:rsid w:val="0029366B"/>
    <w:rsid w:val="002A370A"/>
    <w:rsid w:val="002A3958"/>
    <w:rsid w:val="002A7D4F"/>
    <w:rsid w:val="002B2619"/>
    <w:rsid w:val="002B3D4F"/>
    <w:rsid w:val="002C583D"/>
    <w:rsid w:val="002C63AD"/>
    <w:rsid w:val="002D18A1"/>
    <w:rsid w:val="002D526C"/>
    <w:rsid w:val="002E02D9"/>
    <w:rsid w:val="002E2E3E"/>
    <w:rsid w:val="002E3C59"/>
    <w:rsid w:val="002E7886"/>
    <w:rsid w:val="002F4EB2"/>
    <w:rsid w:val="002F5AE2"/>
    <w:rsid w:val="002F7F16"/>
    <w:rsid w:val="003012EC"/>
    <w:rsid w:val="00302A53"/>
    <w:rsid w:val="003050FB"/>
    <w:rsid w:val="00305D4A"/>
    <w:rsid w:val="00306C73"/>
    <w:rsid w:val="00312893"/>
    <w:rsid w:val="003240CF"/>
    <w:rsid w:val="00324480"/>
    <w:rsid w:val="00325194"/>
    <w:rsid w:val="0032635D"/>
    <w:rsid w:val="003273F0"/>
    <w:rsid w:val="003306E0"/>
    <w:rsid w:val="00333C51"/>
    <w:rsid w:val="0033530D"/>
    <w:rsid w:val="0033559B"/>
    <w:rsid w:val="00341BBB"/>
    <w:rsid w:val="0034387A"/>
    <w:rsid w:val="003479CD"/>
    <w:rsid w:val="00347B82"/>
    <w:rsid w:val="00347DAE"/>
    <w:rsid w:val="00351505"/>
    <w:rsid w:val="003518A5"/>
    <w:rsid w:val="00357073"/>
    <w:rsid w:val="00361612"/>
    <w:rsid w:val="00361BC5"/>
    <w:rsid w:val="003678F9"/>
    <w:rsid w:val="00372730"/>
    <w:rsid w:val="00372831"/>
    <w:rsid w:val="003755E4"/>
    <w:rsid w:val="0037712B"/>
    <w:rsid w:val="00380161"/>
    <w:rsid w:val="00383E7C"/>
    <w:rsid w:val="003872DF"/>
    <w:rsid w:val="003900B1"/>
    <w:rsid w:val="00391687"/>
    <w:rsid w:val="003A0093"/>
    <w:rsid w:val="003A19C3"/>
    <w:rsid w:val="003A4354"/>
    <w:rsid w:val="003A4A12"/>
    <w:rsid w:val="003A5DC3"/>
    <w:rsid w:val="003A6D76"/>
    <w:rsid w:val="003A7356"/>
    <w:rsid w:val="003B2191"/>
    <w:rsid w:val="003C5059"/>
    <w:rsid w:val="003C51EE"/>
    <w:rsid w:val="003C770B"/>
    <w:rsid w:val="003D05AD"/>
    <w:rsid w:val="003D44A9"/>
    <w:rsid w:val="003D5C73"/>
    <w:rsid w:val="003D5D0F"/>
    <w:rsid w:val="003D6D10"/>
    <w:rsid w:val="003D7268"/>
    <w:rsid w:val="003D7FBE"/>
    <w:rsid w:val="003E3B1F"/>
    <w:rsid w:val="003E467B"/>
    <w:rsid w:val="003E7844"/>
    <w:rsid w:val="003E7878"/>
    <w:rsid w:val="003F19E3"/>
    <w:rsid w:val="003F25C0"/>
    <w:rsid w:val="003F4316"/>
    <w:rsid w:val="00400F3A"/>
    <w:rsid w:val="004020E3"/>
    <w:rsid w:val="004079BD"/>
    <w:rsid w:val="00410DC5"/>
    <w:rsid w:val="0041297B"/>
    <w:rsid w:val="0041439F"/>
    <w:rsid w:val="00416E27"/>
    <w:rsid w:val="00420328"/>
    <w:rsid w:val="00422721"/>
    <w:rsid w:val="00423EFE"/>
    <w:rsid w:val="00425C06"/>
    <w:rsid w:val="00430A9D"/>
    <w:rsid w:val="00434D29"/>
    <w:rsid w:val="00436BE7"/>
    <w:rsid w:val="0044131D"/>
    <w:rsid w:val="00443572"/>
    <w:rsid w:val="00445C93"/>
    <w:rsid w:val="00460B64"/>
    <w:rsid w:val="0046189C"/>
    <w:rsid w:val="0046261F"/>
    <w:rsid w:val="00466E0D"/>
    <w:rsid w:val="00467DE3"/>
    <w:rsid w:val="004705B5"/>
    <w:rsid w:val="0047247F"/>
    <w:rsid w:val="004763C3"/>
    <w:rsid w:val="00476939"/>
    <w:rsid w:val="00481561"/>
    <w:rsid w:val="0048474A"/>
    <w:rsid w:val="00493DA5"/>
    <w:rsid w:val="00493FA9"/>
    <w:rsid w:val="00497005"/>
    <w:rsid w:val="00497C4B"/>
    <w:rsid w:val="004A049C"/>
    <w:rsid w:val="004A084D"/>
    <w:rsid w:val="004A2B3E"/>
    <w:rsid w:val="004A387E"/>
    <w:rsid w:val="004B2FC0"/>
    <w:rsid w:val="004B6E0C"/>
    <w:rsid w:val="004C0913"/>
    <w:rsid w:val="004C2CA0"/>
    <w:rsid w:val="004C3CAC"/>
    <w:rsid w:val="004C5257"/>
    <w:rsid w:val="004C78A7"/>
    <w:rsid w:val="004D7092"/>
    <w:rsid w:val="004E0CF7"/>
    <w:rsid w:val="004E28C7"/>
    <w:rsid w:val="004E3356"/>
    <w:rsid w:val="004E46D9"/>
    <w:rsid w:val="004F0D6A"/>
    <w:rsid w:val="004F170A"/>
    <w:rsid w:val="004F43EC"/>
    <w:rsid w:val="00502D76"/>
    <w:rsid w:val="005052D9"/>
    <w:rsid w:val="00506122"/>
    <w:rsid w:val="0050624E"/>
    <w:rsid w:val="00511EA2"/>
    <w:rsid w:val="00520C47"/>
    <w:rsid w:val="00521F10"/>
    <w:rsid w:val="005236F2"/>
    <w:rsid w:val="00527215"/>
    <w:rsid w:val="005314C1"/>
    <w:rsid w:val="00533E34"/>
    <w:rsid w:val="00533F4B"/>
    <w:rsid w:val="00536687"/>
    <w:rsid w:val="005624BC"/>
    <w:rsid w:val="00562EAF"/>
    <w:rsid w:val="00566676"/>
    <w:rsid w:val="0058112B"/>
    <w:rsid w:val="00581F30"/>
    <w:rsid w:val="005825C5"/>
    <w:rsid w:val="0058599D"/>
    <w:rsid w:val="0059031D"/>
    <w:rsid w:val="00594137"/>
    <w:rsid w:val="005945D1"/>
    <w:rsid w:val="005A1298"/>
    <w:rsid w:val="005A1A4C"/>
    <w:rsid w:val="005A1F6A"/>
    <w:rsid w:val="005A3853"/>
    <w:rsid w:val="005A5223"/>
    <w:rsid w:val="005A6E91"/>
    <w:rsid w:val="005B0650"/>
    <w:rsid w:val="005B3E9D"/>
    <w:rsid w:val="005B42AD"/>
    <w:rsid w:val="005C1AA5"/>
    <w:rsid w:val="005C4D71"/>
    <w:rsid w:val="005C50CD"/>
    <w:rsid w:val="005C5E36"/>
    <w:rsid w:val="005C6487"/>
    <w:rsid w:val="005C7C1E"/>
    <w:rsid w:val="005D1D55"/>
    <w:rsid w:val="005D350D"/>
    <w:rsid w:val="005D4B2F"/>
    <w:rsid w:val="005D52D8"/>
    <w:rsid w:val="005E2449"/>
    <w:rsid w:val="005E56BF"/>
    <w:rsid w:val="005E5E0C"/>
    <w:rsid w:val="005E6029"/>
    <w:rsid w:val="005F1721"/>
    <w:rsid w:val="005F45EC"/>
    <w:rsid w:val="005F55E4"/>
    <w:rsid w:val="005F58F8"/>
    <w:rsid w:val="006009BC"/>
    <w:rsid w:val="00602384"/>
    <w:rsid w:val="006025C2"/>
    <w:rsid w:val="006034D7"/>
    <w:rsid w:val="00603CD0"/>
    <w:rsid w:val="00606BBC"/>
    <w:rsid w:val="006111BF"/>
    <w:rsid w:val="00611718"/>
    <w:rsid w:val="00617B95"/>
    <w:rsid w:val="00621A7E"/>
    <w:rsid w:val="006239CF"/>
    <w:rsid w:val="006252D8"/>
    <w:rsid w:val="006302B0"/>
    <w:rsid w:val="00630ACD"/>
    <w:rsid w:val="00631890"/>
    <w:rsid w:val="00635316"/>
    <w:rsid w:val="00635763"/>
    <w:rsid w:val="006368E4"/>
    <w:rsid w:val="00636EFD"/>
    <w:rsid w:val="0063752D"/>
    <w:rsid w:val="00641034"/>
    <w:rsid w:val="0064113D"/>
    <w:rsid w:val="00643B93"/>
    <w:rsid w:val="0064734C"/>
    <w:rsid w:val="0064792D"/>
    <w:rsid w:val="00654EF3"/>
    <w:rsid w:val="00655575"/>
    <w:rsid w:val="00660427"/>
    <w:rsid w:val="006634A9"/>
    <w:rsid w:val="0067012B"/>
    <w:rsid w:val="00672056"/>
    <w:rsid w:val="00672E45"/>
    <w:rsid w:val="00674638"/>
    <w:rsid w:val="00677968"/>
    <w:rsid w:val="00681A92"/>
    <w:rsid w:val="00683DDE"/>
    <w:rsid w:val="00685F72"/>
    <w:rsid w:val="0068645D"/>
    <w:rsid w:val="0069013D"/>
    <w:rsid w:val="00691060"/>
    <w:rsid w:val="006A2B17"/>
    <w:rsid w:val="006A527B"/>
    <w:rsid w:val="006B2918"/>
    <w:rsid w:val="006B2BAC"/>
    <w:rsid w:val="006B3AE2"/>
    <w:rsid w:val="006B4297"/>
    <w:rsid w:val="006B540F"/>
    <w:rsid w:val="006B57AD"/>
    <w:rsid w:val="006B680D"/>
    <w:rsid w:val="006C56FB"/>
    <w:rsid w:val="006D4526"/>
    <w:rsid w:val="006E177E"/>
    <w:rsid w:val="006E23E9"/>
    <w:rsid w:val="006E45D3"/>
    <w:rsid w:val="006E5E77"/>
    <w:rsid w:val="006E632E"/>
    <w:rsid w:val="006F11CA"/>
    <w:rsid w:val="006F2E35"/>
    <w:rsid w:val="006F4E91"/>
    <w:rsid w:val="006F7184"/>
    <w:rsid w:val="0070012A"/>
    <w:rsid w:val="0070178D"/>
    <w:rsid w:val="007178AB"/>
    <w:rsid w:val="007178BC"/>
    <w:rsid w:val="007200AD"/>
    <w:rsid w:val="00723156"/>
    <w:rsid w:val="00723FD0"/>
    <w:rsid w:val="00735190"/>
    <w:rsid w:val="00735BCD"/>
    <w:rsid w:val="00735FB1"/>
    <w:rsid w:val="00736FD8"/>
    <w:rsid w:val="00741BDD"/>
    <w:rsid w:val="00745ED2"/>
    <w:rsid w:val="00746B23"/>
    <w:rsid w:val="007503DA"/>
    <w:rsid w:val="00750866"/>
    <w:rsid w:val="007514DD"/>
    <w:rsid w:val="00751AFC"/>
    <w:rsid w:val="00751E6A"/>
    <w:rsid w:val="007574D8"/>
    <w:rsid w:val="0076246C"/>
    <w:rsid w:val="00762636"/>
    <w:rsid w:val="0076278F"/>
    <w:rsid w:val="00766E7B"/>
    <w:rsid w:val="00767AC9"/>
    <w:rsid w:val="0077607D"/>
    <w:rsid w:val="00781F03"/>
    <w:rsid w:val="00783554"/>
    <w:rsid w:val="007874F2"/>
    <w:rsid w:val="00787626"/>
    <w:rsid w:val="007905F1"/>
    <w:rsid w:val="0079114D"/>
    <w:rsid w:val="00791C20"/>
    <w:rsid w:val="00791E82"/>
    <w:rsid w:val="00795002"/>
    <w:rsid w:val="00795983"/>
    <w:rsid w:val="00797C7F"/>
    <w:rsid w:val="007A0E4D"/>
    <w:rsid w:val="007A1360"/>
    <w:rsid w:val="007A341F"/>
    <w:rsid w:val="007A41D3"/>
    <w:rsid w:val="007A6308"/>
    <w:rsid w:val="007A6EB9"/>
    <w:rsid w:val="007A73BD"/>
    <w:rsid w:val="007B0F7D"/>
    <w:rsid w:val="007B7BB0"/>
    <w:rsid w:val="007B7E20"/>
    <w:rsid w:val="007C6399"/>
    <w:rsid w:val="007C6FF1"/>
    <w:rsid w:val="007D358E"/>
    <w:rsid w:val="007D5266"/>
    <w:rsid w:val="007D6B10"/>
    <w:rsid w:val="007D79C9"/>
    <w:rsid w:val="007E0F9B"/>
    <w:rsid w:val="007E3F7C"/>
    <w:rsid w:val="007E40F8"/>
    <w:rsid w:val="007E4391"/>
    <w:rsid w:val="007E6824"/>
    <w:rsid w:val="007F2F3C"/>
    <w:rsid w:val="007F2FA5"/>
    <w:rsid w:val="0080035B"/>
    <w:rsid w:val="00802A54"/>
    <w:rsid w:val="00805D0F"/>
    <w:rsid w:val="008109FB"/>
    <w:rsid w:val="008118B0"/>
    <w:rsid w:val="00813320"/>
    <w:rsid w:val="008135CD"/>
    <w:rsid w:val="00813847"/>
    <w:rsid w:val="0081581D"/>
    <w:rsid w:val="00817073"/>
    <w:rsid w:val="0082055F"/>
    <w:rsid w:val="00820F0F"/>
    <w:rsid w:val="00821BA0"/>
    <w:rsid w:val="008220D0"/>
    <w:rsid w:val="00822AB3"/>
    <w:rsid w:val="00830031"/>
    <w:rsid w:val="00830B8E"/>
    <w:rsid w:val="00837056"/>
    <w:rsid w:val="00842B6A"/>
    <w:rsid w:val="00845C3A"/>
    <w:rsid w:val="0084617F"/>
    <w:rsid w:val="00855830"/>
    <w:rsid w:val="00857005"/>
    <w:rsid w:val="00857A9A"/>
    <w:rsid w:val="00863115"/>
    <w:rsid w:val="00865F33"/>
    <w:rsid w:val="00871648"/>
    <w:rsid w:val="0087220F"/>
    <w:rsid w:val="00872691"/>
    <w:rsid w:val="00876667"/>
    <w:rsid w:val="00876E9D"/>
    <w:rsid w:val="00883E7B"/>
    <w:rsid w:val="0088513A"/>
    <w:rsid w:val="00885C90"/>
    <w:rsid w:val="00885E50"/>
    <w:rsid w:val="00890A8C"/>
    <w:rsid w:val="00892FCF"/>
    <w:rsid w:val="00895B97"/>
    <w:rsid w:val="008A05B6"/>
    <w:rsid w:val="008A256E"/>
    <w:rsid w:val="008A2DFE"/>
    <w:rsid w:val="008B0D83"/>
    <w:rsid w:val="008B4D66"/>
    <w:rsid w:val="008B51DE"/>
    <w:rsid w:val="008C0458"/>
    <w:rsid w:val="008C1AF7"/>
    <w:rsid w:val="008C319A"/>
    <w:rsid w:val="008C34B4"/>
    <w:rsid w:val="008C36E6"/>
    <w:rsid w:val="008C3DF7"/>
    <w:rsid w:val="008C3FEE"/>
    <w:rsid w:val="008C45E6"/>
    <w:rsid w:val="008C7803"/>
    <w:rsid w:val="008D1857"/>
    <w:rsid w:val="008D2E18"/>
    <w:rsid w:val="008D4B88"/>
    <w:rsid w:val="008D6205"/>
    <w:rsid w:val="008D7310"/>
    <w:rsid w:val="008D7E01"/>
    <w:rsid w:val="008E0170"/>
    <w:rsid w:val="008E25BA"/>
    <w:rsid w:val="008E3563"/>
    <w:rsid w:val="008E35A7"/>
    <w:rsid w:val="008E6BA7"/>
    <w:rsid w:val="008E7DD4"/>
    <w:rsid w:val="008F0D11"/>
    <w:rsid w:val="008F0EA1"/>
    <w:rsid w:val="008F373F"/>
    <w:rsid w:val="008F3F3B"/>
    <w:rsid w:val="008F556A"/>
    <w:rsid w:val="008F6E38"/>
    <w:rsid w:val="009017AE"/>
    <w:rsid w:val="00903743"/>
    <w:rsid w:val="00922D3A"/>
    <w:rsid w:val="00923197"/>
    <w:rsid w:val="009233F2"/>
    <w:rsid w:val="00925C3E"/>
    <w:rsid w:val="0092736F"/>
    <w:rsid w:val="009343E5"/>
    <w:rsid w:val="009350C2"/>
    <w:rsid w:val="00937648"/>
    <w:rsid w:val="00940D6B"/>
    <w:rsid w:val="00940F6C"/>
    <w:rsid w:val="009417BF"/>
    <w:rsid w:val="009452E7"/>
    <w:rsid w:val="00945CBE"/>
    <w:rsid w:val="00946C4E"/>
    <w:rsid w:val="00947346"/>
    <w:rsid w:val="00953D77"/>
    <w:rsid w:val="00954C32"/>
    <w:rsid w:val="00957837"/>
    <w:rsid w:val="00957B8D"/>
    <w:rsid w:val="00962FA6"/>
    <w:rsid w:val="0096708B"/>
    <w:rsid w:val="00967927"/>
    <w:rsid w:val="00967D4A"/>
    <w:rsid w:val="00973A82"/>
    <w:rsid w:val="00984D78"/>
    <w:rsid w:val="00986770"/>
    <w:rsid w:val="009912E0"/>
    <w:rsid w:val="00991A84"/>
    <w:rsid w:val="009B12F1"/>
    <w:rsid w:val="009B29EC"/>
    <w:rsid w:val="009B30AD"/>
    <w:rsid w:val="009C64F1"/>
    <w:rsid w:val="009D17AD"/>
    <w:rsid w:val="009D27CD"/>
    <w:rsid w:val="009D3B19"/>
    <w:rsid w:val="009D3B3E"/>
    <w:rsid w:val="009D4016"/>
    <w:rsid w:val="009D4B67"/>
    <w:rsid w:val="009D73E0"/>
    <w:rsid w:val="009E07ED"/>
    <w:rsid w:val="009E0C43"/>
    <w:rsid w:val="009E26E9"/>
    <w:rsid w:val="009E562E"/>
    <w:rsid w:val="009E6A69"/>
    <w:rsid w:val="009E6E9F"/>
    <w:rsid w:val="009F5269"/>
    <w:rsid w:val="009F7DD0"/>
    <w:rsid w:val="00A0517B"/>
    <w:rsid w:val="00A05A0E"/>
    <w:rsid w:val="00A10843"/>
    <w:rsid w:val="00A15B43"/>
    <w:rsid w:val="00A2553A"/>
    <w:rsid w:val="00A270EF"/>
    <w:rsid w:val="00A351A1"/>
    <w:rsid w:val="00A36804"/>
    <w:rsid w:val="00A46AF6"/>
    <w:rsid w:val="00A475EC"/>
    <w:rsid w:val="00A500F7"/>
    <w:rsid w:val="00A516D7"/>
    <w:rsid w:val="00A5607B"/>
    <w:rsid w:val="00A563FE"/>
    <w:rsid w:val="00A574AA"/>
    <w:rsid w:val="00A60C8F"/>
    <w:rsid w:val="00A63729"/>
    <w:rsid w:val="00A63DE4"/>
    <w:rsid w:val="00A64FE7"/>
    <w:rsid w:val="00A6630B"/>
    <w:rsid w:val="00A71B45"/>
    <w:rsid w:val="00A71EF3"/>
    <w:rsid w:val="00A72FE8"/>
    <w:rsid w:val="00A74F6D"/>
    <w:rsid w:val="00A76CA7"/>
    <w:rsid w:val="00A81F67"/>
    <w:rsid w:val="00A83A63"/>
    <w:rsid w:val="00A84074"/>
    <w:rsid w:val="00A84745"/>
    <w:rsid w:val="00A84C7A"/>
    <w:rsid w:val="00A85516"/>
    <w:rsid w:val="00A860CF"/>
    <w:rsid w:val="00A86E60"/>
    <w:rsid w:val="00A90948"/>
    <w:rsid w:val="00A93140"/>
    <w:rsid w:val="00A95B35"/>
    <w:rsid w:val="00A96CB1"/>
    <w:rsid w:val="00AA2D17"/>
    <w:rsid w:val="00AA2E1F"/>
    <w:rsid w:val="00AA3912"/>
    <w:rsid w:val="00AB0AE0"/>
    <w:rsid w:val="00AB0E6E"/>
    <w:rsid w:val="00AB1A77"/>
    <w:rsid w:val="00AB3176"/>
    <w:rsid w:val="00AB5497"/>
    <w:rsid w:val="00AC06BE"/>
    <w:rsid w:val="00AC071D"/>
    <w:rsid w:val="00AC09EF"/>
    <w:rsid w:val="00AC3ABB"/>
    <w:rsid w:val="00AC4831"/>
    <w:rsid w:val="00AD0802"/>
    <w:rsid w:val="00AE1B3E"/>
    <w:rsid w:val="00AE3C2B"/>
    <w:rsid w:val="00AE4036"/>
    <w:rsid w:val="00AE594E"/>
    <w:rsid w:val="00AF4402"/>
    <w:rsid w:val="00AF5464"/>
    <w:rsid w:val="00AF5B24"/>
    <w:rsid w:val="00AF5C5F"/>
    <w:rsid w:val="00AF5CA0"/>
    <w:rsid w:val="00AF634A"/>
    <w:rsid w:val="00B00384"/>
    <w:rsid w:val="00B00F86"/>
    <w:rsid w:val="00B02DB8"/>
    <w:rsid w:val="00B05CFC"/>
    <w:rsid w:val="00B16B34"/>
    <w:rsid w:val="00B247C3"/>
    <w:rsid w:val="00B25C5C"/>
    <w:rsid w:val="00B25D25"/>
    <w:rsid w:val="00B25D9A"/>
    <w:rsid w:val="00B32E05"/>
    <w:rsid w:val="00B35C27"/>
    <w:rsid w:val="00B35FEB"/>
    <w:rsid w:val="00B362EA"/>
    <w:rsid w:val="00B37719"/>
    <w:rsid w:val="00B41A1A"/>
    <w:rsid w:val="00B43E0C"/>
    <w:rsid w:val="00B4411E"/>
    <w:rsid w:val="00B454DD"/>
    <w:rsid w:val="00B47E54"/>
    <w:rsid w:val="00B517BE"/>
    <w:rsid w:val="00B52AC1"/>
    <w:rsid w:val="00B54EDF"/>
    <w:rsid w:val="00B5553E"/>
    <w:rsid w:val="00B55D92"/>
    <w:rsid w:val="00B5700D"/>
    <w:rsid w:val="00B57823"/>
    <w:rsid w:val="00B57CE5"/>
    <w:rsid w:val="00B62797"/>
    <w:rsid w:val="00B62B27"/>
    <w:rsid w:val="00B636C7"/>
    <w:rsid w:val="00B676C3"/>
    <w:rsid w:val="00B678C8"/>
    <w:rsid w:val="00B7181D"/>
    <w:rsid w:val="00B7187F"/>
    <w:rsid w:val="00B722A6"/>
    <w:rsid w:val="00B75474"/>
    <w:rsid w:val="00B76515"/>
    <w:rsid w:val="00B779BB"/>
    <w:rsid w:val="00B81B2C"/>
    <w:rsid w:val="00B81DBB"/>
    <w:rsid w:val="00B8510E"/>
    <w:rsid w:val="00B8612D"/>
    <w:rsid w:val="00B879CB"/>
    <w:rsid w:val="00B924AC"/>
    <w:rsid w:val="00B95F36"/>
    <w:rsid w:val="00B97472"/>
    <w:rsid w:val="00BA2EDB"/>
    <w:rsid w:val="00BA3266"/>
    <w:rsid w:val="00BA4783"/>
    <w:rsid w:val="00BA4DBB"/>
    <w:rsid w:val="00BB238D"/>
    <w:rsid w:val="00BB2645"/>
    <w:rsid w:val="00BB2B2E"/>
    <w:rsid w:val="00BB49F7"/>
    <w:rsid w:val="00BB5D1B"/>
    <w:rsid w:val="00BC1434"/>
    <w:rsid w:val="00BC5BFF"/>
    <w:rsid w:val="00BC5D5A"/>
    <w:rsid w:val="00BC63BA"/>
    <w:rsid w:val="00BC6AB5"/>
    <w:rsid w:val="00BD2BDD"/>
    <w:rsid w:val="00BD36CD"/>
    <w:rsid w:val="00BD37AD"/>
    <w:rsid w:val="00BE056D"/>
    <w:rsid w:val="00BE0A3D"/>
    <w:rsid w:val="00BE1B3A"/>
    <w:rsid w:val="00BE1B6F"/>
    <w:rsid w:val="00BE3650"/>
    <w:rsid w:val="00BE4FC7"/>
    <w:rsid w:val="00BE5449"/>
    <w:rsid w:val="00BF0ED5"/>
    <w:rsid w:val="00BF7203"/>
    <w:rsid w:val="00C0265D"/>
    <w:rsid w:val="00C03279"/>
    <w:rsid w:val="00C03B4D"/>
    <w:rsid w:val="00C07475"/>
    <w:rsid w:val="00C07B4E"/>
    <w:rsid w:val="00C10382"/>
    <w:rsid w:val="00C11318"/>
    <w:rsid w:val="00C11983"/>
    <w:rsid w:val="00C20534"/>
    <w:rsid w:val="00C21DBC"/>
    <w:rsid w:val="00C21E3B"/>
    <w:rsid w:val="00C22386"/>
    <w:rsid w:val="00C257E9"/>
    <w:rsid w:val="00C25FCB"/>
    <w:rsid w:val="00C2735E"/>
    <w:rsid w:val="00C333A7"/>
    <w:rsid w:val="00C34151"/>
    <w:rsid w:val="00C34BE9"/>
    <w:rsid w:val="00C35E51"/>
    <w:rsid w:val="00C35E52"/>
    <w:rsid w:val="00C35F8B"/>
    <w:rsid w:val="00C37CBD"/>
    <w:rsid w:val="00C41023"/>
    <w:rsid w:val="00C42DD6"/>
    <w:rsid w:val="00C442CA"/>
    <w:rsid w:val="00C46A80"/>
    <w:rsid w:val="00C47004"/>
    <w:rsid w:val="00C54247"/>
    <w:rsid w:val="00C567D1"/>
    <w:rsid w:val="00C600E9"/>
    <w:rsid w:val="00C63202"/>
    <w:rsid w:val="00C63536"/>
    <w:rsid w:val="00C6469C"/>
    <w:rsid w:val="00C7077D"/>
    <w:rsid w:val="00C73882"/>
    <w:rsid w:val="00C7735E"/>
    <w:rsid w:val="00C8154B"/>
    <w:rsid w:val="00C81C40"/>
    <w:rsid w:val="00C830AC"/>
    <w:rsid w:val="00C917D9"/>
    <w:rsid w:val="00CA1432"/>
    <w:rsid w:val="00CA148D"/>
    <w:rsid w:val="00CA59C1"/>
    <w:rsid w:val="00CB0059"/>
    <w:rsid w:val="00CB1746"/>
    <w:rsid w:val="00CB1A5B"/>
    <w:rsid w:val="00CB1AB7"/>
    <w:rsid w:val="00CB2CA2"/>
    <w:rsid w:val="00CB595C"/>
    <w:rsid w:val="00CC131E"/>
    <w:rsid w:val="00CD1860"/>
    <w:rsid w:val="00CD3615"/>
    <w:rsid w:val="00CD369B"/>
    <w:rsid w:val="00CD6865"/>
    <w:rsid w:val="00CE0082"/>
    <w:rsid w:val="00CE2EF7"/>
    <w:rsid w:val="00CF1033"/>
    <w:rsid w:val="00CF1FC1"/>
    <w:rsid w:val="00CF2935"/>
    <w:rsid w:val="00CF2D01"/>
    <w:rsid w:val="00CF3D9A"/>
    <w:rsid w:val="00D027A0"/>
    <w:rsid w:val="00D06989"/>
    <w:rsid w:val="00D07D07"/>
    <w:rsid w:val="00D10432"/>
    <w:rsid w:val="00D165FB"/>
    <w:rsid w:val="00D179A8"/>
    <w:rsid w:val="00D2402D"/>
    <w:rsid w:val="00D252A0"/>
    <w:rsid w:val="00D2553C"/>
    <w:rsid w:val="00D27EFC"/>
    <w:rsid w:val="00D30152"/>
    <w:rsid w:val="00D30DF4"/>
    <w:rsid w:val="00D34427"/>
    <w:rsid w:val="00D34C39"/>
    <w:rsid w:val="00D35661"/>
    <w:rsid w:val="00D37698"/>
    <w:rsid w:val="00D37D55"/>
    <w:rsid w:val="00D41B6B"/>
    <w:rsid w:val="00D5228A"/>
    <w:rsid w:val="00D66D72"/>
    <w:rsid w:val="00D740F8"/>
    <w:rsid w:val="00D777FE"/>
    <w:rsid w:val="00D80395"/>
    <w:rsid w:val="00D8159C"/>
    <w:rsid w:val="00D81F1B"/>
    <w:rsid w:val="00D82603"/>
    <w:rsid w:val="00D86BB1"/>
    <w:rsid w:val="00D90A7D"/>
    <w:rsid w:val="00D93C83"/>
    <w:rsid w:val="00D949C0"/>
    <w:rsid w:val="00D9566C"/>
    <w:rsid w:val="00D972D6"/>
    <w:rsid w:val="00D97B2B"/>
    <w:rsid w:val="00DA642C"/>
    <w:rsid w:val="00DA68C3"/>
    <w:rsid w:val="00DA708A"/>
    <w:rsid w:val="00DA72E4"/>
    <w:rsid w:val="00DB14F9"/>
    <w:rsid w:val="00DB43F7"/>
    <w:rsid w:val="00DB5192"/>
    <w:rsid w:val="00DB5DC6"/>
    <w:rsid w:val="00DC2F15"/>
    <w:rsid w:val="00DC4791"/>
    <w:rsid w:val="00DC4B93"/>
    <w:rsid w:val="00DD07BC"/>
    <w:rsid w:val="00DD486A"/>
    <w:rsid w:val="00DD6446"/>
    <w:rsid w:val="00DE4F82"/>
    <w:rsid w:val="00DE7D1F"/>
    <w:rsid w:val="00DF073A"/>
    <w:rsid w:val="00DF1C0A"/>
    <w:rsid w:val="00DF26F8"/>
    <w:rsid w:val="00DF64E2"/>
    <w:rsid w:val="00E01F01"/>
    <w:rsid w:val="00E034CE"/>
    <w:rsid w:val="00E06B8E"/>
    <w:rsid w:val="00E10202"/>
    <w:rsid w:val="00E1056D"/>
    <w:rsid w:val="00E13790"/>
    <w:rsid w:val="00E15699"/>
    <w:rsid w:val="00E204D1"/>
    <w:rsid w:val="00E21E63"/>
    <w:rsid w:val="00E23A25"/>
    <w:rsid w:val="00E255D7"/>
    <w:rsid w:val="00E25908"/>
    <w:rsid w:val="00E2716B"/>
    <w:rsid w:val="00E30AA8"/>
    <w:rsid w:val="00E310F4"/>
    <w:rsid w:val="00E31FD4"/>
    <w:rsid w:val="00E34AFC"/>
    <w:rsid w:val="00E37DDC"/>
    <w:rsid w:val="00E462B2"/>
    <w:rsid w:val="00E5034C"/>
    <w:rsid w:val="00E52857"/>
    <w:rsid w:val="00E5712E"/>
    <w:rsid w:val="00E573E2"/>
    <w:rsid w:val="00E57855"/>
    <w:rsid w:val="00E63EBF"/>
    <w:rsid w:val="00E64DBA"/>
    <w:rsid w:val="00E668D7"/>
    <w:rsid w:val="00E70EE6"/>
    <w:rsid w:val="00E8099A"/>
    <w:rsid w:val="00E828E7"/>
    <w:rsid w:val="00E83BD7"/>
    <w:rsid w:val="00E91F5B"/>
    <w:rsid w:val="00E9221D"/>
    <w:rsid w:val="00E9688B"/>
    <w:rsid w:val="00EA181C"/>
    <w:rsid w:val="00EA1EDC"/>
    <w:rsid w:val="00EA5FF0"/>
    <w:rsid w:val="00EB66D3"/>
    <w:rsid w:val="00EC4A4F"/>
    <w:rsid w:val="00EC67E2"/>
    <w:rsid w:val="00ED53FA"/>
    <w:rsid w:val="00ED5837"/>
    <w:rsid w:val="00ED7571"/>
    <w:rsid w:val="00ED7DF9"/>
    <w:rsid w:val="00EE6113"/>
    <w:rsid w:val="00EE72F8"/>
    <w:rsid w:val="00EF1B00"/>
    <w:rsid w:val="00EF72A3"/>
    <w:rsid w:val="00F0377C"/>
    <w:rsid w:val="00F03A54"/>
    <w:rsid w:val="00F04C17"/>
    <w:rsid w:val="00F074C8"/>
    <w:rsid w:val="00F075B3"/>
    <w:rsid w:val="00F10F30"/>
    <w:rsid w:val="00F12C1E"/>
    <w:rsid w:val="00F157D7"/>
    <w:rsid w:val="00F17085"/>
    <w:rsid w:val="00F20195"/>
    <w:rsid w:val="00F257E9"/>
    <w:rsid w:val="00F30E17"/>
    <w:rsid w:val="00F3256B"/>
    <w:rsid w:val="00F33A9D"/>
    <w:rsid w:val="00F366C1"/>
    <w:rsid w:val="00F374B0"/>
    <w:rsid w:val="00F37DFB"/>
    <w:rsid w:val="00F4144B"/>
    <w:rsid w:val="00F425AD"/>
    <w:rsid w:val="00F4341A"/>
    <w:rsid w:val="00F47FBC"/>
    <w:rsid w:val="00F54480"/>
    <w:rsid w:val="00F61EB1"/>
    <w:rsid w:val="00F62956"/>
    <w:rsid w:val="00F62C05"/>
    <w:rsid w:val="00F63095"/>
    <w:rsid w:val="00F6577F"/>
    <w:rsid w:val="00F7111B"/>
    <w:rsid w:val="00F712DC"/>
    <w:rsid w:val="00F73700"/>
    <w:rsid w:val="00F75D1C"/>
    <w:rsid w:val="00F762AF"/>
    <w:rsid w:val="00F80B47"/>
    <w:rsid w:val="00F820AA"/>
    <w:rsid w:val="00F85C79"/>
    <w:rsid w:val="00F86C49"/>
    <w:rsid w:val="00F90DC9"/>
    <w:rsid w:val="00F91C09"/>
    <w:rsid w:val="00F9393D"/>
    <w:rsid w:val="00F93D21"/>
    <w:rsid w:val="00F9461E"/>
    <w:rsid w:val="00F949DF"/>
    <w:rsid w:val="00F9663F"/>
    <w:rsid w:val="00F9724C"/>
    <w:rsid w:val="00FA096C"/>
    <w:rsid w:val="00FA3202"/>
    <w:rsid w:val="00FA4518"/>
    <w:rsid w:val="00FA699C"/>
    <w:rsid w:val="00FB1318"/>
    <w:rsid w:val="00FB6FE1"/>
    <w:rsid w:val="00FB6FF5"/>
    <w:rsid w:val="00FB7F15"/>
    <w:rsid w:val="00FC39B9"/>
    <w:rsid w:val="00FC3B05"/>
    <w:rsid w:val="00FD020F"/>
    <w:rsid w:val="00FD294E"/>
    <w:rsid w:val="00FD48B6"/>
    <w:rsid w:val="00FE13DE"/>
    <w:rsid w:val="00FE1A56"/>
    <w:rsid w:val="00FE23E8"/>
    <w:rsid w:val="00FE2932"/>
    <w:rsid w:val="00FE3EBD"/>
    <w:rsid w:val="00FE5B84"/>
    <w:rsid w:val="00FF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D9A"/>
    <w:rPr>
      <w:color w:val="0000FF"/>
      <w:u w:val="single"/>
    </w:rPr>
  </w:style>
  <w:style w:type="character" w:styleId="FollowedHyperlink">
    <w:name w:val="FollowedHyperlink"/>
    <w:basedOn w:val="DefaultParagraphFont"/>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table" w:styleId="TableColumns1">
    <w:name w:val="Table Columns 1"/>
    <w:basedOn w:val="TableNormal"/>
    <w:rsid w:val="00603CD0"/>
    <w:pPr>
      <w:tabs>
        <w:tab w:val="left" w:pos="1260"/>
        <w:tab w:val="left" w:pos="1980"/>
        <w:tab w:val="left" w:pos="2700"/>
        <w:tab w:val="left" w:pos="3420"/>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B0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D9A"/>
    <w:rPr>
      <w:color w:val="0000FF"/>
      <w:u w:val="single"/>
    </w:rPr>
  </w:style>
  <w:style w:type="character" w:styleId="FollowedHyperlink">
    <w:name w:val="FollowedHyperlink"/>
    <w:basedOn w:val="DefaultParagraphFont"/>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table" w:styleId="TableColumns1">
    <w:name w:val="Table Columns 1"/>
    <w:basedOn w:val="TableNormal"/>
    <w:rsid w:val="00603CD0"/>
    <w:pPr>
      <w:tabs>
        <w:tab w:val="left" w:pos="1260"/>
        <w:tab w:val="left" w:pos="1980"/>
        <w:tab w:val="left" w:pos="2700"/>
        <w:tab w:val="left" w:pos="3420"/>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B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6729">
      <w:bodyDiv w:val="1"/>
      <w:marLeft w:val="0"/>
      <w:marRight w:val="0"/>
      <w:marTop w:val="0"/>
      <w:marBottom w:val="0"/>
      <w:divBdr>
        <w:top w:val="none" w:sz="0" w:space="0" w:color="auto"/>
        <w:left w:val="none" w:sz="0" w:space="0" w:color="auto"/>
        <w:bottom w:val="none" w:sz="0" w:space="0" w:color="auto"/>
        <w:right w:val="none" w:sz="0" w:space="0" w:color="auto"/>
      </w:divBdr>
    </w:div>
    <w:div w:id="199628889">
      <w:bodyDiv w:val="1"/>
      <w:marLeft w:val="0"/>
      <w:marRight w:val="0"/>
      <w:marTop w:val="0"/>
      <w:marBottom w:val="0"/>
      <w:divBdr>
        <w:top w:val="none" w:sz="0" w:space="0" w:color="auto"/>
        <w:left w:val="none" w:sz="0" w:space="0" w:color="auto"/>
        <w:bottom w:val="none" w:sz="0" w:space="0" w:color="auto"/>
        <w:right w:val="none" w:sz="0" w:space="0" w:color="auto"/>
      </w:divBdr>
    </w:div>
    <w:div w:id="233899063">
      <w:bodyDiv w:val="1"/>
      <w:marLeft w:val="0"/>
      <w:marRight w:val="0"/>
      <w:marTop w:val="0"/>
      <w:marBottom w:val="0"/>
      <w:divBdr>
        <w:top w:val="none" w:sz="0" w:space="0" w:color="auto"/>
        <w:left w:val="none" w:sz="0" w:space="0" w:color="auto"/>
        <w:bottom w:val="none" w:sz="0" w:space="0" w:color="auto"/>
        <w:right w:val="none" w:sz="0" w:space="0" w:color="auto"/>
      </w:divBdr>
    </w:div>
    <w:div w:id="349989632">
      <w:bodyDiv w:val="1"/>
      <w:marLeft w:val="0"/>
      <w:marRight w:val="0"/>
      <w:marTop w:val="0"/>
      <w:marBottom w:val="0"/>
      <w:divBdr>
        <w:top w:val="none" w:sz="0" w:space="0" w:color="auto"/>
        <w:left w:val="none" w:sz="0" w:space="0" w:color="auto"/>
        <w:bottom w:val="none" w:sz="0" w:space="0" w:color="auto"/>
        <w:right w:val="none" w:sz="0" w:space="0" w:color="auto"/>
      </w:divBdr>
    </w:div>
    <w:div w:id="365061373">
      <w:bodyDiv w:val="1"/>
      <w:marLeft w:val="0"/>
      <w:marRight w:val="0"/>
      <w:marTop w:val="0"/>
      <w:marBottom w:val="0"/>
      <w:divBdr>
        <w:top w:val="none" w:sz="0" w:space="0" w:color="auto"/>
        <w:left w:val="none" w:sz="0" w:space="0" w:color="auto"/>
        <w:bottom w:val="none" w:sz="0" w:space="0" w:color="auto"/>
        <w:right w:val="none" w:sz="0" w:space="0" w:color="auto"/>
      </w:divBdr>
    </w:div>
    <w:div w:id="438598205">
      <w:bodyDiv w:val="1"/>
      <w:marLeft w:val="0"/>
      <w:marRight w:val="0"/>
      <w:marTop w:val="0"/>
      <w:marBottom w:val="0"/>
      <w:divBdr>
        <w:top w:val="none" w:sz="0" w:space="0" w:color="auto"/>
        <w:left w:val="none" w:sz="0" w:space="0" w:color="auto"/>
        <w:bottom w:val="none" w:sz="0" w:space="0" w:color="auto"/>
        <w:right w:val="none" w:sz="0" w:space="0" w:color="auto"/>
      </w:divBdr>
    </w:div>
    <w:div w:id="551576044">
      <w:bodyDiv w:val="1"/>
      <w:marLeft w:val="0"/>
      <w:marRight w:val="0"/>
      <w:marTop w:val="0"/>
      <w:marBottom w:val="0"/>
      <w:divBdr>
        <w:top w:val="none" w:sz="0" w:space="0" w:color="auto"/>
        <w:left w:val="none" w:sz="0" w:space="0" w:color="auto"/>
        <w:bottom w:val="none" w:sz="0" w:space="0" w:color="auto"/>
        <w:right w:val="none" w:sz="0" w:space="0" w:color="auto"/>
      </w:divBdr>
    </w:div>
    <w:div w:id="755712809">
      <w:bodyDiv w:val="1"/>
      <w:marLeft w:val="0"/>
      <w:marRight w:val="0"/>
      <w:marTop w:val="0"/>
      <w:marBottom w:val="0"/>
      <w:divBdr>
        <w:top w:val="none" w:sz="0" w:space="0" w:color="auto"/>
        <w:left w:val="none" w:sz="0" w:space="0" w:color="auto"/>
        <w:bottom w:val="none" w:sz="0" w:space="0" w:color="auto"/>
        <w:right w:val="none" w:sz="0" w:space="0" w:color="auto"/>
      </w:divBdr>
    </w:div>
    <w:div w:id="765658207">
      <w:bodyDiv w:val="1"/>
      <w:marLeft w:val="0"/>
      <w:marRight w:val="0"/>
      <w:marTop w:val="0"/>
      <w:marBottom w:val="0"/>
      <w:divBdr>
        <w:top w:val="none" w:sz="0" w:space="0" w:color="auto"/>
        <w:left w:val="none" w:sz="0" w:space="0" w:color="auto"/>
        <w:bottom w:val="none" w:sz="0" w:space="0" w:color="auto"/>
        <w:right w:val="none" w:sz="0" w:space="0" w:color="auto"/>
      </w:divBdr>
    </w:div>
    <w:div w:id="787771569">
      <w:bodyDiv w:val="1"/>
      <w:marLeft w:val="0"/>
      <w:marRight w:val="0"/>
      <w:marTop w:val="0"/>
      <w:marBottom w:val="0"/>
      <w:divBdr>
        <w:top w:val="none" w:sz="0" w:space="0" w:color="auto"/>
        <w:left w:val="none" w:sz="0" w:space="0" w:color="auto"/>
        <w:bottom w:val="none" w:sz="0" w:space="0" w:color="auto"/>
        <w:right w:val="none" w:sz="0" w:space="0" w:color="auto"/>
      </w:divBdr>
    </w:div>
    <w:div w:id="1464347659">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36125">
      <w:bodyDiv w:val="1"/>
      <w:marLeft w:val="0"/>
      <w:marRight w:val="0"/>
      <w:marTop w:val="0"/>
      <w:marBottom w:val="0"/>
      <w:divBdr>
        <w:top w:val="none" w:sz="0" w:space="0" w:color="auto"/>
        <w:left w:val="none" w:sz="0" w:space="0" w:color="auto"/>
        <w:bottom w:val="none" w:sz="0" w:space="0" w:color="auto"/>
        <w:right w:val="none" w:sz="0" w:space="0" w:color="auto"/>
      </w:divBdr>
    </w:div>
    <w:div w:id="1624115610">
      <w:bodyDiv w:val="1"/>
      <w:marLeft w:val="0"/>
      <w:marRight w:val="0"/>
      <w:marTop w:val="0"/>
      <w:marBottom w:val="0"/>
      <w:divBdr>
        <w:top w:val="none" w:sz="0" w:space="0" w:color="auto"/>
        <w:left w:val="none" w:sz="0" w:space="0" w:color="auto"/>
        <w:bottom w:val="none" w:sz="0" w:space="0" w:color="auto"/>
        <w:right w:val="none" w:sz="0" w:space="0" w:color="auto"/>
      </w:divBdr>
    </w:div>
    <w:div w:id="1816949539">
      <w:bodyDiv w:val="1"/>
      <w:marLeft w:val="0"/>
      <w:marRight w:val="0"/>
      <w:marTop w:val="0"/>
      <w:marBottom w:val="0"/>
      <w:divBdr>
        <w:top w:val="none" w:sz="0" w:space="0" w:color="auto"/>
        <w:left w:val="none" w:sz="0" w:space="0" w:color="auto"/>
        <w:bottom w:val="none" w:sz="0" w:space="0" w:color="auto"/>
        <w:right w:val="none" w:sz="0" w:space="0" w:color="auto"/>
      </w:divBdr>
    </w:div>
    <w:div w:id="2032106841">
      <w:bodyDiv w:val="1"/>
      <w:marLeft w:val="0"/>
      <w:marRight w:val="0"/>
      <w:marTop w:val="0"/>
      <w:marBottom w:val="0"/>
      <w:divBdr>
        <w:top w:val="none" w:sz="0" w:space="0" w:color="auto"/>
        <w:left w:val="none" w:sz="0" w:space="0" w:color="auto"/>
        <w:bottom w:val="none" w:sz="0" w:space="0" w:color="auto"/>
        <w:right w:val="none" w:sz="0" w:space="0" w:color="auto"/>
      </w:divBdr>
    </w:div>
    <w:div w:id="20470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32" Type="http://schemas.openxmlformats.org/officeDocument/2006/relationships/image" Target="media/image2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8.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20.emf"/><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Original budget</c:v>
                </c:pt>
              </c:strCache>
            </c:strRef>
          </c:tx>
          <c:cat>
            <c:strRef>
              <c:f>Sheet1!$A$2:$A$6</c:f>
              <c:strCache>
                <c:ptCount val="5"/>
                <c:pt idx="0">
                  <c:v>0</c:v>
                </c:pt>
                <c:pt idx="1">
                  <c:v>Quarter 1</c:v>
                </c:pt>
                <c:pt idx="2">
                  <c:v>Quarter 2</c:v>
                </c:pt>
                <c:pt idx="3">
                  <c:v>Quarter 3</c:v>
                </c:pt>
                <c:pt idx="4">
                  <c:v>Quarter 4</c:v>
                </c:pt>
              </c:strCache>
            </c:strRef>
          </c:cat>
          <c:val>
            <c:numRef>
              <c:f>Sheet1!$B$2:$B$6</c:f>
              <c:numCache>
                <c:formatCode>0.000</c:formatCode>
                <c:ptCount val="5"/>
                <c:pt idx="0">
                  <c:v>10.775</c:v>
                </c:pt>
                <c:pt idx="1">
                  <c:v>10.775</c:v>
                </c:pt>
                <c:pt idx="2">
                  <c:v>10.775</c:v>
                </c:pt>
                <c:pt idx="3">
                  <c:v>10.775</c:v>
                </c:pt>
                <c:pt idx="4">
                  <c:v>10.775</c:v>
                </c:pt>
              </c:numCache>
            </c:numRef>
          </c:val>
          <c:smooth val="0"/>
        </c:ser>
        <c:ser>
          <c:idx val="1"/>
          <c:order val="1"/>
          <c:tx>
            <c:strRef>
              <c:f>Sheet1!$C$1</c:f>
              <c:strCache>
                <c:ptCount val="1"/>
                <c:pt idx="0">
                  <c:v>Latest Approved Budget</c:v>
                </c:pt>
              </c:strCache>
            </c:strRef>
          </c:tx>
          <c:spPr>
            <a:ln>
              <a:prstDash val="solid"/>
            </a:ln>
          </c:spPr>
          <c:dPt>
            <c:idx val="0"/>
            <c:bubble3D val="0"/>
          </c:dPt>
          <c:dPt>
            <c:idx val="1"/>
            <c:bubble3D val="0"/>
          </c:dPt>
          <c:dPt>
            <c:idx val="2"/>
            <c:bubble3D val="0"/>
            <c:spPr>
              <a:ln cmpd="sng">
                <a:prstDash val="solid"/>
              </a:ln>
            </c:spPr>
          </c:dPt>
          <c:cat>
            <c:strRef>
              <c:f>Sheet1!$A$2:$A$6</c:f>
              <c:strCache>
                <c:ptCount val="5"/>
                <c:pt idx="0">
                  <c:v>0</c:v>
                </c:pt>
                <c:pt idx="1">
                  <c:v>Quarter 1</c:v>
                </c:pt>
                <c:pt idx="2">
                  <c:v>Quarter 2</c:v>
                </c:pt>
                <c:pt idx="3">
                  <c:v>Quarter 3</c:v>
                </c:pt>
                <c:pt idx="4">
                  <c:v>Quarter 4</c:v>
                </c:pt>
              </c:strCache>
            </c:strRef>
          </c:cat>
          <c:val>
            <c:numRef>
              <c:f>Sheet1!$C$2:$C$6</c:f>
              <c:numCache>
                <c:formatCode>0.000</c:formatCode>
                <c:ptCount val="5"/>
                <c:pt idx="0">
                  <c:v>10.775</c:v>
                </c:pt>
                <c:pt idx="1">
                  <c:v>11.257</c:v>
                </c:pt>
                <c:pt idx="2">
                  <c:v>11.669</c:v>
                </c:pt>
                <c:pt idx="3">
                  <c:v>11.619</c:v>
                </c:pt>
                <c:pt idx="4">
                  <c:v>11.619</c:v>
                </c:pt>
              </c:numCache>
            </c:numRef>
          </c:val>
          <c:smooth val="0"/>
        </c:ser>
        <c:ser>
          <c:idx val="2"/>
          <c:order val="2"/>
          <c:tx>
            <c:strRef>
              <c:f>Sheet1!$D$1</c:f>
              <c:strCache>
                <c:ptCount val="1"/>
                <c:pt idx="0">
                  <c:v>Forecast Outtrun</c:v>
                </c:pt>
              </c:strCache>
            </c:strRef>
          </c:tx>
          <c:spPr>
            <a:ln>
              <a:solidFill>
                <a:schemeClr val="accent1"/>
              </a:solidFill>
            </a:ln>
          </c:spPr>
          <c:dPt>
            <c:idx val="0"/>
            <c:bubble3D val="0"/>
            <c:spPr>
              <a:ln>
                <a:solidFill>
                  <a:srgbClr val="92D050"/>
                </a:solidFill>
              </a:ln>
            </c:spPr>
          </c:dPt>
          <c:dPt>
            <c:idx val="1"/>
            <c:bubble3D val="0"/>
            <c:spPr>
              <a:ln>
                <a:solidFill>
                  <a:schemeClr val="accent3"/>
                </a:solidFill>
              </a:ln>
            </c:spPr>
          </c:dPt>
          <c:dPt>
            <c:idx val="2"/>
            <c:bubble3D val="0"/>
            <c:spPr>
              <a:ln cmpd="sng">
                <a:solidFill>
                  <a:schemeClr val="accent3"/>
                </a:solidFill>
                <a:prstDash val="solid"/>
              </a:ln>
            </c:spPr>
          </c:dPt>
          <c:dPt>
            <c:idx val="3"/>
            <c:bubble3D val="0"/>
            <c:spPr>
              <a:ln cmpd="sng">
                <a:solidFill>
                  <a:srgbClr val="92D050"/>
                </a:solidFill>
                <a:prstDash val="solid"/>
              </a:ln>
            </c:spPr>
          </c:dPt>
          <c:dPt>
            <c:idx val="4"/>
            <c:bubble3D val="0"/>
            <c:spPr>
              <a:ln>
                <a:solidFill>
                  <a:srgbClr val="92D050"/>
                </a:solidFill>
                <a:prstDash val="dash"/>
              </a:ln>
            </c:spPr>
          </c:dPt>
          <c:cat>
            <c:strRef>
              <c:f>Sheet1!$A$2:$A$6</c:f>
              <c:strCache>
                <c:ptCount val="5"/>
                <c:pt idx="0">
                  <c:v>0</c:v>
                </c:pt>
                <c:pt idx="1">
                  <c:v>Quarter 1</c:v>
                </c:pt>
                <c:pt idx="2">
                  <c:v>Quarter 2</c:v>
                </c:pt>
                <c:pt idx="3">
                  <c:v>Quarter 3</c:v>
                </c:pt>
                <c:pt idx="4">
                  <c:v>Quarter 4</c:v>
                </c:pt>
              </c:strCache>
            </c:strRef>
          </c:cat>
          <c:val>
            <c:numRef>
              <c:f>Sheet1!$D$2:$D$6</c:f>
              <c:numCache>
                <c:formatCode>0.000</c:formatCode>
                <c:ptCount val="5"/>
                <c:pt idx="0">
                  <c:v>10.775</c:v>
                </c:pt>
                <c:pt idx="1">
                  <c:v>11.257</c:v>
                </c:pt>
                <c:pt idx="2">
                  <c:v>11.669</c:v>
                </c:pt>
                <c:pt idx="3">
                  <c:v>11.619</c:v>
                </c:pt>
                <c:pt idx="4">
                  <c:v>11.612</c:v>
                </c:pt>
              </c:numCache>
            </c:numRef>
          </c:val>
          <c:smooth val="0"/>
        </c:ser>
        <c:dLbls>
          <c:showLegendKey val="0"/>
          <c:showVal val="0"/>
          <c:showCatName val="0"/>
          <c:showSerName val="0"/>
          <c:showPercent val="0"/>
          <c:showBubbleSize val="0"/>
        </c:dLbls>
        <c:marker val="1"/>
        <c:smooth val="0"/>
        <c:axId val="43039232"/>
        <c:axId val="42941184"/>
      </c:lineChart>
      <c:catAx>
        <c:axId val="43039232"/>
        <c:scaling>
          <c:orientation val="minMax"/>
        </c:scaling>
        <c:delete val="0"/>
        <c:axPos val="b"/>
        <c:majorTickMark val="out"/>
        <c:minorTickMark val="none"/>
        <c:tickLblPos val="nextTo"/>
        <c:crossAx val="42941184"/>
        <c:crosses val="autoZero"/>
        <c:auto val="1"/>
        <c:lblAlgn val="ctr"/>
        <c:lblOffset val="100"/>
        <c:noMultiLvlLbl val="0"/>
      </c:catAx>
      <c:valAx>
        <c:axId val="42941184"/>
        <c:scaling>
          <c:orientation val="minMax"/>
          <c:min val="10"/>
        </c:scaling>
        <c:delete val="0"/>
        <c:axPos val="l"/>
        <c:majorGridlines>
          <c:spPr>
            <a:ln>
              <a:prstDash val="dash"/>
            </a:ln>
          </c:spPr>
        </c:majorGridlines>
        <c:numFmt formatCode="0.000" sourceLinked="1"/>
        <c:majorTickMark val="out"/>
        <c:minorTickMark val="none"/>
        <c:tickLblPos val="nextTo"/>
        <c:crossAx val="4303923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E7AA-4097-45AC-98D9-2C47A908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1521</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10358</CharactersWithSpaces>
  <SharedDoc>false</SharedDoc>
  <HLinks>
    <vt:vector size="12" baseType="variant">
      <vt:variant>
        <vt:i4>5177441</vt:i4>
      </vt:variant>
      <vt:variant>
        <vt:i4>17</vt:i4>
      </vt:variant>
      <vt:variant>
        <vt:i4>0</vt:i4>
      </vt:variant>
      <vt:variant>
        <vt:i4>5</vt:i4>
      </vt:variant>
      <vt:variant>
        <vt:lpwstr>mailto:accountancy.practice@threerivers.gov.uk</vt:lpwstr>
      </vt:variant>
      <vt:variant>
        <vt:lpwstr/>
      </vt:variant>
      <vt:variant>
        <vt:i4>3080231</vt:i4>
      </vt:variant>
      <vt:variant>
        <vt:i4>12</vt:i4>
      </vt:variant>
      <vt:variant>
        <vt:i4>0</vt:i4>
      </vt:variant>
      <vt:variant>
        <vt:i4>5</vt:i4>
      </vt:variant>
      <vt:variant>
        <vt:lpwstr>http://www.threerivers.gov.uk/Default.aspx/Web/BudgetMonitoringReports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Sarah Haythorpe</cp:lastModifiedBy>
  <cp:revision>4</cp:revision>
  <cp:lastPrinted>2017-03-10T12:47:00Z</cp:lastPrinted>
  <dcterms:created xsi:type="dcterms:W3CDTF">2017-03-09T17:26:00Z</dcterms:created>
  <dcterms:modified xsi:type="dcterms:W3CDTF">2017-03-10T12:53:00Z</dcterms:modified>
</cp:coreProperties>
</file>