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735" w:rsidRDefault="00637735" w:rsidP="00637735">
      <w:pPr>
        <w:outlineLvl w:val="0"/>
        <w:rPr>
          <w:b/>
        </w:rPr>
      </w:pPr>
      <w:bookmarkStart w:id="0" w:name="_GoBack"/>
      <w:bookmarkEnd w:id="0"/>
      <w:r>
        <w:rPr>
          <w:b/>
        </w:rPr>
        <w:t xml:space="preserve">Appendix A – Evaluation </w:t>
      </w:r>
      <w:r w:rsidR="00B8213B">
        <w:rPr>
          <w:b/>
        </w:rPr>
        <w:t xml:space="preserve">Summary Report </w:t>
      </w:r>
      <w:r w:rsidR="00A36355">
        <w:rPr>
          <w:b/>
        </w:rPr>
        <w:t>- Part</w:t>
      </w:r>
      <w:r>
        <w:rPr>
          <w:b/>
        </w:rPr>
        <w:t xml:space="preserve"> 1</w:t>
      </w:r>
    </w:p>
    <w:p w:rsidR="00637735" w:rsidRDefault="00637735" w:rsidP="00916BAC">
      <w:pPr>
        <w:jc w:val="center"/>
        <w:outlineLvl w:val="0"/>
        <w:rPr>
          <w:b/>
        </w:rPr>
      </w:pPr>
    </w:p>
    <w:p w:rsidR="001F20D8" w:rsidRDefault="00916BAC" w:rsidP="00916BAC">
      <w:pPr>
        <w:jc w:val="center"/>
        <w:outlineLvl w:val="0"/>
        <w:rPr>
          <w:b/>
        </w:rPr>
      </w:pPr>
      <w:r>
        <w:rPr>
          <w:b/>
        </w:rPr>
        <w:t>Three Rivers</w:t>
      </w:r>
      <w:r w:rsidR="00A867A5">
        <w:rPr>
          <w:b/>
        </w:rPr>
        <w:t xml:space="preserve"> District Council (</w:t>
      </w:r>
      <w:r>
        <w:rPr>
          <w:b/>
        </w:rPr>
        <w:t>TRDC</w:t>
      </w:r>
      <w:r w:rsidR="00A867A5">
        <w:rPr>
          <w:b/>
        </w:rPr>
        <w:t>)</w:t>
      </w:r>
    </w:p>
    <w:p w:rsidR="00A867A5" w:rsidRDefault="00A867A5" w:rsidP="00916BAC">
      <w:pPr>
        <w:jc w:val="center"/>
        <w:outlineLvl w:val="0"/>
        <w:rPr>
          <w:b/>
        </w:rPr>
      </w:pPr>
      <w:r>
        <w:rPr>
          <w:b/>
        </w:rPr>
        <w:t xml:space="preserve">Invitation to Submit </w:t>
      </w:r>
      <w:r w:rsidR="00977A83">
        <w:rPr>
          <w:b/>
        </w:rPr>
        <w:t>Detailed Solutions (ISDS)</w:t>
      </w:r>
    </w:p>
    <w:p w:rsidR="00A867A5" w:rsidRDefault="00A867A5" w:rsidP="00A867A5">
      <w:pPr>
        <w:jc w:val="center"/>
        <w:rPr>
          <w:b/>
        </w:rPr>
      </w:pPr>
    </w:p>
    <w:p w:rsidR="00A867A5" w:rsidRDefault="000D6D14" w:rsidP="00916BAC">
      <w:pPr>
        <w:jc w:val="center"/>
        <w:outlineLvl w:val="0"/>
        <w:rPr>
          <w:b/>
        </w:rPr>
      </w:pPr>
      <w:r>
        <w:rPr>
          <w:b/>
        </w:rPr>
        <w:t>19</w:t>
      </w:r>
      <w:r w:rsidR="00977A83">
        <w:rPr>
          <w:b/>
        </w:rPr>
        <w:t xml:space="preserve"> December</w:t>
      </w:r>
      <w:r w:rsidR="00A867A5">
        <w:rPr>
          <w:b/>
        </w:rPr>
        <w:t xml:space="preserve"> 2016 </w:t>
      </w:r>
    </w:p>
    <w:p w:rsidR="00A867A5" w:rsidRDefault="00A867A5" w:rsidP="00A867A5">
      <w:pPr>
        <w:jc w:val="center"/>
        <w:rPr>
          <w:b/>
        </w:rPr>
      </w:pPr>
    </w:p>
    <w:p w:rsidR="00A867A5" w:rsidRDefault="00A867A5" w:rsidP="00916BAC">
      <w:pPr>
        <w:outlineLvl w:val="0"/>
        <w:rPr>
          <w:b/>
        </w:rPr>
      </w:pPr>
      <w:r>
        <w:rPr>
          <w:b/>
        </w:rPr>
        <w:t>Introduction</w:t>
      </w:r>
    </w:p>
    <w:p w:rsidR="00A867A5" w:rsidRDefault="00A867A5" w:rsidP="00A867A5">
      <w:pPr>
        <w:rPr>
          <w:b/>
        </w:rPr>
      </w:pPr>
    </w:p>
    <w:p w:rsidR="00A867A5" w:rsidRDefault="00916BAC" w:rsidP="00A867A5">
      <w:r>
        <w:t>TRDC</w:t>
      </w:r>
      <w:r w:rsidR="00A867A5">
        <w:t xml:space="preserve"> has asked </w:t>
      </w:r>
      <w:r w:rsidR="00977A83">
        <w:t>four</w:t>
      </w:r>
      <w:r w:rsidR="00A867A5">
        <w:t xml:space="preserve"> bidders to submit </w:t>
      </w:r>
      <w:r w:rsidR="00977A83">
        <w:t>detailed solutions</w:t>
      </w:r>
      <w:r w:rsidR="00A867A5">
        <w:t xml:space="preserve"> as part of the leisure management procurement </w:t>
      </w:r>
      <w:r w:rsidR="00977A83">
        <w:t xml:space="preserve">following the </w:t>
      </w:r>
      <w:r w:rsidR="007048F6">
        <w:t>pre-qualification</w:t>
      </w:r>
      <w:r w:rsidR="00977A83">
        <w:t xml:space="preserve"> stage, across the three Lots as set out below</w:t>
      </w:r>
      <w:r w:rsidR="00A867A5">
        <w:t>.</w:t>
      </w:r>
    </w:p>
    <w:p w:rsidR="00977A83" w:rsidRDefault="00977A83" w:rsidP="00A867A5"/>
    <w:p w:rsidR="00977A83" w:rsidRDefault="00977A83" w:rsidP="00977A83">
      <w:pPr>
        <w:pStyle w:val="ListParagraph"/>
        <w:numPr>
          <w:ilvl w:val="0"/>
          <w:numId w:val="4"/>
        </w:numPr>
      </w:pPr>
      <w:r>
        <w:t xml:space="preserve">Lot 1 – </w:t>
      </w:r>
      <w:r w:rsidR="00CF3779">
        <w:rPr>
          <w:rFonts w:cs="Arial"/>
          <w:szCs w:val="22"/>
        </w:rPr>
        <w:t xml:space="preserve"> </w:t>
      </w:r>
      <w:r w:rsidR="00CF3779" w:rsidRPr="0063679F">
        <w:rPr>
          <w:rFonts w:cs="Arial"/>
          <w:szCs w:val="22"/>
        </w:rPr>
        <w:t xml:space="preserve">the </w:t>
      </w:r>
      <w:r w:rsidR="00CF3779">
        <w:rPr>
          <w:rFonts w:cs="Arial"/>
          <w:szCs w:val="22"/>
        </w:rPr>
        <w:t xml:space="preserve">South Oxhey Facility Design, Build, Operate &amp; Maintain </w:t>
      </w:r>
      <w:r w:rsidR="00CF3779" w:rsidRPr="0063679F">
        <w:rPr>
          <w:rFonts w:cs="Arial"/>
          <w:szCs w:val="22"/>
        </w:rPr>
        <w:t xml:space="preserve"> </w:t>
      </w:r>
      <w:r>
        <w:t xml:space="preserve">(DBOM) plus leisure management for William Penn and Rickmansworth Golf Course </w:t>
      </w:r>
    </w:p>
    <w:p w:rsidR="00441C4E" w:rsidRDefault="00441C4E" w:rsidP="00977A83">
      <w:pPr>
        <w:pStyle w:val="ListParagraph"/>
        <w:numPr>
          <w:ilvl w:val="0"/>
          <w:numId w:val="4"/>
        </w:numPr>
      </w:pPr>
      <w:r>
        <w:t xml:space="preserve">Lot 2 – </w:t>
      </w:r>
      <w:r w:rsidR="00CF3779">
        <w:t xml:space="preserve">the </w:t>
      </w:r>
      <w:r>
        <w:t xml:space="preserve">South Oxhey </w:t>
      </w:r>
      <w:r w:rsidR="00CF3779">
        <w:t xml:space="preserve">Facility </w:t>
      </w:r>
      <w:r>
        <w:t>DBOM Only</w:t>
      </w:r>
    </w:p>
    <w:p w:rsidR="00441C4E" w:rsidRDefault="00441C4E" w:rsidP="00977A83">
      <w:pPr>
        <w:pStyle w:val="ListParagraph"/>
        <w:numPr>
          <w:ilvl w:val="0"/>
          <w:numId w:val="4"/>
        </w:numPr>
      </w:pPr>
      <w:r>
        <w:t>Lot 3 – Leisure management for William Penn and Rickmansworth Golf Course</w:t>
      </w:r>
    </w:p>
    <w:p w:rsidR="00A867A5" w:rsidRDefault="00A867A5" w:rsidP="00A867A5"/>
    <w:p w:rsidR="00441C4E" w:rsidRDefault="00441C4E" w:rsidP="00A867A5">
      <w:r>
        <w:t>Four</w:t>
      </w:r>
      <w:r w:rsidR="000D6D14">
        <w:t xml:space="preserve"> bids were received</w:t>
      </w:r>
      <w:r w:rsidR="00A867A5">
        <w:t xml:space="preserve"> </w:t>
      </w:r>
      <w:r>
        <w:t xml:space="preserve">for </w:t>
      </w:r>
      <w:r w:rsidR="00EA078C">
        <w:t>Lot</w:t>
      </w:r>
      <w:r>
        <w:t xml:space="preserve"> 1 and three bids each wer</w:t>
      </w:r>
      <w:r w:rsidR="000D6D14">
        <w:t xml:space="preserve">e received for </w:t>
      </w:r>
      <w:r w:rsidR="00EA078C">
        <w:t>Lot</w:t>
      </w:r>
      <w:r w:rsidR="000D6D14">
        <w:t>s 2 and 3</w:t>
      </w:r>
      <w:r>
        <w:t xml:space="preserve">. All three </w:t>
      </w:r>
      <w:r w:rsidR="00EA078C">
        <w:t>Lot</w:t>
      </w:r>
      <w:r>
        <w:t xml:space="preserve">s and bids </w:t>
      </w:r>
      <w:r w:rsidR="00A867A5">
        <w:t>have now been evaluated by the eva</w:t>
      </w:r>
      <w:r>
        <w:t>luation team.</w:t>
      </w:r>
    </w:p>
    <w:p w:rsidR="00441C4E" w:rsidRDefault="00441C4E" w:rsidP="00A867A5"/>
    <w:p w:rsidR="00441C4E" w:rsidRDefault="00441C4E" w:rsidP="00A867A5">
      <w:r>
        <w:t xml:space="preserve">The purpose of the evaluation is to </w:t>
      </w:r>
    </w:p>
    <w:p w:rsidR="00441C4E" w:rsidRDefault="00441C4E" w:rsidP="00A867A5"/>
    <w:p w:rsidR="00441C4E" w:rsidRDefault="00441C4E" w:rsidP="00441C4E">
      <w:pPr>
        <w:pStyle w:val="ListParagraph"/>
        <w:numPr>
          <w:ilvl w:val="0"/>
          <w:numId w:val="5"/>
        </w:numPr>
      </w:pPr>
      <w:r>
        <w:t>Shortlist a maximum of three bidders to progress to the final tender stage</w:t>
      </w:r>
    </w:p>
    <w:p w:rsidR="00441C4E" w:rsidRDefault="00441C4E" w:rsidP="00441C4E">
      <w:pPr>
        <w:pStyle w:val="ListParagraph"/>
        <w:numPr>
          <w:ilvl w:val="0"/>
          <w:numId w:val="5"/>
        </w:numPr>
      </w:pPr>
      <w:r>
        <w:t xml:space="preserve">Identify whether to </w:t>
      </w:r>
      <w:r w:rsidR="00324A0D">
        <w:t xml:space="preserve">proceed </w:t>
      </w:r>
      <w:r>
        <w:t>with Lot 1 or Lots 2 and 3</w:t>
      </w:r>
      <w:r w:rsidR="00324A0D">
        <w:t xml:space="preserve"> at final tender stage</w:t>
      </w:r>
    </w:p>
    <w:p w:rsidR="00441C4E" w:rsidRDefault="00441C4E" w:rsidP="00441C4E"/>
    <w:p w:rsidR="00A867A5" w:rsidRDefault="00441C4E" w:rsidP="00441C4E">
      <w:r>
        <w:t xml:space="preserve">This report sets out the process undertaken and </w:t>
      </w:r>
      <w:r w:rsidR="000D6D14">
        <w:t>the overall evaluation scores. Further detail and recommendations have been presented in the part 2 report which presents commercially confidential information</w:t>
      </w:r>
      <w:r w:rsidR="00A867A5">
        <w:t>.</w:t>
      </w:r>
    </w:p>
    <w:p w:rsidR="00A867A5" w:rsidRDefault="00A867A5" w:rsidP="00A867A5"/>
    <w:p w:rsidR="00A867A5" w:rsidRDefault="00A867A5" w:rsidP="00916BAC">
      <w:pPr>
        <w:outlineLvl w:val="0"/>
        <w:rPr>
          <w:b/>
        </w:rPr>
      </w:pPr>
      <w:r w:rsidRPr="00A867A5">
        <w:rPr>
          <w:b/>
        </w:rPr>
        <w:t>Evaluation Process</w:t>
      </w:r>
    </w:p>
    <w:p w:rsidR="00A867A5" w:rsidRDefault="00A867A5" w:rsidP="00A867A5">
      <w:pPr>
        <w:rPr>
          <w:b/>
        </w:rPr>
      </w:pPr>
    </w:p>
    <w:p w:rsidR="00A867A5" w:rsidRDefault="00A867A5" w:rsidP="00A867A5">
      <w:r>
        <w:t>An evaluation matrix has been used throughout the procurement and evaluate</w:t>
      </w:r>
      <w:r w:rsidR="00324A0D">
        <w:t>s</w:t>
      </w:r>
      <w:r>
        <w:t xml:space="preserve"> the bids against the key outcomes set out by the Council across</w:t>
      </w:r>
    </w:p>
    <w:p w:rsidR="00A867A5" w:rsidRDefault="00A867A5" w:rsidP="00A867A5"/>
    <w:p w:rsidR="00A867A5" w:rsidRDefault="00A867A5" w:rsidP="00A867A5">
      <w:pPr>
        <w:pStyle w:val="ListParagraph"/>
        <w:numPr>
          <w:ilvl w:val="0"/>
          <w:numId w:val="1"/>
        </w:numPr>
      </w:pPr>
      <w:r>
        <w:t>Services – the quality of service, operation and how well the delivery meets the outcomes</w:t>
      </w:r>
    </w:p>
    <w:p w:rsidR="00A867A5" w:rsidRDefault="00A867A5" w:rsidP="00A867A5">
      <w:pPr>
        <w:pStyle w:val="ListParagraph"/>
        <w:numPr>
          <w:ilvl w:val="0"/>
          <w:numId w:val="1"/>
        </w:numPr>
      </w:pPr>
      <w:r>
        <w:t>Technical – the quality and fit for purpose nature of proposed designs and investment</w:t>
      </w:r>
    </w:p>
    <w:p w:rsidR="00A867A5" w:rsidRDefault="00A867A5" w:rsidP="00A867A5">
      <w:pPr>
        <w:pStyle w:val="ListParagraph"/>
        <w:numPr>
          <w:ilvl w:val="0"/>
          <w:numId w:val="1"/>
        </w:numPr>
      </w:pPr>
      <w:r>
        <w:t>Commercial – the financial offer and risk of delivery</w:t>
      </w:r>
    </w:p>
    <w:p w:rsidR="00A867A5" w:rsidRDefault="00A867A5" w:rsidP="00A867A5"/>
    <w:p w:rsidR="00A867A5" w:rsidRDefault="00A867A5" w:rsidP="00A867A5">
      <w:r>
        <w:t xml:space="preserve">Across these three key areas there is a range of detailed </w:t>
      </w:r>
      <w:r w:rsidR="00324A0D">
        <w:t xml:space="preserve">evaluation </w:t>
      </w:r>
      <w:r>
        <w:t>criteria which link up to a weighting for each area as set out below</w:t>
      </w:r>
    </w:p>
    <w:p w:rsidR="00A867A5" w:rsidRDefault="00A867A5" w:rsidP="00A867A5"/>
    <w:p w:rsidR="00441C4E" w:rsidRDefault="00441C4E">
      <w:pPr>
        <w:rPr>
          <w:i/>
        </w:rPr>
      </w:pPr>
      <w:r>
        <w:rPr>
          <w:i/>
        </w:rPr>
        <w:br w:type="page"/>
      </w:r>
    </w:p>
    <w:p w:rsidR="00A867A5" w:rsidRPr="00A867A5" w:rsidRDefault="00A867A5" w:rsidP="00916BAC">
      <w:pPr>
        <w:outlineLvl w:val="0"/>
        <w:rPr>
          <w:i/>
        </w:rPr>
      </w:pPr>
      <w:r>
        <w:rPr>
          <w:i/>
        </w:rPr>
        <w:lastRenderedPageBreak/>
        <w:t>Table 1 – Evaluation Criteria</w:t>
      </w:r>
    </w:p>
    <w:p w:rsidR="00A867A5" w:rsidRDefault="00A867A5" w:rsidP="00A867A5"/>
    <w:p w:rsidR="007475E9" w:rsidRDefault="007475E9" w:rsidP="00A867A5">
      <w:r w:rsidRPr="00A867A5">
        <w:rPr>
          <w:noProof/>
          <w:lang w:eastAsia="en-GB"/>
        </w:rPr>
        <w:drawing>
          <wp:inline distT="0" distB="0" distL="0" distR="0" wp14:anchorId="4FF453B0" wp14:editId="6B3B6C77">
            <wp:extent cx="5727700" cy="2962910"/>
            <wp:effectExtent l="0" t="0" r="1270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6556" b="14462"/>
                    <a:stretch/>
                  </pic:blipFill>
                  <pic:spPr bwMode="auto">
                    <a:xfrm>
                      <a:off x="0" y="0"/>
                      <a:ext cx="5727700" cy="2962910"/>
                    </a:xfrm>
                    <a:prstGeom prst="rect">
                      <a:avLst/>
                    </a:prstGeom>
                    <a:ln>
                      <a:noFill/>
                    </a:ln>
                    <a:extLst>
                      <a:ext uri="{53640926-AAD7-44D8-BBD7-CCE9431645EC}">
                        <a14:shadowObscured xmlns:a14="http://schemas.microsoft.com/office/drawing/2010/main"/>
                      </a:ext>
                    </a:extLst>
                  </pic:spPr>
                </pic:pic>
              </a:graphicData>
            </a:graphic>
          </wp:inline>
        </w:drawing>
      </w:r>
    </w:p>
    <w:p w:rsidR="007475E9" w:rsidRDefault="00324A0D" w:rsidP="00A867A5">
      <w:r>
        <w:t>For the purposes of evaluation of the ISDS submissions, the Council has evaluat</w:t>
      </w:r>
      <w:r w:rsidR="00B977C1">
        <w:t xml:space="preserve">ed the submissions using </w:t>
      </w:r>
      <w:r w:rsidR="00A36355">
        <w:t>the Level</w:t>
      </w:r>
      <w:r w:rsidR="007475E9">
        <w:t xml:space="preserve"> 2 and 3 sub</w:t>
      </w:r>
      <w:r w:rsidR="00441C4E">
        <w:t xml:space="preserve"> criteria</w:t>
      </w:r>
      <w:r w:rsidR="00B977C1">
        <w:t>, set out at Table 1 above using the scoring mechanism,</w:t>
      </w:r>
      <w:r w:rsidR="00441C4E">
        <w:t xml:space="preserve"> on a weighting of 0-10</w:t>
      </w:r>
      <w:r w:rsidR="007475E9">
        <w:t xml:space="preserve"> as illustrated in the table below</w:t>
      </w:r>
    </w:p>
    <w:p w:rsidR="007475E9" w:rsidRDefault="007475E9" w:rsidP="00A867A5"/>
    <w:p w:rsidR="007475E9" w:rsidRDefault="007475E9" w:rsidP="00916BAC">
      <w:pPr>
        <w:outlineLvl w:val="0"/>
        <w:rPr>
          <w:i/>
        </w:rPr>
      </w:pPr>
      <w:r>
        <w:rPr>
          <w:i/>
        </w:rPr>
        <w:t>Table 2 – Evaluation Scoring</w:t>
      </w:r>
    </w:p>
    <w:p w:rsidR="007475E9" w:rsidRDefault="007475E9" w:rsidP="00A867A5">
      <w:pPr>
        <w:rPr>
          <w:i/>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
        <w:gridCol w:w="1887"/>
        <w:gridCol w:w="6615"/>
      </w:tblGrid>
      <w:tr w:rsidR="00441C4E" w:rsidRPr="00074FDE" w:rsidTr="003526F6">
        <w:trPr>
          <w:tblHeader/>
          <w:jc w:val="center"/>
        </w:trPr>
        <w:tc>
          <w:tcPr>
            <w:tcW w:w="1024" w:type="dxa"/>
            <w:shd w:val="clear" w:color="auto" w:fill="C0C0C0"/>
          </w:tcPr>
          <w:p w:rsidR="00441C4E" w:rsidRPr="00074FDE" w:rsidRDefault="00441C4E" w:rsidP="003526F6">
            <w:pPr>
              <w:tabs>
                <w:tab w:val="right" w:pos="9072"/>
              </w:tabs>
              <w:jc w:val="center"/>
              <w:rPr>
                <w:rFonts w:cs="Arial"/>
                <w:b/>
              </w:rPr>
            </w:pPr>
            <w:r w:rsidRPr="00074FDE">
              <w:rPr>
                <w:rFonts w:cs="Arial"/>
                <w:b/>
              </w:rPr>
              <w:t>Score</w:t>
            </w:r>
          </w:p>
        </w:tc>
        <w:tc>
          <w:tcPr>
            <w:tcW w:w="1887" w:type="dxa"/>
            <w:shd w:val="clear" w:color="auto" w:fill="C0C0C0"/>
          </w:tcPr>
          <w:p w:rsidR="00441C4E" w:rsidRPr="00074FDE" w:rsidRDefault="00441C4E" w:rsidP="003526F6">
            <w:pPr>
              <w:tabs>
                <w:tab w:val="right" w:pos="9072"/>
              </w:tabs>
              <w:jc w:val="center"/>
              <w:rPr>
                <w:rFonts w:cs="Arial"/>
                <w:b/>
              </w:rPr>
            </w:pPr>
            <w:r w:rsidRPr="00074FDE">
              <w:rPr>
                <w:rFonts w:cs="Arial"/>
                <w:b/>
              </w:rPr>
              <w:t>Rating</w:t>
            </w:r>
          </w:p>
        </w:tc>
        <w:tc>
          <w:tcPr>
            <w:tcW w:w="6615" w:type="dxa"/>
            <w:shd w:val="clear" w:color="auto" w:fill="C0C0C0"/>
          </w:tcPr>
          <w:p w:rsidR="00441C4E" w:rsidRPr="00074FDE" w:rsidRDefault="00441C4E" w:rsidP="003526F6">
            <w:pPr>
              <w:tabs>
                <w:tab w:val="right" w:pos="9072"/>
              </w:tabs>
              <w:jc w:val="center"/>
              <w:rPr>
                <w:rFonts w:cs="Arial"/>
                <w:b/>
              </w:rPr>
            </w:pPr>
            <w:r w:rsidRPr="00074FDE">
              <w:rPr>
                <w:rFonts w:cs="Arial"/>
                <w:b/>
              </w:rPr>
              <w:t>Criteria for Assessing Score</w:t>
            </w:r>
          </w:p>
        </w:tc>
      </w:tr>
      <w:tr w:rsidR="00441C4E" w:rsidRPr="00074FDE" w:rsidTr="003526F6">
        <w:trPr>
          <w:jc w:val="center"/>
        </w:trPr>
        <w:tc>
          <w:tcPr>
            <w:tcW w:w="1024" w:type="dxa"/>
          </w:tcPr>
          <w:p w:rsidR="00441C4E" w:rsidRPr="00074FDE" w:rsidRDefault="00441C4E" w:rsidP="003526F6">
            <w:pPr>
              <w:tabs>
                <w:tab w:val="right" w:pos="9072"/>
              </w:tabs>
              <w:spacing w:before="60" w:after="60"/>
              <w:jc w:val="center"/>
              <w:rPr>
                <w:rFonts w:cs="Arial"/>
              </w:rPr>
            </w:pPr>
            <w:r w:rsidRPr="00074FDE">
              <w:rPr>
                <w:rFonts w:cs="Arial"/>
              </w:rPr>
              <w:t>1</w:t>
            </w:r>
          </w:p>
        </w:tc>
        <w:tc>
          <w:tcPr>
            <w:tcW w:w="1887" w:type="dxa"/>
          </w:tcPr>
          <w:p w:rsidR="00441C4E" w:rsidRPr="00074FDE" w:rsidRDefault="00441C4E" w:rsidP="003526F6">
            <w:pPr>
              <w:tabs>
                <w:tab w:val="right" w:pos="9072"/>
              </w:tabs>
              <w:spacing w:before="100" w:after="100"/>
              <w:rPr>
                <w:rFonts w:cs="Arial"/>
              </w:rPr>
            </w:pPr>
            <w:r w:rsidRPr="00074FDE">
              <w:rPr>
                <w:rFonts w:cs="Arial"/>
              </w:rPr>
              <w:t>Unsatisfactory / Unacceptable</w:t>
            </w:r>
          </w:p>
        </w:tc>
        <w:tc>
          <w:tcPr>
            <w:tcW w:w="6615" w:type="dxa"/>
          </w:tcPr>
          <w:p w:rsidR="00441C4E" w:rsidRPr="00074FDE" w:rsidRDefault="00441C4E" w:rsidP="003526F6">
            <w:pPr>
              <w:tabs>
                <w:tab w:val="right" w:pos="9072"/>
              </w:tabs>
              <w:spacing w:before="100" w:after="100"/>
              <w:rPr>
                <w:rFonts w:cs="Arial"/>
              </w:rPr>
            </w:pPr>
            <w:r>
              <w:rPr>
                <w:rFonts w:cs="Arial"/>
              </w:rPr>
              <w:t>The Authority and its advisers are confident, in their professional judgement, that the Bidder’s proposed solution d</w:t>
            </w:r>
            <w:r w:rsidRPr="00074FDE">
              <w:rPr>
                <w:rFonts w:cs="Arial"/>
              </w:rPr>
              <w:t xml:space="preserve">oes not meet any of the </w:t>
            </w:r>
            <w:r>
              <w:rPr>
                <w:rFonts w:cs="Arial"/>
              </w:rPr>
              <w:t>R</w:t>
            </w:r>
            <w:r w:rsidRPr="00074FDE">
              <w:rPr>
                <w:rFonts w:cs="Arial"/>
              </w:rPr>
              <w:t>equirements</w:t>
            </w:r>
          </w:p>
        </w:tc>
      </w:tr>
      <w:tr w:rsidR="00441C4E" w:rsidRPr="00074FDE" w:rsidTr="003526F6">
        <w:trPr>
          <w:jc w:val="center"/>
        </w:trPr>
        <w:tc>
          <w:tcPr>
            <w:tcW w:w="1024" w:type="dxa"/>
          </w:tcPr>
          <w:p w:rsidR="00441C4E" w:rsidRPr="00074FDE" w:rsidRDefault="00441C4E" w:rsidP="003526F6">
            <w:pPr>
              <w:tabs>
                <w:tab w:val="right" w:pos="9072"/>
              </w:tabs>
              <w:spacing w:before="60" w:after="60"/>
              <w:jc w:val="center"/>
              <w:rPr>
                <w:rFonts w:cs="Arial"/>
              </w:rPr>
            </w:pPr>
            <w:r w:rsidRPr="00074FDE">
              <w:rPr>
                <w:rFonts w:cs="Arial"/>
              </w:rPr>
              <w:t>2</w:t>
            </w:r>
          </w:p>
        </w:tc>
        <w:tc>
          <w:tcPr>
            <w:tcW w:w="1887" w:type="dxa"/>
          </w:tcPr>
          <w:p w:rsidR="00441C4E" w:rsidRPr="00074FDE" w:rsidRDefault="00441C4E" w:rsidP="003526F6">
            <w:pPr>
              <w:tabs>
                <w:tab w:val="right" w:pos="9072"/>
              </w:tabs>
              <w:spacing w:before="100" w:after="100"/>
              <w:rPr>
                <w:rFonts w:cs="Arial"/>
              </w:rPr>
            </w:pPr>
            <w:r w:rsidRPr="00074FDE">
              <w:rPr>
                <w:rFonts w:cs="Arial"/>
              </w:rPr>
              <w:t>Poor</w:t>
            </w:r>
          </w:p>
        </w:tc>
        <w:tc>
          <w:tcPr>
            <w:tcW w:w="6615" w:type="dxa"/>
          </w:tcPr>
          <w:p w:rsidR="00441C4E" w:rsidRPr="00074FDE" w:rsidRDefault="00441C4E" w:rsidP="003526F6">
            <w:pPr>
              <w:tabs>
                <w:tab w:val="right" w:pos="9072"/>
              </w:tabs>
              <w:spacing w:before="100" w:after="100"/>
              <w:rPr>
                <w:rFonts w:cs="Arial"/>
              </w:rPr>
            </w:pPr>
            <w:r>
              <w:rPr>
                <w:rFonts w:cs="Arial"/>
              </w:rPr>
              <w:t xml:space="preserve">The Authority and its advisers are confident, in their professional judgement, that the Bidder’s proposed solution falls </w:t>
            </w:r>
            <w:r w:rsidRPr="00074FDE">
              <w:rPr>
                <w:rFonts w:cs="Arial"/>
              </w:rPr>
              <w:t xml:space="preserve">far short of meeting the </w:t>
            </w:r>
            <w:r>
              <w:rPr>
                <w:rFonts w:cs="Arial"/>
              </w:rPr>
              <w:t>R</w:t>
            </w:r>
            <w:r w:rsidRPr="00074FDE">
              <w:rPr>
                <w:rFonts w:cs="Arial"/>
              </w:rPr>
              <w:t>equirements</w:t>
            </w:r>
          </w:p>
        </w:tc>
      </w:tr>
      <w:tr w:rsidR="00441C4E" w:rsidRPr="00074FDE" w:rsidTr="003526F6">
        <w:trPr>
          <w:jc w:val="center"/>
        </w:trPr>
        <w:tc>
          <w:tcPr>
            <w:tcW w:w="1024" w:type="dxa"/>
          </w:tcPr>
          <w:p w:rsidR="00441C4E" w:rsidRPr="00074FDE" w:rsidRDefault="00441C4E" w:rsidP="003526F6">
            <w:pPr>
              <w:tabs>
                <w:tab w:val="right" w:pos="9072"/>
              </w:tabs>
              <w:spacing w:before="60" w:after="60"/>
              <w:jc w:val="center"/>
              <w:rPr>
                <w:rFonts w:cs="Arial"/>
              </w:rPr>
            </w:pPr>
            <w:r w:rsidRPr="00074FDE">
              <w:rPr>
                <w:rFonts w:cs="Arial"/>
              </w:rPr>
              <w:t>3</w:t>
            </w:r>
          </w:p>
        </w:tc>
        <w:tc>
          <w:tcPr>
            <w:tcW w:w="1887" w:type="dxa"/>
          </w:tcPr>
          <w:p w:rsidR="00441C4E" w:rsidRPr="00074FDE" w:rsidRDefault="00441C4E" w:rsidP="003526F6">
            <w:pPr>
              <w:tabs>
                <w:tab w:val="right" w:pos="9072"/>
              </w:tabs>
              <w:spacing w:before="100" w:after="100"/>
              <w:rPr>
                <w:rFonts w:cs="Arial"/>
              </w:rPr>
            </w:pPr>
            <w:r w:rsidRPr="00074FDE">
              <w:rPr>
                <w:rFonts w:cs="Arial"/>
              </w:rPr>
              <w:t>Very Weak</w:t>
            </w:r>
          </w:p>
        </w:tc>
        <w:tc>
          <w:tcPr>
            <w:tcW w:w="6615" w:type="dxa"/>
          </w:tcPr>
          <w:p w:rsidR="00441C4E" w:rsidRPr="00074FDE" w:rsidRDefault="00441C4E" w:rsidP="003526F6">
            <w:pPr>
              <w:tabs>
                <w:tab w:val="right" w:pos="9072"/>
              </w:tabs>
              <w:spacing w:before="100" w:after="100"/>
              <w:rPr>
                <w:rFonts w:cs="Arial"/>
              </w:rPr>
            </w:pPr>
            <w:r>
              <w:rPr>
                <w:rFonts w:cs="Arial"/>
              </w:rPr>
              <w:t>The Authority and its advisers are confident, in their professional judgement, that the Bidder’s proposed solution f</w:t>
            </w:r>
            <w:r w:rsidRPr="00074FDE">
              <w:rPr>
                <w:rFonts w:cs="Arial"/>
              </w:rPr>
              <w:t xml:space="preserve">alls significantly short of meeting the </w:t>
            </w:r>
            <w:r>
              <w:rPr>
                <w:rFonts w:cs="Arial"/>
              </w:rPr>
              <w:t>R</w:t>
            </w:r>
            <w:r w:rsidRPr="00074FDE">
              <w:rPr>
                <w:rFonts w:cs="Arial"/>
              </w:rPr>
              <w:t>equirements</w:t>
            </w:r>
          </w:p>
        </w:tc>
      </w:tr>
      <w:tr w:rsidR="00441C4E" w:rsidRPr="00074FDE" w:rsidTr="003526F6">
        <w:trPr>
          <w:jc w:val="center"/>
        </w:trPr>
        <w:tc>
          <w:tcPr>
            <w:tcW w:w="1024" w:type="dxa"/>
          </w:tcPr>
          <w:p w:rsidR="00441C4E" w:rsidRPr="00074FDE" w:rsidRDefault="00441C4E" w:rsidP="003526F6">
            <w:pPr>
              <w:tabs>
                <w:tab w:val="right" w:pos="9072"/>
              </w:tabs>
              <w:spacing w:before="60" w:after="60"/>
              <w:jc w:val="center"/>
              <w:rPr>
                <w:rFonts w:cs="Arial"/>
              </w:rPr>
            </w:pPr>
            <w:r w:rsidRPr="00074FDE">
              <w:rPr>
                <w:rFonts w:cs="Arial"/>
              </w:rPr>
              <w:t>4</w:t>
            </w:r>
          </w:p>
        </w:tc>
        <w:tc>
          <w:tcPr>
            <w:tcW w:w="1887" w:type="dxa"/>
          </w:tcPr>
          <w:p w:rsidR="00441C4E" w:rsidRPr="00074FDE" w:rsidRDefault="00441C4E" w:rsidP="003526F6">
            <w:pPr>
              <w:tabs>
                <w:tab w:val="right" w:pos="9072"/>
              </w:tabs>
              <w:spacing w:before="100" w:after="100"/>
              <w:rPr>
                <w:rFonts w:cs="Arial"/>
              </w:rPr>
            </w:pPr>
            <w:r w:rsidRPr="00074FDE">
              <w:rPr>
                <w:rFonts w:cs="Arial"/>
              </w:rPr>
              <w:t>Weak</w:t>
            </w:r>
          </w:p>
        </w:tc>
        <w:tc>
          <w:tcPr>
            <w:tcW w:w="6615" w:type="dxa"/>
          </w:tcPr>
          <w:p w:rsidR="00441C4E" w:rsidRPr="00074FDE" w:rsidRDefault="00441C4E" w:rsidP="003526F6">
            <w:pPr>
              <w:tabs>
                <w:tab w:val="right" w:pos="9072"/>
              </w:tabs>
              <w:spacing w:before="100" w:after="100"/>
              <w:rPr>
                <w:rFonts w:cs="Arial"/>
              </w:rPr>
            </w:pPr>
            <w:r>
              <w:rPr>
                <w:rFonts w:cs="Arial"/>
              </w:rPr>
              <w:t>The Authority and its advisers are confident, in their professional judgement, that the Bidder’s proposed solution f</w:t>
            </w:r>
            <w:r w:rsidRPr="00074FDE">
              <w:rPr>
                <w:rFonts w:cs="Arial"/>
              </w:rPr>
              <w:t xml:space="preserve">alls moderately short of meeting the </w:t>
            </w:r>
            <w:r>
              <w:rPr>
                <w:rFonts w:cs="Arial"/>
              </w:rPr>
              <w:t>R</w:t>
            </w:r>
            <w:r w:rsidRPr="00074FDE">
              <w:rPr>
                <w:rFonts w:cs="Arial"/>
              </w:rPr>
              <w:t xml:space="preserve">equirements </w:t>
            </w:r>
          </w:p>
        </w:tc>
      </w:tr>
      <w:tr w:rsidR="00441C4E" w:rsidRPr="00074FDE" w:rsidTr="003526F6">
        <w:trPr>
          <w:trHeight w:val="628"/>
          <w:jc w:val="center"/>
        </w:trPr>
        <w:tc>
          <w:tcPr>
            <w:tcW w:w="1024" w:type="dxa"/>
          </w:tcPr>
          <w:p w:rsidR="00441C4E" w:rsidRPr="00074FDE" w:rsidRDefault="00441C4E" w:rsidP="003526F6">
            <w:pPr>
              <w:tabs>
                <w:tab w:val="right" w:pos="9072"/>
              </w:tabs>
              <w:spacing w:before="60" w:after="60"/>
              <w:jc w:val="center"/>
              <w:rPr>
                <w:rFonts w:cs="Arial"/>
              </w:rPr>
            </w:pPr>
            <w:r w:rsidRPr="00074FDE">
              <w:rPr>
                <w:rFonts w:cs="Arial"/>
              </w:rPr>
              <w:t>5</w:t>
            </w:r>
          </w:p>
        </w:tc>
        <w:tc>
          <w:tcPr>
            <w:tcW w:w="1887" w:type="dxa"/>
          </w:tcPr>
          <w:p w:rsidR="00441C4E" w:rsidRPr="00074FDE" w:rsidRDefault="00441C4E" w:rsidP="003526F6">
            <w:pPr>
              <w:tabs>
                <w:tab w:val="right" w:pos="9072"/>
              </w:tabs>
              <w:spacing w:before="100" w:after="100"/>
              <w:rPr>
                <w:rFonts w:cs="Arial"/>
              </w:rPr>
            </w:pPr>
            <w:r w:rsidRPr="00074FDE">
              <w:rPr>
                <w:rFonts w:cs="Arial"/>
              </w:rPr>
              <w:t>Acceptable</w:t>
            </w:r>
          </w:p>
        </w:tc>
        <w:tc>
          <w:tcPr>
            <w:tcW w:w="6615" w:type="dxa"/>
          </w:tcPr>
          <w:p w:rsidR="00441C4E" w:rsidRPr="00074FDE" w:rsidRDefault="00441C4E" w:rsidP="003526F6">
            <w:pPr>
              <w:tabs>
                <w:tab w:val="right" w:pos="9072"/>
              </w:tabs>
              <w:spacing w:before="100" w:after="100"/>
              <w:rPr>
                <w:rFonts w:cs="Arial"/>
              </w:rPr>
            </w:pPr>
            <w:r>
              <w:rPr>
                <w:rFonts w:cs="Arial"/>
              </w:rPr>
              <w:t>The Authority and its advisers are confident, in their professional judgement, that the Bidder’s proposed solution d</w:t>
            </w:r>
            <w:r w:rsidRPr="00074FDE">
              <w:rPr>
                <w:rFonts w:cs="Arial"/>
              </w:rPr>
              <w:t xml:space="preserve">oes </w:t>
            </w:r>
            <w:r>
              <w:rPr>
                <w:rFonts w:cs="Arial"/>
              </w:rPr>
              <w:t>appear</w:t>
            </w:r>
            <w:r w:rsidRPr="00074FDE">
              <w:rPr>
                <w:rFonts w:cs="Arial"/>
              </w:rPr>
              <w:t xml:space="preserve"> to meet </w:t>
            </w:r>
            <w:r>
              <w:rPr>
                <w:rFonts w:cs="Arial"/>
              </w:rPr>
              <w:t>R</w:t>
            </w:r>
            <w:r w:rsidRPr="00074FDE">
              <w:rPr>
                <w:rFonts w:cs="Arial"/>
              </w:rPr>
              <w:t>equirements but some inference needed where not fully demonstrated or evidenced</w:t>
            </w:r>
          </w:p>
        </w:tc>
      </w:tr>
      <w:tr w:rsidR="00441C4E" w:rsidRPr="00074FDE" w:rsidTr="003526F6">
        <w:trPr>
          <w:jc w:val="center"/>
        </w:trPr>
        <w:tc>
          <w:tcPr>
            <w:tcW w:w="1024" w:type="dxa"/>
          </w:tcPr>
          <w:p w:rsidR="00441C4E" w:rsidRPr="00074FDE" w:rsidRDefault="00441C4E" w:rsidP="003526F6">
            <w:pPr>
              <w:tabs>
                <w:tab w:val="right" w:pos="9072"/>
              </w:tabs>
              <w:spacing w:before="60" w:after="60"/>
              <w:jc w:val="center"/>
              <w:rPr>
                <w:rFonts w:cs="Arial"/>
              </w:rPr>
            </w:pPr>
            <w:r w:rsidRPr="00074FDE">
              <w:rPr>
                <w:rFonts w:cs="Arial"/>
              </w:rPr>
              <w:t>6</w:t>
            </w:r>
          </w:p>
        </w:tc>
        <w:tc>
          <w:tcPr>
            <w:tcW w:w="1887" w:type="dxa"/>
          </w:tcPr>
          <w:p w:rsidR="00441C4E" w:rsidRPr="00074FDE" w:rsidRDefault="00441C4E" w:rsidP="003526F6">
            <w:pPr>
              <w:tabs>
                <w:tab w:val="right" w:pos="9072"/>
              </w:tabs>
              <w:spacing w:before="100" w:after="100"/>
              <w:rPr>
                <w:rFonts w:cs="Arial"/>
              </w:rPr>
            </w:pPr>
            <w:r w:rsidRPr="00074FDE">
              <w:rPr>
                <w:rFonts w:cs="Arial"/>
              </w:rPr>
              <w:t>Satisfactory</w:t>
            </w:r>
          </w:p>
        </w:tc>
        <w:tc>
          <w:tcPr>
            <w:tcW w:w="6615" w:type="dxa"/>
          </w:tcPr>
          <w:p w:rsidR="00441C4E" w:rsidRPr="00074FDE" w:rsidRDefault="00441C4E" w:rsidP="003526F6">
            <w:pPr>
              <w:tabs>
                <w:tab w:val="right" w:pos="9072"/>
              </w:tabs>
              <w:spacing w:before="100" w:after="100"/>
              <w:rPr>
                <w:rFonts w:cs="Arial"/>
              </w:rPr>
            </w:pPr>
            <w:r>
              <w:rPr>
                <w:rFonts w:cs="Arial"/>
              </w:rPr>
              <w:t>The Authority and its advisers are confident, in their professional judgement, that the Bidder’s proposed solution d</w:t>
            </w:r>
            <w:r w:rsidRPr="00074FDE">
              <w:rPr>
                <w:rFonts w:cs="Arial"/>
              </w:rPr>
              <w:t xml:space="preserve">oes </w:t>
            </w:r>
            <w:r>
              <w:rPr>
                <w:rFonts w:cs="Arial"/>
              </w:rPr>
              <w:lastRenderedPageBreak/>
              <w:t>s</w:t>
            </w:r>
            <w:r w:rsidRPr="00074FDE">
              <w:rPr>
                <w:rFonts w:cs="Arial"/>
              </w:rPr>
              <w:t xml:space="preserve">atisfactorily meet </w:t>
            </w:r>
            <w:r>
              <w:rPr>
                <w:rFonts w:cs="Arial"/>
              </w:rPr>
              <w:t>R</w:t>
            </w:r>
            <w:r w:rsidRPr="00074FDE">
              <w:rPr>
                <w:rFonts w:cs="Arial"/>
              </w:rPr>
              <w:t>equirements and is supported by clear evidence</w:t>
            </w:r>
          </w:p>
        </w:tc>
      </w:tr>
      <w:tr w:rsidR="00441C4E" w:rsidRPr="00074FDE" w:rsidTr="003526F6">
        <w:trPr>
          <w:jc w:val="center"/>
        </w:trPr>
        <w:tc>
          <w:tcPr>
            <w:tcW w:w="1024" w:type="dxa"/>
          </w:tcPr>
          <w:p w:rsidR="00441C4E" w:rsidRPr="00074FDE" w:rsidRDefault="00441C4E" w:rsidP="003526F6">
            <w:pPr>
              <w:tabs>
                <w:tab w:val="right" w:pos="9072"/>
              </w:tabs>
              <w:spacing w:before="60" w:after="60"/>
              <w:jc w:val="center"/>
              <w:rPr>
                <w:rFonts w:cs="Arial"/>
              </w:rPr>
            </w:pPr>
            <w:r w:rsidRPr="00074FDE">
              <w:rPr>
                <w:rFonts w:cs="Arial"/>
              </w:rPr>
              <w:lastRenderedPageBreak/>
              <w:t>7</w:t>
            </w:r>
          </w:p>
        </w:tc>
        <w:tc>
          <w:tcPr>
            <w:tcW w:w="1887" w:type="dxa"/>
          </w:tcPr>
          <w:p w:rsidR="00441C4E" w:rsidRPr="00074FDE" w:rsidRDefault="00441C4E" w:rsidP="003526F6">
            <w:pPr>
              <w:tabs>
                <w:tab w:val="right" w:pos="9072"/>
              </w:tabs>
              <w:spacing w:before="100" w:after="100"/>
              <w:rPr>
                <w:rFonts w:cs="Arial"/>
              </w:rPr>
            </w:pPr>
            <w:r w:rsidRPr="00074FDE">
              <w:rPr>
                <w:rFonts w:cs="Arial"/>
              </w:rPr>
              <w:t>Good</w:t>
            </w:r>
          </w:p>
        </w:tc>
        <w:tc>
          <w:tcPr>
            <w:tcW w:w="6615" w:type="dxa"/>
          </w:tcPr>
          <w:p w:rsidR="00441C4E" w:rsidRPr="00074FDE" w:rsidRDefault="00441C4E" w:rsidP="003526F6">
            <w:pPr>
              <w:tabs>
                <w:tab w:val="right" w:pos="9072"/>
              </w:tabs>
              <w:spacing w:before="100" w:after="100"/>
              <w:rPr>
                <w:rFonts w:cs="Arial"/>
                <w:i/>
              </w:rPr>
            </w:pPr>
            <w:r>
              <w:rPr>
                <w:rFonts w:cs="Arial"/>
              </w:rPr>
              <w:t>The Authority and its advisers are confident, in their professional judgement, that the Bidder’s proposed solution d</w:t>
            </w:r>
            <w:r w:rsidRPr="00074FDE">
              <w:rPr>
                <w:rFonts w:cs="Arial"/>
              </w:rPr>
              <w:t xml:space="preserve">oes </w:t>
            </w:r>
            <w:r>
              <w:rPr>
                <w:rFonts w:cs="Arial"/>
              </w:rPr>
              <w:t>m</w:t>
            </w:r>
            <w:r w:rsidRPr="00074FDE">
              <w:rPr>
                <w:rFonts w:cs="Arial"/>
              </w:rPr>
              <w:t xml:space="preserve">eet </w:t>
            </w:r>
            <w:r>
              <w:rPr>
                <w:rFonts w:cs="Arial"/>
              </w:rPr>
              <w:t>R</w:t>
            </w:r>
            <w:r w:rsidRPr="00074FDE">
              <w:rPr>
                <w:rFonts w:cs="Arial"/>
              </w:rPr>
              <w:t xml:space="preserve">equirements </w:t>
            </w:r>
            <w:r w:rsidRPr="00074FDE">
              <w:rPr>
                <w:rFonts w:cs="Arial"/>
                <w:b/>
                <w:u w:val="single"/>
              </w:rPr>
              <w:t>and</w:t>
            </w:r>
            <w:r w:rsidRPr="00074FDE">
              <w:rPr>
                <w:rFonts w:cs="Arial"/>
              </w:rPr>
              <w:t xml:space="preserve"> will bring some added value / benefit </w:t>
            </w:r>
          </w:p>
        </w:tc>
      </w:tr>
      <w:tr w:rsidR="00441C4E" w:rsidRPr="00074FDE" w:rsidTr="003526F6">
        <w:trPr>
          <w:jc w:val="center"/>
        </w:trPr>
        <w:tc>
          <w:tcPr>
            <w:tcW w:w="1024" w:type="dxa"/>
          </w:tcPr>
          <w:p w:rsidR="00441C4E" w:rsidRPr="00074FDE" w:rsidRDefault="00441C4E" w:rsidP="003526F6">
            <w:pPr>
              <w:tabs>
                <w:tab w:val="right" w:pos="9072"/>
              </w:tabs>
              <w:spacing w:before="60" w:after="60"/>
              <w:jc w:val="center"/>
              <w:rPr>
                <w:rFonts w:cs="Arial"/>
              </w:rPr>
            </w:pPr>
            <w:r w:rsidRPr="00074FDE">
              <w:rPr>
                <w:rFonts w:cs="Arial"/>
              </w:rPr>
              <w:t>8</w:t>
            </w:r>
          </w:p>
        </w:tc>
        <w:tc>
          <w:tcPr>
            <w:tcW w:w="1887" w:type="dxa"/>
          </w:tcPr>
          <w:p w:rsidR="00441C4E" w:rsidRPr="00074FDE" w:rsidRDefault="00441C4E" w:rsidP="003526F6">
            <w:pPr>
              <w:tabs>
                <w:tab w:val="right" w:pos="9072"/>
              </w:tabs>
              <w:spacing w:before="100" w:after="100"/>
              <w:rPr>
                <w:rFonts w:cs="Arial"/>
              </w:rPr>
            </w:pPr>
            <w:r w:rsidRPr="00074FDE">
              <w:rPr>
                <w:rFonts w:cs="Arial"/>
              </w:rPr>
              <w:t>Very Good</w:t>
            </w:r>
          </w:p>
        </w:tc>
        <w:tc>
          <w:tcPr>
            <w:tcW w:w="6615" w:type="dxa"/>
          </w:tcPr>
          <w:p w:rsidR="00441C4E" w:rsidRPr="00074FDE" w:rsidRDefault="00441C4E" w:rsidP="003526F6">
            <w:pPr>
              <w:tabs>
                <w:tab w:val="right" w:pos="9072"/>
              </w:tabs>
              <w:spacing w:before="100" w:after="100"/>
              <w:rPr>
                <w:rFonts w:cs="Arial"/>
              </w:rPr>
            </w:pPr>
            <w:r>
              <w:rPr>
                <w:rFonts w:cs="Arial"/>
              </w:rPr>
              <w:t>The Authority and its advisers are confident, in their professional judgement, that the Bidder’s proposed solution e</w:t>
            </w:r>
            <w:r w:rsidRPr="00074FDE">
              <w:rPr>
                <w:rFonts w:cs="Arial"/>
              </w:rPr>
              <w:t xml:space="preserve">xceeds </w:t>
            </w:r>
            <w:r>
              <w:rPr>
                <w:rFonts w:cs="Arial"/>
              </w:rPr>
              <w:t>R</w:t>
            </w:r>
            <w:r w:rsidRPr="00074FDE">
              <w:rPr>
                <w:rFonts w:cs="Arial"/>
              </w:rPr>
              <w:t xml:space="preserve">equirements </w:t>
            </w:r>
            <w:r w:rsidRPr="00074FDE">
              <w:rPr>
                <w:rFonts w:cs="Arial"/>
                <w:b/>
                <w:u w:val="single"/>
              </w:rPr>
              <w:t>and</w:t>
            </w:r>
            <w:r w:rsidRPr="00074FDE">
              <w:rPr>
                <w:rFonts w:cs="Arial"/>
              </w:rPr>
              <w:t xml:space="preserve"> will bring added value / benefit </w:t>
            </w:r>
          </w:p>
        </w:tc>
      </w:tr>
      <w:tr w:rsidR="00441C4E" w:rsidRPr="00074FDE" w:rsidTr="003526F6">
        <w:trPr>
          <w:jc w:val="center"/>
        </w:trPr>
        <w:tc>
          <w:tcPr>
            <w:tcW w:w="1024" w:type="dxa"/>
          </w:tcPr>
          <w:p w:rsidR="00441C4E" w:rsidRPr="00074FDE" w:rsidRDefault="00441C4E" w:rsidP="003526F6">
            <w:pPr>
              <w:tabs>
                <w:tab w:val="right" w:pos="9072"/>
              </w:tabs>
              <w:spacing w:before="60" w:after="60"/>
              <w:jc w:val="center"/>
              <w:rPr>
                <w:rFonts w:cs="Arial"/>
              </w:rPr>
            </w:pPr>
            <w:r w:rsidRPr="00074FDE">
              <w:rPr>
                <w:rFonts w:cs="Arial"/>
              </w:rPr>
              <w:t>9</w:t>
            </w:r>
          </w:p>
        </w:tc>
        <w:tc>
          <w:tcPr>
            <w:tcW w:w="1887" w:type="dxa"/>
          </w:tcPr>
          <w:p w:rsidR="00441C4E" w:rsidRPr="00074FDE" w:rsidRDefault="00441C4E" w:rsidP="003526F6">
            <w:pPr>
              <w:tabs>
                <w:tab w:val="right" w:pos="9072"/>
              </w:tabs>
              <w:spacing w:before="100" w:after="100"/>
              <w:rPr>
                <w:rFonts w:cs="Arial"/>
              </w:rPr>
            </w:pPr>
            <w:r w:rsidRPr="00074FDE">
              <w:rPr>
                <w:rFonts w:cs="Arial"/>
              </w:rPr>
              <w:t>Outstanding</w:t>
            </w:r>
          </w:p>
        </w:tc>
        <w:tc>
          <w:tcPr>
            <w:tcW w:w="6615" w:type="dxa"/>
          </w:tcPr>
          <w:p w:rsidR="00441C4E" w:rsidRPr="00074FDE" w:rsidRDefault="00441C4E" w:rsidP="003526F6">
            <w:pPr>
              <w:tabs>
                <w:tab w:val="right" w:pos="9072"/>
              </w:tabs>
              <w:spacing w:before="100" w:after="100"/>
              <w:rPr>
                <w:rFonts w:cs="Arial"/>
                <w:i/>
              </w:rPr>
            </w:pPr>
            <w:r>
              <w:rPr>
                <w:rFonts w:cs="Arial"/>
              </w:rPr>
              <w:t>The Authority and its advisers are confident, in their professional judgement, that the Bidder’s proposed solution s</w:t>
            </w:r>
            <w:r w:rsidRPr="00074FDE">
              <w:rPr>
                <w:rFonts w:cs="Arial"/>
              </w:rPr>
              <w:t xml:space="preserve">ignificantly exceeds </w:t>
            </w:r>
            <w:r>
              <w:rPr>
                <w:rFonts w:cs="Arial"/>
              </w:rPr>
              <w:t>R</w:t>
            </w:r>
            <w:r w:rsidRPr="00074FDE">
              <w:rPr>
                <w:rFonts w:cs="Arial"/>
              </w:rPr>
              <w:t xml:space="preserve">equirements </w:t>
            </w:r>
            <w:r w:rsidRPr="00074FDE">
              <w:rPr>
                <w:rFonts w:cs="Arial"/>
                <w:b/>
                <w:u w:val="single"/>
              </w:rPr>
              <w:t>and</w:t>
            </w:r>
            <w:r w:rsidRPr="00074FDE">
              <w:rPr>
                <w:rFonts w:cs="Arial"/>
              </w:rPr>
              <w:t xml:space="preserve"> will bring significant added value/ benefit </w:t>
            </w:r>
          </w:p>
        </w:tc>
      </w:tr>
      <w:tr w:rsidR="00441C4E" w:rsidRPr="00074FDE" w:rsidTr="003526F6">
        <w:trPr>
          <w:jc w:val="center"/>
        </w:trPr>
        <w:tc>
          <w:tcPr>
            <w:tcW w:w="1024" w:type="dxa"/>
          </w:tcPr>
          <w:p w:rsidR="00441C4E" w:rsidRPr="00074FDE" w:rsidRDefault="00441C4E" w:rsidP="003526F6">
            <w:pPr>
              <w:tabs>
                <w:tab w:val="right" w:pos="9072"/>
              </w:tabs>
              <w:spacing w:before="60" w:after="60"/>
              <w:jc w:val="center"/>
              <w:rPr>
                <w:rFonts w:cs="Arial"/>
              </w:rPr>
            </w:pPr>
            <w:r w:rsidRPr="00074FDE">
              <w:rPr>
                <w:rFonts w:cs="Arial"/>
              </w:rPr>
              <w:t>10</w:t>
            </w:r>
          </w:p>
        </w:tc>
        <w:tc>
          <w:tcPr>
            <w:tcW w:w="1887" w:type="dxa"/>
          </w:tcPr>
          <w:p w:rsidR="00441C4E" w:rsidRPr="00074FDE" w:rsidRDefault="00441C4E" w:rsidP="003526F6">
            <w:pPr>
              <w:tabs>
                <w:tab w:val="right" w:pos="9072"/>
              </w:tabs>
              <w:spacing w:before="100" w:after="100"/>
              <w:rPr>
                <w:rFonts w:cs="Arial"/>
              </w:rPr>
            </w:pPr>
            <w:r w:rsidRPr="00074FDE">
              <w:rPr>
                <w:rFonts w:cs="Arial"/>
              </w:rPr>
              <w:t>Exceptional</w:t>
            </w:r>
          </w:p>
        </w:tc>
        <w:tc>
          <w:tcPr>
            <w:tcW w:w="6615" w:type="dxa"/>
          </w:tcPr>
          <w:p w:rsidR="00441C4E" w:rsidRPr="00074FDE" w:rsidRDefault="00441C4E" w:rsidP="003526F6">
            <w:pPr>
              <w:tabs>
                <w:tab w:val="right" w:pos="9072"/>
              </w:tabs>
              <w:spacing w:before="100" w:after="100"/>
              <w:rPr>
                <w:rFonts w:cs="Arial"/>
                <w:i/>
              </w:rPr>
            </w:pPr>
            <w:r>
              <w:rPr>
                <w:rFonts w:cs="Arial"/>
              </w:rPr>
              <w:t xml:space="preserve">The Authority and its advisers are confident, in their professional judgement, that the Bidder’s proposed solution </w:t>
            </w:r>
            <w:r w:rsidRPr="00074FDE">
              <w:rPr>
                <w:rFonts w:cs="Arial"/>
              </w:rPr>
              <w:t>significantly exceed</w:t>
            </w:r>
            <w:r>
              <w:rPr>
                <w:rFonts w:cs="Arial"/>
              </w:rPr>
              <w:t>s</w:t>
            </w:r>
            <w:r w:rsidRPr="00074FDE">
              <w:rPr>
                <w:rFonts w:cs="Arial"/>
              </w:rPr>
              <w:t xml:space="preserve"> </w:t>
            </w:r>
            <w:r>
              <w:rPr>
                <w:rFonts w:cs="Arial"/>
              </w:rPr>
              <w:t>R</w:t>
            </w:r>
            <w:r w:rsidRPr="00074FDE">
              <w:rPr>
                <w:rFonts w:cs="Arial"/>
              </w:rPr>
              <w:t xml:space="preserve">equirements in all respects </w:t>
            </w:r>
            <w:r w:rsidRPr="00074FDE">
              <w:rPr>
                <w:rFonts w:cs="Arial"/>
                <w:b/>
                <w:u w:val="single"/>
              </w:rPr>
              <w:t>and</w:t>
            </w:r>
            <w:r w:rsidRPr="00074FDE">
              <w:rPr>
                <w:rFonts w:cs="Arial"/>
              </w:rPr>
              <w:t xml:space="preserve"> will bring very significant added value / benefit </w:t>
            </w:r>
          </w:p>
        </w:tc>
      </w:tr>
    </w:tbl>
    <w:p w:rsidR="007475E9" w:rsidRDefault="007475E9" w:rsidP="00A867A5"/>
    <w:p w:rsidR="00441C4E" w:rsidRDefault="00B977C1" w:rsidP="00441C4E">
      <w:r>
        <w:t>F</w:t>
      </w:r>
      <w:r w:rsidR="00441C4E">
        <w:t xml:space="preserve">or the reporting and </w:t>
      </w:r>
      <w:r>
        <w:t>C</w:t>
      </w:r>
      <w:r w:rsidR="00441C4E">
        <w:t xml:space="preserve">ontract </w:t>
      </w:r>
      <w:r>
        <w:t>A</w:t>
      </w:r>
      <w:r w:rsidR="00441C4E">
        <w:t>cceptance scoring the following scoring mechanism was used.</w:t>
      </w:r>
    </w:p>
    <w:p w:rsidR="00441C4E" w:rsidRDefault="00441C4E" w:rsidP="00441C4E">
      <w:r>
        <w:t xml:space="preserve"> </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1649"/>
        <w:gridCol w:w="7111"/>
      </w:tblGrid>
      <w:tr w:rsidR="00441C4E" w:rsidRPr="00074FDE" w:rsidTr="00441C4E">
        <w:trPr>
          <w:tblHeader/>
          <w:jc w:val="center"/>
        </w:trPr>
        <w:tc>
          <w:tcPr>
            <w:tcW w:w="766" w:type="dxa"/>
            <w:shd w:val="clear" w:color="auto" w:fill="C0C0C0"/>
          </w:tcPr>
          <w:p w:rsidR="00441C4E" w:rsidRPr="00074FDE" w:rsidRDefault="00441C4E" w:rsidP="003526F6">
            <w:pPr>
              <w:tabs>
                <w:tab w:val="right" w:pos="9072"/>
              </w:tabs>
              <w:jc w:val="center"/>
              <w:rPr>
                <w:rFonts w:cs="Arial"/>
                <w:b/>
              </w:rPr>
            </w:pPr>
            <w:r w:rsidRPr="00074FDE">
              <w:rPr>
                <w:rFonts w:cs="Arial"/>
                <w:b/>
              </w:rPr>
              <w:t>Score</w:t>
            </w:r>
          </w:p>
        </w:tc>
        <w:tc>
          <w:tcPr>
            <w:tcW w:w="1649" w:type="dxa"/>
            <w:shd w:val="clear" w:color="auto" w:fill="C0C0C0"/>
          </w:tcPr>
          <w:p w:rsidR="00441C4E" w:rsidRPr="00074FDE" w:rsidRDefault="00441C4E" w:rsidP="003526F6">
            <w:pPr>
              <w:tabs>
                <w:tab w:val="right" w:pos="9072"/>
              </w:tabs>
              <w:jc w:val="center"/>
              <w:rPr>
                <w:rFonts w:cs="Arial"/>
                <w:b/>
              </w:rPr>
            </w:pPr>
            <w:r w:rsidRPr="00074FDE">
              <w:rPr>
                <w:rFonts w:cs="Arial"/>
                <w:b/>
              </w:rPr>
              <w:t>Rating</w:t>
            </w:r>
          </w:p>
        </w:tc>
        <w:tc>
          <w:tcPr>
            <w:tcW w:w="7111" w:type="dxa"/>
            <w:shd w:val="clear" w:color="auto" w:fill="C0C0C0"/>
          </w:tcPr>
          <w:p w:rsidR="00441C4E" w:rsidRPr="00074FDE" w:rsidRDefault="00441C4E" w:rsidP="003526F6">
            <w:pPr>
              <w:tabs>
                <w:tab w:val="right" w:pos="9072"/>
              </w:tabs>
              <w:jc w:val="center"/>
              <w:rPr>
                <w:rFonts w:cs="Arial"/>
                <w:b/>
              </w:rPr>
            </w:pPr>
            <w:r w:rsidRPr="00074FDE">
              <w:rPr>
                <w:rFonts w:cs="Arial"/>
                <w:b/>
              </w:rPr>
              <w:t>Criteria for Assessing Score</w:t>
            </w:r>
          </w:p>
        </w:tc>
      </w:tr>
      <w:tr w:rsidR="00441C4E" w:rsidRPr="00074FDE" w:rsidTr="00441C4E">
        <w:trPr>
          <w:jc w:val="center"/>
        </w:trPr>
        <w:tc>
          <w:tcPr>
            <w:tcW w:w="766" w:type="dxa"/>
          </w:tcPr>
          <w:p w:rsidR="00441C4E" w:rsidRPr="00074FDE" w:rsidRDefault="00441C4E" w:rsidP="003526F6">
            <w:pPr>
              <w:tabs>
                <w:tab w:val="right" w:pos="9072"/>
              </w:tabs>
              <w:spacing w:before="60" w:after="60"/>
              <w:jc w:val="center"/>
              <w:rPr>
                <w:rFonts w:cs="Arial"/>
              </w:rPr>
            </w:pPr>
            <w:r w:rsidRPr="00074FDE">
              <w:rPr>
                <w:rFonts w:cs="Arial"/>
              </w:rPr>
              <w:t>1</w:t>
            </w:r>
          </w:p>
        </w:tc>
        <w:tc>
          <w:tcPr>
            <w:tcW w:w="1649" w:type="dxa"/>
          </w:tcPr>
          <w:p w:rsidR="00441C4E" w:rsidRPr="00074FDE" w:rsidRDefault="00441C4E" w:rsidP="003526F6">
            <w:pPr>
              <w:tabs>
                <w:tab w:val="right" w:pos="9072"/>
              </w:tabs>
              <w:spacing w:before="100" w:after="100"/>
              <w:rPr>
                <w:rFonts w:cs="Arial"/>
              </w:rPr>
            </w:pPr>
            <w:r w:rsidRPr="00074FDE">
              <w:rPr>
                <w:rFonts w:cs="Arial"/>
              </w:rPr>
              <w:t>Unacceptable</w:t>
            </w:r>
            <w:r>
              <w:rPr>
                <w:rFonts w:cs="Arial"/>
              </w:rPr>
              <w:t>/ Unsatisfactory</w:t>
            </w:r>
          </w:p>
        </w:tc>
        <w:tc>
          <w:tcPr>
            <w:tcW w:w="7111" w:type="dxa"/>
          </w:tcPr>
          <w:p w:rsidR="00441C4E" w:rsidRPr="00074FDE" w:rsidRDefault="00441C4E" w:rsidP="003526F6">
            <w:pPr>
              <w:tabs>
                <w:tab w:val="right" w:pos="9072"/>
              </w:tabs>
              <w:spacing w:before="100" w:after="100"/>
              <w:rPr>
                <w:rFonts w:cs="Arial"/>
              </w:rPr>
            </w:pPr>
            <w:r>
              <w:rPr>
                <w:rFonts w:cs="Arial"/>
              </w:rPr>
              <w:t>The Authority and its advisers are confident, in their professional judgement, that the submission is unacceptable or unsatisfactory. No comments or information provided or a rejection of fundamental principles, or mark-up and comments made demonstrate little or no appreciation of the issues and risks involved in the Project.  The Bidder does not accept the broad principles in the draft Contract and any amendments to risk allocation do not demonstrate any benefit/savings to the Authority. Comments and information submitted are unsatisfactory or unclear in more than one key area.</w:t>
            </w:r>
          </w:p>
        </w:tc>
      </w:tr>
      <w:tr w:rsidR="00441C4E" w:rsidRPr="00074FDE" w:rsidTr="00441C4E">
        <w:trPr>
          <w:jc w:val="center"/>
        </w:trPr>
        <w:tc>
          <w:tcPr>
            <w:tcW w:w="766" w:type="dxa"/>
          </w:tcPr>
          <w:p w:rsidR="00441C4E" w:rsidRPr="00074FDE" w:rsidRDefault="00441C4E" w:rsidP="003526F6">
            <w:pPr>
              <w:tabs>
                <w:tab w:val="right" w:pos="9072"/>
              </w:tabs>
              <w:spacing w:before="60" w:after="60"/>
              <w:jc w:val="center"/>
              <w:rPr>
                <w:rFonts w:cs="Arial"/>
              </w:rPr>
            </w:pPr>
            <w:r>
              <w:rPr>
                <w:rFonts w:cs="Arial"/>
              </w:rPr>
              <w:t>3</w:t>
            </w:r>
          </w:p>
        </w:tc>
        <w:tc>
          <w:tcPr>
            <w:tcW w:w="1649" w:type="dxa"/>
          </w:tcPr>
          <w:p w:rsidR="00441C4E" w:rsidRPr="00074FDE" w:rsidRDefault="00441C4E" w:rsidP="003526F6">
            <w:pPr>
              <w:tabs>
                <w:tab w:val="right" w:pos="9072"/>
              </w:tabs>
              <w:spacing w:before="100" w:after="100"/>
              <w:rPr>
                <w:rFonts w:cs="Arial"/>
              </w:rPr>
            </w:pPr>
            <w:r>
              <w:rPr>
                <w:rFonts w:cs="Arial"/>
              </w:rPr>
              <w:t>Poor</w:t>
            </w:r>
          </w:p>
        </w:tc>
        <w:tc>
          <w:tcPr>
            <w:tcW w:w="7111" w:type="dxa"/>
          </w:tcPr>
          <w:p w:rsidR="00441C4E" w:rsidRPr="00074FDE" w:rsidRDefault="00441C4E" w:rsidP="003526F6">
            <w:pPr>
              <w:tabs>
                <w:tab w:val="right" w:pos="9072"/>
              </w:tabs>
              <w:spacing w:before="100" w:after="100"/>
              <w:rPr>
                <w:rFonts w:cs="Arial"/>
              </w:rPr>
            </w:pPr>
            <w:r>
              <w:rPr>
                <w:rFonts w:cs="Arial"/>
              </w:rPr>
              <w:t>The Authority and its advisers are confident, in their professional judgement, that the submission has identifiable shortcomings. Mark-ups and comments made demonstrate a very basic appreciation of the issues and risks involved in the Project. The Bidder’s approach does not accept the broad principles in the draft Contract and any amendments to risk allocation do not demonstrate any benefit/savings to the Authority. Comments and information submitted are unsatisfactory or unclear in more than one key area</w:t>
            </w:r>
          </w:p>
        </w:tc>
      </w:tr>
      <w:tr w:rsidR="00441C4E" w:rsidRPr="00074FDE" w:rsidTr="00441C4E">
        <w:trPr>
          <w:jc w:val="center"/>
        </w:trPr>
        <w:tc>
          <w:tcPr>
            <w:tcW w:w="766" w:type="dxa"/>
          </w:tcPr>
          <w:p w:rsidR="00441C4E" w:rsidRPr="00074FDE" w:rsidRDefault="00441C4E" w:rsidP="003526F6">
            <w:pPr>
              <w:tabs>
                <w:tab w:val="right" w:pos="9072"/>
              </w:tabs>
              <w:spacing w:before="60" w:after="60"/>
              <w:jc w:val="center"/>
              <w:rPr>
                <w:rFonts w:cs="Arial"/>
              </w:rPr>
            </w:pPr>
            <w:r>
              <w:rPr>
                <w:rFonts w:cs="Arial"/>
              </w:rPr>
              <w:t>5</w:t>
            </w:r>
          </w:p>
        </w:tc>
        <w:tc>
          <w:tcPr>
            <w:tcW w:w="1649" w:type="dxa"/>
          </w:tcPr>
          <w:p w:rsidR="00441C4E" w:rsidRPr="00074FDE" w:rsidRDefault="00441C4E" w:rsidP="003526F6">
            <w:pPr>
              <w:tabs>
                <w:tab w:val="right" w:pos="9072"/>
              </w:tabs>
              <w:spacing w:before="100" w:after="100"/>
              <w:rPr>
                <w:rFonts w:cs="Arial"/>
              </w:rPr>
            </w:pPr>
            <w:r>
              <w:rPr>
                <w:rFonts w:cs="Arial"/>
              </w:rPr>
              <w:t>Satisfactory</w:t>
            </w:r>
          </w:p>
        </w:tc>
        <w:tc>
          <w:tcPr>
            <w:tcW w:w="7111" w:type="dxa"/>
          </w:tcPr>
          <w:p w:rsidR="00441C4E" w:rsidRPr="00074FDE" w:rsidRDefault="00441C4E" w:rsidP="003526F6">
            <w:pPr>
              <w:tabs>
                <w:tab w:val="right" w:pos="9072"/>
              </w:tabs>
              <w:spacing w:before="100" w:after="100"/>
              <w:rPr>
                <w:rFonts w:cs="Arial"/>
              </w:rPr>
            </w:pPr>
            <w:r>
              <w:rPr>
                <w:rFonts w:cs="Arial"/>
              </w:rPr>
              <w:t xml:space="preserve">The Authority and its advisers are confident, in their professional judgement, that the submission is satisfactory. Mark-ups and comments made demonstrate a basic appreciation of the issues and </w:t>
            </w:r>
            <w:r>
              <w:rPr>
                <w:rFonts w:cs="Arial"/>
              </w:rPr>
              <w:lastRenderedPageBreak/>
              <w:t>risks involved in the Project. The Bidder’s approach indicates a broad acceptance of the principles in the draft Contract and any amendments to risk allocation demonstrate some limited benefit/savings to the Authority. Comments and information submitted are sufficiently detailed in key areas</w:t>
            </w:r>
          </w:p>
        </w:tc>
      </w:tr>
      <w:tr w:rsidR="00441C4E" w:rsidRPr="00074FDE" w:rsidTr="00441C4E">
        <w:trPr>
          <w:jc w:val="center"/>
        </w:trPr>
        <w:tc>
          <w:tcPr>
            <w:tcW w:w="766" w:type="dxa"/>
          </w:tcPr>
          <w:p w:rsidR="00441C4E" w:rsidRPr="00074FDE" w:rsidRDefault="00441C4E" w:rsidP="003526F6">
            <w:pPr>
              <w:tabs>
                <w:tab w:val="right" w:pos="9072"/>
              </w:tabs>
              <w:spacing w:before="60" w:after="60"/>
              <w:jc w:val="center"/>
              <w:rPr>
                <w:rFonts w:cs="Arial"/>
              </w:rPr>
            </w:pPr>
            <w:r>
              <w:rPr>
                <w:rFonts w:cs="Arial"/>
              </w:rPr>
              <w:lastRenderedPageBreak/>
              <w:t>7</w:t>
            </w:r>
          </w:p>
        </w:tc>
        <w:tc>
          <w:tcPr>
            <w:tcW w:w="1649" w:type="dxa"/>
          </w:tcPr>
          <w:p w:rsidR="00441C4E" w:rsidRPr="00074FDE" w:rsidRDefault="00441C4E" w:rsidP="003526F6">
            <w:pPr>
              <w:tabs>
                <w:tab w:val="right" w:pos="9072"/>
              </w:tabs>
              <w:spacing w:before="100" w:after="100"/>
              <w:rPr>
                <w:rFonts w:cs="Arial"/>
              </w:rPr>
            </w:pPr>
            <w:r>
              <w:rPr>
                <w:rFonts w:cs="Arial"/>
              </w:rPr>
              <w:t>Good</w:t>
            </w:r>
          </w:p>
        </w:tc>
        <w:tc>
          <w:tcPr>
            <w:tcW w:w="7111" w:type="dxa"/>
          </w:tcPr>
          <w:p w:rsidR="00441C4E" w:rsidRPr="00074FDE" w:rsidRDefault="00441C4E" w:rsidP="003526F6">
            <w:pPr>
              <w:tabs>
                <w:tab w:val="right" w:pos="9072"/>
              </w:tabs>
              <w:spacing w:before="100" w:after="100"/>
              <w:rPr>
                <w:rFonts w:cs="Arial"/>
              </w:rPr>
            </w:pPr>
            <w:r>
              <w:rPr>
                <w:rFonts w:cs="Arial"/>
              </w:rPr>
              <w:t>The Authority and its advisers are confident, in their professional judgement, that the submission is good. Mark-ups and comments made demonstrate a good appreciation of the issues and risks involved in the Project. The Bidder’s approach indicates acceptance of the principles in the draft Contract and any amendments to risk allocation demonstrate a number of benefits/savings to the Authority. Comments and information submitted demonstrate a good appreciation of the issues and risks involved and are designed to improve the delivery of the Project. Comments and information submitted are sufficiently detailed in key areas</w:t>
            </w:r>
          </w:p>
        </w:tc>
      </w:tr>
      <w:tr w:rsidR="00441C4E" w:rsidRPr="00074FDE" w:rsidTr="00441C4E">
        <w:trPr>
          <w:trHeight w:val="628"/>
          <w:jc w:val="center"/>
        </w:trPr>
        <w:tc>
          <w:tcPr>
            <w:tcW w:w="766" w:type="dxa"/>
          </w:tcPr>
          <w:p w:rsidR="00441C4E" w:rsidRPr="00074FDE" w:rsidRDefault="00441C4E" w:rsidP="003526F6">
            <w:pPr>
              <w:tabs>
                <w:tab w:val="right" w:pos="9072"/>
              </w:tabs>
              <w:spacing w:before="60" w:after="60"/>
              <w:rPr>
                <w:rFonts w:cs="Arial"/>
              </w:rPr>
            </w:pPr>
            <w:r>
              <w:rPr>
                <w:rFonts w:cs="Arial"/>
              </w:rPr>
              <w:t>10</w:t>
            </w:r>
          </w:p>
        </w:tc>
        <w:tc>
          <w:tcPr>
            <w:tcW w:w="1649" w:type="dxa"/>
          </w:tcPr>
          <w:p w:rsidR="00441C4E" w:rsidRPr="00074FDE" w:rsidRDefault="00441C4E" w:rsidP="003526F6">
            <w:pPr>
              <w:tabs>
                <w:tab w:val="right" w:pos="9072"/>
              </w:tabs>
              <w:spacing w:before="100" w:after="100"/>
              <w:rPr>
                <w:rFonts w:cs="Arial"/>
              </w:rPr>
            </w:pPr>
            <w:r>
              <w:rPr>
                <w:rFonts w:cs="Arial"/>
              </w:rPr>
              <w:t>Excellent</w:t>
            </w:r>
          </w:p>
        </w:tc>
        <w:tc>
          <w:tcPr>
            <w:tcW w:w="7111" w:type="dxa"/>
          </w:tcPr>
          <w:p w:rsidR="00441C4E" w:rsidRPr="00074FDE" w:rsidRDefault="00441C4E" w:rsidP="003526F6">
            <w:pPr>
              <w:tabs>
                <w:tab w:val="right" w:pos="9072"/>
              </w:tabs>
              <w:spacing w:before="100" w:after="100"/>
              <w:rPr>
                <w:rFonts w:cs="Arial"/>
              </w:rPr>
            </w:pPr>
            <w:r>
              <w:rPr>
                <w:rFonts w:cs="Arial"/>
              </w:rPr>
              <w:t>The Authority and its advisers are confident, in their professional judgement, that the submission is excellent. Mark-ups and comments made demonstrate an excellent appreciation of the issues and risks involved in the Project. The Bidder’s approach indicates detailed acceptance of the principles in the draft Contract and any amendments to risk allocation clearly identify a number of benefits/savings to the Authority in a clear and credible fashion. Comments and information submitted demonstrate an excellent appreciation of the issues and risks involved and are demonstrably improve the delivery of the Project. Comments and information submitted are  detailed in key areas</w:t>
            </w:r>
          </w:p>
        </w:tc>
      </w:tr>
    </w:tbl>
    <w:p w:rsidR="00441C4E" w:rsidRPr="00441C4E" w:rsidRDefault="00441C4E" w:rsidP="00A867A5"/>
    <w:p w:rsidR="007475E9" w:rsidRDefault="00441C4E" w:rsidP="00A867A5">
      <w:r>
        <w:t xml:space="preserve">The affordability evaluation was undertaken based on a calculation of how far below the affordability levels the bidders scored, with a maximum score of </w:t>
      </w:r>
      <w:r w:rsidRPr="005A2613">
        <w:t xml:space="preserve">10 if they were £500,000 </w:t>
      </w:r>
      <w:r w:rsidR="007C2307" w:rsidRPr="005A2613">
        <w:t xml:space="preserve">per annum </w:t>
      </w:r>
      <w:r w:rsidRPr="005A2613">
        <w:t>low</w:t>
      </w:r>
      <w:r w:rsidR="005A2613">
        <w:t>er than the affordability level</w:t>
      </w:r>
      <w:r w:rsidRPr="005A2613">
        <w:t>.</w:t>
      </w:r>
      <w:r w:rsidR="005A2613">
        <w:t xml:space="preserve"> This is based on an assessment of the average annual management fee including the cost of any capital required.</w:t>
      </w:r>
      <w:r w:rsidR="00A36355">
        <w:t xml:space="preserve"> The scores were then pro-rated</w:t>
      </w:r>
      <w:r w:rsidR="005A2613">
        <w:t xml:space="preserve"> if bidders were below the affordability level but didn’t deliver savings up to £500,000.</w:t>
      </w:r>
    </w:p>
    <w:p w:rsidR="00441C4E" w:rsidRPr="00441C4E" w:rsidRDefault="00441C4E" w:rsidP="00A867A5"/>
    <w:p w:rsidR="007C2307" w:rsidRDefault="007C2307" w:rsidP="007C2307">
      <w:r>
        <w:t xml:space="preserve">An agreed process for evaluation was undertaken based on the following structure, with the evaluation teams reporting to the Project Team and subsequently Committee &amp; Cabinet. </w:t>
      </w:r>
    </w:p>
    <w:p w:rsidR="007C2307" w:rsidRDefault="007C2307">
      <w:r>
        <w:br w:type="page"/>
      </w:r>
    </w:p>
    <w:p w:rsidR="007C2307" w:rsidRDefault="007C2307" w:rsidP="007C2307"/>
    <w:p w:rsidR="007C2307" w:rsidRDefault="007C2307" w:rsidP="007C2307">
      <w:r>
        <w:rPr>
          <w:noProof/>
          <w:lang w:eastAsia="en-GB"/>
        </w:rPr>
        <mc:AlternateContent>
          <mc:Choice Requires="wpg">
            <w:drawing>
              <wp:anchor distT="0" distB="0" distL="114300" distR="114300" simplePos="0" relativeHeight="251666432" behindDoc="0" locked="0" layoutInCell="1" allowOverlap="1" wp14:anchorId="61BCEFCA" wp14:editId="2847FB37">
                <wp:simplePos x="0" y="0"/>
                <wp:positionH relativeFrom="column">
                  <wp:posOffset>-66675</wp:posOffset>
                </wp:positionH>
                <wp:positionV relativeFrom="paragraph">
                  <wp:posOffset>90170</wp:posOffset>
                </wp:positionV>
                <wp:extent cx="5477510" cy="2755900"/>
                <wp:effectExtent l="57150" t="0" r="85090" b="101600"/>
                <wp:wrapNone/>
                <wp:docPr id="4" name="Group 4"/>
                <wp:cNvGraphicFramePr/>
                <a:graphic xmlns:a="http://schemas.openxmlformats.org/drawingml/2006/main">
                  <a:graphicData uri="http://schemas.microsoft.com/office/word/2010/wordprocessingGroup">
                    <wpg:wgp>
                      <wpg:cNvGrpSpPr/>
                      <wpg:grpSpPr>
                        <a:xfrm>
                          <a:off x="0" y="0"/>
                          <a:ext cx="5477510" cy="2755900"/>
                          <a:chOff x="0" y="0"/>
                          <a:chExt cx="5477510" cy="2755900"/>
                        </a:xfrm>
                      </wpg:grpSpPr>
                      <wps:wsp>
                        <wps:cNvPr id="12" name="Straight Connector 12"/>
                        <wps:cNvCnPr/>
                        <wps:spPr>
                          <a:xfrm>
                            <a:off x="2806700" y="152400"/>
                            <a:ext cx="0" cy="758051"/>
                          </a:xfrm>
                          <a:prstGeom prst="line">
                            <a:avLst/>
                          </a:prstGeom>
                          <a:noFill/>
                          <a:ln w="9525" cap="flat" cmpd="sng" algn="ctr">
                            <a:solidFill>
                              <a:sysClr val="windowText" lastClr="000000">
                                <a:shade val="95000"/>
                                <a:satMod val="105000"/>
                              </a:sysClr>
                            </a:solidFill>
                            <a:prstDash val="solid"/>
                          </a:ln>
                          <a:effectLst/>
                        </wps:spPr>
                        <wps:bodyPr/>
                      </wps:wsp>
                      <wps:wsp>
                        <wps:cNvPr id="307" name="Text Box 2"/>
                        <wps:cNvSpPr txBox="1">
                          <a:spLocks noChangeArrowheads="1"/>
                        </wps:cNvSpPr>
                        <wps:spPr bwMode="auto">
                          <a:xfrm>
                            <a:off x="1778000" y="0"/>
                            <a:ext cx="2171700" cy="289932"/>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7C2307" w:rsidRPr="005B457C" w:rsidRDefault="007C2307" w:rsidP="007C2307">
                              <w:pPr>
                                <w:jc w:val="center"/>
                                <w:rPr>
                                  <w:b/>
                                </w:rPr>
                              </w:pPr>
                              <w:r>
                                <w:rPr>
                                  <w:b/>
                                </w:rPr>
                                <w:t xml:space="preserve">Project </w:t>
                              </w:r>
                              <w:r w:rsidRPr="005B457C">
                                <w:rPr>
                                  <w:b/>
                                </w:rPr>
                                <w:t>Team</w:t>
                              </w:r>
                            </w:p>
                          </w:txbxContent>
                        </wps:txbx>
                        <wps:bodyPr rot="0" vert="horz" wrap="square" lIns="91440" tIns="45720" rIns="91440" bIns="45720" anchor="ctr" anchorCtr="0">
                          <a:noAutofit/>
                        </wps:bodyPr>
                      </wps:wsp>
                      <wps:wsp>
                        <wps:cNvPr id="7" name="Text Box 2"/>
                        <wps:cNvSpPr txBox="1">
                          <a:spLocks noChangeArrowheads="1"/>
                        </wps:cNvSpPr>
                        <wps:spPr bwMode="auto">
                          <a:xfrm>
                            <a:off x="0" y="749300"/>
                            <a:ext cx="1706137" cy="116522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headEnd/>
                            <a:tailEnd/>
                          </a:ln>
                          <a:effectLst>
                            <a:outerShdw blurRad="40000" dist="20000" dir="5400000" rotWithShape="0">
                              <a:srgbClr val="000000">
                                <a:alpha val="38000"/>
                              </a:srgbClr>
                            </a:outerShdw>
                          </a:effectLst>
                        </wps:spPr>
                        <wps:txbx>
                          <w:txbxContent>
                            <w:p w:rsidR="007C2307" w:rsidRDefault="007C2307" w:rsidP="007C2307">
                              <w:pPr>
                                <w:jc w:val="center"/>
                                <w:rPr>
                                  <w:b/>
                                </w:rPr>
                              </w:pPr>
                              <w:r>
                                <w:rPr>
                                  <w:b/>
                                </w:rPr>
                                <w:t>Services Evaluation Team</w:t>
                              </w:r>
                            </w:p>
                            <w:p w:rsidR="007C2307" w:rsidRDefault="007C2307" w:rsidP="007C2307">
                              <w:pPr>
                                <w:jc w:val="center"/>
                              </w:pPr>
                              <w:r>
                                <w:t>Ray Figg</w:t>
                              </w:r>
                            </w:p>
                            <w:p w:rsidR="007C2307" w:rsidRDefault="007C2307" w:rsidP="007C2307">
                              <w:pPr>
                                <w:jc w:val="center"/>
                              </w:pPr>
                              <w:r>
                                <w:t>Kelly Barnard</w:t>
                              </w:r>
                            </w:p>
                            <w:p w:rsidR="007C2307" w:rsidRPr="009368AA" w:rsidRDefault="007C2307" w:rsidP="007C2307">
                              <w:pPr>
                                <w:jc w:val="center"/>
                              </w:pPr>
                              <w:r>
                                <w:t>Chris Hope</w:t>
                              </w:r>
                            </w:p>
                          </w:txbxContent>
                        </wps:txbx>
                        <wps:bodyPr rot="0" vert="horz" wrap="square" lIns="91440" tIns="45720" rIns="91440" bIns="45720" anchor="ctr" anchorCtr="0">
                          <a:noAutofit/>
                        </wps:bodyPr>
                      </wps:wsp>
                      <wps:wsp>
                        <wps:cNvPr id="8" name="Text Box 2"/>
                        <wps:cNvSpPr txBox="1">
                          <a:spLocks noChangeArrowheads="1"/>
                        </wps:cNvSpPr>
                        <wps:spPr bwMode="auto">
                          <a:xfrm>
                            <a:off x="1943100" y="749300"/>
                            <a:ext cx="1705610" cy="1360448"/>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headEnd/>
                            <a:tailEnd/>
                          </a:ln>
                          <a:effectLst>
                            <a:outerShdw blurRad="40000" dist="20000" dir="5400000" rotWithShape="0">
                              <a:srgbClr val="000000">
                                <a:alpha val="38000"/>
                              </a:srgbClr>
                            </a:outerShdw>
                          </a:effectLst>
                        </wps:spPr>
                        <wps:txbx>
                          <w:txbxContent>
                            <w:p w:rsidR="007C2307" w:rsidRDefault="007C2307" w:rsidP="007C2307">
                              <w:pPr>
                                <w:jc w:val="center"/>
                                <w:rPr>
                                  <w:b/>
                                </w:rPr>
                              </w:pPr>
                              <w:r>
                                <w:rPr>
                                  <w:b/>
                                </w:rPr>
                                <w:t>Technical Evaluation Team</w:t>
                              </w:r>
                            </w:p>
                            <w:p w:rsidR="007C2307" w:rsidRDefault="007C2307" w:rsidP="007C2307">
                              <w:pPr>
                                <w:jc w:val="center"/>
                              </w:pPr>
                              <w:r>
                                <w:t>Dave Saunders</w:t>
                              </w:r>
                            </w:p>
                            <w:p w:rsidR="007C2307" w:rsidRDefault="007C2307" w:rsidP="007C2307">
                              <w:pPr>
                                <w:jc w:val="center"/>
                              </w:pPr>
                              <w:r>
                                <w:t>Ray Figg</w:t>
                              </w:r>
                            </w:p>
                            <w:p w:rsidR="007C2307" w:rsidRPr="009368AA" w:rsidRDefault="007C2307" w:rsidP="007C2307">
                              <w:pPr>
                                <w:jc w:val="center"/>
                              </w:pPr>
                              <w:r>
                                <w:t>Chris Hope</w:t>
                              </w:r>
                            </w:p>
                          </w:txbxContent>
                        </wps:txbx>
                        <wps:bodyPr rot="0" vert="horz" wrap="square" lIns="91440" tIns="45720" rIns="91440" bIns="45720" anchor="ctr" anchorCtr="0">
                          <a:noAutofit/>
                        </wps:bodyPr>
                      </wps:wsp>
                      <wps:wsp>
                        <wps:cNvPr id="9" name="Text Box 2"/>
                        <wps:cNvSpPr txBox="1">
                          <a:spLocks noChangeArrowheads="1"/>
                        </wps:cNvSpPr>
                        <wps:spPr bwMode="auto">
                          <a:xfrm>
                            <a:off x="3771900" y="762000"/>
                            <a:ext cx="1705610" cy="199390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headEnd/>
                            <a:tailEnd/>
                          </a:ln>
                          <a:effectLst>
                            <a:outerShdw blurRad="40000" dist="20000" dir="5400000" rotWithShape="0">
                              <a:srgbClr val="000000">
                                <a:alpha val="38000"/>
                              </a:srgbClr>
                            </a:outerShdw>
                          </a:effectLst>
                        </wps:spPr>
                        <wps:txbx>
                          <w:txbxContent>
                            <w:p w:rsidR="007C2307" w:rsidRDefault="007C2307" w:rsidP="007C2307">
                              <w:pPr>
                                <w:jc w:val="center"/>
                                <w:rPr>
                                  <w:b/>
                                </w:rPr>
                              </w:pPr>
                              <w:r>
                                <w:rPr>
                                  <w:b/>
                                </w:rPr>
                                <w:t>Commercial Evaluation Team</w:t>
                              </w:r>
                            </w:p>
                            <w:p w:rsidR="007C2307" w:rsidRDefault="007C2307" w:rsidP="007C2307">
                              <w:pPr>
                                <w:jc w:val="center"/>
                              </w:pPr>
                              <w:r>
                                <w:t>Bob Watson</w:t>
                              </w:r>
                            </w:p>
                            <w:p w:rsidR="007C2307" w:rsidRDefault="007C2307" w:rsidP="007C2307">
                              <w:pPr>
                                <w:jc w:val="center"/>
                              </w:pPr>
                              <w:r>
                                <w:t>Nigel Pollard</w:t>
                              </w:r>
                            </w:p>
                            <w:p w:rsidR="007C2307" w:rsidRDefault="007C2307" w:rsidP="007C2307">
                              <w:pPr>
                                <w:jc w:val="center"/>
                              </w:pPr>
                              <w:r>
                                <w:t>Robin Thompson</w:t>
                              </w:r>
                            </w:p>
                            <w:p w:rsidR="007C2307" w:rsidRDefault="007C2307" w:rsidP="007C2307">
                              <w:pPr>
                                <w:jc w:val="center"/>
                              </w:pPr>
                            </w:p>
                            <w:p w:rsidR="007C2307" w:rsidRPr="009368AA" w:rsidRDefault="007C2307" w:rsidP="007C2307">
                              <w:pPr>
                                <w:jc w:val="center"/>
                                <w:rPr>
                                  <w:b/>
                                </w:rPr>
                              </w:pPr>
                              <w:r w:rsidRPr="009368AA">
                                <w:rPr>
                                  <w:b/>
                                </w:rPr>
                                <w:t>Legal Evaluation</w:t>
                              </w:r>
                            </w:p>
                            <w:p w:rsidR="007C2307" w:rsidRDefault="007C2307" w:rsidP="007C2307">
                              <w:pPr>
                                <w:jc w:val="center"/>
                              </w:pPr>
                              <w:r>
                                <w:t>James Baldwin</w:t>
                              </w:r>
                            </w:p>
                            <w:p w:rsidR="007C2307" w:rsidRPr="009368AA" w:rsidRDefault="007C2307" w:rsidP="007C2307">
                              <w:pPr>
                                <w:jc w:val="center"/>
                              </w:pPr>
                              <w:r>
                                <w:t>Bond Dickinson</w:t>
                              </w:r>
                            </w:p>
                          </w:txbxContent>
                        </wps:txbx>
                        <wps:bodyPr rot="0" vert="horz" wrap="square" lIns="91440" tIns="45720" rIns="91440" bIns="45720" anchor="ctr" anchorCtr="0">
                          <a:noAutofit/>
                        </wps:bodyPr>
                      </wps:wsp>
                      <wps:wsp>
                        <wps:cNvPr id="11" name="Straight Connector 11"/>
                        <wps:cNvCnPr/>
                        <wps:spPr>
                          <a:xfrm>
                            <a:off x="876300" y="393700"/>
                            <a:ext cx="3702205" cy="11151"/>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flipH="1">
                            <a:off x="876300" y="393700"/>
                            <a:ext cx="604" cy="379002"/>
                          </a:xfrm>
                          <a:prstGeom prst="line">
                            <a:avLst/>
                          </a:prstGeom>
                          <a:noFill/>
                          <a:ln w="9525" cap="flat" cmpd="sng" algn="ctr">
                            <a:solidFill>
                              <a:sysClr val="windowText" lastClr="000000">
                                <a:shade val="95000"/>
                                <a:satMod val="105000"/>
                              </a:sysClr>
                            </a:solidFill>
                            <a:prstDash val="solid"/>
                          </a:ln>
                          <a:effectLst/>
                        </wps:spPr>
                        <wps:bodyPr/>
                      </wps:wsp>
                      <wps:wsp>
                        <wps:cNvPr id="14" name="Straight Connector 14"/>
                        <wps:cNvCnPr/>
                        <wps:spPr>
                          <a:xfrm flipV="1">
                            <a:off x="4584700" y="419100"/>
                            <a:ext cx="0" cy="356468"/>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id="Group 4" o:spid="_x0000_s1026" style="position:absolute;margin-left:-5.25pt;margin-top:7.1pt;width:431.3pt;height:217pt;z-index:251666432" coordsize="54775,27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">
                <v:line id="Straight Connector 12" o:spid="_x0000_s1027" style="position:absolute;visibility:visible;mso-wrap-style:square" from="28067,1524" to="28067,9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type id="_x0000_t202" coordsize="21600,21600" o:spt="202" path="m,l,21600r21600,l21600,xe">
                  <v:stroke joinstyle="miter"/>
                  <v:path gradientshapeok="t" o:connecttype="rect"/>
                </v:shapetype>
                <v:shape id="Text Box 2" o:spid="_x0000_s1028" type="#_x0000_t202" style="position:absolute;left:17780;width:21717;height:2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dMcYA&#10;AADcAAAADwAAAGRycy9kb3ducmV2LnhtbESPQWvCQBSE7wX/w/KEXoputNDG6CoiLfZU0cb7I/ua&#10;Tc2+jdk1pv76bqHQ4zAz3zCLVW9r0VHrK8cKJuMEBHHhdMWlgvzjdZSC8AFZY+2YFHyTh9VycLfA&#10;TLsr76k7hFJECPsMFZgQmkxKXxiy6MeuIY7ep2sthijbUuoWrxFuazlNkidpseK4YLChjaHidLhY&#10;BS8PE3M7T/Njur10t/evbTrb5alS98N+PQcRqA//4b/2m1bwmDzD75l4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vdMcYAAADcAAAADwAAAAAAAAAAAAAAAACYAgAAZHJz&#10;L2Rvd25yZXYueG1sUEsFBgAAAAAEAAQA9QAAAIsDAAAAAA==&#10;" fillcolor="#060a13 [328]" strokecolor="#4472c4 [3208]" strokeweight=".5pt">
                  <v:fill color2="#030509 [168]" rotate="t" colors="0 #a8b7df;.5 #9aabd9;1 #879ed7" focus="100%" type="gradient">
                    <o:fill v:ext="view" type="gradientUnscaled"/>
                  </v:fill>
                  <v:textbox>
                    <w:txbxContent>
                      <w:p w:rsidR="007C2307" w:rsidRPr="005B457C" w:rsidRDefault="007C2307" w:rsidP="007C2307">
                        <w:pPr>
                          <w:jc w:val="center"/>
                          <w:rPr>
                            <w:b/>
                          </w:rPr>
                        </w:pPr>
                        <w:r>
                          <w:rPr>
                            <w:b/>
                          </w:rPr>
                          <w:t xml:space="preserve">Project </w:t>
                        </w:r>
                        <w:r w:rsidRPr="005B457C">
                          <w:rPr>
                            <w:b/>
                          </w:rPr>
                          <w:t>Team</w:t>
                        </w:r>
                      </w:p>
                    </w:txbxContent>
                  </v:textbox>
                </v:shape>
                <v:shape id="Text Box 2" o:spid="_x0000_s1029" type="#_x0000_t202" style="position:absolute;top:7493;width:17061;height:11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Ib4MQA&#10;AADaAAAADwAAAGRycy9kb3ducmV2LnhtbESPQWvCQBSE7wX/w/KE3urGQtWmriLSFKteqh56fGSf&#10;2Zjs25Ddmvjvu0Khx2FmvmHmy97W4kqtLx0rGI8SEMS50yUXCk7H7GkGwgdkjbVjUnAjD8vF4GGO&#10;qXYdf9H1EAoRIexTVGBCaFIpfW7Ioh+5hjh6Z9daDFG2hdQtdhFua/mcJBNpseS4YLChtaG8OvxY&#10;Bf33ptpP68v760eO2TYzL+MdfSr1OOxXbyAC9eE//NfeaAVTuF+JN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CG+DEAAAA2gAAAA8AAAAAAAAAAAAAAAAAmAIAAGRycy9k&#10;b3ducmV2LnhtbFBLBQYAAAAABAAEAPUAAACJAwAAAAA=&#10;" fillcolor="#9eeaff" strokecolor="#46aac5">
                  <v:fill color2="#e4f9ff" rotate="t" angle="180" colors="0 #9eeaff;22938f #bbefff;1 #e4f9ff" focus="100%" type="gradient"/>
                  <v:shadow on="t" color="black" opacity="24903f" origin=",.5" offset="0,.55556mm"/>
                  <v:textbox>
                    <w:txbxContent>
                      <w:p w:rsidR="007C2307" w:rsidRDefault="007C2307" w:rsidP="007C2307">
                        <w:pPr>
                          <w:jc w:val="center"/>
                          <w:rPr>
                            <w:b/>
                          </w:rPr>
                        </w:pPr>
                        <w:r>
                          <w:rPr>
                            <w:b/>
                          </w:rPr>
                          <w:t>Services Evaluation Team</w:t>
                        </w:r>
                      </w:p>
                      <w:p w:rsidR="007C2307" w:rsidRDefault="007C2307" w:rsidP="007C2307">
                        <w:pPr>
                          <w:jc w:val="center"/>
                        </w:pPr>
                        <w:r>
                          <w:t>Ray Figg</w:t>
                        </w:r>
                      </w:p>
                      <w:p w:rsidR="007C2307" w:rsidRDefault="007C2307" w:rsidP="007C2307">
                        <w:pPr>
                          <w:jc w:val="center"/>
                        </w:pPr>
                        <w:r>
                          <w:t>Kelly Barnard</w:t>
                        </w:r>
                      </w:p>
                      <w:p w:rsidR="007C2307" w:rsidRPr="009368AA" w:rsidRDefault="007C2307" w:rsidP="007C2307">
                        <w:pPr>
                          <w:jc w:val="center"/>
                        </w:pPr>
                        <w:r>
                          <w:t>Chris Hope</w:t>
                        </w:r>
                      </w:p>
                    </w:txbxContent>
                  </v:textbox>
                </v:shape>
                <v:shape id="Text Box 2" o:spid="_x0000_s1030" type="#_x0000_t202" style="position:absolute;left:19431;top:7493;width:17056;height:1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2PksAA&#10;AADaAAAADwAAAGRycy9kb3ducmV2LnhtbERPu27CMBTdK/EP1kViKw5IUAgYhBCpaGHhMTBexZc4&#10;EF9HsQvh7+uhUsej854vW1uJBzW+dKxg0E9AEOdOl1woOJ+y9wkIH5A1Vo5JwYs8LBedtzmm2j35&#10;QI9jKEQMYZ+iAhNCnUrpc0MWfd/VxJG7usZiiLAppG7wGcNtJYdJMpYWS44NBmtaG8rvxx+roL1s&#10;7/uP6raZfuaYfWdmNNjRl1K9bruagQjUhn/xn3urFcSt8Uq8AXL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Z2PksAAAADaAAAADwAAAAAAAAAAAAAAAACYAgAAZHJzL2Rvd25y&#10;ZXYueG1sUEsFBgAAAAAEAAQA9QAAAIUDAAAAAA==&#10;" fillcolor="#9eeaff" strokecolor="#46aac5">
                  <v:fill color2="#e4f9ff" rotate="t" angle="180" colors="0 #9eeaff;22938f #bbefff;1 #e4f9ff" focus="100%" type="gradient"/>
                  <v:shadow on="t" color="black" opacity="24903f" origin=",.5" offset="0,.55556mm"/>
                  <v:textbox>
                    <w:txbxContent>
                      <w:p w:rsidR="007C2307" w:rsidRDefault="007C2307" w:rsidP="007C2307">
                        <w:pPr>
                          <w:jc w:val="center"/>
                          <w:rPr>
                            <w:b/>
                          </w:rPr>
                        </w:pPr>
                        <w:r>
                          <w:rPr>
                            <w:b/>
                          </w:rPr>
                          <w:t>Technical Evaluation Team</w:t>
                        </w:r>
                      </w:p>
                      <w:p w:rsidR="007C2307" w:rsidRDefault="007C2307" w:rsidP="007C2307">
                        <w:pPr>
                          <w:jc w:val="center"/>
                        </w:pPr>
                        <w:r>
                          <w:t>Dave Saunders</w:t>
                        </w:r>
                      </w:p>
                      <w:p w:rsidR="007C2307" w:rsidRDefault="007C2307" w:rsidP="007C2307">
                        <w:pPr>
                          <w:jc w:val="center"/>
                        </w:pPr>
                        <w:r>
                          <w:t>Ray Figg</w:t>
                        </w:r>
                      </w:p>
                      <w:p w:rsidR="007C2307" w:rsidRPr="009368AA" w:rsidRDefault="007C2307" w:rsidP="007C2307">
                        <w:pPr>
                          <w:jc w:val="center"/>
                        </w:pPr>
                        <w:r>
                          <w:t>Chris Hope</w:t>
                        </w:r>
                      </w:p>
                    </w:txbxContent>
                  </v:textbox>
                </v:shape>
                <v:shape id="Text Box 2" o:spid="_x0000_s1031" type="#_x0000_t202" style="position:absolute;left:37719;top:7620;width:17056;height:199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EqCcMA&#10;AADaAAAADwAAAGRycy9kb3ducmV2LnhtbESPT2sCMRTE7wW/Q3iF3jSrUKurUUS64r9LrQePj81z&#10;s3XzsmxSXb+9KQg9DjPzG2Y6b20lrtT40rGCfi8BQZw7XXKh4PiddUcgfEDWWDkmBXfyMJ91XqaY&#10;anfjL7oeQiEihH2KCkwIdSqlzw1Z9D1XE0fv7BqLIcqmkLrBW4TbSg6SZCgtlhwXDNa0NJRfDr9W&#10;QXtaX/Yf1c/neJVjts3Me39HG6XeXtvFBESgNvyHn+21VjCGvyvxBs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EqCcMAAADaAAAADwAAAAAAAAAAAAAAAACYAgAAZHJzL2Rv&#10;d25yZXYueG1sUEsFBgAAAAAEAAQA9QAAAIgDAAAAAA==&#10;" fillcolor="#9eeaff" strokecolor="#46aac5">
                  <v:fill color2="#e4f9ff" rotate="t" angle="180" colors="0 #9eeaff;22938f #bbefff;1 #e4f9ff" focus="100%" type="gradient"/>
                  <v:shadow on="t" color="black" opacity="24903f" origin=",.5" offset="0,.55556mm"/>
                  <v:textbox>
                    <w:txbxContent>
                      <w:p w:rsidR="007C2307" w:rsidRDefault="007C2307" w:rsidP="007C2307">
                        <w:pPr>
                          <w:jc w:val="center"/>
                          <w:rPr>
                            <w:b/>
                          </w:rPr>
                        </w:pPr>
                        <w:r>
                          <w:rPr>
                            <w:b/>
                          </w:rPr>
                          <w:t>Commercial Evaluation Team</w:t>
                        </w:r>
                      </w:p>
                      <w:p w:rsidR="007C2307" w:rsidRDefault="007C2307" w:rsidP="007C2307">
                        <w:pPr>
                          <w:jc w:val="center"/>
                        </w:pPr>
                        <w:r>
                          <w:t>Bob Watson</w:t>
                        </w:r>
                      </w:p>
                      <w:p w:rsidR="007C2307" w:rsidRDefault="007C2307" w:rsidP="007C2307">
                        <w:pPr>
                          <w:jc w:val="center"/>
                        </w:pPr>
                        <w:r>
                          <w:t>Nigel Pollard</w:t>
                        </w:r>
                      </w:p>
                      <w:p w:rsidR="007C2307" w:rsidRDefault="007C2307" w:rsidP="007C2307">
                        <w:pPr>
                          <w:jc w:val="center"/>
                        </w:pPr>
                        <w:r>
                          <w:t>Robin Thompson</w:t>
                        </w:r>
                      </w:p>
                      <w:p w:rsidR="007C2307" w:rsidRDefault="007C2307" w:rsidP="007C2307">
                        <w:pPr>
                          <w:jc w:val="center"/>
                        </w:pPr>
                      </w:p>
                      <w:p w:rsidR="007C2307" w:rsidRPr="009368AA" w:rsidRDefault="007C2307" w:rsidP="007C2307">
                        <w:pPr>
                          <w:jc w:val="center"/>
                          <w:rPr>
                            <w:b/>
                          </w:rPr>
                        </w:pPr>
                        <w:r w:rsidRPr="009368AA">
                          <w:rPr>
                            <w:b/>
                          </w:rPr>
                          <w:t>Legal Evaluation</w:t>
                        </w:r>
                      </w:p>
                      <w:p w:rsidR="007C2307" w:rsidRDefault="007C2307" w:rsidP="007C2307">
                        <w:pPr>
                          <w:jc w:val="center"/>
                        </w:pPr>
                        <w:r>
                          <w:t>James Baldwin</w:t>
                        </w:r>
                      </w:p>
                      <w:p w:rsidR="007C2307" w:rsidRPr="009368AA" w:rsidRDefault="007C2307" w:rsidP="007C2307">
                        <w:pPr>
                          <w:jc w:val="center"/>
                        </w:pPr>
                        <w:r>
                          <w:t>Bond Dickinson</w:t>
                        </w:r>
                      </w:p>
                    </w:txbxContent>
                  </v:textbox>
                </v:shape>
                <v:line id="Straight Connector 11" o:spid="_x0000_s1032" style="position:absolute;visibility:visible;mso-wrap-style:square" from="8763,3937" to="45785,4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3aKMIAAADbAAAADwAAAGRycy9kb3ducmV2LnhtbERP32vCMBB+F/Y/hBvsRdZUBXFdowyZ&#10;IDh0q2HPR3Nry5pLaTKt//0iCL7dx/fz8tVgW3Gi3jeOFUySFARx6UzDlQJ93DwvQPiAbLB1TAou&#10;5GG1fBjlmBl35i86FaESMYR9hgrqELpMSl/WZNEnriOO3I/rLYYI+0qaHs8x3LZymqZzabHh2FBj&#10;R+uayt/izyrY6Zfv8eyw0Noeiz1+6ub98LFW6ulxeHsFEWgId/HNvTVx/gSuv8Q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3aKMIAAADbAAAADwAAAAAAAAAAAAAA&#10;AAChAgAAZHJzL2Rvd25yZXYueG1sUEsFBgAAAAAEAAQA+QAAAJADAAAAAA==&#10;" strokecolor="black [3200]" strokeweight=".5pt">
                  <v:stroke joinstyle="miter"/>
                </v:line>
                <v:line id="Straight Connector 13" o:spid="_x0000_s1033" style="position:absolute;flip:x;visibility:visible;mso-wrap-style:square" from="8763,3937" to="8769,7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Straight Connector 14" o:spid="_x0000_s1034" style="position:absolute;flip:y;visibility:visible;mso-wrap-style:square" from="45847,4191" to="45847,7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group>
            </w:pict>
          </mc:Fallback>
        </mc:AlternateContent>
      </w:r>
    </w:p>
    <w:p w:rsidR="007C2307" w:rsidRDefault="007C2307" w:rsidP="007C2307">
      <w:pPr>
        <w:rPr>
          <w:b/>
        </w:rPr>
      </w:pPr>
      <w:r>
        <w:rPr>
          <w:b/>
        </w:rPr>
        <w:t xml:space="preserve"> </w:t>
      </w:r>
    </w:p>
    <w:p w:rsidR="007C2307" w:rsidRDefault="007C2307" w:rsidP="007C2307">
      <w:pPr>
        <w:rPr>
          <w:b/>
        </w:rPr>
      </w:pPr>
    </w:p>
    <w:p w:rsidR="007C2307" w:rsidRDefault="007C2307" w:rsidP="007C2307">
      <w:pPr>
        <w:rPr>
          <w:b/>
        </w:rPr>
      </w:pPr>
    </w:p>
    <w:p w:rsidR="007C2307" w:rsidRDefault="007C2307" w:rsidP="007C2307">
      <w:pPr>
        <w:rPr>
          <w:b/>
        </w:rPr>
      </w:pPr>
    </w:p>
    <w:p w:rsidR="007C2307" w:rsidRDefault="007C2307" w:rsidP="007C2307">
      <w:pPr>
        <w:rPr>
          <w:b/>
        </w:rPr>
      </w:pPr>
    </w:p>
    <w:p w:rsidR="007C2307" w:rsidRDefault="007C2307" w:rsidP="007C2307">
      <w:pPr>
        <w:rPr>
          <w:b/>
        </w:rPr>
      </w:pPr>
    </w:p>
    <w:p w:rsidR="007C2307" w:rsidRDefault="007C2307" w:rsidP="007C2307">
      <w:pPr>
        <w:rPr>
          <w:b/>
        </w:rPr>
      </w:pPr>
    </w:p>
    <w:p w:rsidR="007C2307" w:rsidRDefault="007C2307" w:rsidP="007C2307"/>
    <w:p w:rsidR="007C2307" w:rsidRDefault="007C2307" w:rsidP="007C2307"/>
    <w:p w:rsidR="007C2307" w:rsidRDefault="007C2307" w:rsidP="007C2307"/>
    <w:p w:rsidR="007C2307" w:rsidRDefault="007C2307" w:rsidP="007C2307"/>
    <w:p w:rsidR="007C2307" w:rsidRDefault="007C2307" w:rsidP="007C2307"/>
    <w:p w:rsidR="007C2307" w:rsidRDefault="007C2307" w:rsidP="007C2307"/>
    <w:p w:rsidR="007C2307" w:rsidRDefault="007C2307" w:rsidP="007C2307"/>
    <w:p w:rsidR="007C2307" w:rsidRDefault="007C2307" w:rsidP="007C2307"/>
    <w:p w:rsidR="007C2307" w:rsidRDefault="007C2307" w:rsidP="007C2307"/>
    <w:p w:rsidR="007C2307" w:rsidRDefault="007C2307" w:rsidP="007C2307"/>
    <w:p w:rsidR="007C2307" w:rsidRDefault="007C2307" w:rsidP="007C2307"/>
    <w:p w:rsidR="007C2307" w:rsidRDefault="007C2307" w:rsidP="007C2307">
      <w:r>
        <w:t xml:space="preserve">Each evaluation team is responsible for undertaking the evaluation of the particular area and will ultimately provide the scores to the Project Team. Under Commercial Evaluation the legal evaluation team will evaluate the </w:t>
      </w:r>
      <w:r w:rsidR="003F40CA">
        <w:t>C</w:t>
      </w:r>
      <w:r>
        <w:t xml:space="preserve">ontract </w:t>
      </w:r>
      <w:r w:rsidR="003F40CA">
        <w:t>A</w:t>
      </w:r>
      <w:r>
        <w:t xml:space="preserve">cceptance. </w:t>
      </w:r>
    </w:p>
    <w:p w:rsidR="007C2307" w:rsidRDefault="007C2307" w:rsidP="007C2307"/>
    <w:p w:rsidR="007C2307" w:rsidRDefault="007C2307" w:rsidP="007C2307">
      <w:r>
        <w:t>Robin Thompson support</w:t>
      </w:r>
      <w:r w:rsidR="003F40CA">
        <w:t>s</w:t>
      </w:r>
      <w:r>
        <w:t xml:space="preserve"> all the teams but </w:t>
      </w:r>
      <w:r w:rsidR="003F40CA">
        <w:t xml:space="preserve">does </w:t>
      </w:r>
      <w:r>
        <w:t>not score the evaluation (except for the Commercial Evaluation)</w:t>
      </w:r>
      <w:r w:rsidR="003F40CA">
        <w:t>.</w:t>
      </w:r>
      <w:r>
        <w:t xml:space="preserve"> </w:t>
      </w:r>
      <w:r w:rsidR="003F40CA">
        <w:t>Otherwise Robin</w:t>
      </w:r>
      <w:r>
        <w:t xml:space="preserve"> act</w:t>
      </w:r>
      <w:r w:rsidR="003F40CA">
        <w:t>s</w:t>
      </w:r>
      <w:r>
        <w:t xml:space="preserve"> as an objective reviewer to challenge and test the scores and also provide analysis of the submissions to help with the scoring. </w:t>
      </w:r>
    </w:p>
    <w:p w:rsidR="007C2307" w:rsidRDefault="007C2307" w:rsidP="007C2307"/>
    <w:p w:rsidR="007C2307" w:rsidRDefault="007C2307" w:rsidP="007C2307">
      <w:r>
        <w:t xml:space="preserve">The process for the overall evaluation </w:t>
      </w:r>
      <w:r w:rsidR="00E261E8">
        <w:t>comprises of</w:t>
      </w:r>
    </w:p>
    <w:p w:rsidR="007C2307" w:rsidRDefault="007C2307" w:rsidP="007C2307"/>
    <w:p w:rsidR="007C2307" w:rsidRDefault="007C2307" w:rsidP="007C2307">
      <w:pPr>
        <w:pStyle w:val="ListParagraph"/>
        <w:numPr>
          <w:ilvl w:val="0"/>
          <w:numId w:val="6"/>
        </w:numPr>
        <w:spacing w:after="200" w:line="276" w:lineRule="auto"/>
      </w:pPr>
      <w:r>
        <w:t>Each team member reviews submissions and identifies clarification questions and initial draft scoring and rationale</w:t>
      </w:r>
    </w:p>
    <w:p w:rsidR="007C2307" w:rsidRDefault="007C2307" w:rsidP="007C2307">
      <w:pPr>
        <w:pStyle w:val="ListParagraph"/>
        <w:numPr>
          <w:ilvl w:val="0"/>
          <w:numId w:val="6"/>
        </w:numPr>
        <w:spacing w:after="200" w:line="276" w:lineRule="auto"/>
      </w:pPr>
      <w:r>
        <w:t>Evaluation Teams meet to score the criteria and agree a draft score for each criteria</w:t>
      </w:r>
    </w:p>
    <w:p w:rsidR="007C2307" w:rsidRDefault="007C2307" w:rsidP="007C2307">
      <w:pPr>
        <w:pStyle w:val="ListParagraph"/>
        <w:numPr>
          <w:ilvl w:val="0"/>
          <w:numId w:val="6"/>
        </w:numPr>
        <w:spacing w:after="200" w:line="276" w:lineRule="auto"/>
      </w:pPr>
      <w:r>
        <w:t>Scores and rationale are sent to RPT Consulting to input into matrix and for objective review</w:t>
      </w:r>
    </w:p>
    <w:p w:rsidR="007C2307" w:rsidRDefault="007C2307" w:rsidP="007C2307">
      <w:pPr>
        <w:pStyle w:val="ListParagraph"/>
        <w:numPr>
          <w:ilvl w:val="0"/>
          <w:numId w:val="6"/>
        </w:numPr>
        <w:spacing w:after="200" w:line="276" w:lineRule="auto"/>
      </w:pPr>
      <w:r>
        <w:t>Evaluation Moderation Day – all teams meet together to go through the scores and rationale and agree on final draft scores</w:t>
      </w:r>
    </w:p>
    <w:p w:rsidR="007475E9" w:rsidRDefault="007C2307" w:rsidP="007C2307">
      <w:pPr>
        <w:spacing w:after="200" w:line="276" w:lineRule="auto"/>
      </w:pPr>
      <w:r>
        <w:t>The results of this process are set out in this paper.</w:t>
      </w:r>
    </w:p>
    <w:p w:rsidR="007475E9" w:rsidRDefault="007475E9" w:rsidP="00916BAC">
      <w:pPr>
        <w:outlineLvl w:val="0"/>
        <w:rPr>
          <w:b/>
        </w:rPr>
      </w:pPr>
      <w:r>
        <w:rPr>
          <w:b/>
        </w:rPr>
        <w:t>Evaluation of Bids</w:t>
      </w:r>
    </w:p>
    <w:p w:rsidR="007475E9" w:rsidRDefault="007475E9" w:rsidP="00A867A5">
      <w:pPr>
        <w:rPr>
          <w:b/>
        </w:rPr>
      </w:pPr>
    </w:p>
    <w:p w:rsidR="005B1BFE" w:rsidRDefault="007475E9" w:rsidP="007C2307">
      <w:r>
        <w:t xml:space="preserve">All of the bids received presented a good quality of submission and were submitted by organisations with significant track record in the industry of both operating and developing new facilities. </w:t>
      </w:r>
    </w:p>
    <w:p w:rsidR="005B1BFE" w:rsidRDefault="005B1BFE" w:rsidP="005B1BFE">
      <w:r>
        <w:lastRenderedPageBreak/>
        <w:t xml:space="preserve">The bids present different solutions to a number of issues such as the design of the new </w:t>
      </w:r>
      <w:r w:rsidR="007C2307">
        <w:t>South Oxhey Leisure Centr</w:t>
      </w:r>
      <w:r w:rsidR="007048F6">
        <w:t>e</w:t>
      </w:r>
      <w:r>
        <w:t xml:space="preserve"> and these have been evaluated to present scores as follows</w:t>
      </w:r>
      <w:r w:rsidR="008B7F54">
        <w:t xml:space="preserve">. </w:t>
      </w:r>
    </w:p>
    <w:p w:rsidR="005B1BFE" w:rsidRDefault="005B1BFE" w:rsidP="005B1BFE"/>
    <w:p w:rsidR="005B1BFE" w:rsidRDefault="005B1BFE" w:rsidP="00916BAC">
      <w:pPr>
        <w:outlineLvl w:val="0"/>
        <w:rPr>
          <w:i/>
        </w:rPr>
      </w:pPr>
      <w:r>
        <w:rPr>
          <w:i/>
        </w:rPr>
        <w:t>Table 3 – Evaluation Summary</w:t>
      </w:r>
    </w:p>
    <w:p w:rsidR="008B7F54" w:rsidRPr="005B1BFE" w:rsidRDefault="008B7F54" w:rsidP="005B1BFE"/>
    <w:tbl>
      <w:tblPr>
        <w:tblStyle w:val="TableGrid"/>
        <w:tblW w:w="9011" w:type="dxa"/>
        <w:tblLook w:val="04A0" w:firstRow="1" w:lastRow="0" w:firstColumn="1" w:lastColumn="0" w:noHBand="0" w:noVBand="1"/>
      </w:tblPr>
      <w:tblGrid>
        <w:gridCol w:w="2155"/>
        <w:gridCol w:w="1714"/>
        <w:gridCol w:w="1714"/>
        <w:gridCol w:w="1714"/>
        <w:gridCol w:w="1714"/>
      </w:tblGrid>
      <w:tr w:rsidR="005A2613" w:rsidTr="005A2613">
        <w:trPr>
          <w:trHeight w:val="576"/>
        </w:trPr>
        <w:tc>
          <w:tcPr>
            <w:tcW w:w="2155" w:type="dxa"/>
            <w:shd w:val="clear" w:color="auto" w:fill="BFBFBF" w:themeFill="background1" w:themeFillShade="BF"/>
            <w:vAlign w:val="center"/>
          </w:tcPr>
          <w:p w:rsidR="005A2613" w:rsidRPr="008B7F54" w:rsidRDefault="005A2613" w:rsidP="008B7F54">
            <w:pPr>
              <w:jc w:val="center"/>
              <w:rPr>
                <w:b/>
              </w:rPr>
            </w:pPr>
            <w:r>
              <w:rPr>
                <w:b/>
              </w:rPr>
              <w:t>Lot 1</w:t>
            </w:r>
          </w:p>
        </w:tc>
        <w:tc>
          <w:tcPr>
            <w:tcW w:w="1714" w:type="dxa"/>
            <w:shd w:val="clear" w:color="auto" w:fill="BFBFBF" w:themeFill="background1" w:themeFillShade="BF"/>
            <w:vAlign w:val="center"/>
          </w:tcPr>
          <w:p w:rsidR="005A2613" w:rsidRPr="008B7F54" w:rsidRDefault="000D6D14" w:rsidP="008B7F54">
            <w:pPr>
              <w:jc w:val="center"/>
              <w:rPr>
                <w:b/>
              </w:rPr>
            </w:pPr>
            <w:r>
              <w:rPr>
                <w:b/>
              </w:rPr>
              <w:t>Bidder A</w:t>
            </w:r>
          </w:p>
        </w:tc>
        <w:tc>
          <w:tcPr>
            <w:tcW w:w="1714" w:type="dxa"/>
            <w:shd w:val="clear" w:color="auto" w:fill="BFBFBF" w:themeFill="background1" w:themeFillShade="BF"/>
            <w:vAlign w:val="center"/>
          </w:tcPr>
          <w:p w:rsidR="005A2613" w:rsidRPr="008B7F54" w:rsidRDefault="000D6D14" w:rsidP="008B7F54">
            <w:pPr>
              <w:jc w:val="center"/>
              <w:rPr>
                <w:b/>
              </w:rPr>
            </w:pPr>
            <w:r>
              <w:rPr>
                <w:b/>
              </w:rPr>
              <w:t>Bidder B</w:t>
            </w:r>
          </w:p>
        </w:tc>
        <w:tc>
          <w:tcPr>
            <w:tcW w:w="1714" w:type="dxa"/>
            <w:shd w:val="clear" w:color="auto" w:fill="BFBFBF" w:themeFill="background1" w:themeFillShade="BF"/>
            <w:vAlign w:val="center"/>
          </w:tcPr>
          <w:p w:rsidR="005A2613" w:rsidRPr="008B7F54" w:rsidRDefault="000D6D14" w:rsidP="008B7F54">
            <w:pPr>
              <w:jc w:val="center"/>
              <w:rPr>
                <w:b/>
              </w:rPr>
            </w:pPr>
            <w:r>
              <w:rPr>
                <w:b/>
              </w:rPr>
              <w:t>Bidder C</w:t>
            </w:r>
          </w:p>
        </w:tc>
        <w:tc>
          <w:tcPr>
            <w:tcW w:w="1714" w:type="dxa"/>
            <w:shd w:val="clear" w:color="auto" w:fill="BFBFBF" w:themeFill="background1" w:themeFillShade="BF"/>
            <w:vAlign w:val="center"/>
          </w:tcPr>
          <w:p w:rsidR="005A2613" w:rsidRPr="008B7F54" w:rsidRDefault="000D6D14" w:rsidP="008B7F54">
            <w:pPr>
              <w:jc w:val="center"/>
              <w:rPr>
                <w:b/>
              </w:rPr>
            </w:pPr>
            <w:r>
              <w:rPr>
                <w:b/>
              </w:rPr>
              <w:t>Bidder D</w:t>
            </w:r>
          </w:p>
        </w:tc>
      </w:tr>
      <w:tr w:rsidR="005A2613" w:rsidTr="005A2613">
        <w:trPr>
          <w:trHeight w:val="90"/>
        </w:trPr>
        <w:tc>
          <w:tcPr>
            <w:tcW w:w="2155" w:type="dxa"/>
          </w:tcPr>
          <w:p w:rsidR="005A2613" w:rsidRDefault="005A2613" w:rsidP="005B1BFE">
            <w:r>
              <w:t>Services (40%)</w:t>
            </w:r>
          </w:p>
        </w:tc>
        <w:tc>
          <w:tcPr>
            <w:tcW w:w="1714" w:type="dxa"/>
            <w:vAlign w:val="center"/>
          </w:tcPr>
          <w:p w:rsidR="005A2613" w:rsidRDefault="005A2613" w:rsidP="008B7F54">
            <w:pPr>
              <w:jc w:val="center"/>
            </w:pPr>
            <w:r>
              <w:t>28.7%</w:t>
            </w:r>
          </w:p>
        </w:tc>
        <w:tc>
          <w:tcPr>
            <w:tcW w:w="1714" w:type="dxa"/>
            <w:vAlign w:val="center"/>
          </w:tcPr>
          <w:p w:rsidR="005A2613" w:rsidRDefault="005A2613" w:rsidP="008B7F54">
            <w:pPr>
              <w:jc w:val="center"/>
            </w:pPr>
            <w:r>
              <w:t>24.9%</w:t>
            </w:r>
          </w:p>
        </w:tc>
        <w:tc>
          <w:tcPr>
            <w:tcW w:w="1714" w:type="dxa"/>
            <w:vAlign w:val="center"/>
          </w:tcPr>
          <w:p w:rsidR="005A2613" w:rsidRDefault="005A2613" w:rsidP="008B7F54">
            <w:pPr>
              <w:jc w:val="center"/>
            </w:pPr>
            <w:r>
              <w:t>27.9%</w:t>
            </w:r>
          </w:p>
        </w:tc>
        <w:tc>
          <w:tcPr>
            <w:tcW w:w="1714" w:type="dxa"/>
            <w:vAlign w:val="center"/>
          </w:tcPr>
          <w:p w:rsidR="005A2613" w:rsidRDefault="005A2613" w:rsidP="008B7F54">
            <w:pPr>
              <w:jc w:val="center"/>
            </w:pPr>
            <w:r>
              <w:t>26.2%</w:t>
            </w:r>
          </w:p>
        </w:tc>
      </w:tr>
      <w:tr w:rsidR="005A2613" w:rsidTr="005A2613">
        <w:trPr>
          <w:trHeight w:val="90"/>
        </w:trPr>
        <w:tc>
          <w:tcPr>
            <w:tcW w:w="2155" w:type="dxa"/>
          </w:tcPr>
          <w:p w:rsidR="005A2613" w:rsidRDefault="005A2613" w:rsidP="005B1BFE">
            <w:r>
              <w:t>Technical (10%)</w:t>
            </w:r>
          </w:p>
        </w:tc>
        <w:tc>
          <w:tcPr>
            <w:tcW w:w="1714" w:type="dxa"/>
            <w:vAlign w:val="center"/>
          </w:tcPr>
          <w:p w:rsidR="005A2613" w:rsidRDefault="005A2613" w:rsidP="008B7F54">
            <w:pPr>
              <w:jc w:val="center"/>
            </w:pPr>
            <w:r>
              <w:t>7.0%</w:t>
            </w:r>
          </w:p>
        </w:tc>
        <w:tc>
          <w:tcPr>
            <w:tcW w:w="1714" w:type="dxa"/>
            <w:vAlign w:val="center"/>
          </w:tcPr>
          <w:p w:rsidR="005A2613" w:rsidRDefault="005A2613" w:rsidP="008B7F54">
            <w:pPr>
              <w:jc w:val="center"/>
            </w:pPr>
            <w:r>
              <w:t>6.6%</w:t>
            </w:r>
          </w:p>
        </w:tc>
        <w:tc>
          <w:tcPr>
            <w:tcW w:w="1714" w:type="dxa"/>
            <w:vAlign w:val="center"/>
          </w:tcPr>
          <w:p w:rsidR="005A2613" w:rsidRDefault="005A2613" w:rsidP="008B7F54">
            <w:pPr>
              <w:jc w:val="center"/>
            </w:pPr>
            <w:r>
              <w:t>6.8%</w:t>
            </w:r>
          </w:p>
        </w:tc>
        <w:tc>
          <w:tcPr>
            <w:tcW w:w="1714" w:type="dxa"/>
            <w:vAlign w:val="center"/>
          </w:tcPr>
          <w:p w:rsidR="005A2613" w:rsidRDefault="005A2613" w:rsidP="008B7F54">
            <w:pPr>
              <w:jc w:val="center"/>
            </w:pPr>
            <w:r>
              <w:t>6.0%</w:t>
            </w:r>
          </w:p>
        </w:tc>
      </w:tr>
      <w:tr w:rsidR="005A2613" w:rsidTr="005A2613">
        <w:trPr>
          <w:trHeight w:val="90"/>
        </w:trPr>
        <w:tc>
          <w:tcPr>
            <w:tcW w:w="2155" w:type="dxa"/>
          </w:tcPr>
          <w:p w:rsidR="005A2613" w:rsidRDefault="005A2613" w:rsidP="005B1BFE">
            <w:r>
              <w:t>Commercial (50%)</w:t>
            </w:r>
          </w:p>
        </w:tc>
        <w:tc>
          <w:tcPr>
            <w:tcW w:w="1714" w:type="dxa"/>
            <w:vAlign w:val="center"/>
          </w:tcPr>
          <w:p w:rsidR="005A2613" w:rsidRDefault="005A2613" w:rsidP="008B7F54">
            <w:pPr>
              <w:jc w:val="center"/>
            </w:pPr>
            <w:r>
              <w:t>21.0%</w:t>
            </w:r>
          </w:p>
        </w:tc>
        <w:tc>
          <w:tcPr>
            <w:tcW w:w="1714" w:type="dxa"/>
            <w:vAlign w:val="center"/>
          </w:tcPr>
          <w:p w:rsidR="005A2613" w:rsidRDefault="005A2613" w:rsidP="008B7F54">
            <w:pPr>
              <w:jc w:val="center"/>
            </w:pPr>
            <w:r>
              <w:t>25.9%</w:t>
            </w:r>
          </w:p>
        </w:tc>
        <w:tc>
          <w:tcPr>
            <w:tcW w:w="1714" w:type="dxa"/>
            <w:vAlign w:val="center"/>
          </w:tcPr>
          <w:p w:rsidR="005A2613" w:rsidRDefault="005A2613" w:rsidP="008B7F54">
            <w:pPr>
              <w:jc w:val="center"/>
            </w:pPr>
            <w:r>
              <w:t>24.3%</w:t>
            </w:r>
          </w:p>
        </w:tc>
        <w:tc>
          <w:tcPr>
            <w:tcW w:w="1714" w:type="dxa"/>
            <w:vAlign w:val="center"/>
          </w:tcPr>
          <w:p w:rsidR="005A2613" w:rsidRDefault="005A2613" w:rsidP="008B7F54">
            <w:pPr>
              <w:jc w:val="center"/>
            </w:pPr>
            <w:r>
              <w:t>37.2%</w:t>
            </w:r>
          </w:p>
        </w:tc>
      </w:tr>
      <w:tr w:rsidR="005A2613" w:rsidTr="005A2613">
        <w:trPr>
          <w:trHeight w:val="90"/>
        </w:trPr>
        <w:tc>
          <w:tcPr>
            <w:tcW w:w="2155" w:type="dxa"/>
          </w:tcPr>
          <w:p w:rsidR="005A2613" w:rsidRPr="008B7F54" w:rsidRDefault="005A2613" w:rsidP="005B1BFE">
            <w:pPr>
              <w:rPr>
                <w:b/>
              </w:rPr>
            </w:pPr>
            <w:r w:rsidRPr="008B7F54">
              <w:rPr>
                <w:b/>
              </w:rPr>
              <w:t>Total</w:t>
            </w:r>
          </w:p>
        </w:tc>
        <w:tc>
          <w:tcPr>
            <w:tcW w:w="1714" w:type="dxa"/>
            <w:vAlign w:val="center"/>
          </w:tcPr>
          <w:p w:rsidR="005A2613" w:rsidRPr="008B7F54" w:rsidRDefault="005A2613" w:rsidP="008B7F54">
            <w:pPr>
              <w:jc w:val="center"/>
              <w:rPr>
                <w:b/>
              </w:rPr>
            </w:pPr>
            <w:r>
              <w:rPr>
                <w:b/>
              </w:rPr>
              <w:t>56.6%</w:t>
            </w:r>
          </w:p>
        </w:tc>
        <w:tc>
          <w:tcPr>
            <w:tcW w:w="1714" w:type="dxa"/>
            <w:vAlign w:val="center"/>
          </w:tcPr>
          <w:p w:rsidR="005A2613" w:rsidRDefault="005A2613" w:rsidP="008B7F54">
            <w:pPr>
              <w:jc w:val="center"/>
              <w:rPr>
                <w:b/>
              </w:rPr>
            </w:pPr>
            <w:r>
              <w:rPr>
                <w:b/>
              </w:rPr>
              <w:t>57.3%</w:t>
            </w:r>
          </w:p>
        </w:tc>
        <w:tc>
          <w:tcPr>
            <w:tcW w:w="1714" w:type="dxa"/>
            <w:vAlign w:val="center"/>
          </w:tcPr>
          <w:p w:rsidR="005A2613" w:rsidRDefault="005A2613" w:rsidP="008B7F54">
            <w:pPr>
              <w:jc w:val="center"/>
              <w:rPr>
                <w:b/>
              </w:rPr>
            </w:pPr>
            <w:r>
              <w:rPr>
                <w:b/>
              </w:rPr>
              <w:t>59.0%</w:t>
            </w:r>
          </w:p>
        </w:tc>
        <w:tc>
          <w:tcPr>
            <w:tcW w:w="1714" w:type="dxa"/>
            <w:vAlign w:val="center"/>
          </w:tcPr>
          <w:p w:rsidR="005A2613" w:rsidRDefault="005A2613" w:rsidP="008B7F54">
            <w:pPr>
              <w:jc w:val="center"/>
              <w:rPr>
                <w:b/>
              </w:rPr>
            </w:pPr>
            <w:r>
              <w:rPr>
                <w:b/>
              </w:rPr>
              <w:t>69.4%</w:t>
            </w:r>
          </w:p>
        </w:tc>
      </w:tr>
      <w:tr w:rsidR="005A2613" w:rsidTr="005A2613">
        <w:trPr>
          <w:trHeight w:val="90"/>
        </w:trPr>
        <w:tc>
          <w:tcPr>
            <w:tcW w:w="2155" w:type="dxa"/>
          </w:tcPr>
          <w:p w:rsidR="005A2613" w:rsidRPr="008B7F54" w:rsidRDefault="005A2613" w:rsidP="005B1BFE">
            <w:pPr>
              <w:rPr>
                <w:b/>
              </w:rPr>
            </w:pPr>
            <w:r w:rsidRPr="008B7F54">
              <w:rPr>
                <w:b/>
              </w:rPr>
              <w:t>Rank</w:t>
            </w:r>
          </w:p>
        </w:tc>
        <w:tc>
          <w:tcPr>
            <w:tcW w:w="1714" w:type="dxa"/>
            <w:vAlign w:val="center"/>
          </w:tcPr>
          <w:p w:rsidR="005A2613" w:rsidRPr="008B7F54" w:rsidRDefault="005A2613" w:rsidP="008B7F54">
            <w:pPr>
              <w:jc w:val="center"/>
              <w:rPr>
                <w:b/>
              </w:rPr>
            </w:pPr>
            <w:r>
              <w:rPr>
                <w:b/>
              </w:rPr>
              <w:t>4</w:t>
            </w:r>
          </w:p>
        </w:tc>
        <w:tc>
          <w:tcPr>
            <w:tcW w:w="1714" w:type="dxa"/>
            <w:vAlign w:val="center"/>
          </w:tcPr>
          <w:p w:rsidR="005A2613" w:rsidRDefault="005A2613" w:rsidP="008B7F54">
            <w:pPr>
              <w:jc w:val="center"/>
              <w:rPr>
                <w:b/>
              </w:rPr>
            </w:pPr>
            <w:r>
              <w:rPr>
                <w:b/>
              </w:rPr>
              <w:t>3</w:t>
            </w:r>
          </w:p>
        </w:tc>
        <w:tc>
          <w:tcPr>
            <w:tcW w:w="1714" w:type="dxa"/>
            <w:vAlign w:val="center"/>
          </w:tcPr>
          <w:p w:rsidR="005A2613" w:rsidRDefault="005A2613" w:rsidP="008B7F54">
            <w:pPr>
              <w:jc w:val="center"/>
              <w:rPr>
                <w:b/>
              </w:rPr>
            </w:pPr>
            <w:r>
              <w:rPr>
                <w:b/>
              </w:rPr>
              <w:t>2</w:t>
            </w:r>
          </w:p>
        </w:tc>
        <w:tc>
          <w:tcPr>
            <w:tcW w:w="1714" w:type="dxa"/>
            <w:vAlign w:val="center"/>
          </w:tcPr>
          <w:p w:rsidR="005A2613" w:rsidRDefault="005A2613" w:rsidP="008B7F54">
            <w:pPr>
              <w:jc w:val="center"/>
              <w:rPr>
                <w:b/>
              </w:rPr>
            </w:pPr>
            <w:r>
              <w:rPr>
                <w:b/>
              </w:rPr>
              <w:t>1</w:t>
            </w:r>
          </w:p>
        </w:tc>
      </w:tr>
    </w:tbl>
    <w:p w:rsidR="007475E9" w:rsidRDefault="007475E9" w:rsidP="00A867A5"/>
    <w:tbl>
      <w:tblPr>
        <w:tblStyle w:val="TableGrid"/>
        <w:tblW w:w="0" w:type="auto"/>
        <w:tblLook w:val="04A0" w:firstRow="1" w:lastRow="0" w:firstColumn="1" w:lastColumn="0" w:noHBand="0" w:noVBand="1"/>
      </w:tblPr>
      <w:tblGrid>
        <w:gridCol w:w="2155"/>
        <w:gridCol w:w="1714"/>
        <w:gridCol w:w="1714"/>
        <w:gridCol w:w="1714"/>
      </w:tblGrid>
      <w:tr w:rsidR="005A2613" w:rsidTr="00F14A5D">
        <w:trPr>
          <w:trHeight w:val="576"/>
        </w:trPr>
        <w:tc>
          <w:tcPr>
            <w:tcW w:w="2155" w:type="dxa"/>
            <w:shd w:val="clear" w:color="auto" w:fill="BFBFBF" w:themeFill="background1" w:themeFillShade="BF"/>
            <w:vAlign w:val="center"/>
          </w:tcPr>
          <w:p w:rsidR="005A2613" w:rsidRPr="008B7F54" w:rsidRDefault="005A2613" w:rsidP="003526F6">
            <w:pPr>
              <w:jc w:val="center"/>
              <w:rPr>
                <w:b/>
              </w:rPr>
            </w:pPr>
            <w:r>
              <w:rPr>
                <w:b/>
              </w:rPr>
              <w:t>Lot 2</w:t>
            </w:r>
          </w:p>
        </w:tc>
        <w:tc>
          <w:tcPr>
            <w:tcW w:w="1714" w:type="dxa"/>
            <w:shd w:val="clear" w:color="auto" w:fill="BFBFBF" w:themeFill="background1" w:themeFillShade="BF"/>
            <w:vAlign w:val="center"/>
          </w:tcPr>
          <w:p w:rsidR="005A2613" w:rsidRPr="008B7F54" w:rsidRDefault="000D6D14" w:rsidP="003526F6">
            <w:pPr>
              <w:jc w:val="center"/>
              <w:rPr>
                <w:b/>
              </w:rPr>
            </w:pPr>
            <w:r>
              <w:rPr>
                <w:b/>
              </w:rPr>
              <w:t>Bidder A</w:t>
            </w:r>
          </w:p>
        </w:tc>
        <w:tc>
          <w:tcPr>
            <w:tcW w:w="1714" w:type="dxa"/>
            <w:shd w:val="clear" w:color="auto" w:fill="BFBFBF" w:themeFill="background1" w:themeFillShade="BF"/>
            <w:vAlign w:val="center"/>
          </w:tcPr>
          <w:p w:rsidR="005A2613" w:rsidRPr="008B7F54" w:rsidRDefault="000D6D14" w:rsidP="003526F6">
            <w:pPr>
              <w:jc w:val="center"/>
              <w:rPr>
                <w:b/>
              </w:rPr>
            </w:pPr>
            <w:r>
              <w:rPr>
                <w:b/>
              </w:rPr>
              <w:t>Bidder B</w:t>
            </w:r>
          </w:p>
        </w:tc>
        <w:tc>
          <w:tcPr>
            <w:tcW w:w="1714" w:type="dxa"/>
            <w:shd w:val="clear" w:color="auto" w:fill="BFBFBF" w:themeFill="background1" w:themeFillShade="BF"/>
            <w:vAlign w:val="center"/>
          </w:tcPr>
          <w:p w:rsidR="005A2613" w:rsidRPr="008B7F54" w:rsidRDefault="000D6D14" w:rsidP="003526F6">
            <w:pPr>
              <w:jc w:val="center"/>
              <w:rPr>
                <w:b/>
              </w:rPr>
            </w:pPr>
            <w:r>
              <w:rPr>
                <w:b/>
              </w:rPr>
              <w:t>Bidder C</w:t>
            </w:r>
          </w:p>
        </w:tc>
      </w:tr>
      <w:tr w:rsidR="005A2613" w:rsidTr="00F14A5D">
        <w:trPr>
          <w:trHeight w:val="90"/>
        </w:trPr>
        <w:tc>
          <w:tcPr>
            <w:tcW w:w="2155" w:type="dxa"/>
          </w:tcPr>
          <w:p w:rsidR="005A2613" w:rsidRDefault="005A2613" w:rsidP="003526F6">
            <w:r>
              <w:t>Services (40%)</w:t>
            </w:r>
          </w:p>
        </w:tc>
        <w:tc>
          <w:tcPr>
            <w:tcW w:w="1714" w:type="dxa"/>
            <w:vAlign w:val="center"/>
          </w:tcPr>
          <w:p w:rsidR="005A2613" w:rsidRDefault="005A2613" w:rsidP="003526F6">
            <w:pPr>
              <w:jc w:val="center"/>
            </w:pPr>
            <w:r>
              <w:t>28.7%</w:t>
            </w:r>
          </w:p>
        </w:tc>
        <w:tc>
          <w:tcPr>
            <w:tcW w:w="1714" w:type="dxa"/>
            <w:vAlign w:val="center"/>
          </w:tcPr>
          <w:p w:rsidR="005A2613" w:rsidRDefault="005A2613" w:rsidP="003526F6">
            <w:pPr>
              <w:jc w:val="center"/>
            </w:pPr>
            <w:r>
              <w:t>24.9%</w:t>
            </w:r>
          </w:p>
        </w:tc>
        <w:tc>
          <w:tcPr>
            <w:tcW w:w="1714" w:type="dxa"/>
            <w:vAlign w:val="center"/>
          </w:tcPr>
          <w:p w:rsidR="005A2613" w:rsidRDefault="005A2613" w:rsidP="003526F6">
            <w:pPr>
              <w:jc w:val="center"/>
            </w:pPr>
            <w:r>
              <w:t>27.9%</w:t>
            </w:r>
          </w:p>
        </w:tc>
      </w:tr>
      <w:tr w:rsidR="005A2613" w:rsidTr="00F14A5D">
        <w:trPr>
          <w:trHeight w:val="90"/>
        </w:trPr>
        <w:tc>
          <w:tcPr>
            <w:tcW w:w="2155" w:type="dxa"/>
          </w:tcPr>
          <w:p w:rsidR="005A2613" w:rsidRDefault="005A2613" w:rsidP="003526F6">
            <w:r>
              <w:t>Technical (10%)</w:t>
            </w:r>
          </w:p>
        </w:tc>
        <w:tc>
          <w:tcPr>
            <w:tcW w:w="1714" w:type="dxa"/>
            <w:vAlign w:val="center"/>
          </w:tcPr>
          <w:p w:rsidR="005A2613" w:rsidRDefault="005A2613" w:rsidP="003526F6">
            <w:pPr>
              <w:jc w:val="center"/>
            </w:pPr>
            <w:r>
              <w:t>7.0%</w:t>
            </w:r>
          </w:p>
        </w:tc>
        <w:tc>
          <w:tcPr>
            <w:tcW w:w="1714" w:type="dxa"/>
            <w:vAlign w:val="center"/>
          </w:tcPr>
          <w:p w:rsidR="005A2613" w:rsidRDefault="005A2613" w:rsidP="003526F6">
            <w:pPr>
              <w:jc w:val="center"/>
            </w:pPr>
            <w:r>
              <w:t>6.6%</w:t>
            </w:r>
          </w:p>
        </w:tc>
        <w:tc>
          <w:tcPr>
            <w:tcW w:w="1714" w:type="dxa"/>
            <w:vAlign w:val="center"/>
          </w:tcPr>
          <w:p w:rsidR="005A2613" w:rsidRDefault="005A2613" w:rsidP="003526F6">
            <w:pPr>
              <w:jc w:val="center"/>
            </w:pPr>
            <w:r>
              <w:t>6.8%</w:t>
            </w:r>
          </w:p>
        </w:tc>
      </w:tr>
      <w:tr w:rsidR="005A2613" w:rsidTr="00F14A5D">
        <w:trPr>
          <w:trHeight w:val="90"/>
        </w:trPr>
        <w:tc>
          <w:tcPr>
            <w:tcW w:w="2155" w:type="dxa"/>
          </w:tcPr>
          <w:p w:rsidR="005A2613" w:rsidRDefault="005A2613" w:rsidP="003526F6">
            <w:r>
              <w:t>Commercial (50%)</w:t>
            </w:r>
          </w:p>
        </w:tc>
        <w:tc>
          <w:tcPr>
            <w:tcW w:w="1714" w:type="dxa"/>
            <w:vAlign w:val="center"/>
          </w:tcPr>
          <w:p w:rsidR="005A2613" w:rsidRDefault="005A2613" w:rsidP="003526F6">
            <w:pPr>
              <w:jc w:val="center"/>
            </w:pPr>
            <w:r>
              <w:t>21.0%</w:t>
            </w:r>
          </w:p>
        </w:tc>
        <w:tc>
          <w:tcPr>
            <w:tcW w:w="1714" w:type="dxa"/>
            <w:vAlign w:val="center"/>
          </w:tcPr>
          <w:p w:rsidR="005A2613" w:rsidRDefault="005A2613" w:rsidP="003526F6">
            <w:pPr>
              <w:jc w:val="center"/>
            </w:pPr>
            <w:r>
              <w:t>16.9%</w:t>
            </w:r>
          </w:p>
        </w:tc>
        <w:tc>
          <w:tcPr>
            <w:tcW w:w="1714" w:type="dxa"/>
            <w:vAlign w:val="center"/>
          </w:tcPr>
          <w:p w:rsidR="005A2613" w:rsidRDefault="005A2613" w:rsidP="003526F6">
            <w:pPr>
              <w:jc w:val="center"/>
            </w:pPr>
            <w:r>
              <w:t>20.9%</w:t>
            </w:r>
          </w:p>
        </w:tc>
      </w:tr>
      <w:tr w:rsidR="005A2613" w:rsidTr="00F14A5D">
        <w:trPr>
          <w:trHeight w:val="90"/>
        </w:trPr>
        <w:tc>
          <w:tcPr>
            <w:tcW w:w="2155" w:type="dxa"/>
          </w:tcPr>
          <w:p w:rsidR="005A2613" w:rsidRPr="008B7F54" w:rsidRDefault="005A2613" w:rsidP="003526F6">
            <w:pPr>
              <w:rPr>
                <w:b/>
              </w:rPr>
            </w:pPr>
            <w:r w:rsidRPr="008B7F54">
              <w:rPr>
                <w:b/>
              </w:rPr>
              <w:t>Total</w:t>
            </w:r>
          </w:p>
        </w:tc>
        <w:tc>
          <w:tcPr>
            <w:tcW w:w="1714" w:type="dxa"/>
            <w:vAlign w:val="center"/>
          </w:tcPr>
          <w:p w:rsidR="005A2613" w:rsidRPr="008B7F54" w:rsidRDefault="005A2613" w:rsidP="003526F6">
            <w:pPr>
              <w:jc w:val="center"/>
              <w:rPr>
                <w:b/>
              </w:rPr>
            </w:pPr>
            <w:r>
              <w:rPr>
                <w:b/>
              </w:rPr>
              <w:t>56.6%</w:t>
            </w:r>
          </w:p>
        </w:tc>
        <w:tc>
          <w:tcPr>
            <w:tcW w:w="1714" w:type="dxa"/>
            <w:vAlign w:val="center"/>
          </w:tcPr>
          <w:p w:rsidR="005A2613" w:rsidRDefault="005A2613" w:rsidP="003526F6">
            <w:pPr>
              <w:jc w:val="center"/>
              <w:rPr>
                <w:b/>
              </w:rPr>
            </w:pPr>
            <w:r>
              <w:rPr>
                <w:b/>
              </w:rPr>
              <w:t>48.3%</w:t>
            </w:r>
          </w:p>
        </w:tc>
        <w:tc>
          <w:tcPr>
            <w:tcW w:w="1714" w:type="dxa"/>
            <w:vAlign w:val="center"/>
          </w:tcPr>
          <w:p w:rsidR="005A2613" w:rsidRPr="008B7F54" w:rsidRDefault="005A2613" w:rsidP="003526F6">
            <w:pPr>
              <w:jc w:val="center"/>
              <w:rPr>
                <w:b/>
              </w:rPr>
            </w:pPr>
            <w:r>
              <w:rPr>
                <w:b/>
              </w:rPr>
              <w:t>55.6%</w:t>
            </w:r>
          </w:p>
        </w:tc>
      </w:tr>
      <w:tr w:rsidR="005A2613" w:rsidTr="00F14A5D">
        <w:trPr>
          <w:trHeight w:val="90"/>
        </w:trPr>
        <w:tc>
          <w:tcPr>
            <w:tcW w:w="2155" w:type="dxa"/>
          </w:tcPr>
          <w:p w:rsidR="005A2613" w:rsidRPr="008B7F54" w:rsidRDefault="005A2613" w:rsidP="003526F6">
            <w:pPr>
              <w:rPr>
                <w:b/>
              </w:rPr>
            </w:pPr>
            <w:r w:rsidRPr="008B7F54">
              <w:rPr>
                <w:b/>
              </w:rPr>
              <w:t>Rank</w:t>
            </w:r>
          </w:p>
        </w:tc>
        <w:tc>
          <w:tcPr>
            <w:tcW w:w="1714" w:type="dxa"/>
            <w:vAlign w:val="center"/>
          </w:tcPr>
          <w:p w:rsidR="005A2613" w:rsidRPr="008B7F54" w:rsidRDefault="005A2613" w:rsidP="003526F6">
            <w:pPr>
              <w:jc w:val="center"/>
              <w:rPr>
                <w:b/>
              </w:rPr>
            </w:pPr>
            <w:r>
              <w:rPr>
                <w:b/>
              </w:rPr>
              <w:t>1</w:t>
            </w:r>
          </w:p>
        </w:tc>
        <w:tc>
          <w:tcPr>
            <w:tcW w:w="1714" w:type="dxa"/>
            <w:vAlign w:val="center"/>
          </w:tcPr>
          <w:p w:rsidR="005A2613" w:rsidRDefault="005A2613" w:rsidP="003526F6">
            <w:pPr>
              <w:jc w:val="center"/>
              <w:rPr>
                <w:b/>
              </w:rPr>
            </w:pPr>
            <w:r>
              <w:rPr>
                <w:b/>
              </w:rPr>
              <w:t>3</w:t>
            </w:r>
          </w:p>
        </w:tc>
        <w:tc>
          <w:tcPr>
            <w:tcW w:w="1714" w:type="dxa"/>
            <w:vAlign w:val="center"/>
          </w:tcPr>
          <w:p w:rsidR="005A2613" w:rsidRPr="008B7F54" w:rsidRDefault="005A2613" w:rsidP="003526F6">
            <w:pPr>
              <w:jc w:val="center"/>
              <w:rPr>
                <w:b/>
              </w:rPr>
            </w:pPr>
            <w:r>
              <w:rPr>
                <w:b/>
              </w:rPr>
              <w:t>2</w:t>
            </w:r>
          </w:p>
        </w:tc>
      </w:tr>
    </w:tbl>
    <w:p w:rsidR="008B7F54" w:rsidRDefault="008B7F54" w:rsidP="00A867A5"/>
    <w:tbl>
      <w:tblPr>
        <w:tblStyle w:val="TableGrid"/>
        <w:tblW w:w="0" w:type="auto"/>
        <w:tblLook w:val="04A0" w:firstRow="1" w:lastRow="0" w:firstColumn="1" w:lastColumn="0" w:noHBand="0" w:noVBand="1"/>
      </w:tblPr>
      <w:tblGrid>
        <w:gridCol w:w="2155"/>
        <w:gridCol w:w="1714"/>
        <w:gridCol w:w="1714"/>
        <w:gridCol w:w="1714"/>
      </w:tblGrid>
      <w:tr w:rsidR="005A2613" w:rsidTr="00BE2960">
        <w:trPr>
          <w:trHeight w:val="576"/>
        </w:trPr>
        <w:tc>
          <w:tcPr>
            <w:tcW w:w="2155" w:type="dxa"/>
            <w:shd w:val="clear" w:color="auto" w:fill="BFBFBF" w:themeFill="background1" w:themeFillShade="BF"/>
            <w:vAlign w:val="center"/>
          </w:tcPr>
          <w:p w:rsidR="005A2613" w:rsidRPr="008B7F54" w:rsidRDefault="005A2613" w:rsidP="003526F6">
            <w:pPr>
              <w:jc w:val="center"/>
              <w:rPr>
                <w:b/>
              </w:rPr>
            </w:pPr>
            <w:r>
              <w:rPr>
                <w:b/>
              </w:rPr>
              <w:t xml:space="preserve">Lot </w:t>
            </w:r>
            <w:r w:rsidR="00670811">
              <w:rPr>
                <w:b/>
              </w:rPr>
              <w:t>3</w:t>
            </w:r>
          </w:p>
        </w:tc>
        <w:tc>
          <w:tcPr>
            <w:tcW w:w="1714" w:type="dxa"/>
            <w:shd w:val="clear" w:color="auto" w:fill="BFBFBF" w:themeFill="background1" w:themeFillShade="BF"/>
            <w:vAlign w:val="center"/>
          </w:tcPr>
          <w:p w:rsidR="005A2613" w:rsidRPr="008B7F54" w:rsidRDefault="000D6D14" w:rsidP="003526F6">
            <w:pPr>
              <w:jc w:val="center"/>
              <w:rPr>
                <w:b/>
              </w:rPr>
            </w:pPr>
            <w:r>
              <w:rPr>
                <w:b/>
              </w:rPr>
              <w:t>Bidder A</w:t>
            </w:r>
          </w:p>
        </w:tc>
        <w:tc>
          <w:tcPr>
            <w:tcW w:w="1714" w:type="dxa"/>
            <w:shd w:val="clear" w:color="auto" w:fill="BFBFBF" w:themeFill="background1" w:themeFillShade="BF"/>
            <w:vAlign w:val="center"/>
          </w:tcPr>
          <w:p w:rsidR="005A2613" w:rsidRPr="008B7F54" w:rsidRDefault="000D6D14" w:rsidP="003526F6">
            <w:pPr>
              <w:jc w:val="center"/>
              <w:rPr>
                <w:b/>
              </w:rPr>
            </w:pPr>
            <w:r>
              <w:rPr>
                <w:b/>
              </w:rPr>
              <w:t>Bidder B</w:t>
            </w:r>
          </w:p>
        </w:tc>
        <w:tc>
          <w:tcPr>
            <w:tcW w:w="1714" w:type="dxa"/>
            <w:shd w:val="clear" w:color="auto" w:fill="BFBFBF" w:themeFill="background1" w:themeFillShade="BF"/>
            <w:vAlign w:val="center"/>
          </w:tcPr>
          <w:p w:rsidR="005A2613" w:rsidRPr="008B7F54" w:rsidRDefault="000D6D14" w:rsidP="003526F6">
            <w:pPr>
              <w:jc w:val="center"/>
              <w:rPr>
                <w:b/>
              </w:rPr>
            </w:pPr>
            <w:r>
              <w:rPr>
                <w:b/>
              </w:rPr>
              <w:t>Bidder C</w:t>
            </w:r>
          </w:p>
        </w:tc>
      </w:tr>
      <w:tr w:rsidR="005A2613" w:rsidTr="00BE2960">
        <w:trPr>
          <w:trHeight w:val="90"/>
        </w:trPr>
        <w:tc>
          <w:tcPr>
            <w:tcW w:w="2155" w:type="dxa"/>
          </w:tcPr>
          <w:p w:rsidR="005A2613" w:rsidRDefault="005A2613" w:rsidP="003526F6">
            <w:r>
              <w:t>Services (40%)</w:t>
            </w:r>
          </w:p>
        </w:tc>
        <w:tc>
          <w:tcPr>
            <w:tcW w:w="1714" w:type="dxa"/>
            <w:vAlign w:val="center"/>
          </w:tcPr>
          <w:p w:rsidR="005A2613" w:rsidRDefault="005A2613" w:rsidP="003526F6">
            <w:pPr>
              <w:jc w:val="center"/>
            </w:pPr>
            <w:r>
              <w:t>28.7%</w:t>
            </w:r>
          </w:p>
        </w:tc>
        <w:tc>
          <w:tcPr>
            <w:tcW w:w="1714" w:type="dxa"/>
            <w:vAlign w:val="center"/>
          </w:tcPr>
          <w:p w:rsidR="005A2613" w:rsidRDefault="005A2613" w:rsidP="003526F6">
            <w:pPr>
              <w:jc w:val="center"/>
            </w:pPr>
            <w:r>
              <w:t>24.9%</w:t>
            </w:r>
          </w:p>
        </w:tc>
        <w:tc>
          <w:tcPr>
            <w:tcW w:w="1714" w:type="dxa"/>
            <w:vAlign w:val="center"/>
          </w:tcPr>
          <w:p w:rsidR="005A2613" w:rsidRDefault="005A2613" w:rsidP="003526F6">
            <w:pPr>
              <w:jc w:val="center"/>
            </w:pPr>
            <w:r>
              <w:t>27.9%</w:t>
            </w:r>
          </w:p>
        </w:tc>
      </w:tr>
      <w:tr w:rsidR="005A2613" w:rsidTr="00BE2960">
        <w:trPr>
          <w:trHeight w:val="90"/>
        </w:trPr>
        <w:tc>
          <w:tcPr>
            <w:tcW w:w="2155" w:type="dxa"/>
          </w:tcPr>
          <w:p w:rsidR="005A2613" w:rsidRDefault="005A2613" w:rsidP="003526F6">
            <w:r>
              <w:t>Technical (10%)</w:t>
            </w:r>
          </w:p>
        </w:tc>
        <w:tc>
          <w:tcPr>
            <w:tcW w:w="1714" w:type="dxa"/>
            <w:vAlign w:val="center"/>
          </w:tcPr>
          <w:p w:rsidR="005A2613" w:rsidRDefault="005A2613" w:rsidP="003526F6">
            <w:pPr>
              <w:jc w:val="center"/>
            </w:pPr>
            <w:r>
              <w:t>7.0%</w:t>
            </w:r>
          </w:p>
        </w:tc>
        <w:tc>
          <w:tcPr>
            <w:tcW w:w="1714" w:type="dxa"/>
            <w:vAlign w:val="center"/>
          </w:tcPr>
          <w:p w:rsidR="005A2613" w:rsidRDefault="005A2613" w:rsidP="003526F6">
            <w:pPr>
              <w:jc w:val="center"/>
            </w:pPr>
            <w:r>
              <w:t>6.6%</w:t>
            </w:r>
          </w:p>
        </w:tc>
        <w:tc>
          <w:tcPr>
            <w:tcW w:w="1714" w:type="dxa"/>
            <w:vAlign w:val="center"/>
          </w:tcPr>
          <w:p w:rsidR="005A2613" w:rsidRDefault="005A2613" w:rsidP="003526F6">
            <w:pPr>
              <w:jc w:val="center"/>
            </w:pPr>
            <w:r>
              <w:t>6.8%</w:t>
            </w:r>
          </w:p>
        </w:tc>
      </w:tr>
      <w:tr w:rsidR="005A2613" w:rsidTr="00BE2960">
        <w:trPr>
          <w:trHeight w:val="90"/>
        </w:trPr>
        <w:tc>
          <w:tcPr>
            <w:tcW w:w="2155" w:type="dxa"/>
          </w:tcPr>
          <w:p w:rsidR="005A2613" w:rsidRDefault="005A2613" w:rsidP="003526F6">
            <w:r>
              <w:t>Commercial (50%)</w:t>
            </w:r>
          </w:p>
        </w:tc>
        <w:tc>
          <w:tcPr>
            <w:tcW w:w="1714" w:type="dxa"/>
            <w:vAlign w:val="center"/>
          </w:tcPr>
          <w:p w:rsidR="005A2613" w:rsidRDefault="005A2613" w:rsidP="003526F6">
            <w:pPr>
              <w:jc w:val="center"/>
            </w:pPr>
            <w:r>
              <w:t>21.7%</w:t>
            </w:r>
          </w:p>
        </w:tc>
        <w:tc>
          <w:tcPr>
            <w:tcW w:w="1714" w:type="dxa"/>
            <w:vAlign w:val="center"/>
          </w:tcPr>
          <w:p w:rsidR="005A2613" w:rsidRDefault="005A2613" w:rsidP="003526F6">
            <w:pPr>
              <w:jc w:val="center"/>
            </w:pPr>
            <w:r>
              <w:t>26.1%</w:t>
            </w:r>
          </w:p>
        </w:tc>
        <w:tc>
          <w:tcPr>
            <w:tcW w:w="1714" w:type="dxa"/>
            <w:vAlign w:val="center"/>
          </w:tcPr>
          <w:p w:rsidR="005A2613" w:rsidRDefault="005A2613" w:rsidP="003526F6">
            <w:pPr>
              <w:jc w:val="center"/>
            </w:pPr>
            <w:r>
              <w:t>29.3%</w:t>
            </w:r>
          </w:p>
        </w:tc>
      </w:tr>
      <w:tr w:rsidR="005A2613" w:rsidTr="00BE2960">
        <w:trPr>
          <w:trHeight w:val="90"/>
        </w:trPr>
        <w:tc>
          <w:tcPr>
            <w:tcW w:w="2155" w:type="dxa"/>
          </w:tcPr>
          <w:p w:rsidR="005A2613" w:rsidRPr="008B7F54" w:rsidRDefault="005A2613" w:rsidP="003526F6">
            <w:pPr>
              <w:rPr>
                <w:b/>
              </w:rPr>
            </w:pPr>
            <w:r w:rsidRPr="008B7F54">
              <w:rPr>
                <w:b/>
              </w:rPr>
              <w:t>Total</w:t>
            </w:r>
          </w:p>
        </w:tc>
        <w:tc>
          <w:tcPr>
            <w:tcW w:w="1714" w:type="dxa"/>
            <w:vAlign w:val="center"/>
          </w:tcPr>
          <w:p w:rsidR="005A2613" w:rsidRPr="008B7F54" w:rsidRDefault="005A2613" w:rsidP="003526F6">
            <w:pPr>
              <w:jc w:val="center"/>
              <w:rPr>
                <w:b/>
              </w:rPr>
            </w:pPr>
            <w:r>
              <w:rPr>
                <w:b/>
              </w:rPr>
              <w:t>57.4%</w:t>
            </w:r>
          </w:p>
        </w:tc>
        <w:tc>
          <w:tcPr>
            <w:tcW w:w="1714" w:type="dxa"/>
            <w:vAlign w:val="center"/>
          </w:tcPr>
          <w:p w:rsidR="005A2613" w:rsidRDefault="005A2613" w:rsidP="003526F6">
            <w:pPr>
              <w:jc w:val="center"/>
              <w:rPr>
                <w:b/>
              </w:rPr>
            </w:pPr>
            <w:r>
              <w:rPr>
                <w:b/>
              </w:rPr>
              <w:t>57.6%</w:t>
            </w:r>
          </w:p>
        </w:tc>
        <w:tc>
          <w:tcPr>
            <w:tcW w:w="1714" w:type="dxa"/>
            <w:vAlign w:val="center"/>
          </w:tcPr>
          <w:p w:rsidR="005A2613" w:rsidRPr="008B7F54" w:rsidRDefault="005A2613" w:rsidP="003526F6">
            <w:pPr>
              <w:jc w:val="center"/>
              <w:rPr>
                <w:b/>
              </w:rPr>
            </w:pPr>
            <w:r>
              <w:rPr>
                <w:b/>
              </w:rPr>
              <w:t>64.0%</w:t>
            </w:r>
          </w:p>
        </w:tc>
      </w:tr>
      <w:tr w:rsidR="005A2613" w:rsidTr="00BE2960">
        <w:trPr>
          <w:trHeight w:val="90"/>
        </w:trPr>
        <w:tc>
          <w:tcPr>
            <w:tcW w:w="2155" w:type="dxa"/>
          </w:tcPr>
          <w:p w:rsidR="005A2613" w:rsidRPr="008B7F54" w:rsidRDefault="005A2613" w:rsidP="003526F6">
            <w:pPr>
              <w:rPr>
                <w:b/>
              </w:rPr>
            </w:pPr>
            <w:r w:rsidRPr="008B7F54">
              <w:rPr>
                <w:b/>
              </w:rPr>
              <w:t>Rank</w:t>
            </w:r>
          </w:p>
        </w:tc>
        <w:tc>
          <w:tcPr>
            <w:tcW w:w="1714" w:type="dxa"/>
            <w:vAlign w:val="center"/>
          </w:tcPr>
          <w:p w:rsidR="005A2613" w:rsidRPr="008B7F54" w:rsidRDefault="005A2613" w:rsidP="003526F6">
            <w:pPr>
              <w:jc w:val="center"/>
              <w:rPr>
                <w:b/>
              </w:rPr>
            </w:pPr>
            <w:r>
              <w:rPr>
                <w:b/>
              </w:rPr>
              <w:t>3</w:t>
            </w:r>
          </w:p>
        </w:tc>
        <w:tc>
          <w:tcPr>
            <w:tcW w:w="1714" w:type="dxa"/>
            <w:vAlign w:val="center"/>
          </w:tcPr>
          <w:p w:rsidR="005A2613" w:rsidRDefault="005A2613" w:rsidP="003526F6">
            <w:pPr>
              <w:jc w:val="center"/>
              <w:rPr>
                <w:b/>
              </w:rPr>
            </w:pPr>
            <w:r>
              <w:rPr>
                <w:b/>
              </w:rPr>
              <w:t>2</w:t>
            </w:r>
          </w:p>
        </w:tc>
        <w:tc>
          <w:tcPr>
            <w:tcW w:w="1714" w:type="dxa"/>
            <w:vAlign w:val="center"/>
          </w:tcPr>
          <w:p w:rsidR="005A2613" w:rsidRPr="008B7F54" w:rsidRDefault="005A2613" w:rsidP="003526F6">
            <w:pPr>
              <w:jc w:val="center"/>
              <w:rPr>
                <w:b/>
              </w:rPr>
            </w:pPr>
            <w:r>
              <w:rPr>
                <w:b/>
              </w:rPr>
              <w:t>1</w:t>
            </w:r>
          </w:p>
        </w:tc>
      </w:tr>
    </w:tbl>
    <w:p w:rsidR="008B7F54" w:rsidRDefault="008B7F54" w:rsidP="00A867A5"/>
    <w:p w:rsidR="00C75F7E" w:rsidRDefault="005B1BFE" w:rsidP="00A867A5">
      <w:r>
        <w:t xml:space="preserve">As can be seen from the table </w:t>
      </w:r>
      <w:r w:rsidR="000D6D14">
        <w:t>Bidder D</w:t>
      </w:r>
      <w:r>
        <w:t xml:space="preserve"> scores </w:t>
      </w:r>
      <w:r w:rsidR="00C75F7E">
        <w:t>69.4</w:t>
      </w:r>
      <w:r>
        <w:t xml:space="preserve">% and is the top ranked bid </w:t>
      </w:r>
      <w:r w:rsidR="00115AF6">
        <w:t xml:space="preserve">for Lot 1 with </w:t>
      </w:r>
      <w:r w:rsidR="000D6D14">
        <w:t>Bidder C</w:t>
      </w:r>
      <w:r w:rsidR="00115AF6">
        <w:t xml:space="preserve"> and </w:t>
      </w:r>
      <w:r w:rsidR="000D6D14">
        <w:t>Bidder B</w:t>
      </w:r>
      <w:r w:rsidR="00115AF6">
        <w:t xml:space="preserve"> ranked 2 and 3 respectively. </w:t>
      </w:r>
      <w:r w:rsidR="0079199A">
        <w:t>Three of the bids (</w:t>
      </w:r>
      <w:r w:rsidR="000D6D14">
        <w:t>Bidder D</w:t>
      </w:r>
      <w:r w:rsidR="0079199A">
        <w:t xml:space="preserve">, </w:t>
      </w:r>
      <w:r w:rsidR="000D6D14">
        <w:t>Bidder B</w:t>
      </w:r>
      <w:r w:rsidR="0079199A">
        <w:t xml:space="preserve"> and </w:t>
      </w:r>
      <w:r w:rsidR="000D6D14">
        <w:t>Bidder C</w:t>
      </w:r>
      <w:r w:rsidR="0079199A">
        <w:t xml:space="preserve">) are within the Council’s affordability limits for Lot 1, with </w:t>
      </w:r>
      <w:r w:rsidR="000D6D14">
        <w:t>Bidder A</w:t>
      </w:r>
      <w:r w:rsidR="0079199A">
        <w:t xml:space="preserve"> significantly outside the affordability limit.</w:t>
      </w:r>
    </w:p>
    <w:p w:rsidR="00C75F7E" w:rsidRDefault="00C75F7E" w:rsidP="00A867A5"/>
    <w:p w:rsidR="00C75F7E" w:rsidRDefault="00115AF6" w:rsidP="00A867A5">
      <w:r>
        <w:t xml:space="preserve">For Lot 2 </w:t>
      </w:r>
      <w:r w:rsidR="000D6D14">
        <w:t>Bidder A</w:t>
      </w:r>
      <w:r w:rsidR="00C75F7E">
        <w:t xml:space="preserve"> scores 56.6</w:t>
      </w:r>
      <w:r>
        <w:t xml:space="preserve">% and is the top ranked bid </w:t>
      </w:r>
      <w:r w:rsidR="00C75F7E">
        <w:t>for Lot 2</w:t>
      </w:r>
      <w:r>
        <w:t xml:space="preserve"> with </w:t>
      </w:r>
      <w:r w:rsidR="000D6D14">
        <w:t>Bidder C</w:t>
      </w:r>
      <w:r>
        <w:t xml:space="preserve"> and </w:t>
      </w:r>
      <w:r w:rsidR="000D6D14">
        <w:t>Bidder B</w:t>
      </w:r>
      <w:r>
        <w:t xml:space="preserve"> ranked 2 and 3 respectively</w:t>
      </w:r>
      <w:r w:rsidR="0079199A">
        <w:t>.</w:t>
      </w:r>
      <w:r>
        <w:t xml:space="preserve"> </w:t>
      </w:r>
      <w:r w:rsidR="0079199A">
        <w:t>All three bids for Lot 2 are outside of the Council’s affordability limit.</w:t>
      </w:r>
    </w:p>
    <w:p w:rsidR="00C75F7E" w:rsidRDefault="00C75F7E" w:rsidP="00A867A5"/>
    <w:p w:rsidR="00C75F7E" w:rsidRDefault="00C75F7E" w:rsidP="00A867A5">
      <w:r>
        <w:t>For Lot 3</w:t>
      </w:r>
      <w:r w:rsidR="00115AF6">
        <w:t xml:space="preserve"> </w:t>
      </w:r>
      <w:r w:rsidR="000D6D14">
        <w:t>Bidder C</w:t>
      </w:r>
      <w:r>
        <w:t xml:space="preserve"> scores 64</w:t>
      </w:r>
      <w:r w:rsidR="00115AF6">
        <w:t xml:space="preserve">% and is the top ranked bid </w:t>
      </w:r>
      <w:r>
        <w:t>for Lot 3</w:t>
      </w:r>
      <w:r w:rsidR="00115AF6">
        <w:t xml:space="preserve"> with </w:t>
      </w:r>
      <w:r w:rsidR="000D6D14">
        <w:t>Bidder B</w:t>
      </w:r>
      <w:r>
        <w:t xml:space="preserve"> and </w:t>
      </w:r>
      <w:r w:rsidR="000D6D14">
        <w:t>Bidder A</w:t>
      </w:r>
      <w:r w:rsidR="00115AF6">
        <w:t xml:space="preserve"> ranked 2 and 3 respectively</w:t>
      </w:r>
      <w:r w:rsidR="00490F74">
        <w:t>.</w:t>
      </w:r>
      <w:r w:rsidR="0079199A">
        <w:t xml:space="preserve"> Two of the bids (</w:t>
      </w:r>
      <w:r w:rsidR="000D6D14">
        <w:t>Bidder B</w:t>
      </w:r>
      <w:r w:rsidR="0079199A">
        <w:t xml:space="preserve"> and </w:t>
      </w:r>
      <w:r w:rsidR="000D6D14">
        <w:t>Bidder C</w:t>
      </w:r>
      <w:r w:rsidR="0079199A">
        <w:t xml:space="preserve">) are within the Council’s affordability limits for Lot 3, with </w:t>
      </w:r>
      <w:r w:rsidR="000D6D14">
        <w:t>Bidder A</w:t>
      </w:r>
      <w:r w:rsidR="0079199A">
        <w:t xml:space="preserve"> outside the affordability limit.</w:t>
      </w:r>
    </w:p>
    <w:p w:rsidR="00490F74" w:rsidRDefault="00490F74" w:rsidP="00A867A5"/>
    <w:p w:rsidR="0079199A" w:rsidRDefault="0079199A">
      <w:pPr>
        <w:rPr>
          <w:i/>
        </w:rPr>
      </w:pPr>
      <w:r>
        <w:rPr>
          <w:i/>
        </w:rPr>
        <w:br w:type="page"/>
      </w:r>
    </w:p>
    <w:p w:rsidR="00490F74" w:rsidRDefault="008B7F54" w:rsidP="008B7F54">
      <w:pPr>
        <w:rPr>
          <w:i/>
        </w:rPr>
      </w:pPr>
      <w:r>
        <w:rPr>
          <w:i/>
        </w:rPr>
        <w:lastRenderedPageBreak/>
        <w:t>Lot Comparison</w:t>
      </w:r>
    </w:p>
    <w:p w:rsidR="008B7F54" w:rsidRDefault="008B7F54" w:rsidP="008B7F54">
      <w:pPr>
        <w:rPr>
          <w:i/>
        </w:rPr>
      </w:pPr>
    </w:p>
    <w:p w:rsidR="008B7F54" w:rsidRDefault="008B7F54" w:rsidP="008B7F54">
      <w:r>
        <w:t>Within the ISDS, the Council has set out a process by which they will decide which Lot to progress with as set out below.</w:t>
      </w:r>
    </w:p>
    <w:p w:rsidR="00115AF6" w:rsidRDefault="00115AF6" w:rsidP="008B7F54"/>
    <w:tbl>
      <w:tblPr>
        <w:tblStyle w:val="TableGrid"/>
        <w:tblW w:w="0" w:type="auto"/>
        <w:tblLook w:val="04A0" w:firstRow="1" w:lastRow="0" w:firstColumn="1" w:lastColumn="0" w:noHBand="0" w:noVBand="1"/>
      </w:tblPr>
      <w:tblGrid>
        <w:gridCol w:w="9010"/>
      </w:tblGrid>
      <w:tr w:rsidR="00115AF6" w:rsidTr="00115AF6">
        <w:tc>
          <w:tcPr>
            <w:tcW w:w="9010" w:type="dxa"/>
          </w:tcPr>
          <w:p w:rsidR="00115AF6" w:rsidRDefault="00115AF6" w:rsidP="00115AF6">
            <w:pPr>
              <w:pStyle w:val="ListParagraph"/>
              <w:ind w:left="240"/>
            </w:pPr>
          </w:p>
          <w:p w:rsidR="00115AF6" w:rsidRPr="00115AF6" w:rsidRDefault="00115AF6" w:rsidP="00115AF6">
            <w:pPr>
              <w:pStyle w:val="ListParagraph"/>
              <w:ind w:left="240"/>
              <w:rPr>
                <w:b/>
              </w:rPr>
            </w:pPr>
            <w:r>
              <w:rPr>
                <w:b/>
              </w:rPr>
              <w:t>Process for determining which Lot (from ISDS)</w:t>
            </w:r>
          </w:p>
          <w:p w:rsidR="00115AF6" w:rsidRDefault="00115AF6" w:rsidP="00115AF6">
            <w:pPr>
              <w:pStyle w:val="ListParagraph"/>
              <w:ind w:left="240"/>
            </w:pPr>
          </w:p>
          <w:p w:rsidR="00115AF6" w:rsidRDefault="00115AF6" w:rsidP="00115AF6">
            <w:pPr>
              <w:pStyle w:val="ListParagraph"/>
              <w:ind w:left="240"/>
            </w:pPr>
            <w:r>
              <w:t>In order for the Authority</w:t>
            </w:r>
            <w:r w:rsidRPr="00795E97">
              <w:t xml:space="preserve"> </w:t>
            </w:r>
            <w:r>
              <w:t>to</w:t>
            </w:r>
            <w:r w:rsidRPr="00795E97">
              <w:t xml:space="preserve"> decide on whether to progress with either Lot 1 or Lots 2 and 3</w:t>
            </w:r>
            <w:r>
              <w:t xml:space="preserve"> it will assign the Lots the following weightings following completion of the evaluation of ISDS Bids:</w:t>
            </w:r>
          </w:p>
          <w:p w:rsidR="00115AF6" w:rsidRPr="00795E97" w:rsidRDefault="00115AF6" w:rsidP="00115AF6">
            <w:pPr>
              <w:pStyle w:val="ListParagraph"/>
              <w:ind w:left="240"/>
            </w:pPr>
          </w:p>
          <w:p w:rsidR="00115AF6" w:rsidRDefault="00115AF6" w:rsidP="00115AF6">
            <w:pPr>
              <w:pStyle w:val="ListParagraph"/>
              <w:numPr>
                <w:ilvl w:val="1"/>
                <w:numId w:val="7"/>
              </w:numPr>
              <w:ind w:left="870"/>
            </w:pPr>
            <w:r>
              <w:t>Lot 1 – 100%</w:t>
            </w:r>
          </w:p>
          <w:p w:rsidR="00115AF6" w:rsidRDefault="00115AF6" w:rsidP="00115AF6">
            <w:pPr>
              <w:pStyle w:val="ListParagraph"/>
              <w:numPr>
                <w:ilvl w:val="1"/>
                <w:numId w:val="7"/>
              </w:numPr>
              <w:ind w:left="870"/>
            </w:pPr>
            <w:r>
              <w:t>Lot 2 – 50%</w:t>
            </w:r>
          </w:p>
          <w:p w:rsidR="00115AF6" w:rsidRDefault="00115AF6" w:rsidP="00115AF6">
            <w:pPr>
              <w:pStyle w:val="ListParagraph"/>
              <w:numPr>
                <w:ilvl w:val="1"/>
                <w:numId w:val="7"/>
              </w:numPr>
              <w:ind w:left="870"/>
            </w:pPr>
            <w:r>
              <w:t>Lot 3 – 50%</w:t>
            </w:r>
          </w:p>
          <w:p w:rsidR="00115AF6" w:rsidRDefault="00115AF6" w:rsidP="00115AF6">
            <w:pPr>
              <w:pStyle w:val="ListParagraph"/>
              <w:ind w:left="240"/>
            </w:pPr>
          </w:p>
          <w:p w:rsidR="00115AF6" w:rsidRDefault="00115AF6" w:rsidP="00115AF6">
            <w:pPr>
              <w:pStyle w:val="ListParagraph"/>
              <w:ind w:left="240"/>
            </w:pPr>
            <w:r>
              <w:t>The Bid scoring the highest evaluation mark for each Lot will be multiplied by the appropriate percentage weighting to give a score. The total of Lots 2 and 3 will be added together and compared with the Lot 1 total. The Lot with the highest total will then progress as the preferred Lot(s) approach for the Project – with up to three Bidders will be taken forward to the Final Tenders (either 3 Bidders for Lot 1 or 3 Bidders for each of Lots 2 and 3). A worked example is shown below:</w:t>
            </w:r>
          </w:p>
          <w:p w:rsidR="00115AF6" w:rsidRDefault="00115AF6" w:rsidP="00115AF6">
            <w:pPr>
              <w:pStyle w:val="ListParagraph"/>
              <w:ind w:left="240"/>
            </w:pPr>
          </w:p>
          <w:p w:rsidR="00115AF6" w:rsidRDefault="00115AF6" w:rsidP="00115AF6">
            <w:pPr>
              <w:pStyle w:val="ListParagraph"/>
              <w:numPr>
                <w:ilvl w:val="1"/>
                <w:numId w:val="7"/>
              </w:numPr>
              <w:ind w:left="870"/>
            </w:pPr>
            <w:r>
              <w:t>Lot 1 highest ranked bid scores 82%, Lot 2 highest ranked bid scores 78% and Lot 3 highest ranked bid scores 84%, which means that the total of Lot 2 is 39% (78 x 50%) and Lot 3 is 42% (84 x 50%) meaning that the total of Lot 2 and Lot 3 is 81% which is lower than the 82% for Lot 1. In this case Lot 1 would be progressed to Final Tender stage and the procurement for Lots 2 and 3 would be cancelled.</w:t>
            </w:r>
          </w:p>
          <w:p w:rsidR="00115AF6" w:rsidRDefault="00115AF6" w:rsidP="00115AF6">
            <w:pPr>
              <w:pStyle w:val="ListParagraph"/>
              <w:ind w:left="240"/>
            </w:pPr>
          </w:p>
          <w:p w:rsidR="00115AF6" w:rsidRPr="00CF2D41" w:rsidRDefault="00115AF6" w:rsidP="00115AF6">
            <w:pPr>
              <w:ind w:left="240"/>
            </w:pPr>
            <w:r>
              <w:t xml:space="preserve">For clarity when deciding on the </w:t>
            </w:r>
            <w:r w:rsidR="00EA078C">
              <w:t>Lot</w:t>
            </w:r>
            <w:r>
              <w:t xml:space="preserve"> to take through, the Authority will consider the Standard Bid, Mandatory Variant Bid and any Optional Variant bids it decides to accept when determining which is the highest score for each </w:t>
            </w:r>
            <w:r w:rsidR="00EA078C">
              <w:t>Lot</w:t>
            </w:r>
            <w:r>
              <w:t>.</w:t>
            </w:r>
          </w:p>
          <w:p w:rsidR="00115AF6" w:rsidRDefault="00115AF6" w:rsidP="00115AF6">
            <w:pPr>
              <w:ind w:left="240"/>
            </w:pPr>
            <w:r>
              <w:t>Bidders should therefore recognise and acknowledge that there is a risk that the Lot(s) for which they are bidding may not progress to Final Tenders stage and may be cancelled after this ISDS stage.</w:t>
            </w:r>
          </w:p>
          <w:p w:rsidR="00115AF6" w:rsidRDefault="00115AF6" w:rsidP="008B7F54"/>
        </w:tc>
      </w:tr>
    </w:tbl>
    <w:p w:rsidR="00115AF6" w:rsidRDefault="00115AF6" w:rsidP="008B7F54"/>
    <w:p w:rsidR="009A33B9" w:rsidRDefault="00115AF6" w:rsidP="008B7F54">
      <w:r>
        <w:t>Based on this approach the weighted scores for each Lot are summarised below</w:t>
      </w:r>
    </w:p>
    <w:p w:rsidR="00115AF6" w:rsidRDefault="00115AF6" w:rsidP="008B7F54"/>
    <w:p w:rsidR="0079199A" w:rsidRDefault="0079199A">
      <w:pPr>
        <w:rPr>
          <w:i/>
        </w:rPr>
      </w:pPr>
      <w:r>
        <w:rPr>
          <w:i/>
        </w:rPr>
        <w:br w:type="page"/>
      </w:r>
    </w:p>
    <w:p w:rsidR="00115AF6" w:rsidRDefault="00115AF6" w:rsidP="008B7F54">
      <w:pPr>
        <w:rPr>
          <w:i/>
        </w:rPr>
      </w:pPr>
      <w:r>
        <w:rPr>
          <w:i/>
        </w:rPr>
        <w:lastRenderedPageBreak/>
        <w:t>Table 4 – Lot Comparison</w:t>
      </w:r>
    </w:p>
    <w:p w:rsidR="00115AF6" w:rsidRDefault="00115AF6" w:rsidP="008B7F54">
      <w:pPr>
        <w:rPr>
          <w:i/>
        </w:rPr>
      </w:pPr>
    </w:p>
    <w:tbl>
      <w:tblPr>
        <w:tblStyle w:val="TableGrid"/>
        <w:tblW w:w="0" w:type="auto"/>
        <w:tblLook w:val="04A0" w:firstRow="1" w:lastRow="0" w:firstColumn="1" w:lastColumn="0" w:noHBand="0" w:noVBand="1"/>
      </w:tblPr>
      <w:tblGrid>
        <w:gridCol w:w="3325"/>
        <w:gridCol w:w="1567"/>
        <w:gridCol w:w="1568"/>
        <w:gridCol w:w="1568"/>
      </w:tblGrid>
      <w:tr w:rsidR="00115AF6" w:rsidTr="00115AF6">
        <w:trPr>
          <w:trHeight w:val="20"/>
        </w:trPr>
        <w:tc>
          <w:tcPr>
            <w:tcW w:w="3325" w:type="dxa"/>
            <w:shd w:val="clear" w:color="auto" w:fill="BFBFBF" w:themeFill="background1" w:themeFillShade="BF"/>
            <w:vAlign w:val="center"/>
          </w:tcPr>
          <w:p w:rsidR="00115AF6" w:rsidRPr="008B7F54" w:rsidRDefault="00115AF6" w:rsidP="003526F6">
            <w:pPr>
              <w:jc w:val="center"/>
              <w:rPr>
                <w:b/>
              </w:rPr>
            </w:pPr>
            <w:r>
              <w:rPr>
                <w:b/>
              </w:rPr>
              <w:t>Lot (highest scorer)</w:t>
            </w:r>
          </w:p>
        </w:tc>
        <w:tc>
          <w:tcPr>
            <w:tcW w:w="1567" w:type="dxa"/>
            <w:shd w:val="clear" w:color="auto" w:fill="BFBFBF" w:themeFill="background1" w:themeFillShade="BF"/>
            <w:vAlign w:val="center"/>
          </w:tcPr>
          <w:p w:rsidR="00115AF6" w:rsidRPr="008B7F54" w:rsidRDefault="00115AF6" w:rsidP="00115AF6">
            <w:pPr>
              <w:jc w:val="center"/>
              <w:rPr>
                <w:b/>
              </w:rPr>
            </w:pPr>
            <w:r>
              <w:rPr>
                <w:b/>
              </w:rPr>
              <w:t>Highest Score</w:t>
            </w:r>
          </w:p>
        </w:tc>
        <w:tc>
          <w:tcPr>
            <w:tcW w:w="1568" w:type="dxa"/>
            <w:shd w:val="clear" w:color="auto" w:fill="BFBFBF" w:themeFill="background1" w:themeFillShade="BF"/>
            <w:vAlign w:val="center"/>
          </w:tcPr>
          <w:p w:rsidR="00115AF6" w:rsidRPr="008B7F54" w:rsidRDefault="00115AF6" w:rsidP="00115AF6">
            <w:pPr>
              <w:jc w:val="center"/>
              <w:rPr>
                <w:b/>
              </w:rPr>
            </w:pPr>
            <w:r>
              <w:rPr>
                <w:b/>
              </w:rPr>
              <w:t>% Weighting</w:t>
            </w:r>
          </w:p>
        </w:tc>
        <w:tc>
          <w:tcPr>
            <w:tcW w:w="1568" w:type="dxa"/>
            <w:shd w:val="clear" w:color="auto" w:fill="BFBFBF" w:themeFill="background1" w:themeFillShade="BF"/>
            <w:vAlign w:val="center"/>
          </w:tcPr>
          <w:p w:rsidR="00115AF6" w:rsidRPr="008B7F54" w:rsidRDefault="00115AF6" w:rsidP="00115AF6">
            <w:pPr>
              <w:jc w:val="center"/>
              <w:rPr>
                <w:b/>
              </w:rPr>
            </w:pPr>
            <w:r>
              <w:rPr>
                <w:b/>
              </w:rPr>
              <w:t>Weighted Score</w:t>
            </w:r>
          </w:p>
        </w:tc>
      </w:tr>
      <w:tr w:rsidR="00115AF6" w:rsidTr="00115AF6">
        <w:trPr>
          <w:trHeight w:val="20"/>
        </w:trPr>
        <w:tc>
          <w:tcPr>
            <w:tcW w:w="3325" w:type="dxa"/>
          </w:tcPr>
          <w:p w:rsidR="00115AF6" w:rsidRDefault="00115AF6" w:rsidP="003526F6">
            <w:r>
              <w:t>1 (</w:t>
            </w:r>
            <w:r w:rsidR="000D6D14">
              <w:t>Bidder D</w:t>
            </w:r>
            <w:r>
              <w:t>)</w:t>
            </w:r>
          </w:p>
        </w:tc>
        <w:tc>
          <w:tcPr>
            <w:tcW w:w="1567" w:type="dxa"/>
            <w:vAlign w:val="center"/>
          </w:tcPr>
          <w:p w:rsidR="00115AF6" w:rsidRDefault="0079199A" w:rsidP="00115AF6">
            <w:pPr>
              <w:jc w:val="center"/>
            </w:pPr>
            <w:r>
              <w:t>69.4%</w:t>
            </w:r>
          </w:p>
        </w:tc>
        <w:tc>
          <w:tcPr>
            <w:tcW w:w="1568" w:type="dxa"/>
            <w:vAlign w:val="center"/>
          </w:tcPr>
          <w:p w:rsidR="00115AF6" w:rsidRDefault="0079199A" w:rsidP="00115AF6">
            <w:pPr>
              <w:jc w:val="center"/>
            </w:pPr>
            <w:r>
              <w:t>100%</w:t>
            </w:r>
          </w:p>
        </w:tc>
        <w:tc>
          <w:tcPr>
            <w:tcW w:w="1568" w:type="dxa"/>
            <w:vAlign w:val="center"/>
          </w:tcPr>
          <w:p w:rsidR="00115AF6" w:rsidRDefault="0079199A" w:rsidP="00115AF6">
            <w:pPr>
              <w:jc w:val="center"/>
            </w:pPr>
            <w:r>
              <w:t>69.4%</w:t>
            </w:r>
          </w:p>
        </w:tc>
      </w:tr>
      <w:tr w:rsidR="00115AF6" w:rsidTr="00115AF6">
        <w:trPr>
          <w:trHeight w:val="20"/>
        </w:trPr>
        <w:tc>
          <w:tcPr>
            <w:tcW w:w="3325" w:type="dxa"/>
            <w:shd w:val="clear" w:color="auto" w:fill="D9D9D9" w:themeFill="background1" w:themeFillShade="D9"/>
          </w:tcPr>
          <w:p w:rsidR="00115AF6" w:rsidRPr="00115AF6" w:rsidRDefault="00115AF6" w:rsidP="003526F6">
            <w:pPr>
              <w:rPr>
                <w:b/>
              </w:rPr>
            </w:pPr>
            <w:r w:rsidRPr="00115AF6">
              <w:rPr>
                <w:b/>
              </w:rPr>
              <w:t>Weighted Score Lot 1</w:t>
            </w:r>
          </w:p>
        </w:tc>
        <w:tc>
          <w:tcPr>
            <w:tcW w:w="1567" w:type="dxa"/>
            <w:shd w:val="clear" w:color="auto" w:fill="D9D9D9" w:themeFill="background1" w:themeFillShade="D9"/>
            <w:vAlign w:val="center"/>
          </w:tcPr>
          <w:p w:rsidR="00115AF6" w:rsidRPr="00115AF6" w:rsidRDefault="00115AF6" w:rsidP="00115AF6">
            <w:pPr>
              <w:jc w:val="center"/>
              <w:rPr>
                <w:b/>
              </w:rPr>
            </w:pPr>
          </w:p>
        </w:tc>
        <w:tc>
          <w:tcPr>
            <w:tcW w:w="1568" w:type="dxa"/>
            <w:shd w:val="clear" w:color="auto" w:fill="D9D9D9" w:themeFill="background1" w:themeFillShade="D9"/>
            <w:vAlign w:val="center"/>
          </w:tcPr>
          <w:p w:rsidR="00115AF6" w:rsidRPr="00115AF6" w:rsidRDefault="00115AF6" w:rsidP="00115AF6">
            <w:pPr>
              <w:jc w:val="center"/>
              <w:rPr>
                <w:b/>
              </w:rPr>
            </w:pPr>
          </w:p>
        </w:tc>
        <w:tc>
          <w:tcPr>
            <w:tcW w:w="1568" w:type="dxa"/>
            <w:shd w:val="clear" w:color="auto" w:fill="D9D9D9" w:themeFill="background1" w:themeFillShade="D9"/>
            <w:vAlign w:val="center"/>
          </w:tcPr>
          <w:p w:rsidR="00115AF6" w:rsidRPr="00115AF6" w:rsidRDefault="0079199A" w:rsidP="00115AF6">
            <w:pPr>
              <w:jc w:val="center"/>
              <w:rPr>
                <w:b/>
              </w:rPr>
            </w:pPr>
            <w:r>
              <w:rPr>
                <w:b/>
              </w:rPr>
              <w:t>69.4%</w:t>
            </w:r>
          </w:p>
        </w:tc>
      </w:tr>
      <w:tr w:rsidR="00115AF6" w:rsidTr="00115AF6">
        <w:trPr>
          <w:trHeight w:val="20"/>
        </w:trPr>
        <w:tc>
          <w:tcPr>
            <w:tcW w:w="3325" w:type="dxa"/>
          </w:tcPr>
          <w:p w:rsidR="00115AF6" w:rsidRDefault="00115AF6" w:rsidP="003526F6">
            <w:r>
              <w:t>2 (</w:t>
            </w:r>
            <w:r w:rsidR="000D6D14">
              <w:t>Bidder A</w:t>
            </w:r>
            <w:r>
              <w:t>)</w:t>
            </w:r>
          </w:p>
        </w:tc>
        <w:tc>
          <w:tcPr>
            <w:tcW w:w="1567" w:type="dxa"/>
            <w:vAlign w:val="center"/>
          </w:tcPr>
          <w:p w:rsidR="00115AF6" w:rsidRDefault="0079199A" w:rsidP="00115AF6">
            <w:pPr>
              <w:jc w:val="center"/>
            </w:pPr>
            <w:r>
              <w:t>56.6%</w:t>
            </w:r>
          </w:p>
        </w:tc>
        <w:tc>
          <w:tcPr>
            <w:tcW w:w="1568" w:type="dxa"/>
            <w:vAlign w:val="center"/>
          </w:tcPr>
          <w:p w:rsidR="00115AF6" w:rsidRDefault="0079199A" w:rsidP="00115AF6">
            <w:pPr>
              <w:jc w:val="center"/>
            </w:pPr>
            <w:r>
              <w:t>50%</w:t>
            </w:r>
          </w:p>
        </w:tc>
        <w:tc>
          <w:tcPr>
            <w:tcW w:w="1568" w:type="dxa"/>
            <w:vAlign w:val="center"/>
          </w:tcPr>
          <w:p w:rsidR="00115AF6" w:rsidRDefault="0079199A" w:rsidP="00115AF6">
            <w:pPr>
              <w:jc w:val="center"/>
            </w:pPr>
            <w:r>
              <w:t>28.3%</w:t>
            </w:r>
          </w:p>
        </w:tc>
      </w:tr>
      <w:tr w:rsidR="00115AF6" w:rsidTr="00115AF6">
        <w:trPr>
          <w:trHeight w:val="20"/>
        </w:trPr>
        <w:tc>
          <w:tcPr>
            <w:tcW w:w="3325" w:type="dxa"/>
          </w:tcPr>
          <w:p w:rsidR="00115AF6" w:rsidRPr="00115AF6" w:rsidRDefault="00115AF6" w:rsidP="003526F6">
            <w:r w:rsidRPr="00115AF6">
              <w:t>3 (</w:t>
            </w:r>
            <w:r w:rsidR="000D6D14">
              <w:t>Bidder C</w:t>
            </w:r>
            <w:r w:rsidRPr="00115AF6">
              <w:t>)</w:t>
            </w:r>
          </w:p>
        </w:tc>
        <w:tc>
          <w:tcPr>
            <w:tcW w:w="1567" w:type="dxa"/>
            <w:vAlign w:val="center"/>
          </w:tcPr>
          <w:p w:rsidR="00115AF6" w:rsidRPr="00115AF6" w:rsidRDefault="0079199A" w:rsidP="00115AF6">
            <w:pPr>
              <w:jc w:val="center"/>
            </w:pPr>
            <w:r>
              <w:t>64.0%</w:t>
            </w:r>
          </w:p>
        </w:tc>
        <w:tc>
          <w:tcPr>
            <w:tcW w:w="1568" w:type="dxa"/>
            <w:vAlign w:val="center"/>
          </w:tcPr>
          <w:p w:rsidR="00115AF6" w:rsidRPr="00115AF6" w:rsidRDefault="0079199A" w:rsidP="00115AF6">
            <w:pPr>
              <w:jc w:val="center"/>
            </w:pPr>
            <w:r>
              <w:t>50%</w:t>
            </w:r>
          </w:p>
        </w:tc>
        <w:tc>
          <w:tcPr>
            <w:tcW w:w="1568" w:type="dxa"/>
            <w:vAlign w:val="center"/>
          </w:tcPr>
          <w:p w:rsidR="00115AF6" w:rsidRPr="00115AF6" w:rsidRDefault="0079199A" w:rsidP="00115AF6">
            <w:pPr>
              <w:jc w:val="center"/>
            </w:pPr>
            <w:r>
              <w:t>32.0%</w:t>
            </w:r>
          </w:p>
        </w:tc>
      </w:tr>
      <w:tr w:rsidR="00115AF6" w:rsidTr="00115AF6">
        <w:trPr>
          <w:trHeight w:val="20"/>
        </w:trPr>
        <w:tc>
          <w:tcPr>
            <w:tcW w:w="3325" w:type="dxa"/>
            <w:shd w:val="clear" w:color="auto" w:fill="D9D9D9" w:themeFill="background1" w:themeFillShade="D9"/>
          </w:tcPr>
          <w:p w:rsidR="00115AF6" w:rsidRPr="008B7F54" w:rsidRDefault="00115AF6" w:rsidP="003526F6">
            <w:pPr>
              <w:rPr>
                <w:b/>
              </w:rPr>
            </w:pPr>
            <w:r>
              <w:rPr>
                <w:b/>
              </w:rPr>
              <w:t>Weighted Score for Lots 2 &amp; 3</w:t>
            </w:r>
          </w:p>
        </w:tc>
        <w:tc>
          <w:tcPr>
            <w:tcW w:w="1567" w:type="dxa"/>
            <w:shd w:val="clear" w:color="auto" w:fill="D9D9D9" w:themeFill="background1" w:themeFillShade="D9"/>
            <w:vAlign w:val="center"/>
          </w:tcPr>
          <w:p w:rsidR="00115AF6" w:rsidRPr="008B7F54" w:rsidRDefault="00115AF6" w:rsidP="00115AF6">
            <w:pPr>
              <w:jc w:val="center"/>
              <w:rPr>
                <w:b/>
              </w:rPr>
            </w:pPr>
          </w:p>
        </w:tc>
        <w:tc>
          <w:tcPr>
            <w:tcW w:w="1568" w:type="dxa"/>
            <w:shd w:val="clear" w:color="auto" w:fill="D9D9D9" w:themeFill="background1" w:themeFillShade="D9"/>
            <w:vAlign w:val="center"/>
          </w:tcPr>
          <w:p w:rsidR="00115AF6" w:rsidRPr="008B7F54" w:rsidRDefault="00115AF6" w:rsidP="00115AF6">
            <w:pPr>
              <w:jc w:val="center"/>
              <w:rPr>
                <w:b/>
              </w:rPr>
            </w:pPr>
          </w:p>
        </w:tc>
        <w:tc>
          <w:tcPr>
            <w:tcW w:w="1568" w:type="dxa"/>
            <w:shd w:val="clear" w:color="auto" w:fill="D9D9D9" w:themeFill="background1" w:themeFillShade="D9"/>
            <w:vAlign w:val="center"/>
          </w:tcPr>
          <w:p w:rsidR="00115AF6" w:rsidRPr="008B7F54" w:rsidRDefault="0079199A" w:rsidP="00115AF6">
            <w:pPr>
              <w:jc w:val="center"/>
              <w:rPr>
                <w:b/>
              </w:rPr>
            </w:pPr>
            <w:r>
              <w:rPr>
                <w:b/>
              </w:rPr>
              <w:t>60.3%</w:t>
            </w:r>
          </w:p>
        </w:tc>
      </w:tr>
    </w:tbl>
    <w:p w:rsidR="00115AF6" w:rsidRPr="00115AF6" w:rsidRDefault="00115AF6" w:rsidP="008B7F54"/>
    <w:p w:rsidR="00115AF6" w:rsidRDefault="00115AF6" w:rsidP="008B7F54">
      <w:r>
        <w:t xml:space="preserve">Thus Lot 1 scores highest </w:t>
      </w:r>
      <w:r w:rsidR="0079199A">
        <w:t xml:space="preserve">with 69.4% </w:t>
      </w:r>
      <w:r>
        <w:t xml:space="preserve">when comparing Lot 1 against a weighted score for Lots 2 and 3 </w:t>
      </w:r>
      <w:r w:rsidR="0079199A">
        <w:t xml:space="preserve">(60.3%) </w:t>
      </w:r>
      <w:r>
        <w:t>and it is therefore recommended that the Council progress with Lot 1 to the final tender stage.</w:t>
      </w:r>
    </w:p>
    <w:p w:rsidR="005A2613" w:rsidRDefault="005A2613" w:rsidP="008B7F54"/>
    <w:p w:rsidR="00115AF6" w:rsidRPr="00115AF6" w:rsidRDefault="00115AF6" w:rsidP="008B7F54">
      <w:pPr>
        <w:rPr>
          <w:b/>
        </w:rPr>
      </w:pPr>
      <w:r>
        <w:rPr>
          <w:b/>
        </w:rPr>
        <w:t>Summary</w:t>
      </w:r>
    </w:p>
    <w:p w:rsidR="009A33B9" w:rsidRDefault="009A33B9" w:rsidP="008B7F54"/>
    <w:p w:rsidR="00115AF6" w:rsidRDefault="0079199A" w:rsidP="008B7F54">
      <w:r>
        <w:t xml:space="preserve">The Council have had four bids in which all deliver on the Council’s outcomes with the exception of </w:t>
      </w:r>
      <w:r w:rsidR="000D6D14">
        <w:t>Bidder A</w:t>
      </w:r>
      <w:r>
        <w:t xml:space="preserve"> who have not delivered to the Council’s affordability levels. </w:t>
      </w:r>
    </w:p>
    <w:p w:rsidR="0079199A" w:rsidRDefault="0079199A" w:rsidP="008B7F54"/>
    <w:p w:rsidR="0079199A" w:rsidRDefault="0079199A" w:rsidP="008B7F54">
      <w:r>
        <w:t>The evaluation process has robustly scored the bids and in particular reviewed the bids against the evaluation matrix. Some of the key points from the bids include</w:t>
      </w:r>
    </w:p>
    <w:p w:rsidR="0079199A" w:rsidRDefault="0079199A" w:rsidP="008B7F54"/>
    <w:p w:rsidR="0079199A" w:rsidRDefault="0079199A" w:rsidP="0079199A">
      <w:pPr>
        <w:pStyle w:val="ListParagraph"/>
        <w:numPr>
          <w:ilvl w:val="0"/>
          <w:numId w:val="8"/>
        </w:numPr>
      </w:pPr>
      <w:r>
        <w:t>Three of the bidders have met the Council’s affordability limits for Lot 1, although none of the bidders met the affordability levels for Lot 2</w:t>
      </w:r>
    </w:p>
    <w:p w:rsidR="0079199A" w:rsidRDefault="0079199A" w:rsidP="0079199A">
      <w:pPr>
        <w:pStyle w:val="ListParagraph"/>
        <w:numPr>
          <w:ilvl w:val="0"/>
          <w:numId w:val="8"/>
        </w:numPr>
      </w:pPr>
      <w:r>
        <w:t xml:space="preserve">Three of the bidders have presented a development scheme for South Oxhey which seeks to add the pool to the existing building (The Centre) and remodel the existing building to create additional commerciality including </w:t>
      </w:r>
      <w:r w:rsidR="00A50186">
        <w:t>increased health and fitness and climbing</w:t>
      </w:r>
    </w:p>
    <w:p w:rsidR="00A50186" w:rsidRDefault="00A50186" w:rsidP="0079199A">
      <w:pPr>
        <w:pStyle w:val="ListParagraph"/>
        <w:numPr>
          <w:ilvl w:val="0"/>
          <w:numId w:val="8"/>
        </w:numPr>
      </w:pPr>
      <w:r>
        <w:t>All of the bidders presented a good approach to service delivery</w:t>
      </w:r>
    </w:p>
    <w:p w:rsidR="00A50186" w:rsidRDefault="00A50186" w:rsidP="0079199A">
      <w:pPr>
        <w:pStyle w:val="ListParagraph"/>
        <w:numPr>
          <w:ilvl w:val="0"/>
          <w:numId w:val="8"/>
        </w:numPr>
      </w:pPr>
      <w:r>
        <w:t>Lot 1 will provide better value for the Council as opposed to Lots 2 and 3</w:t>
      </w:r>
    </w:p>
    <w:p w:rsidR="00E261E8" w:rsidRDefault="00E261E8" w:rsidP="0079199A">
      <w:pPr>
        <w:pStyle w:val="ListParagraph"/>
        <w:numPr>
          <w:ilvl w:val="0"/>
          <w:numId w:val="8"/>
        </w:numPr>
      </w:pPr>
      <w:r>
        <w:t>Applying the pro</w:t>
      </w:r>
      <w:r w:rsidR="00CF3779">
        <w:t>cess</w:t>
      </w:r>
      <w:r>
        <w:t xml:space="preserve"> for determining which </w:t>
      </w:r>
      <w:r w:rsidR="00EA078C">
        <w:t>Lot</w:t>
      </w:r>
      <w:r>
        <w:t>(s) to take forward</w:t>
      </w:r>
      <w:r w:rsidR="00CF3779">
        <w:t>,</w:t>
      </w:r>
      <w:r>
        <w:t xml:space="preserve"> Lot 1 has provided the highest score compared against Lots 2 and 3.</w:t>
      </w:r>
    </w:p>
    <w:p w:rsidR="00A50186" w:rsidRPr="008B7F54" w:rsidRDefault="00A50186" w:rsidP="00A50186"/>
    <w:p w:rsidR="00A50186" w:rsidRDefault="000D6D14" w:rsidP="00A50186">
      <w:r>
        <w:t>The part 2 report presents further information on the bidders, the financial analysis and the key recommendations</w:t>
      </w:r>
      <w:r w:rsidR="007048F6">
        <w:t>.</w:t>
      </w:r>
      <w:r w:rsidR="005A2613">
        <w:t xml:space="preserve"> </w:t>
      </w:r>
    </w:p>
    <w:p w:rsidR="005A2613" w:rsidRDefault="005A2613" w:rsidP="00A50186"/>
    <w:p w:rsidR="005A2613" w:rsidRDefault="005A2613" w:rsidP="00A50186"/>
    <w:p w:rsidR="00490F74" w:rsidRDefault="00490F74" w:rsidP="00A867A5"/>
    <w:p w:rsidR="007475E9" w:rsidRDefault="007475E9" w:rsidP="00A867A5"/>
    <w:p w:rsidR="00A867A5" w:rsidRPr="00A867A5" w:rsidRDefault="00A867A5" w:rsidP="00A867A5"/>
    <w:sectPr w:rsidR="00A867A5" w:rsidRPr="00A867A5" w:rsidSect="005C787A">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908" w:rsidRDefault="00073908" w:rsidP="007C2307">
      <w:r>
        <w:separator/>
      </w:r>
    </w:p>
  </w:endnote>
  <w:endnote w:type="continuationSeparator" w:id="0">
    <w:p w:rsidR="00073908" w:rsidRDefault="00073908" w:rsidP="007C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307" w:rsidRDefault="007C2307" w:rsidP="00FA60C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2307" w:rsidRDefault="007C2307" w:rsidP="007C23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307" w:rsidRDefault="007C2307" w:rsidP="00FA60C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378B">
      <w:rPr>
        <w:rStyle w:val="PageNumber"/>
        <w:noProof/>
      </w:rPr>
      <w:t>1</w:t>
    </w:r>
    <w:r>
      <w:rPr>
        <w:rStyle w:val="PageNumber"/>
      </w:rPr>
      <w:fldChar w:fldCharType="end"/>
    </w:r>
  </w:p>
  <w:p w:rsidR="007C2307" w:rsidRDefault="007C2307" w:rsidP="007C23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908" w:rsidRDefault="00073908" w:rsidP="007C2307">
      <w:r>
        <w:separator/>
      </w:r>
    </w:p>
  </w:footnote>
  <w:footnote w:type="continuationSeparator" w:id="0">
    <w:p w:rsidR="00073908" w:rsidRDefault="00073908" w:rsidP="007C2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163"/>
    <w:multiLevelType w:val="hybridMultilevel"/>
    <w:tmpl w:val="AB16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A97D38"/>
    <w:multiLevelType w:val="hybridMultilevel"/>
    <w:tmpl w:val="1FEA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BB5EE1"/>
    <w:multiLevelType w:val="hybridMultilevel"/>
    <w:tmpl w:val="355C606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27F32"/>
    <w:multiLevelType w:val="hybridMultilevel"/>
    <w:tmpl w:val="FC120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E10936"/>
    <w:multiLevelType w:val="hybridMultilevel"/>
    <w:tmpl w:val="1D88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BD796C"/>
    <w:multiLevelType w:val="hybridMultilevel"/>
    <w:tmpl w:val="CFA0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4C382C"/>
    <w:multiLevelType w:val="hybridMultilevel"/>
    <w:tmpl w:val="4B4A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1C0CAC"/>
    <w:multiLevelType w:val="hybridMultilevel"/>
    <w:tmpl w:val="B3E6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FB59B3"/>
    <w:multiLevelType w:val="hybridMultilevel"/>
    <w:tmpl w:val="CAC47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F140580"/>
    <w:multiLevelType w:val="hybridMultilevel"/>
    <w:tmpl w:val="4982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4"/>
  </w:num>
  <w:num w:numId="5">
    <w:abstractNumId w:val="1"/>
  </w:num>
  <w:num w:numId="6">
    <w:abstractNumId w:val="7"/>
  </w:num>
  <w:num w:numId="7">
    <w:abstractNumId w:val="2"/>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SAuthorLogon" w:val="RISHIK"/>
    <w:docVar w:name="FSClientName" w:val="Three Rivers District Council"/>
    <w:docVar w:name="FSClientNumber" w:val="338374"/>
    <w:docVar w:name="FSDocClass" w:val="DOC"/>
    <w:docVar w:name="FSDocNumber" w:val="34616997"/>
    <w:docVar w:name="FSDocumentDescription" w:val="Three Rivers - Evaluation Summary - BD Amends"/>
    <w:docVar w:name="FSDocVersion" w:val="1"/>
    <w:docVar w:name="FSMatterDesc" w:val="Leisure Project"/>
    <w:docVar w:name="FSMatterNumber" w:val="00097"/>
    <w:docVar w:name="FSTypist" w:val="RISHIK"/>
    <w:docVar w:name="FSTypistLogon" w:val="RISHIK"/>
  </w:docVars>
  <w:rsids>
    <w:rsidRoot w:val="00A867A5"/>
    <w:rsid w:val="00073908"/>
    <w:rsid w:val="000D6D14"/>
    <w:rsid w:val="00100097"/>
    <w:rsid w:val="00115AF6"/>
    <w:rsid w:val="0019364B"/>
    <w:rsid w:val="0023380A"/>
    <w:rsid w:val="0025622C"/>
    <w:rsid w:val="002C5B20"/>
    <w:rsid w:val="00324A0D"/>
    <w:rsid w:val="003E0951"/>
    <w:rsid w:val="003F40CA"/>
    <w:rsid w:val="00441C4E"/>
    <w:rsid w:val="00490F74"/>
    <w:rsid w:val="0055487E"/>
    <w:rsid w:val="005A2613"/>
    <w:rsid w:val="005B1BFE"/>
    <w:rsid w:val="005C787A"/>
    <w:rsid w:val="005E4308"/>
    <w:rsid w:val="00637735"/>
    <w:rsid w:val="00670811"/>
    <w:rsid w:val="006B60BD"/>
    <w:rsid w:val="007048F6"/>
    <w:rsid w:val="0072378B"/>
    <w:rsid w:val="007475E9"/>
    <w:rsid w:val="0079199A"/>
    <w:rsid w:val="007C2307"/>
    <w:rsid w:val="008B7F54"/>
    <w:rsid w:val="00916BAC"/>
    <w:rsid w:val="00946E93"/>
    <w:rsid w:val="009742E7"/>
    <w:rsid w:val="00977A83"/>
    <w:rsid w:val="009A33B9"/>
    <w:rsid w:val="00A36355"/>
    <w:rsid w:val="00A50186"/>
    <w:rsid w:val="00A867A5"/>
    <w:rsid w:val="00B8213B"/>
    <w:rsid w:val="00B977C1"/>
    <w:rsid w:val="00C3052D"/>
    <w:rsid w:val="00C46AD8"/>
    <w:rsid w:val="00C75F7E"/>
    <w:rsid w:val="00CF3779"/>
    <w:rsid w:val="00D047B6"/>
    <w:rsid w:val="00E261E8"/>
    <w:rsid w:val="00EA0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7A5"/>
    <w:pPr>
      <w:ind w:left="720"/>
      <w:contextualSpacing/>
    </w:pPr>
  </w:style>
  <w:style w:type="paragraph" w:styleId="Footer">
    <w:name w:val="footer"/>
    <w:basedOn w:val="Normal"/>
    <w:link w:val="FooterChar"/>
    <w:uiPriority w:val="99"/>
    <w:unhideWhenUsed/>
    <w:rsid w:val="007C2307"/>
    <w:pPr>
      <w:tabs>
        <w:tab w:val="center" w:pos="4513"/>
        <w:tab w:val="right" w:pos="9026"/>
      </w:tabs>
    </w:pPr>
  </w:style>
  <w:style w:type="character" w:customStyle="1" w:styleId="FooterChar">
    <w:name w:val="Footer Char"/>
    <w:basedOn w:val="DefaultParagraphFont"/>
    <w:link w:val="Footer"/>
    <w:uiPriority w:val="99"/>
    <w:rsid w:val="007C2307"/>
  </w:style>
  <w:style w:type="character" w:styleId="PageNumber">
    <w:name w:val="page number"/>
    <w:basedOn w:val="DefaultParagraphFont"/>
    <w:uiPriority w:val="99"/>
    <w:semiHidden/>
    <w:unhideWhenUsed/>
    <w:rsid w:val="007C2307"/>
  </w:style>
  <w:style w:type="table" w:styleId="TableGrid">
    <w:name w:val="Table Grid"/>
    <w:basedOn w:val="TableNormal"/>
    <w:uiPriority w:val="39"/>
    <w:rsid w:val="008B7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B20"/>
    <w:pPr>
      <w:tabs>
        <w:tab w:val="center" w:pos="4513"/>
        <w:tab w:val="right" w:pos="9026"/>
      </w:tabs>
    </w:pPr>
  </w:style>
  <w:style w:type="character" w:customStyle="1" w:styleId="HeaderChar">
    <w:name w:val="Header Char"/>
    <w:basedOn w:val="DefaultParagraphFont"/>
    <w:link w:val="Header"/>
    <w:uiPriority w:val="99"/>
    <w:rsid w:val="002C5B20"/>
  </w:style>
  <w:style w:type="paragraph" w:styleId="BalloonText">
    <w:name w:val="Balloon Text"/>
    <w:basedOn w:val="Normal"/>
    <w:link w:val="BalloonTextChar"/>
    <w:uiPriority w:val="99"/>
    <w:semiHidden/>
    <w:unhideWhenUsed/>
    <w:rsid w:val="00324A0D"/>
    <w:rPr>
      <w:rFonts w:ascii="Tahoma" w:hAnsi="Tahoma" w:cs="Tahoma"/>
      <w:sz w:val="16"/>
      <w:szCs w:val="16"/>
    </w:rPr>
  </w:style>
  <w:style w:type="character" w:customStyle="1" w:styleId="BalloonTextChar">
    <w:name w:val="Balloon Text Char"/>
    <w:basedOn w:val="DefaultParagraphFont"/>
    <w:link w:val="BalloonText"/>
    <w:uiPriority w:val="99"/>
    <w:semiHidden/>
    <w:rsid w:val="00324A0D"/>
    <w:rPr>
      <w:rFonts w:ascii="Tahoma" w:hAnsi="Tahoma" w:cs="Tahoma"/>
      <w:sz w:val="16"/>
      <w:szCs w:val="16"/>
    </w:rPr>
  </w:style>
  <w:style w:type="character" w:styleId="CommentReference">
    <w:name w:val="annotation reference"/>
    <w:basedOn w:val="DefaultParagraphFont"/>
    <w:uiPriority w:val="99"/>
    <w:semiHidden/>
    <w:unhideWhenUsed/>
    <w:rsid w:val="003F40CA"/>
    <w:rPr>
      <w:sz w:val="16"/>
      <w:szCs w:val="16"/>
    </w:rPr>
  </w:style>
  <w:style w:type="paragraph" w:styleId="CommentText">
    <w:name w:val="annotation text"/>
    <w:basedOn w:val="Normal"/>
    <w:link w:val="CommentTextChar"/>
    <w:uiPriority w:val="99"/>
    <w:semiHidden/>
    <w:unhideWhenUsed/>
    <w:rsid w:val="003F40CA"/>
    <w:rPr>
      <w:sz w:val="20"/>
      <w:szCs w:val="20"/>
    </w:rPr>
  </w:style>
  <w:style w:type="character" w:customStyle="1" w:styleId="CommentTextChar">
    <w:name w:val="Comment Text Char"/>
    <w:basedOn w:val="DefaultParagraphFont"/>
    <w:link w:val="CommentText"/>
    <w:uiPriority w:val="99"/>
    <w:semiHidden/>
    <w:rsid w:val="003F40CA"/>
    <w:rPr>
      <w:sz w:val="20"/>
      <w:szCs w:val="20"/>
    </w:rPr>
  </w:style>
  <w:style w:type="paragraph" w:styleId="CommentSubject">
    <w:name w:val="annotation subject"/>
    <w:basedOn w:val="CommentText"/>
    <w:next w:val="CommentText"/>
    <w:link w:val="CommentSubjectChar"/>
    <w:uiPriority w:val="99"/>
    <w:semiHidden/>
    <w:unhideWhenUsed/>
    <w:rsid w:val="003F40CA"/>
    <w:rPr>
      <w:b/>
      <w:bCs/>
    </w:rPr>
  </w:style>
  <w:style w:type="character" w:customStyle="1" w:styleId="CommentSubjectChar">
    <w:name w:val="Comment Subject Char"/>
    <w:basedOn w:val="CommentTextChar"/>
    <w:link w:val="CommentSubject"/>
    <w:uiPriority w:val="99"/>
    <w:semiHidden/>
    <w:rsid w:val="003F40C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7A5"/>
    <w:pPr>
      <w:ind w:left="720"/>
      <w:contextualSpacing/>
    </w:pPr>
  </w:style>
  <w:style w:type="paragraph" w:styleId="Footer">
    <w:name w:val="footer"/>
    <w:basedOn w:val="Normal"/>
    <w:link w:val="FooterChar"/>
    <w:uiPriority w:val="99"/>
    <w:unhideWhenUsed/>
    <w:rsid w:val="007C2307"/>
    <w:pPr>
      <w:tabs>
        <w:tab w:val="center" w:pos="4513"/>
        <w:tab w:val="right" w:pos="9026"/>
      </w:tabs>
    </w:pPr>
  </w:style>
  <w:style w:type="character" w:customStyle="1" w:styleId="FooterChar">
    <w:name w:val="Footer Char"/>
    <w:basedOn w:val="DefaultParagraphFont"/>
    <w:link w:val="Footer"/>
    <w:uiPriority w:val="99"/>
    <w:rsid w:val="007C2307"/>
  </w:style>
  <w:style w:type="character" w:styleId="PageNumber">
    <w:name w:val="page number"/>
    <w:basedOn w:val="DefaultParagraphFont"/>
    <w:uiPriority w:val="99"/>
    <w:semiHidden/>
    <w:unhideWhenUsed/>
    <w:rsid w:val="007C2307"/>
  </w:style>
  <w:style w:type="table" w:styleId="TableGrid">
    <w:name w:val="Table Grid"/>
    <w:basedOn w:val="TableNormal"/>
    <w:uiPriority w:val="39"/>
    <w:rsid w:val="008B7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B20"/>
    <w:pPr>
      <w:tabs>
        <w:tab w:val="center" w:pos="4513"/>
        <w:tab w:val="right" w:pos="9026"/>
      </w:tabs>
    </w:pPr>
  </w:style>
  <w:style w:type="character" w:customStyle="1" w:styleId="HeaderChar">
    <w:name w:val="Header Char"/>
    <w:basedOn w:val="DefaultParagraphFont"/>
    <w:link w:val="Header"/>
    <w:uiPriority w:val="99"/>
    <w:rsid w:val="002C5B20"/>
  </w:style>
  <w:style w:type="paragraph" w:styleId="BalloonText">
    <w:name w:val="Balloon Text"/>
    <w:basedOn w:val="Normal"/>
    <w:link w:val="BalloonTextChar"/>
    <w:uiPriority w:val="99"/>
    <w:semiHidden/>
    <w:unhideWhenUsed/>
    <w:rsid w:val="00324A0D"/>
    <w:rPr>
      <w:rFonts w:ascii="Tahoma" w:hAnsi="Tahoma" w:cs="Tahoma"/>
      <w:sz w:val="16"/>
      <w:szCs w:val="16"/>
    </w:rPr>
  </w:style>
  <w:style w:type="character" w:customStyle="1" w:styleId="BalloonTextChar">
    <w:name w:val="Balloon Text Char"/>
    <w:basedOn w:val="DefaultParagraphFont"/>
    <w:link w:val="BalloonText"/>
    <w:uiPriority w:val="99"/>
    <w:semiHidden/>
    <w:rsid w:val="00324A0D"/>
    <w:rPr>
      <w:rFonts w:ascii="Tahoma" w:hAnsi="Tahoma" w:cs="Tahoma"/>
      <w:sz w:val="16"/>
      <w:szCs w:val="16"/>
    </w:rPr>
  </w:style>
  <w:style w:type="character" w:styleId="CommentReference">
    <w:name w:val="annotation reference"/>
    <w:basedOn w:val="DefaultParagraphFont"/>
    <w:uiPriority w:val="99"/>
    <w:semiHidden/>
    <w:unhideWhenUsed/>
    <w:rsid w:val="003F40CA"/>
    <w:rPr>
      <w:sz w:val="16"/>
      <w:szCs w:val="16"/>
    </w:rPr>
  </w:style>
  <w:style w:type="paragraph" w:styleId="CommentText">
    <w:name w:val="annotation text"/>
    <w:basedOn w:val="Normal"/>
    <w:link w:val="CommentTextChar"/>
    <w:uiPriority w:val="99"/>
    <w:semiHidden/>
    <w:unhideWhenUsed/>
    <w:rsid w:val="003F40CA"/>
    <w:rPr>
      <w:sz w:val="20"/>
      <w:szCs w:val="20"/>
    </w:rPr>
  </w:style>
  <w:style w:type="character" w:customStyle="1" w:styleId="CommentTextChar">
    <w:name w:val="Comment Text Char"/>
    <w:basedOn w:val="DefaultParagraphFont"/>
    <w:link w:val="CommentText"/>
    <w:uiPriority w:val="99"/>
    <w:semiHidden/>
    <w:rsid w:val="003F40CA"/>
    <w:rPr>
      <w:sz w:val="20"/>
      <w:szCs w:val="20"/>
    </w:rPr>
  </w:style>
  <w:style w:type="paragraph" w:styleId="CommentSubject">
    <w:name w:val="annotation subject"/>
    <w:basedOn w:val="CommentText"/>
    <w:next w:val="CommentText"/>
    <w:link w:val="CommentSubjectChar"/>
    <w:uiPriority w:val="99"/>
    <w:semiHidden/>
    <w:unhideWhenUsed/>
    <w:rsid w:val="003F40CA"/>
    <w:rPr>
      <w:b/>
      <w:bCs/>
    </w:rPr>
  </w:style>
  <w:style w:type="character" w:customStyle="1" w:styleId="CommentSubjectChar">
    <w:name w:val="Comment Subject Char"/>
    <w:basedOn w:val="CommentTextChar"/>
    <w:link w:val="CommentSubject"/>
    <w:uiPriority w:val="99"/>
    <w:semiHidden/>
    <w:rsid w:val="003F40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DE35D-DCF3-4FCC-97BC-D0F6DBF2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Dickinson Dees</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Helen Wailling</cp:lastModifiedBy>
  <cp:revision>3</cp:revision>
  <dcterms:created xsi:type="dcterms:W3CDTF">2017-01-06T10:08:00Z</dcterms:created>
  <dcterms:modified xsi:type="dcterms:W3CDTF">2017-01-06T10:08:00Z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4A-LIVE\34616997\1</vt:lpwstr>
  </property>
  <property fmtid="{D5CDD505-2E9C-101B-9397-08002B2CF9AE}" pid="3" name="DocRef">
    <vt:lpwstr>4A_34616997_1</vt:lpwstr>
  </property>
</Properties>
</file>