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A" w:rsidRDefault="009430AF" w:rsidP="002D4A16">
      <w:pPr>
        <w:jc w:val="center"/>
        <w:rPr>
          <w:b/>
        </w:rPr>
      </w:pPr>
      <w:r>
        <w:rPr>
          <w:b/>
        </w:rPr>
        <w:t>SUSTAINABLE DEVELOPMENT, PLANNING AND TRANSPOR</w:t>
      </w:r>
      <w:bookmarkStart w:id="0" w:name="_GoBack"/>
      <w:bookmarkEnd w:id="0"/>
      <w:r>
        <w:rPr>
          <w:b/>
        </w:rPr>
        <w:t>T COMMITTEE</w:t>
      </w:r>
    </w:p>
    <w:p w:rsidR="00BF34FA" w:rsidRDefault="00BB6DC8" w:rsidP="00C36C71">
      <w:pPr>
        <w:jc w:val="center"/>
      </w:pPr>
      <w:r>
        <w:rPr>
          <w:b/>
        </w:rPr>
        <w:t>15 NOVEMBER 2016</w:t>
      </w:r>
    </w:p>
    <w:p w:rsidR="005A2B00" w:rsidRDefault="005A2B00" w:rsidP="00C36C71">
      <w:pPr>
        <w:jc w:val="center"/>
        <w:rPr>
          <w:b/>
        </w:rPr>
      </w:pPr>
    </w:p>
    <w:p w:rsidR="00145950" w:rsidRDefault="00BF34FA" w:rsidP="00C36C71">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DELEGATED</w:t>
      </w:r>
    </w:p>
    <w:p w:rsidR="00BF34FA" w:rsidRDefault="00BF34FA">
      <w:pPr>
        <w:jc w:val="center"/>
      </w:pPr>
      <w:r>
        <w:rPr>
          <w:b/>
        </w:rPr>
        <w:fldChar w:fldCharType="begin"/>
      </w:r>
      <w:r>
        <w:rPr>
          <w:b/>
        </w:rPr>
        <w:instrText xml:space="preserve">  </w:instrText>
      </w:r>
      <w:r>
        <w:rPr>
          <w:b/>
        </w:rPr>
        <w:fldChar w:fldCharType="end"/>
      </w:r>
    </w:p>
    <w:p w:rsidR="00BF34FA" w:rsidRPr="000A64EF" w:rsidRDefault="00BF34FA">
      <w:pPr>
        <w:keepNext/>
        <w:ind w:left="1267" w:hanging="1267"/>
        <w:rPr>
          <w:rFonts w:cs="Arial"/>
          <w:b/>
          <w:i/>
          <w:color w:val="008000"/>
          <w:szCs w:val="22"/>
        </w:rPr>
      </w:pPr>
      <w:r w:rsidRPr="006D39A8">
        <w:rPr>
          <w:rFonts w:cs="Arial"/>
          <w:b/>
          <w:szCs w:val="22"/>
        </w:rPr>
        <w:fldChar w:fldCharType="begin"/>
      </w:r>
      <w:r w:rsidRPr="006D39A8">
        <w:rPr>
          <w:rFonts w:cs="Arial"/>
          <w:b/>
          <w:szCs w:val="22"/>
        </w:rPr>
        <w:instrText xml:space="preserve">  </w:instrText>
      </w:r>
      <w:r w:rsidRPr="006D39A8">
        <w:rPr>
          <w:rFonts w:cs="Arial"/>
          <w:b/>
          <w:szCs w:val="22"/>
        </w:rPr>
        <w:fldChar w:fldCharType="end"/>
      </w:r>
      <w:r w:rsidR="002D4A16">
        <w:rPr>
          <w:rFonts w:cs="Arial"/>
          <w:b/>
          <w:szCs w:val="22"/>
        </w:rPr>
        <w:t>7.</w:t>
      </w:r>
      <w:r w:rsidR="002D4A16">
        <w:rPr>
          <w:rFonts w:cs="Arial"/>
          <w:b/>
          <w:szCs w:val="22"/>
        </w:rPr>
        <w:tab/>
      </w:r>
      <w:r w:rsidR="00471D73" w:rsidRPr="005B3BFE">
        <w:rPr>
          <w:rFonts w:cs="Arial"/>
          <w:b/>
          <w:szCs w:val="22"/>
        </w:rPr>
        <w:t>REPORT ON PARKING SERVICE</w:t>
      </w:r>
      <w:r w:rsidR="00471D73" w:rsidRPr="001E26BF">
        <w:rPr>
          <w:rFonts w:cs="Arial"/>
          <w:b/>
          <w:szCs w:val="22"/>
        </w:rPr>
        <w:t xml:space="preserve"> CHARGING AND INCOME</w:t>
      </w:r>
      <w:r w:rsidRPr="006D39A8">
        <w:rPr>
          <w:rFonts w:cs="Arial"/>
          <w:b/>
          <w:szCs w:val="22"/>
        </w:rPr>
        <w:fldChar w:fldCharType="begin"/>
      </w:r>
      <w:r w:rsidRPr="006D39A8">
        <w:rPr>
          <w:rFonts w:cs="Arial"/>
          <w:b/>
          <w:szCs w:val="22"/>
        </w:rPr>
        <w:instrText xml:space="preserve">  </w:instrText>
      </w:r>
      <w:r w:rsidRPr="006D39A8">
        <w:rPr>
          <w:rFonts w:cs="Arial"/>
          <w:b/>
          <w:szCs w:val="22"/>
        </w:rPr>
        <w:fldChar w:fldCharType="end"/>
      </w:r>
    </w:p>
    <w:p w:rsidR="00BF34FA" w:rsidRPr="006D39A8" w:rsidRDefault="00BF34FA">
      <w:pPr>
        <w:keepNext/>
        <w:ind w:left="1267" w:hanging="1267"/>
        <w:rPr>
          <w:rFonts w:cs="Arial"/>
          <w:szCs w:val="22"/>
        </w:rPr>
      </w:pPr>
      <w:r w:rsidRPr="00E72A63">
        <w:rPr>
          <w:rFonts w:cs="Arial"/>
          <w:b/>
          <w:szCs w:val="22"/>
        </w:rPr>
        <w:tab/>
      </w:r>
      <w:r w:rsidRPr="006D39A8">
        <w:rPr>
          <w:rFonts w:cs="Arial"/>
          <w:szCs w:val="22"/>
        </w:rPr>
        <w:t>(</w:t>
      </w:r>
      <w:r w:rsidR="00145950" w:rsidRPr="006D39A8">
        <w:rPr>
          <w:rFonts w:cs="Arial"/>
          <w:szCs w:val="22"/>
        </w:rPr>
        <w:t>D</w:t>
      </w:r>
      <w:r w:rsidRPr="006D39A8">
        <w:rPr>
          <w:rFonts w:cs="Arial"/>
          <w:szCs w:val="22"/>
        </w:rPr>
        <w:t xml:space="preserve">CES) </w:t>
      </w:r>
    </w:p>
    <w:p w:rsidR="00EA3D9E" w:rsidRPr="006D39A8" w:rsidRDefault="00EA3D9E">
      <w:pPr>
        <w:keepNext/>
        <w:ind w:left="1267" w:hanging="1267"/>
        <w:rPr>
          <w:rFonts w:cs="Arial"/>
          <w:szCs w:val="22"/>
        </w:rPr>
      </w:pPr>
    </w:p>
    <w:p w:rsidR="00BF34FA" w:rsidRPr="006D39A8" w:rsidRDefault="00BF34FA" w:rsidP="00EA3D9E">
      <w:pPr>
        <w:rPr>
          <w:rFonts w:cs="Arial"/>
          <w:szCs w:val="22"/>
        </w:rPr>
      </w:pPr>
    </w:p>
    <w:p w:rsidR="00BF34FA" w:rsidRPr="00BA0256" w:rsidRDefault="00BF34FA">
      <w:pPr>
        <w:keepNext/>
        <w:ind w:left="1267" w:hanging="1267"/>
        <w:rPr>
          <w:rFonts w:cs="Arial"/>
          <w:szCs w:val="22"/>
        </w:rPr>
      </w:pPr>
      <w:r w:rsidRPr="0005394C">
        <w:rPr>
          <w:rFonts w:cs="Arial"/>
          <w:szCs w:val="22"/>
        </w:rPr>
        <w:t>1.</w:t>
      </w:r>
      <w:r w:rsidRPr="00BA0256">
        <w:rPr>
          <w:rFonts w:cs="Arial"/>
          <w:szCs w:val="22"/>
        </w:rPr>
        <w:tab/>
      </w:r>
      <w:r w:rsidRPr="00BA0256">
        <w:rPr>
          <w:rFonts w:cs="Arial"/>
          <w:b/>
          <w:szCs w:val="22"/>
        </w:rPr>
        <w:t>Summary</w:t>
      </w:r>
    </w:p>
    <w:p w:rsidR="00BF34FA" w:rsidRPr="00BA0256" w:rsidRDefault="00BF34FA">
      <w:pPr>
        <w:keepNext/>
        <w:ind w:left="1267" w:hanging="1267"/>
        <w:rPr>
          <w:rFonts w:cs="Arial"/>
          <w:szCs w:val="22"/>
        </w:rPr>
      </w:pPr>
    </w:p>
    <w:p w:rsidR="00AE75AB" w:rsidRPr="004438A5" w:rsidRDefault="00BD301B" w:rsidP="00AE75AB">
      <w:pPr>
        <w:ind w:left="1260" w:hanging="1260"/>
        <w:rPr>
          <w:rFonts w:cs="Arial"/>
          <w:szCs w:val="22"/>
        </w:rPr>
      </w:pPr>
      <w:r w:rsidRPr="00BA0256">
        <w:rPr>
          <w:rFonts w:cs="Arial"/>
          <w:szCs w:val="22"/>
        </w:rPr>
        <w:t>1.1</w:t>
      </w:r>
      <w:r w:rsidRPr="00BA0256">
        <w:rPr>
          <w:rFonts w:cs="Arial"/>
          <w:szCs w:val="22"/>
        </w:rPr>
        <w:tab/>
        <w:t xml:space="preserve">The report sets out some </w:t>
      </w:r>
      <w:r w:rsidR="00AE75AB">
        <w:rPr>
          <w:rFonts w:cs="Arial"/>
          <w:szCs w:val="22"/>
        </w:rPr>
        <w:t xml:space="preserve">further </w:t>
      </w:r>
      <w:r w:rsidRPr="00BA0256">
        <w:rPr>
          <w:rFonts w:cs="Arial"/>
          <w:szCs w:val="22"/>
        </w:rPr>
        <w:t xml:space="preserve">options and recommendations </w:t>
      </w:r>
      <w:r w:rsidRPr="00E22B63">
        <w:rPr>
          <w:rFonts w:cs="Arial"/>
          <w:szCs w:val="22"/>
        </w:rPr>
        <w:t>for bridging the ga</w:t>
      </w:r>
      <w:r w:rsidR="00AE75AB">
        <w:rPr>
          <w:rFonts w:cs="Arial"/>
          <w:szCs w:val="22"/>
        </w:rPr>
        <w:t>p bet</w:t>
      </w:r>
      <w:r w:rsidR="00AE75AB" w:rsidRPr="00E22B63">
        <w:rPr>
          <w:rFonts w:cs="Arial"/>
          <w:szCs w:val="22"/>
        </w:rPr>
        <w:t xml:space="preserve">ween income and expenditure for the Council’s parking services following the request made at the December </w:t>
      </w:r>
      <w:r w:rsidR="00AE75AB">
        <w:rPr>
          <w:rFonts w:cs="Arial"/>
          <w:szCs w:val="22"/>
        </w:rPr>
        <w:t xml:space="preserve">2015 </w:t>
      </w:r>
      <w:r w:rsidR="00AE75AB" w:rsidRPr="004438A5">
        <w:rPr>
          <w:rFonts w:cs="Arial"/>
          <w:szCs w:val="22"/>
        </w:rPr>
        <w:t>Policy and Resources Committee</w:t>
      </w:r>
      <w:r w:rsidR="00AE75AB">
        <w:rPr>
          <w:rFonts w:cs="Arial"/>
          <w:szCs w:val="22"/>
        </w:rPr>
        <w:t xml:space="preserve"> and the Council’s budget-setting meeting on 23 February 2016</w:t>
      </w:r>
      <w:r w:rsidR="00AE75AB" w:rsidRPr="004438A5">
        <w:rPr>
          <w:rFonts w:cs="Arial"/>
          <w:szCs w:val="22"/>
        </w:rPr>
        <w:t xml:space="preserve">. </w:t>
      </w:r>
    </w:p>
    <w:p w:rsidR="00AE75AB" w:rsidRPr="00EF7BDB" w:rsidRDefault="00AE75AB" w:rsidP="00AE75AB">
      <w:pPr>
        <w:ind w:left="360"/>
        <w:rPr>
          <w:rFonts w:cs="Arial"/>
          <w:szCs w:val="22"/>
        </w:rPr>
      </w:pPr>
      <w:r w:rsidRPr="00BA0256">
        <w:rPr>
          <w:rFonts w:cs="Arial"/>
          <w:szCs w:val="22"/>
        </w:rPr>
        <w:fldChar w:fldCharType="begin"/>
      </w:r>
      <w:r w:rsidRPr="00BA0256">
        <w:rPr>
          <w:rFonts w:cs="Arial"/>
          <w:szCs w:val="22"/>
        </w:rPr>
        <w:instrText xml:space="preserve">  </w:instrText>
      </w:r>
      <w:r w:rsidRPr="00BA0256">
        <w:rPr>
          <w:rFonts w:cs="Arial"/>
          <w:szCs w:val="22"/>
        </w:rPr>
        <w:fldChar w:fldCharType="end"/>
      </w:r>
    </w:p>
    <w:p w:rsidR="00BF34FA" w:rsidRPr="00502713" w:rsidRDefault="00BF34FA" w:rsidP="007E3EA1">
      <w:pPr>
        <w:rPr>
          <w:rFonts w:cs="Arial"/>
          <w:szCs w:val="22"/>
        </w:rPr>
      </w:pPr>
    </w:p>
    <w:p w:rsidR="00BF34FA" w:rsidRPr="00E05555" w:rsidRDefault="00BF34FA">
      <w:pPr>
        <w:keepNext/>
        <w:ind w:left="1267" w:hanging="1267"/>
        <w:rPr>
          <w:rFonts w:cs="Arial"/>
          <w:b/>
          <w:szCs w:val="22"/>
        </w:rPr>
      </w:pPr>
      <w:r w:rsidRPr="0005394C">
        <w:rPr>
          <w:rFonts w:cs="Arial"/>
          <w:szCs w:val="22"/>
        </w:rPr>
        <w:t>2.</w:t>
      </w:r>
      <w:r w:rsidRPr="00E05555">
        <w:rPr>
          <w:rFonts w:cs="Arial"/>
          <w:szCs w:val="22"/>
        </w:rPr>
        <w:tab/>
      </w:r>
      <w:r w:rsidRPr="00E05555">
        <w:rPr>
          <w:rFonts w:cs="Arial"/>
          <w:b/>
          <w:szCs w:val="22"/>
        </w:rPr>
        <w:t>Details</w:t>
      </w:r>
    </w:p>
    <w:p w:rsidR="00BD301B" w:rsidRPr="004438A5" w:rsidRDefault="00BD301B">
      <w:pPr>
        <w:keepNext/>
        <w:ind w:left="1267" w:hanging="1267"/>
        <w:rPr>
          <w:rFonts w:cs="Arial"/>
          <w:b/>
          <w:szCs w:val="22"/>
        </w:rPr>
      </w:pPr>
    </w:p>
    <w:p w:rsidR="00BB6DC8" w:rsidRDefault="00BD301B" w:rsidP="00BB6DC8">
      <w:pPr>
        <w:keepNext/>
        <w:ind w:left="1267" w:hanging="1267"/>
        <w:rPr>
          <w:rFonts w:cs="Arial"/>
          <w:szCs w:val="22"/>
        </w:rPr>
      </w:pPr>
      <w:r w:rsidRPr="00E22B63">
        <w:rPr>
          <w:rFonts w:cs="Arial"/>
          <w:szCs w:val="22"/>
        </w:rPr>
        <w:t>2.1</w:t>
      </w:r>
      <w:r w:rsidRPr="00E22B63">
        <w:rPr>
          <w:rFonts w:cs="Arial"/>
          <w:szCs w:val="22"/>
        </w:rPr>
        <w:tab/>
      </w:r>
      <w:r w:rsidR="00BB6DC8">
        <w:rPr>
          <w:rFonts w:cs="Arial"/>
          <w:szCs w:val="22"/>
        </w:rPr>
        <w:t>This Committee has previously been presented with options for increasing the Parking Services income in response to an existing deficit.  At the June 2016 meeting of this Committee the following recommendations were agreed (with the intention that all will take effect during the autumn of 2016):</w:t>
      </w:r>
    </w:p>
    <w:p w:rsidR="00BB6DC8" w:rsidRDefault="00BB6DC8" w:rsidP="00BB6DC8">
      <w:pPr>
        <w:ind w:left="1260" w:firstLine="16"/>
        <w:rPr>
          <w:rFonts w:cs="Arial"/>
          <w:szCs w:val="22"/>
        </w:rPr>
      </w:pPr>
    </w:p>
    <w:p w:rsidR="00BB6DC8" w:rsidRDefault="00BB6DC8" w:rsidP="00BB6DC8">
      <w:pPr>
        <w:numPr>
          <w:ilvl w:val="0"/>
          <w:numId w:val="35"/>
        </w:numPr>
        <w:tabs>
          <w:tab w:val="clear" w:pos="1260"/>
          <w:tab w:val="clear" w:pos="1980"/>
          <w:tab w:val="clear" w:pos="2700"/>
          <w:tab w:val="clear" w:pos="3420"/>
        </w:tabs>
        <w:ind w:left="1701" w:hanging="425"/>
        <w:jc w:val="left"/>
        <w:rPr>
          <w:rFonts w:cs="Arial"/>
          <w:szCs w:val="22"/>
        </w:rPr>
      </w:pPr>
      <w:r>
        <w:rPr>
          <w:rFonts w:cs="Arial"/>
          <w:szCs w:val="22"/>
        </w:rPr>
        <w:t>Return the</w:t>
      </w:r>
      <w:r>
        <w:rPr>
          <w:rFonts w:cs="Arial"/>
          <w:bCs/>
          <w:szCs w:val="22"/>
        </w:rPr>
        <w:t xml:space="preserve"> existing 8 business permit bays in the Station Approach car park, South Oxhey to general car park use (only 4 to be returned until the existing traders have moved).</w:t>
      </w:r>
    </w:p>
    <w:p w:rsidR="00BB6DC8" w:rsidRDefault="00BB6DC8" w:rsidP="00BB6DC8">
      <w:pPr>
        <w:ind w:left="1701" w:hanging="425"/>
        <w:rPr>
          <w:rFonts w:cs="Arial"/>
          <w:szCs w:val="22"/>
        </w:rPr>
      </w:pPr>
    </w:p>
    <w:p w:rsidR="00BB6DC8" w:rsidRDefault="00BB6DC8" w:rsidP="00BB6DC8">
      <w:pPr>
        <w:numPr>
          <w:ilvl w:val="0"/>
          <w:numId w:val="35"/>
        </w:numPr>
        <w:tabs>
          <w:tab w:val="clear" w:pos="1260"/>
          <w:tab w:val="clear" w:pos="1980"/>
          <w:tab w:val="clear" w:pos="2700"/>
          <w:tab w:val="clear" w:pos="3420"/>
        </w:tabs>
        <w:ind w:left="1701" w:hanging="425"/>
        <w:jc w:val="left"/>
        <w:rPr>
          <w:rFonts w:cs="Arial"/>
          <w:szCs w:val="22"/>
        </w:rPr>
      </w:pPr>
      <w:r>
        <w:rPr>
          <w:rFonts w:cs="Arial"/>
          <w:bCs/>
          <w:szCs w:val="22"/>
        </w:rPr>
        <w:t xml:space="preserve">Doctor and Health Services Permits - To increase charges to £25 each for the first five permits increasing to £55 thereafter.  That </w:t>
      </w:r>
      <w:r>
        <w:rPr>
          <w:rFonts w:cs="Arial"/>
          <w:szCs w:val="22"/>
        </w:rPr>
        <w:t>Officers investigate the option of a joint parking permit with Watford and Three Rivers for health service employees.</w:t>
      </w:r>
    </w:p>
    <w:p w:rsidR="00BB6DC8" w:rsidRDefault="00BB6DC8" w:rsidP="00BB6DC8">
      <w:pPr>
        <w:ind w:left="1701" w:hanging="425"/>
        <w:rPr>
          <w:rFonts w:cs="Arial"/>
          <w:szCs w:val="22"/>
        </w:rPr>
      </w:pPr>
    </w:p>
    <w:p w:rsidR="00BB6DC8" w:rsidRDefault="00BB6DC8" w:rsidP="00BB6DC8">
      <w:pPr>
        <w:numPr>
          <w:ilvl w:val="0"/>
          <w:numId w:val="35"/>
        </w:numPr>
        <w:tabs>
          <w:tab w:val="clear" w:pos="1260"/>
          <w:tab w:val="clear" w:pos="1980"/>
          <w:tab w:val="clear" w:pos="2700"/>
          <w:tab w:val="clear" w:pos="3420"/>
        </w:tabs>
        <w:ind w:left="1701" w:hanging="425"/>
        <w:jc w:val="left"/>
        <w:rPr>
          <w:rFonts w:cs="Arial"/>
          <w:szCs w:val="22"/>
        </w:rPr>
      </w:pPr>
      <w:r>
        <w:rPr>
          <w:rFonts w:cs="Arial"/>
          <w:bCs/>
          <w:szCs w:val="22"/>
        </w:rPr>
        <w:t>To increase the price of all dispensations to £30 per vehicle per day.</w:t>
      </w:r>
    </w:p>
    <w:p w:rsidR="00BB6DC8" w:rsidRDefault="00BB6DC8" w:rsidP="00BB6DC8">
      <w:pPr>
        <w:ind w:left="1701" w:hanging="425"/>
        <w:rPr>
          <w:rFonts w:cs="Arial"/>
          <w:szCs w:val="22"/>
        </w:rPr>
      </w:pPr>
    </w:p>
    <w:p w:rsidR="00BB6DC8" w:rsidRDefault="00BB6DC8" w:rsidP="00BB6DC8">
      <w:pPr>
        <w:numPr>
          <w:ilvl w:val="0"/>
          <w:numId w:val="35"/>
        </w:numPr>
        <w:tabs>
          <w:tab w:val="clear" w:pos="1260"/>
          <w:tab w:val="clear" w:pos="1980"/>
          <w:tab w:val="clear" w:pos="2700"/>
          <w:tab w:val="clear" w:pos="3420"/>
        </w:tabs>
        <w:ind w:left="1701" w:hanging="425"/>
        <w:jc w:val="left"/>
        <w:rPr>
          <w:rFonts w:cs="Arial"/>
          <w:szCs w:val="22"/>
        </w:rPr>
      </w:pPr>
      <w:r>
        <w:rPr>
          <w:rFonts w:cs="Arial"/>
          <w:bCs/>
          <w:szCs w:val="22"/>
        </w:rPr>
        <w:t xml:space="preserve">To increase the price of long-term Pay and Display parking in the District from £3 to £4.  </w:t>
      </w:r>
    </w:p>
    <w:p w:rsidR="00BB6DC8" w:rsidRDefault="00BB6DC8" w:rsidP="00BB6DC8">
      <w:pPr>
        <w:rPr>
          <w:rFonts w:cs="Arial"/>
          <w:szCs w:val="22"/>
        </w:rPr>
      </w:pPr>
    </w:p>
    <w:p w:rsidR="00BB6DC8" w:rsidRDefault="00BB6DC8" w:rsidP="00BB6DC8">
      <w:pPr>
        <w:ind w:left="1260" w:hanging="1260"/>
        <w:rPr>
          <w:rFonts w:cs="Arial"/>
          <w:szCs w:val="22"/>
        </w:rPr>
      </w:pPr>
      <w:r>
        <w:rPr>
          <w:rFonts w:cs="Arial"/>
          <w:szCs w:val="22"/>
        </w:rPr>
        <w:t>2.2</w:t>
      </w:r>
      <w:r>
        <w:rPr>
          <w:rFonts w:cs="Arial"/>
          <w:szCs w:val="22"/>
        </w:rPr>
        <w:tab/>
        <w:t xml:space="preserve">At the September </w:t>
      </w:r>
      <w:r w:rsidR="00957720">
        <w:rPr>
          <w:rFonts w:cs="Arial"/>
          <w:szCs w:val="22"/>
        </w:rPr>
        <w:t xml:space="preserve">2016 </w:t>
      </w:r>
      <w:r>
        <w:rPr>
          <w:rFonts w:cs="Arial"/>
          <w:szCs w:val="22"/>
        </w:rPr>
        <w:t>meeting this recommendation was varied slightly due to an update in circumstances:</w:t>
      </w:r>
    </w:p>
    <w:p w:rsidR="00BB6DC8" w:rsidRDefault="00BB6DC8" w:rsidP="00957720">
      <w:pPr>
        <w:tabs>
          <w:tab w:val="clear" w:pos="1260"/>
          <w:tab w:val="clear" w:pos="1980"/>
          <w:tab w:val="left" w:pos="1276"/>
          <w:tab w:val="left" w:pos="1701"/>
          <w:tab w:val="left" w:pos="2340"/>
          <w:tab w:val="left" w:pos="3060"/>
          <w:tab w:val="left" w:pos="3780"/>
        </w:tabs>
        <w:rPr>
          <w:rFonts w:cs="Arial"/>
          <w:b/>
          <w:szCs w:val="22"/>
        </w:rPr>
      </w:pPr>
    </w:p>
    <w:p w:rsidR="00957720" w:rsidRPr="00957720" w:rsidRDefault="00BB6DC8" w:rsidP="00957720">
      <w:pPr>
        <w:numPr>
          <w:ilvl w:val="0"/>
          <w:numId w:val="36"/>
        </w:numPr>
        <w:tabs>
          <w:tab w:val="clear" w:pos="1260"/>
          <w:tab w:val="clear" w:pos="1980"/>
          <w:tab w:val="clear" w:pos="2700"/>
          <w:tab w:val="clear" w:pos="3420"/>
          <w:tab w:val="left" w:pos="1276"/>
          <w:tab w:val="left" w:pos="1701"/>
          <w:tab w:val="left" w:pos="3060"/>
          <w:tab w:val="left" w:pos="3780"/>
        </w:tabs>
        <w:ind w:left="1701" w:hanging="425"/>
        <w:rPr>
          <w:rFonts w:cs="Arial"/>
          <w:b/>
          <w:szCs w:val="22"/>
        </w:rPr>
      </w:pPr>
      <w:r>
        <w:rPr>
          <w:rFonts w:cs="Arial"/>
          <w:szCs w:val="22"/>
        </w:rPr>
        <w:t xml:space="preserve">Resolution to return the existing 8 business permit bays in the Station Approach car park, South Oxhey, to general car park use -  the car park </w:t>
      </w:r>
      <w:r w:rsidR="00365A95">
        <w:rPr>
          <w:rFonts w:cs="Arial"/>
          <w:szCs w:val="22"/>
        </w:rPr>
        <w:t>is</w:t>
      </w:r>
      <w:r>
        <w:rPr>
          <w:rFonts w:cs="Arial"/>
          <w:szCs w:val="22"/>
        </w:rPr>
        <w:t xml:space="preserve"> now due to be closed for some time and resurfaced. </w:t>
      </w:r>
      <w:r w:rsidR="00957720">
        <w:rPr>
          <w:rFonts w:cs="Arial"/>
          <w:szCs w:val="22"/>
        </w:rPr>
        <w:t xml:space="preserve"> </w:t>
      </w:r>
      <w:r>
        <w:rPr>
          <w:rFonts w:cs="Arial"/>
          <w:szCs w:val="22"/>
        </w:rPr>
        <w:t>It would therefore not be practical to redesignate the bays at this time.</w:t>
      </w:r>
    </w:p>
    <w:p w:rsidR="00957720" w:rsidRDefault="00957720" w:rsidP="00957720">
      <w:pPr>
        <w:tabs>
          <w:tab w:val="clear" w:pos="1260"/>
          <w:tab w:val="clear" w:pos="1980"/>
          <w:tab w:val="clear" w:pos="2700"/>
          <w:tab w:val="clear" w:pos="3420"/>
          <w:tab w:val="left" w:pos="1276"/>
          <w:tab w:val="left" w:pos="1701"/>
          <w:tab w:val="left" w:pos="3060"/>
          <w:tab w:val="left" w:pos="3780"/>
        </w:tabs>
        <w:rPr>
          <w:rFonts w:cs="Arial"/>
          <w:szCs w:val="22"/>
        </w:rPr>
      </w:pPr>
    </w:p>
    <w:p w:rsidR="00BB6DC8" w:rsidRDefault="00957720" w:rsidP="00957720">
      <w:pPr>
        <w:tabs>
          <w:tab w:val="clear" w:pos="1260"/>
          <w:tab w:val="clear" w:pos="1980"/>
          <w:tab w:val="clear" w:pos="2700"/>
          <w:tab w:val="clear" w:pos="3420"/>
          <w:tab w:val="left" w:pos="1276"/>
          <w:tab w:val="left" w:pos="1701"/>
          <w:tab w:val="left" w:pos="3060"/>
          <w:tab w:val="left" w:pos="3780"/>
        </w:tabs>
        <w:ind w:left="1276"/>
        <w:rPr>
          <w:rFonts w:cs="Arial"/>
          <w:b/>
          <w:szCs w:val="22"/>
        </w:rPr>
      </w:pPr>
      <w:r>
        <w:rPr>
          <w:rFonts w:cs="Arial"/>
          <w:szCs w:val="22"/>
        </w:rPr>
        <w:t>It is understood this car park is subsequently to be remodelled. We are awaiting further information on alternative provision during its closure.</w:t>
      </w:r>
      <w:r w:rsidR="00BB6DC8">
        <w:rPr>
          <w:rFonts w:cs="Arial"/>
          <w:szCs w:val="22"/>
        </w:rPr>
        <w:t xml:space="preserve"> </w:t>
      </w:r>
    </w:p>
    <w:p w:rsidR="00BB6DC8" w:rsidRDefault="00BB6DC8" w:rsidP="00BB6DC8">
      <w:pPr>
        <w:rPr>
          <w:rFonts w:cs="Arial"/>
          <w:szCs w:val="22"/>
        </w:rPr>
      </w:pPr>
    </w:p>
    <w:p w:rsidR="00957720" w:rsidRDefault="00957720" w:rsidP="00957720">
      <w:pPr>
        <w:ind w:left="1260" w:hanging="1260"/>
        <w:rPr>
          <w:rFonts w:cs="Arial"/>
          <w:szCs w:val="22"/>
        </w:rPr>
      </w:pPr>
      <w:r>
        <w:rPr>
          <w:rFonts w:cs="Arial"/>
          <w:szCs w:val="22"/>
        </w:rPr>
        <w:t>2.3</w:t>
      </w:r>
      <w:r>
        <w:rPr>
          <w:rFonts w:cs="Arial"/>
          <w:szCs w:val="22"/>
        </w:rPr>
        <w:tab/>
        <w:t>The increase in the price of Doctor and Health Visitor permits and dispensations has been actioned and new prices were charged from 1 October 2016.  The proposed long term tariff charge</w:t>
      </w:r>
      <w:r w:rsidR="006C1915">
        <w:rPr>
          <w:rFonts w:cs="Arial"/>
          <w:szCs w:val="22"/>
        </w:rPr>
        <w:t xml:space="preserve"> is due to be implemented from 14 November 2016.</w:t>
      </w:r>
    </w:p>
    <w:p w:rsidR="00957720" w:rsidRDefault="00957720" w:rsidP="00957720">
      <w:pPr>
        <w:ind w:left="1260" w:hanging="1260"/>
        <w:rPr>
          <w:rFonts w:cs="Arial"/>
          <w:szCs w:val="22"/>
        </w:rPr>
      </w:pPr>
    </w:p>
    <w:p w:rsidR="00957720" w:rsidRDefault="00957720" w:rsidP="00957720">
      <w:pPr>
        <w:ind w:left="1260" w:hanging="1260"/>
        <w:rPr>
          <w:rFonts w:cs="Arial"/>
          <w:szCs w:val="22"/>
        </w:rPr>
      </w:pPr>
      <w:r>
        <w:rPr>
          <w:rFonts w:cs="Arial"/>
          <w:szCs w:val="22"/>
        </w:rPr>
        <w:t>2.4</w:t>
      </w:r>
      <w:r>
        <w:rPr>
          <w:rFonts w:cs="Arial"/>
          <w:szCs w:val="22"/>
        </w:rPr>
        <w:tab/>
        <w:t>It is apparent as a result in some of these increased charges that we issue other forms of permits/dispensations that are not covered above, these are specifically:</w:t>
      </w:r>
    </w:p>
    <w:p w:rsidR="00957720" w:rsidRDefault="00957720" w:rsidP="00957720">
      <w:pPr>
        <w:ind w:left="1260" w:hanging="1260"/>
        <w:rPr>
          <w:rFonts w:cs="Arial"/>
          <w:szCs w:val="22"/>
        </w:rPr>
      </w:pPr>
    </w:p>
    <w:p w:rsidR="00C1151F" w:rsidRDefault="00C1151F" w:rsidP="00957720">
      <w:pPr>
        <w:ind w:left="1260" w:hanging="1260"/>
        <w:rPr>
          <w:rFonts w:cs="Arial"/>
          <w:szCs w:val="22"/>
        </w:rPr>
      </w:pPr>
    </w:p>
    <w:p w:rsidR="00C1151F" w:rsidRDefault="00C1151F" w:rsidP="00957720">
      <w:pPr>
        <w:ind w:left="1260" w:hanging="1260"/>
        <w:rPr>
          <w:rFonts w:cs="Arial"/>
          <w:szCs w:val="22"/>
        </w:rPr>
      </w:pPr>
    </w:p>
    <w:p w:rsidR="00957720" w:rsidRDefault="006C1915" w:rsidP="00957720">
      <w:pPr>
        <w:ind w:left="1260" w:hanging="1260"/>
        <w:rPr>
          <w:rFonts w:cs="Arial"/>
          <w:szCs w:val="22"/>
        </w:rPr>
      </w:pPr>
      <w:r>
        <w:rPr>
          <w:rFonts w:cs="Arial"/>
          <w:szCs w:val="22"/>
        </w:rPr>
        <w:tab/>
        <w:t>Suspensions and Annual Pay and Display</w:t>
      </w:r>
      <w:r w:rsidR="00957720">
        <w:rPr>
          <w:rFonts w:cs="Arial"/>
          <w:szCs w:val="22"/>
        </w:rPr>
        <w:t xml:space="preserve"> permits </w:t>
      </w:r>
    </w:p>
    <w:p w:rsidR="00A542C9" w:rsidRDefault="00A542C9" w:rsidP="00957720">
      <w:pPr>
        <w:ind w:left="1260" w:hanging="1260"/>
        <w:rPr>
          <w:rFonts w:cs="Arial"/>
          <w:szCs w:val="22"/>
        </w:rPr>
      </w:pPr>
    </w:p>
    <w:p w:rsidR="006C1915" w:rsidRDefault="00957720" w:rsidP="00957720">
      <w:pPr>
        <w:ind w:left="1260" w:hanging="1260"/>
        <w:rPr>
          <w:rFonts w:cs="Arial"/>
          <w:szCs w:val="22"/>
        </w:rPr>
      </w:pPr>
      <w:r>
        <w:rPr>
          <w:rFonts w:cs="Arial"/>
          <w:szCs w:val="22"/>
        </w:rPr>
        <w:t>2.5</w:t>
      </w:r>
      <w:r>
        <w:rPr>
          <w:rFonts w:cs="Arial"/>
          <w:szCs w:val="22"/>
        </w:rPr>
        <w:tab/>
      </w:r>
      <w:r w:rsidR="006C1915" w:rsidRPr="006C1915">
        <w:rPr>
          <w:rFonts w:cs="Arial"/>
          <w:szCs w:val="22"/>
          <w:u w:val="single"/>
        </w:rPr>
        <w:t>Suspensions</w:t>
      </w:r>
    </w:p>
    <w:p w:rsidR="006C1915" w:rsidRDefault="006C1915" w:rsidP="00957720">
      <w:pPr>
        <w:ind w:left="1260" w:hanging="1260"/>
        <w:rPr>
          <w:rFonts w:cs="Arial"/>
          <w:szCs w:val="22"/>
        </w:rPr>
      </w:pPr>
    </w:p>
    <w:p w:rsidR="00957720" w:rsidRDefault="006C1915" w:rsidP="00957720">
      <w:pPr>
        <w:ind w:left="1260" w:hanging="1260"/>
        <w:rPr>
          <w:color w:val="000000"/>
          <w:szCs w:val="22"/>
        </w:rPr>
      </w:pPr>
      <w:r>
        <w:rPr>
          <w:color w:val="000000"/>
          <w:szCs w:val="22"/>
        </w:rPr>
        <w:tab/>
      </w:r>
      <w:r w:rsidR="00957720" w:rsidRPr="00E6451C">
        <w:rPr>
          <w:color w:val="000000"/>
          <w:szCs w:val="22"/>
        </w:rPr>
        <w:t>A suspension sees the erection of signage at a particular location that prohibits</w:t>
      </w:r>
      <w:r w:rsidR="009B3D13">
        <w:rPr>
          <w:color w:val="000000"/>
          <w:szCs w:val="22"/>
        </w:rPr>
        <w:t xml:space="preserve"> parking</w:t>
      </w:r>
      <w:r w:rsidR="00957720" w:rsidRPr="00E6451C">
        <w:rPr>
          <w:color w:val="000000"/>
          <w:szCs w:val="22"/>
        </w:rPr>
        <w:t xml:space="preserve">. </w:t>
      </w:r>
      <w:r w:rsidR="00957720">
        <w:rPr>
          <w:color w:val="000000"/>
          <w:szCs w:val="22"/>
        </w:rPr>
        <w:t xml:space="preserve"> These are traditionally </w:t>
      </w:r>
      <w:r w:rsidR="00C36C71">
        <w:rPr>
          <w:color w:val="000000"/>
          <w:szCs w:val="22"/>
        </w:rPr>
        <w:t>requested b</w:t>
      </w:r>
      <w:r w:rsidR="00957720">
        <w:rPr>
          <w:color w:val="000000"/>
          <w:szCs w:val="22"/>
        </w:rPr>
        <w:t>y utility companies unde</w:t>
      </w:r>
      <w:r w:rsidR="00C36C71">
        <w:rPr>
          <w:color w:val="000000"/>
          <w:szCs w:val="22"/>
        </w:rPr>
        <w:t>rtaking work in the area</w:t>
      </w:r>
      <w:r w:rsidR="00957720">
        <w:rPr>
          <w:color w:val="000000"/>
          <w:szCs w:val="22"/>
        </w:rPr>
        <w:t xml:space="preserve"> and often involve the suspension of more than one bay at a time for a longer duration.</w:t>
      </w:r>
      <w:r w:rsidR="00957720" w:rsidRPr="00E6451C">
        <w:rPr>
          <w:color w:val="000000"/>
          <w:szCs w:val="22"/>
        </w:rPr>
        <w:t xml:space="preserve"> </w:t>
      </w:r>
      <w:r w:rsidR="00C36C71">
        <w:rPr>
          <w:color w:val="000000"/>
          <w:szCs w:val="22"/>
        </w:rPr>
        <w:t xml:space="preserve"> </w:t>
      </w:r>
      <w:r w:rsidR="00957720" w:rsidRPr="00E6451C">
        <w:rPr>
          <w:color w:val="000000"/>
          <w:szCs w:val="22"/>
        </w:rPr>
        <w:t>These are currently charged at £20 per day</w:t>
      </w:r>
      <w:r w:rsidR="00957720">
        <w:rPr>
          <w:color w:val="000000"/>
          <w:szCs w:val="22"/>
        </w:rPr>
        <w:t xml:space="preserve"> and this has historically been the same price as dispensations.  </w:t>
      </w:r>
    </w:p>
    <w:p w:rsidR="00957720" w:rsidRDefault="00957720" w:rsidP="00957720">
      <w:pPr>
        <w:ind w:left="1260" w:hanging="1260"/>
        <w:rPr>
          <w:color w:val="000000"/>
          <w:szCs w:val="22"/>
        </w:rPr>
      </w:pPr>
    </w:p>
    <w:p w:rsidR="00A542C9" w:rsidRPr="00043490" w:rsidRDefault="00957720" w:rsidP="00043490">
      <w:pPr>
        <w:ind w:left="1260" w:hanging="1260"/>
        <w:rPr>
          <w:rFonts w:cs="Arial"/>
          <w:color w:val="000000"/>
          <w:szCs w:val="22"/>
        </w:rPr>
      </w:pPr>
      <w:r>
        <w:rPr>
          <w:color w:val="000000"/>
          <w:szCs w:val="22"/>
        </w:rPr>
        <w:t>2.6</w:t>
      </w:r>
      <w:r>
        <w:rPr>
          <w:color w:val="000000"/>
          <w:szCs w:val="22"/>
        </w:rPr>
        <w:tab/>
        <w:t xml:space="preserve">Although agreement of a suspension/dispensation is at the discretion of </w:t>
      </w:r>
      <w:r w:rsidR="00043490">
        <w:rPr>
          <w:color w:val="000000"/>
          <w:szCs w:val="22"/>
        </w:rPr>
        <w:t xml:space="preserve">the Council, </w:t>
      </w:r>
      <w:r>
        <w:rPr>
          <w:color w:val="000000"/>
          <w:szCs w:val="22"/>
        </w:rPr>
        <w:t>including the appr</w:t>
      </w:r>
      <w:r w:rsidR="00C36C71">
        <w:rPr>
          <w:color w:val="000000"/>
          <w:szCs w:val="22"/>
        </w:rPr>
        <w:t>opriateness of what has been app</w:t>
      </w:r>
      <w:r>
        <w:rPr>
          <w:color w:val="000000"/>
          <w:szCs w:val="22"/>
        </w:rPr>
        <w:t xml:space="preserve">lied for, the variation in price </w:t>
      </w:r>
      <w:r w:rsidR="00C36C71">
        <w:rPr>
          <w:color w:val="000000"/>
          <w:szCs w:val="22"/>
        </w:rPr>
        <w:t xml:space="preserve">which now exists (Members agreed to increase the price of all dispensations at the June 2016 meeting) raises </w:t>
      </w:r>
      <w:r>
        <w:rPr>
          <w:color w:val="000000"/>
          <w:szCs w:val="22"/>
        </w:rPr>
        <w:t xml:space="preserve">concern </w:t>
      </w:r>
      <w:r w:rsidR="00C36C71">
        <w:rPr>
          <w:color w:val="000000"/>
          <w:szCs w:val="22"/>
        </w:rPr>
        <w:t xml:space="preserve">that individuals/companies </w:t>
      </w:r>
      <w:r>
        <w:rPr>
          <w:color w:val="000000"/>
          <w:szCs w:val="22"/>
        </w:rPr>
        <w:t>may apply for a suspe</w:t>
      </w:r>
      <w:r w:rsidR="00C36C71">
        <w:rPr>
          <w:color w:val="000000"/>
          <w:szCs w:val="22"/>
        </w:rPr>
        <w:t xml:space="preserve">nsion rather than a dispensation </w:t>
      </w:r>
      <w:r>
        <w:rPr>
          <w:color w:val="000000"/>
          <w:szCs w:val="22"/>
        </w:rPr>
        <w:t xml:space="preserve">due to the </w:t>
      </w:r>
      <w:r w:rsidR="00043490">
        <w:rPr>
          <w:color w:val="000000"/>
          <w:szCs w:val="22"/>
        </w:rPr>
        <w:t xml:space="preserve">variation in </w:t>
      </w:r>
      <w:r w:rsidR="001A084E">
        <w:rPr>
          <w:color w:val="000000"/>
          <w:szCs w:val="22"/>
        </w:rPr>
        <w:t>price</w:t>
      </w:r>
      <w:r w:rsidR="00043490">
        <w:rPr>
          <w:rFonts w:cs="Arial"/>
          <w:color w:val="000000"/>
          <w:szCs w:val="22"/>
        </w:rPr>
        <w:t>.  I</w:t>
      </w:r>
      <w:r w:rsidR="00A542C9" w:rsidRPr="00A542C9">
        <w:rPr>
          <w:rFonts w:cs="Arial"/>
          <w:color w:val="000000"/>
          <w:szCs w:val="22"/>
        </w:rPr>
        <w:t>n 2015/16 TRDC issued suspensions totalling</w:t>
      </w:r>
      <w:r w:rsidR="00043490">
        <w:rPr>
          <w:rFonts w:cs="Arial"/>
          <w:color w:val="000000"/>
          <w:szCs w:val="22"/>
          <w:lang w:eastAsia="en-US"/>
        </w:rPr>
        <w:t xml:space="preserve"> £980.</w:t>
      </w:r>
    </w:p>
    <w:p w:rsidR="00C36C71" w:rsidRDefault="00C36C71" w:rsidP="00A542C9">
      <w:pPr>
        <w:rPr>
          <w:color w:val="000000"/>
          <w:szCs w:val="22"/>
        </w:rPr>
      </w:pPr>
    </w:p>
    <w:p w:rsidR="00C36C71" w:rsidRDefault="00043490" w:rsidP="00C36C71">
      <w:pPr>
        <w:ind w:left="1260" w:hanging="1260"/>
        <w:rPr>
          <w:color w:val="000000"/>
          <w:szCs w:val="22"/>
        </w:rPr>
      </w:pPr>
      <w:r>
        <w:rPr>
          <w:color w:val="000000"/>
          <w:szCs w:val="22"/>
        </w:rPr>
        <w:t>2.7</w:t>
      </w:r>
      <w:r w:rsidR="00C36C71">
        <w:rPr>
          <w:color w:val="000000"/>
          <w:szCs w:val="22"/>
        </w:rPr>
        <w:tab/>
        <w:t xml:space="preserve">There is a more formal process involved in issuing a suspension, as compared to a dispensation, including the erection of site notices and consequently Officer time.  </w:t>
      </w:r>
      <w:r w:rsidR="00A542C9">
        <w:rPr>
          <w:rFonts w:cs="Arial"/>
          <w:color w:val="000000"/>
          <w:szCs w:val="22"/>
          <w:lang w:eastAsia="en-US"/>
        </w:rPr>
        <w:t xml:space="preserve">A proposed </w:t>
      </w:r>
      <w:r w:rsidR="00A542C9" w:rsidRPr="00A542C9">
        <w:rPr>
          <w:rFonts w:cs="Arial"/>
          <w:color w:val="000000"/>
          <w:szCs w:val="22"/>
          <w:lang w:eastAsia="en-US"/>
        </w:rPr>
        <w:t>increase to £30 per day is considered to better reflect</w:t>
      </w:r>
      <w:r w:rsidR="00A542C9">
        <w:rPr>
          <w:rFonts w:cs="Arial"/>
          <w:color w:val="000000"/>
          <w:szCs w:val="22"/>
          <w:lang w:eastAsia="en-US"/>
        </w:rPr>
        <w:t xml:space="preserve"> the resources invested in the suspension </w:t>
      </w:r>
      <w:r w:rsidR="00A542C9" w:rsidRPr="00A542C9">
        <w:rPr>
          <w:rFonts w:cs="Arial"/>
          <w:color w:val="000000"/>
          <w:szCs w:val="22"/>
          <w:lang w:eastAsia="en-US"/>
        </w:rPr>
        <w:t>process</w:t>
      </w:r>
      <w:r w:rsidR="00365A95">
        <w:rPr>
          <w:rFonts w:cs="Arial"/>
          <w:color w:val="000000"/>
          <w:szCs w:val="22"/>
          <w:lang w:eastAsia="en-US"/>
        </w:rPr>
        <w:t xml:space="preserve"> and bring the fee in line with Watford BC.</w:t>
      </w:r>
      <w:r w:rsidR="00A542C9">
        <w:rPr>
          <w:rFonts w:cs="Arial"/>
          <w:color w:val="000000"/>
          <w:szCs w:val="22"/>
          <w:lang w:eastAsia="en-US"/>
        </w:rPr>
        <w:t xml:space="preserve">  Whilst this could be increased further based on Officer resource </w:t>
      </w:r>
      <w:r w:rsidR="00C36C71">
        <w:rPr>
          <w:color w:val="000000"/>
          <w:szCs w:val="22"/>
        </w:rPr>
        <w:t>it is considered appropriate to match the price of dispensations to avoid the issue</w:t>
      </w:r>
      <w:r w:rsidR="00A542C9">
        <w:rPr>
          <w:color w:val="000000"/>
          <w:szCs w:val="22"/>
        </w:rPr>
        <w:t>s</w:t>
      </w:r>
      <w:r w:rsidR="00C36C71">
        <w:rPr>
          <w:color w:val="000000"/>
          <w:szCs w:val="22"/>
        </w:rPr>
        <w:t xml:space="preserve"> detailed in 2.6 above arising.</w:t>
      </w:r>
    </w:p>
    <w:p w:rsidR="00C36C71" w:rsidRDefault="00C36C71" w:rsidP="00C36C71">
      <w:pPr>
        <w:ind w:left="1260" w:hanging="1260"/>
        <w:rPr>
          <w:color w:val="000000"/>
          <w:szCs w:val="22"/>
        </w:rPr>
      </w:pPr>
    </w:p>
    <w:p w:rsidR="00AE6933" w:rsidRDefault="00043490" w:rsidP="00AE6933">
      <w:pPr>
        <w:ind w:left="1260" w:hanging="1260"/>
        <w:rPr>
          <w:color w:val="000000"/>
          <w:szCs w:val="22"/>
        </w:rPr>
      </w:pPr>
      <w:r>
        <w:rPr>
          <w:color w:val="000000"/>
          <w:szCs w:val="22"/>
        </w:rPr>
        <w:t>2.8</w:t>
      </w:r>
      <w:r w:rsidR="00C36C71">
        <w:rPr>
          <w:color w:val="000000"/>
          <w:szCs w:val="22"/>
        </w:rPr>
        <w:tab/>
        <w:t>Existing suspension request prices are reduced based on time periods, so although they are current</w:t>
      </w:r>
      <w:r w:rsidR="0041549D">
        <w:rPr>
          <w:color w:val="000000"/>
          <w:szCs w:val="22"/>
        </w:rPr>
        <w:t>ly £20 per day, they are only £120 for 7 days</w:t>
      </w:r>
      <w:r w:rsidR="00C36C71">
        <w:rPr>
          <w:color w:val="000000"/>
          <w:szCs w:val="22"/>
        </w:rPr>
        <w:t>.  However, when Members increased the price of dispensations no reductions were permitted and it is proposed that this is the same stance taken for suspensions.</w:t>
      </w:r>
    </w:p>
    <w:p w:rsidR="00AE6933" w:rsidRDefault="00AE6933" w:rsidP="00AE6933">
      <w:pPr>
        <w:ind w:left="1260" w:hanging="1260"/>
        <w:rPr>
          <w:color w:val="000000"/>
          <w:szCs w:val="22"/>
        </w:rPr>
      </w:pPr>
    </w:p>
    <w:p w:rsidR="00AE6933" w:rsidRDefault="00043490" w:rsidP="00AE6933">
      <w:pPr>
        <w:ind w:left="1260" w:hanging="1260"/>
        <w:rPr>
          <w:rFonts w:cs="Arial"/>
          <w:szCs w:val="22"/>
          <w:u w:val="single"/>
        </w:rPr>
      </w:pPr>
      <w:r>
        <w:rPr>
          <w:rFonts w:cs="Arial"/>
          <w:szCs w:val="22"/>
        </w:rPr>
        <w:t>2.9</w:t>
      </w:r>
      <w:r w:rsidR="00A542C9">
        <w:rPr>
          <w:rFonts w:cs="Arial"/>
          <w:szCs w:val="22"/>
        </w:rPr>
        <w:tab/>
      </w:r>
      <w:r w:rsidR="006C1915" w:rsidRPr="00443D28">
        <w:rPr>
          <w:rFonts w:cs="Arial"/>
          <w:szCs w:val="22"/>
          <w:u w:val="single"/>
        </w:rPr>
        <w:t>Annual Pay and Display Permits</w:t>
      </w:r>
    </w:p>
    <w:p w:rsidR="00AE6933" w:rsidRDefault="00AE6933" w:rsidP="00AE6933">
      <w:pPr>
        <w:ind w:left="1260" w:hanging="1260"/>
        <w:rPr>
          <w:rFonts w:cs="Arial"/>
          <w:szCs w:val="22"/>
        </w:rPr>
      </w:pPr>
    </w:p>
    <w:p w:rsidR="00AE6933" w:rsidRDefault="006C1915" w:rsidP="00AE6933">
      <w:pPr>
        <w:ind w:left="1260" w:hanging="1260"/>
        <w:rPr>
          <w:rFonts w:cs="Arial"/>
          <w:szCs w:val="22"/>
        </w:rPr>
      </w:pPr>
      <w:r>
        <w:rPr>
          <w:rFonts w:cs="Arial"/>
          <w:szCs w:val="22"/>
        </w:rPr>
        <w:tab/>
        <w:t>For £780 a year TRDC issue a</w:t>
      </w:r>
      <w:r w:rsidR="00365A95">
        <w:rPr>
          <w:rFonts w:cs="Arial"/>
          <w:szCs w:val="22"/>
        </w:rPr>
        <w:t>n annual Pay and Display permit</w:t>
      </w:r>
      <w:r>
        <w:rPr>
          <w:rFonts w:cs="Arial"/>
          <w:szCs w:val="22"/>
        </w:rPr>
        <w:t xml:space="preserve"> for use in our long stay car parks.  This is </w:t>
      </w:r>
      <w:r w:rsidR="00365A95">
        <w:rPr>
          <w:rFonts w:cs="Arial"/>
          <w:szCs w:val="22"/>
        </w:rPr>
        <w:t xml:space="preserve">approximately equivalent to </w:t>
      </w:r>
      <w:r>
        <w:rPr>
          <w:rFonts w:cs="Arial"/>
          <w:szCs w:val="22"/>
        </w:rPr>
        <w:t xml:space="preserve">paying £3 per day for </w:t>
      </w:r>
      <w:r w:rsidR="00365A95">
        <w:rPr>
          <w:rFonts w:cs="Arial"/>
          <w:szCs w:val="22"/>
        </w:rPr>
        <w:t>all working days of the year (260 days, charges are only applied Monday to Friday).</w:t>
      </w:r>
      <w:r>
        <w:rPr>
          <w:rFonts w:cs="Arial"/>
          <w:szCs w:val="22"/>
        </w:rPr>
        <w:t xml:space="preserve">  It offers no saving on the current long term pay and display </w:t>
      </w:r>
      <w:r w:rsidR="00443D28">
        <w:rPr>
          <w:rFonts w:cs="Arial"/>
          <w:szCs w:val="22"/>
        </w:rPr>
        <w:t xml:space="preserve">tariff but provides convenience for those not wishing to pay each day.  Currently we have </w:t>
      </w:r>
      <w:r w:rsidR="00B544A8">
        <w:rPr>
          <w:rFonts w:cs="Arial"/>
          <w:szCs w:val="22"/>
        </w:rPr>
        <w:t>18 issued.  All are issued to the same company, assuming for the benefit of their employees.</w:t>
      </w:r>
    </w:p>
    <w:p w:rsidR="00AE6933" w:rsidRDefault="00AE6933" w:rsidP="00AE6933">
      <w:pPr>
        <w:ind w:left="1260" w:hanging="1260"/>
        <w:rPr>
          <w:rFonts w:cs="Arial"/>
          <w:szCs w:val="22"/>
        </w:rPr>
      </w:pPr>
    </w:p>
    <w:p w:rsidR="00AE6933" w:rsidRDefault="00043490" w:rsidP="00AE6933">
      <w:pPr>
        <w:ind w:left="1260" w:hanging="1260"/>
        <w:rPr>
          <w:rFonts w:cs="Arial"/>
          <w:szCs w:val="22"/>
        </w:rPr>
      </w:pPr>
      <w:r>
        <w:rPr>
          <w:rFonts w:cs="Arial"/>
          <w:szCs w:val="22"/>
        </w:rPr>
        <w:t>2.10</w:t>
      </w:r>
      <w:r w:rsidR="00443D28">
        <w:rPr>
          <w:rFonts w:cs="Arial"/>
          <w:szCs w:val="22"/>
        </w:rPr>
        <w:tab/>
        <w:t xml:space="preserve">From 18 November 2016 the long term </w:t>
      </w:r>
      <w:r w:rsidR="0041549D">
        <w:rPr>
          <w:rFonts w:cs="Arial"/>
          <w:szCs w:val="22"/>
        </w:rPr>
        <w:t xml:space="preserve">Pay and Display tariff in the Council car parks is increasing to £4 for 24 hours.  This would then make the </w:t>
      </w:r>
      <w:r>
        <w:rPr>
          <w:rFonts w:cs="Arial"/>
          <w:szCs w:val="22"/>
        </w:rPr>
        <w:t xml:space="preserve">current </w:t>
      </w:r>
      <w:r w:rsidR="0041549D">
        <w:rPr>
          <w:rFonts w:cs="Arial"/>
          <w:szCs w:val="22"/>
        </w:rPr>
        <w:t>annual Pay and Display permit a cheaper alternative for those wishing to park in the Council long stay car parks.</w:t>
      </w:r>
    </w:p>
    <w:p w:rsidR="00AE6933" w:rsidRDefault="00AE6933" w:rsidP="00AE6933">
      <w:pPr>
        <w:ind w:left="1260" w:hanging="1260"/>
        <w:rPr>
          <w:rFonts w:cs="Arial"/>
          <w:szCs w:val="22"/>
        </w:rPr>
      </w:pPr>
    </w:p>
    <w:p w:rsidR="00C1151F" w:rsidRDefault="00043490" w:rsidP="00AE6933">
      <w:pPr>
        <w:ind w:left="1260" w:hanging="1260"/>
        <w:rPr>
          <w:rFonts w:cs="Arial"/>
          <w:szCs w:val="22"/>
        </w:rPr>
      </w:pPr>
      <w:r>
        <w:rPr>
          <w:rFonts w:cs="Arial"/>
          <w:szCs w:val="22"/>
        </w:rPr>
        <w:t>2.11</w:t>
      </w:r>
      <w:r w:rsidR="0041549D">
        <w:rPr>
          <w:rFonts w:cs="Arial"/>
          <w:szCs w:val="22"/>
        </w:rPr>
        <w:tab/>
        <w:t>On this basis, it is advised that the annual Pay and Display permits are withdrawn from sale with immediate effect whilst future alternatives are considered.  Whilst it could immediately be replaced with an annual permi</w:t>
      </w:r>
      <w:r w:rsidR="00365A95">
        <w:rPr>
          <w:rFonts w:cs="Arial"/>
          <w:szCs w:val="22"/>
        </w:rPr>
        <w:t>t at an increased cost £1</w:t>
      </w:r>
      <w:r>
        <w:rPr>
          <w:rFonts w:cs="Arial"/>
          <w:szCs w:val="22"/>
        </w:rPr>
        <w:t>,</w:t>
      </w:r>
      <w:r w:rsidR="00365A95">
        <w:rPr>
          <w:rFonts w:cs="Arial"/>
          <w:szCs w:val="22"/>
        </w:rPr>
        <w:t>040 (£4 x 260 days</w:t>
      </w:r>
      <w:r w:rsidR="0041549D">
        <w:rPr>
          <w:rFonts w:cs="Arial"/>
          <w:szCs w:val="22"/>
        </w:rPr>
        <w:t xml:space="preserve">) it is considered more appropriate to consider other forms of </w:t>
      </w:r>
      <w:r w:rsidR="00365A95">
        <w:rPr>
          <w:rFonts w:cs="Arial"/>
          <w:szCs w:val="22"/>
        </w:rPr>
        <w:t>permits/season tickets which would</w:t>
      </w:r>
      <w:r w:rsidR="0041549D">
        <w:rPr>
          <w:rFonts w:cs="Arial"/>
          <w:szCs w:val="22"/>
        </w:rPr>
        <w:t xml:space="preserve"> </w:t>
      </w:r>
      <w:r w:rsidR="00365A95">
        <w:rPr>
          <w:rFonts w:cs="Arial"/>
          <w:szCs w:val="22"/>
        </w:rPr>
        <w:t xml:space="preserve"> be </w:t>
      </w:r>
      <w:r w:rsidR="0041549D">
        <w:rPr>
          <w:rFonts w:cs="Arial"/>
          <w:szCs w:val="22"/>
        </w:rPr>
        <w:t xml:space="preserve">more attractive to the customer as part of the wider review currently being undertaken.   It is noted there could be a small loss of income but this is considered to be </w:t>
      </w:r>
      <w:r w:rsidR="0041549D">
        <w:rPr>
          <w:rFonts w:cs="Arial"/>
          <w:szCs w:val="22"/>
        </w:rPr>
        <w:lastRenderedPageBreak/>
        <w:t>temporary whilst we review alternatives.</w:t>
      </w:r>
      <w:r w:rsidR="00B544A8">
        <w:rPr>
          <w:rFonts w:cs="Arial"/>
          <w:szCs w:val="22"/>
        </w:rPr>
        <w:t xml:space="preserve">  The next permits to expire are due to be renewed on 30 November 2016 and 26 January 2017, however, these </w:t>
      </w:r>
    </w:p>
    <w:p w:rsidR="0041549D" w:rsidRDefault="00C1151F">
      <w:pPr>
        <w:keepNext/>
        <w:ind w:left="1267" w:hanging="1267"/>
        <w:rPr>
          <w:rFonts w:cs="Arial"/>
          <w:szCs w:val="22"/>
        </w:rPr>
      </w:pPr>
      <w:r>
        <w:rPr>
          <w:rFonts w:cs="Arial"/>
          <w:szCs w:val="22"/>
        </w:rPr>
        <w:tab/>
      </w:r>
      <w:r w:rsidR="00B544A8">
        <w:rPr>
          <w:rFonts w:cs="Arial"/>
          <w:szCs w:val="22"/>
        </w:rPr>
        <w:t>vehicles will still be able to use the Pay and Display car parks and pay the daily tariff.</w:t>
      </w:r>
    </w:p>
    <w:p w:rsidR="006D39A8" w:rsidRPr="0041549D" w:rsidRDefault="006D39A8" w:rsidP="0041549D">
      <w:pPr>
        <w:keepNext/>
        <w:rPr>
          <w:rFonts w:cs="Arial"/>
          <w:szCs w:val="22"/>
        </w:rPr>
      </w:pPr>
    </w:p>
    <w:p w:rsidR="000A64EF" w:rsidRDefault="00BF34FA" w:rsidP="000A64EF">
      <w:pPr>
        <w:rPr>
          <w:b/>
        </w:rPr>
      </w:pPr>
      <w:r w:rsidRPr="0005394C">
        <w:t>3.</w:t>
      </w:r>
      <w:r>
        <w:tab/>
      </w:r>
      <w:r>
        <w:rPr>
          <w:b/>
        </w:rPr>
        <w:t>Options/Reasons for Recommendation</w:t>
      </w:r>
    </w:p>
    <w:p w:rsidR="000A64EF" w:rsidRDefault="000A64EF" w:rsidP="000A64EF">
      <w:pPr>
        <w:rPr>
          <w:b/>
        </w:rPr>
      </w:pPr>
    </w:p>
    <w:p w:rsidR="00067C3A" w:rsidRPr="00AA720A" w:rsidRDefault="00BF34FA" w:rsidP="00C1151F">
      <w:pPr>
        <w:ind w:left="1260" w:hanging="1260"/>
        <w:rPr>
          <w:u w:val="single"/>
        </w:rPr>
      </w:pPr>
      <w:r>
        <w:t>3.1</w:t>
      </w:r>
      <w:r w:rsidR="000A64EF">
        <w:tab/>
      </w:r>
      <w:r w:rsidR="00512023">
        <w:t xml:space="preserve">Three Rivers District Council’s Parking Service continues to run at a cost of </w:t>
      </w:r>
      <w:r w:rsidR="00043490">
        <w:t>approximately £180,000</w:t>
      </w:r>
      <w:r w:rsidR="00512023">
        <w:t xml:space="preserve"> per annum.</w:t>
      </w:r>
      <w:r w:rsidR="00067C3A">
        <w:t xml:space="preserve">  All other Local Authorities in Hertfordshire run their parking services at either cost neutral level or in surplus and the majority of this income comes from on</w:t>
      </w:r>
      <w:r w:rsidR="00EF008A">
        <w:t>-</w:t>
      </w:r>
      <w:r w:rsidR="00067C3A">
        <w:t xml:space="preserve"> or off</w:t>
      </w:r>
      <w:r w:rsidR="00EF008A">
        <w:t>-</w:t>
      </w:r>
      <w:r w:rsidR="00067C3A">
        <w:t xml:space="preserve">street parking charges.    </w:t>
      </w:r>
    </w:p>
    <w:p w:rsidR="00A8458E" w:rsidRDefault="00BF34FA" w:rsidP="009C4EE2">
      <w:r>
        <w:fldChar w:fldCharType="begin"/>
      </w:r>
      <w:r>
        <w:instrText xml:space="preserve">  </w:instrText>
      </w:r>
      <w:r>
        <w:fldChar w:fldCharType="end"/>
      </w:r>
    </w:p>
    <w:p w:rsidR="00BF34FA" w:rsidRDefault="00BF34FA" w:rsidP="00A8458E">
      <w:pPr>
        <w:ind w:left="1267" w:hanging="1267"/>
        <w:rPr>
          <w:b/>
        </w:rPr>
      </w:pPr>
      <w:r w:rsidRPr="0005394C">
        <w:t>4.</w:t>
      </w:r>
      <w:r>
        <w:tab/>
      </w:r>
      <w:r>
        <w:rPr>
          <w:b/>
        </w:rPr>
        <w:t>Policy/Budget Reference and Implications</w:t>
      </w:r>
    </w:p>
    <w:p w:rsidR="00A8458E" w:rsidRDefault="00A8458E">
      <w:pPr>
        <w:keepNext/>
        <w:ind w:left="1267" w:hanging="1267"/>
      </w:pPr>
    </w:p>
    <w:p w:rsidR="00BF34FA" w:rsidRDefault="00BF34FA">
      <w:pPr>
        <w:ind w:left="1267" w:hanging="1267"/>
      </w:pPr>
      <w:r>
        <w:t>4.1</w:t>
      </w:r>
      <w:r>
        <w:tab/>
        <w:t>The recommendations in this report are within the Council’s agreed policy and budgets</w:t>
      </w:r>
      <w:r w:rsidR="00227303">
        <w:t>.</w:t>
      </w:r>
      <w:r w:rsidR="00A8458E">
        <w:t xml:space="preserve"> </w:t>
      </w:r>
      <w:r>
        <w:fldChar w:fldCharType="begin"/>
      </w:r>
      <w:r>
        <w:instrText xml:space="preserve"> ASK   \* MERGEFORMAT </w:instrText>
      </w:r>
      <w:r>
        <w:fldChar w:fldCharType="end"/>
      </w:r>
      <w:r>
        <w:fldChar w:fldCharType="begin"/>
      </w:r>
      <w:r>
        <w:instrText xml:space="preserve">  </w:instrText>
      </w:r>
      <w:r>
        <w:fldChar w:fldCharType="end"/>
      </w:r>
    </w:p>
    <w:p w:rsidR="00BF34FA" w:rsidRDefault="00BF34FA">
      <w:pPr>
        <w:ind w:left="1267" w:hanging="1267"/>
      </w:pPr>
    </w:p>
    <w:p w:rsidR="00BF34FA" w:rsidRDefault="00BF34FA">
      <w:pPr>
        <w:keepNext/>
        <w:ind w:left="1267" w:hanging="1267"/>
      </w:pPr>
      <w:r w:rsidRPr="0005394C">
        <w:t>5.</w:t>
      </w:r>
      <w:r>
        <w:tab/>
      </w:r>
      <w:r>
        <w:rPr>
          <w:b/>
        </w:rPr>
        <w:t xml:space="preserve">Financial </w:t>
      </w:r>
      <w:r w:rsidR="00E91559">
        <w:rPr>
          <w:b/>
        </w:rPr>
        <w:t xml:space="preserve">and Legal </w:t>
      </w:r>
      <w:r>
        <w:rPr>
          <w:b/>
        </w:rPr>
        <w:t>Implications</w:t>
      </w:r>
    </w:p>
    <w:p w:rsidR="00BF34FA" w:rsidRDefault="00BF34FA">
      <w:pPr>
        <w:keepNext/>
        <w:ind w:left="1267" w:hanging="1267"/>
      </w:pPr>
    </w:p>
    <w:p w:rsidR="00BF34FA" w:rsidRDefault="00BF34FA">
      <w:pPr>
        <w:tabs>
          <w:tab w:val="left" w:pos="3330"/>
        </w:tabs>
        <w:ind w:left="1267" w:hanging="1267"/>
        <w:rPr>
          <w:rFonts w:cs="Arial"/>
          <w:color w:val="000000"/>
        </w:rPr>
      </w:pPr>
      <w:r>
        <w:t>5.1</w:t>
      </w:r>
      <w:r>
        <w:rPr>
          <w:i/>
        </w:rPr>
        <w:tab/>
      </w:r>
      <w:r>
        <w:fldChar w:fldCharType="begin"/>
      </w:r>
      <w:r>
        <w:instrText xml:space="preserve">  </w:instrText>
      </w:r>
      <w:r>
        <w:fldChar w:fldCharType="end"/>
      </w:r>
      <w:r w:rsidR="00D83536">
        <w:rPr>
          <w:rFonts w:cs="Arial"/>
          <w:color w:val="000000"/>
        </w:rPr>
        <w:t xml:space="preserve">A summary of the </w:t>
      </w:r>
      <w:r w:rsidR="00A24164">
        <w:rPr>
          <w:rFonts w:cs="Arial"/>
          <w:color w:val="000000"/>
        </w:rPr>
        <w:t>budgeted</w:t>
      </w:r>
      <w:r w:rsidR="002B6B8C">
        <w:rPr>
          <w:rFonts w:cs="Arial"/>
          <w:color w:val="000000"/>
        </w:rPr>
        <w:t xml:space="preserve"> revenue </w:t>
      </w:r>
      <w:r w:rsidR="00D83536">
        <w:rPr>
          <w:rFonts w:cs="Arial"/>
          <w:color w:val="000000"/>
        </w:rPr>
        <w:t xml:space="preserve">costs </w:t>
      </w:r>
      <w:r w:rsidR="00F95465">
        <w:rPr>
          <w:rFonts w:cs="Arial"/>
          <w:color w:val="000000"/>
        </w:rPr>
        <w:t>and income</w:t>
      </w:r>
      <w:r w:rsidR="00A10BE0">
        <w:rPr>
          <w:rFonts w:cs="Arial"/>
          <w:color w:val="000000"/>
        </w:rPr>
        <w:t xml:space="preserve"> for 2016/17</w:t>
      </w:r>
      <w:r w:rsidR="00D83536">
        <w:rPr>
          <w:rFonts w:cs="Arial"/>
          <w:color w:val="000000"/>
        </w:rPr>
        <w:t xml:space="preserve"> is </w:t>
      </w:r>
      <w:r w:rsidR="008C52CD">
        <w:rPr>
          <w:rFonts w:cs="Arial"/>
          <w:color w:val="000000"/>
        </w:rPr>
        <w:t>shown</w:t>
      </w:r>
      <w:r w:rsidR="00D83536">
        <w:rPr>
          <w:rFonts w:cs="Arial"/>
          <w:color w:val="000000"/>
        </w:rPr>
        <w:t xml:space="preserve"> </w:t>
      </w:r>
      <w:r w:rsidR="002B6B8C">
        <w:rPr>
          <w:rFonts w:cs="Arial"/>
          <w:color w:val="000000"/>
        </w:rPr>
        <w:t>below</w:t>
      </w:r>
      <w:r w:rsidR="00D83536">
        <w:rPr>
          <w:rFonts w:cs="Arial"/>
          <w:color w:val="000000"/>
        </w:rPr>
        <w:t>.</w:t>
      </w:r>
      <w:r w:rsidR="00E91559">
        <w:rPr>
          <w:rFonts w:cs="Arial"/>
          <w:color w:val="000000"/>
        </w:rPr>
        <w:t xml:space="preserve">  </w:t>
      </w:r>
    </w:p>
    <w:p w:rsidR="00A24164" w:rsidRDefault="00A24164">
      <w:pPr>
        <w:tabs>
          <w:tab w:val="left" w:pos="3330"/>
        </w:tabs>
        <w:ind w:left="1267" w:hanging="1267"/>
        <w:rPr>
          <w:rFonts w:cs="Arial"/>
          <w:color w:val="000000"/>
        </w:rPr>
      </w:pPr>
    </w:p>
    <w:p w:rsidR="00E91559" w:rsidRPr="00A8458E" w:rsidRDefault="00E91559">
      <w:pPr>
        <w:tabs>
          <w:tab w:val="left" w:pos="3330"/>
        </w:tabs>
        <w:ind w:left="1267" w:hanging="1267"/>
        <w:rPr>
          <w:color w:val="008000"/>
        </w:rPr>
      </w:pPr>
      <w:r>
        <w:rPr>
          <w:rFonts w:cs="Arial"/>
          <w:color w:val="000000"/>
        </w:rPr>
        <w:t>5.2</w:t>
      </w:r>
      <w:r>
        <w:rPr>
          <w:rFonts w:cs="Arial"/>
          <w:color w:val="000000"/>
        </w:rPr>
        <w:tab/>
        <w:t>TRDC</w:t>
      </w:r>
      <w:r w:rsidR="005B6BE8">
        <w:rPr>
          <w:rFonts w:cs="Arial"/>
          <w:color w:val="000000"/>
        </w:rPr>
        <w:t xml:space="preserve">’s parking service </w:t>
      </w:r>
      <w:r>
        <w:rPr>
          <w:rFonts w:cs="Arial"/>
          <w:color w:val="000000"/>
        </w:rPr>
        <w:t xml:space="preserve">does not comply with </w:t>
      </w:r>
      <w:r>
        <w:rPr>
          <w:szCs w:val="22"/>
        </w:rPr>
        <w:t>t</w:t>
      </w:r>
      <w:r w:rsidRPr="00BA0256">
        <w:rPr>
          <w:szCs w:val="22"/>
        </w:rPr>
        <w:t>he Road Traffic Regulation Act</w:t>
      </w:r>
      <w:r w:rsidR="005B6BE8">
        <w:rPr>
          <w:szCs w:val="22"/>
        </w:rPr>
        <w:t xml:space="preserve"> as it is not cost neutral and runs at a loss</w:t>
      </w:r>
      <w:r>
        <w:rPr>
          <w:szCs w:val="22"/>
        </w:rPr>
        <w:t>.</w:t>
      </w:r>
    </w:p>
    <w:p w:rsidR="002B6B8C" w:rsidRDefault="002B6B8C" w:rsidP="002B6B8C">
      <w:pPr>
        <w:rPr>
          <w:rFonts w:cs="Arial"/>
          <w:b/>
        </w:rPr>
      </w:pP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1843"/>
        <w:gridCol w:w="1559"/>
      </w:tblGrid>
      <w:tr w:rsidR="00CB2B83" w:rsidRPr="00631531" w:rsidTr="0039261C">
        <w:tc>
          <w:tcPr>
            <w:tcW w:w="4961" w:type="dxa"/>
            <w:vAlign w:val="center"/>
          </w:tcPr>
          <w:p w:rsidR="00CB2B83" w:rsidRPr="00631531" w:rsidRDefault="00CB2B83" w:rsidP="00406DDD">
            <w:pPr>
              <w:jc w:val="center"/>
              <w:rPr>
                <w:rFonts w:cs="Arial"/>
                <w:b/>
              </w:rPr>
            </w:pPr>
            <w:r w:rsidRPr="00631531">
              <w:rPr>
                <w:rFonts w:cs="Arial"/>
                <w:b/>
              </w:rPr>
              <w:t>Service Area</w:t>
            </w:r>
            <w:r>
              <w:rPr>
                <w:rFonts w:cs="Arial"/>
                <w:b/>
              </w:rPr>
              <w:t xml:space="preserve"> (Decriminalised Parking and                         Car Parking  - Maintenance)</w:t>
            </w:r>
          </w:p>
        </w:tc>
        <w:tc>
          <w:tcPr>
            <w:tcW w:w="1843" w:type="dxa"/>
          </w:tcPr>
          <w:p w:rsidR="00CB2B83" w:rsidRDefault="00CB2B83" w:rsidP="001922A0">
            <w:pPr>
              <w:jc w:val="center"/>
              <w:rPr>
                <w:rFonts w:cs="Arial"/>
                <w:b/>
              </w:rPr>
            </w:pPr>
            <w:r>
              <w:rPr>
                <w:rFonts w:cs="Arial"/>
                <w:b/>
              </w:rPr>
              <w:t>Original Budget</w:t>
            </w:r>
          </w:p>
          <w:p w:rsidR="00CB2B83" w:rsidRDefault="00CB2B83" w:rsidP="001922A0">
            <w:pPr>
              <w:jc w:val="center"/>
              <w:rPr>
                <w:rFonts w:cs="Arial"/>
                <w:b/>
              </w:rPr>
            </w:pPr>
            <w:r>
              <w:rPr>
                <w:rFonts w:cs="Arial"/>
                <w:b/>
              </w:rPr>
              <w:t>2016/17</w:t>
            </w:r>
          </w:p>
          <w:p w:rsidR="00CB2B83" w:rsidRDefault="00CB2B83" w:rsidP="001922A0">
            <w:pPr>
              <w:jc w:val="center"/>
              <w:rPr>
                <w:rFonts w:cs="Arial"/>
                <w:b/>
              </w:rPr>
            </w:pPr>
            <w:r>
              <w:rPr>
                <w:rFonts w:cs="Arial"/>
                <w:b/>
              </w:rPr>
              <w:t>£</w:t>
            </w:r>
          </w:p>
        </w:tc>
        <w:tc>
          <w:tcPr>
            <w:tcW w:w="1559" w:type="dxa"/>
            <w:vAlign w:val="center"/>
          </w:tcPr>
          <w:p w:rsidR="00CB2B83" w:rsidRDefault="00CB2B83" w:rsidP="001922A0">
            <w:pPr>
              <w:jc w:val="center"/>
              <w:rPr>
                <w:rFonts w:cs="Arial"/>
                <w:b/>
              </w:rPr>
            </w:pPr>
            <w:r>
              <w:rPr>
                <w:rFonts w:cs="Arial"/>
                <w:b/>
              </w:rPr>
              <w:t>Original Budget  2016</w:t>
            </w:r>
            <w:r w:rsidRPr="00631531">
              <w:rPr>
                <w:rFonts w:cs="Arial"/>
                <w:b/>
              </w:rPr>
              <w:t>/1</w:t>
            </w:r>
            <w:r>
              <w:rPr>
                <w:rFonts w:cs="Arial"/>
                <w:b/>
              </w:rPr>
              <w:t>7</w:t>
            </w:r>
          </w:p>
          <w:p w:rsidR="00CB2B83" w:rsidRPr="00631531" w:rsidRDefault="00CB2B83" w:rsidP="001922A0">
            <w:pPr>
              <w:jc w:val="center"/>
              <w:rPr>
                <w:rFonts w:cs="Arial"/>
                <w:b/>
              </w:rPr>
            </w:pPr>
            <w:r>
              <w:rPr>
                <w:rFonts w:cs="Arial"/>
                <w:b/>
              </w:rPr>
              <w:t>£</w:t>
            </w:r>
          </w:p>
        </w:tc>
      </w:tr>
      <w:tr w:rsidR="00CB2B83" w:rsidRPr="00631531" w:rsidTr="003F3235">
        <w:tc>
          <w:tcPr>
            <w:tcW w:w="4961" w:type="dxa"/>
            <w:vAlign w:val="center"/>
          </w:tcPr>
          <w:p w:rsidR="00CB2B83" w:rsidRPr="00CB2B83" w:rsidRDefault="00CB2B83" w:rsidP="003F3235">
            <w:pPr>
              <w:jc w:val="left"/>
              <w:rPr>
                <w:rFonts w:cs="Arial"/>
                <w:b/>
              </w:rPr>
            </w:pPr>
            <w:r w:rsidRPr="00CB2B83">
              <w:rPr>
                <w:rFonts w:cs="Arial"/>
                <w:b/>
              </w:rPr>
              <w:t>Expenditure</w:t>
            </w:r>
          </w:p>
        </w:tc>
        <w:tc>
          <w:tcPr>
            <w:tcW w:w="1843" w:type="dxa"/>
          </w:tcPr>
          <w:p w:rsidR="00CB2B83" w:rsidRDefault="00CB2B83" w:rsidP="001922A0">
            <w:pPr>
              <w:jc w:val="right"/>
              <w:rPr>
                <w:rFonts w:cs="Arial"/>
              </w:rPr>
            </w:pPr>
          </w:p>
        </w:tc>
        <w:tc>
          <w:tcPr>
            <w:tcW w:w="1559" w:type="dxa"/>
            <w:vAlign w:val="center"/>
          </w:tcPr>
          <w:p w:rsidR="00CB2B83" w:rsidRDefault="00CB2B83" w:rsidP="001922A0">
            <w:pPr>
              <w:jc w:val="right"/>
              <w:rPr>
                <w:rFonts w:cs="Arial"/>
              </w:rPr>
            </w:pPr>
          </w:p>
        </w:tc>
      </w:tr>
      <w:tr w:rsidR="00CB2B83" w:rsidRPr="00631531" w:rsidTr="003F3235">
        <w:tc>
          <w:tcPr>
            <w:tcW w:w="4961" w:type="dxa"/>
            <w:vAlign w:val="center"/>
          </w:tcPr>
          <w:p w:rsidR="00CB2B83" w:rsidRPr="00631531" w:rsidRDefault="00CB2B83" w:rsidP="003F3235">
            <w:pPr>
              <w:jc w:val="left"/>
              <w:rPr>
                <w:rFonts w:cs="Arial"/>
              </w:rPr>
            </w:pPr>
            <w:r>
              <w:rPr>
                <w:rFonts w:cs="Arial"/>
              </w:rPr>
              <w:t>Employees</w:t>
            </w:r>
          </w:p>
        </w:tc>
        <w:tc>
          <w:tcPr>
            <w:tcW w:w="1843" w:type="dxa"/>
          </w:tcPr>
          <w:p w:rsidR="00CB2B83" w:rsidRDefault="00CB2B83" w:rsidP="001922A0">
            <w:pPr>
              <w:jc w:val="right"/>
              <w:rPr>
                <w:rFonts w:cs="Arial"/>
              </w:rPr>
            </w:pPr>
            <w:r>
              <w:rPr>
                <w:rFonts w:cs="Arial"/>
              </w:rPr>
              <w:t>52,230</w:t>
            </w:r>
          </w:p>
        </w:tc>
        <w:tc>
          <w:tcPr>
            <w:tcW w:w="1559" w:type="dxa"/>
            <w:vAlign w:val="center"/>
          </w:tcPr>
          <w:p w:rsidR="00CB2B83" w:rsidRPr="00631531" w:rsidRDefault="00CB2B83" w:rsidP="001922A0">
            <w:pPr>
              <w:jc w:val="right"/>
              <w:rPr>
                <w:rFonts w:cs="Arial"/>
              </w:rPr>
            </w:pPr>
          </w:p>
        </w:tc>
      </w:tr>
      <w:tr w:rsidR="00CB2B83" w:rsidRPr="00631531" w:rsidTr="003F3235">
        <w:tc>
          <w:tcPr>
            <w:tcW w:w="4961" w:type="dxa"/>
            <w:vAlign w:val="center"/>
          </w:tcPr>
          <w:p w:rsidR="00CB2B83" w:rsidRPr="00631531" w:rsidRDefault="00CB2B83" w:rsidP="003F3235">
            <w:pPr>
              <w:jc w:val="left"/>
              <w:rPr>
                <w:rFonts w:cs="Arial"/>
              </w:rPr>
            </w:pPr>
            <w:r>
              <w:rPr>
                <w:rFonts w:cs="Arial"/>
              </w:rPr>
              <w:t>Premises</w:t>
            </w:r>
          </w:p>
        </w:tc>
        <w:tc>
          <w:tcPr>
            <w:tcW w:w="1843" w:type="dxa"/>
          </w:tcPr>
          <w:p w:rsidR="00CB2B83" w:rsidRDefault="00CB2B83" w:rsidP="001922A0">
            <w:pPr>
              <w:jc w:val="right"/>
              <w:rPr>
                <w:rFonts w:cs="Arial"/>
              </w:rPr>
            </w:pPr>
            <w:r>
              <w:rPr>
                <w:rFonts w:cs="Arial"/>
              </w:rPr>
              <w:t>86,330</w:t>
            </w:r>
          </w:p>
        </w:tc>
        <w:tc>
          <w:tcPr>
            <w:tcW w:w="1559" w:type="dxa"/>
            <w:vAlign w:val="center"/>
          </w:tcPr>
          <w:p w:rsidR="00CB2B83" w:rsidRPr="00631531" w:rsidRDefault="00CB2B83" w:rsidP="001922A0">
            <w:pPr>
              <w:jc w:val="right"/>
              <w:rPr>
                <w:rFonts w:cs="Arial"/>
              </w:rPr>
            </w:pPr>
          </w:p>
        </w:tc>
      </w:tr>
      <w:tr w:rsidR="00CB2B83" w:rsidRPr="00631531" w:rsidTr="003F3235">
        <w:tc>
          <w:tcPr>
            <w:tcW w:w="4961" w:type="dxa"/>
            <w:vAlign w:val="center"/>
          </w:tcPr>
          <w:p w:rsidR="00CB2B83" w:rsidRPr="00631531" w:rsidRDefault="00CB2B83" w:rsidP="003F3235">
            <w:pPr>
              <w:jc w:val="left"/>
              <w:rPr>
                <w:rFonts w:cs="Arial"/>
              </w:rPr>
            </w:pPr>
            <w:r>
              <w:rPr>
                <w:rFonts w:cs="Arial"/>
              </w:rPr>
              <w:t>Transport</w:t>
            </w:r>
          </w:p>
        </w:tc>
        <w:tc>
          <w:tcPr>
            <w:tcW w:w="1843" w:type="dxa"/>
          </w:tcPr>
          <w:p w:rsidR="00CB2B83" w:rsidRDefault="00CB2B83" w:rsidP="001922A0">
            <w:pPr>
              <w:jc w:val="right"/>
              <w:rPr>
                <w:rFonts w:cs="Arial"/>
              </w:rPr>
            </w:pPr>
            <w:r>
              <w:rPr>
                <w:rFonts w:cs="Arial"/>
              </w:rPr>
              <w:t>1,740</w:t>
            </w:r>
          </w:p>
        </w:tc>
        <w:tc>
          <w:tcPr>
            <w:tcW w:w="1559" w:type="dxa"/>
            <w:vAlign w:val="center"/>
          </w:tcPr>
          <w:p w:rsidR="00CB2B83" w:rsidRPr="00631531" w:rsidRDefault="00CB2B83" w:rsidP="001922A0">
            <w:pPr>
              <w:jc w:val="right"/>
              <w:rPr>
                <w:rFonts w:cs="Arial"/>
              </w:rPr>
            </w:pPr>
          </w:p>
        </w:tc>
      </w:tr>
      <w:tr w:rsidR="00CB2B83" w:rsidRPr="00631531" w:rsidTr="003F3235">
        <w:tc>
          <w:tcPr>
            <w:tcW w:w="4961" w:type="dxa"/>
            <w:vAlign w:val="center"/>
          </w:tcPr>
          <w:p w:rsidR="00CB2B83" w:rsidRPr="00631531" w:rsidRDefault="00CB2B83" w:rsidP="003F3235">
            <w:pPr>
              <w:jc w:val="left"/>
              <w:rPr>
                <w:rFonts w:cs="Arial"/>
              </w:rPr>
            </w:pPr>
            <w:r>
              <w:rPr>
                <w:rFonts w:cs="Arial"/>
              </w:rPr>
              <w:t>Supplies and Services</w:t>
            </w:r>
          </w:p>
        </w:tc>
        <w:tc>
          <w:tcPr>
            <w:tcW w:w="1843" w:type="dxa"/>
          </w:tcPr>
          <w:p w:rsidR="00CB2B83" w:rsidRDefault="00CB2B83" w:rsidP="001922A0">
            <w:pPr>
              <w:jc w:val="right"/>
              <w:rPr>
                <w:rFonts w:cs="Arial"/>
              </w:rPr>
            </w:pPr>
            <w:r>
              <w:rPr>
                <w:rFonts w:cs="Arial"/>
              </w:rPr>
              <w:t>17,500</w:t>
            </w:r>
          </w:p>
        </w:tc>
        <w:tc>
          <w:tcPr>
            <w:tcW w:w="1559" w:type="dxa"/>
            <w:vAlign w:val="center"/>
          </w:tcPr>
          <w:p w:rsidR="00CB2B83" w:rsidRPr="00631531" w:rsidRDefault="00CB2B83" w:rsidP="001922A0">
            <w:pPr>
              <w:jc w:val="right"/>
              <w:rPr>
                <w:rFonts w:cs="Arial"/>
              </w:rPr>
            </w:pPr>
          </w:p>
        </w:tc>
      </w:tr>
      <w:tr w:rsidR="00CB2B83" w:rsidRPr="00631531" w:rsidTr="003F3235">
        <w:tc>
          <w:tcPr>
            <w:tcW w:w="4961" w:type="dxa"/>
            <w:vAlign w:val="center"/>
          </w:tcPr>
          <w:p w:rsidR="00CB2B83" w:rsidRPr="00631531" w:rsidRDefault="00CB2B83" w:rsidP="003F3235">
            <w:pPr>
              <w:jc w:val="left"/>
              <w:rPr>
                <w:rFonts w:cs="Arial"/>
              </w:rPr>
            </w:pPr>
            <w:r>
              <w:rPr>
                <w:rFonts w:cs="Arial"/>
              </w:rPr>
              <w:t>Third Party Payments</w:t>
            </w:r>
          </w:p>
        </w:tc>
        <w:tc>
          <w:tcPr>
            <w:tcW w:w="1843" w:type="dxa"/>
          </w:tcPr>
          <w:p w:rsidR="00CB2B83" w:rsidRDefault="00CB2B83" w:rsidP="001922A0">
            <w:pPr>
              <w:jc w:val="right"/>
              <w:rPr>
                <w:rFonts w:cs="Arial"/>
              </w:rPr>
            </w:pPr>
            <w:r>
              <w:rPr>
                <w:rFonts w:cs="Arial"/>
              </w:rPr>
              <w:t>288,930</w:t>
            </w:r>
          </w:p>
        </w:tc>
        <w:tc>
          <w:tcPr>
            <w:tcW w:w="1559" w:type="dxa"/>
            <w:vAlign w:val="center"/>
          </w:tcPr>
          <w:p w:rsidR="00CB2B83" w:rsidRPr="00631531" w:rsidRDefault="00CB2B83" w:rsidP="001922A0">
            <w:pPr>
              <w:jc w:val="right"/>
              <w:rPr>
                <w:rFonts w:cs="Arial"/>
              </w:rPr>
            </w:pPr>
          </w:p>
        </w:tc>
      </w:tr>
      <w:tr w:rsidR="00CB2B83" w:rsidRPr="00631531" w:rsidTr="003F3235">
        <w:tc>
          <w:tcPr>
            <w:tcW w:w="4961" w:type="dxa"/>
            <w:vAlign w:val="center"/>
          </w:tcPr>
          <w:p w:rsidR="00CB2B83" w:rsidRPr="00631531" w:rsidRDefault="00CB2B83" w:rsidP="003F3235">
            <w:pPr>
              <w:jc w:val="left"/>
              <w:rPr>
                <w:rFonts w:cs="Arial"/>
              </w:rPr>
            </w:pPr>
            <w:r>
              <w:rPr>
                <w:rFonts w:cs="Arial"/>
              </w:rPr>
              <w:t>Support Services</w:t>
            </w:r>
          </w:p>
        </w:tc>
        <w:tc>
          <w:tcPr>
            <w:tcW w:w="1843" w:type="dxa"/>
          </w:tcPr>
          <w:p w:rsidR="00CB2B83" w:rsidRDefault="00CB2B83" w:rsidP="001922A0">
            <w:pPr>
              <w:jc w:val="right"/>
              <w:rPr>
                <w:rFonts w:cs="Arial"/>
              </w:rPr>
            </w:pPr>
            <w:r>
              <w:rPr>
                <w:rFonts w:cs="Arial"/>
              </w:rPr>
              <w:t>40,890</w:t>
            </w:r>
          </w:p>
        </w:tc>
        <w:tc>
          <w:tcPr>
            <w:tcW w:w="1559" w:type="dxa"/>
            <w:vAlign w:val="center"/>
          </w:tcPr>
          <w:p w:rsidR="00CB2B83" w:rsidRPr="00631531" w:rsidRDefault="00CB2B83" w:rsidP="001922A0">
            <w:pPr>
              <w:jc w:val="right"/>
              <w:rPr>
                <w:rFonts w:cs="Arial"/>
              </w:rPr>
            </w:pPr>
          </w:p>
        </w:tc>
      </w:tr>
      <w:tr w:rsidR="00CB2B83" w:rsidRPr="00631531" w:rsidTr="003F3235">
        <w:tc>
          <w:tcPr>
            <w:tcW w:w="4961" w:type="dxa"/>
            <w:vAlign w:val="center"/>
          </w:tcPr>
          <w:p w:rsidR="00CB2B83" w:rsidRPr="00CB2B83" w:rsidRDefault="00CB2B83" w:rsidP="003F3235">
            <w:pPr>
              <w:jc w:val="left"/>
              <w:rPr>
                <w:rFonts w:cs="Arial"/>
                <w:b/>
              </w:rPr>
            </w:pPr>
            <w:r w:rsidRPr="00CB2B83">
              <w:rPr>
                <w:rFonts w:cs="Arial"/>
                <w:b/>
              </w:rPr>
              <w:t>Total Expenditure</w:t>
            </w:r>
          </w:p>
        </w:tc>
        <w:tc>
          <w:tcPr>
            <w:tcW w:w="1843" w:type="dxa"/>
          </w:tcPr>
          <w:p w:rsidR="00CB2B83" w:rsidRDefault="00CB2B83" w:rsidP="001922A0">
            <w:pPr>
              <w:jc w:val="right"/>
              <w:rPr>
                <w:rFonts w:cs="Arial"/>
              </w:rPr>
            </w:pPr>
          </w:p>
        </w:tc>
        <w:tc>
          <w:tcPr>
            <w:tcW w:w="1559" w:type="dxa"/>
            <w:vAlign w:val="center"/>
          </w:tcPr>
          <w:p w:rsidR="00CB2B83" w:rsidRPr="00631531" w:rsidRDefault="00CB2B83" w:rsidP="001922A0">
            <w:pPr>
              <w:jc w:val="right"/>
              <w:rPr>
                <w:rFonts w:cs="Arial"/>
              </w:rPr>
            </w:pPr>
            <w:r>
              <w:rPr>
                <w:rFonts w:cs="Arial"/>
              </w:rPr>
              <w:t>487,620</w:t>
            </w:r>
          </w:p>
        </w:tc>
      </w:tr>
      <w:tr w:rsidR="00CB2B83" w:rsidRPr="00631531" w:rsidTr="003F3235">
        <w:tc>
          <w:tcPr>
            <w:tcW w:w="4961" w:type="dxa"/>
            <w:vAlign w:val="center"/>
          </w:tcPr>
          <w:p w:rsidR="00CB2B83" w:rsidRDefault="00CB2B83" w:rsidP="003F3235">
            <w:pPr>
              <w:jc w:val="left"/>
              <w:rPr>
                <w:rFonts w:cs="Arial"/>
              </w:rPr>
            </w:pPr>
          </w:p>
        </w:tc>
        <w:tc>
          <w:tcPr>
            <w:tcW w:w="1843" w:type="dxa"/>
          </w:tcPr>
          <w:p w:rsidR="00CB2B83" w:rsidRDefault="00CB2B83" w:rsidP="001922A0">
            <w:pPr>
              <w:jc w:val="right"/>
              <w:rPr>
                <w:rFonts w:cs="Arial"/>
              </w:rPr>
            </w:pPr>
          </w:p>
        </w:tc>
        <w:tc>
          <w:tcPr>
            <w:tcW w:w="1559" w:type="dxa"/>
            <w:vAlign w:val="center"/>
          </w:tcPr>
          <w:p w:rsidR="00CB2B83" w:rsidRDefault="00CB2B83" w:rsidP="001922A0">
            <w:pPr>
              <w:jc w:val="right"/>
              <w:rPr>
                <w:rFonts w:cs="Arial"/>
              </w:rPr>
            </w:pPr>
          </w:p>
        </w:tc>
      </w:tr>
      <w:tr w:rsidR="00CB2B83" w:rsidRPr="00631531" w:rsidTr="003F3235">
        <w:tc>
          <w:tcPr>
            <w:tcW w:w="4961" w:type="dxa"/>
            <w:vAlign w:val="center"/>
          </w:tcPr>
          <w:p w:rsidR="00CB2B83" w:rsidRPr="00CB2B83" w:rsidRDefault="00CB2B83" w:rsidP="003F3235">
            <w:pPr>
              <w:jc w:val="left"/>
              <w:rPr>
                <w:rFonts w:cs="Arial"/>
                <w:b/>
              </w:rPr>
            </w:pPr>
            <w:r w:rsidRPr="00CB2B83">
              <w:rPr>
                <w:rFonts w:cs="Arial"/>
                <w:b/>
              </w:rPr>
              <w:t>Income</w:t>
            </w:r>
          </w:p>
        </w:tc>
        <w:tc>
          <w:tcPr>
            <w:tcW w:w="1843" w:type="dxa"/>
          </w:tcPr>
          <w:p w:rsidR="00CB2B83" w:rsidRDefault="00CB2B83" w:rsidP="001922A0">
            <w:pPr>
              <w:jc w:val="right"/>
              <w:rPr>
                <w:rFonts w:cs="Arial"/>
              </w:rPr>
            </w:pPr>
          </w:p>
        </w:tc>
        <w:tc>
          <w:tcPr>
            <w:tcW w:w="1559" w:type="dxa"/>
            <w:vAlign w:val="center"/>
          </w:tcPr>
          <w:p w:rsidR="00CB2B83" w:rsidRDefault="00CB2B83" w:rsidP="001922A0">
            <w:pPr>
              <w:jc w:val="right"/>
              <w:rPr>
                <w:rFonts w:cs="Arial"/>
              </w:rPr>
            </w:pPr>
          </w:p>
        </w:tc>
      </w:tr>
      <w:tr w:rsidR="00CB2B83" w:rsidRPr="00631531" w:rsidTr="003F3235">
        <w:tc>
          <w:tcPr>
            <w:tcW w:w="4961" w:type="dxa"/>
            <w:vAlign w:val="center"/>
          </w:tcPr>
          <w:p w:rsidR="00CB2B83" w:rsidRDefault="00CB2B83" w:rsidP="003F3235">
            <w:pPr>
              <w:jc w:val="left"/>
              <w:rPr>
                <w:rFonts w:cs="Arial"/>
              </w:rPr>
            </w:pPr>
            <w:r>
              <w:rPr>
                <w:rFonts w:cs="Arial"/>
              </w:rPr>
              <w:t>On-Street Parking</w:t>
            </w:r>
          </w:p>
        </w:tc>
        <w:tc>
          <w:tcPr>
            <w:tcW w:w="1843" w:type="dxa"/>
          </w:tcPr>
          <w:p w:rsidR="00CB2B83" w:rsidRDefault="00CB2B83" w:rsidP="001922A0">
            <w:pPr>
              <w:jc w:val="right"/>
              <w:rPr>
                <w:rFonts w:cs="Arial"/>
              </w:rPr>
            </w:pPr>
            <w:r>
              <w:rPr>
                <w:rFonts w:cs="Arial"/>
              </w:rPr>
              <w:t>(200,000)</w:t>
            </w:r>
          </w:p>
        </w:tc>
        <w:tc>
          <w:tcPr>
            <w:tcW w:w="1559" w:type="dxa"/>
            <w:vAlign w:val="center"/>
          </w:tcPr>
          <w:p w:rsidR="00CB2B83" w:rsidRDefault="00CB2B83" w:rsidP="001922A0">
            <w:pPr>
              <w:jc w:val="right"/>
              <w:rPr>
                <w:rFonts w:cs="Arial"/>
              </w:rPr>
            </w:pPr>
          </w:p>
        </w:tc>
      </w:tr>
      <w:tr w:rsidR="00CB2B83" w:rsidRPr="00631531" w:rsidTr="003F3235">
        <w:tc>
          <w:tcPr>
            <w:tcW w:w="4961" w:type="dxa"/>
            <w:vAlign w:val="center"/>
          </w:tcPr>
          <w:p w:rsidR="00CB2B83" w:rsidRDefault="00CB2B83" w:rsidP="003F3235">
            <w:pPr>
              <w:jc w:val="left"/>
              <w:rPr>
                <w:rFonts w:cs="Arial"/>
              </w:rPr>
            </w:pPr>
            <w:r>
              <w:rPr>
                <w:rFonts w:cs="Arial"/>
              </w:rPr>
              <w:t>Long-Term Pay and</w:t>
            </w:r>
            <w:r w:rsidR="0039261C">
              <w:rPr>
                <w:rFonts w:cs="Arial"/>
              </w:rPr>
              <w:t xml:space="preserve"> </w:t>
            </w:r>
            <w:r>
              <w:rPr>
                <w:rFonts w:cs="Arial"/>
              </w:rPr>
              <w:t>Display</w:t>
            </w:r>
          </w:p>
        </w:tc>
        <w:tc>
          <w:tcPr>
            <w:tcW w:w="1843" w:type="dxa"/>
          </w:tcPr>
          <w:p w:rsidR="00CB2B83" w:rsidRDefault="00CB2B83" w:rsidP="001922A0">
            <w:pPr>
              <w:jc w:val="right"/>
              <w:rPr>
                <w:rFonts w:cs="Arial"/>
              </w:rPr>
            </w:pPr>
            <w:r>
              <w:rPr>
                <w:rFonts w:cs="Arial"/>
              </w:rPr>
              <w:t>(102,600)</w:t>
            </w:r>
          </w:p>
        </w:tc>
        <w:tc>
          <w:tcPr>
            <w:tcW w:w="1559" w:type="dxa"/>
            <w:vAlign w:val="center"/>
          </w:tcPr>
          <w:p w:rsidR="00CB2B83" w:rsidRDefault="00CB2B83" w:rsidP="001922A0">
            <w:pPr>
              <w:jc w:val="right"/>
              <w:rPr>
                <w:rFonts w:cs="Arial"/>
              </w:rPr>
            </w:pPr>
          </w:p>
        </w:tc>
      </w:tr>
      <w:tr w:rsidR="00CB2B83" w:rsidRPr="00631531" w:rsidTr="003F3235">
        <w:tc>
          <w:tcPr>
            <w:tcW w:w="4961" w:type="dxa"/>
            <w:vAlign w:val="center"/>
          </w:tcPr>
          <w:p w:rsidR="00CB2B83" w:rsidRDefault="00CB2B83" w:rsidP="003F3235">
            <w:pPr>
              <w:jc w:val="left"/>
              <w:rPr>
                <w:rFonts w:cs="Arial"/>
              </w:rPr>
            </w:pPr>
            <w:r>
              <w:rPr>
                <w:rFonts w:cs="Arial"/>
              </w:rPr>
              <w:t>Parking Fees</w:t>
            </w:r>
          </w:p>
        </w:tc>
        <w:tc>
          <w:tcPr>
            <w:tcW w:w="1843" w:type="dxa"/>
          </w:tcPr>
          <w:p w:rsidR="00CB2B83" w:rsidRDefault="0039261C" w:rsidP="001922A0">
            <w:pPr>
              <w:jc w:val="right"/>
              <w:rPr>
                <w:rFonts w:cs="Arial"/>
              </w:rPr>
            </w:pPr>
            <w:r>
              <w:rPr>
                <w:rFonts w:cs="Arial"/>
              </w:rPr>
              <w:t>(1,650)</w:t>
            </w:r>
          </w:p>
        </w:tc>
        <w:tc>
          <w:tcPr>
            <w:tcW w:w="1559" w:type="dxa"/>
            <w:vAlign w:val="center"/>
          </w:tcPr>
          <w:p w:rsidR="00CB2B83" w:rsidRDefault="00CB2B83" w:rsidP="001922A0">
            <w:pPr>
              <w:jc w:val="right"/>
              <w:rPr>
                <w:rFonts w:cs="Arial"/>
              </w:rPr>
            </w:pPr>
          </w:p>
        </w:tc>
      </w:tr>
      <w:tr w:rsidR="00CB2B83" w:rsidRPr="00631531" w:rsidTr="003F3235">
        <w:tc>
          <w:tcPr>
            <w:tcW w:w="4961" w:type="dxa"/>
            <w:vAlign w:val="center"/>
          </w:tcPr>
          <w:p w:rsidR="00CB2B83" w:rsidRDefault="0039261C" w:rsidP="003F3235">
            <w:pPr>
              <w:jc w:val="left"/>
              <w:rPr>
                <w:rFonts w:cs="Arial"/>
              </w:rPr>
            </w:pPr>
            <w:r>
              <w:rPr>
                <w:rFonts w:cs="Arial"/>
              </w:rPr>
              <w:t>Rent</w:t>
            </w:r>
          </w:p>
        </w:tc>
        <w:tc>
          <w:tcPr>
            <w:tcW w:w="1843" w:type="dxa"/>
          </w:tcPr>
          <w:p w:rsidR="00CB2B83" w:rsidRDefault="0039261C" w:rsidP="001922A0">
            <w:pPr>
              <w:jc w:val="right"/>
              <w:rPr>
                <w:rFonts w:cs="Arial"/>
              </w:rPr>
            </w:pPr>
            <w:r>
              <w:rPr>
                <w:rFonts w:cs="Arial"/>
              </w:rPr>
              <w:t>(3,000)</w:t>
            </w:r>
          </w:p>
        </w:tc>
        <w:tc>
          <w:tcPr>
            <w:tcW w:w="1559" w:type="dxa"/>
            <w:vAlign w:val="center"/>
          </w:tcPr>
          <w:p w:rsidR="00CB2B83" w:rsidRDefault="00CB2B83" w:rsidP="001922A0">
            <w:pPr>
              <w:jc w:val="right"/>
              <w:rPr>
                <w:rFonts w:cs="Arial"/>
              </w:rPr>
            </w:pPr>
          </w:p>
        </w:tc>
      </w:tr>
      <w:tr w:rsidR="00CB2B83" w:rsidRPr="00631531" w:rsidTr="003F3235">
        <w:tc>
          <w:tcPr>
            <w:tcW w:w="4961" w:type="dxa"/>
            <w:vAlign w:val="center"/>
          </w:tcPr>
          <w:p w:rsidR="00CB2B83" w:rsidRPr="0039261C" w:rsidRDefault="0039261C" w:rsidP="003F3235">
            <w:pPr>
              <w:jc w:val="left"/>
              <w:rPr>
                <w:rFonts w:cs="Arial"/>
                <w:b/>
              </w:rPr>
            </w:pPr>
            <w:r w:rsidRPr="0039261C">
              <w:rPr>
                <w:rFonts w:cs="Arial"/>
                <w:b/>
              </w:rPr>
              <w:t>Total Income</w:t>
            </w:r>
          </w:p>
        </w:tc>
        <w:tc>
          <w:tcPr>
            <w:tcW w:w="1843" w:type="dxa"/>
          </w:tcPr>
          <w:p w:rsidR="00CB2B83" w:rsidRDefault="00CB2B83" w:rsidP="001922A0">
            <w:pPr>
              <w:jc w:val="right"/>
              <w:rPr>
                <w:rFonts w:cs="Arial"/>
              </w:rPr>
            </w:pPr>
          </w:p>
        </w:tc>
        <w:tc>
          <w:tcPr>
            <w:tcW w:w="1559" w:type="dxa"/>
            <w:vAlign w:val="center"/>
          </w:tcPr>
          <w:p w:rsidR="00CB2B83" w:rsidRPr="00631531" w:rsidRDefault="00CB2B83" w:rsidP="0039261C">
            <w:pPr>
              <w:jc w:val="right"/>
              <w:rPr>
                <w:rFonts w:cs="Arial"/>
              </w:rPr>
            </w:pPr>
            <w:r>
              <w:rPr>
                <w:rFonts w:cs="Arial"/>
              </w:rPr>
              <w:t>(3</w:t>
            </w:r>
            <w:r w:rsidR="0039261C">
              <w:rPr>
                <w:rFonts w:cs="Arial"/>
              </w:rPr>
              <w:t>0</w:t>
            </w:r>
            <w:r>
              <w:rPr>
                <w:rFonts w:cs="Arial"/>
              </w:rPr>
              <w:t>7,250)</w:t>
            </w:r>
          </w:p>
        </w:tc>
      </w:tr>
      <w:tr w:rsidR="00CB2B83" w:rsidRPr="00631531" w:rsidTr="003F3235">
        <w:tc>
          <w:tcPr>
            <w:tcW w:w="4961" w:type="dxa"/>
            <w:vAlign w:val="center"/>
          </w:tcPr>
          <w:p w:rsidR="00CB2B83" w:rsidRPr="00631531" w:rsidRDefault="00CB2B83" w:rsidP="003F3235">
            <w:pPr>
              <w:jc w:val="left"/>
              <w:rPr>
                <w:rFonts w:cs="Arial"/>
                <w:b/>
              </w:rPr>
            </w:pPr>
            <w:r w:rsidRPr="00631531">
              <w:rPr>
                <w:rFonts w:cs="Arial"/>
                <w:b/>
              </w:rPr>
              <w:t>TOTAL</w:t>
            </w:r>
          </w:p>
        </w:tc>
        <w:tc>
          <w:tcPr>
            <w:tcW w:w="1843" w:type="dxa"/>
          </w:tcPr>
          <w:p w:rsidR="00CB2B83" w:rsidRDefault="00CB2B83" w:rsidP="001922A0">
            <w:pPr>
              <w:jc w:val="right"/>
              <w:rPr>
                <w:rFonts w:cs="Arial"/>
                <w:b/>
              </w:rPr>
            </w:pPr>
          </w:p>
        </w:tc>
        <w:tc>
          <w:tcPr>
            <w:tcW w:w="1559" w:type="dxa"/>
            <w:vAlign w:val="center"/>
          </w:tcPr>
          <w:p w:rsidR="00CB2B83" w:rsidRPr="00631531" w:rsidRDefault="00CB2B83" w:rsidP="0039261C">
            <w:pPr>
              <w:jc w:val="right"/>
              <w:rPr>
                <w:rFonts w:cs="Arial"/>
                <w:b/>
              </w:rPr>
            </w:pPr>
            <w:r>
              <w:rPr>
                <w:rFonts w:cs="Arial"/>
                <w:b/>
              </w:rPr>
              <w:t>1</w:t>
            </w:r>
            <w:r w:rsidR="0039261C">
              <w:rPr>
                <w:rFonts w:cs="Arial"/>
                <w:b/>
              </w:rPr>
              <w:t>80</w:t>
            </w:r>
            <w:r>
              <w:rPr>
                <w:rFonts w:cs="Arial"/>
                <w:b/>
              </w:rPr>
              <w:t>,</w:t>
            </w:r>
            <w:r w:rsidR="0039261C">
              <w:rPr>
                <w:rFonts w:cs="Arial"/>
                <w:b/>
              </w:rPr>
              <w:t>370</w:t>
            </w:r>
          </w:p>
        </w:tc>
      </w:tr>
      <w:tr w:rsidR="00D3338A" w:rsidRPr="00631531" w:rsidTr="003F3235">
        <w:tc>
          <w:tcPr>
            <w:tcW w:w="4961" w:type="dxa"/>
            <w:vAlign w:val="center"/>
          </w:tcPr>
          <w:p w:rsidR="00D3338A" w:rsidRPr="008C52CD" w:rsidRDefault="008C52CD" w:rsidP="003F3235">
            <w:pPr>
              <w:jc w:val="left"/>
              <w:rPr>
                <w:rFonts w:cs="Arial"/>
              </w:rPr>
            </w:pPr>
            <w:r w:rsidRPr="008C52CD">
              <w:rPr>
                <w:rFonts w:cs="Arial"/>
              </w:rPr>
              <w:t>Target saving identified in budget</w:t>
            </w:r>
          </w:p>
        </w:tc>
        <w:tc>
          <w:tcPr>
            <w:tcW w:w="1843" w:type="dxa"/>
          </w:tcPr>
          <w:p w:rsidR="00D3338A" w:rsidRDefault="00D3338A" w:rsidP="001922A0">
            <w:pPr>
              <w:jc w:val="right"/>
              <w:rPr>
                <w:rFonts w:cs="Arial"/>
                <w:b/>
              </w:rPr>
            </w:pPr>
          </w:p>
        </w:tc>
        <w:tc>
          <w:tcPr>
            <w:tcW w:w="1559" w:type="dxa"/>
            <w:vAlign w:val="center"/>
          </w:tcPr>
          <w:p w:rsidR="00D3338A" w:rsidRPr="008C52CD" w:rsidRDefault="008C52CD" w:rsidP="0039261C">
            <w:pPr>
              <w:jc w:val="right"/>
              <w:rPr>
                <w:rFonts w:cs="Arial"/>
              </w:rPr>
            </w:pPr>
            <w:r w:rsidRPr="008C52CD">
              <w:rPr>
                <w:rFonts w:cs="Arial"/>
              </w:rPr>
              <w:t>(90,000)</w:t>
            </w:r>
          </w:p>
        </w:tc>
      </w:tr>
      <w:tr w:rsidR="004F090A" w:rsidRPr="00631531" w:rsidTr="003F3235">
        <w:tc>
          <w:tcPr>
            <w:tcW w:w="4961" w:type="dxa"/>
            <w:vAlign w:val="center"/>
          </w:tcPr>
          <w:p w:rsidR="004F090A" w:rsidRPr="00631531" w:rsidRDefault="008C52CD" w:rsidP="003F3235">
            <w:pPr>
              <w:jc w:val="left"/>
              <w:rPr>
                <w:rFonts w:cs="Arial"/>
                <w:b/>
              </w:rPr>
            </w:pPr>
            <w:r>
              <w:rPr>
                <w:rFonts w:cs="Arial"/>
                <w:b/>
              </w:rPr>
              <w:t>Net Cost of Service</w:t>
            </w:r>
          </w:p>
        </w:tc>
        <w:tc>
          <w:tcPr>
            <w:tcW w:w="1843" w:type="dxa"/>
          </w:tcPr>
          <w:p w:rsidR="004F090A" w:rsidRDefault="004F090A" w:rsidP="001922A0">
            <w:pPr>
              <w:jc w:val="right"/>
              <w:rPr>
                <w:rFonts w:cs="Arial"/>
                <w:b/>
              </w:rPr>
            </w:pPr>
          </w:p>
        </w:tc>
        <w:tc>
          <w:tcPr>
            <w:tcW w:w="1559" w:type="dxa"/>
            <w:vAlign w:val="center"/>
          </w:tcPr>
          <w:p w:rsidR="004F090A" w:rsidRDefault="008C52CD" w:rsidP="0039261C">
            <w:pPr>
              <w:jc w:val="right"/>
              <w:rPr>
                <w:rFonts w:cs="Arial"/>
                <w:b/>
              </w:rPr>
            </w:pPr>
            <w:r>
              <w:rPr>
                <w:rFonts w:cs="Arial"/>
                <w:b/>
              </w:rPr>
              <w:t>90,370</w:t>
            </w:r>
          </w:p>
        </w:tc>
      </w:tr>
    </w:tbl>
    <w:p w:rsidR="0039261C" w:rsidRDefault="0039261C">
      <w:pPr>
        <w:ind w:left="1267" w:hanging="1267"/>
      </w:pPr>
    </w:p>
    <w:p w:rsidR="005B3BFE" w:rsidRDefault="005B3BFE">
      <w:pPr>
        <w:ind w:left="1267" w:hanging="1267"/>
      </w:pPr>
      <w:r>
        <w:tab/>
      </w: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551"/>
      </w:tblGrid>
      <w:tr w:rsidR="005B3BFE" w:rsidRPr="00462AC4" w:rsidTr="00406DDD">
        <w:tc>
          <w:tcPr>
            <w:tcW w:w="5812" w:type="dxa"/>
            <w:shd w:val="clear" w:color="auto" w:fill="auto"/>
            <w:vAlign w:val="center"/>
          </w:tcPr>
          <w:p w:rsidR="005B3BFE" w:rsidRPr="00462AC4" w:rsidRDefault="0039261C" w:rsidP="00406DDD">
            <w:pPr>
              <w:jc w:val="center"/>
              <w:rPr>
                <w:b/>
              </w:rPr>
            </w:pPr>
            <w:r>
              <w:rPr>
                <w:b/>
              </w:rPr>
              <w:t>I</w:t>
            </w:r>
            <w:r w:rsidR="005B3BFE" w:rsidRPr="00462AC4">
              <w:rPr>
                <w:b/>
              </w:rPr>
              <w:t>ncome Area</w:t>
            </w:r>
            <w:r w:rsidR="00B774D9">
              <w:rPr>
                <w:b/>
              </w:rPr>
              <w:t xml:space="preserve"> (previous and</w:t>
            </w:r>
            <w:r w:rsidR="00406DDD">
              <w:rPr>
                <w:b/>
              </w:rPr>
              <w:t xml:space="preserve"> </w:t>
            </w:r>
            <w:r w:rsidR="00B774D9">
              <w:rPr>
                <w:b/>
              </w:rPr>
              <w:t>proposed recommendations)</w:t>
            </w:r>
          </w:p>
        </w:tc>
        <w:tc>
          <w:tcPr>
            <w:tcW w:w="2551" w:type="dxa"/>
            <w:shd w:val="clear" w:color="auto" w:fill="auto"/>
            <w:vAlign w:val="center"/>
          </w:tcPr>
          <w:p w:rsidR="005B3BFE" w:rsidRDefault="005B3BFE" w:rsidP="00406DDD">
            <w:pPr>
              <w:jc w:val="center"/>
              <w:rPr>
                <w:b/>
              </w:rPr>
            </w:pPr>
            <w:r w:rsidRPr="00462AC4">
              <w:rPr>
                <w:b/>
              </w:rPr>
              <w:t xml:space="preserve">Projected </w:t>
            </w:r>
            <w:r w:rsidR="008E51E4">
              <w:rPr>
                <w:b/>
              </w:rPr>
              <w:t xml:space="preserve">net </w:t>
            </w:r>
            <w:r w:rsidRPr="00462AC4">
              <w:rPr>
                <w:b/>
              </w:rPr>
              <w:t xml:space="preserve">income </w:t>
            </w:r>
            <w:r w:rsidR="00A00282">
              <w:rPr>
                <w:b/>
              </w:rPr>
              <w:t>per annum based on current usage</w:t>
            </w:r>
            <w:r w:rsidR="00406DDD">
              <w:rPr>
                <w:b/>
              </w:rPr>
              <w:t xml:space="preserve">   </w:t>
            </w:r>
            <w:r w:rsidR="00A00282">
              <w:rPr>
                <w:b/>
              </w:rPr>
              <w:t xml:space="preserve"> </w:t>
            </w:r>
            <w:r w:rsidRPr="00462AC4">
              <w:rPr>
                <w:b/>
              </w:rPr>
              <w:t>(excluding costs)</w:t>
            </w:r>
          </w:p>
          <w:p w:rsidR="00406DDD" w:rsidRPr="00462AC4" w:rsidRDefault="00406DDD" w:rsidP="00406DDD">
            <w:pPr>
              <w:jc w:val="center"/>
              <w:rPr>
                <w:b/>
              </w:rPr>
            </w:pPr>
            <w:r>
              <w:rPr>
                <w:b/>
              </w:rPr>
              <w:t>£</w:t>
            </w:r>
          </w:p>
        </w:tc>
      </w:tr>
      <w:tr w:rsidR="005B3BFE" w:rsidRPr="00462AC4" w:rsidTr="00406DDD">
        <w:tc>
          <w:tcPr>
            <w:tcW w:w="5812" w:type="dxa"/>
            <w:shd w:val="clear" w:color="auto" w:fill="auto"/>
          </w:tcPr>
          <w:p w:rsidR="005B3BFE" w:rsidRPr="005B3BFE" w:rsidRDefault="005B3BFE">
            <w:r w:rsidRPr="005B3BFE">
              <w:t xml:space="preserve">Increase in permit prices </w:t>
            </w:r>
          </w:p>
        </w:tc>
        <w:tc>
          <w:tcPr>
            <w:tcW w:w="2551" w:type="dxa"/>
            <w:shd w:val="clear" w:color="auto" w:fill="auto"/>
          </w:tcPr>
          <w:p w:rsidR="005B3BFE" w:rsidRPr="005B3BFE" w:rsidRDefault="003F3235" w:rsidP="00406DDD">
            <w:pPr>
              <w:jc w:val="right"/>
            </w:pPr>
            <w:r>
              <w:t>(</w:t>
            </w:r>
            <w:r w:rsidR="005B3BFE" w:rsidRPr="005B3BFE">
              <w:t>2</w:t>
            </w:r>
            <w:r w:rsidR="00861F45">
              <w:t>8,7</w:t>
            </w:r>
            <w:r w:rsidR="00406DDD">
              <w:t>50</w:t>
            </w:r>
            <w:r>
              <w:t>)</w:t>
            </w:r>
          </w:p>
        </w:tc>
      </w:tr>
      <w:tr w:rsidR="00A00282" w:rsidRPr="00462AC4" w:rsidTr="00406DDD">
        <w:tc>
          <w:tcPr>
            <w:tcW w:w="5812" w:type="dxa"/>
            <w:shd w:val="clear" w:color="auto" w:fill="auto"/>
          </w:tcPr>
          <w:p w:rsidR="00A00282" w:rsidRPr="005B3BFE" w:rsidRDefault="00A00282">
            <w:r>
              <w:t>Increase in price of dispensations</w:t>
            </w:r>
          </w:p>
        </w:tc>
        <w:tc>
          <w:tcPr>
            <w:tcW w:w="2551" w:type="dxa"/>
            <w:shd w:val="clear" w:color="auto" w:fill="auto"/>
          </w:tcPr>
          <w:p w:rsidR="00A00282" w:rsidRPr="005B3BFE" w:rsidRDefault="003F3235" w:rsidP="00406DDD">
            <w:pPr>
              <w:jc w:val="right"/>
            </w:pPr>
            <w:r>
              <w:t>(</w:t>
            </w:r>
            <w:r w:rsidR="00A00282">
              <w:t>300</w:t>
            </w:r>
            <w:r>
              <w:t>)</w:t>
            </w:r>
          </w:p>
        </w:tc>
      </w:tr>
      <w:tr w:rsidR="00A00282" w:rsidRPr="00462AC4" w:rsidTr="00406DDD">
        <w:tc>
          <w:tcPr>
            <w:tcW w:w="5812" w:type="dxa"/>
            <w:shd w:val="clear" w:color="auto" w:fill="auto"/>
          </w:tcPr>
          <w:p w:rsidR="00A00282" w:rsidRPr="005B3BFE" w:rsidRDefault="00A00282">
            <w:r>
              <w:t>Increase in price of DHV permits</w:t>
            </w:r>
          </w:p>
        </w:tc>
        <w:tc>
          <w:tcPr>
            <w:tcW w:w="2551" w:type="dxa"/>
            <w:shd w:val="clear" w:color="auto" w:fill="auto"/>
          </w:tcPr>
          <w:p w:rsidR="00A00282" w:rsidRPr="005B3BFE" w:rsidRDefault="003F3235" w:rsidP="00406DDD">
            <w:pPr>
              <w:jc w:val="right"/>
            </w:pPr>
            <w:r>
              <w:t>(</w:t>
            </w:r>
            <w:r w:rsidR="002E11D6">
              <w:t>2</w:t>
            </w:r>
            <w:r w:rsidR="00FC1A8A">
              <w:t>,</w:t>
            </w:r>
            <w:r w:rsidR="002E11D6">
              <w:t>800</w:t>
            </w:r>
            <w:r>
              <w:t>)</w:t>
            </w:r>
          </w:p>
        </w:tc>
      </w:tr>
      <w:tr w:rsidR="00A00282" w:rsidRPr="00462AC4" w:rsidTr="00406DDD">
        <w:tc>
          <w:tcPr>
            <w:tcW w:w="5812" w:type="dxa"/>
            <w:shd w:val="clear" w:color="auto" w:fill="auto"/>
          </w:tcPr>
          <w:p w:rsidR="00A00282" w:rsidRPr="005B3BFE" w:rsidRDefault="00A00282">
            <w:r>
              <w:lastRenderedPageBreak/>
              <w:t xml:space="preserve">Increase in price of </w:t>
            </w:r>
            <w:r w:rsidR="00D855DB">
              <w:t>long-term</w:t>
            </w:r>
            <w:r>
              <w:t xml:space="preserve"> parking tariff</w:t>
            </w:r>
          </w:p>
        </w:tc>
        <w:tc>
          <w:tcPr>
            <w:tcW w:w="2551" w:type="dxa"/>
            <w:shd w:val="clear" w:color="auto" w:fill="auto"/>
          </w:tcPr>
          <w:p w:rsidR="00A00282" w:rsidRPr="005B3BFE" w:rsidRDefault="003F3235" w:rsidP="00406DDD">
            <w:pPr>
              <w:jc w:val="right"/>
            </w:pPr>
            <w:r>
              <w:t>(</w:t>
            </w:r>
            <w:r w:rsidR="00A00282">
              <w:t>19</w:t>
            </w:r>
            <w:r w:rsidR="00FC1A8A">
              <w:t>,000</w:t>
            </w:r>
            <w:r>
              <w:t>)</w:t>
            </w:r>
          </w:p>
        </w:tc>
      </w:tr>
      <w:tr w:rsidR="00A542C9" w:rsidRPr="00462AC4" w:rsidTr="00406DDD">
        <w:tc>
          <w:tcPr>
            <w:tcW w:w="5812" w:type="dxa"/>
            <w:shd w:val="clear" w:color="auto" w:fill="auto"/>
          </w:tcPr>
          <w:p w:rsidR="00A542C9" w:rsidRPr="00A542C9" w:rsidRDefault="00A542C9">
            <w:pPr>
              <w:rPr>
                <w:color w:val="FF0000"/>
              </w:rPr>
            </w:pPr>
            <w:r w:rsidRPr="00406DDD">
              <w:t>Increase in price of suspensions</w:t>
            </w:r>
          </w:p>
        </w:tc>
        <w:tc>
          <w:tcPr>
            <w:tcW w:w="2551" w:type="dxa"/>
            <w:shd w:val="clear" w:color="auto" w:fill="auto"/>
          </w:tcPr>
          <w:p w:rsidR="00A542C9" w:rsidRPr="00A542C9" w:rsidRDefault="003F3235" w:rsidP="00406DDD">
            <w:pPr>
              <w:jc w:val="right"/>
              <w:rPr>
                <w:color w:val="FF0000"/>
              </w:rPr>
            </w:pPr>
            <w:r>
              <w:t>(</w:t>
            </w:r>
            <w:r w:rsidR="00AD462F" w:rsidRPr="00406DDD">
              <w:t>490</w:t>
            </w:r>
            <w:r>
              <w:t>)</w:t>
            </w:r>
          </w:p>
        </w:tc>
      </w:tr>
      <w:tr w:rsidR="00A00282" w:rsidRPr="00462AC4" w:rsidTr="0039261C">
        <w:trPr>
          <w:trHeight w:val="223"/>
        </w:trPr>
        <w:tc>
          <w:tcPr>
            <w:tcW w:w="5812" w:type="dxa"/>
            <w:shd w:val="clear" w:color="auto" w:fill="auto"/>
            <w:vAlign w:val="center"/>
          </w:tcPr>
          <w:p w:rsidR="00A00282" w:rsidRPr="00406DDD" w:rsidRDefault="00A00282" w:rsidP="003F3235">
            <w:pPr>
              <w:rPr>
                <w:b/>
              </w:rPr>
            </w:pPr>
            <w:r w:rsidRPr="00406DDD">
              <w:rPr>
                <w:b/>
              </w:rPr>
              <w:t>TOTAL</w:t>
            </w:r>
          </w:p>
        </w:tc>
        <w:tc>
          <w:tcPr>
            <w:tcW w:w="2551" w:type="dxa"/>
            <w:shd w:val="clear" w:color="auto" w:fill="auto"/>
          </w:tcPr>
          <w:p w:rsidR="00A00282" w:rsidRPr="00406DDD" w:rsidRDefault="003F3235" w:rsidP="00406DDD">
            <w:pPr>
              <w:jc w:val="right"/>
              <w:rPr>
                <w:b/>
              </w:rPr>
            </w:pPr>
            <w:r>
              <w:rPr>
                <w:b/>
                <w:color w:val="000000" w:themeColor="text1"/>
              </w:rPr>
              <w:t>(</w:t>
            </w:r>
            <w:r w:rsidR="00AD462F" w:rsidRPr="00406DDD">
              <w:rPr>
                <w:b/>
                <w:color w:val="000000" w:themeColor="text1"/>
              </w:rPr>
              <w:t>51,3</w:t>
            </w:r>
            <w:r w:rsidR="00406DDD" w:rsidRPr="00406DDD">
              <w:rPr>
                <w:b/>
                <w:color w:val="000000" w:themeColor="text1"/>
              </w:rPr>
              <w:t>40</w:t>
            </w:r>
            <w:r>
              <w:rPr>
                <w:b/>
                <w:color w:val="000000" w:themeColor="text1"/>
              </w:rPr>
              <w:t>)</w:t>
            </w:r>
          </w:p>
        </w:tc>
      </w:tr>
    </w:tbl>
    <w:p w:rsidR="0039261C" w:rsidRDefault="003F3235" w:rsidP="003012F3">
      <w:pPr>
        <w:tabs>
          <w:tab w:val="clear" w:pos="1260"/>
          <w:tab w:val="clear" w:pos="1980"/>
          <w:tab w:val="left" w:pos="1276"/>
        </w:tabs>
        <w:ind w:left="1276" w:hanging="1276"/>
      </w:pPr>
      <w:r>
        <w:tab/>
      </w:r>
    </w:p>
    <w:p w:rsidR="00D5771F" w:rsidRDefault="00C1151F" w:rsidP="00C1151F">
      <w:pPr>
        <w:tabs>
          <w:tab w:val="clear" w:pos="1260"/>
          <w:tab w:val="clear" w:pos="1980"/>
          <w:tab w:val="left" w:pos="1276"/>
        </w:tabs>
        <w:ind w:left="1276" w:hanging="1276"/>
      </w:pPr>
      <w:r>
        <w:t>5.</w:t>
      </w:r>
      <w:r w:rsidR="008C52CD">
        <w:t>3</w:t>
      </w:r>
      <w:r>
        <w:tab/>
        <w:t>The 2016/17 target is to reduce the Car Parking budget by £90,000 and £180,000 in future years.</w:t>
      </w:r>
    </w:p>
    <w:p w:rsidR="00C1151F" w:rsidRDefault="00C1151F" w:rsidP="003012F3">
      <w:pPr>
        <w:tabs>
          <w:tab w:val="clear" w:pos="1260"/>
          <w:tab w:val="clear" w:pos="1980"/>
          <w:tab w:val="left" w:pos="1276"/>
        </w:tabs>
        <w:ind w:left="1276" w:hanging="1276"/>
      </w:pPr>
    </w:p>
    <w:p w:rsidR="003012F3" w:rsidRDefault="003012F3" w:rsidP="003012F3">
      <w:pPr>
        <w:tabs>
          <w:tab w:val="clear" w:pos="1260"/>
          <w:tab w:val="clear" w:pos="1980"/>
          <w:tab w:val="left" w:pos="1276"/>
        </w:tabs>
        <w:ind w:left="1276" w:hanging="1276"/>
      </w:pPr>
      <w:r>
        <w:t>5.</w:t>
      </w:r>
      <w:r w:rsidR="008C52CD">
        <w:t>4</w:t>
      </w:r>
      <w:r>
        <w:tab/>
        <w:t>Th</w:t>
      </w:r>
      <w:r w:rsidR="00C1151F">
        <w:t>e</w:t>
      </w:r>
      <w:r>
        <w:t xml:space="preserve"> table </w:t>
      </w:r>
      <w:r w:rsidR="00C1151F">
        <w:t xml:space="preserve">above </w:t>
      </w:r>
      <w:r>
        <w:t xml:space="preserve">illustrates that if all agreed changes to prices are implemented this could reduce the </w:t>
      </w:r>
      <w:r w:rsidR="008C52CD">
        <w:t>cost of service</w:t>
      </w:r>
      <w:r>
        <w:t xml:space="preserve"> to £1</w:t>
      </w:r>
      <w:r w:rsidR="0039261C">
        <w:t>30,000</w:t>
      </w:r>
      <w:r>
        <w:t xml:space="preserve">. Officers are continuing to explore options to </w:t>
      </w:r>
      <w:r w:rsidR="008C52CD">
        <w:t>achieve a cost neutral position</w:t>
      </w:r>
      <w:r>
        <w:t>.</w:t>
      </w:r>
    </w:p>
    <w:p w:rsidR="003012F3" w:rsidRDefault="003012F3" w:rsidP="000B50E3"/>
    <w:p w:rsidR="00BF34FA" w:rsidRDefault="00B74CB0">
      <w:pPr>
        <w:keepNext/>
        <w:ind w:left="1267" w:hanging="1267"/>
        <w:rPr>
          <w:b/>
        </w:rPr>
      </w:pPr>
      <w:r w:rsidRPr="0005394C">
        <w:t>6</w:t>
      </w:r>
      <w:r w:rsidR="00BF34FA" w:rsidRPr="0005394C">
        <w:t>.</w:t>
      </w:r>
      <w:r w:rsidR="00BF34FA">
        <w:tab/>
      </w:r>
      <w:r w:rsidR="00BF34FA">
        <w:rPr>
          <w:b/>
        </w:rPr>
        <w:t>Equal Opportunities Implications</w:t>
      </w:r>
    </w:p>
    <w:p w:rsidR="00BF34FA" w:rsidRDefault="00BF34FA">
      <w:pPr>
        <w:keepNext/>
        <w:ind w:left="1267" w:hanging="1267"/>
        <w:rPr>
          <w:b/>
        </w:rPr>
      </w:pPr>
    </w:p>
    <w:p w:rsidR="00BF34FA" w:rsidRDefault="00B74CB0">
      <w:pPr>
        <w:keepNext/>
        <w:keepLines/>
        <w:ind w:left="1259" w:hanging="1259"/>
        <w:rPr>
          <w:b/>
        </w:rPr>
      </w:pPr>
      <w:r>
        <w:t>6</w:t>
      </w:r>
      <w:r w:rsidR="00BF34FA">
        <w:t>.1</w:t>
      </w:r>
      <w:r w:rsidR="00BF34FA">
        <w:tab/>
      </w:r>
      <w:r w:rsidR="00BF34FA">
        <w:rPr>
          <w:b/>
        </w:rPr>
        <w:t>Relevance Test</w:t>
      </w:r>
    </w:p>
    <w:p w:rsidR="00BF34FA" w:rsidRDefault="00BF34FA">
      <w:pPr>
        <w:keepNext/>
        <w:keepLines/>
        <w:ind w:left="1259" w:hanging="1259"/>
        <w:rPr>
          <w:b/>
        </w:rPr>
      </w:pP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tblGrid>
      <w:tr w:rsidR="00BF34FA" w:rsidTr="00AE6933">
        <w:tc>
          <w:tcPr>
            <w:tcW w:w="5954" w:type="dxa"/>
            <w:vAlign w:val="center"/>
          </w:tcPr>
          <w:p w:rsidR="00BF34FA" w:rsidRDefault="00BF34FA" w:rsidP="00AE6933">
            <w:pPr>
              <w:keepNext/>
              <w:keepLines/>
              <w:jc w:val="center"/>
            </w:pPr>
            <w:r>
              <w:t>Has a relevance test been completed for Equality Impact?</w:t>
            </w:r>
          </w:p>
          <w:p w:rsidR="00BF34FA" w:rsidRDefault="00BF34FA" w:rsidP="00AE6933">
            <w:pPr>
              <w:jc w:val="center"/>
            </w:pPr>
          </w:p>
        </w:tc>
        <w:tc>
          <w:tcPr>
            <w:tcW w:w="1984" w:type="dxa"/>
            <w:vAlign w:val="center"/>
          </w:tcPr>
          <w:p w:rsidR="00BF34FA" w:rsidRDefault="00BF34FA" w:rsidP="00AE6933">
            <w:pPr>
              <w:jc w:val="center"/>
              <w:rPr>
                <w:i/>
                <w:color w:val="FF0000"/>
              </w:rPr>
            </w:pPr>
            <w:r>
              <w:t>No</w:t>
            </w:r>
          </w:p>
        </w:tc>
      </w:tr>
      <w:tr w:rsidR="00BF34FA" w:rsidTr="00AE6933">
        <w:tc>
          <w:tcPr>
            <w:tcW w:w="5954" w:type="dxa"/>
            <w:vAlign w:val="center"/>
          </w:tcPr>
          <w:p w:rsidR="00BF34FA" w:rsidRDefault="00BF34FA" w:rsidP="00AE6933">
            <w:pPr>
              <w:keepNext/>
              <w:keepLines/>
              <w:jc w:val="center"/>
            </w:pPr>
            <w:r>
              <w:t>Did the relevance test conclude a full impact assessment was required?</w:t>
            </w:r>
          </w:p>
          <w:p w:rsidR="00BF34FA" w:rsidRDefault="00BF34FA" w:rsidP="00AE6933">
            <w:pPr>
              <w:jc w:val="center"/>
              <w:rPr>
                <w:i/>
                <w:color w:val="FF0000"/>
              </w:rPr>
            </w:pPr>
          </w:p>
        </w:tc>
        <w:tc>
          <w:tcPr>
            <w:tcW w:w="1984" w:type="dxa"/>
            <w:vAlign w:val="center"/>
          </w:tcPr>
          <w:p w:rsidR="00BF34FA" w:rsidRDefault="00BF34FA" w:rsidP="00AE6933">
            <w:pPr>
              <w:jc w:val="center"/>
            </w:pPr>
            <w:r>
              <w:t>No</w:t>
            </w:r>
          </w:p>
        </w:tc>
      </w:tr>
    </w:tbl>
    <w:p w:rsidR="00BF34FA" w:rsidRDefault="00BF34FA" w:rsidP="00BA787A">
      <w:pPr>
        <w:rPr>
          <w:b/>
          <w:i/>
          <w:color w:val="008000"/>
        </w:rPr>
      </w:pPr>
    </w:p>
    <w:p w:rsidR="00BF34FA" w:rsidRDefault="00BF34FA">
      <w:pPr>
        <w:pStyle w:val="Header"/>
        <w:tabs>
          <w:tab w:val="clear" w:pos="4153"/>
          <w:tab w:val="clear" w:pos="8306"/>
          <w:tab w:val="left" w:pos="1260"/>
          <w:tab w:val="left" w:pos="1980"/>
          <w:tab w:val="left" w:pos="2700"/>
          <w:tab w:val="left" w:pos="3420"/>
        </w:tabs>
      </w:pPr>
    </w:p>
    <w:p w:rsidR="00BF34FA" w:rsidRDefault="00B74CB0">
      <w:pPr>
        <w:keepNext/>
        <w:ind w:left="1267" w:hanging="1267"/>
        <w:rPr>
          <w:b/>
        </w:rPr>
      </w:pPr>
      <w:r w:rsidRPr="0005394C">
        <w:t>7</w:t>
      </w:r>
      <w:r w:rsidR="00BF34FA" w:rsidRPr="0005394C">
        <w:t>.</w:t>
      </w:r>
      <w:r w:rsidR="00BF34FA">
        <w:tab/>
      </w:r>
      <w:r w:rsidR="00BF34FA">
        <w:rPr>
          <w:b/>
        </w:rPr>
        <w:t>Risk Management and Health &amp; Safety Implications</w:t>
      </w:r>
    </w:p>
    <w:p w:rsidR="00BF34FA" w:rsidRDefault="00BF34FA" w:rsidP="00B74CB0">
      <w:pPr>
        <w:ind w:left="1260" w:hanging="1260"/>
      </w:pPr>
      <w:r>
        <w:rPr>
          <w:b/>
          <w:i/>
          <w:color w:val="008000"/>
        </w:rPr>
        <w:tab/>
      </w:r>
    </w:p>
    <w:p w:rsidR="00BF34FA" w:rsidRDefault="00B74CB0">
      <w:pPr>
        <w:ind w:left="1276" w:hanging="1276"/>
      </w:pPr>
      <w:r>
        <w:t>7</w:t>
      </w:r>
      <w:r w:rsidR="00BF34FA">
        <w:t>.1</w:t>
      </w:r>
      <w:r w:rsidR="00BF34FA">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BF34FA" w:rsidRDefault="00BF34FA"/>
    <w:p w:rsidR="00BF34FA" w:rsidRDefault="00B74CB0">
      <w:pPr>
        <w:ind w:left="1260" w:hanging="1260"/>
      </w:pPr>
      <w:r>
        <w:t>7</w:t>
      </w:r>
      <w:r w:rsidR="00BF34FA">
        <w:t>.2</w:t>
      </w:r>
      <w:r w:rsidR="00BF34FA">
        <w:tab/>
        <w:t xml:space="preserve">The </w:t>
      </w:r>
      <w:r w:rsidR="00BF34FA" w:rsidRPr="00C56421">
        <w:rPr>
          <w:color w:val="000000"/>
        </w:rPr>
        <w:t xml:space="preserve">subject of this report is covered by the </w:t>
      </w:r>
      <w:r w:rsidR="00BF34FA" w:rsidRPr="00C56421">
        <w:rPr>
          <w:color w:val="000000"/>
        </w:rPr>
        <w:fldChar w:fldCharType="begin"/>
      </w:r>
      <w:r w:rsidR="00BF34FA" w:rsidRPr="00C56421">
        <w:rPr>
          <w:color w:val="000000"/>
        </w:rPr>
        <w:instrText xml:space="preserve"> ASK   \* MERGEFORMAT </w:instrText>
      </w:r>
      <w:r w:rsidR="00BF34FA" w:rsidRPr="00C56421">
        <w:rPr>
          <w:color w:val="000000"/>
        </w:rPr>
        <w:fldChar w:fldCharType="end"/>
      </w:r>
      <w:r w:rsidRPr="00C56421">
        <w:rPr>
          <w:color w:val="000000"/>
        </w:rPr>
        <w:t>Regulatory Service</w:t>
      </w:r>
      <w:r w:rsidR="00BF34FA" w:rsidRPr="00C56421">
        <w:rPr>
          <w:color w:val="000000"/>
        </w:rPr>
        <w:t xml:space="preserve"> </w:t>
      </w:r>
      <w:r w:rsidRPr="00C56421">
        <w:rPr>
          <w:color w:val="000000"/>
        </w:rPr>
        <w:t>P</w:t>
      </w:r>
      <w:r w:rsidR="00BF34FA" w:rsidRPr="00C56421">
        <w:rPr>
          <w:color w:val="000000"/>
        </w:rPr>
        <w:t>lan.  Any risks resulting from this report will be included in the risk register and, if necessary, managed within this</w:t>
      </w:r>
      <w:r w:rsidRPr="00C56421">
        <w:rPr>
          <w:color w:val="000000"/>
        </w:rPr>
        <w:t xml:space="preserve"> </w:t>
      </w:r>
      <w:r w:rsidR="00BF34FA" w:rsidRPr="00C56421">
        <w:rPr>
          <w:color w:val="000000"/>
        </w:rPr>
        <w:t>plan.</w:t>
      </w:r>
    </w:p>
    <w:p w:rsidR="00BF34FA" w:rsidRDefault="00BF34FA"/>
    <w:p w:rsidR="005256F1" w:rsidRPr="006D39A8" w:rsidRDefault="00B74CB0" w:rsidP="005B3BFE">
      <w:pPr>
        <w:ind w:left="1260" w:hanging="1260"/>
        <w:rPr>
          <w:szCs w:val="22"/>
        </w:rPr>
      </w:pPr>
      <w:r w:rsidRPr="006D39A8">
        <w:rPr>
          <w:szCs w:val="22"/>
        </w:rPr>
        <w:t>7.3</w:t>
      </w:r>
      <w:r w:rsidR="00BF34FA" w:rsidRPr="006D39A8">
        <w:rPr>
          <w:szCs w:val="22"/>
        </w:rPr>
        <w:tab/>
        <w:t>The</w:t>
      </w:r>
      <w:r w:rsidR="005256F1" w:rsidRPr="006D39A8">
        <w:rPr>
          <w:szCs w:val="22"/>
        </w:rPr>
        <w:t xml:space="preserve"> following table gives the risks if the recommendations are agreed, together with a scored assessment of their impact and likelihood.</w:t>
      </w:r>
    </w:p>
    <w:p w:rsidR="002E11D6" w:rsidRPr="006D39A8" w:rsidRDefault="002E11D6" w:rsidP="005256F1">
      <w:pPr>
        <w:pStyle w:val="Header"/>
        <w:tabs>
          <w:tab w:val="clear" w:pos="4153"/>
          <w:tab w:val="clear" w:pos="8306"/>
          <w:tab w:val="left" w:pos="1260"/>
          <w:tab w:val="left" w:pos="1980"/>
          <w:tab w:val="left" w:pos="2700"/>
          <w:tab w:val="left" w:pos="3420"/>
        </w:tabs>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100"/>
        <w:gridCol w:w="1170"/>
        <w:gridCol w:w="1350"/>
      </w:tblGrid>
      <w:tr w:rsidR="005256F1" w:rsidRPr="006D39A8" w:rsidTr="005256F1">
        <w:tc>
          <w:tcPr>
            <w:tcW w:w="5384" w:type="dxa"/>
            <w:gridSpan w:val="2"/>
          </w:tcPr>
          <w:p w:rsidR="005256F1" w:rsidRPr="006D39A8" w:rsidRDefault="005256F1" w:rsidP="005256F1">
            <w:pPr>
              <w:jc w:val="center"/>
              <w:rPr>
                <w:szCs w:val="22"/>
              </w:rPr>
            </w:pPr>
            <w:r w:rsidRPr="006D39A8">
              <w:rPr>
                <w:szCs w:val="22"/>
              </w:rPr>
              <w:t>Description of Risk</w:t>
            </w:r>
          </w:p>
        </w:tc>
        <w:tc>
          <w:tcPr>
            <w:tcW w:w="1170" w:type="dxa"/>
          </w:tcPr>
          <w:p w:rsidR="005256F1" w:rsidRPr="006D39A8" w:rsidRDefault="005256F1" w:rsidP="005256F1">
            <w:pPr>
              <w:jc w:val="center"/>
              <w:rPr>
                <w:szCs w:val="22"/>
              </w:rPr>
            </w:pPr>
            <w:r w:rsidRPr="006D39A8">
              <w:rPr>
                <w:szCs w:val="22"/>
              </w:rPr>
              <w:t>Impact</w:t>
            </w:r>
          </w:p>
        </w:tc>
        <w:tc>
          <w:tcPr>
            <w:tcW w:w="1350" w:type="dxa"/>
          </w:tcPr>
          <w:p w:rsidR="005256F1" w:rsidRPr="006D39A8" w:rsidRDefault="005256F1" w:rsidP="005256F1">
            <w:pPr>
              <w:ind w:left="34"/>
              <w:jc w:val="center"/>
              <w:rPr>
                <w:szCs w:val="22"/>
              </w:rPr>
            </w:pPr>
            <w:r w:rsidRPr="006D39A8">
              <w:rPr>
                <w:szCs w:val="22"/>
              </w:rPr>
              <w:t>Likelihood</w:t>
            </w:r>
          </w:p>
        </w:tc>
      </w:tr>
      <w:tr w:rsidR="005256F1" w:rsidRPr="006D39A8" w:rsidTr="00FE613B">
        <w:tc>
          <w:tcPr>
            <w:tcW w:w="284" w:type="dxa"/>
          </w:tcPr>
          <w:p w:rsidR="005256F1" w:rsidRPr="006D39A8" w:rsidRDefault="00FE613B" w:rsidP="005256F1">
            <w:pPr>
              <w:jc w:val="left"/>
              <w:rPr>
                <w:szCs w:val="22"/>
              </w:rPr>
            </w:pPr>
            <w:r w:rsidRPr="006D39A8">
              <w:rPr>
                <w:szCs w:val="22"/>
              </w:rPr>
              <w:t>1</w:t>
            </w:r>
          </w:p>
        </w:tc>
        <w:tc>
          <w:tcPr>
            <w:tcW w:w="5100" w:type="dxa"/>
          </w:tcPr>
          <w:p w:rsidR="005256F1" w:rsidRPr="006D39A8" w:rsidRDefault="00FE613B" w:rsidP="00AA720A">
            <w:pPr>
              <w:jc w:val="left"/>
              <w:rPr>
                <w:szCs w:val="22"/>
              </w:rPr>
            </w:pPr>
            <w:r w:rsidRPr="006D39A8">
              <w:rPr>
                <w:szCs w:val="22"/>
              </w:rPr>
              <w:t xml:space="preserve">Increasing charges for </w:t>
            </w:r>
            <w:r w:rsidR="00B774D9">
              <w:rPr>
                <w:szCs w:val="22"/>
              </w:rPr>
              <w:t xml:space="preserve">Parking Services </w:t>
            </w:r>
            <w:r w:rsidRPr="006D39A8">
              <w:rPr>
                <w:szCs w:val="22"/>
              </w:rPr>
              <w:t xml:space="preserve">will reduce take up of </w:t>
            </w:r>
            <w:r w:rsidR="00B774D9">
              <w:rPr>
                <w:szCs w:val="22"/>
              </w:rPr>
              <w:t xml:space="preserve">the services </w:t>
            </w:r>
            <w:r w:rsidRPr="006D39A8">
              <w:rPr>
                <w:szCs w:val="22"/>
              </w:rPr>
              <w:t>and subsequently result in displacement parking and also impact on income</w:t>
            </w:r>
          </w:p>
        </w:tc>
        <w:tc>
          <w:tcPr>
            <w:tcW w:w="1170" w:type="dxa"/>
          </w:tcPr>
          <w:p w:rsidR="005256F1" w:rsidRPr="006D39A8" w:rsidRDefault="00FE613B" w:rsidP="005256F1">
            <w:pPr>
              <w:jc w:val="center"/>
              <w:rPr>
                <w:szCs w:val="22"/>
              </w:rPr>
            </w:pPr>
            <w:r w:rsidRPr="006D39A8">
              <w:rPr>
                <w:szCs w:val="22"/>
              </w:rPr>
              <w:t>III</w:t>
            </w:r>
          </w:p>
        </w:tc>
        <w:tc>
          <w:tcPr>
            <w:tcW w:w="1350" w:type="dxa"/>
          </w:tcPr>
          <w:p w:rsidR="005256F1" w:rsidRPr="006D39A8" w:rsidRDefault="00FE613B" w:rsidP="005256F1">
            <w:pPr>
              <w:jc w:val="center"/>
              <w:rPr>
                <w:szCs w:val="22"/>
              </w:rPr>
            </w:pPr>
            <w:r w:rsidRPr="006D39A8">
              <w:rPr>
                <w:szCs w:val="22"/>
              </w:rPr>
              <w:t>D</w:t>
            </w:r>
          </w:p>
        </w:tc>
      </w:tr>
    </w:tbl>
    <w:p w:rsidR="005256F1" w:rsidRPr="006D39A8" w:rsidRDefault="005256F1" w:rsidP="005256F1">
      <w:pPr>
        <w:rPr>
          <w:szCs w:val="22"/>
          <w:highlight w:val="yellow"/>
        </w:rPr>
      </w:pPr>
    </w:p>
    <w:p w:rsidR="00EA3D9E" w:rsidRPr="006D39A8" w:rsidRDefault="00EA3D9E" w:rsidP="00BA787A">
      <w:pPr>
        <w:rPr>
          <w:szCs w:val="22"/>
        </w:rPr>
      </w:pPr>
    </w:p>
    <w:p w:rsidR="00C1151F" w:rsidRDefault="00C1151F" w:rsidP="00B74CB0">
      <w:pPr>
        <w:ind w:left="1260" w:hanging="1260"/>
        <w:rPr>
          <w:szCs w:val="22"/>
        </w:rPr>
      </w:pPr>
    </w:p>
    <w:p w:rsidR="00C1151F" w:rsidRDefault="00C1151F" w:rsidP="00B74CB0">
      <w:pPr>
        <w:ind w:left="1260" w:hanging="1260"/>
        <w:rPr>
          <w:szCs w:val="22"/>
        </w:rPr>
      </w:pPr>
    </w:p>
    <w:p w:rsidR="00BF34FA" w:rsidRPr="006D39A8" w:rsidRDefault="00B74CB0" w:rsidP="00B74CB0">
      <w:pPr>
        <w:ind w:left="1260" w:hanging="1260"/>
        <w:rPr>
          <w:szCs w:val="22"/>
        </w:rPr>
      </w:pPr>
      <w:r w:rsidRPr="006D39A8">
        <w:rPr>
          <w:szCs w:val="22"/>
        </w:rPr>
        <w:t>7</w:t>
      </w:r>
      <w:r w:rsidR="00FA0C1C" w:rsidRPr="006D39A8">
        <w:rPr>
          <w:szCs w:val="22"/>
        </w:rPr>
        <w:t>.</w:t>
      </w:r>
      <w:r w:rsidRPr="006D39A8">
        <w:rPr>
          <w:szCs w:val="22"/>
        </w:rPr>
        <w:t>4</w:t>
      </w:r>
      <w:r w:rsidR="00FA0C1C" w:rsidRPr="006D39A8">
        <w:rPr>
          <w:szCs w:val="22"/>
        </w:rPr>
        <w:tab/>
      </w:r>
      <w:r w:rsidR="00BF34FA" w:rsidRPr="006D39A8">
        <w:rPr>
          <w:szCs w:val="22"/>
        </w:rPr>
        <w:t>The following table gives the risks that would exist if the recommendation is rejected, together with a scored assessment of their impact and likelihood:</w:t>
      </w:r>
    </w:p>
    <w:p w:rsidR="00BF34FA" w:rsidRPr="006D39A8" w:rsidRDefault="00BF34FA">
      <w:pPr>
        <w:rPr>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rsidRPr="006D39A8">
        <w:trPr>
          <w:trHeight w:val="152"/>
        </w:trPr>
        <w:tc>
          <w:tcPr>
            <w:tcW w:w="5384" w:type="dxa"/>
            <w:gridSpan w:val="2"/>
          </w:tcPr>
          <w:p w:rsidR="00BF34FA" w:rsidRPr="006D39A8" w:rsidRDefault="00BF34FA">
            <w:pPr>
              <w:jc w:val="center"/>
              <w:rPr>
                <w:szCs w:val="22"/>
              </w:rPr>
            </w:pPr>
            <w:r w:rsidRPr="006D39A8">
              <w:rPr>
                <w:szCs w:val="22"/>
              </w:rPr>
              <w:t>Description of Risk</w:t>
            </w:r>
          </w:p>
        </w:tc>
        <w:tc>
          <w:tcPr>
            <w:tcW w:w="1170" w:type="dxa"/>
          </w:tcPr>
          <w:p w:rsidR="00BF34FA" w:rsidRPr="006D39A8" w:rsidRDefault="00BF34FA">
            <w:pPr>
              <w:jc w:val="center"/>
              <w:rPr>
                <w:szCs w:val="22"/>
              </w:rPr>
            </w:pPr>
            <w:r w:rsidRPr="006D39A8">
              <w:rPr>
                <w:szCs w:val="22"/>
              </w:rPr>
              <w:t>Impact</w:t>
            </w:r>
          </w:p>
        </w:tc>
        <w:tc>
          <w:tcPr>
            <w:tcW w:w="1350" w:type="dxa"/>
          </w:tcPr>
          <w:p w:rsidR="00BF34FA" w:rsidRPr="006D39A8" w:rsidRDefault="00BF34FA">
            <w:pPr>
              <w:ind w:left="34"/>
              <w:jc w:val="center"/>
              <w:rPr>
                <w:szCs w:val="22"/>
              </w:rPr>
            </w:pPr>
            <w:r w:rsidRPr="006D39A8">
              <w:rPr>
                <w:szCs w:val="22"/>
              </w:rPr>
              <w:t>Likelihood</w:t>
            </w:r>
          </w:p>
        </w:tc>
      </w:tr>
      <w:tr w:rsidR="00BF34FA" w:rsidRPr="006D39A8">
        <w:tc>
          <w:tcPr>
            <w:tcW w:w="328" w:type="dxa"/>
          </w:tcPr>
          <w:p w:rsidR="00BF34FA" w:rsidRPr="006D39A8" w:rsidRDefault="006D39A8">
            <w:pPr>
              <w:jc w:val="left"/>
              <w:rPr>
                <w:szCs w:val="22"/>
              </w:rPr>
            </w:pPr>
            <w:r w:rsidRPr="006D39A8">
              <w:rPr>
                <w:szCs w:val="22"/>
              </w:rPr>
              <w:t>2</w:t>
            </w:r>
          </w:p>
        </w:tc>
        <w:tc>
          <w:tcPr>
            <w:tcW w:w="5056" w:type="dxa"/>
          </w:tcPr>
          <w:p w:rsidR="00067C3A" w:rsidRPr="006D39A8" w:rsidRDefault="006D39A8" w:rsidP="006D39A8">
            <w:pPr>
              <w:jc w:val="left"/>
              <w:rPr>
                <w:szCs w:val="22"/>
              </w:rPr>
            </w:pPr>
            <w:r w:rsidRPr="006D39A8">
              <w:rPr>
                <w:szCs w:val="22"/>
              </w:rPr>
              <w:t>The parking service will continue to run with an annual deficit with no future investment in the enforcement service possible.</w:t>
            </w:r>
          </w:p>
        </w:tc>
        <w:tc>
          <w:tcPr>
            <w:tcW w:w="1170" w:type="dxa"/>
          </w:tcPr>
          <w:p w:rsidR="00BF34FA" w:rsidRPr="006D39A8" w:rsidRDefault="00B74CB0">
            <w:pPr>
              <w:jc w:val="center"/>
              <w:rPr>
                <w:szCs w:val="22"/>
              </w:rPr>
            </w:pPr>
            <w:r w:rsidRPr="006D39A8">
              <w:rPr>
                <w:szCs w:val="22"/>
              </w:rPr>
              <w:t>IV</w:t>
            </w:r>
          </w:p>
        </w:tc>
        <w:tc>
          <w:tcPr>
            <w:tcW w:w="1350" w:type="dxa"/>
          </w:tcPr>
          <w:p w:rsidR="00BF34FA" w:rsidRPr="006D39A8" w:rsidRDefault="00B74CB0">
            <w:pPr>
              <w:jc w:val="center"/>
              <w:rPr>
                <w:szCs w:val="22"/>
              </w:rPr>
            </w:pPr>
            <w:r w:rsidRPr="006D39A8">
              <w:rPr>
                <w:szCs w:val="22"/>
              </w:rPr>
              <w:t>B</w:t>
            </w:r>
          </w:p>
        </w:tc>
      </w:tr>
    </w:tbl>
    <w:p w:rsidR="00067C3A" w:rsidRPr="006D39A8" w:rsidRDefault="00067C3A">
      <w:pPr>
        <w:pStyle w:val="Header"/>
        <w:tabs>
          <w:tab w:val="clear" w:pos="4153"/>
          <w:tab w:val="clear" w:pos="8306"/>
          <w:tab w:val="left" w:pos="1260"/>
          <w:tab w:val="left" w:pos="1980"/>
          <w:tab w:val="left" w:pos="2700"/>
          <w:tab w:val="left" w:pos="3420"/>
        </w:tabs>
        <w:rPr>
          <w:szCs w:val="22"/>
        </w:rPr>
      </w:pPr>
    </w:p>
    <w:p w:rsidR="00BF34FA" w:rsidRDefault="00B74CB0" w:rsidP="00B74CB0">
      <w:pPr>
        <w:pStyle w:val="BodyTextIndent"/>
        <w:tabs>
          <w:tab w:val="clear" w:pos="1260"/>
          <w:tab w:val="left" w:pos="1276"/>
        </w:tabs>
      </w:pPr>
      <w:r>
        <w:t>7</w:t>
      </w:r>
      <w:r w:rsidR="00BF34FA">
        <w:t>.5</w:t>
      </w:r>
      <w:r w:rsidR="00BF34FA">
        <w:tab/>
        <w:t>Of the risks detailed above none is already managed within a service plan.</w:t>
      </w:r>
    </w:p>
    <w:p w:rsidR="00BF34FA" w:rsidRDefault="00BF34FA"/>
    <w:p w:rsidR="00BF34FA" w:rsidRDefault="00B74CB0">
      <w:pPr>
        <w:ind w:left="1276" w:hanging="1276"/>
      </w:pPr>
      <w:r>
        <w:lastRenderedPageBreak/>
        <w:t>7</w:t>
      </w:r>
      <w:r w:rsidR="00BF34FA">
        <w:t>.6</w:t>
      </w:r>
      <w:r w:rsidR="00BF34FA">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BF34FA" w:rsidRDefault="00BF34FA">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BF34FA">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F34FA" w:rsidRDefault="00637F79">
            <w:pPr>
              <w:keepNext/>
              <w:keepLines/>
              <w:ind w:left="113" w:right="113"/>
              <w:jc w:val="center"/>
              <w:rPr>
                <w:b/>
                <w:szCs w:val="22"/>
              </w:rPr>
            </w:pPr>
            <w:r>
              <w:rPr>
                <w:b/>
                <w:noProof/>
                <w:szCs w:val="22"/>
              </w:rPr>
              <mc:AlternateContent>
                <mc:Choice Requires="wps">
                  <w:drawing>
                    <wp:anchor distT="0" distB="0" distL="114300" distR="114300" simplePos="0" relativeHeight="251657216" behindDoc="0" locked="0" layoutInCell="0" allowOverlap="1" wp14:anchorId="2ED95383" wp14:editId="62658368">
                      <wp:simplePos x="0" y="0"/>
                      <wp:positionH relativeFrom="column">
                        <wp:posOffset>1115695</wp:posOffset>
                      </wp:positionH>
                      <wp:positionV relativeFrom="paragraph">
                        <wp:posOffset>107950</wp:posOffset>
                      </wp:positionV>
                      <wp:extent cx="0" cy="129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14:anchorId="6B6F1D2C" wp14:editId="20BF0C82">
                      <wp:simplePos x="0" y="0"/>
                      <wp:positionH relativeFrom="column">
                        <wp:posOffset>1298575</wp:posOffset>
                      </wp:positionH>
                      <wp:positionV relativeFrom="paragraph">
                        <wp:posOffset>1388110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BF34FA">
              <w:rPr>
                <w:b/>
                <w:szCs w:val="22"/>
              </w:rPr>
              <w:t>Likelihood</w:t>
            </w:r>
          </w:p>
        </w:tc>
        <w:tc>
          <w:tcPr>
            <w:tcW w:w="452" w:type="dxa"/>
            <w:tcBorders>
              <w:top w:val="single" w:sz="4" w:space="0" w:color="auto"/>
              <w:left w:val="single" w:sz="4" w:space="0" w:color="auto"/>
            </w:tcBorders>
          </w:tcPr>
          <w:p w:rsidR="00BF34FA" w:rsidRDefault="00BF34FA">
            <w:pPr>
              <w:keepNext/>
              <w:keepLines/>
            </w:pPr>
            <w:r>
              <w:t>A</w:t>
            </w:r>
          </w:p>
        </w:tc>
        <w:tc>
          <w:tcPr>
            <w:tcW w:w="723" w:type="dxa"/>
            <w:tcBorders>
              <w:top w:val="single" w:sz="4" w:space="0" w:color="auto"/>
            </w:tcBorders>
            <w:shd w:val="pct15" w:color="auto" w:fill="FFFFFF"/>
          </w:tcPr>
          <w:p w:rsidR="00BF34FA" w:rsidRDefault="00BF34FA">
            <w:pPr>
              <w:keepNext/>
              <w:keepLines/>
            </w:pPr>
          </w:p>
        </w:tc>
        <w:tc>
          <w:tcPr>
            <w:tcW w:w="723" w:type="dxa"/>
            <w:tcBorders>
              <w:top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Impact</w:t>
            </w:r>
          </w:p>
        </w:tc>
        <w:tc>
          <w:tcPr>
            <w:tcW w:w="1608" w:type="dxa"/>
            <w:tcBorders>
              <w:top w:val="nil"/>
              <w:left w:val="nil"/>
              <w:bottom w:val="nil"/>
              <w:right w:val="nil"/>
            </w:tcBorders>
          </w:tcPr>
          <w:p w:rsidR="00BF34FA" w:rsidRDefault="00BF34FA">
            <w:pPr>
              <w:keepNext/>
              <w:keepLines/>
              <w:rPr>
                <w:sz w:val="16"/>
              </w:rPr>
            </w:pPr>
            <w:r>
              <w:rPr>
                <w:sz w:val="16"/>
              </w:rPr>
              <w:t>Likelihood</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B</w:t>
            </w:r>
          </w:p>
        </w:tc>
        <w:tc>
          <w:tcPr>
            <w:tcW w:w="723" w:type="dxa"/>
            <w:shd w:val="pct15" w:color="auto" w:fill="FFFFFF"/>
          </w:tcPr>
          <w:p w:rsidR="00BF34FA" w:rsidRDefault="00BF34FA">
            <w:pPr>
              <w:keepNext/>
              <w:keepLines/>
            </w:pPr>
          </w:p>
        </w:tc>
        <w:tc>
          <w:tcPr>
            <w:tcW w:w="723" w:type="dxa"/>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right w:val="single" w:sz="4" w:space="0" w:color="auto"/>
            </w:tcBorders>
          </w:tcPr>
          <w:p w:rsidR="00BF34FA" w:rsidRDefault="006D39A8">
            <w:pPr>
              <w:keepNext/>
              <w:keepLines/>
              <w:jc w:val="center"/>
            </w:pPr>
            <w:r>
              <w:t>2</w:t>
            </w: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V = Catastrophic</w:t>
            </w:r>
          </w:p>
        </w:tc>
        <w:tc>
          <w:tcPr>
            <w:tcW w:w="1608" w:type="dxa"/>
            <w:tcBorders>
              <w:top w:val="nil"/>
              <w:left w:val="nil"/>
              <w:bottom w:val="nil"/>
              <w:right w:val="nil"/>
            </w:tcBorders>
          </w:tcPr>
          <w:p w:rsidR="00BF34FA" w:rsidRDefault="00BF34FA">
            <w:pPr>
              <w:keepNext/>
              <w:keepLines/>
              <w:rPr>
                <w:sz w:val="16"/>
              </w:rPr>
            </w:pPr>
            <w:r>
              <w:rPr>
                <w:sz w:val="16"/>
              </w:rPr>
              <w:t>A = &gt;98%</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C</w:t>
            </w:r>
          </w:p>
        </w:tc>
        <w:tc>
          <w:tcPr>
            <w:tcW w:w="723" w:type="dxa"/>
            <w:shd w:val="pct15" w:color="auto" w:fill="FFFFFF"/>
          </w:tcPr>
          <w:p w:rsidR="00BF34FA" w:rsidRDefault="00BF34FA">
            <w:pPr>
              <w:keepNext/>
              <w:keepLines/>
            </w:pPr>
          </w:p>
        </w:tc>
        <w:tc>
          <w:tcPr>
            <w:tcW w:w="723" w:type="dxa"/>
            <w:tcBorders>
              <w:top w:val="single" w:sz="4" w:space="0" w:color="auto"/>
              <w:bottom w:val="single" w:sz="4" w:space="0" w:color="auto"/>
            </w:tcBorders>
          </w:tcPr>
          <w:p w:rsidR="00BF34FA" w:rsidRDefault="00BF34FA">
            <w:pPr>
              <w:keepNext/>
              <w:keepLines/>
            </w:pPr>
          </w:p>
        </w:tc>
        <w:tc>
          <w:tcPr>
            <w:tcW w:w="724" w:type="dxa"/>
            <w:tcBorders>
              <w:top w:val="single" w:sz="4" w:space="0" w:color="auto"/>
              <w:bottom w:val="single" w:sz="4" w:space="0" w:color="auto"/>
            </w:tcBorders>
          </w:tcPr>
          <w:p w:rsidR="00BF34FA" w:rsidRDefault="00BF34FA">
            <w:pPr>
              <w:keepNext/>
              <w:keepLines/>
            </w:pP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IV = Critical</w:t>
            </w:r>
          </w:p>
        </w:tc>
        <w:tc>
          <w:tcPr>
            <w:tcW w:w="1608" w:type="dxa"/>
            <w:tcBorders>
              <w:top w:val="nil"/>
              <w:left w:val="nil"/>
              <w:bottom w:val="nil"/>
              <w:right w:val="nil"/>
            </w:tcBorders>
          </w:tcPr>
          <w:p w:rsidR="00BF34FA" w:rsidRDefault="00BF34FA">
            <w:pPr>
              <w:keepNext/>
              <w:keepLines/>
              <w:rPr>
                <w:sz w:val="16"/>
              </w:rPr>
            </w:pPr>
            <w:r>
              <w:rPr>
                <w:sz w:val="16"/>
              </w:rPr>
              <w:t>B = 75% - 97%</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D</w:t>
            </w:r>
          </w:p>
        </w:tc>
        <w:tc>
          <w:tcPr>
            <w:tcW w:w="723" w:type="dxa"/>
            <w:tcBorders>
              <w:bottom w:val="single" w:sz="4" w:space="0" w:color="auto"/>
            </w:tcBorders>
            <w:shd w:val="pct15" w:color="auto" w:fill="FFFFFF"/>
          </w:tcPr>
          <w:p w:rsidR="00BF34FA" w:rsidRDefault="00BF34FA">
            <w:pPr>
              <w:keepNext/>
              <w:keepLines/>
            </w:pPr>
          </w:p>
        </w:tc>
        <w:tc>
          <w:tcPr>
            <w:tcW w:w="723" w:type="dxa"/>
            <w:tcBorders>
              <w:top w:val="single" w:sz="4" w:space="0" w:color="auto"/>
            </w:tcBorders>
            <w:shd w:val="pct15" w:color="auto" w:fill="FFFFFF"/>
          </w:tcPr>
          <w:p w:rsidR="00BF34FA" w:rsidRDefault="00BF34FA">
            <w:pPr>
              <w:keepNext/>
              <w:keepLines/>
            </w:pPr>
          </w:p>
        </w:tc>
        <w:tc>
          <w:tcPr>
            <w:tcW w:w="724" w:type="dxa"/>
            <w:tcBorders>
              <w:top w:val="single" w:sz="4" w:space="0" w:color="auto"/>
              <w:bottom w:val="single" w:sz="4" w:space="0" w:color="auto"/>
            </w:tcBorders>
          </w:tcPr>
          <w:p w:rsidR="00BF34FA" w:rsidRDefault="006D39A8">
            <w:pPr>
              <w:keepNext/>
              <w:keepLines/>
            </w:pPr>
            <w:r>
              <w:t>1</w:t>
            </w:r>
          </w:p>
        </w:tc>
        <w:tc>
          <w:tcPr>
            <w:tcW w:w="723" w:type="dxa"/>
            <w:tcBorders>
              <w:top w:val="single" w:sz="4" w:space="0" w:color="auto"/>
              <w:bottom w:val="single" w:sz="4" w:space="0" w:color="auto"/>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III = Significant</w:t>
            </w:r>
          </w:p>
        </w:tc>
        <w:tc>
          <w:tcPr>
            <w:tcW w:w="1608" w:type="dxa"/>
            <w:tcBorders>
              <w:top w:val="nil"/>
              <w:left w:val="nil"/>
              <w:bottom w:val="nil"/>
              <w:right w:val="nil"/>
            </w:tcBorders>
          </w:tcPr>
          <w:p w:rsidR="00BF34FA" w:rsidRDefault="00BF34FA">
            <w:pPr>
              <w:keepNext/>
              <w:keepLines/>
              <w:rPr>
                <w:sz w:val="16"/>
              </w:rPr>
            </w:pPr>
            <w:r>
              <w:rPr>
                <w:sz w:val="16"/>
              </w:rPr>
              <w:t>C = 50% - 74%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E</w:t>
            </w:r>
          </w:p>
        </w:tc>
        <w:tc>
          <w:tcPr>
            <w:tcW w:w="723" w:type="dxa"/>
            <w:tcBorders>
              <w:bottom w:val="single" w:sz="4" w:space="0" w:color="auto"/>
            </w:tcBorders>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bottom w:val="single" w:sz="4" w:space="0" w:color="auto"/>
            </w:tcBorders>
          </w:tcPr>
          <w:p w:rsidR="00BF34FA" w:rsidRDefault="00BF34FA">
            <w:pPr>
              <w:keepNext/>
              <w:keepLines/>
            </w:pPr>
          </w:p>
        </w:tc>
        <w:tc>
          <w:tcPr>
            <w:tcW w:w="723" w:type="dxa"/>
            <w:tcBorders>
              <w:top w:val="single" w:sz="4" w:space="0" w:color="auto"/>
              <w:right w:val="single" w:sz="4" w:space="0" w:color="auto"/>
            </w:tcBorders>
          </w:tcPr>
          <w:p w:rsidR="00BF34FA" w:rsidRDefault="00BF34FA">
            <w:pPr>
              <w:keepNext/>
              <w:keepLines/>
              <w:jc w:val="center"/>
            </w:pPr>
          </w:p>
        </w:tc>
        <w:tc>
          <w:tcPr>
            <w:tcW w:w="724" w:type="dxa"/>
            <w:tcBorders>
              <w:top w:val="single" w:sz="4" w:space="0" w:color="auto"/>
              <w:bottom w:val="single" w:sz="4" w:space="0" w:color="auto"/>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II = Marginal</w:t>
            </w:r>
          </w:p>
        </w:tc>
        <w:tc>
          <w:tcPr>
            <w:tcW w:w="1608" w:type="dxa"/>
            <w:tcBorders>
              <w:top w:val="nil"/>
              <w:left w:val="nil"/>
              <w:bottom w:val="nil"/>
              <w:right w:val="nil"/>
            </w:tcBorders>
          </w:tcPr>
          <w:p w:rsidR="00BF34FA" w:rsidRDefault="00BF34FA">
            <w:pPr>
              <w:keepNext/>
              <w:keepLines/>
              <w:rPr>
                <w:sz w:val="16"/>
              </w:rPr>
            </w:pPr>
            <w:r>
              <w:rPr>
                <w:sz w:val="16"/>
              </w:rPr>
              <w:t>D = 25% - 49%</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tcBorders>
          </w:tcPr>
          <w:p w:rsidR="00BF34FA" w:rsidRDefault="00BF34FA">
            <w:pPr>
              <w:keepNext/>
              <w:keepLines/>
            </w:pPr>
            <w:r>
              <w:t>F</w:t>
            </w:r>
          </w:p>
        </w:tc>
        <w:tc>
          <w:tcPr>
            <w:tcW w:w="723" w:type="dxa"/>
            <w:shd w:val="pct15" w:color="auto" w:fill="FFFFFF"/>
          </w:tcPr>
          <w:p w:rsidR="00BF34FA" w:rsidRDefault="00BF34FA">
            <w:pPr>
              <w:keepNext/>
              <w:keepLines/>
            </w:pPr>
          </w:p>
        </w:tc>
        <w:tc>
          <w:tcPr>
            <w:tcW w:w="723" w:type="dxa"/>
            <w:shd w:val="pct15" w:color="auto" w:fill="FFFFFF"/>
          </w:tcPr>
          <w:p w:rsidR="00BF34FA" w:rsidRDefault="00BF34FA">
            <w:pPr>
              <w:keepNext/>
              <w:keepLines/>
            </w:pPr>
          </w:p>
        </w:tc>
        <w:tc>
          <w:tcPr>
            <w:tcW w:w="724" w:type="dxa"/>
            <w:tcBorders>
              <w:top w:val="single" w:sz="4" w:space="0" w:color="auto"/>
            </w:tcBorders>
            <w:shd w:val="pct15" w:color="auto" w:fill="FFFFFF"/>
          </w:tcPr>
          <w:p w:rsidR="00BF34FA" w:rsidRDefault="00BF34FA">
            <w:pPr>
              <w:keepNext/>
              <w:keepLines/>
            </w:pPr>
          </w:p>
        </w:tc>
        <w:tc>
          <w:tcPr>
            <w:tcW w:w="723" w:type="dxa"/>
            <w:tcBorders>
              <w:right w:val="single" w:sz="4" w:space="0" w:color="auto"/>
            </w:tcBorders>
          </w:tcPr>
          <w:p w:rsidR="00BF34FA" w:rsidRDefault="00BF34FA">
            <w:pPr>
              <w:keepNext/>
              <w:keepLines/>
              <w:jc w:val="center"/>
            </w:pPr>
          </w:p>
        </w:tc>
        <w:tc>
          <w:tcPr>
            <w:tcW w:w="724" w:type="dxa"/>
            <w:tcBorders>
              <w:right w:val="single" w:sz="4" w:space="0" w:color="auto"/>
            </w:tcBorders>
          </w:tcPr>
          <w:p w:rsidR="00BF34FA" w:rsidRDefault="00BF34FA">
            <w:pPr>
              <w:keepNext/>
              <w:keepLines/>
              <w:jc w:val="center"/>
            </w:pPr>
          </w:p>
        </w:tc>
        <w:tc>
          <w:tcPr>
            <w:tcW w:w="1508" w:type="dxa"/>
            <w:tcBorders>
              <w:top w:val="nil"/>
              <w:left w:val="single" w:sz="4" w:space="0" w:color="auto"/>
              <w:bottom w:val="nil"/>
              <w:right w:val="nil"/>
            </w:tcBorders>
          </w:tcPr>
          <w:p w:rsidR="00BF34FA" w:rsidRDefault="00BF34FA">
            <w:pPr>
              <w:keepNext/>
              <w:keepLines/>
              <w:rPr>
                <w:sz w:val="16"/>
              </w:rPr>
            </w:pPr>
            <w:r>
              <w:rPr>
                <w:sz w:val="16"/>
              </w:rPr>
              <w:t>I = Negligible</w:t>
            </w:r>
          </w:p>
        </w:tc>
        <w:tc>
          <w:tcPr>
            <w:tcW w:w="1608" w:type="dxa"/>
            <w:tcBorders>
              <w:top w:val="nil"/>
              <w:left w:val="nil"/>
              <w:bottom w:val="nil"/>
              <w:right w:val="nil"/>
            </w:tcBorders>
          </w:tcPr>
          <w:p w:rsidR="00BF34FA" w:rsidRDefault="00BF34FA">
            <w:pPr>
              <w:keepNext/>
              <w:keepLines/>
              <w:rPr>
                <w:sz w:val="16"/>
              </w:rPr>
            </w:pPr>
            <w:r>
              <w:rPr>
                <w:sz w:val="16"/>
              </w:rPr>
              <w:t>E = 3% - 24%</w:t>
            </w:r>
          </w:p>
        </w:tc>
      </w:tr>
      <w:tr w:rsidR="00BF34FA">
        <w:trPr>
          <w:cantSplit/>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52" w:type="dxa"/>
            <w:tcBorders>
              <w:left w:val="single" w:sz="4" w:space="0" w:color="auto"/>
              <w:bottom w:val="single" w:sz="4" w:space="0" w:color="auto"/>
            </w:tcBorders>
          </w:tcPr>
          <w:p w:rsidR="00BF34FA" w:rsidRDefault="00BF34FA">
            <w:pPr>
              <w:keepNext/>
              <w:keepLines/>
            </w:pPr>
          </w:p>
        </w:tc>
        <w:tc>
          <w:tcPr>
            <w:tcW w:w="723" w:type="dxa"/>
            <w:tcBorders>
              <w:bottom w:val="single" w:sz="4" w:space="0" w:color="auto"/>
            </w:tcBorders>
          </w:tcPr>
          <w:p w:rsidR="00BF34FA" w:rsidRDefault="00BF34FA">
            <w:pPr>
              <w:keepNext/>
              <w:keepLines/>
              <w:jc w:val="center"/>
            </w:pPr>
            <w:r>
              <w:t>I</w:t>
            </w:r>
          </w:p>
        </w:tc>
        <w:tc>
          <w:tcPr>
            <w:tcW w:w="723" w:type="dxa"/>
            <w:tcBorders>
              <w:bottom w:val="single" w:sz="4" w:space="0" w:color="auto"/>
            </w:tcBorders>
          </w:tcPr>
          <w:p w:rsidR="00BF34FA" w:rsidRDefault="00BF34FA">
            <w:pPr>
              <w:keepNext/>
              <w:keepLines/>
              <w:jc w:val="center"/>
            </w:pPr>
            <w:r>
              <w:t>II</w:t>
            </w:r>
          </w:p>
        </w:tc>
        <w:tc>
          <w:tcPr>
            <w:tcW w:w="724" w:type="dxa"/>
            <w:tcBorders>
              <w:bottom w:val="single" w:sz="4" w:space="0" w:color="auto"/>
            </w:tcBorders>
          </w:tcPr>
          <w:p w:rsidR="00BF34FA" w:rsidRDefault="00BF34FA">
            <w:pPr>
              <w:keepNext/>
              <w:keepLines/>
              <w:jc w:val="center"/>
            </w:pPr>
            <w:r>
              <w:t>III</w:t>
            </w:r>
          </w:p>
        </w:tc>
        <w:tc>
          <w:tcPr>
            <w:tcW w:w="723" w:type="dxa"/>
            <w:tcBorders>
              <w:bottom w:val="single" w:sz="4" w:space="0" w:color="auto"/>
              <w:right w:val="single" w:sz="4" w:space="0" w:color="auto"/>
            </w:tcBorders>
          </w:tcPr>
          <w:p w:rsidR="00BF34FA" w:rsidRDefault="00BF34FA">
            <w:pPr>
              <w:keepNext/>
              <w:keepLines/>
              <w:jc w:val="center"/>
            </w:pPr>
            <w:r>
              <w:t>IV</w:t>
            </w:r>
          </w:p>
        </w:tc>
        <w:tc>
          <w:tcPr>
            <w:tcW w:w="724" w:type="dxa"/>
            <w:tcBorders>
              <w:bottom w:val="single" w:sz="4" w:space="0" w:color="auto"/>
              <w:right w:val="single" w:sz="4" w:space="0" w:color="auto"/>
            </w:tcBorders>
          </w:tcPr>
          <w:p w:rsidR="00BF34FA" w:rsidRDefault="00BF34FA">
            <w:pPr>
              <w:keepNext/>
              <w:keepLines/>
              <w:jc w:val="center"/>
            </w:pPr>
            <w:r>
              <w:t>V</w:t>
            </w: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rPr>
                <w:sz w:val="16"/>
              </w:rPr>
            </w:pPr>
            <w:r>
              <w:rPr>
                <w:sz w:val="16"/>
              </w:rPr>
              <w:t xml:space="preserve">F = </w:t>
            </w:r>
            <w:r>
              <w:rPr>
                <w:spacing w:val="-8"/>
                <w:sz w:val="16"/>
              </w:rPr>
              <w:t xml:space="preserve"> &lt;2%</w:t>
            </w:r>
          </w:p>
        </w:tc>
      </w:tr>
      <w:tr w:rsidR="00BF34FA">
        <w:trPr>
          <w:cantSplit/>
          <w:trHeight w:val="387"/>
        </w:trPr>
        <w:tc>
          <w:tcPr>
            <w:tcW w:w="645" w:type="dxa"/>
            <w:vMerge/>
            <w:tcBorders>
              <w:left w:val="single" w:sz="4" w:space="0" w:color="auto"/>
              <w:bottom w:val="single" w:sz="4" w:space="0" w:color="auto"/>
              <w:right w:val="single" w:sz="4" w:space="0" w:color="auto"/>
            </w:tcBorders>
          </w:tcPr>
          <w:p w:rsidR="00BF34FA" w:rsidRDefault="00BF34FA">
            <w:pPr>
              <w:keepNext/>
              <w:keepLines/>
            </w:pPr>
          </w:p>
        </w:tc>
        <w:tc>
          <w:tcPr>
            <w:tcW w:w="4069" w:type="dxa"/>
            <w:gridSpan w:val="6"/>
            <w:tcBorders>
              <w:left w:val="single" w:sz="4" w:space="0" w:color="auto"/>
              <w:bottom w:val="single" w:sz="4" w:space="0" w:color="auto"/>
              <w:right w:val="single" w:sz="4" w:space="0" w:color="auto"/>
            </w:tcBorders>
          </w:tcPr>
          <w:p w:rsidR="00BF34FA" w:rsidRDefault="00BF34FA">
            <w:pPr>
              <w:keepNext/>
              <w:keepLines/>
              <w:spacing w:before="40"/>
              <w:jc w:val="center"/>
              <w:rPr>
                <w:b/>
                <w:szCs w:val="22"/>
              </w:rPr>
            </w:pPr>
            <w:r>
              <w:rPr>
                <w:b/>
                <w:szCs w:val="22"/>
              </w:rPr>
              <w:t>Impact</w:t>
            </w:r>
          </w:p>
          <w:p w:rsidR="00BF34FA" w:rsidRDefault="00BF34FA">
            <w:pPr>
              <w:keepNext/>
              <w:keepLines/>
              <w:rPr>
                <w:b/>
                <w:sz w:val="20"/>
              </w:rPr>
            </w:pPr>
          </w:p>
        </w:tc>
        <w:tc>
          <w:tcPr>
            <w:tcW w:w="1508" w:type="dxa"/>
            <w:tcBorders>
              <w:top w:val="nil"/>
              <w:left w:val="single" w:sz="4" w:space="0" w:color="auto"/>
              <w:bottom w:val="nil"/>
              <w:right w:val="nil"/>
            </w:tcBorders>
          </w:tcPr>
          <w:p w:rsidR="00BF34FA" w:rsidRDefault="00BF34FA">
            <w:pPr>
              <w:keepNext/>
              <w:keepLines/>
            </w:pPr>
          </w:p>
        </w:tc>
        <w:tc>
          <w:tcPr>
            <w:tcW w:w="1608" w:type="dxa"/>
            <w:tcBorders>
              <w:top w:val="nil"/>
              <w:left w:val="nil"/>
              <w:bottom w:val="nil"/>
              <w:right w:val="nil"/>
            </w:tcBorders>
          </w:tcPr>
          <w:p w:rsidR="00BF34FA" w:rsidRDefault="00BF34FA">
            <w:pPr>
              <w:keepNext/>
              <w:keepLines/>
            </w:pPr>
          </w:p>
        </w:tc>
      </w:tr>
    </w:tbl>
    <w:p w:rsidR="00BF34FA" w:rsidRDefault="00BF34FA">
      <w:pPr>
        <w:pStyle w:val="Header"/>
        <w:tabs>
          <w:tab w:val="clear" w:pos="4153"/>
          <w:tab w:val="clear" w:pos="8306"/>
          <w:tab w:val="left" w:pos="1260"/>
          <w:tab w:val="left" w:pos="1980"/>
          <w:tab w:val="left" w:pos="2700"/>
          <w:tab w:val="left" w:pos="3420"/>
        </w:tabs>
      </w:pPr>
    </w:p>
    <w:p w:rsidR="00BF34FA" w:rsidRDefault="00B74CB0">
      <w:pPr>
        <w:ind w:left="1276" w:hanging="1276"/>
      </w:pPr>
      <w:r>
        <w:t>7</w:t>
      </w:r>
      <w:r w:rsidR="00BF34FA">
        <w:t>.7</w:t>
      </w:r>
      <w:r w:rsidR="00BF34FA">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B74CB0" w:rsidRDefault="00B74CB0">
      <w:pPr>
        <w:pStyle w:val="Header"/>
        <w:tabs>
          <w:tab w:val="clear" w:pos="4153"/>
          <w:tab w:val="clear" w:pos="8306"/>
          <w:tab w:val="left" w:pos="1260"/>
          <w:tab w:val="left" w:pos="1980"/>
          <w:tab w:val="left" w:pos="2700"/>
          <w:tab w:val="left" w:pos="3420"/>
        </w:tabs>
      </w:pPr>
    </w:p>
    <w:p w:rsidR="00BF34FA" w:rsidRDefault="002F2231">
      <w:pPr>
        <w:keepNext/>
        <w:ind w:left="1267" w:hanging="1267"/>
      </w:pPr>
      <w:r w:rsidRPr="0005394C">
        <w:t>8</w:t>
      </w:r>
      <w:r w:rsidR="00BF34FA" w:rsidRPr="0005394C">
        <w:t>.</w:t>
      </w:r>
      <w:r w:rsidR="00BF34FA">
        <w:fldChar w:fldCharType="begin"/>
      </w:r>
      <w:r w:rsidR="00BF34FA">
        <w:instrText xml:space="preserve">  </w:instrText>
      </w:r>
      <w:r w:rsidR="00BF34FA">
        <w:fldChar w:fldCharType="end"/>
      </w:r>
      <w:r w:rsidR="00BF34FA">
        <w:tab/>
      </w:r>
      <w:r w:rsidR="00BF34FA">
        <w:rPr>
          <w:b/>
        </w:rPr>
        <w:t>Recommendation</w:t>
      </w:r>
      <w:r>
        <w:rPr>
          <w:b/>
        </w:rPr>
        <w:t>s</w:t>
      </w:r>
    </w:p>
    <w:p w:rsidR="00BF34FA" w:rsidRDefault="00BF34FA">
      <w:pPr>
        <w:keepNext/>
        <w:ind w:left="1267" w:hanging="1267"/>
      </w:pPr>
    </w:p>
    <w:p w:rsidR="002E11D6" w:rsidRDefault="002F2231" w:rsidP="00AD462F">
      <w:pPr>
        <w:ind w:left="1260" w:hanging="1260"/>
      </w:pPr>
      <w:r>
        <w:t>8</w:t>
      </w:r>
      <w:r w:rsidR="00BF34FA">
        <w:t>.1</w:t>
      </w:r>
      <w:r w:rsidR="00BF34FA">
        <w:tab/>
      </w:r>
      <w:r w:rsidR="00CA0877">
        <w:t>That the Committee agree the following recommendations</w:t>
      </w:r>
      <w:r w:rsidR="0041549D">
        <w:t>:</w:t>
      </w:r>
    </w:p>
    <w:p w:rsidR="0041549D" w:rsidRPr="00AA720A" w:rsidRDefault="0041549D" w:rsidP="0022546A">
      <w:pPr>
        <w:rPr>
          <w:rFonts w:cs="Arial"/>
          <w:bCs/>
        </w:rPr>
      </w:pPr>
    </w:p>
    <w:p w:rsidR="0022546A" w:rsidRDefault="0041549D" w:rsidP="0022546A">
      <w:pPr>
        <w:pStyle w:val="ListParagraph"/>
        <w:numPr>
          <w:ilvl w:val="0"/>
          <w:numId w:val="37"/>
        </w:numPr>
        <w:rPr>
          <w:rFonts w:cs="Arial"/>
          <w:bCs/>
        </w:rPr>
      </w:pPr>
      <w:r w:rsidRPr="0022546A">
        <w:rPr>
          <w:rFonts w:cs="Arial"/>
          <w:bCs/>
        </w:rPr>
        <w:t>To increase the price of all</w:t>
      </w:r>
      <w:r w:rsidR="0022546A">
        <w:rPr>
          <w:rFonts w:cs="Arial"/>
          <w:bCs/>
        </w:rPr>
        <w:t xml:space="preserve"> suspensions to £30 per vehicle per day from 1 December 2016</w:t>
      </w:r>
    </w:p>
    <w:p w:rsidR="0022546A" w:rsidRDefault="0022546A" w:rsidP="0022546A">
      <w:pPr>
        <w:rPr>
          <w:rFonts w:cs="Arial"/>
          <w:bCs/>
        </w:rPr>
      </w:pPr>
    </w:p>
    <w:p w:rsidR="0022546A" w:rsidRDefault="0022546A" w:rsidP="0022546A">
      <w:pPr>
        <w:pStyle w:val="ListParagraph"/>
        <w:numPr>
          <w:ilvl w:val="0"/>
          <w:numId w:val="37"/>
        </w:numPr>
        <w:rPr>
          <w:rFonts w:cs="Arial"/>
          <w:bCs/>
        </w:rPr>
      </w:pPr>
      <w:r>
        <w:rPr>
          <w:rFonts w:cs="Arial"/>
          <w:bCs/>
        </w:rPr>
        <w:t xml:space="preserve">To cease the issue of </w:t>
      </w:r>
      <w:r w:rsidR="00B544A8">
        <w:rPr>
          <w:rFonts w:cs="Arial"/>
          <w:bCs/>
        </w:rPr>
        <w:t>the existing annual Pay and Display permit</w:t>
      </w:r>
      <w:r>
        <w:rPr>
          <w:rFonts w:cs="Arial"/>
          <w:bCs/>
        </w:rPr>
        <w:t xml:space="preserve"> with immediate effect.</w:t>
      </w:r>
    </w:p>
    <w:p w:rsidR="003012F3" w:rsidRPr="003012F3" w:rsidRDefault="003012F3" w:rsidP="003012F3">
      <w:pPr>
        <w:rPr>
          <w:rFonts w:cs="Arial"/>
          <w:bCs/>
        </w:rPr>
      </w:pPr>
    </w:p>
    <w:p w:rsidR="002E11D6" w:rsidRPr="003012F3" w:rsidRDefault="003012F3" w:rsidP="003012F3">
      <w:pPr>
        <w:pStyle w:val="ListParagraph"/>
        <w:numPr>
          <w:ilvl w:val="0"/>
          <w:numId w:val="37"/>
        </w:numPr>
        <w:rPr>
          <w:rFonts w:cs="Arial"/>
          <w:bCs/>
        </w:rPr>
      </w:pPr>
      <w:r w:rsidRPr="003012F3">
        <w:rPr>
          <w:szCs w:val="22"/>
        </w:rPr>
        <w:t xml:space="preserve">To continue to review the </w:t>
      </w:r>
      <w:r>
        <w:rPr>
          <w:szCs w:val="22"/>
        </w:rPr>
        <w:t xml:space="preserve">annual </w:t>
      </w:r>
      <w:r w:rsidRPr="003012F3">
        <w:rPr>
          <w:szCs w:val="22"/>
        </w:rPr>
        <w:t>Pay and Display permits</w:t>
      </w:r>
    </w:p>
    <w:p w:rsidR="002E11D6" w:rsidDel="002E11D6" w:rsidRDefault="002E11D6" w:rsidP="00E6451C"/>
    <w:p w:rsidR="00A92FF7" w:rsidRDefault="009D23F2" w:rsidP="00E6451C">
      <w:pPr>
        <w:ind w:left="1980" w:hanging="1980"/>
        <w:rPr>
          <w:color w:val="000000"/>
        </w:rPr>
      </w:pPr>
      <w:r>
        <w:tab/>
      </w:r>
      <w:r w:rsidR="002E11D6">
        <w:t>R</w:t>
      </w:r>
      <w:r w:rsidR="00BF34FA">
        <w:t>eport prepared by:</w:t>
      </w:r>
      <w:r w:rsidR="00BF34FA" w:rsidRPr="00497CDE">
        <w:rPr>
          <w:color w:val="000000"/>
        </w:rPr>
        <w:tab/>
      </w:r>
      <w:r w:rsidR="002E11D6">
        <w:rPr>
          <w:color w:val="000000"/>
        </w:rPr>
        <w:t xml:space="preserve"> </w:t>
      </w:r>
      <w:r w:rsidR="00BF34FA" w:rsidRPr="00497CDE">
        <w:rPr>
          <w:color w:val="000000"/>
        </w:rPr>
        <w:fldChar w:fldCharType="begin"/>
      </w:r>
      <w:r w:rsidR="00BF34FA" w:rsidRPr="00497CDE">
        <w:rPr>
          <w:color w:val="000000"/>
        </w:rPr>
        <w:instrText xml:space="preserve">  </w:instrText>
      </w:r>
      <w:r w:rsidR="00BF34FA" w:rsidRPr="00497CDE">
        <w:rPr>
          <w:color w:val="000000"/>
        </w:rPr>
        <w:fldChar w:fldCharType="end"/>
      </w:r>
      <w:r w:rsidR="00A92FF7">
        <w:rPr>
          <w:color w:val="000000"/>
        </w:rPr>
        <w:t>Kimberley Rowley</w:t>
      </w:r>
      <w:r w:rsidR="00FE613B">
        <w:rPr>
          <w:color w:val="000000"/>
        </w:rPr>
        <w:t xml:space="preserve">, </w:t>
      </w:r>
      <w:r w:rsidR="00A92FF7">
        <w:rPr>
          <w:color w:val="000000"/>
        </w:rPr>
        <w:t>Head of Regulatory Services</w:t>
      </w:r>
    </w:p>
    <w:p w:rsidR="00A92FF7" w:rsidRDefault="00A92FF7">
      <w:pPr>
        <w:rPr>
          <w:color w:val="000000"/>
        </w:rPr>
      </w:pPr>
    </w:p>
    <w:p w:rsidR="00BF34FA" w:rsidRDefault="00BF34FA" w:rsidP="00497CDE">
      <w:pPr>
        <w:keepNext/>
        <w:keepLines/>
        <w:ind w:left="1267" w:hanging="1267"/>
        <w:outlineLvl w:val="0"/>
      </w:pPr>
      <w:r>
        <w:tab/>
      </w:r>
      <w:r>
        <w:rPr>
          <w:b/>
        </w:rPr>
        <w:t>Data Quality</w:t>
      </w:r>
    </w:p>
    <w:p w:rsidR="00BF34FA" w:rsidRDefault="00BF34FA" w:rsidP="00497CDE">
      <w:pPr>
        <w:ind w:left="1260" w:hanging="1260"/>
      </w:pPr>
      <w:r>
        <w:fldChar w:fldCharType="begin"/>
      </w:r>
      <w:r>
        <w:instrText xml:space="preserve"> ASK   \* MERGEFORMAT </w:instrText>
      </w:r>
      <w:r>
        <w:fldChar w:fldCharType="end"/>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F34FA" w:rsidTr="00BF34FA">
        <w:trPr>
          <w:trHeight w:hRule="exact" w:val="346"/>
        </w:trPr>
        <w:tc>
          <w:tcPr>
            <w:tcW w:w="392" w:type="dxa"/>
            <w:vAlign w:val="center"/>
          </w:tcPr>
          <w:p w:rsidR="00BF34FA" w:rsidRDefault="00BF34FA" w:rsidP="00BF34FA">
            <w:pPr>
              <w:keepNext/>
              <w:keepLines/>
            </w:pPr>
            <w:r>
              <w:t>1</w:t>
            </w:r>
          </w:p>
        </w:tc>
        <w:tc>
          <w:tcPr>
            <w:tcW w:w="1276" w:type="dxa"/>
            <w:vAlign w:val="center"/>
          </w:tcPr>
          <w:p w:rsidR="00BF34FA" w:rsidRDefault="00BF34FA" w:rsidP="00BF34FA">
            <w:pPr>
              <w:keepNext/>
              <w:keepLines/>
            </w:pPr>
            <w:r>
              <w:t>Poor</w:t>
            </w:r>
          </w:p>
        </w:tc>
        <w:tc>
          <w:tcPr>
            <w:tcW w:w="492" w:type="dxa"/>
            <w:vAlign w:val="center"/>
          </w:tcPr>
          <w:p w:rsidR="00BF34FA" w:rsidRDefault="00BF34FA" w:rsidP="00BF34FA">
            <w:pPr>
              <w:keepNext/>
              <w:keepLines/>
              <w:jc w:val="center"/>
            </w:pPr>
          </w:p>
        </w:tc>
      </w:tr>
      <w:tr w:rsidR="00BF34FA" w:rsidTr="00BF34FA">
        <w:trPr>
          <w:trHeight w:hRule="exact" w:val="346"/>
        </w:trPr>
        <w:tc>
          <w:tcPr>
            <w:tcW w:w="392" w:type="dxa"/>
            <w:vAlign w:val="center"/>
          </w:tcPr>
          <w:p w:rsidR="00BF34FA" w:rsidRDefault="00BF34FA" w:rsidP="00BF34FA">
            <w:pPr>
              <w:keepNext/>
              <w:keepLines/>
            </w:pPr>
            <w:r>
              <w:t>2</w:t>
            </w:r>
          </w:p>
        </w:tc>
        <w:tc>
          <w:tcPr>
            <w:tcW w:w="1276" w:type="dxa"/>
            <w:vAlign w:val="center"/>
          </w:tcPr>
          <w:p w:rsidR="00BF34FA" w:rsidRDefault="00BF34FA" w:rsidP="00BF34FA">
            <w:pPr>
              <w:keepNext/>
              <w:keepLines/>
            </w:pPr>
            <w:r>
              <w:t>Sufficient</w:t>
            </w:r>
          </w:p>
        </w:tc>
        <w:tc>
          <w:tcPr>
            <w:tcW w:w="492" w:type="dxa"/>
            <w:vAlign w:val="center"/>
          </w:tcPr>
          <w:p w:rsidR="00BF34FA" w:rsidRDefault="00497CDE" w:rsidP="00BF34FA">
            <w:pPr>
              <w:keepNext/>
              <w:keepLines/>
              <w:jc w:val="center"/>
            </w:pPr>
            <w:r>
              <w:t>x</w:t>
            </w:r>
          </w:p>
        </w:tc>
      </w:tr>
      <w:tr w:rsidR="00BF34FA" w:rsidTr="00BF34FA">
        <w:trPr>
          <w:trHeight w:hRule="exact" w:val="346"/>
        </w:trPr>
        <w:tc>
          <w:tcPr>
            <w:tcW w:w="392" w:type="dxa"/>
            <w:vAlign w:val="center"/>
          </w:tcPr>
          <w:p w:rsidR="00BF34FA" w:rsidRDefault="00BF34FA" w:rsidP="00BF34FA">
            <w:pPr>
              <w:keepNext/>
              <w:keepLines/>
            </w:pPr>
            <w:r>
              <w:t>3</w:t>
            </w:r>
          </w:p>
        </w:tc>
        <w:tc>
          <w:tcPr>
            <w:tcW w:w="1276" w:type="dxa"/>
            <w:vAlign w:val="center"/>
          </w:tcPr>
          <w:p w:rsidR="00BF34FA" w:rsidRDefault="00BF34FA" w:rsidP="00BF34FA">
            <w:pPr>
              <w:keepNext/>
              <w:keepLines/>
            </w:pPr>
            <w:r>
              <w:t>High</w:t>
            </w:r>
          </w:p>
        </w:tc>
        <w:tc>
          <w:tcPr>
            <w:tcW w:w="492" w:type="dxa"/>
            <w:vAlign w:val="center"/>
          </w:tcPr>
          <w:p w:rsidR="00BF34FA" w:rsidRDefault="00BF34FA" w:rsidP="00BF34FA">
            <w:pPr>
              <w:keepNext/>
              <w:keepLines/>
              <w:jc w:val="center"/>
            </w:pPr>
          </w:p>
        </w:tc>
      </w:tr>
    </w:tbl>
    <w:p w:rsidR="00BF34FA" w:rsidRDefault="00BF34FA">
      <w:pPr>
        <w:ind w:left="1253" w:hanging="1253"/>
      </w:pPr>
    </w:p>
    <w:sectPr w:rsidR="00BF34FA">
      <w:headerReference w:type="default" r:id="rId8"/>
      <w:footerReference w:type="default" r:id="rId9"/>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73" w:rsidRDefault="00E50473">
      <w:r>
        <w:separator/>
      </w:r>
    </w:p>
  </w:endnote>
  <w:endnote w:type="continuationSeparator" w:id="0">
    <w:p w:rsidR="00E50473" w:rsidRDefault="00E5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90" w:rsidRDefault="00043490">
    <w:pPr>
      <w:pStyle w:val="Footer"/>
      <w:tabs>
        <w:tab w:val="clear" w:pos="4153"/>
        <w:tab w:val="clear" w:pos="8306"/>
        <w:tab w:val="center" w:pos="4680"/>
        <w:tab w:val="right" w:pos="9090"/>
      </w:tabs>
      <w:rPr>
        <w:sz w:val="16"/>
      </w:rPr>
    </w:pPr>
  </w:p>
  <w:p w:rsidR="00043490" w:rsidRPr="00B84728" w:rsidRDefault="00043490" w:rsidP="002F2231">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73" w:rsidRDefault="00E50473">
      <w:r>
        <w:separator/>
      </w:r>
    </w:p>
  </w:footnote>
  <w:footnote w:type="continuationSeparator" w:id="0">
    <w:p w:rsidR="00E50473" w:rsidRDefault="00E5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6C" w:rsidRDefault="0085786C">
    <w:pPr>
      <w:pStyle w:val="Header"/>
    </w:pPr>
    <w:r>
      <w:tab/>
    </w:r>
    <w:r>
      <w:tab/>
      <w:t>REVISED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F23"/>
    <w:multiLevelType w:val="multilevel"/>
    <w:tmpl w:val="B26C527E"/>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18F7CCE"/>
    <w:multiLevelType w:val="hybridMultilevel"/>
    <w:tmpl w:val="1DF6CF26"/>
    <w:lvl w:ilvl="0" w:tplc="FF0AB6B0">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
    <w:nsid w:val="02ED609E"/>
    <w:multiLevelType w:val="hybridMultilevel"/>
    <w:tmpl w:val="B9EE5E7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
    <w:nsid w:val="0A631D26"/>
    <w:multiLevelType w:val="hybridMultilevel"/>
    <w:tmpl w:val="876CD754"/>
    <w:lvl w:ilvl="0" w:tplc="F01274A0">
      <w:start w:val="1"/>
      <w:numFmt w:val="lowerRoman"/>
      <w:lvlText w:val="%1)"/>
      <w:lvlJc w:val="left"/>
      <w:pPr>
        <w:ind w:left="1572" w:hanging="720"/>
      </w:pPr>
      <w:rPr>
        <w:rFonts w:hint="default"/>
        <w:sz w:val="22"/>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4">
    <w:nsid w:val="0D7A3885"/>
    <w:multiLevelType w:val="multilevel"/>
    <w:tmpl w:val="05607A9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7064DC"/>
    <w:multiLevelType w:val="hybridMultilevel"/>
    <w:tmpl w:val="31C016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179F625B"/>
    <w:multiLevelType w:val="multilevel"/>
    <w:tmpl w:val="F54271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15A56"/>
    <w:multiLevelType w:val="hybridMultilevel"/>
    <w:tmpl w:val="BD562C92"/>
    <w:lvl w:ilvl="0" w:tplc="FF0AB6B0">
      <w:numFmt w:val="bullet"/>
      <w:lvlText w:val="-"/>
      <w:lvlJc w:val="left"/>
      <w:pPr>
        <w:ind w:left="1635"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CF3125"/>
    <w:multiLevelType w:val="hybridMultilevel"/>
    <w:tmpl w:val="3B6AC40E"/>
    <w:lvl w:ilvl="0" w:tplc="AD1A3DB8">
      <w:start w:val="1"/>
      <w:numFmt w:val="decimal"/>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9">
    <w:nsid w:val="26B34BA1"/>
    <w:multiLevelType w:val="singleLevel"/>
    <w:tmpl w:val="38D801C0"/>
    <w:lvl w:ilvl="0">
      <w:start w:val="1"/>
      <w:numFmt w:val="decimal"/>
      <w:lvlText w:val="%1."/>
      <w:lvlJc w:val="left"/>
      <w:pPr>
        <w:tabs>
          <w:tab w:val="num" w:pos="720"/>
        </w:tabs>
        <w:ind w:left="720" w:hanging="720"/>
      </w:pPr>
    </w:lvl>
  </w:abstractNum>
  <w:abstractNum w:abstractNumId="10">
    <w:nsid w:val="27F349DB"/>
    <w:multiLevelType w:val="multilevel"/>
    <w:tmpl w:val="4E3A8F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C5B515D"/>
    <w:multiLevelType w:val="hybridMultilevel"/>
    <w:tmpl w:val="6898F742"/>
    <w:lvl w:ilvl="0" w:tplc="2432DD82">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2">
    <w:nsid w:val="31844F1E"/>
    <w:multiLevelType w:val="multilevel"/>
    <w:tmpl w:val="EE80634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931ECE"/>
    <w:multiLevelType w:val="hybridMultilevel"/>
    <w:tmpl w:val="0428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D3D14"/>
    <w:multiLevelType w:val="hybridMultilevel"/>
    <w:tmpl w:val="B6741F7E"/>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15">
    <w:nsid w:val="387E71F8"/>
    <w:multiLevelType w:val="hybridMultilevel"/>
    <w:tmpl w:val="A2205514"/>
    <w:lvl w:ilvl="0" w:tplc="756C37A2">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nsid w:val="389E3B2C"/>
    <w:multiLevelType w:val="hybridMultilevel"/>
    <w:tmpl w:val="B0D68EB0"/>
    <w:lvl w:ilvl="0" w:tplc="FF0AB6B0">
      <w:numFmt w:val="bullet"/>
      <w:lvlText w:val="-"/>
      <w:lvlJc w:val="left"/>
      <w:pPr>
        <w:ind w:left="1635"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1335AA"/>
    <w:multiLevelType w:val="hybridMultilevel"/>
    <w:tmpl w:val="F57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B07A5A"/>
    <w:multiLevelType w:val="hybridMultilevel"/>
    <w:tmpl w:val="F9CE03A2"/>
    <w:lvl w:ilvl="0" w:tplc="C062F2EC">
      <w:start w:val="3"/>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9">
    <w:nsid w:val="47E55F12"/>
    <w:multiLevelType w:val="hybridMultilevel"/>
    <w:tmpl w:val="EB9A2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AA43005"/>
    <w:multiLevelType w:val="hybridMultilevel"/>
    <w:tmpl w:val="EDB8315C"/>
    <w:lvl w:ilvl="0" w:tplc="C062F2EC">
      <w:start w:val="3"/>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E1805"/>
    <w:multiLevelType w:val="hybridMultilevel"/>
    <w:tmpl w:val="D33AF470"/>
    <w:lvl w:ilvl="0" w:tplc="B71424B6">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
    <w:nsid w:val="4CB92568"/>
    <w:multiLevelType w:val="multilevel"/>
    <w:tmpl w:val="236A0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865C42"/>
    <w:multiLevelType w:val="hybridMultilevel"/>
    <w:tmpl w:val="4378CF72"/>
    <w:lvl w:ilvl="0" w:tplc="0809000F">
      <w:start w:val="1"/>
      <w:numFmt w:val="decimal"/>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24">
    <w:nsid w:val="4EFC5985"/>
    <w:multiLevelType w:val="hybridMultilevel"/>
    <w:tmpl w:val="105E25BE"/>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start w:val="1"/>
      <w:numFmt w:val="bullet"/>
      <w:lvlText w:val=""/>
      <w:lvlJc w:val="left"/>
      <w:pPr>
        <w:ind w:left="3436" w:hanging="360"/>
      </w:pPr>
      <w:rPr>
        <w:rFonts w:ascii="Wingdings" w:hAnsi="Wingdings" w:hint="default"/>
      </w:rPr>
    </w:lvl>
    <w:lvl w:ilvl="3" w:tplc="08090001">
      <w:start w:val="1"/>
      <w:numFmt w:val="bullet"/>
      <w:lvlText w:val=""/>
      <w:lvlJc w:val="left"/>
      <w:pPr>
        <w:ind w:left="4156" w:hanging="360"/>
      </w:pPr>
      <w:rPr>
        <w:rFonts w:ascii="Symbol" w:hAnsi="Symbol" w:hint="default"/>
      </w:rPr>
    </w:lvl>
    <w:lvl w:ilvl="4" w:tplc="08090003">
      <w:start w:val="1"/>
      <w:numFmt w:val="bullet"/>
      <w:lvlText w:val="o"/>
      <w:lvlJc w:val="left"/>
      <w:pPr>
        <w:ind w:left="4876" w:hanging="360"/>
      </w:pPr>
      <w:rPr>
        <w:rFonts w:ascii="Courier New" w:hAnsi="Courier New" w:cs="Courier New" w:hint="default"/>
      </w:rPr>
    </w:lvl>
    <w:lvl w:ilvl="5" w:tplc="08090005">
      <w:start w:val="1"/>
      <w:numFmt w:val="bullet"/>
      <w:lvlText w:val=""/>
      <w:lvlJc w:val="left"/>
      <w:pPr>
        <w:ind w:left="5596" w:hanging="360"/>
      </w:pPr>
      <w:rPr>
        <w:rFonts w:ascii="Wingdings" w:hAnsi="Wingdings" w:hint="default"/>
      </w:rPr>
    </w:lvl>
    <w:lvl w:ilvl="6" w:tplc="08090001">
      <w:start w:val="1"/>
      <w:numFmt w:val="bullet"/>
      <w:lvlText w:val=""/>
      <w:lvlJc w:val="left"/>
      <w:pPr>
        <w:ind w:left="6316" w:hanging="360"/>
      </w:pPr>
      <w:rPr>
        <w:rFonts w:ascii="Symbol" w:hAnsi="Symbol" w:hint="default"/>
      </w:rPr>
    </w:lvl>
    <w:lvl w:ilvl="7" w:tplc="08090003">
      <w:start w:val="1"/>
      <w:numFmt w:val="bullet"/>
      <w:lvlText w:val="o"/>
      <w:lvlJc w:val="left"/>
      <w:pPr>
        <w:ind w:left="7036" w:hanging="360"/>
      </w:pPr>
      <w:rPr>
        <w:rFonts w:ascii="Courier New" w:hAnsi="Courier New" w:cs="Courier New" w:hint="default"/>
      </w:rPr>
    </w:lvl>
    <w:lvl w:ilvl="8" w:tplc="08090005">
      <w:start w:val="1"/>
      <w:numFmt w:val="bullet"/>
      <w:lvlText w:val=""/>
      <w:lvlJc w:val="left"/>
      <w:pPr>
        <w:ind w:left="7756" w:hanging="360"/>
      </w:pPr>
      <w:rPr>
        <w:rFonts w:ascii="Wingdings" w:hAnsi="Wingdings" w:hint="default"/>
      </w:rPr>
    </w:lvl>
  </w:abstractNum>
  <w:abstractNum w:abstractNumId="25">
    <w:nsid w:val="512251B7"/>
    <w:multiLevelType w:val="multilevel"/>
    <w:tmpl w:val="3140F27E"/>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CA7AB4"/>
    <w:multiLevelType w:val="hybridMultilevel"/>
    <w:tmpl w:val="1C7C3036"/>
    <w:lvl w:ilvl="0" w:tplc="932A1E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E860307"/>
    <w:multiLevelType w:val="multilevel"/>
    <w:tmpl w:val="839460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EE69AB"/>
    <w:multiLevelType w:val="multilevel"/>
    <w:tmpl w:val="4ED25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8A6462"/>
    <w:multiLevelType w:val="multilevel"/>
    <w:tmpl w:val="82D6AF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6244EB3"/>
    <w:multiLevelType w:val="hybridMultilevel"/>
    <w:tmpl w:val="D65C3C2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64F4131"/>
    <w:multiLevelType w:val="hybridMultilevel"/>
    <w:tmpl w:val="5D38AC7C"/>
    <w:lvl w:ilvl="0" w:tplc="08090001">
      <w:start w:val="1"/>
      <w:numFmt w:val="bullet"/>
      <w:lvlText w:val=""/>
      <w:lvlJc w:val="left"/>
      <w:pPr>
        <w:ind w:left="1993" w:hanging="360"/>
      </w:pPr>
      <w:rPr>
        <w:rFonts w:ascii="Symbol" w:hAnsi="Symbol" w:hint="default"/>
      </w:rPr>
    </w:lvl>
    <w:lvl w:ilvl="1" w:tplc="08090003">
      <w:start w:val="1"/>
      <w:numFmt w:val="bullet"/>
      <w:lvlText w:val="o"/>
      <w:lvlJc w:val="left"/>
      <w:pPr>
        <w:ind w:left="2713" w:hanging="360"/>
      </w:pPr>
      <w:rPr>
        <w:rFonts w:ascii="Courier New" w:hAnsi="Courier New" w:cs="Courier New" w:hint="default"/>
      </w:rPr>
    </w:lvl>
    <w:lvl w:ilvl="2" w:tplc="08090005">
      <w:start w:val="1"/>
      <w:numFmt w:val="bullet"/>
      <w:lvlText w:val=""/>
      <w:lvlJc w:val="left"/>
      <w:pPr>
        <w:ind w:left="3433" w:hanging="360"/>
      </w:pPr>
      <w:rPr>
        <w:rFonts w:ascii="Wingdings" w:hAnsi="Wingdings" w:hint="default"/>
      </w:rPr>
    </w:lvl>
    <w:lvl w:ilvl="3" w:tplc="08090001">
      <w:start w:val="1"/>
      <w:numFmt w:val="bullet"/>
      <w:lvlText w:val=""/>
      <w:lvlJc w:val="left"/>
      <w:pPr>
        <w:ind w:left="4153" w:hanging="360"/>
      </w:pPr>
      <w:rPr>
        <w:rFonts w:ascii="Symbol" w:hAnsi="Symbol" w:hint="default"/>
      </w:rPr>
    </w:lvl>
    <w:lvl w:ilvl="4" w:tplc="08090003">
      <w:start w:val="1"/>
      <w:numFmt w:val="bullet"/>
      <w:lvlText w:val="o"/>
      <w:lvlJc w:val="left"/>
      <w:pPr>
        <w:ind w:left="4873" w:hanging="360"/>
      </w:pPr>
      <w:rPr>
        <w:rFonts w:ascii="Courier New" w:hAnsi="Courier New" w:cs="Courier New" w:hint="default"/>
      </w:rPr>
    </w:lvl>
    <w:lvl w:ilvl="5" w:tplc="08090005">
      <w:start w:val="1"/>
      <w:numFmt w:val="bullet"/>
      <w:lvlText w:val=""/>
      <w:lvlJc w:val="left"/>
      <w:pPr>
        <w:ind w:left="5593" w:hanging="360"/>
      </w:pPr>
      <w:rPr>
        <w:rFonts w:ascii="Wingdings" w:hAnsi="Wingdings" w:hint="default"/>
      </w:rPr>
    </w:lvl>
    <w:lvl w:ilvl="6" w:tplc="08090001">
      <w:start w:val="1"/>
      <w:numFmt w:val="bullet"/>
      <w:lvlText w:val=""/>
      <w:lvlJc w:val="left"/>
      <w:pPr>
        <w:ind w:left="6313" w:hanging="360"/>
      </w:pPr>
      <w:rPr>
        <w:rFonts w:ascii="Symbol" w:hAnsi="Symbol" w:hint="default"/>
      </w:rPr>
    </w:lvl>
    <w:lvl w:ilvl="7" w:tplc="08090003">
      <w:start w:val="1"/>
      <w:numFmt w:val="bullet"/>
      <w:lvlText w:val="o"/>
      <w:lvlJc w:val="left"/>
      <w:pPr>
        <w:ind w:left="7033" w:hanging="360"/>
      </w:pPr>
      <w:rPr>
        <w:rFonts w:ascii="Courier New" w:hAnsi="Courier New" w:cs="Courier New" w:hint="default"/>
      </w:rPr>
    </w:lvl>
    <w:lvl w:ilvl="8" w:tplc="08090005">
      <w:start w:val="1"/>
      <w:numFmt w:val="bullet"/>
      <w:lvlText w:val=""/>
      <w:lvlJc w:val="left"/>
      <w:pPr>
        <w:ind w:left="7753" w:hanging="360"/>
      </w:pPr>
      <w:rPr>
        <w:rFonts w:ascii="Wingdings" w:hAnsi="Wingdings" w:hint="default"/>
      </w:rPr>
    </w:lvl>
  </w:abstractNum>
  <w:abstractNum w:abstractNumId="32">
    <w:nsid w:val="6A5B6B5F"/>
    <w:multiLevelType w:val="multilevel"/>
    <w:tmpl w:val="D362D2D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D30128E"/>
    <w:multiLevelType w:val="hybridMultilevel"/>
    <w:tmpl w:val="4D121156"/>
    <w:lvl w:ilvl="0" w:tplc="6ADC0334">
      <w:start w:val="1"/>
      <w:numFmt w:val="lowerRoman"/>
      <w:lvlText w:val="%1)"/>
      <w:lvlJc w:val="left"/>
      <w:pPr>
        <w:ind w:left="2750" w:hanging="720"/>
      </w:pPr>
      <w:rPr>
        <w:rFonts w:hint="default"/>
      </w:rPr>
    </w:lvl>
    <w:lvl w:ilvl="1" w:tplc="08090019" w:tentative="1">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34">
    <w:nsid w:val="73570F80"/>
    <w:multiLevelType w:val="multilevel"/>
    <w:tmpl w:val="B26C527E"/>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5">
    <w:nsid w:val="7B3146EC"/>
    <w:multiLevelType w:val="hybridMultilevel"/>
    <w:tmpl w:val="75A010DA"/>
    <w:lvl w:ilvl="0" w:tplc="01DCBA2A">
      <w:start w:val="1"/>
      <w:numFmt w:val="lowerRoman"/>
      <w:lvlText w:val="%1)"/>
      <w:lvlJc w:val="left"/>
      <w:pPr>
        <w:ind w:left="3144" w:hanging="720"/>
      </w:pPr>
      <w:rPr>
        <w:rFonts w:hint="default"/>
        <w:sz w:val="22"/>
      </w:rPr>
    </w:lvl>
    <w:lvl w:ilvl="1" w:tplc="08090019" w:tentative="1">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36">
    <w:nsid w:val="7BDF76AF"/>
    <w:multiLevelType w:val="hybridMultilevel"/>
    <w:tmpl w:val="80B0843E"/>
    <w:lvl w:ilvl="0" w:tplc="A228858A">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2"/>
  </w:num>
  <w:num w:numId="3">
    <w:abstractNumId w:val="8"/>
  </w:num>
  <w:num w:numId="4">
    <w:abstractNumId w:val="18"/>
  </w:num>
  <w:num w:numId="5">
    <w:abstractNumId w:val="20"/>
  </w:num>
  <w:num w:numId="6">
    <w:abstractNumId w:val="25"/>
  </w:num>
  <w:num w:numId="7">
    <w:abstractNumId w:val="30"/>
  </w:num>
  <w:num w:numId="8">
    <w:abstractNumId w:val="14"/>
  </w:num>
  <w:num w:numId="9">
    <w:abstractNumId w:val="23"/>
  </w:num>
  <w:num w:numId="10">
    <w:abstractNumId w:val="1"/>
  </w:num>
  <w:num w:numId="11">
    <w:abstractNumId w:val="16"/>
  </w:num>
  <w:num w:numId="12">
    <w:abstractNumId w:val="7"/>
  </w:num>
  <w:num w:numId="13">
    <w:abstractNumId w:val="13"/>
  </w:num>
  <w:num w:numId="14">
    <w:abstractNumId w:val="9"/>
    <w:lvlOverride w:ilvl="0">
      <w:startOverride w:val="1"/>
    </w:lvlOverride>
  </w:num>
  <w:num w:numId="15">
    <w:abstractNumId w:val="22"/>
  </w:num>
  <w:num w:numId="16">
    <w:abstractNumId w:val="0"/>
  </w:num>
  <w:num w:numId="17">
    <w:abstractNumId w:val="21"/>
  </w:num>
  <w:num w:numId="18">
    <w:abstractNumId w:val="29"/>
  </w:num>
  <w:num w:numId="19">
    <w:abstractNumId w:val="35"/>
  </w:num>
  <w:num w:numId="20">
    <w:abstractNumId w:val="27"/>
  </w:num>
  <w:num w:numId="21">
    <w:abstractNumId w:val="12"/>
  </w:num>
  <w:num w:numId="22">
    <w:abstractNumId w:val="6"/>
  </w:num>
  <w:num w:numId="23">
    <w:abstractNumId w:val="4"/>
  </w:num>
  <w:num w:numId="24">
    <w:abstractNumId w:val="10"/>
  </w:num>
  <w:num w:numId="25">
    <w:abstractNumId w:val="36"/>
  </w:num>
  <w:num w:numId="26">
    <w:abstractNumId w:val="3"/>
  </w:num>
  <w:num w:numId="27">
    <w:abstractNumId w:val="28"/>
  </w:num>
  <w:num w:numId="28">
    <w:abstractNumId w:val="33"/>
  </w:num>
  <w:num w:numId="29">
    <w:abstractNumId w:val="15"/>
  </w:num>
  <w:num w:numId="30">
    <w:abstractNumId w:val="26"/>
  </w:num>
  <w:num w:numId="31">
    <w:abstractNumId w:val="2"/>
  </w:num>
  <w:num w:numId="32">
    <w:abstractNumId w:val="5"/>
  </w:num>
  <w:num w:numId="33">
    <w:abstractNumId w:val="19"/>
  </w:num>
  <w:num w:numId="34">
    <w:abstractNumId w:val="34"/>
  </w:num>
  <w:num w:numId="35">
    <w:abstractNumId w:val="24"/>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15C63"/>
    <w:rsid w:val="000179B0"/>
    <w:rsid w:val="00021FF5"/>
    <w:rsid w:val="00040F36"/>
    <w:rsid w:val="00042D33"/>
    <w:rsid w:val="000431C7"/>
    <w:rsid w:val="00043490"/>
    <w:rsid w:val="00045006"/>
    <w:rsid w:val="00046217"/>
    <w:rsid w:val="00046558"/>
    <w:rsid w:val="00050542"/>
    <w:rsid w:val="0005394C"/>
    <w:rsid w:val="00064CFC"/>
    <w:rsid w:val="00067C3A"/>
    <w:rsid w:val="000926F4"/>
    <w:rsid w:val="000943CF"/>
    <w:rsid w:val="000A3061"/>
    <w:rsid w:val="000A64EF"/>
    <w:rsid w:val="000A7AFD"/>
    <w:rsid w:val="000B50E3"/>
    <w:rsid w:val="000B589C"/>
    <w:rsid w:val="000D02FE"/>
    <w:rsid w:val="000D1B8E"/>
    <w:rsid w:val="000D2119"/>
    <w:rsid w:val="000E6033"/>
    <w:rsid w:val="000F125A"/>
    <w:rsid w:val="001026EA"/>
    <w:rsid w:val="00103CC2"/>
    <w:rsid w:val="001072EC"/>
    <w:rsid w:val="00111C34"/>
    <w:rsid w:val="00112CD3"/>
    <w:rsid w:val="00121750"/>
    <w:rsid w:val="00133B87"/>
    <w:rsid w:val="00142BD5"/>
    <w:rsid w:val="00145950"/>
    <w:rsid w:val="00152767"/>
    <w:rsid w:val="00162879"/>
    <w:rsid w:val="0017277F"/>
    <w:rsid w:val="00185683"/>
    <w:rsid w:val="00187F34"/>
    <w:rsid w:val="001922A0"/>
    <w:rsid w:val="001A084E"/>
    <w:rsid w:val="001A20EC"/>
    <w:rsid w:val="001A713C"/>
    <w:rsid w:val="001B40AC"/>
    <w:rsid w:val="001C79FC"/>
    <w:rsid w:val="001D5FB1"/>
    <w:rsid w:val="001E10FE"/>
    <w:rsid w:val="001E22E9"/>
    <w:rsid w:val="001E26BF"/>
    <w:rsid w:val="001E4612"/>
    <w:rsid w:val="001F4D1C"/>
    <w:rsid w:val="001F59B8"/>
    <w:rsid w:val="001F7B4D"/>
    <w:rsid w:val="00205548"/>
    <w:rsid w:val="002059D1"/>
    <w:rsid w:val="00215BE5"/>
    <w:rsid w:val="00216925"/>
    <w:rsid w:val="0022546A"/>
    <w:rsid w:val="002272CE"/>
    <w:rsid w:val="00227303"/>
    <w:rsid w:val="002410F2"/>
    <w:rsid w:val="00246B47"/>
    <w:rsid w:val="00251D39"/>
    <w:rsid w:val="00256388"/>
    <w:rsid w:val="0026012B"/>
    <w:rsid w:val="0026311C"/>
    <w:rsid w:val="002765A4"/>
    <w:rsid w:val="00277397"/>
    <w:rsid w:val="002808D5"/>
    <w:rsid w:val="002939A4"/>
    <w:rsid w:val="00294AE0"/>
    <w:rsid w:val="002A2406"/>
    <w:rsid w:val="002A543B"/>
    <w:rsid w:val="002B33FA"/>
    <w:rsid w:val="002B6B8C"/>
    <w:rsid w:val="002C14BB"/>
    <w:rsid w:val="002D4A16"/>
    <w:rsid w:val="002E11D6"/>
    <w:rsid w:val="002E69E1"/>
    <w:rsid w:val="002F2231"/>
    <w:rsid w:val="002F298A"/>
    <w:rsid w:val="003012F3"/>
    <w:rsid w:val="0030610E"/>
    <w:rsid w:val="00310406"/>
    <w:rsid w:val="00315680"/>
    <w:rsid w:val="00321528"/>
    <w:rsid w:val="0033731C"/>
    <w:rsid w:val="00337CE2"/>
    <w:rsid w:val="00365A95"/>
    <w:rsid w:val="00372061"/>
    <w:rsid w:val="0037631B"/>
    <w:rsid w:val="00383D8C"/>
    <w:rsid w:val="0039261C"/>
    <w:rsid w:val="00393E2C"/>
    <w:rsid w:val="00396100"/>
    <w:rsid w:val="003C6509"/>
    <w:rsid w:val="003D5820"/>
    <w:rsid w:val="003E31D3"/>
    <w:rsid w:val="003E721C"/>
    <w:rsid w:val="003F3235"/>
    <w:rsid w:val="003F6869"/>
    <w:rsid w:val="0040130E"/>
    <w:rsid w:val="00406DDD"/>
    <w:rsid w:val="00410CEF"/>
    <w:rsid w:val="00412BC9"/>
    <w:rsid w:val="00413A73"/>
    <w:rsid w:val="0041549D"/>
    <w:rsid w:val="0043134A"/>
    <w:rsid w:val="00435E28"/>
    <w:rsid w:val="004418E5"/>
    <w:rsid w:val="004438A5"/>
    <w:rsid w:val="00443D28"/>
    <w:rsid w:val="00445D7C"/>
    <w:rsid w:val="004545DC"/>
    <w:rsid w:val="00457841"/>
    <w:rsid w:val="00462AC4"/>
    <w:rsid w:val="0046619A"/>
    <w:rsid w:val="00467CE7"/>
    <w:rsid w:val="00471D73"/>
    <w:rsid w:val="00480EC6"/>
    <w:rsid w:val="00490883"/>
    <w:rsid w:val="004926EC"/>
    <w:rsid w:val="00493D60"/>
    <w:rsid w:val="0049419B"/>
    <w:rsid w:val="00497CDE"/>
    <w:rsid w:val="004A239F"/>
    <w:rsid w:val="004A73CB"/>
    <w:rsid w:val="004C511F"/>
    <w:rsid w:val="004D0A6A"/>
    <w:rsid w:val="004F090A"/>
    <w:rsid w:val="004F09DD"/>
    <w:rsid w:val="004F113A"/>
    <w:rsid w:val="004F2C6F"/>
    <w:rsid w:val="00502713"/>
    <w:rsid w:val="00510C7A"/>
    <w:rsid w:val="00511DA0"/>
    <w:rsid w:val="00512023"/>
    <w:rsid w:val="005256F1"/>
    <w:rsid w:val="00527999"/>
    <w:rsid w:val="005445FF"/>
    <w:rsid w:val="00555827"/>
    <w:rsid w:val="00563F76"/>
    <w:rsid w:val="00571B48"/>
    <w:rsid w:val="005769FD"/>
    <w:rsid w:val="0058310D"/>
    <w:rsid w:val="00594534"/>
    <w:rsid w:val="005A2B00"/>
    <w:rsid w:val="005A3C52"/>
    <w:rsid w:val="005B3BFE"/>
    <w:rsid w:val="005B4547"/>
    <w:rsid w:val="005B69F7"/>
    <w:rsid w:val="005B6AB1"/>
    <w:rsid w:val="005B6BE8"/>
    <w:rsid w:val="005C0B84"/>
    <w:rsid w:val="005C1349"/>
    <w:rsid w:val="005D1DD5"/>
    <w:rsid w:val="005E54DD"/>
    <w:rsid w:val="005E5CA5"/>
    <w:rsid w:val="005F3237"/>
    <w:rsid w:val="005F65C1"/>
    <w:rsid w:val="005F78E0"/>
    <w:rsid w:val="0062360D"/>
    <w:rsid w:val="00632F52"/>
    <w:rsid w:val="00637F79"/>
    <w:rsid w:val="0064553C"/>
    <w:rsid w:val="00661DB5"/>
    <w:rsid w:val="00671DB8"/>
    <w:rsid w:val="00677314"/>
    <w:rsid w:val="006A63BE"/>
    <w:rsid w:val="006B15BA"/>
    <w:rsid w:val="006B3468"/>
    <w:rsid w:val="006C1915"/>
    <w:rsid w:val="006D1C53"/>
    <w:rsid w:val="006D39A8"/>
    <w:rsid w:val="006D4A18"/>
    <w:rsid w:val="006F0FAA"/>
    <w:rsid w:val="006F389E"/>
    <w:rsid w:val="007442BC"/>
    <w:rsid w:val="00780032"/>
    <w:rsid w:val="007942BA"/>
    <w:rsid w:val="00796A6D"/>
    <w:rsid w:val="007A6DA9"/>
    <w:rsid w:val="007B6993"/>
    <w:rsid w:val="007B7DC1"/>
    <w:rsid w:val="007C394E"/>
    <w:rsid w:val="007E3A36"/>
    <w:rsid w:val="007E3DBD"/>
    <w:rsid w:val="007E3EA1"/>
    <w:rsid w:val="00807334"/>
    <w:rsid w:val="0081610F"/>
    <w:rsid w:val="00826307"/>
    <w:rsid w:val="00830877"/>
    <w:rsid w:val="0083173F"/>
    <w:rsid w:val="008343BA"/>
    <w:rsid w:val="008372C3"/>
    <w:rsid w:val="0085786C"/>
    <w:rsid w:val="00861F45"/>
    <w:rsid w:val="00874DCD"/>
    <w:rsid w:val="0088428A"/>
    <w:rsid w:val="00895ADD"/>
    <w:rsid w:val="008B2499"/>
    <w:rsid w:val="008C52CD"/>
    <w:rsid w:val="008D1BA6"/>
    <w:rsid w:val="008D3507"/>
    <w:rsid w:val="008E51E4"/>
    <w:rsid w:val="00902EBC"/>
    <w:rsid w:val="0090700C"/>
    <w:rsid w:val="009125E4"/>
    <w:rsid w:val="00912FC4"/>
    <w:rsid w:val="009147C3"/>
    <w:rsid w:val="00926A36"/>
    <w:rsid w:val="0094055B"/>
    <w:rsid w:val="009430AF"/>
    <w:rsid w:val="00956B1B"/>
    <w:rsid w:val="00957720"/>
    <w:rsid w:val="009608DE"/>
    <w:rsid w:val="00960B21"/>
    <w:rsid w:val="00964672"/>
    <w:rsid w:val="00966527"/>
    <w:rsid w:val="009737F9"/>
    <w:rsid w:val="0098575A"/>
    <w:rsid w:val="009915EB"/>
    <w:rsid w:val="009964EA"/>
    <w:rsid w:val="009A6284"/>
    <w:rsid w:val="009B3D13"/>
    <w:rsid w:val="009C01BC"/>
    <w:rsid w:val="009C4EE2"/>
    <w:rsid w:val="009D23F2"/>
    <w:rsid w:val="009E17BE"/>
    <w:rsid w:val="00A00282"/>
    <w:rsid w:val="00A03042"/>
    <w:rsid w:val="00A10BE0"/>
    <w:rsid w:val="00A24164"/>
    <w:rsid w:val="00A257B6"/>
    <w:rsid w:val="00A31F04"/>
    <w:rsid w:val="00A37921"/>
    <w:rsid w:val="00A43A50"/>
    <w:rsid w:val="00A44ACC"/>
    <w:rsid w:val="00A4510E"/>
    <w:rsid w:val="00A458B4"/>
    <w:rsid w:val="00A542C9"/>
    <w:rsid w:val="00A6496E"/>
    <w:rsid w:val="00A67E2D"/>
    <w:rsid w:val="00A8065E"/>
    <w:rsid w:val="00A8458E"/>
    <w:rsid w:val="00A9228A"/>
    <w:rsid w:val="00A92FF7"/>
    <w:rsid w:val="00A931AD"/>
    <w:rsid w:val="00A97E84"/>
    <w:rsid w:val="00AA210B"/>
    <w:rsid w:val="00AA720A"/>
    <w:rsid w:val="00AB52CA"/>
    <w:rsid w:val="00AC0E65"/>
    <w:rsid w:val="00AC2919"/>
    <w:rsid w:val="00AD462F"/>
    <w:rsid w:val="00AD5EE7"/>
    <w:rsid w:val="00AD5FCC"/>
    <w:rsid w:val="00AE3B92"/>
    <w:rsid w:val="00AE54E4"/>
    <w:rsid w:val="00AE6933"/>
    <w:rsid w:val="00AE75AB"/>
    <w:rsid w:val="00B02226"/>
    <w:rsid w:val="00B125ED"/>
    <w:rsid w:val="00B247B6"/>
    <w:rsid w:val="00B3185A"/>
    <w:rsid w:val="00B5043F"/>
    <w:rsid w:val="00B544A8"/>
    <w:rsid w:val="00B6201D"/>
    <w:rsid w:val="00B74CB0"/>
    <w:rsid w:val="00B75D52"/>
    <w:rsid w:val="00B774D9"/>
    <w:rsid w:val="00B84728"/>
    <w:rsid w:val="00B931C4"/>
    <w:rsid w:val="00BA0256"/>
    <w:rsid w:val="00BA22B0"/>
    <w:rsid w:val="00BA787A"/>
    <w:rsid w:val="00BB39B1"/>
    <w:rsid w:val="00BB3CE7"/>
    <w:rsid w:val="00BB651F"/>
    <w:rsid w:val="00BB6DC8"/>
    <w:rsid w:val="00BD1EA2"/>
    <w:rsid w:val="00BD301B"/>
    <w:rsid w:val="00BD4A5D"/>
    <w:rsid w:val="00BF11DF"/>
    <w:rsid w:val="00BF34FA"/>
    <w:rsid w:val="00BF76C9"/>
    <w:rsid w:val="00C004A0"/>
    <w:rsid w:val="00C04C7E"/>
    <w:rsid w:val="00C1151F"/>
    <w:rsid w:val="00C17CF2"/>
    <w:rsid w:val="00C20232"/>
    <w:rsid w:val="00C31844"/>
    <w:rsid w:val="00C356BC"/>
    <w:rsid w:val="00C359F2"/>
    <w:rsid w:val="00C36C71"/>
    <w:rsid w:val="00C50D2E"/>
    <w:rsid w:val="00C5624F"/>
    <w:rsid w:val="00C56421"/>
    <w:rsid w:val="00C60302"/>
    <w:rsid w:val="00C656A8"/>
    <w:rsid w:val="00C70C88"/>
    <w:rsid w:val="00C7328F"/>
    <w:rsid w:val="00C77B46"/>
    <w:rsid w:val="00C84446"/>
    <w:rsid w:val="00C85F09"/>
    <w:rsid w:val="00CA0877"/>
    <w:rsid w:val="00CB2B83"/>
    <w:rsid w:val="00CB4880"/>
    <w:rsid w:val="00CC49DD"/>
    <w:rsid w:val="00CD3A36"/>
    <w:rsid w:val="00CF0E4C"/>
    <w:rsid w:val="00D007D0"/>
    <w:rsid w:val="00D16937"/>
    <w:rsid w:val="00D30F5D"/>
    <w:rsid w:val="00D31CED"/>
    <w:rsid w:val="00D3338A"/>
    <w:rsid w:val="00D4030D"/>
    <w:rsid w:val="00D42D5A"/>
    <w:rsid w:val="00D45B54"/>
    <w:rsid w:val="00D5771F"/>
    <w:rsid w:val="00D7229A"/>
    <w:rsid w:val="00D83536"/>
    <w:rsid w:val="00D855DB"/>
    <w:rsid w:val="00D956C8"/>
    <w:rsid w:val="00DA6D4F"/>
    <w:rsid w:val="00DA6DA5"/>
    <w:rsid w:val="00DB28EC"/>
    <w:rsid w:val="00DC67AB"/>
    <w:rsid w:val="00DE754C"/>
    <w:rsid w:val="00E05555"/>
    <w:rsid w:val="00E06557"/>
    <w:rsid w:val="00E15247"/>
    <w:rsid w:val="00E16BA5"/>
    <w:rsid w:val="00E22B63"/>
    <w:rsid w:val="00E344FA"/>
    <w:rsid w:val="00E40C4C"/>
    <w:rsid w:val="00E50473"/>
    <w:rsid w:val="00E57B79"/>
    <w:rsid w:val="00E6258F"/>
    <w:rsid w:val="00E63631"/>
    <w:rsid w:val="00E6451C"/>
    <w:rsid w:val="00E701FC"/>
    <w:rsid w:val="00E7205B"/>
    <w:rsid w:val="00E72A63"/>
    <w:rsid w:val="00E850D9"/>
    <w:rsid w:val="00E867F0"/>
    <w:rsid w:val="00E8721E"/>
    <w:rsid w:val="00E91559"/>
    <w:rsid w:val="00EA36D8"/>
    <w:rsid w:val="00EA3D9E"/>
    <w:rsid w:val="00EA6863"/>
    <w:rsid w:val="00EC5556"/>
    <w:rsid w:val="00EE47CB"/>
    <w:rsid w:val="00EF008A"/>
    <w:rsid w:val="00EF7564"/>
    <w:rsid w:val="00EF7BDB"/>
    <w:rsid w:val="00F05927"/>
    <w:rsid w:val="00F07D86"/>
    <w:rsid w:val="00F2122E"/>
    <w:rsid w:val="00F22767"/>
    <w:rsid w:val="00F56788"/>
    <w:rsid w:val="00F83D36"/>
    <w:rsid w:val="00F95465"/>
    <w:rsid w:val="00FA0C1C"/>
    <w:rsid w:val="00FA2CB3"/>
    <w:rsid w:val="00FA53C3"/>
    <w:rsid w:val="00FA652E"/>
    <w:rsid w:val="00FC03CF"/>
    <w:rsid w:val="00FC1A8A"/>
    <w:rsid w:val="00FD2111"/>
    <w:rsid w:val="00FD36B6"/>
    <w:rsid w:val="00FD5AE4"/>
    <w:rsid w:val="00FE613B"/>
    <w:rsid w:val="00FF27A8"/>
    <w:rsid w:val="00FF55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character" w:styleId="CommentReference">
    <w:name w:val="annotation reference"/>
    <w:semiHidden/>
    <w:rsid w:val="00671DB8"/>
    <w:rPr>
      <w:sz w:val="16"/>
      <w:szCs w:val="16"/>
    </w:rPr>
  </w:style>
  <w:style w:type="paragraph" w:styleId="CommentText">
    <w:name w:val="annotation text"/>
    <w:basedOn w:val="Normal"/>
    <w:semiHidden/>
    <w:rsid w:val="00671DB8"/>
    <w:rPr>
      <w:sz w:val="20"/>
    </w:rPr>
  </w:style>
  <w:style w:type="paragraph" w:styleId="CommentSubject">
    <w:name w:val="annotation subject"/>
    <w:basedOn w:val="CommentText"/>
    <w:next w:val="CommentText"/>
    <w:semiHidden/>
    <w:rsid w:val="00671DB8"/>
    <w:rPr>
      <w:b/>
      <w:bCs/>
    </w:rPr>
  </w:style>
  <w:style w:type="paragraph" w:styleId="ListParagraph">
    <w:name w:val="List Paragraph"/>
    <w:basedOn w:val="Normal"/>
    <w:uiPriority w:val="34"/>
    <w:qFormat/>
    <w:rsid w:val="005B6AB1"/>
    <w:pPr>
      <w:ind w:left="720"/>
    </w:pPr>
  </w:style>
  <w:style w:type="paragraph" w:customStyle="1" w:styleId="Default">
    <w:name w:val="Default"/>
    <w:rsid w:val="000D02FE"/>
    <w:pPr>
      <w:autoSpaceDE w:val="0"/>
      <w:autoSpaceDN w:val="0"/>
      <w:adjustRightInd w:val="0"/>
    </w:pPr>
    <w:rPr>
      <w:rFonts w:ascii="Arial" w:hAnsi="Arial" w:cs="Arial"/>
      <w:color w:val="000000"/>
      <w:sz w:val="24"/>
      <w:szCs w:val="24"/>
    </w:rPr>
  </w:style>
  <w:style w:type="character" w:customStyle="1" w:styleId="HeaderChar">
    <w:name w:val="Header Char"/>
    <w:link w:val="Header"/>
    <w:rsid w:val="00067C3A"/>
    <w:rPr>
      <w:rFonts w:ascii="Arial" w:hAnsi="Arial"/>
      <w:sz w:val="22"/>
    </w:rPr>
  </w:style>
  <w:style w:type="paragraph" w:styleId="Revision">
    <w:name w:val="Revision"/>
    <w:hidden/>
    <w:uiPriority w:val="99"/>
    <w:semiHidden/>
    <w:rsid w:val="00CF0E4C"/>
    <w:rPr>
      <w:rFonts w:ascii="Arial" w:hAnsi="Arial"/>
      <w:sz w:val="22"/>
    </w:rPr>
  </w:style>
  <w:style w:type="table" w:customStyle="1" w:styleId="TableGrid1">
    <w:name w:val="Table Grid1"/>
    <w:basedOn w:val="TableNormal"/>
    <w:next w:val="TableGrid"/>
    <w:uiPriority w:val="59"/>
    <w:rsid w:val="00F83D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character" w:styleId="CommentReference">
    <w:name w:val="annotation reference"/>
    <w:semiHidden/>
    <w:rsid w:val="00671DB8"/>
    <w:rPr>
      <w:sz w:val="16"/>
      <w:szCs w:val="16"/>
    </w:rPr>
  </w:style>
  <w:style w:type="paragraph" w:styleId="CommentText">
    <w:name w:val="annotation text"/>
    <w:basedOn w:val="Normal"/>
    <w:semiHidden/>
    <w:rsid w:val="00671DB8"/>
    <w:rPr>
      <w:sz w:val="20"/>
    </w:rPr>
  </w:style>
  <w:style w:type="paragraph" w:styleId="CommentSubject">
    <w:name w:val="annotation subject"/>
    <w:basedOn w:val="CommentText"/>
    <w:next w:val="CommentText"/>
    <w:semiHidden/>
    <w:rsid w:val="00671DB8"/>
    <w:rPr>
      <w:b/>
      <w:bCs/>
    </w:rPr>
  </w:style>
  <w:style w:type="paragraph" w:styleId="ListParagraph">
    <w:name w:val="List Paragraph"/>
    <w:basedOn w:val="Normal"/>
    <w:uiPriority w:val="34"/>
    <w:qFormat/>
    <w:rsid w:val="005B6AB1"/>
    <w:pPr>
      <w:ind w:left="720"/>
    </w:pPr>
  </w:style>
  <w:style w:type="paragraph" w:customStyle="1" w:styleId="Default">
    <w:name w:val="Default"/>
    <w:rsid w:val="000D02FE"/>
    <w:pPr>
      <w:autoSpaceDE w:val="0"/>
      <w:autoSpaceDN w:val="0"/>
      <w:adjustRightInd w:val="0"/>
    </w:pPr>
    <w:rPr>
      <w:rFonts w:ascii="Arial" w:hAnsi="Arial" w:cs="Arial"/>
      <w:color w:val="000000"/>
      <w:sz w:val="24"/>
      <w:szCs w:val="24"/>
    </w:rPr>
  </w:style>
  <w:style w:type="character" w:customStyle="1" w:styleId="HeaderChar">
    <w:name w:val="Header Char"/>
    <w:link w:val="Header"/>
    <w:rsid w:val="00067C3A"/>
    <w:rPr>
      <w:rFonts w:ascii="Arial" w:hAnsi="Arial"/>
      <w:sz w:val="22"/>
    </w:rPr>
  </w:style>
  <w:style w:type="paragraph" w:styleId="Revision">
    <w:name w:val="Revision"/>
    <w:hidden/>
    <w:uiPriority w:val="99"/>
    <w:semiHidden/>
    <w:rsid w:val="00CF0E4C"/>
    <w:rPr>
      <w:rFonts w:ascii="Arial" w:hAnsi="Arial"/>
      <w:sz w:val="22"/>
    </w:rPr>
  </w:style>
  <w:style w:type="table" w:customStyle="1" w:styleId="TableGrid1">
    <w:name w:val="Table Grid1"/>
    <w:basedOn w:val="TableNormal"/>
    <w:next w:val="TableGrid"/>
    <w:uiPriority w:val="59"/>
    <w:rsid w:val="00F83D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3037">
      <w:bodyDiv w:val="1"/>
      <w:marLeft w:val="0"/>
      <w:marRight w:val="0"/>
      <w:marTop w:val="0"/>
      <w:marBottom w:val="0"/>
      <w:divBdr>
        <w:top w:val="none" w:sz="0" w:space="0" w:color="auto"/>
        <w:left w:val="none" w:sz="0" w:space="0" w:color="auto"/>
        <w:bottom w:val="none" w:sz="0" w:space="0" w:color="auto"/>
        <w:right w:val="none" w:sz="0" w:space="0" w:color="auto"/>
      </w:divBdr>
    </w:div>
    <w:div w:id="557403209">
      <w:bodyDiv w:val="1"/>
      <w:marLeft w:val="0"/>
      <w:marRight w:val="0"/>
      <w:marTop w:val="0"/>
      <w:marBottom w:val="0"/>
      <w:divBdr>
        <w:top w:val="none" w:sz="0" w:space="0" w:color="auto"/>
        <w:left w:val="none" w:sz="0" w:space="0" w:color="auto"/>
        <w:bottom w:val="none" w:sz="0" w:space="0" w:color="auto"/>
        <w:right w:val="none" w:sz="0" w:space="0" w:color="auto"/>
      </w:divBdr>
    </w:div>
    <w:div w:id="560944721">
      <w:bodyDiv w:val="1"/>
      <w:marLeft w:val="0"/>
      <w:marRight w:val="0"/>
      <w:marTop w:val="0"/>
      <w:marBottom w:val="0"/>
      <w:divBdr>
        <w:top w:val="none" w:sz="0" w:space="0" w:color="auto"/>
        <w:left w:val="none" w:sz="0" w:space="0" w:color="auto"/>
        <w:bottom w:val="none" w:sz="0" w:space="0" w:color="auto"/>
        <w:right w:val="none" w:sz="0" w:space="0" w:color="auto"/>
      </w:divBdr>
    </w:div>
    <w:div w:id="1022786490">
      <w:bodyDiv w:val="1"/>
      <w:marLeft w:val="0"/>
      <w:marRight w:val="0"/>
      <w:marTop w:val="0"/>
      <w:marBottom w:val="0"/>
      <w:divBdr>
        <w:top w:val="none" w:sz="0" w:space="0" w:color="auto"/>
        <w:left w:val="none" w:sz="0" w:space="0" w:color="auto"/>
        <w:bottom w:val="none" w:sz="0" w:space="0" w:color="auto"/>
        <w:right w:val="none" w:sz="0" w:space="0" w:color="auto"/>
      </w:divBdr>
    </w:div>
    <w:div w:id="1178689792">
      <w:bodyDiv w:val="1"/>
      <w:marLeft w:val="0"/>
      <w:marRight w:val="0"/>
      <w:marTop w:val="0"/>
      <w:marBottom w:val="0"/>
      <w:divBdr>
        <w:top w:val="none" w:sz="0" w:space="0" w:color="auto"/>
        <w:left w:val="none" w:sz="0" w:space="0" w:color="auto"/>
        <w:bottom w:val="none" w:sz="0" w:space="0" w:color="auto"/>
        <w:right w:val="none" w:sz="0" w:space="0" w:color="auto"/>
      </w:divBdr>
    </w:div>
    <w:div w:id="1463963779">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12141">
      <w:bodyDiv w:val="1"/>
      <w:marLeft w:val="0"/>
      <w:marRight w:val="0"/>
      <w:marTop w:val="0"/>
      <w:marBottom w:val="0"/>
      <w:divBdr>
        <w:top w:val="none" w:sz="0" w:space="0" w:color="auto"/>
        <w:left w:val="none" w:sz="0" w:space="0" w:color="auto"/>
        <w:bottom w:val="none" w:sz="0" w:space="0" w:color="auto"/>
        <w:right w:val="none" w:sz="0" w:space="0" w:color="auto"/>
      </w:divBdr>
    </w:div>
    <w:div w:id="1717243451">
      <w:bodyDiv w:val="1"/>
      <w:marLeft w:val="0"/>
      <w:marRight w:val="0"/>
      <w:marTop w:val="0"/>
      <w:marBottom w:val="0"/>
      <w:divBdr>
        <w:top w:val="none" w:sz="0" w:space="0" w:color="auto"/>
        <w:left w:val="none" w:sz="0" w:space="0" w:color="auto"/>
        <w:bottom w:val="none" w:sz="0" w:space="0" w:color="auto"/>
        <w:right w:val="none" w:sz="0" w:space="0" w:color="auto"/>
      </w:divBdr>
    </w:div>
    <w:div w:id="192860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TRDC Report Template 15 08 12.dot</Template>
  <TotalTime>2</TotalTime>
  <Pages>5</Pages>
  <Words>1708</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dc:creator>
  <cp:lastModifiedBy>Helen Wailling</cp:lastModifiedBy>
  <cp:revision>4</cp:revision>
  <cp:lastPrinted>2016-10-26T15:51:00Z</cp:lastPrinted>
  <dcterms:created xsi:type="dcterms:W3CDTF">2016-11-08T11:34:00Z</dcterms:created>
  <dcterms:modified xsi:type="dcterms:W3CDTF">2016-11-08T11:42:00Z</dcterms:modified>
</cp:coreProperties>
</file>