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DB" w:rsidRDefault="000F5EDB" w:rsidP="000F5EDB">
      <w:pPr>
        <w:pStyle w:val="Heading1"/>
        <w:rPr>
          <w:sz w:val="22"/>
        </w:rPr>
      </w:pPr>
      <w:bookmarkStart w:id="0" w:name="_GoBack"/>
      <w:bookmarkEnd w:id="0"/>
    </w:p>
    <w:p w:rsidR="000F5EDB" w:rsidRDefault="000F5EDB" w:rsidP="000F5EDB">
      <w:pPr>
        <w:pStyle w:val="Heading1"/>
        <w:rPr>
          <w:sz w:val="22"/>
        </w:rPr>
      </w:pPr>
    </w:p>
    <w:p w:rsidR="000F5EDB" w:rsidRDefault="000F5EDB" w:rsidP="000F5EDB">
      <w:pPr>
        <w:pStyle w:val="Heading1"/>
        <w:rPr>
          <w:sz w:val="22"/>
        </w:rPr>
      </w:pPr>
    </w:p>
    <w:p w:rsidR="000F5EDB" w:rsidRDefault="000F5EDB" w:rsidP="000F5EDB">
      <w:pPr>
        <w:pStyle w:val="Heading1"/>
        <w:rPr>
          <w:sz w:val="22"/>
        </w:rPr>
      </w:pPr>
    </w:p>
    <w:p w:rsidR="000F5EDB" w:rsidRDefault="000F5EDB" w:rsidP="000F5EDB">
      <w:pPr>
        <w:pStyle w:val="Heading1"/>
        <w:rPr>
          <w:sz w:val="22"/>
        </w:rPr>
      </w:pPr>
    </w:p>
    <w:p w:rsidR="000F5EDB" w:rsidRDefault="000F5EDB" w:rsidP="000F5EDB"/>
    <w:p w:rsidR="000F5EDB" w:rsidRDefault="000F5EDB" w:rsidP="000F5EDB"/>
    <w:tbl>
      <w:tblPr>
        <w:tblW w:w="10676" w:type="dxa"/>
        <w:tblInd w:w="-72" w:type="dxa"/>
        <w:tblLook w:val="0000" w:firstRow="0" w:lastRow="0" w:firstColumn="0" w:lastColumn="0" w:noHBand="0" w:noVBand="0"/>
      </w:tblPr>
      <w:tblGrid>
        <w:gridCol w:w="5000"/>
        <w:gridCol w:w="5676"/>
      </w:tblGrid>
      <w:tr w:rsidR="000F5EDB" w:rsidRPr="00F81C12" w:rsidTr="00CF0831">
        <w:tc>
          <w:tcPr>
            <w:tcW w:w="5000" w:type="dxa"/>
          </w:tcPr>
          <w:p w:rsidR="000F5EDB" w:rsidRPr="00F81C12" w:rsidRDefault="000F5EDB" w:rsidP="00CF0831">
            <w:pPr>
              <w:rPr>
                <w:rFonts w:eastAsia="Calibri" w:cs="Arial"/>
                <w:sz w:val="24"/>
                <w:highlight w:val="black"/>
              </w:rPr>
            </w:pPr>
            <w:r w:rsidRPr="00F81C12">
              <w:rPr>
                <w:rFonts w:eastAsia="Calibri" w:cs="Arial"/>
                <w:sz w:val="24"/>
                <w:highlight w:val="black"/>
              </w:rPr>
              <w:t>Kimberley Rowley</w:t>
            </w:r>
          </w:p>
          <w:p w:rsidR="000F5EDB" w:rsidRPr="00F81C12" w:rsidRDefault="000F5EDB" w:rsidP="00CF0831">
            <w:pPr>
              <w:rPr>
                <w:rFonts w:eastAsia="Calibri" w:cs="Arial"/>
                <w:sz w:val="24"/>
                <w:highlight w:val="black"/>
              </w:rPr>
            </w:pPr>
            <w:r w:rsidRPr="00F81C12">
              <w:rPr>
                <w:rFonts w:eastAsia="Calibri" w:cs="Arial"/>
                <w:sz w:val="24"/>
                <w:highlight w:val="black"/>
              </w:rPr>
              <w:t>Head of Regulatory Services</w:t>
            </w:r>
          </w:p>
          <w:p w:rsidR="000F5EDB" w:rsidRPr="00F81C12" w:rsidRDefault="000F5EDB" w:rsidP="00CF0831">
            <w:pPr>
              <w:rPr>
                <w:rFonts w:eastAsia="Calibri" w:cs="Arial"/>
                <w:sz w:val="24"/>
                <w:highlight w:val="black"/>
              </w:rPr>
            </w:pPr>
            <w:r w:rsidRPr="00F81C12">
              <w:rPr>
                <w:rFonts w:eastAsia="Calibri" w:cs="Arial"/>
                <w:sz w:val="24"/>
                <w:highlight w:val="black"/>
              </w:rPr>
              <w:t>Three Rivers District Council</w:t>
            </w:r>
          </w:p>
          <w:p w:rsidR="000F5EDB" w:rsidRPr="00F81C12" w:rsidRDefault="000F5EDB" w:rsidP="00CF0831">
            <w:pPr>
              <w:rPr>
                <w:rFonts w:eastAsia="Calibri" w:cs="Arial"/>
                <w:sz w:val="24"/>
                <w:highlight w:val="black"/>
              </w:rPr>
            </w:pPr>
            <w:r w:rsidRPr="00F81C12">
              <w:rPr>
                <w:rFonts w:eastAsia="Calibri" w:cs="Arial"/>
                <w:sz w:val="24"/>
                <w:highlight w:val="black"/>
              </w:rPr>
              <w:t>Three Rivers House</w:t>
            </w:r>
          </w:p>
          <w:p w:rsidR="000F5EDB" w:rsidRPr="00F81C12" w:rsidRDefault="000F5EDB" w:rsidP="00CF0831">
            <w:pPr>
              <w:rPr>
                <w:rFonts w:eastAsia="Calibri" w:cs="Arial"/>
                <w:sz w:val="24"/>
                <w:highlight w:val="black"/>
              </w:rPr>
            </w:pPr>
            <w:r w:rsidRPr="00F81C12">
              <w:rPr>
                <w:rFonts w:eastAsia="Calibri" w:cs="Arial"/>
                <w:sz w:val="24"/>
                <w:highlight w:val="black"/>
              </w:rPr>
              <w:t>Northway</w:t>
            </w:r>
          </w:p>
          <w:p w:rsidR="000F5EDB" w:rsidRPr="00F81C12" w:rsidRDefault="000F5EDB" w:rsidP="00CF0831">
            <w:pPr>
              <w:rPr>
                <w:rFonts w:eastAsia="Calibri" w:cs="Arial"/>
                <w:sz w:val="24"/>
                <w:highlight w:val="black"/>
              </w:rPr>
            </w:pPr>
            <w:r w:rsidRPr="00F81C12">
              <w:rPr>
                <w:rFonts w:eastAsia="Calibri" w:cs="Arial"/>
                <w:sz w:val="24"/>
                <w:highlight w:val="black"/>
              </w:rPr>
              <w:t>Rickmansworth</w:t>
            </w:r>
          </w:p>
          <w:p w:rsidR="000F5EDB" w:rsidRPr="00F81C12" w:rsidRDefault="000F5EDB" w:rsidP="00CF0831">
            <w:pPr>
              <w:rPr>
                <w:rFonts w:eastAsia="Calibri" w:cs="Arial"/>
                <w:sz w:val="24"/>
                <w:highlight w:val="black"/>
              </w:rPr>
            </w:pPr>
            <w:r w:rsidRPr="00F81C12">
              <w:rPr>
                <w:rFonts w:eastAsia="Calibri" w:cs="Arial"/>
                <w:sz w:val="24"/>
                <w:highlight w:val="black"/>
              </w:rPr>
              <w:t>WD3 1RL</w:t>
            </w:r>
          </w:p>
          <w:p w:rsidR="000F5EDB" w:rsidRPr="00F81C12" w:rsidRDefault="000F5EDB" w:rsidP="00CF0831">
            <w:pPr>
              <w:ind w:left="72"/>
              <w:rPr>
                <w:sz w:val="24"/>
                <w:highlight w:val="black"/>
              </w:rPr>
            </w:pPr>
          </w:p>
        </w:tc>
        <w:tc>
          <w:tcPr>
            <w:tcW w:w="5676" w:type="dxa"/>
          </w:tcPr>
          <w:p w:rsidR="000F5EDB" w:rsidRPr="00F81C12" w:rsidRDefault="000F5EDB" w:rsidP="00CF0831">
            <w:pPr>
              <w:tabs>
                <w:tab w:val="left" w:pos="2095"/>
                <w:tab w:val="left" w:pos="5783"/>
                <w:tab w:val="left" w:pos="5812"/>
              </w:tabs>
              <w:ind w:left="1015"/>
              <w:rPr>
                <w:sz w:val="18"/>
                <w:highlight w:val="black"/>
              </w:rPr>
            </w:pPr>
            <w:r w:rsidRPr="00F81C12">
              <w:rPr>
                <w:sz w:val="18"/>
                <w:highlight w:val="black"/>
              </w:rPr>
              <w:t>Your ref:</w:t>
            </w:r>
            <w:r w:rsidRPr="00F81C12">
              <w:rPr>
                <w:sz w:val="18"/>
                <w:highlight w:val="black"/>
              </w:rPr>
              <w:tab/>
            </w:r>
          </w:p>
          <w:p w:rsidR="000F5EDB" w:rsidRPr="00F81C12" w:rsidRDefault="000F5EDB" w:rsidP="00CF0831">
            <w:pPr>
              <w:tabs>
                <w:tab w:val="left" w:pos="2095"/>
                <w:tab w:val="left" w:pos="5783"/>
                <w:tab w:val="left" w:pos="5812"/>
              </w:tabs>
              <w:ind w:left="1015"/>
              <w:rPr>
                <w:sz w:val="18"/>
                <w:highlight w:val="black"/>
              </w:rPr>
            </w:pPr>
            <w:r w:rsidRPr="00F81C12">
              <w:rPr>
                <w:sz w:val="18"/>
                <w:highlight w:val="black"/>
              </w:rPr>
              <w:t>Our ref:</w:t>
            </w:r>
            <w:r w:rsidRPr="00F81C12">
              <w:rPr>
                <w:sz w:val="18"/>
                <w:highlight w:val="black"/>
              </w:rPr>
              <w:tab/>
            </w:r>
            <w:proofErr w:type="spellStart"/>
            <w:r w:rsidRPr="00F81C12">
              <w:rPr>
                <w:sz w:val="18"/>
                <w:highlight w:val="black"/>
              </w:rPr>
              <w:t>SBu</w:t>
            </w:r>
            <w:proofErr w:type="spellEnd"/>
            <w:r w:rsidRPr="00F81C12">
              <w:rPr>
                <w:sz w:val="18"/>
                <w:highlight w:val="black"/>
              </w:rPr>
              <w:t>/ab</w:t>
            </w:r>
          </w:p>
          <w:p w:rsidR="000F5EDB" w:rsidRPr="00F81C12" w:rsidRDefault="000F5EDB" w:rsidP="00CF0831">
            <w:pPr>
              <w:tabs>
                <w:tab w:val="left" w:pos="2095"/>
                <w:tab w:val="left" w:pos="5783"/>
                <w:tab w:val="left" w:pos="5812"/>
              </w:tabs>
              <w:ind w:left="1015"/>
              <w:rPr>
                <w:sz w:val="18"/>
                <w:highlight w:val="black"/>
              </w:rPr>
            </w:pPr>
            <w:r w:rsidRPr="00F81C12">
              <w:rPr>
                <w:sz w:val="18"/>
                <w:highlight w:val="black"/>
              </w:rPr>
              <w:t>Tel:</w:t>
            </w:r>
            <w:r w:rsidRPr="00F81C12">
              <w:rPr>
                <w:sz w:val="18"/>
                <w:highlight w:val="black"/>
              </w:rPr>
              <w:tab/>
              <w:t>020 8207 2277</w:t>
            </w:r>
          </w:p>
          <w:p w:rsidR="000F5EDB" w:rsidRPr="00F81C12" w:rsidRDefault="000F5EDB" w:rsidP="00CF0831">
            <w:pPr>
              <w:tabs>
                <w:tab w:val="left" w:pos="2095"/>
                <w:tab w:val="left" w:pos="5783"/>
                <w:tab w:val="left" w:pos="5812"/>
              </w:tabs>
              <w:ind w:left="1015"/>
              <w:rPr>
                <w:sz w:val="18"/>
                <w:highlight w:val="black"/>
              </w:rPr>
            </w:pPr>
            <w:r w:rsidRPr="00F81C12">
              <w:rPr>
                <w:sz w:val="18"/>
                <w:highlight w:val="black"/>
              </w:rPr>
              <w:t>Ext:</w:t>
            </w:r>
            <w:r w:rsidRPr="00F81C12">
              <w:rPr>
                <w:sz w:val="18"/>
                <w:highlight w:val="black"/>
              </w:rPr>
              <w:tab/>
              <w:t>5242</w:t>
            </w:r>
          </w:p>
          <w:p w:rsidR="000F5EDB" w:rsidRPr="00F81C12" w:rsidRDefault="000F5EDB" w:rsidP="00CF0831">
            <w:pPr>
              <w:tabs>
                <w:tab w:val="left" w:pos="2095"/>
                <w:tab w:val="left" w:pos="5783"/>
                <w:tab w:val="left" w:pos="5812"/>
              </w:tabs>
              <w:ind w:left="1015"/>
              <w:rPr>
                <w:sz w:val="18"/>
                <w:highlight w:val="black"/>
              </w:rPr>
            </w:pPr>
            <w:r w:rsidRPr="00F81C12">
              <w:rPr>
                <w:sz w:val="18"/>
                <w:highlight w:val="black"/>
              </w:rPr>
              <w:t>Email:</w:t>
            </w:r>
            <w:r w:rsidRPr="00F81C12">
              <w:rPr>
                <w:sz w:val="18"/>
                <w:highlight w:val="black"/>
              </w:rPr>
              <w:tab/>
              <w:t>steve.burton@hertsmere.gov.uk</w:t>
            </w:r>
          </w:p>
          <w:p w:rsidR="000F5EDB" w:rsidRPr="00F81C12" w:rsidRDefault="000F5EDB" w:rsidP="00CF0831">
            <w:pPr>
              <w:tabs>
                <w:tab w:val="left" w:pos="2095"/>
                <w:tab w:val="left" w:pos="5783"/>
                <w:tab w:val="left" w:pos="5812"/>
              </w:tabs>
              <w:ind w:left="1015"/>
              <w:rPr>
                <w:sz w:val="18"/>
                <w:highlight w:val="black"/>
              </w:rPr>
            </w:pPr>
            <w:r w:rsidRPr="00F81C12">
              <w:rPr>
                <w:sz w:val="18"/>
                <w:highlight w:val="black"/>
              </w:rPr>
              <w:t>Date:</w:t>
            </w:r>
            <w:r w:rsidRPr="00F81C12">
              <w:rPr>
                <w:sz w:val="18"/>
                <w:highlight w:val="black"/>
              </w:rPr>
              <w:tab/>
            </w:r>
            <w:r w:rsidRPr="00F81C12">
              <w:rPr>
                <w:sz w:val="18"/>
                <w:highlight w:val="black"/>
              </w:rPr>
              <w:fldChar w:fldCharType="begin"/>
            </w:r>
            <w:r w:rsidRPr="00F81C12">
              <w:rPr>
                <w:sz w:val="18"/>
                <w:highlight w:val="black"/>
              </w:rPr>
              <w:instrText xml:space="preserve"> TIME \@ "dd MMMM yyyy" </w:instrText>
            </w:r>
            <w:r w:rsidRPr="00F81C12">
              <w:rPr>
                <w:sz w:val="18"/>
                <w:highlight w:val="black"/>
              </w:rPr>
              <w:fldChar w:fldCharType="separate"/>
            </w:r>
            <w:r w:rsidR="00320E14">
              <w:rPr>
                <w:noProof/>
                <w:sz w:val="18"/>
                <w:highlight w:val="black"/>
              </w:rPr>
              <w:t>07 November 2016</w:t>
            </w:r>
            <w:r w:rsidRPr="00F81C12">
              <w:rPr>
                <w:sz w:val="18"/>
                <w:highlight w:val="black"/>
              </w:rPr>
              <w:fldChar w:fldCharType="end"/>
            </w:r>
          </w:p>
          <w:p w:rsidR="000F5EDB" w:rsidRPr="00F81C12" w:rsidRDefault="000F5EDB" w:rsidP="00CF0831">
            <w:pPr>
              <w:tabs>
                <w:tab w:val="left" w:pos="2275"/>
                <w:tab w:val="left" w:pos="5783"/>
              </w:tabs>
              <w:rPr>
                <w:sz w:val="24"/>
                <w:highlight w:val="black"/>
              </w:rPr>
            </w:pPr>
          </w:p>
        </w:tc>
      </w:tr>
    </w:tbl>
    <w:p w:rsidR="000F5EDB" w:rsidRPr="00F81C12" w:rsidRDefault="000F5EDB" w:rsidP="000F5EDB">
      <w:pPr>
        <w:rPr>
          <w:sz w:val="44"/>
          <w:highlight w:val="black"/>
        </w:rPr>
        <w:sectPr w:rsidR="000F5EDB" w:rsidRPr="00F81C12" w:rsidSect="000F5EDB">
          <w:headerReference w:type="default" r:id="rId7"/>
          <w:pgSz w:w="11906" w:h="16838" w:code="9"/>
          <w:pgMar w:top="1134" w:right="1134" w:bottom="1134" w:left="1219" w:header="709" w:footer="709" w:gutter="0"/>
          <w:paperSrc w:first="260" w:other="261"/>
          <w:cols w:space="708" w:equalWidth="0">
            <w:col w:w="9553" w:space="708"/>
          </w:cols>
          <w:docGrid w:linePitch="360"/>
        </w:sectPr>
      </w:pPr>
    </w:p>
    <w:p w:rsidR="000F5EDB" w:rsidRPr="00F81C12" w:rsidRDefault="000F5EDB" w:rsidP="000F5EDB">
      <w:pPr>
        <w:rPr>
          <w:sz w:val="24"/>
          <w:highlight w:val="black"/>
        </w:rPr>
      </w:pPr>
    </w:p>
    <w:p w:rsidR="000F5EDB" w:rsidRPr="00F81C12" w:rsidRDefault="000F5EDB" w:rsidP="000F5EDB">
      <w:pPr>
        <w:rPr>
          <w:sz w:val="24"/>
          <w:highlight w:val="black"/>
        </w:rPr>
      </w:pPr>
    </w:p>
    <w:p w:rsidR="000F5EDB" w:rsidRPr="00F81C12" w:rsidRDefault="000F5EDB" w:rsidP="000F5EDB">
      <w:pPr>
        <w:rPr>
          <w:sz w:val="24"/>
          <w:highlight w:val="black"/>
        </w:rPr>
      </w:pPr>
    </w:p>
    <w:p w:rsidR="000F5EDB" w:rsidRPr="00163DAE" w:rsidRDefault="000F5EDB" w:rsidP="000F5EDB">
      <w:pPr>
        <w:spacing w:after="200" w:line="276" w:lineRule="auto"/>
        <w:rPr>
          <w:rFonts w:eastAsia="Calibri" w:cs="Arial"/>
          <w:sz w:val="24"/>
        </w:rPr>
      </w:pPr>
      <w:r w:rsidRPr="00F81C12">
        <w:rPr>
          <w:rFonts w:eastAsia="Calibri" w:cs="Arial"/>
          <w:sz w:val="24"/>
          <w:highlight w:val="black"/>
        </w:rPr>
        <w:t>Dear Kimberley</w:t>
      </w:r>
      <w:r w:rsidRPr="00163DAE">
        <w:rPr>
          <w:rFonts w:eastAsia="Calibri" w:cs="Arial"/>
          <w:sz w:val="24"/>
        </w:rPr>
        <w:t xml:space="preserve"> </w:t>
      </w:r>
    </w:p>
    <w:p w:rsidR="000F5EDB" w:rsidRPr="00F00B20" w:rsidRDefault="000F5EDB" w:rsidP="000F5EDB">
      <w:pPr>
        <w:rPr>
          <w:vanish/>
          <w:sz w:val="24"/>
        </w:rPr>
      </w:pPr>
    </w:p>
    <w:p w:rsidR="000F5EDB" w:rsidRPr="00163DAE" w:rsidRDefault="000F5EDB" w:rsidP="000F5EDB">
      <w:pPr>
        <w:spacing w:after="200" w:line="276" w:lineRule="auto"/>
        <w:rPr>
          <w:rFonts w:eastAsia="Calibri" w:cs="Arial"/>
          <w:b/>
          <w:sz w:val="24"/>
        </w:rPr>
      </w:pPr>
      <w:r w:rsidRPr="00163DAE">
        <w:rPr>
          <w:rFonts w:eastAsia="Calibri" w:cs="Arial"/>
          <w:b/>
          <w:sz w:val="24"/>
        </w:rPr>
        <w:t xml:space="preserve">Re: Possible Provision of Parking Service </w:t>
      </w:r>
      <w:r w:rsidRPr="00F81C12">
        <w:rPr>
          <w:rFonts w:eastAsia="Calibri" w:cs="Arial"/>
          <w:b/>
          <w:sz w:val="24"/>
          <w:highlight w:val="black"/>
        </w:rPr>
        <w:t>Three Rivers DC &amp; Hertsmere BC</w:t>
      </w:r>
    </w:p>
    <w:p w:rsidR="000F5EDB" w:rsidRPr="00163DAE" w:rsidRDefault="000F5EDB" w:rsidP="000F5EDB">
      <w:pPr>
        <w:spacing w:after="200" w:line="276" w:lineRule="auto"/>
        <w:rPr>
          <w:rFonts w:eastAsia="Calibri" w:cs="Arial"/>
          <w:sz w:val="24"/>
        </w:rPr>
      </w:pPr>
      <w:r w:rsidRPr="00163DAE">
        <w:rPr>
          <w:rFonts w:eastAsia="Calibri" w:cs="Arial"/>
          <w:sz w:val="24"/>
        </w:rPr>
        <w:t xml:space="preserve">Further to our recent discussions and an analysis of the current Three Rivers District Council parking enforcement service, and based on the information provided, my team have concluded that there is an opportunity </w:t>
      </w:r>
      <w:r w:rsidRPr="00F81C12">
        <w:rPr>
          <w:rFonts w:eastAsia="Calibri" w:cs="Arial"/>
          <w:sz w:val="24"/>
          <w:highlight w:val="black"/>
        </w:rPr>
        <w:t>for Hertsmere Borough Council to</w:t>
      </w:r>
      <w:r w:rsidRPr="00163DAE">
        <w:rPr>
          <w:rFonts w:eastAsia="Calibri" w:cs="Arial"/>
          <w:sz w:val="24"/>
        </w:rPr>
        <w:t xml:space="preserve"> provide this service on behalf of Three Rivers District Council to the benefit of both authorities.</w:t>
      </w:r>
    </w:p>
    <w:p w:rsidR="000F5EDB" w:rsidRPr="00163DAE" w:rsidRDefault="000F5EDB" w:rsidP="000F5EDB">
      <w:pPr>
        <w:spacing w:after="200" w:line="276" w:lineRule="auto"/>
        <w:rPr>
          <w:rFonts w:eastAsia="Calibri" w:cs="Arial"/>
          <w:sz w:val="24"/>
        </w:rPr>
      </w:pPr>
      <w:r w:rsidRPr="00163DAE">
        <w:rPr>
          <w:rFonts w:eastAsia="Calibri" w:cs="Arial"/>
          <w:sz w:val="24"/>
        </w:rPr>
        <w:t xml:space="preserve">Based on the current volumes of permits and penalty charged notices (PCN) issued, </w:t>
      </w:r>
      <w:r w:rsidRPr="00F81C12">
        <w:rPr>
          <w:rFonts w:eastAsia="Calibri" w:cs="Arial"/>
          <w:sz w:val="24"/>
          <w:highlight w:val="black"/>
        </w:rPr>
        <w:t>H</w:t>
      </w:r>
      <w:r>
        <w:rPr>
          <w:rFonts w:eastAsia="Calibri" w:cs="Arial"/>
          <w:sz w:val="24"/>
          <w:highlight w:val="black"/>
        </w:rPr>
        <w:t xml:space="preserve">        </w:t>
      </w:r>
      <w:r w:rsidRPr="000F5EDB">
        <w:rPr>
          <w:rFonts w:eastAsia="Calibri" w:cs="Arial"/>
          <w:sz w:val="24"/>
          <w:highlight w:val="black"/>
        </w:rPr>
        <w:t>B</w:t>
      </w:r>
      <w:r>
        <w:rPr>
          <w:rFonts w:eastAsia="Calibri" w:cs="Arial"/>
          <w:sz w:val="24"/>
          <w:highlight w:val="black"/>
        </w:rPr>
        <w:t xml:space="preserve">           </w:t>
      </w:r>
      <w:r w:rsidRPr="000F5EDB">
        <w:rPr>
          <w:rFonts w:eastAsia="Calibri" w:cs="Arial"/>
          <w:sz w:val="24"/>
          <w:highlight w:val="black"/>
        </w:rPr>
        <w:t>C</w:t>
      </w:r>
      <w:r>
        <w:rPr>
          <w:rFonts w:eastAsia="Calibri" w:cs="Arial"/>
          <w:sz w:val="24"/>
        </w:rPr>
        <w:t xml:space="preserve"> </w:t>
      </w:r>
      <w:r w:rsidRPr="00163DAE">
        <w:rPr>
          <w:rFonts w:eastAsia="Calibri" w:cs="Arial"/>
          <w:sz w:val="24"/>
        </w:rPr>
        <w:t xml:space="preserve">would provide a call centre based </w:t>
      </w:r>
      <w:r w:rsidRPr="00F81C12">
        <w:rPr>
          <w:rFonts w:eastAsia="Calibri" w:cs="Arial"/>
          <w:sz w:val="24"/>
          <w:highlight w:val="black"/>
        </w:rPr>
        <w:t>in Borehamwood</w:t>
      </w:r>
      <w:r w:rsidRPr="00163DAE">
        <w:rPr>
          <w:rFonts w:eastAsia="Calibri" w:cs="Arial"/>
          <w:sz w:val="24"/>
        </w:rPr>
        <w:t>, with a permit processing, representations, and administration team also operating from there. Importantly there would be a dedicated front line enforcement team consisting of 4 operating in the Three Rivers district.</w:t>
      </w:r>
    </w:p>
    <w:p w:rsidR="000F5EDB" w:rsidRPr="00163DAE" w:rsidRDefault="000F5EDB" w:rsidP="000F5EDB">
      <w:pPr>
        <w:spacing w:after="200" w:line="276" w:lineRule="auto"/>
        <w:rPr>
          <w:rFonts w:eastAsia="Calibri" w:cs="Arial"/>
          <w:sz w:val="24"/>
        </w:rPr>
      </w:pPr>
      <w:r w:rsidRPr="00163DAE">
        <w:rPr>
          <w:rFonts w:eastAsia="Calibri" w:cs="Arial"/>
          <w:sz w:val="24"/>
        </w:rPr>
        <w:t xml:space="preserve">If both councils were to consider this, at the current time it could be an achieved at a charge out of £330,000 per year as opposed to the current cost of £362,000.  This is a saving of £32,000 per year for TRDC and this would also allow </w:t>
      </w:r>
      <w:r w:rsidRPr="00F81C12">
        <w:rPr>
          <w:rFonts w:eastAsia="Calibri" w:cs="Arial"/>
          <w:sz w:val="24"/>
          <w:highlight w:val="black"/>
        </w:rPr>
        <w:t>HBC a</w:t>
      </w:r>
      <w:r w:rsidRPr="00163DAE">
        <w:rPr>
          <w:rFonts w:eastAsia="Calibri" w:cs="Arial"/>
          <w:sz w:val="24"/>
        </w:rPr>
        <w:t xml:space="preserve"> similar saving in the delivery of its back office service.</w:t>
      </w:r>
    </w:p>
    <w:p w:rsidR="000F5EDB" w:rsidRPr="00163DAE" w:rsidRDefault="000F5EDB" w:rsidP="000F5EDB">
      <w:pPr>
        <w:spacing w:after="200" w:line="276" w:lineRule="auto"/>
        <w:rPr>
          <w:rFonts w:eastAsia="Calibri" w:cs="Arial"/>
          <w:i/>
          <w:sz w:val="24"/>
        </w:rPr>
      </w:pPr>
      <w:r w:rsidRPr="00163DAE">
        <w:rPr>
          <w:rFonts w:eastAsia="Calibri" w:cs="Arial"/>
          <w:i/>
          <w:sz w:val="24"/>
        </w:rPr>
        <w:t>Note the current TRDC cost £362,000 is calculated from the overall cost £477,000 reduced by car park business rates and internal service re-charges which would remain with TRDC.</w:t>
      </w:r>
    </w:p>
    <w:p w:rsidR="000F5EDB" w:rsidRPr="00163DAE" w:rsidRDefault="000F5EDB" w:rsidP="000F5EDB">
      <w:pPr>
        <w:spacing w:after="200" w:line="276" w:lineRule="auto"/>
        <w:rPr>
          <w:rFonts w:eastAsia="Calibri" w:cs="Arial"/>
          <w:sz w:val="24"/>
        </w:rPr>
      </w:pPr>
      <w:r w:rsidRPr="00163DAE">
        <w:rPr>
          <w:rFonts w:eastAsia="Calibri" w:cs="Arial"/>
          <w:sz w:val="24"/>
        </w:rPr>
        <w:t xml:space="preserve">With this arrangement </w:t>
      </w:r>
      <w:r w:rsidRPr="00F81C12">
        <w:rPr>
          <w:rFonts w:eastAsia="Calibri" w:cs="Arial"/>
          <w:sz w:val="24"/>
          <w:highlight w:val="black"/>
        </w:rPr>
        <w:t>HBC would</w:t>
      </w:r>
      <w:r w:rsidRPr="00163DAE">
        <w:rPr>
          <w:rFonts w:eastAsia="Calibri" w:cs="Arial"/>
          <w:sz w:val="24"/>
        </w:rPr>
        <w:t xml:space="preserve"> also provide expert (bespoke) advice on levels of charges, and the application of controlled parking zones (CPZs). </w:t>
      </w:r>
      <w:r w:rsidRPr="00F81C12">
        <w:rPr>
          <w:rFonts w:eastAsia="Calibri" w:cs="Arial"/>
          <w:sz w:val="24"/>
          <w:highlight w:val="black"/>
        </w:rPr>
        <w:t>HBC has</w:t>
      </w:r>
      <w:r w:rsidRPr="00163DAE">
        <w:rPr>
          <w:rFonts w:eastAsia="Calibri" w:cs="Arial"/>
          <w:sz w:val="24"/>
        </w:rPr>
        <w:t xml:space="preserve"> experience of operating both on and off street enforcement since </w:t>
      </w:r>
      <w:proofErr w:type="spellStart"/>
      <w:r w:rsidRPr="00163DAE">
        <w:rPr>
          <w:rFonts w:eastAsia="Calibri" w:cs="Arial"/>
          <w:sz w:val="24"/>
        </w:rPr>
        <w:t>decrimilisation</w:t>
      </w:r>
      <w:proofErr w:type="spellEnd"/>
      <w:r w:rsidRPr="00163DAE">
        <w:rPr>
          <w:rFonts w:eastAsia="Calibri" w:cs="Arial"/>
          <w:sz w:val="24"/>
        </w:rPr>
        <w:t xml:space="preserve"> in 1995, having regard for similar local economies, residents and the requirements of the general public in centres such as </w:t>
      </w:r>
      <w:r w:rsidRPr="00F81C12">
        <w:rPr>
          <w:rFonts w:eastAsia="Calibri" w:cs="Arial"/>
          <w:sz w:val="24"/>
          <w:highlight w:val="black"/>
        </w:rPr>
        <w:t>Potters Bar, Radlett, Bushey and Borehamwood</w:t>
      </w:r>
      <w:r w:rsidRPr="00163DAE">
        <w:rPr>
          <w:rFonts w:eastAsia="Calibri" w:cs="Arial"/>
          <w:sz w:val="24"/>
        </w:rPr>
        <w:t>.</w:t>
      </w:r>
    </w:p>
    <w:p w:rsidR="000F5EDB" w:rsidRDefault="000F5EDB" w:rsidP="000F5EDB">
      <w:pPr>
        <w:spacing w:after="200" w:line="276" w:lineRule="auto"/>
        <w:rPr>
          <w:rFonts w:eastAsia="Calibri" w:cs="Arial"/>
          <w:sz w:val="24"/>
        </w:rPr>
      </w:pPr>
    </w:p>
    <w:p w:rsidR="000F5EDB" w:rsidRPr="00163DAE" w:rsidRDefault="000F5EDB" w:rsidP="000F5EDB">
      <w:pPr>
        <w:spacing w:after="200" w:line="276" w:lineRule="auto"/>
        <w:rPr>
          <w:rFonts w:eastAsia="Calibri" w:cs="Arial"/>
          <w:sz w:val="24"/>
        </w:rPr>
      </w:pPr>
      <w:r w:rsidRPr="00163DAE">
        <w:rPr>
          <w:rFonts w:eastAsia="Calibri" w:cs="Arial"/>
          <w:sz w:val="24"/>
        </w:rPr>
        <w:lastRenderedPageBreak/>
        <w:t>Other benefits would also include a quarterly reporting process, the availability of managers to be present at relevant council committees, and the provision of the technical expertise in the formulation, revision and monitoring of a parking management strategy for TRDC.</w:t>
      </w:r>
    </w:p>
    <w:p w:rsidR="000F5EDB" w:rsidRPr="00163DAE" w:rsidRDefault="000F5EDB" w:rsidP="000F5EDB">
      <w:pPr>
        <w:spacing w:after="200" w:line="276" w:lineRule="auto"/>
        <w:rPr>
          <w:rFonts w:eastAsia="Calibri" w:cs="Arial"/>
          <w:sz w:val="24"/>
        </w:rPr>
      </w:pPr>
      <w:r w:rsidRPr="00F81C12">
        <w:rPr>
          <w:rFonts w:eastAsia="Calibri" w:cs="Arial"/>
          <w:sz w:val="24"/>
          <w:highlight w:val="black"/>
        </w:rPr>
        <w:t>HBC would</w:t>
      </w:r>
      <w:r w:rsidRPr="00163DAE">
        <w:rPr>
          <w:rFonts w:eastAsia="Calibri" w:cs="Arial"/>
          <w:sz w:val="24"/>
        </w:rPr>
        <w:t xml:space="preserve"> work closely with and provide update information for the TRDC web and social media communications team. </w:t>
      </w:r>
    </w:p>
    <w:p w:rsidR="000F5EDB" w:rsidRPr="00163DAE" w:rsidRDefault="000F5EDB" w:rsidP="000F5EDB">
      <w:pPr>
        <w:spacing w:after="200" w:line="276" w:lineRule="auto"/>
        <w:rPr>
          <w:rFonts w:eastAsia="Calibri" w:cs="Arial"/>
          <w:sz w:val="24"/>
        </w:rPr>
      </w:pPr>
      <w:r w:rsidRPr="00163DAE">
        <w:rPr>
          <w:rFonts w:eastAsia="Calibri" w:cs="Arial"/>
          <w:sz w:val="24"/>
        </w:rPr>
        <w:t xml:space="preserve">For your information the level of Income from PCNs is similar in both areas, whereas the income received through parking charges and permits is considerably higher in </w:t>
      </w:r>
      <w:r w:rsidRPr="00F81C12">
        <w:rPr>
          <w:rFonts w:eastAsia="Calibri" w:cs="Arial"/>
          <w:sz w:val="24"/>
          <w:highlight w:val="black"/>
        </w:rPr>
        <w:t>Hertsmere.</w:t>
      </w:r>
      <w:r w:rsidRPr="00163DAE">
        <w:rPr>
          <w:rFonts w:eastAsia="Calibri" w:cs="Arial"/>
          <w:sz w:val="24"/>
        </w:rPr>
        <w:t xml:space="preserve"> </w:t>
      </w:r>
    </w:p>
    <w:p w:rsidR="000F5EDB" w:rsidRPr="00163DAE" w:rsidRDefault="000F5EDB" w:rsidP="000F5EDB">
      <w:pPr>
        <w:spacing w:after="200" w:line="276" w:lineRule="auto"/>
        <w:rPr>
          <w:rFonts w:eastAsia="Calibri" w:cs="Arial"/>
          <w:sz w:val="24"/>
        </w:rPr>
      </w:pPr>
      <w:r w:rsidRPr="00F81C12">
        <w:rPr>
          <w:rFonts w:eastAsia="Calibri" w:cs="Arial"/>
          <w:sz w:val="24"/>
          <w:highlight w:val="black"/>
        </w:rPr>
        <w:t>Hertsmere’s</w:t>
      </w:r>
      <w:r w:rsidRPr="00163DAE">
        <w:rPr>
          <w:rFonts w:eastAsia="Calibri" w:cs="Arial"/>
          <w:sz w:val="24"/>
        </w:rPr>
        <w:t xml:space="preserve"> strategy is to ensure traffic is flowing, and that there is a continuing turnover of traffic through our short term strategy of free and minimal charging, this in our view helps the local economy, and has produced a significant funding stream that we have been able to re-invest into upgrading the borough’s car-park infrastructure and back office systems.</w:t>
      </w:r>
    </w:p>
    <w:p w:rsidR="000F5EDB" w:rsidRPr="00163DAE" w:rsidRDefault="000F5EDB" w:rsidP="000F5EDB">
      <w:pPr>
        <w:spacing w:after="200" w:line="276" w:lineRule="auto"/>
        <w:rPr>
          <w:rFonts w:eastAsia="Calibri" w:cs="Arial"/>
          <w:sz w:val="24"/>
        </w:rPr>
      </w:pPr>
      <w:r w:rsidRPr="00163DAE">
        <w:rPr>
          <w:rFonts w:eastAsia="Calibri" w:cs="Arial"/>
          <w:sz w:val="24"/>
        </w:rPr>
        <w:t xml:space="preserve">I have also had preliminary discussions with </w:t>
      </w:r>
      <w:r w:rsidRPr="00F81C12">
        <w:rPr>
          <w:rFonts w:eastAsia="Calibri" w:cs="Arial"/>
          <w:sz w:val="24"/>
          <w:highlight w:val="black"/>
        </w:rPr>
        <w:t>the HBC’s</w:t>
      </w:r>
      <w:r w:rsidRPr="00163DAE">
        <w:rPr>
          <w:rFonts w:eastAsia="Calibri" w:cs="Arial"/>
          <w:sz w:val="24"/>
        </w:rPr>
        <w:t xml:space="preserve"> procurement advisor who has indicated a possible arrangement of this sort would not be bound by procurement rules, but may involve some TUPE obligations, which would probably involve the current enforcement officers undertaking the service in the Three Rivers District, which may prove beneficial to any future arrangement.</w:t>
      </w:r>
    </w:p>
    <w:p w:rsidR="000F5EDB" w:rsidRPr="00163DAE" w:rsidRDefault="000F5EDB" w:rsidP="000F5EDB">
      <w:pPr>
        <w:spacing w:after="200" w:line="276" w:lineRule="auto"/>
        <w:rPr>
          <w:rFonts w:eastAsia="Calibri" w:cs="Arial"/>
          <w:sz w:val="24"/>
        </w:rPr>
      </w:pPr>
      <w:r w:rsidRPr="00163DAE">
        <w:rPr>
          <w:rFonts w:eastAsia="Calibri" w:cs="Arial"/>
          <w:sz w:val="24"/>
        </w:rPr>
        <w:t xml:space="preserve">On behalf of </w:t>
      </w:r>
      <w:r w:rsidRPr="00F81C12">
        <w:rPr>
          <w:rFonts w:eastAsia="Calibri" w:cs="Arial"/>
          <w:sz w:val="24"/>
          <w:highlight w:val="black"/>
        </w:rPr>
        <w:t>Hertsmere Borough Council</w:t>
      </w:r>
      <w:r w:rsidRPr="00163DAE">
        <w:rPr>
          <w:rFonts w:eastAsia="Calibri" w:cs="Arial"/>
          <w:sz w:val="24"/>
        </w:rPr>
        <w:t xml:space="preserve"> I can commit to exploring this shared service opportunity further, and am available to attend meetings to discuss the same with officers and /or members that you deem appropriate </w:t>
      </w:r>
    </w:p>
    <w:p w:rsidR="000F5EDB" w:rsidRPr="00163DAE" w:rsidRDefault="000F5EDB" w:rsidP="000F5EDB">
      <w:pPr>
        <w:spacing w:after="200" w:line="276" w:lineRule="auto"/>
        <w:rPr>
          <w:rFonts w:eastAsia="Calibri" w:cs="Arial"/>
          <w:sz w:val="24"/>
        </w:rPr>
      </w:pPr>
      <w:r w:rsidRPr="00163DAE">
        <w:rPr>
          <w:rFonts w:eastAsia="Calibri" w:cs="Arial"/>
          <w:sz w:val="24"/>
        </w:rPr>
        <w:t xml:space="preserve">Finally I have attached a possible management structure for a shared service </w:t>
      </w:r>
      <w:r w:rsidRPr="00F81C12">
        <w:rPr>
          <w:rFonts w:eastAsia="Calibri" w:cs="Arial"/>
          <w:sz w:val="24"/>
          <w:highlight w:val="black"/>
        </w:rPr>
        <w:t>TRDC / HBC</w:t>
      </w:r>
      <w:r w:rsidRPr="00163DAE">
        <w:rPr>
          <w:rFonts w:eastAsia="Calibri" w:cs="Arial"/>
          <w:sz w:val="24"/>
        </w:rPr>
        <w:t xml:space="preserve"> parking service.</w:t>
      </w:r>
    </w:p>
    <w:p w:rsidR="000F5EDB" w:rsidRDefault="000F5EDB" w:rsidP="000F5EDB">
      <w:pPr>
        <w:rPr>
          <w:sz w:val="24"/>
        </w:rPr>
      </w:pPr>
    </w:p>
    <w:p w:rsidR="000F5EDB" w:rsidRDefault="000F5EDB" w:rsidP="000F5EDB">
      <w:pPr>
        <w:rPr>
          <w:sz w:val="24"/>
        </w:rPr>
      </w:pPr>
      <w:r>
        <w:rPr>
          <w:sz w:val="24"/>
        </w:rPr>
        <w:t>Yours sincerely</w:t>
      </w:r>
    </w:p>
    <w:p w:rsidR="000F5EDB" w:rsidRDefault="000F5EDB" w:rsidP="000F5EDB">
      <w:pPr>
        <w:rPr>
          <w:sz w:val="24"/>
        </w:rPr>
      </w:pPr>
    </w:p>
    <w:p w:rsidR="000F5EDB" w:rsidRDefault="000F5EDB" w:rsidP="000F5EDB">
      <w:pPr>
        <w:rPr>
          <w:sz w:val="24"/>
        </w:rPr>
      </w:pPr>
    </w:p>
    <w:p w:rsidR="000F5EDB" w:rsidRDefault="000F5EDB" w:rsidP="000F5EDB">
      <w:pPr>
        <w:rPr>
          <w:sz w:val="24"/>
        </w:rPr>
      </w:pPr>
    </w:p>
    <w:p w:rsidR="000F5EDB" w:rsidRPr="00A92393" w:rsidRDefault="000F5EDB" w:rsidP="000F5EDB">
      <w:pPr>
        <w:rPr>
          <w:sz w:val="24"/>
        </w:rPr>
      </w:pPr>
    </w:p>
    <w:p w:rsidR="000F5EDB" w:rsidRPr="00A92393" w:rsidRDefault="000F5EDB" w:rsidP="000F5EDB">
      <w:pPr>
        <w:rPr>
          <w:sz w:val="24"/>
        </w:rPr>
      </w:pPr>
    </w:p>
    <w:p w:rsidR="000F5EDB" w:rsidRPr="00F81C12" w:rsidRDefault="000F5EDB" w:rsidP="000F5EDB">
      <w:pPr>
        <w:tabs>
          <w:tab w:val="left" w:pos="2136"/>
        </w:tabs>
        <w:rPr>
          <w:b/>
          <w:bCs/>
          <w:sz w:val="24"/>
          <w:highlight w:val="black"/>
        </w:rPr>
      </w:pPr>
      <w:r w:rsidRPr="00F81C12">
        <w:rPr>
          <w:b/>
          <w:bCs/>
          <w:sz w:val="24"/>
          <w:highlight w:val="black"/>
        </w:rPr>
        <w:t>Steve Burt</w:t>
      </w:r>
      <w:r>
        <w:rPr>
          <w:b/>
          <w:bCs/>
          <w:sz w:val="24"/>
          <w:highlight w:val="black"/>
        </w:rPr>
        <w:t xml:space="preserve">    </w:t>
      </w:r>
      <w:r w:rsidRPr="00F81C12">
        <w:rPr>
          <w:b/>
          <w:bCs/>
          <w:sz w:val="24"/>
          <w:highlight w:val="black"/>
        </w:rPr>
        <w:t>o</w:t>
      </w:r>
      <w:r>
        <w:rPr>
          <w:b/>
          <w:bCs/>
          <w:sz w:val="24"/>
          <w:highlight w:val="black"/>
        </w:rPr>
        <w:t xml:space="preserve">        </w:t>
      </w:r>
      <w:r w:rsidRPr="00F81C12">
        <w:rPr>
          <w:b/>
          <w:bCs/>
          <w:sz w:val="24"/>
          <w:highlight w:val="black"/>
        </w:rPr>
        <w:t>n</w:t>
      </w:r>
    </w:p>
    <w:p w:rsidR="000F5EDB" w:rsidRPr="00A92393" w:rsidRDefault="000F5EDB" w:rsidP="000F5EDB">
      <w:pPr>
        <w:tabs>
          <w:tab w:val="left" w:pos="2136"/>
        </w:tabs>
        <w:rPr>
          <w:b/>
          <w:bCs/>
          <w:sz w:val="24"/>
        </w:rPr>
      </w:pPr>
      <w:r w:rsidRPr="00F81C12">
        <w:rPr>
          <w:b/>
          <w:bCs/>
          <w:sz w:val="24"/>
          <w:highlight w:val="black"/>
        </w:rPr>
        <w:t>Head of Street S</w:t>
      </w:r>
      <w:r>
        <w:rPr>
          <w:b/>
          <w:bCs/>
          <w:sz w:val="24"/>
          <w:highlight w:val="black"/>
        </w:rPr>
        <w:t xml:space="preserve"> </w:t>
      </w:r>
      <w:proofErr w:type="spellStart"/>
      <w:r w:rsidRPr="00F81C12">
        <w:rPr>
          <w:b/>
          <w:bCs/>
          <w:sz w:val="24"/>
          <w:highlight w:val="black"/>
        </w:rPr>
        <w:t>cen</w:t>
      </w:r>
      <w:proofErr w:type="spellEnd"/>
      <w:r>
        <w:rPr>
          <w:b/>
          <w:bCs/>
          <w:sz w:val="24"/>
          <w:highlight w:val="black"/>
        </w:rPr>
        <w:t xml:space="preserve">              </w:t>
      </w:r>
      <w:r w:rsidRPr="00F81C12">
        <w:rPr>
          <w:b/>
          <w:bCs/>
          <w:sz w:val="24"/>
          <w:highlight w:val="black"/>
        </w:rPr>
        <w:t>e</w:t>
      </w:r>
    </w:p>
    <w:p w:rsidR="000F5EDB" w:rsidRDefault="000F5EDB" w:rsidP="000F5EDB">
      <w:pPr>
        <w:tabs>
          <w:tab w:val="left" w:pos="2136"/>
        </w:tabs>
        <w:rPr>
          <w:b/>
          <w:bCs/>
          <w:sz w:val="24"/>
        </w:rPr>
      </w:pPr>
    </w:p>
    <w:p w:rsidR="000F5EDB" w:rsidRPr="00163DAE" w:rsidRDefault="000F5EDB" w:rsidP="000F5EDB">
      <w:pPr>
        <w:tabs>
          <w:tab w:val="left" w:pos="2136"/>
        </w:tabs>
        <w:rPr>
          <w:bCs/>
          <w:sz w:val="24"/>
        </w:rPr>
      </w:pPr>
      <w:proofErr w:type="gramStart"/>
      <w:r w:rsidRPr="00163DAE">
        <w:rPr>
          <w:bCs/>
          <w:sz w:val="24"/>
        </w:rPr>
        <w:t>Encl.</w:t>
      </w:r>
      <w:proofErr w:type="gramEnd"/>
    </w:p>
    <w:p w:rsidR="000D52F2" w:rsidRDefault="000D52F2"/>
    <w:sectPr w:rsidR="000D52F2">
      <w:type w:val="continuous"/>
      <w:pgSz w:w="11906" w:h="16838" w:code="9"/>
      <w:pgMar w:top="1134" w:right="1134" w:bottom="1134" w:left="1219" w:header="709" w:footer="709" w:gutter="0"/>
      <w:paperSrc w:first="260" w:other="261"/>
      <w:cols w:space="708" w:equalWidth="0">
        <w:col w:w="9553" w:space="70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E14" w:rsidRDefault="00320E14" w:rsidP="00320E14">
      <w:r>
        <w:separator/>
      </w:r>
    </w:p>
  </w:endnote>
  <w:endnote w:type="continuationSeparator" w:id="0">
    <w:p w:rsidR="00320E14" w:rsidRDefault="00320E14" w:rsidP="0032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E14" w:rsidRDefault="00320E14" w:rsidP="00320E14">
      <w:r>
        <w:separator/>
      </w:r>
    </w:p>
  </w:footnote>
  <w:footnote w:type="continuationSeparator" w:id="0">
    <w:p w:rsidR="00320E14" w:rsidRDefault="00320E14" w:rsidP="00320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E14" w:rsidRDefault="00320E14">
    <w:pPr>
      <w:pStyle w:val="Header"/>
    </w:pPr>
    <w:r>
      <w:tab/>
    </w:r>
    <w:r>
      <w:tab/>
      <w:t>Appendix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DB"/>
    <w:rsid w:val="00051FFF"/>
    <w:rsid w:val="000D52F2"/>
    <w:rsid w:val="000F5EDB"/>
    <w:rsid w:val="00320E14"/>
    <w:rsid w:val="00357416"/>
    <w:rsid w:val="00415B64"/>
    <w:rsid w:val="00673579"/>
    <w:rsid w:val="00911004"/>
    <w:rsid w:val="009E224C"/>
    <w:rsid w:val="00A77AF1"/>
    <w:rsid w:val="00E47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after="1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EDB"/>
    <w:pPr>
      <w:spacing w:after="0"/>
    </w:pPr>
    <w:rPr>
      <w:rFonts w:ascii="Arial" w:hAnsi="Arial"/>
      <w:sz w:val="22"/>
      <w:szCs w:val="24"/>
      <w:lang w:eastAsia="en-US"/>
    </w:rPr>
  </w:style>
  <w:style w:type="paragraph" w:styleId="Heading1">
    <w:name w:val="heading 1"/>
    <w:basedOn w:val="Normal"/>
    <w:next w:val="Normal"/>
    <w:qFormat/>
    <w:rsid w:val="00673579"/>
    <w:pPr>
      <w:tabs>
        <w:tab w:val="left" w:pos="1267"/>
        <w:tab w:val="left" w:pos="1987"/>
        <w:tab w:val="left" w:pos="2707"/>
        <w:tab w:val="left" w:pos="3420"/>
        <w:tab w:val="left" w:pos="3672"/>
      </w:tabs>
      <w:spacing w:after="120"/>
      <w:jc w:val="both"/>
      <w:outlineLvl w:val="0"/>
    </w:pPr>
    <w:rPr>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0E14"/>
    <w:pPr>
      <w:tabs>
        <w:tab w:val="center" w:pos="4513"/>
        <w:tab w:val="right" w:pos="9026"/>
      </w:tabs>
    </w:pPr>
  </w:style>
  <w:style w:type="character" w:customStyle="1" w:styleId="HeaderChar">
    <w:name w:val="Header Char"/>
    <w:basedOn w:val="DefaultParagraphFont"/>
    <w:link w:val="Header"/>
    <w:rsid w:val="00320E14"/>
    <w:rPr>
      <w:rFonts w:ascii="Arial" w:hAnsi="Arial"/>
      <w:sz w:val="22"/>
      <w:szCs w:val="24"/>
      <w:lang w:eastAsia="en-US"/>
    </w:rPr>
  </w:style>
  <w:style w:type="paragraph" w:styleId="Footer">
    <w:name w:val="footer"/>
    <w:basedOn w:val="Normal"/>
    <w:link w:val="FooterChar"/>
    <w:rsid w:val="00320E14"/>
    <w:pPr>
      <w:tabs>
        <w:tab w:val="center" w:pos="4513"/>
        <w:tab w:val="right" w:pos="9026"/>
      </w:tabs>
    </w:pPr>
  </w:style>
  <w:style w:type="character" w:customStyle="1" w:styleId="FooterChar">
    <w:name w:val="Footer Char"/>
    <w:basedOn w:val="DefaultParagraphFont"/>
    <w:link w:val="Footer"/>
    <w:rsid w:val="00320E14"/>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after="1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EDB"/>
    <w:pPr>
      <w:spacing w:after="0"/>
    </w:pPr>
    <w:rPr>
      <w:rFonts w:ascii="Arial" w:hAnsi="Arial"/>
      <w:sz w:val="22"/>
      <w:szCs w:val="24"/>
      <w:lang w:eastAsia="en-US"/>
    </w:rPr>
  </w:style>
  <w:style w:type="paragraph" w:styleId="Heading1">
    <w:name w:val="heading 1"/>
    <w:basedOn w:val="Normal"/>
    <w:next w:val="Normal"/>
    <w:qFormat/>
    <w:rsid w:val="00673579"/>
    <w:pPr>
      <w:tabs>
        <w:tab w:val="left" w:pos="1267"/>
        <w:tab w:val="left" w:pos="1987"/>
        <w:tab w:val="left" w:pos="2707"/>
        <w:tab w:val="left" w:pos="3420"/>
        <w:tab w:val="left" w:pos="3672"/>
      </w:tabs>
      <w:spacing w:after="120"/>
      <w:jc w:val="both"/>
      <w:outlineLvl w:val="0"/>
    </w:pPr>
    <w:rPr>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0E14"/>
    <w:pPr>
      <w:tabs>
        <w:tab w:val="center" w:pos="4513"/>
        <w:tab w:val="right" w:pos="9026"/>
      </w:tabs>
    </w:pPr>
  </w:style>
  <w:style w:type="character" w:customStyle="1" w:styleId="HeaderChar">
    <w:name w:val="Header Char"/>
    <w:basedOn w:val="DefaultParagraphFont"/>
    <w:link w:val="Header"/>
    <w:rsid w:val="00320E14"/>
    <w:rPr>
      <w:rFonts w:ascii="Arial" w:hAnsi="Arial"/>
      <w:sz w:val="22"/>
      <w:szCs w:val="24"/>
      <w:lang w:eastAsia="en-US"/>
    </w:rPr>
  </w:style>
  <w:style w:type="paragraph" w:styleId="Footer">
    <w:name w:val="footer"/>
    <w:basedOn w:val="Normal"/>
    <w:link w:val="FooterChar"/>
    <w:rsid w:val="00320E14"/>
    <w:pPr>
      <w:tabs>
        <w:tab w:val="center" w:pos="4513"/>
        <w:tab w:val="right" w:pos="9026"/>
      </w:tabs>
    </w:pPr>
  </w:style>
  <w:style w:type="character" w:customStyle="1" w:styleId="FooterChar">
    <w:name w:val="Footer Char"/>
    <w:basedOn w:val="DefaultParagraphFont"/>
    <w:link w:val="Footer"/>
    <w:rsid w:val="00320E14"/>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 Simons</dc:creator>
  <cp:lastModifiedBy>Helen Wailling</cp:lastModifiedBy>
  <cp:revision>2</cp:revision>
  <dcterms:created xsi:type="dcterms:W3CDTF">2016-11-07T17:48:00Z</dcterms:created>
  <dcterms:modified xsi:type="dcterms:W3CDTF">2016-11-07T17:48:00Z</dcterms:modified>
</cp:coreProperties>
</file>