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CF" w:rsidRDefault="006B0AC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color w:val="000000"/>
          <w:szCs w:val="22"/>
        </w:rPr>
      </w:pPr>
      <w:r>
        <w:rPr>
          <w:rFonts w:cs="Arial"/>
          <w:b w:val="0"/>
          <w:color w:val="000000"/>
          <w:szCs w:val="22"/>
        </w:rPr>
        <w:t xml:space="preserve">Recommendations from </w:t>
      </w:r>
      <w:r w:rsidR="004C0D1D">
        <w:rPr>
          <w:rFonts w:cs="Arial"/>
          <w:color w:val="000000"/>
          <w:szCs w:val="22"/>
        </w:rPr>
        <w:t xml:space="preserve">Policy and Resources </w:t>
      </w:r>
      <w:r>
        <w:rPr>
          <w:rFonts w:cs="Arial"/>
          <w:color w:val="000000"/>
          <w:szCs w:val="22"/>
        </w:rPr>
        <w:t>Committee</w:t>
      </w:r>
      <w:r w:rsidR="007B1CEA">
        <w:rPr>
          <w:rFonts w:cs="Arial"/>
          <w:b w:val="0"/>
          <w:color w:val="000000"/>
          <w:szCs w:val="22"/>
        </w:rPr>
        <w:t xml:space="preserve"> held on </w:t>
      </w:r>
      <w:r w:rsidR="004C0D1D">
        <w:rPr>
          <w:rFonts w:cs="Arial"/>
          <w:b w:val="0"/>
          <w:color w:val="000000"/>
          <w:szCs w:val="22"/>
        </w:rPr>
        <w:t>12 September 2016 and 6 October 2016</w:t>
      </w:r>
    </w:p>
    <w:p w:rsidR="006B0ACF" w:rsidRPr="004C0D1D" w:rsidRDefault="006B0ACF"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szCs w:val="22"/>
        </w:rPr>
      </w:pPr>
    </w:p>
    <w:p w:rsidR="004C0D1D" w:rsidRPr="004C0D1D" w:rsidRDefault="004C0D1D" w:rsidP="004C0D1D">
      <w:pPr>
        <w:tabs>
          <w:tab w:val="left" w:pos="567"/>
        </w:tabs>
        <w:ind w:left="1440" w:right="1165" w:hanging="1440"/>
        <w:jc w:val="both"/>
        <w:rPr>
          <w:rFonts w:ascii="Arial" w:hAnsi="Arial" w:cs="Arial"/>
          <w:b/>
          <w:sz w:val="22"/>
          <w:szCs w:val="22"/>
        </w:rPr>
      </w:pPr>
      <w:r w:rsidRPr="004C0D1D">
        <w:rPr>
          <w:rFonts w:ascii="Arial" w:hAnsi="Arial" w:cs="Arial"/>
          <w:b/>
          <w:sz w:val="22"/>
          <w:szCs w:val="22"/>
        </w:rPr>
        <w:t>PR36/16</w:t>
      </w:r>
      <w:r w:rsidRPr="004C0D1D">
        <w:rPr>
          <w:rFonts w:ascii="Arial" w:hAnsi="Arial" w:cs="Arial"/>
          <w:b/>
          <w:sz w:val="22"/>
          <w:szCs w:val="22"/>
        </w:rPr>
        <w:tab/>
        <w:t>DESIGNATION OF HOUSING PROVIDERS TO ISSUE COMMUNITY PROTECTION NOTICES</w:t>
      </w:r>
    </w:p>
    <w:p w:rsidR="004C0D1D" w:rsidRPr="004C0D1D" w:rsidRDefault="004C0D1D" w:rsidP="004C0D1D">
      <w:pPr>
        <w:tabs>
          <w:tab w:val="left" w:pos="567"/>
        </w:tabs>
        <w:ind w:left="1440" w:right="1165" w:hanging="1440"/>
        <w:jc w:val="both"/>
        <w:rPr>
          <w:rFonts w:ascii="Arial" w:hAnsi="Arial" w:cs="Arial"/>
          <w:color w:val="7030A0"/>
          <w:sz w:val="22"/>
          <w:szCs w:val="22"/>
        </w:rPr>
      </w:pPr>
    </w:p>
    <w:p w:rsidR="004C0D1D" w:rsidRPr="004C0D1D" w:rsidRDefault="004C0D1D" w:rsidP="004C0D1D">
      <w:pPr>
        <w:ind w:left="1276"/>
        <w:rPr>
          <w:rFonts w:ascii="Arial" w:hAnsi="Arial" w:cs="Arial"/>
          <w:sz w:val="22"/>
          <w:szCs w:val="22"/>
        </w:rPr>
      </w:pPr>
      <w:r w:rsidRPr="004C0D1D">
        <w:rPr>
          <w:rFonts w:ascii="Arial" w:hAnsi="Arial" w:cs="Arial"/>
          <w:sz w:val="22"/>
          <w:szCs w:val="22"/>
        </w:rPr>
        <w:t>RECOMMEND:</w:t>
      </w:r>
    </w:p>
    <w:p w:rsidR="004C0D1D" w:rsidRPr="004C0D1D" w:rsidRDefault="004C0D1D" w:rsidP="004C0D1D">
      <w:pPr>
        <w:pStyle w:val="ListParagraph"/>
        <w:ind w:left="1440"/>
        <w:rPr>
          <w:rFonts w:cs="Arial"/>
          <w:sz w:val="22"/>
          <w:szCs w:val="22"/>
        </w:rPr>
      </w:pPr>
    </w:p>
    <w:p w:rsidR="004C0D1D" w:rsidRPr="004C0D1D" w:rsidRDefault="004C0D1D" w:rsidP="004C0D1D">
      <w:pPr>
        <w:pStyle w:val="ListParagraph"/>
        <w:numPr>
          <w:ilvl w:val="0"/>
          <w:numId w:val="4"/>
        </w:numPr>
        <w:jc w:val="both"/>
        <w:rPr>
          <w:rFonts w:cs="Arial"/>
          <w:sz w:val="22"/>
          <w:szCs w:val="22"/>
        </w:rPr>
      </w:pPr>
      <w:r w:rsidRPr="004C0D1D">
        <w:rPr>
          <w:rFonts w:cs="Arial"/>
          <w:sz w:val="22"/>
          <w:szCs w:val="22"/>
        </w:rPr>
        <w:t>To designate both Thrive Homes and Watford Community Housing Trust to issue Community Protection Notices (CPNs) and Fixed Penalty Notices (FPNs) for the breach of CPNs subject to the Solicitor for the Council being satisfied that their proposed designated officers have been appropriately trained.</w:t>
      </w:r>
      <w:r w:rsidRPr="004C0D1D">
        <w:rPr>
          <w:rFonts w:cs="Arial"/>
          <w:sz w:val="22"/>
          <w:szCs w:val="22"/>
        </w:rPr>
        <w:fldChar w:fldCharType="begin"/>
      </w:r>
      <w:r w:rsidRPr="004C0D1D">
        <w:rPr>
          <w:rFonts w:cs="Arial"/>
          <w:sz w:val="22"/>
          <w:szCs w:val="22"/>
        </w:rPr>
        <w:instrText xml:space="preserve">  </w:instrText>
      </w:r>
      <w:r w:rsidRPr="004C0D1D">
        <w:rPr>
          <w:rFonts w:cs="Arial"/>
          <w:sz w:val="22"/>
          <w:szCs w:val="22"/>
        </w:rPr>
        <w:fldChar w:fldCharType="end"/>
      </w:r>
    </w:p>
    <w:p w:rsidR="004C0D1D" w:rsidRPr="004C0D1D" w:rsidRDefault="004C0D1D" w:rsidP="004C0D1D">
      <w:pPr>
        <w:jc w:val="both"/>
        <w:rPr>
          <w:rFonts w:ascii="Arial" w:hAnsi="Arial" w:cs="Arial"/>
          <w:sz w:val="22"/>
          <w:szCs w:val="22"/>
        </w:rPr>
      </w:pPr>
    </w:p>
    <w:p w:rsidR="004C0D1D" w:rsidRPr="004C0D1D" w:rsidRDefault="004C0D1D" w:rsidP="004C0D1D">
      <w:pPr>
        <w:pStyle w:val="ListParagraph"/>
        <w:numPr>
          <w:ilvl w:val="0"/>
          <w:numId w:val="5"/>
        </w:numPr>
        <w:jc w:val="both"/>
        <w:rPr>
          <w:rFonts w:cs="Arial"/>
          <w:sz w:val="22"/>
          <w:szCs w:val="22"/>
        </w:rPr>
      </w:pPr>
      <w:r w:rsidRPr="004C0D1D">
        <w:rPr>
          <w:rFonts w:cs="Arial"/>
          <w:sz w:val="22"/>
          <w:szCs w:val="22"/>
        </w:rPr>
        <w:t>To authorise the Chief Executive to designate any other appropriate Housing Pro</w:t>
      </w:r>
      <w:bookmarkStart w:id="0" w:name="_GoBack"/>
      <w:bookmarkEnd w:id="0"/>
      <w:r w:rsidRPr="004C0D1D">
        <w:rPr>
          <w:rFonts w:cs="Arial"/>
          <w:sz w:val="22"/>
          <w:szCs w:val="22"/>
        </w:rPr>
        <w:t xml:space="preserve">vider to issue CPNs and FPNs subject to the Solicitor for the Council being satisfied that their proposed designated officers have been appropriately trained. </w:t>
      </w:r>
    </w:p>
    <w:p w:rsidR="004C0D1D" w:rsidRPr="004C0D1D" w:rsidRDefault="004C0D1D" w:rsidP="004C0D1D">
      <w:pPr>
        <w:jc w:val="both"/>
        <w:rPr>
          <w:rFonts w:ascii="Arial" w:hAnsi="Arial" w:cs="Arial"/>
          <w:sz w:val="22"/>
          <w:szCs w:val="22"/>
        </w:rPr>
      </w:pPr>
    </w:p>
    <w:p w:rsidR="004C0D1D" w:rsidRPr="004C0D1D" w:rsidRDefault="004C0D1D" w:rsidP="004C0D1D">
      <w:pPr>
        <w:pStyle w:val="ListParagraph"/>
        <w:numPr>
          <w:ilvl w:val="0"/>
          <w:numId w:val="5"/>
        </w:numPr>
        <w:jc w:val="both"/>
        <w:rPr>
          <w:rFonts w:cs="Arial"/>
          <w:sz w:val="22"/>
          <w:szCs w:val="22"/>
        </w:rPr>
      </w:pPr>
      <w:r w:rsidRPr="004C0D1D">
        <w:rPr>
          <w:rFonts w:cs="Arial"/>
          <w:sz w:val="22"/>
          <w:szCs w:val="22"/>
        </w:rPr>
        <w:t xml:space="preserve">That the Head of Community Partnerships be delegated to issue and sign a Memorandum of Understanding with each designated Housing Provider, and appropriate protocols for the issue of CPNs and FPNs.  </w:t>
      </w:r>
    </w:p>
    <w:p w:rsidR="004C0D1D" w:rsidRPr="004C0D1D" w:rsidRDefault="004C0D1D" w:rsidP="004C0D1D">
      <w:pPr>
        <w:jc w:val="both"/>
        <w:rPr>
          <w:rFonts w:ascii="Arial" w:hAnsi="Arial" w:cs="Arial"/>
          <w:sz w:val="22"/>
          <w:szCs w:val="22"/>
        </w:rPr>
      </w:pPr>
    </w:p>
    <w:p w:rsidR="004C0D1D" w:rsidRPr="004C0D1D" w:rsidRDefault="004C0D1D" w:rsidP="004C0D1D">
      <w:pPr>
        <w:pStyle w:val="ListParagraph"/>
        <w:numPr>
          <w:ilvl w:val="0"/>
          <w:numId w:val="5"/>
        </w:numPr>
        <w:jc w:val="both"/>
        <w:rPr>
          <w:rFonts w:cs="Arial"/>
          <w:sz w:val="22"/>
          <w:szCs w:val="22"/>
        </w:rPr>
      </w:pPr>
      <w:r w:rsidRPr="004C0D1D">
        <w:rPr>
          <w:rFonts w:cs="Arial"/>
          <w:sz w:val="22"/>
          <w:szCs w:val="22"/>
        </w:rPr>
        <w:t>That when the Memorandum of Understanding is agreed a copy be circulated to all the Councillors.</w:t>
      </w:r>
    </w:p>
    <w:p w:rsidR="004C0D1D" w:rsidRPr="004C0D1D" w:rsidRDefault="004C0D1D" w:rsidP="004C0D1D">
      <w:pPr>
        <w:pStyle w:val="ListParagraph"/>
        <w:ind w:left="1440"/>
        <w:jc w:val="both"/>
        <w:rPr>
          <w:rFonts w:cs="Arial"/>
          <w:sz w:val="22"/>
          <w:szCs w:val="22"/>
        </w:rPr>
      </w:pPr>
    </w:p>
    <w:p w:rsidR="004C0D1D" w:rsidRPr="004C0D1D" w:rsidRDefault="004C0D1D" w:rsidP="004C0D1D">
      <w:pPr>
        <w:tabs>
          <w:tab w:val="left" w:pos="567"/>
        </w:tabs>
        <w:ind w:left="1276" w:right="1165" w:hanging="1276"/>
        <w:jc w:val="both"/>
        <w:rPr>
          <w:rFonts w:ascii="Arial" w:hAnsi="Arial" w:cs="Arial"/>
          <w:b/>
          <w:sz w:val="22"/>
          <w:szCs w:val="22"/>
        </w:rPr>
      </w:pPr>
      <w:r w:rsidRPr="004C0D1D">
        <w:rPr>
          <w:rFonts w:ascii="Arial" w:hAnsi="Arial" w:cs="Arial"/>
          <w:b/>
          <w:sz w:val="22"/>
          <w:szCs w:val="22"/>
        </w:rPr>
        <w:t>PR53/16</w:t>
      </w:r>
      <w:r w:rsidRPr="004C0D1D">
        <w:rPr>
          <w:rFonts w:ascii="Arial" w:hAnsi="Arial" w:cs="Arial"/>
          <w:b/>
          <w:sz w:val="22"/>
          <w:szCs w:val="22"/>
        </w:rPr>
        <w:tab/>
        <w:t>BUDGET MONITORING – MONTH 4 (JULY 2016)</w:t>
      </w:r>
    </w:p>
    <w:p w:rsidR="004C0D1D" w:rsidRDefault="004C0D1D" w:rsidP="004C0D1D">
      <w:pPr>
        <w:tabs>
          <w:tab w:val="left" w:pos="567"/>
        </w:tabs>
        <w:ind w:left="1440" w:right="1165" w:hanging="1440"/>
        <w:jc w:val="both"/>
        <w:rPr>
          <w:rFonts w:cs="Arial"/>
          <w:color w:val="7030A0"/>
          <w:sz w:val="22"/>
          <w:szCs w:val="22"/>
        </w:rPr>
      </w:pPr>
    </w:p>
    <w:p w:rsidR="004C0D1D" w:rsidRPr="004C0D1D" w:rsidRDefault="004C0D1D" w:rsidP="004C0D1D">
      <w:pPr>
        <w:tabs>
          <w:tab w:val="left" w:pos="567"/>
        </w:tabs>
        <w:ind w:left="1276" w:right="1165" w:hanging="1276"/>
        <w:jc w:val="both"/>
        <w:rPr>
          <w:rFonts w:ascii="Arial" w:hAnsi="Arial" w:cs="Arial"/>
          <w:sz w:val="22"/>
          <w:szCs w:val="22"/>
        </w:rPr>
      </w:pPr>
      <w:r w:rsidRPr="004C0D1D">
        <w:rPr>
          <w:rFonts w:ascii="Arial" w:hAnsi="Arial" w:cs="Arial"/>
          <w:color w:val="7030A0"/>
          <w:sz w:val="22"/>
          <w:szCs w:val="22"/>
        </w:rPr>
        <w:tab/>
      </w:r>
      <w:r w:rsidRPr="004C0D1D">
        <w:rPr>
          <w:rFonts w:ascii="Arial" w:hAnsi="Arial" w:cs="Arial"/>
          <w:color w:val="7030A0"/>
          <w:sz w:val="22"/>
          <w:szCs w:val="22"/>
        </w:rPr>
        <w:tab/>
      </w:r>
      <w:r w:rsidRPr="004C0D1D">
        <w:rPr>
          <w:rFonts w:ascii="Arial" w:hAnsi="Arial" w:cs="Arial"/>
          <w:sz w:val="22"/>
          <w:szCs w:val="22"/>
        </w:rPr>
        <w:t>RECOMMEND:</w:t>
      </w:r>
    </w:p>
    <w:p w:rsidR="004C0D1D" w:rsidRPr="004C0D1D" w:rsidRDefault="004C0D1D" w:rsidP="004C0D1D">
      <w:pPr>
        <w:tabs>
          <w:tab w:val="left" w:pos="567"/>
        </w:tabs>
        <w:ind w:right="6"/>
        <w:jc w:val="both"/>
        <w:rPr>
          <w:rFonts w:ascii="Arial" w:hAnsi="Arial" w:cs="Arial"/>
          <w:color w:val="7030A0"/>
          <w:sz w:val="22"/>
          <w:szCs w:val="22"/>
        </w:rPr>
      </w:pPr>
    </w:p>
    <w:p w:rsidR="004C0D1D" w:rsidRPr="004C0D1D" w:rsidRDefault="004C0D1D" w:rsidP="004C0D1D">
      <w:pPr>
        <w:keepNext/>
        <w:ind w:left="1267" w:hanging="1267"/>
        <w:rPr>
          <w:rFonts w:ascii="Arial" w:hAnsi="Arial" w:cs="Arial"/>
          <w:sz w:val="22"/>
          <w:szCs w:val="22"/>
        </w:rPr>
      </w:pPr>
      <w:r w:rsidRPr="004C0D1D">
        <w:rPr>
          <w:rFonts w:ascii="Arial" w:hAnsi="Arial" w:cs="Arial"/>
          <w:sz w:val="22"/>
          <w:szCs w:val="22"/>
        </w:rPr>
        <w:tab/>
        <w:t>To Council:</w:t>
      </w:r>
    </w:p>
    <w:p w:rsidR="004C0D1D" w:rsidRPr="004C0D1D" w:rsidRDefault="004C0D1D" w:rsidP="004C0D1D">
      <w:pPr>
        <w:keepNext/>
        <w:tabs>
          <w:tab w:val="left" w:pos="567"/>
        </w:tabs>
        <w:ind w:left="1267" w:hanging="1267"/>
        <w:rPr>
          <w:rFonts w:ascii="Arial" w:hAnsi="Arial" w:cs="Arial"/>
          <w:sz w:val="22"/>
          <w:szCs w:val="22"/>
        </w:rPr>
      </w:pPr>
    </w:p>
    <w:p w:rsidR="004C0D1D" w:rsidRPr="004C0D1D" w:rsidRDefault="004C0D1D" w:rsidP="004C0D1D">
      <w:pPr>
        <w:keepNext/>
        <w:tabs>
          <w:tab w:val="left" w:pos="567"/>
        </w:tabs>
        <w:ind w:left="1267" w:hanging="1267"/>
        <w:rPr>
          <w:rFonts w:ascii="Arial" w:hAnsi="Arial" w:cs="Arial"/>
          <w:sz w:val="22"/>
          <w:szCs w:val="22"/>
        </w:rPr>
      </w:pPr>
      <w:r w:rsidRPr="004C0D1D">
        <w:rPr>
          <w:rFonts w:ascii="Arial" w:hAnsi="Arial" w:cs="Arial"/>
          <w:sz w:val="22"/>
          <w:szCs w:val="22"/>
        </w:rPr>
        <w:tab/>
      </w:r>
      <w:r w:rsidRPr="004C0D1D">
        <w:rPr>
          <w:rFonts w:ascii="Arial" w:hAnsi="Arial" w:cs="Arial"/>
          <w:sz w:val="22"/>
          <w:szCs w:val="22"/>
        </w:rPr>
        <w:tab/>
        <w:t>That the following revenue and capital budget variations be approved and incorporated into the three-year medium-term financial plan:-</w:t>
      </w:r>
    </w:p>
    <w:p w:rsidR="004C0D1D" w:rsidRPr="004C0D1D" w:rsidRDefault="004C0D1D" w:rsidP="004C0D1D">
      <w:pPr>
        <w:keepNext/>
        <w:tabs>
          <w:tab w:val="left" w:pos="567"/>
        </w:tabs>
        <w:ind w:left="1267" w:hanging="1267"/>
        <w:rPr>
          <w:rFonts w:ascii="Arial" w:hAnsi="Arial" w:cs="Arial"/>
          <w:sz w:val="22"/>
          <w:szCs w:val="22"/>
        </w:rPr>
      </w:pPr>
    </w:p>
    <w:tbl>
      <w:tblPr>
        <w:tblW w:w="7938"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559"/>
        <w:gridCol w:w="1276"/>
        <w:gridCol w:w="1134"/>
      </w:tblGrid>
      <w:tr w:rsidR="004C0D1D" w:rsidRPr="004C0D1D" w:rsidTr="0024709F">
        <w:tc>
          <w:tcPr>
            <w:tcW w:w="3969" w:type="dxa"/>
          </w:tcPr>
          <w:p w:rsidR="004C0D1D" w:rsidRPr="004C0D1D" w:rsidRDefault="004C0D1D" w:rsidP="0024709F">
            <w:pPr>
              <w:widowControl w:val="0"/>
              <w:jc w:val="center"/>
              <w:rPr>
                <w:rFonts w:ascii="Arial" w:hAnsi="Arial" w:cs="Arial"/>
                <w:sz w:val="22"/>
                <w:szCs w:val="22"/>
              </w:rPr>
            </w:pPr>
          </w:p>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Variance</w:t>
            </w:r>
          </w:p>
        </w:tc>
        <w:tc>
          <w:tcPr>
            <w:tcW w:w="1559" w:type="dxa"/>
          </w:tcPr>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2016/17</w:t>
            </w:r>
          </w:p>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w:t>
            </w:r>
          </w:p>
        </w:tc>
        <w:tc>
          <w:tcPr>
            <w:tcW w:w="1276" w:type="dxa"/>
          </w:tcPr>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2017/18</w:t>
            </w:r>
          </w:p>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w:t>
            </w:r>
          </w:p>
        </w:tc>
        <w:tc>
          <w:tcPr>
            <w:tcW w:w="1134" w:type="dxa"/>
          </w:tcPr>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2018/19</w:t>
            </w:r>
          </w:p>
          <w:p w:rsidR="004C0D1D" w:rsidRPr="004C0D1D" w:rsidRDefault="004C0D1D" w:rsidP="0024709F">
            <w:pPr>
              <w:widowControl w:val="0"/>
              <w:jc w:val="center"/>
              <w:rPr>
                <w:rFonts w:ascii="Arial" w:hAnsi="Arial" w:cs="Arial"/>
                <w:sz w:val="22"/>
                <w:szCs w:val="22"/>
              </w:rPr>
            </w:pPr>
            <w:r w:rsidRPr="004C0D1D">
              <w:rPr>
                <w:rFonts w:ascii="Arial" w:hAnsi="Arial" w:cs="Arial"/>
                <w:sz w:val="22"/>
                <w:szCs w:val="22"/>
              </w:rPr>
              <w:t>£</w:t>
            </w:r>
          </w:p>
        </w:tc>
      </w:tr>
      <w:tr w:rsidR="004C0D1D" w:rsidRPr="004C0D1D" w:rsidTr="0024709F">
        <w:tc>
          <w:tcPr>
            <w:tcW w:w="3969" w:type="dxa"/>
          </w:tcPr>
          <w:p w:rsidR="004C0D1D" w:rsidRPr="004C0D1D" w:rsidRDefault="004C0D1D" w:rsidP="0024709F">
            <w:pPr>
              <w:widowControl w:val="0"/>
              <w:spacing w:before="60" w:after="60"/>
              <w:rPr>
                <w:rFonts w:ascii="Arial" w:hAnsi="Arial" w:cs="Arial"/>
                <w:sz w:val="22"/>
                <w:szCs w:val="22"/>
              </w:rPr>
            </w:pPr>
            <w:r w:rsidRPr="004C0D1D">
              <w:rPr>
                <w:rFonts w:ascii="Arial" w:hAnsi="Arial" w:cs="Arial"/>
                <w:sz w:val="22"/>
                <w:szCs w:val="22"/>
              </w:rPr>
              <w:t>Revenue - (Favourable )/ Unfavourable</w:t>
            </w:r>
          </w:p>
        </w:tc>
        <w:tc>
          <w:tcPr>
            <w:tcW w:w="1559" w:type="dxa"/>
            <w:shd w:val="clear" w:color="auto" w:fill="FFFFFF"/>
          </w:tcPr>
          <w:p w:rsidR="004C0D1D" w:rsidRPr="004C0D1D" w:rsidRDefault="004C0D1D" w:rsidP="0024709F">
            <w:pPr>
              <w:widowControl w:val="0"/>
              <w:spacing w:before="60" w:after="60"/>
              <w:jc w:val="right"/>
              <w:rPr>
                <w:rFonts w:ascii="Arial" w:hAnsi="Arial" w:cs="Arial"/>
                <w:sz w:val="22"/>
                <w:szCs w:val="22"/>
              </w:rPr>
            </w:pPr>
            <w:r w:rsidRPr="004C0D1D">
              <w:rPr>
                <w:rFonts w:ascii="Arial" w:hAnsi="Arial" w:cs="Arial"/>
                <w:sz w:val="22"/>
                <w:szCs w:val="22"/>
              </w:rPr>
              <w:t>(45,130)</w:t>
            </w:r>
          </w:p>
        </w:tc>
        <w:tc>
          <w:tcPr>
            <w:tcW w:w="1276" w:type="dxa"/>
            <w:shd w:val="clear" w:color="auto" w:fill="FFFFFF"/>
          </w:tcPr>
          <w:p w:rsidR="004C0D1D" w:rsidRPr="004C0D1D" w:rsidRDefault="004C0D1D" w:rsidP="0024709F">
            <w:pPr>
              <w:widowControl w:val="0"/>
              <w:spacing w:before="60" w:after="60"/>
              <w:ind w:right="7"/>
              <w:jc w:val="right"/>
              <w:rPr>
                <w:rFonts w:ascii="Arial" w:hAnsi="Arial" w:cs="Arial"/>
                <w:sz w:val="22"/>
                <w:szCs w:val="22"/>
              </w:rPr>
            </w:pPr>
            <w:r w:rsidRPr="004C0D1D">
              <w:rPr>
                <w:rFonts w:ascii="Arial" w:hAnsi="Arial" w:cs="Arial"/>
                <w:sz w:val="22"/>
                <w:szCs w:val="22"/>
              </w:rPr>
              <w:t>(38,870)</w:t>
            </w:r>
          </w:p>
        </w:tc>
        <w:tc>
          <w:tcPr>
            <w:tcW w:w="1134" w:type="dxa"/>
            <w:shd w:val="clear" w:color="auto" w:fill="FFFFFF"/>
          </w:tcPr>
          <w:p w:rsidR="004C0D1D" w:rsidRPr="004C0D1D" w:rsidRDefault="004C0D1D" w:rsidP="0024709F">
            <w:pPr>
              <w:widowControl w:val="0"/>
              <w:spacing w:before="60" w:after="60"/>
              <w:ind w:right="7"/>
              <w:jc w:val="right"/>
              <w:rPr>
                <w:rFonts w:ascii="Arial" w:hAnsi="Arial" w:cs="Arial"/>
                <w:sz w:val="22"/>
                <w:szCs w:val="22"/>
              </w:rPr>
            </w:pPr>
            <w:r w:rsidRPr="004C0D1D">
              <w:rPr>
                <w:rFonts w:ascii="Arial" w:hAnsi="Arial" w:cs="Arial"/>
                <w:sz w:val="22"/>
                <w:szCs w:val="22"/>
              </w:rPr>
              <w:t>65,310</w:t>
            </w:r>
          </w:p>
        </w:tc>
      </w:tr>
      <w:tr w:rsidR="004C0D1D" w:rsidRPr="004C0D1D" w:rsidTr="0024709F">
        <w:tc>
          <w:tcPr>
            <w:tcW w:w="3969" w:type="dxa"/>
          </w:tcPr>
          <w:p w:rsidR="004C0D1D" w:rsidRPr="004C0D1D" w:rsidRDefault="004C0D1D" w:rsidP="0024709F">
            <w:pPr>
              <w:widowControl w:val="0"/>
              <w:spacing w:before="60" w:after="60"/>
              <w:rPr>
                <w:rFonts w:ascii="Arial" w:hAnsi="Arial" w:cs="Arial"/>
                <w:sz w:val="22"/>
                <w:szCs w:val="22"/>
              </w:rPr>
            </w:pPr>
            <w:r w:rsidRPr="004C0D1D">
              <w:rPr>
                <w:rFonts w:ascii="Arial" w:hAnsi="Arial" w:cs="Arial"/>
                <w:sz w:val="22"/>
                <w:szCs w:val="22"/>
              </w:rPr>
              <w:t>Capital - Increase / (Decrease)</w:t>
            </w:r>
          </w:p>
        </w:tc>
        <w:tc>
          <w:tcPr>
            <w:tcW w:w="1559" w:type="dxa"/>
            <w:shd w:val="clear" w:color="auto" w:fill="FFFFFF"/>
          </w:tcPr>
          <w:p w:rsidR="004C0D1D" w:rsidRPr="004C0D1D" w:rsidRDefault="004C0D1D" w:rsidP="0024709F">
            <w:pPr>
              <w:widowControl w:val="0"/>
              <w:spacing w:before="60" w:after="60"/>
              <w:jc w:val="right"/>
              <w:rPr>
                <w:rFonts w:ascii="Arial" w:hAnsi="Arial" w:cs="Arial"/>
                <w:sz w:val="22"/>
                <w:szCs w:val="22"/>
              </w:rPr>
            </w:pPr>
            <w:r w:rsidRPr="004C0D1D">
              <w:rPr>
                <w:rFonts w:ascii="Arial" w:hAnsi="Arial" w:cs="Arial"/>
                <w:sz w:val="22"/>
                <w:szCs w:val="22"/>
              </w:rPr>
              <w:t>(1,411,120)</w:t>
            </w:r>
          </w:p>
        </w:tc>
        <w:tc>
          <w:tcPr>
            <w:tcW w:w="1276" w:type="dxa"/>
            <w:shd w:val="clear" w:color="auto" w:fill="FFFFFF"/>
          </w:tcPr>
          <w:p w:rsidR="004C0D1D" w:rsidRPr="004C0D1D" w:rsidRDefault="004C0D1D" w:rsidP="0024709F">
            <w:pPr>
              <w:widowControl w:val="0"/>
              <w:spacing w:before="60" w:after="60"/>
              <w:ind w:right="7"/>
              <w:jc w:val="right"/>
              <w:rPr>
                <w:rFonts w:ascii="Arial" w:hAnsi="Arial" w:cs="Arial"/>
                <w:sz w:val="22"/>
                <w:szCs w:val="22"/>
              </w:rPr>
            </w:pPr>
            <w:r w:rsidRPr="004C0D1D">
              <w:rPr>
                <w:rFonts w:ascii="Arial" w:hAnsi="Arial" w:cs="Arial"/>
                <w:sz w:val="22"/>
                <w:szCs w:val="22"/>
              </w:rPr>
              <w:t>1,257,800</w:t>
            </w:r>
          </w:p>
        </w:tc>
        <w:tc>
          <w:tcPr>
            <w:tcW w:w="1134" w:type="dxa"/>
            <w:shd w:val="clear" w:color="auto" w:fill="FFFFFF"/>
          </w:tcPr>
          <w:p w:rsidR="004C0D1D" w:rsidRPr="004C0D1D" w:rsidRDefault="004C0D1D" w:rsidP="0024709F">
            <w:pPr>
              <w:widowControl w:val="0"/>
              <w:spacing w:before="60" w:after="60"/>
              <w:ind w:right="7"/>
              <w:jc w:val="right"/>
              <w:rPr>
                <w:rFonts w:ascii="Arial" w:hAnsi="Arial" w:cs="Arial"/>
                <w:sz w:val="22"/>
                <w:szCs w:val="22"/>
              </w:rPr>
            </w:pPr>
            <w:r w:rsidRPr="004C0D1D">
              <w:rPr>
                <w:rFonts w:ascii="Arial" w:hAnsi="Arial" w:cs="Arial"/>
                <w:sz w:val="22"/>
                <w:szCs w:val="22"/>
              </w:rPr>
              <w:t>317,320</w:t>
            </w:r>
          </w:p>
        </w:tc>
      </w:tr>
    </w:tbl>
    <w:p w:rsidR="006F792E" w:rsidRPr="004C0D1D" w:rsidRDefault="006F792E" w:rsidP="006B0ACF">
      <w:pPr>
        <w:pStyle w:val="Title"/>
        <w:tabs>
          <w:tab w:val="clear" w:pos="1440"/>
          <w:tab w:val="clear" w:pos="2160"/>
          <w:tab w:val="clear" w:pos="2880"/>
          <w:tab w:val="clear" w:pos="3600"/>
          <w:tab w:val="clear" w:pos="4320"/>
          <w:tab w:val="left" w:pos="1260"/>
          <w:tab w:val="left" w:pos="1980"/>
          <w:tab w:val="left" w:pos="2700"/>
          <w:tab w:val="left" w:pos="3420"/>
        </w:tabs>
        <w:spacing w:line="240" w:lineRule="auto"/>
        <w:jc w:val="both"/>
        <w:rPr>
          <w:rFonts w:cs="Arial"/>
          <w:b w:val="0"/>
          <w:szCs w:val="22"/>
        </w:rPr>
      </w:pPr>
    </w:p>
    <w:sectPr w:rsidR="006F792E" w:rsidRPr="004C0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6C41"/>
    <w:multiLevelType w:val="hybridMultilevel"/>
    <w:tmpl w:val="0F101BA4"/>
    <w:lvl w:ilvl="0" w:tplc="5D8C28FE">
      <w:start w:val="1"/>
      <w:numFmt w:val="decimal"/>
      <w:lvlText w:val="%1."/>
      <w:lvlJc w:val="left"/>
      <w:pPr>
        <w:ind w:left="1620" w:hanging="360"/>
      </w:pPr>
      <w:rPr>
        <w:rFonts w:hint="default"/>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1">
    <w:nsid w:val="39872D12"/>
    <w:multiLevelType w:val="hybridMultilevel"/>
    <w:tmpl w:val="7610C5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4115008C"/>
    <w:multiLevelType w:val="hybridMultilevel"/>
    <w:tmpl w:val="91F83DDA"/>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3">
    <w:nsid w:val="6252372F"/>
    <w:multiLevelType w:val="hybridMultilevel"/>
    <w:tmpl w:val="A7C823AE"/>
    <w:lvl w:ilvl="0" w:tplc="5E1A8B7C">
      <w:start w:val="2"/>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nsid w:val="664F4131"/>
    <w:multiLevelType w:val="hybridMultilevel"/>
    <w:tmpl w:val="5D38AC7C"/>
    <w:lvl w:ilvl="0" w:tplc="08090001">
      <w:start w:val="1"/>
      <w:numFmt w:val="bullet"/>
      <w:lvlText w:val=""/>
      <w:lvlJc w:val="left"/>
      <w:pPr>
        <w:ind w:left="1993" w:hanging="360"/>
      </w:pPr>
      <w:rPr>
        <w:rFonts w:ascii="Symbol" w:hAnsi="Symbol" w:hint="default"/>
      </w:rPr>
    </w:lvl>
    <w:lvl w:ilvl="1" w:tplc="08090003" w:tentative="1">
      <w:start w:val="1"/>
      <w:numFmt w:val="bullet"/>
      <w:lvlText w:val="o"/>
      <w:lvlJc w:val="left"/>
      <w:pPr>
        <w:ind w:left="2713" w:hanging="360"/>
      </w:pPr>
      <w:rPr>
        <w:rFonts w:ascii="Courier New" w:hAnsi="Courier New" w:cs="Courier New" w:hint="default"/>
      </w:rPr>
    </w:lvl>
    <w:lvl w:ilvl="2" w:tplc="08090005" w:tentative="1">
      <w:start w:val="1"/>
      <w:numFmt w:val="bullet"/>
      <w:lvlText w:val=""/>
      <w:lvlJc w:val="left"/>
      <w:pPr>
        <w:ind w:left="3433" w:hanging="360"/>
      </w:pPr>
      <w:rPr>
        <w:rFonts w:ascii="Wingdings" w:hAnsi="Wingdings" w:hint="default"/>
      </w:rPr>
    </w:lvl>
    <w:lvl w:ilvl="3" w:tplc="08090001" w:tentative="1">
      <w:start w:val="1"/>
      <w:numFmt w:val="bullet"/>
      <w:lvlText w:val=""/>
      <w:lvlJc w:val="left"/>
      <w:pPr>
        <w:ind w:left="4153" w:hanging="360"/>
      </w:pPr>
      <w:rPr>
        <w:rFonts w:ascii="Symbol" w:hAnsi="Symbol" w:hint="default"/>
      </w:rPr>
    </w:lvl>
    <w:lvl w:ilvl="4" w:tplc="08090003" w:tentative="1">
      <w:start w:val="1"/>
      <w:numFmt w:val="bullet"/>
      <w:lvlText w:val="o"/>
      <w:lvlJc w:val="left"/>
      <w:pPr>
        <w:ind w:left="4873" w:hanging="360"/>
      </w:pPr>
      <w:rPr>
        <w:rFonts w:ascii="Courier New" w:hAnsi="Courier New" w:cs="Courier New" w:hint="default"/>
      </w:rPr>
    </w:lvl>
    <w:lvl w:ilvl="5" w:tplc="08090005" w:tentative="1">
      <w:start w:val="1"/>
      <w:numFmt w:val="bullet"/>
      <w:lvlText w:val=""/>
      <w:lvlJc w:val="left"/>
      <w:pPr>
        <w:ind w:left="5593" w:hanging="360"/>
      </w:pPr>
      <w:rPr>
        <w:rFonts w:ascii="Wingdings" w:hAnsi="Wingdings" w:hint="default"/>
      </w:rPr>
    </w:lvl>
    <w:lvl w:ilvl="6" w:tplc="08090001" w:tentative="1">
      <w:start w:val="1"/>
      <w:numFmt w:val="bullet"/>
      <w:lvlText w:val=""/>
      <w:lvlJc w:val="left"/>
      <w:pPr>
        <w:ind w:left="6313" w:hanging="360"/>
      </w:pPr>
      <w:rPr>
        <w:rFonts w:ascii="Symbol" w:hAnsi="Symbol" w:hint="default"/>
      </w:rPr>
    </w:lvl>
    <w:lvl w:ilvl="7" w:tplc="08090003" w:tentative="1">
      <w:start w:val="1"/>
      <w:numFmt w:val="bullet"/>
      <w:lvlText w:val="o"/>
      <w:lvlJc w:val="left"/>
      <w:pPr>
        <w:ind w:left="7033" w:hanging="360"/>
      </w:pPr>
      <w:rPr>
        <w:rFonts w:ascii="Courier New" w:hAnsi="Courier New" w:cs="Courier New" w:hint="default"/>
      </w:rPr>
    </w:lvl>
    <w:lvl w:ilvl="8" w:tplc="08090005" w:tentative="1">
      <w:start w:val="1"/>
      <w:numFmt w:val="bullet"/>
      <w:lvlText w:val=""/>
      <w:lvlJc w:val="left"/>
      <w:pPr>
        <w:ind w:left="7753"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ACF"/>
    <w:rsid w:val="004C0D1D"/>
    <w:rsid w:val="006B0ACF"/>
    <w:rsid w:val="006F792E"/>
    <w:rsid w:val="007B1CEA"/>
    <w:rsid w:val="007F5AF7"/>
    <w:rsid w:val="007F7D10"/>
    <w:rsid w:val="00961637"/>
    <w:rsid w:val="00AF1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ACF"/>
    <w:pPr>
      <w:tabs>
        <w:tab w:val="left" w:pos="1440"/>
        <w:tab w:val="left" w:pos="2160"/>
        <w:tab w:val="left" w:pos="2880"/>
        <w:tab w:val="left" w:pos="3600"/>
        <w:tab w:val="left" w:pos="4320"/>
      </w:tabs>
      <w:spacing w:line="238" w:lineRule="exact"/>
      <w:jc w:val="center"/>
    </w:pPr>
    <w:rPr>
      <w:rFonts w:ascii="Arial" w:hAnsi="Arial"/>
      <w:b/>
      <w:sz w:val="22"/>
    </w:rPr>
  </w:style>
  <w:style w:type="character" w:customStyle="1" w:styleId="TitleChar">
    <w:name w:val="Title Char"/>
    <w:basedOn w:val="DefaultParagraphFont"/>
    <w:link w:val="Title"/>
    <w:rsid w:val="006B0ACF"/>
    <w:rPr>
      <w:rFonts w:ascii="Arial" w:eastAsia="Times New Roman" w:hAnsi="Arial" w:cs="Times New Roman"/>
      <w:b/>
      <w:szCs w:val="20"/>
      <w:lang w:eastAsia="en-GB"/>
    </w:rPr>
  </w:style>
  <w:style w:type="paragraph" w:styleId="BodyTextIndent3">
    <w:name w:val="Body Text Indent 3"/>
    <w:basedOn w:val="Normal"/>
    <w:link w:val="BodyTextIndent3Char"/>
    <w:rsid w:val="006B0ACF"/>
    <w:pPr>
      <w:tabs>
        <w:tab w:val="left" w:pos="1260"/>
        <w:tab w:val="left" w:pos="1620"/>
        <w:tab w:val="left" w:pos="1980"/>
        <w:tab w:val="left" w:pos="2700"/>
        <w:tab w:val="left" w:pos="3420"/>
        <w:tab w:val="left" w:pos="4140"/>
      </w:tabs>
      <w:ind w:left="1620" w:hanging="1620"/>
      <w:jc w:val="both"/>
    </w:pPr>
    <w:rPr>
      <w:rFonts w:ascii="Arial" w:hAnsi="Arial"/>
      <w:sz w:val="22"/>
    </w:rPr>
  </w:style>
  <w:style w:type="character" w:customStyle="1" w:styleId="BodyTextIndent3Char">
    <w:name w:val="Body Text Indent 3 Char"/>
    <w:basedOn w:val="DefaultParagraphFont"/>
    <w:link w:val="BodyTextIndent3"/>
    <w:rsid w:val="006B0ACF"/>
    <w:rPr>
      <w:rFonts w:ascii="Arial" w:eastAsia="Times New Roman" w:hAnsi="Arial" w:cs="Times New Roman"/>
      <w:szCs w:val="20"/>
      <w:lang w:eastAsia="en-GB"/>
    </w:rPr>
  </w:style>
  <w:style w:type="paragraph" w:styleId="ListParagraph">
    <w:name w:val="List Paragraph"/>
    <w:basedOn w:val="Normal"/>
    <w:uiPriority w:val="34"/>
    <w:qFormat/>
    <w:rsid w:val="004C0D1D"/>
    <w:pPr>
      <w:ind w:left="720"/>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AC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0ACF"/>
    <w:pPr>
      <w:tabs>
        <w:tab w:val="left" w:pos="1440"/>
        <w:tab w:val="left" w:pos="2160"/>
        <w:tab w:val="left" w:pos="2880"/>
        <w:tab w:val="left" w:pos="3600"/>
        <w:tab w:val="left" w:pos="4320"/>
      </w:tabs>
      <w:spacing w:line="238" w:lineRule="exact"/>
      <w:jc w:val="center"/>
    </w:pPr>
    <w:rPr>
      <w:rFonts w:ascii="Arial" w:hAnsi="Arial"/>
      <w:b/>
      <w:sz w:val="22"/>
    </w:rPr>
  </w:style>
  <w:style w:type="character" w:customStyle="1" w:styleId="TitleChar">
    <w:name w:val="Title Char"/>
    <w:basedOn w:val="DefaultParagraphFont"/>
    <w:link w:val="Title"/>
    <w:rsid w:val="006B0ACF"/>
    <w:rPr>
      <w:rFonts w:ascii="Arial" w:eastAsia="Times New Roman" w:hAnsi="Arial" w:cs="Times New Roman"/>
      <w:b/>
      <w:szCs w:val="20"/>
      <w:lang w:eastAsia="en-GB"/>
    </w:rPr>
  </w:style>
  <w:style w:type="paragraph" w:styleId="BodyTextIndent3">
    <w:name w:val="Body Text Indent 3"/>
    <w:basedOn w:val="Normal"/>
    <w:link w:val="BodyTextIndent3Char"/>
    <w:rsid w:val="006B0ACF"/>
    <w:pPr>
      <w:tabs>
        <w:tab w:val="left" w:pos="1260"/>
        <w:tab w:val="left" w:pos="1620"/>
        <w:tab w:val="left" w:pos="1980"/>
        <w:tab w:val="left" w:pos="2700"/>
        <w:tab w:val="left" w:pos="3420"/>
        <w:tab w:val="left" w:pos="4140"/>
      </w:tabs>
      <w:ind w:left="1620" w:hanging="1620"/>
      <w:jc w:val="both"/>
    </w:pPr>
    <w:rPr>
      <w:rFonts w:ascii="Arial" w:hAnsi="Arial"/>
      <w:sz w:val="22"/>
    </w:rPr>
  </w:style>
  <w:style w:type="character" w:customStyle="1" w:styleId="BodyTextIndent3Char">
    <w:name w:val="Body Text Indent 3 Char"/>
    <w:basedOn w:val="DefaultParagraphFont"/>
    <w:link w:val="BodyTextIndent3"/>
    <w:rsid w:val="006B0ACF"/>
    <w:rPr>
      <w:rFonts w:ascii="Arial" w:eastAsia="Times New Roman" w:hAnsi="Arial" w:cs="Times New Roman"/>
      <w:szCs w:val="20"/>
      <w:lang w:eastAsia="en-GB"/>
    </w:rPr>
  </w:style>
  <w:style w:type="paragraph" w:styleId="ListParagraph">
    <w:name w:val="List Paragraph"/>
    <w:basedOn w:val="Normal"/>
    <w:uiPriority w:val="34"/>
    <w:qFormat/>
    <w:rsid w:val="004C0D1D"/>
    <w:pPr>
      <w:ind w:left="72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211</Words>
  <Characters>1205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Wailling</dc:creator>
  <cp:lastModifiedBy>Sarah Haythorpe</cp:lastModifiedBy>
  <cp:revision>3</cp:revision>
  <dcterms:created xsi:type="dcterms:W3CDTF">2016-10-10T14:41:00Z</dcterms:created>
  <dcterms:modified xsi:type="dcterms:W3CDTF">2016-10-10T14:48:00Z</dcterms:modified>
</cp:coreProperties>
</file>