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  <w:r>
        <w:rPr>
          <w:rFonts w:cs="Arial"/>
          <w:b w:val="0"/>
          <w:color w:val="000000"/>
          <w:szCs w:val="22"/>
        </w:rPr>
        <w:t xml:space="preserve">Recommendations from </w:t>
      </w:r>
      <w:r w:rsidR="007B1CEA">
        <w:rPr>
          <w:rFonts w:cs="Arial"/>
          <w:color w:val="000000"/>
          <w:szCs w:val="22"/>
        </w:rPr>
        <w:t xml:space="preserve">Leisure, Wellbeing and Health </w:t>
      </w:r>
      <w:r>
        <w:rPr>
          <w:rFonts w:cs="Arial"/>
          <w:color w:val="000000"/>
          <w:szCs w:val="22"/>
        </w:rPr>
        <w:t>Committee</w:t>
      </w:r>
      <w:r w:rsidR="007B1CEA">
        <w:rPr>
          <w:rFonts w:cs="Arial"/>
          <w:b w:val="0"/>
          <w:color w:val="000000"/>
          <w:szCs w:val="22"/>
        </w:rPr>
        <w:t xml:space="preserve"> held on Wednesday 14</w:t>
      </w:r>
      <w:r>
        <w:rPr>
          <w:rFonts w:cs="Arial"/>
          <w:b w:val="0"/>
          <w:color w:val="000000"/>
          <w:szCs w:val="22"/>
        </w:rPr>
        <w:t xml:space="preserve"> September 2016 </w:t>
      </w:r>
    </w:p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6F792E" w:rsidRPr="006F792E" w:rsidRDefault="006F792E" w:rsidP="006F792E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F792E">
        <w:rPr>
          <w:rFonts w:ascii="Arial" w:hAnsi="Arial" w:cs="Arial"/>
          <w:b/>
          <w:sz w:val="22"/>
          <w:szCs w:val="22"/>
        </w:rPr>
        <w:t>LW18/16</w:t>
      </w:r>
      <w:r w:rsidRPr="006F792E">
        <w:rPr>
          <w:rFonts w:ascii="Arial" w:hAnsi="Arial" w:cs="Arial"/>
          <w:b/>
          <w:sz w:val="22"/>
          <w:szCs w:val="22"/>
        </w:rPr>
        <w:tab/>
        <w:t>BUDGET MONITORING REPORT – MONTH 4 (JULY)</w:t>
      </w:r>
    </w:p>
    <w:p w:rsidR="006F792E" w:rsidRPr="006F792E" w:rsidRDefault="006F792E" w:rsidP="007F5AF7">
      <w:pPr>
        <w:rPr>
          <w:rFonts w:ascii="Arial" w:hAnsi="Arial" w:cs="Arial"/>
          <w:sz w:val="22"/>
          <w:szCs w:val="22"/>
        </w:rPr>
      </w:pPr>
    </w:p>
    <w:p w:rsidR="006F792E" w:rsidRPr="006F792E" w:rsidRDefault="006F792E" w:rsidP="006F792E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6F792E">
        <w:rPr>
          <w:rFonts w:ascii="Arial" w:hAnsi="Arial" w:cs="Arial"/>
          <w:sz w:val="22"/>
          <w:szCs w:val="22"/>
        </w:rPr>
        <w:tab/>
        <w:t>RECOMMENDED TO COUNCIL:</w:t>
      </w:r>
    </w:p>
    <w:p w:rsidR="006F792E" w:rsidRPr="006F792E" w:rsidRDefault="006F792E" w:rsidP="006F792E">
      <w:pPr>
        <w:keepNext/>
        <w:rPr>
          <w:rFonts w:ascii="Arial" w:hAnsi="Arial" w:cs="Arial"/>
          <w:sz w:val="22"/>
          <w:szCs w:val="22"/>
        </w:rPr>
      </w:pPr>
    </w:p>
    <w:p w:rsidR="006F792E" w:rsidRPr="006F792E" w:rsidRDefault="006F792E" w:rsidP="006F792E">
      <w:pPr>
        <w:ind w:left="1276" w:hanging="16"/>
        <w:rPr>
          <w:rFonts w:ascii="Arial" w:hAnsi="Arial" w:cs="Arial"/>
          <w:sz w:val="22"/>
          <w:szCs w:val="22"/>
        </w:rPr>
      </w:pPr>
      <w:r w:rsidRPr="006F792E">
        <w:rPr>
          <w:rFonts w:ascii="Arial" w:hAnsi="Arial" w:cs="Arial"/>
          <w:sz w:val="22"/>
          <w:szCs w:val="22"/>
        </w:rPr>
        <w:t>That the following Leisure, Wellbeing and Health Committee’s capital budget variations be approved and incorporated into the three-year medium-term financial plan:-</w:t>
      </w:r>
    </w:p>
    <w:p w:rsidR="006F792E" w:rsidRPr="006F792E" w:rsidRDefault="006F792E" w:rsidP="006F792E">
      <w:pPr>
        <w:ind w:left="1276" w:hanging="1276"/>
        <w:rPr>
          <w:rFonts w:ascii="Arial" w:hAnsi="Arial" w:cs="Arial"/>
          <w:sz w:val="22"/>
          <w:szCs w:val="22"/>
        </w:rPr>
      </w:pPr>
      <w:r w:rsidRPr="006F792E">
        <w:rPr>
          <w:rFonts w:ascii="Arial" w:hAnsi="Arial" w:cs="Arial"/>
          <w:sz w:val="22"/>
          <w:szCs w:val="22"/>
        </w:rPr>
        <w:tab/>
      </w:r>
      <w:r w:rsidRPr="006F792E">
        <w:rPr>
          <w:rFonts w:ascii="Arial" w:hAnsi="Arial" w:cs="Arial"/>
          <w:sz w:val="22"/>
          <w:szCs w:val="22"/>
        </w:rPr>
        <w:tab/>
      </w:r>
    </w:p>
    <w:tbl>
      <w:tblPr>
        <w:tblW w:w="793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134"/>
        <w:gridCol w:w="1134"/>
      </w:tblGrid>
      <w:tr w:rsidR="006F792E" w:rsidRPr="006F792E" w:rsidTr="002B0CC8">
        <w:tc>
          <w:tcPr>
            <w:tcW w:w="4253" w:type="dxa"/>
            <w:vAlign w:val="center"/>
          </w:tcPr>
          <w:p w:rsidR="006F792E" w:rsidRPr="006F792E" w:rsidRDefault="006F792E" w:rsidP="002B0C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92E" w:rsidRPr="006F792E" w:rsidRDefault="006F792E" w:rsidP="002B0C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Change to Capital Programme</w:t>
            </w:r>
          </w:p>
        </w:tc>
        <w:tc>
          <w:tcPr>
            <w:tcW w:w="1417" w:type="dxa"/>
          </w:tcPr>
          <w:p w:rsidR="006F792E" w:rsidRPr="006F792E" w:rsidRDefault="006F792E" w:rsidP="002B0C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6F792E" w:rsidRPr="006F792E" w:rsidRDefault="006F792E" w:rsidP="002B0C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</w:tcPr>
          <w:p w:rsidR="006F792E" w:rsidRPr="006F792E" w:rsidRDefault="006F792E" w:rsidP="002B0C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6F792E" w:rsidRPr="006F792E" w:rsidRDefault="006F792E" w:rsidP="002B0C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</w:tcPr>
          <w:p w:rsidR="006F792E" w:rsidRPr="006F792E" w:rsidRDefault="006F792E" w:rsidP="002B0C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6F792E" w:rsidRPr="006F792E" w:rsidRDefault="006F792E" w:rsidP="002B0C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F792E" w:rsidRPr="006F792E" w:rsidTr="002B0CC8">
        <w:tc>
          <w:tcPr>
            <w:tcW w:w="4253" w:type="dxa"/>
          </w:tcPr>
          <w:p w:rsidR="006F792E" w:rsidRPr="006F792E" w:rsidRDefault="006F792E" w:rsidP="002B0CC8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 xml:space="preserve">Increase/(Decrease </w:t>
            </w:r>
          </w:p>
        </w:tc>
        <w:tc>
          <w:tcPr>
            <w:tcW w:w="1417" w:type="dxa"/>
            <w:vAlign w:val="center"/>
          </w:tcPr>
          <w:p w:rsidR="006F792E" w:rsidRPr="006F792E" w:rsidRDefault="006F792E" w:rsidP="002B0CC8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(£767,320)</w:t>
            </w:r>
          </w:p>
        </w:tc>
        <w:tc>
          <w:tcPr>
            <w:tcW w:w="1134" w:type="dxa"/>
            <w:vAlign w:val="center"/>
          </w:tcPr>
          <w:p w:rsidR="006F792E" w:rsidRPr="006F792E" w:rsidRDefault="006F792E" w:rsidP="002B0CC8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£764,000</w:t>
            </w:r>
          </w:p>
        </w:tc>
        <w:tc>
          <w:tcPr>
            <w:tcW w:w="1134" w:type="dxa"/>
            <w:vAlign w:val="center"/>
          </w:tcPr>
          <w:p w:rsidR="006F792E" w:rsidRPr="006F792E" w:rsidRDefault="006F792E" w:rsidP="002B0CC8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92E">
              <w:rPr>
                <w:rFonts w:ascii="Arial" w:hAnsi="Arial" w:cs="Arial"/>
                <w:sz w:val="22"/>
                <w:szCs w:val="22"/>
              </w:rPr>
              <w:t>317,320</w:t>
            </w:r>
          </w:p>
        </w:tc>
      </w:tr>
    </w:tbl>
    <w:p w:rsidR="006F792E" w:rsidRDefault="006F792E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6F792E" w:rsidRDefault="006F792E" w:rsidP="006F792E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F792E" w:rsidRPr="006F792E" w:rsidRDefault="006F792E" w:rsidP="006F792E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F792E">
        <w:rPr>
          <w:rFonts w:ascii="Arial" w:hAnsi="Arial" w:cs="Arial"/>
          <w:b/>
          <w:sz w:val="22"/>
          <w:szCs w:val="22"/>
        </w:rPr>
        <w:t>LW20/16</w:t>
      </w:r>
      <w:r w:rsidRPr="006F792E">
        <w:rPr>
          <w:rFonts w:ascii="Arial" w:hAnsi="Arial" w:cs="Arial"/>
          <w:b/>
          <w:sz w:val="22"/>
          <w:szCs w:val="22"/>
        </w:rPr>
        <w:tab/>
        <w:t>SECTION 106 REQUEST FOR EASTBURY TENNIS COURTS</w:t>
      </w:r>
    </w:p>
    <w:p w:rsidR="006F792E" w:rsidRPr="006F792E" w:rsidRDefault="006F792E" w:rsidP="006F792E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F792E" w:rsidRPr="006F792E" w:rsidRDefault="006F792E" w:rsidP="006F792E">
      <w:pPr>
        <w:ind w:left="1267" w:hanging="1267"/>
        <w:rPr>
          <w:rFonts w:ascii="Arial" w:hAnsi="Arial" w:cs="Arial"/>
          <w:sz w:val="22"/>
          <w:szCs w:val="22"/>
        </w:rPr>
      </w:pPr>
      <w:r w:rsidRPr="006F792E">
        <w:rPr>
          <w:rFonts w:ascii="Arial" w:hAnsi="Arial" w:cs="Arial"/>
          <w:b/>
          <w:sz w:val="22"/>
          <w:szCs w:val="22"/>
        </w:rPr>
        <w:tab/>
      </w:r>
      <w:r w:rsidRPr="006F792E">
        <w:rPr>
          <w:rFonts w:ascii="Arial" w:hAnsi="Arial" w:cs="Arial"/>
          <w:sz w:val="22"/>
          <w:szCs w:val="22"/>
        </w:rPr>
        <w:t xml:space="preserve">This was a retrospective report requesting the authorisation of </w:t>
      </w:r>
      <w:proofErr w:type="gramStart"/>
      <w:r w:rsidRPr="006F792E">
        <w:rPr>
          <w:rFonts w:ascii="Arial" w:hAnsi="Arial" w:cs="Arial"/>
          <w:sz w:val="22"/>
          <w:szCs w:val="22"/>
        </w:rPr>
        <w:t>an overspend</w:t>
      </w:r>
      <w:proofErr w:type="gramEnd"/>
      <w:r w:rsidRPr="006F792E">
        <w:rPr>
          <w:rFonts w:ascii="Arial" w:hAnsi="Arial" w:cs="Arial"/>
          <w:sz w:val="22"/>
          <w:szCs w:val="22"/>
        </w:rPr>
        <w:t xml:space="preserve"> that would be met from the S106 monies received from the development of the property known as 32 </w:t>
      </w:r>
      <w:proofErr w:type="spellStart"/>
      <w:r w:rsidRPr="006F792E">
        <w:rPr>
          <w:rFonts w:ascii="Arial" w:hAnsi="Arial" w:cs="Arial"/>
          <w:sz w:val="22"/>
          <w:szCs w:val="22"/>
        </w:rPr>
        <w:t>Eastbury</w:t>
      </w:r>
      <w:proofErr w:type="spellEnd"/>
      <w:r w:rsidRPr="006F792E">
        <w:rPr>
          <w:rFonts w:ascii="Arial" w:hAnsi="Arial" w:cs="Arial"/>
          <w:sz w:val="22"/>
          <w:szCs w:val="22"/>
        </w:rPr>
        <w:t xml:space="preserve"> Avenue, the overspend arising out of the refurbishment of </w:t>
      </w:r>
      <w:proofErr w:type="spellStart"/>
      <w:r w:rsidRPr="006F792E">
        <w:rPr>
          <w:rFonts w:ascii="Arial" w:hAnsi="Arial" w:cs="Arial"/>
          <w:sz w:val="22"/>
          <w:szCs w:val="22"/>
        </w:rPr>
        <w:t>Eastbury</w:t>
      </w:r>
      <w:proofErr w:type="spellEnd"/>
      <w:r w:rsidRPr="006F792E">
        <w:rPr>
          <w:rFonts w:ascii="Arial" w:hAnsi="Arial" w:cs="Arial"/>
          <w:sz w:val="22"/>
          <w:szCs w:val="22"/>
        </w:rPr>
        <w:t xml:space="preserve"> Tennis Courts.</w:t>
      </w:r>
    </w:p>
    <w:p w:rsidR="006F792E" w:rsidRPr="006F792E" w:rsidRDefault="006F792E" w:rsidP="007F5AF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F792E" w:rsidRPr="006F792E" w:rsidRDefault="006F792E" w:rsidP="006F792E">
      <w:pPr>
        <w:keepNext/>
        <w:tabs>
          <w:tab w:val="left" w:pos="1260"/>
          <w:tab w:val="left" w:pos="1980"/>
          <w:tab w:val="left" w:pos="2700"/>
          <w:tab w:val="left" w:pos="3420"/>
        </w:tabs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6F792E">
        <w:rPr>
          <w:rFonts w:ascii="Arial" w:hAnsi="Arial" w:cs="Arial"/>
          <w:color w:val="000000"/>
          <w:sz w:val="22"/>
          <w:szCs w:val="22"/>
        </w:rPr>
        <w:tab/>
        <w:t>RESOLVED:-</w:t>
      </w:r>
    </w:p>
    <w:p w:rsidR="006F792E" w:rsidRPr="006F792E" w:rsidRDefault="006F792E" w:rsidP="006F792E">
      <w:pPr>
        <w:keepNext/>
        <w:tabs>
          <w:tab w:val="left" w:pos="1260"/>
          <w:tab w:val="left" w:pos="1980"/>
          <w:tab w:val="left" w:pos="2700"/>
          <w:tab w:val="left" w:pos="3420"/>
        </w:tabs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6F792E" w:rsidRPr="006F792E" w:rsidRDefault="006F792E" w:rsidP="006F792E">
      <w:pPr>
        <w:ind w:left="1260" w:hanging="1260"/>
        <w:rPr>
          <w:rFonts w:ascii="Arial" w:hAnsi="Arial" w:cs="Arial"/>
          <w:sz w:val="22"/>
          <w:szCs w:val="22"/>
        </w:rPr>
      </w:pPr>
      <w:r w:rsidRPr="006F792E">
        <w:rPr>
          <w:rFonts w:ascii="Arial" w:hAnsi="Arial" w:cs="Arial"/>
          <w:color w:val="000000"/>
          <w:sz w:val="22"/>
          <w:szCs w:val="22"/>
        </w:rPr>
        <w:tab/>
      </w:r>
      <w:r w:rsidRPr="006F792E">
        <w:rPr>
          <w:rFonts w:ascii="Arial" w:hAnsi="Arial" w:cs="Arial"/>
          <w:sz w:val="22"/>
          <w:szCs w:val="22"/>
        </w:rPr>
        <w:t xml:space="preserve">That the Committee approve the request for £10,000 of S106 funding for the refurbishment of </w:t>
      </w:r>
      <w:proofErr w:type="spellStart"/>
      <w:r w:rsidRPr="006F792E">
        <w:rPr>
          <w:rFonts w:ascii="Arial" w:hAnsi="Arial" w:cs="Arial"/>
          <w:sz w:val="22"/>
          <w:szCs w:val="22"/>
        </w:rPr>
        <w:t>Eastbury</w:t>
      </w:r>
      <w:proofErr w:type="spellEnd"/>
      <w:r w:rsidRPr="006F792E">
        <w:rPr>
          <w:rFonts w:ascii="Arial" w:hAnsi="Arial" w:cs="Arial"/>
          <w:sz w:val="22"/>
          <w:szCs w:val="22"/>
        </w:rPr>
        <w:t xml:space="preserve"> Tennis Courts and RECOMMENDED to Council the authorisation of </w:t>
      </w:r>
      <w:proofErr w:type="gramStart"/>
      <w:r w:rsidRPr="006F792E">
        <w:rPr>
          <w:rFonts w:ascii="Arial" w:hAnsi="Arial" w:cs="Arial"/>
          <w:sz w:val="22"/>
          <w:szCs w:val="22"/>
        </w:rPr>
        <w:t>the overspend</w:t>
      </w:r>
      <w:proofErr w:type="gramEnd"/>
      <w:r w:rsidRPr="006F792E">
        <w:rPr>
          <w:rFonts w:ascii="Arial" w:hAnsi="Arial" w:cs="Arial"/>
          <w:sz w:val="22"/>
          <w:szCs w:val="22"/>
        </w:rPr>
        <w:t xml:space="preserve"> of £10,000.</w:t>
      </w:r>
    </w:p>
    <w:p w:rsidR="006F792E" w:rsidRPr="006F792E" w:rsidRDefault="006F792E" w:rsidP="006F792E">
      <w:pPr>
        <w:rPr>
          <w:rFonts w:ascii="Arial" w:hAnsi="Arial" w:cs="Arial"/>
          <w:b/>
          <w:sz w:val="22"/>
          <w:szCs w:val="22"/>
        </w:rPr>
      </w:pPr>
    </w:p>
    <w:p w:rsidR="006F792E" w:rsidRPr="006F792E" w:rsidRDefault="006F792E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sectPr w:rsidR="006F792E" w:rsidRPr="006F7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6B0ACF"/>
    <w:rsid w:val="006F792E"/>
    <w:rsid w:val="007B1CEA"/>
    <w:rsid w:val="007F5AF7"/>
    <w:rsid w:val="007F7D10"/>
    <w:rsid w:val="0096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Helen Wailling</cp:lastModifiedBy>
  <cp:revision>5</cp:revision>
  <dcterms:created xsi:type="dcterms:W3CDTF">2016-09-19T16:30:00Z</dcterms:created>
  <dcterms:modified xsi:type="dcterms:W3CDTF">2016-09-19T16:37:00Z</dcterms:modified>
</cp:coreProperties>
</file>