
<file path=[Content_Types].xml><?xml version="1.0" encoding="utf-8"?>
<Types xmlns="http://schemas.openxmlformats.org/package/2006/content-types">
  <Default Extension="png" ContentType="image/png"/>
  <Default Extension="xls" ContentType="application/vnd.ms-exce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AFF" w:rsidRDefault="00EF3AFF" w:rsidP="008A256E">
      <w:pPr>
        <w:ind w:left="-142" w:right="-269"/>
        <w:jc w:val="center"/>
        <w:rPr>
          <w:b/>
        </w:rPr>
      </w:pPr>
      <w:r>
        <w:rPr>
          <w:b/>
        </w:rPr>
        <w:t>POLICY AND RESOURCES COMMITTEE – 6 OCTOBER 2016</w:t>
      </w:r>
    </w:p>
    <w:p w:rsidR="00EF3AFF" w:rsidRDefault="00EF3AFF" w:rsidP="008A256E">
      <w:pPr>
        <w:ind w:left="-142" w:right="-269"/>
        <w:jc w:val="center"/>
        <w:rPr>
          <w:b/>
        </w:rPr>
      </w:pPr>
    </w:p>
    <w:p w:rsidR="00EF3AFF" w:rsidRDefault="00EF3AFF">
      <w:pPr>
        <w:jc w:val="center"/>
        <w:rPr>
          <w:b/>
        </w:rPr>
      </w:pPr>
      <w:r>
        <w:rPr>
          <w:b/>
        </w:rPr>
        <w:t xml:space="preserve">PART </w:t>
      </w:r>
      <w:r>
        <w:rPr>
          <w:b/>
        </w:rPr>
        <w:fldChar w:fldCharType="begin"/>
      </w:r>
      <w:r>
        <w:rPr>
          <w:b/>
        </w:rPr>
        <w:instrText xml:space="preserve">  </w:instrText>
      </w:r>
      <w:r>
        <w:rPr>
          <w:b/>
        </w:rPr>
        <w:fldChar w:fldCharType="end"/>
      </w:r>
      <w:r>
        <w:rPr>
          <w:b/>
        </w:rPr>
        <w:t xml:space="preserve">I - </w:t>
      </w: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sidRPr="0070178D">
        <w:rPr>
          <w:b/>
        </w:rPr>
        <w:t>NOT</w:t>
      </w:r>
      <w:r w:rsidRPr="007200AD">
        <w:rPr>
          <w:b/>
        </w:rPr>
        <w:t xml:space="preserve"> DELEGATED</w:t>
      </w:r>
    </w:p>
    <w:p w:rsidR="00EF3AFF" w:rsidRDefault="00EF3AFF">
      <w:pPr>
        <w:jc w:val="center"/>
        <w:rPr>
          <w:b/>
        </w:rPr>
      </w:pPr>
    </w:p>
    <w:p w:rsidR="00EF3AFF" w:rsidRDefault="00BD4CB8">
      <w:pPr>
        <w:keepNext/>
        <w:ind w:left="1267" w:hanging="1267"/>
        <w:rPr>
          <w:b/>
          <w:i/>
          <w:color w:val="008000"/>
        </w:rPr>
      </w:pPr>
      <w:r>
        <w:rPr>
          <w:b/>
        </w:rPr>
        <w:t>8</w:t>
      </w:r>
      <w:bookmarkStart w:id="0" w:name="_GoBack"/>
      <w:bookmarkEnd w:id="0"/>
      <w:r w:rsidR="00EF3AFF">
        <w:rPr>
          <w:b/>
        </w:rPr>
        <w:t>.</w:t>
      </w:r>
      <w:r w:rsidR="00EF3AFF">
        <w:rPr>
          <w:b/>
        </w:rPr>
        <w:fldChar w:fldCharType="begin"/>
      </w:r>
      <w:r w:rsidR="00EF3AFF">
        <w:rPr>
          <w:b/>
        </w:rPr>
        <w:instrText xml:space="preserve">  </w:instrText>
      </w:r>
      <w:r w:rsidR="00EF3AFF">
        <w:rPr>
          <w:b/>
        </w:rPr>
        <w:fldChar w:fldCharType="end"/>
      </w:r>
      <w:r w:rsidR="00EF3AFF">
        <w:rPr>
          <w:b/>
        </w:rPr>
        <w:tab/>
        <w:t>BUDGET MONITORING – MONTH 4 (JULY 2016)</w:t>
      </w:r>
      <w:r w:rsidR="00EF3AFF">
        <w:rPr>
          <w:b/>
        </w:rPr>
        <w:fldChar w:fldCharType="begin"/>
      </w:r>
      <w:r w:rsidR="00EF3AFF">
        <w:rPr>
          <w:b/>
        </w:rPr>
        <w:instrText xml:space="preserve">  </w:instrText>
      </w:r>
      <w:r w:rsidR="00EF3AFF">
        <w:rPr>
          <w:b/>
        </w:rPr>
        <w:fldChar w:fldCharType="end"/>
      </w:r>
    </w:p>
    <w:p w:rsidR="00EF3AFF" w:rsidRDefault="00EF3AFF">
      <w:pPr>
        <w:keepNext/>
        <w:ind w:left="1267" w:hanging="1267"/>
        <w:rPr>
          <w:b/>
          <w:i/>
          <w:color w:val="008000"/>
        </w:rPr>
      </w:pPr>
      <w:r>
        <w:rPr>
          <w:b/>
        </w:rPr>
        <w:tab/>
      </w:r>
      <w:r>
        <w:fldChar w:fldCharType="begin"/>
      </w:r>
      <w:r>
        <w:instrText xml:space="preserve">  </w:instrText>
      </w:r>
      <w:r>
        <w:fldChar w:fldCharType="end"/>
      </w:r>
      <w:r>
        <w:t>(DoF)</w:t>
      </w:r>
    </w:p>
    <w:p w:rsidR="00EF3AFF" w:rsidRDefault="00EF3AFF">
      <w:pPr>
        <w:ind w:left="1260" w:hanging="1260"/>
      </w:pPr>
    </w:p>
    <w:p w:rsidR="00EF3AFF" w:rsidRDefault="00EF3AFF">
      <w:pPr>
        <w:keepNext/>
        <w:ind w:left="1267" w:hanging="1267"/>
        <w:rPr>
          <w:b/>
        </w:rPr>
      </w:pPr>
      <w:r>
        <w:t>1.</w:t>
      </w:r>
      <w:r>
        <w:tab/>
      </w:r>
      <w:r>
        <w:rPr>
          <w:b/>
        </w:rPr>
        <w:t>Summary</w:t>
      </w:r>
    </w:p>
    <w:p w:rsidR="00EF3AFF" w:rsidRDefault="00EF3AFF">
      <w:pPr>
        <w:keepNext/>
        <w:ind w:left="1267" w:hanging="1267"/>
      </w:pPr>
    </w:p>
    <w:p w:rsidR="00EF3AFF" w:rsidRDefault="00EF3AFF" w:rsidP="00B32E05">
      <w:pPr>
        <w:pStyle w:val="ListParagraph"/>
        <w:keepNext/>
        <w:numPr>
          <w:ilvl w:val="1"/>
          <w:numId w:val="21"/>
        </w:numPr>
        <w:ind w:left="1276" w:hanging="1276"/>
      </w:pPr>
      <w:r>
        <w:t>Budget monitoring report is a key tool in scrutinising the Council’s financial performance. It is designed to provide an overview to all relevant stakeholders. It is essential that the council monitors its budgets throughout the year to ensure that it is meeting its strategic objectives and that corrective action is taken where necessary.</w:t>
      </w:r>
    </w:p>
    <w:p w:rsidR="00EF3AFF" w:rsidRDefault="00EF3AFF">
      <w:pPr>
        <w:keepNext/>
        <w:ind w:left="1267" w:hanging="1267"/>
      </w:pPr>
    </w:p>
    <w:p w:rsidR="00EF3AFF" w:rsidRDefault="00EF3AFF" w:rsidP="00A6630B">
      <w:pPr>
        <w:ind w:left="1267" w:hanging="1267"/>
      </w:pPr>
      <w:r>
        <w:t>1.3</w:t>
      </w:r>
      <w:r>
        <w:tab/>
        <w:t>This report seeks approval to a change in the Committee’s 2016-2019 medium-term revenue financial plan. The report shows the Council’s overall consolidated medium term financial plan for both revenue and capital.</w:t>
      </w:r>
    </w:p>
    <w:p w:rsidR="00EF3AFF" w:rsidRDefault="00EF3AFF" w:rsidP="00A6630B">
      <w:pPr>
        <w:ind w:left="1267" w:hanging="1267"/>
      </w:pPr>
    </w:p>
    <w:p w:rsidR="00EF3AFF" w:rsidRDefault="00EF3AFF" w:rsidP="005C5E36">
      <w:pPr>
        <w:keepNext/>
        <w:numPr>
          <w:ilvl w:val="0"/>
          <w:numId w:val="15"/>
        </w:numPr>
        <w:rPr>
          <w:b/>
        </w:rPr>
      </w:pPr>
      <w:r>
        <w:rPr>
          <w:b/>
        </w:rPr>
        <w:t>Details</w:t>
      </w:r>
    </w:p>
    <w:p w:rsidR="00EF3AFF" w:rsidRDefault="00EF3AFF" w:rsidP="00063A57">
      <w:pPr>
        <w:keepNext/>
        <w:tabs>
          <w:tab w:val="clear" w:pos="1260"/>
        </w:tabs>
        <w:rPr>
          <w:b/>
        </w:rPr>
      </w:pPr>
    </w:p>
    <w:p w:rsidR="00EF3AFF" w:rsidRDefault="00EF3AFF" w:rsidP="00F6577F">
      <w:pPr>
        <w:ind w:left="1267" w:hanging="1267"/>
      </w:pPr>
      <w:r>
        <w:t>2.1</w:t>
      </w:r>
      <w:r>
        <w:tab/>
        <w:t>An overall i</w:t>
      </w:r>
      <w:r w:rsidRPr="004E0CF7">
        <w:t xml:space="preserve">ncrease in </w:t>
      </w:r>
      <w:r>
        <w:t xml:space="preserve">the Council’s </w:t>
      </w:r>
      <w:r w:rsidRPr="004E0CF7">
        <w:t xml:space="preserve">budgets requiring the use of balances must be approved by Council. Virements between </w:t>
      </w:r>
      <w:r>
        <w:t>cost centres within each service</w:t>
      </w:r>
      <w:r w:rsidRPr="004E0CF7">
        <w:t xml:space="preserve"> </w:t>
      </w:r>
      <w:r>
        <w:t>are</w:t>
      </w:r>
      <w:r w:rsidRPr="004E0CF7">
        <w:t xml:space="preserve"> approved by </w:t>
      </w:r>
      <w:r>
        <w:t xml:space="preserve">each committee. </w:t>
      </w:r>
      <w:r w:rsidRPr="004E0CF7">
        <w:t>Virements between service</w:t>
      </w:r>
      <w:r>
        <w:t xml:space="preserve"> committees </w:t>
      </w:r>
      <w:r w:rsidRPr="004E0CF7">
        <w:t>m</w:t>
      </w:r>
      <w:r>
        <w:t>ust</w:t>
      </w:r>
      <w:r w:rsidRPr="004E0CF7">
        <w:t xml:space="preserve"> be approved by </w:t>
      </w:r>
      <w:r>
        <w:t>Council</w:t>
      </w:r>
      <w:r w:rsidRPr="004E0CF7">
        <w:t xml:space="preserve"> along with proposals for the </w:t>
      </w:r>
      <w:r w:rsidRPr="00805D0F">
        <w:t>use of ‘windfall’ income.</w:t>
      </w:r>
    </w:p>
    <w:p w:rsidR="00EF3AFF" w:rsidRDefault="00EF3AFF" w:rsidP="006E177E">
      <w:pPr>
        <w:keepNext/>
        <w:ind w:left="1267" w:hanging="1267"/>
      </w:pPr>
    </w:p>
    <w:p w:rsidR="00EF3AFF" w:rsidRDefault="00EF3AFF" w:rsidP="006E177E">
      <w:pPr>
        <w:keepNext/>
        <w:ind w:left="1267" w:hanging="1267"/>
        <w:rPr>
          <w:b/>
          <w:i/>
        </w:rPr>
      </w:pPr>
      <w:r w:rsidRPr="009B30AD">
        <w:t xml:space="preserve">                    </w:t>
      </w:r>
      <w:r>
        <w:rPr>
          <w:b/>
          <w:i/>
        </w:rPr>
        <w:tab/>
        <w:t>Revenue</w:t>
      </w:r>
    </w:p>
    <w:p w:rsidR="00EF3AFF" w:rsidRPr="00863115" w:rsidRDefault="00EF3AFF" w:rsidP="006E177E">
      <w:pPr>
        <w:keepNext/>
        <w:ind w:left="1267" w:hanging="1267"/>
        <w:rPr>
          <w:b/>
          <w:i/>
        </w:rPr>
      </w:pPr>
    </w:p>
    <w:p w:rsidR="00EF3AFF" w:rsidRDefault="00EF3AFF" w:rsidP="006E632E">
      <w:pPr>
        <w:ind w:left="1267" w:hanging="1267"/>
      </w:pPr>
      <w:r>
        <w:t>2.2</w:t>
      </w:r>
      <w:r>
        <w:tab/>
        <w:t xml:space="preserve">The original net revenue budget for 2016/17 (as approved by Council in February 2016) was </w:t>
      </w:r>
      <w:r w:rsidRPr="00DB14F9">
        <w:rPr>
          <w:b/>
        </w:rPr>
        <w:t>£11.78</w:t>
      </w:r>
      <w:r>
        <w:rPr>
          <w:b/>
        </w:rPr>
        <w:t>2</w:t>
      </w:r>
      <w:r w:rsidRPr="00DB14F9">
        <w:rPr>
          <w:b/>
        </w:rPr>
        <w:t xml:space="preserve"> million</w:t>
      </w:r>
      <w:r>
        <w:t>. The latest budget is £</w:t>
      </w:r>
      <w:r>
        <w:rPr>
          <w:b/>
        </w:rPr>
        <w:t>12.265</w:t>
      </w:r>
      <w:r w:rsidRPr="00FE5B84">
        <w:rPr>
          <w:b/>
        </w:rPr>
        <w:t xml:space="preserve"> million</w:t>
      </w:r>
      <w:r>
        <w:t xml:space="preserve"> which includes the budget carry forwards from 2015/16 </w:t>
      </w:r>
      <w:r w:rsidRPr="00B02DB8">
        <w:rPr>
          <w:b/>
        </w:rPr>
        <w:t>of £0.408 million</w:t>
      </w:r>
      <w:r>
        <w:t xml:space="preserve"> as recommended for approval to Council by this committee in June and an unfavourable variance of </w:t>
      </w:r>
      <w:r w:rsidRPr="00DE4F82">
        <w:rPr>
          <w:b/>
        </w:rPr>
        <w:t>£0.075 million</w:t>
      </w:r>
      <w:r>
        <w:t xml:space="preserve"> in the Quarter 1 budget monitoring report presented to this committee a</w:t>
      </w:r>
      <w:r w:rsidR="00672434">
        <w:t>t the meeting on 18 July 2016.</w:t>
      </w:r>
    </w:p>
    <w:p w:rsidR="00EF3AFF" w:rsidRDefault="00EF3AFF" w:rsidP="006E632E">
      <w:pPr>
        <w:ind w:left="1267" w:hanging="1267"/>
      </w:pPr>
    </w:p>
    <w:p w:rsidR="00EF3AFF" w:rsidRDefault="00EF3AFF" w:rsidP="006E632E">
      <w:pPr>
        <w:ind w:left="1267" w:hanging="1267"/>
      </w:pPr>
      <w:r>
        <w:t>2.3</w:t>
      </w:r>
      <w:r>
        <w:tab/>
        <w:t xml:space="preserve">After removing other non-service costs (parish precepts and interest earned on investments) and indirect costs (internal recharges, capital financing charges &amp; adjustments under statute) the net original direct revenue budget was set at </w:t>
      </w:r>
      <w:r w:rsidRPr="00746B23">
        <w:rPr>
          <w:b/>
        </w:rPr>
        <w:t>£10.775 million</w:t>
      </w:r>
      <w:r>
        <w:t xml:space="preserve"> and the latest approved </w:t>
      </w:r>
      <w:r w:rsidRPr="00746B23">
        <w:rPr>
          <w:b/>
        </w:rPr>
        <w:t>£11.</w:t>
      </w:r>
      <w:r>
        <w:rPr>
          <w:b/>
        </w:rPr>
        <w:t xml:space="preserve">257 </w:t>
      </w:r>
      <w:r w:rsidRPr="00746B23">
        <w:rPr>
          <w:b/>
        </w:rPr>
        <w:t>million</w:t>
      </w:r>
      <w:r>
        <w:t xml:space="preserve">. These are the budgets that service committees have a direct responsibility for. </w:t>
      </w:r>
    </w:p>
    <w:p w:rsidR="00EF3AFF" w:rsidRDefault="00EF3AFF" w:rsidP="006E632E">
      <w:pPr>
        <w:ind w:left="1267" w:hanging="1267"/>
      </w:pPr>
    </w:p>
    <w:p w:rsidR="00EF3AFF" w:rsidRDefault="00EF3AFF" w:rsidP="006E632E">
      <w:pPr>
        <w:ind w:left="1267" w:hanging="1267"/>
        <w:rPr>
          <w:b/>
        </w:rPr>
      </w:pPr>
      <w:r>
        <w:t>2.4</w:t>
      </w:r>
      <w:r>
        <w:tab/>
        <w:t xml:space="preserve">The forecast outturn is now estimated to </w:t>
      </w:r>
      <w:r w:rsidRPr="000A7D80">
        <w:t xml:space="preserve">be </w:t>
      </w:r>
      <w:r w:rsidRPr="000A7D80">
        <w:rPr>
          <w:b/>
        </w:rPr>
        <w:t>£11.</w:t>
      </w:r>
      <w:r>
        <w:rPr>
          <w:b/>
        </w:rPr>
        <w:t xml:space="preserve">212 </w:t>
      </w:r>
      <w:r w:rsidRPr="00174BF2">
        <w:rPr>
          <w:b/>
        </w:rPr>
        <w:t>million</w:t>
      </w:r>
      <w:r>
        <w:t xml:space="preserve"> which results in a </w:t>
      </w:r>
      <w:r w:rsidRPr="00DF1C0A">
        <w:t>favourable</w:t>
      </w:r>
      <w:r>
        <w:t xml:space="preserve"> variance of </w:t>
      </w:r>
      <w:r w:rsidRPr="00174BF2">
        <w:rPr>
          <w:b/>
        </w:rPr>
        <w:t>£</w:t>
      </w:r>
      <w:r>
        <w:rPr>
          <w:b/>
        </w:rPr>
        <w:t>0.045 million.</w:t>
      </w:r>
    </w:p>
    <w:p w:rsidR="00EF3AFF" w:rsidRDefault="00EF3AFF" w:rsidP="006E632E">
      <w:pPr>
        <w:ind w:left="1267" w:hanging="1267"/>
      </w:pPr>
    </w:p>
    <w:p w:rsidR="00EF3AFF" w:rsidRDefault="00EF3AFF" w:rsidP="00B32E05">
      <w:pPr>
        <w:ind w:left="1267" w:hanging="1267"/>
        <w:rPr>
          <w:rFonts w:cs="Arial"/>
          <w:szCs w:val="22"/>
        </w:rPr>
      </w:pPr>
      <w:r w:rsidRPr="00B16B34">
        <w:rPr>
          <w:rFonts w:cs="Arial"/>
          <w:szCs w:val="22"/>
        </w:rPr>
        <w:t>2.</w:t>
      </w:r>
      <w:r>
        <w:rPr>
          <w:rFonts w:cs="Arial"/>
          <w:szCs w:val="22"/>
        </w:rPr>
        <w:t>5</w:t>
      </w:r>
      <w:r>
        <w:rPr>
          <w:rFonts w:cs="Arial"/>
          <w:szCs w:val="22"/>
        </w:rPr>
        <w:tab/>
      </w:r>
      <w:r>
        <w:rPr>
          <w:rFonts w:cs="Arial"/>
          <w:szCs w:val="22"/>
        </w:rPr>
        <w:tab/>
        <w:t>The main variances that contribute to this are;</w:t>
      </w:r>
    </w:p>
    <w:p w:rsidR="00EF3AFF" w:rsidRDefault="00EF3AFF" w:rsidP="00B32E05">
      <w:pPr>
        <w:ind w:left="1267" w:hanging="1267"/>
        <w:rPr>
          <w:rFonts w:cs="Arial"/>
          <w:szCs w:val="22"/>
        </w:rPr>
      </w:pPr>
    </w:p>
    <w:p w:rsidR="00EF3AFF" w:rsidRPr="00DC2F15" w:rsidRDefault="00EF3AFF" w:rsidP="00DC2F15">
      <w:pPr>
        <w:pStyle w:val="ListParagraph"/>
        <w:numPr>
          <w:ilvl w:val="0"/>
          <w:numId w:val="22"/>
        </w:numPr>
        <w:ind w:left="1276" w:firstLine="0"/>
        <w:rPr>
          <w:rFonts w:cs="Arial"/>
          <w:b/>
          <w:szCs w:val="22"/>
        </w:rPr>
      </w:pPr>
      <w:r w:rsidRPr="00B32E05">
        <w:rPr>
          <w:rFonts w:cs="Arial"/>
          <w:szCs w:val="22"/>
        </w:rPr>
        <w:t>the increased take up of the garden waste scheme which totalled 19,</w:t>
      </w:r>
      <w:r>
        <w:rPr>
          <w:rFonts w:cs="Arial"/>
          <w:szCs w:val="22"/>
        </w:rPr>
        <w:t>232</w:t>
      </w:r>
    </w:p>
    <w:p w:rsidR="00EF3AFF" w:rsidRDefault="00EF3AFF" w:rsidP="00DC2F15">
      <w:pPr>
        <w:pStyle w:val="ListParagraph"/>
        <w:ind w:left="1276"/>
        <w:rPr>
          <w:rFonts w:cs="Arial"/>
          <w:b/>
          <w:szCs w:val="22"/>
        </w:rPr>
      </w:pPr>
      <w:r>
        <w:rPr>
          <w:rFonts w:cs="Arial"/>
          <w:szCs w:val="22"/>
        </w:rPr>
        <w:tab/>
      </w:r>
      <w:r w:rsidRPr="00B32E05">
        <w:rPr>
          <w:rFonts w:cs="Arial"/>
          <w:szCs w:val="22"/>
        </w:rPr>
        <w:t xml:space="preserve">participants at the end of July. This results in a net increase in income of </w:t>
      </w:r>
      <w:r w:rsidRPr="00B32E05">
        <w:rPr>
          <w:rFonts w:cs="Arial"/>
          <w:b/>
          <w:szCs w:val="22"/>
        </w:rPr>
        <w:t xml:space="preserve">£0.085 </w:t>
      </w:r>
    </w:p>
    <w:p w:rsidR="00EF3AFF" w:rsidRDefault="00EF3AFF" w:rsidP="00DC2F15">
      <w:pPr>
        <w:pStyle w:val="ListParagraph"/>
        <w:ind w:left="1276"/>
        <w:rPr>
          <w:rFonts w:cs="Arial"/>
          <w:szCs w:val="22"/>
        </w:rPr>
      </w:pPr>
      <w:r>
        <w:rPr>
          <w:rFonts w:cs="Arial"/>
          <w:b/>
          <w:szCs w:val="22"/>
        </w:rPr>
        <w:tab/>
      </w:r>
      <w:r w:rsidRPr="00B32E05">
        <w:rPr>
          <w:rFonts w:cs="Arial"/>
          <w:b/>
          <w:szCs w:val="22"/>
        </w:rPr>
        <w:t>million</w:t>
      </w:r>
      <w:r w:rsidRPr="00B32E05">
        <w:rPr>
          <w:rFonts w:cs="Arial"/>
          <w:szCs w:val="22"/>
        </w:rPr>
        <w:t>.</w:t>
      </w:r>
    </w:p>
    <w:p w:rsidR="00EF3AFF" w:rsidRPr="00F7111B" w:rsidRDefault="00EF3AFF" w:rsidP="008C0458">
      <w:pPr>
        <w:pStyle w:val="ListParagraph"/>
        <w:numPr>
          <w:ilvl w:val="0"/>
          <w:numId w:val="22"/>
        </w:numPr>
        <w:tabs>
          <w:tab w:val="clear" w:pos="1260"/>
          <w:tab w:val="clear" w:pos="1980"/>
          <w:tab w:val="left" w:pos="1985"/>
        </w:tabs>
        <w:ind w:left="1985" w:hanging="709"/>
        <w:rPr>
          <w:rFonts w:cs="Arial"/>
          <w:b/>
          <w:szCs w:val="22"/>
        </w:rPr>
      </w:pPr>
      <w:r w:rsidRPr="00F7111B">
        <w:rPr>
          <w:rFonts w:cs="Arial"/>
          <w:szCs w:val="22"/>
        </w:rPr>
        <w:t>Reduction in advertising income on Council assets due to the delay in preparing the framework</w:t>
      </w:r>
      <w:r>
        <w:rPr>
          <w:rFonts w:cs="Arial"/>
          <w:szCs w:val="22"/>
        </w:rPr>
        <w:t xml:space="preserve"> agreement</w:t>
      </w:r>
      <w:r w:rsidRPr="00F7111B">
        <w:rPr>
          <w:rFonts w:cs="Arial"/>
          <w:szCs w:val="22"/>
        </w:rPr>
        <w:t xml:space="preserve">. This results in a decrease </w:t>
      </w:r>
      <w:r w:rsidRPr="00F7111B">
        <w:rPr>
          <w:rFonts w:cs="Arial"/>
          <w:b/>
          <w:szCs w:val="22"/>
        </w:rPr>
        <w:t>of £0.025 million</w:t>
      </w:r>
      <w:r w:rsidRPr="00F7111B">
        <w:rPr>
          <w:rFonts w:cs="Arial"/>
          <w:szCs w:val="22"/>
        </w:rPr>
        <w:t>.</w:t>
      </w:r>
    </w:p>
    <w:p w:rsidR="00EF3AFF" w:rsidRDefault="00EF3AFF" w:rsidP="00DC2F15">
      <w:pPr>
        <w:pStyle w:val="ListParagraph"/>
        <w:rPr>
          <w:rFonts w:cs="Arial"/>
          <w:b/>
          <w:szCs w:val="22"/>
        </w:rPr>
      </w:pPr>
    </w:p>
    <w:p w:rsidR="00EF3AFF" w:rsidRPr="00B32E05" w:rsidRDefault="00EF3AFF" w:rsidP="00DC2F15">
      <w:pPr>
        <w:ind w:firstLine="1276"/>
        <w:rPr>
          <w:rFonts w:cs="Arial"/>
          <w:b/>
          <w:szCs w:val="22"/>
        </w:rPr>
      </w:pPr>
      <w:r w:rsidRPr="00B32E05">
        <w:rPr>
          <w:rFonts w:cs="Arial"/>
          <w:szCs w:val="22"/>
        </w:rPr>
        <w:t xml:space="preserve">The details of all variances are shown at </w:t>
      </w:r>
      <w:r w:rsidRPr="00B32E05">
        <w:rPr>
          <w:rFonts w:cs="Arial"/>
          <w:b/>
          <w:szCs w:val="22"/>
        </w:rPr>
        <w:t>Appendix 2.</w:t>
      </w:r>
    </w:p>
    <w:p w:rsidR="00EF3AFF" w:rsidRDefault="00EF3AFF" w:rsidP="006E632E">
      <w:pPr>
        <w:ind w:left="1267" w:hanging="1267"/>
      </w:pPr>
    </w:p>
    <w:p w:rsidR="00EF3AFF" w:rsidRDefault="00EF3AFF" w:rsidP="006E632E">
      <w:pPr>
        <w:ind w:left="1267" w:hanging="1267"/>
      </w:pPr>
      <w:r>
        <w:t>2.6</w:t>
      </w:r>
      <w:r>
        <w:tab/>
        <w:t>The table below shows the net direct expenditure (service costs) budgets, forecast outturn and variance for each service committee.</w:t>
      </w:r>
    </w:p>
    <w:p w:rsidR="00EF3AFF" w:rsidRDefault="00EF3AFF" w:rsidP="006E632E">
      <w:pPr>
        <w:ind w:left="1267" w:hanging="1267"/>
        <w:rPr>
          <w:rFonts w:cs="Arial"/>
          <w:szCs w:val="22"/>
        </w:rPr>
      </w:pPr>
    </w:p>
    <w:p w:rsidR="00672434" w:rsidRDefault="00672434" w:rsidP="006E632E">
      <w:pPr>
        <w:ind w:left="1267" w:hanging="1267"/>
        <w:rPr>
          <w:rFonts w:cs="Arial"/>
          <w:szCs w:val="22"/>
        </w:rPr>
      </w:pPr>
    </w:p>
    <w:p w:rsidR="00672434" w:rsidRPr="00B16B34" w:rsidRDefault="00672434" w:rsidP="006E632E">
      <w:pPr>
        <w:ind w:left="1267" w:hanging="1267"/>
        <w:rPr>
          <w:rFonts w:cs="Arial"/>
          <w:szCs w:val="22"/>
        </w:rPr>
      </w:pPr>
    </w:p>
    <w:tbl>
      <w:tblPr>
        <w:tblW w:w="8505" w:type="dxa"/>
        <w:tblInd w:w="1384" w:type="dxa"/>
        <w:tblLayout w:type="fixed"/>
        <w:tblLook w:val="00A0" w:firstRow="1" w:lastRow="0" w:firstColumn="1" w:lastColumn="0" w:noHBand="0" w:noVBand="0"/>
      </w:tblPr>
      <w:tblGrid>
        <w:gridCol w:w="3827"/>
        <w:gridCol w:w="1134"/>
        <w:gridCol w:w="1134"/>
        <w:gridCol w:w="1134"/>
        <w:gridCol w:w="1276"/>
      </w:tblGrid>
      <w:tr w:rsidR="00EF3AFF" w:rsidRPr="008C45E6" w:rsidTr="008C45E6">
        <w:trPr>
          <w:trHeight w:val="293"/>
        </w:trPr>
        <w:tc>
          <w:tcPr>
            <w:tcW w:w="8505" w:type="dxa"/>
            <w:gridSpan w:val="5"/>
            <w:vMerge w:val="restart"/>
            <w:tcBorders>
              <w:top w:val="single" w:sz="4" w:space="0" w:color="auto"/>
              <w:left w:val="single" w:sz="4" w:space="0" w:color="auto"/>
              <w:bottom w:val="nil"/>
              <w:right w:val="single" w:sz="4" w:space="0" w:color="000000"/>
            </w:tcBorders>
            <w:vAlign w:val="center"/>
          </w:tcPr>
          <w:p w:rsidR="00EF3AFF" w:rsidRPr="008C45E6" w:rsidRDefault="00EF3AFF" w:rsidP="008C45E6">
            <w:pPr>
              <w:tabs>
                <w:tab w:val="clear" w:pos="1260"/>
                <w:tab w:val="clear" w:pos="1980"/>
                <w:tab w:val="clear" w:pos="2700"/>
                <w:tab w:val="clear" w:pos="3420"/>
              </w:tabs>
              <w:jc w:val="center"/>
              <w:rPr>
                <w:rFonts w:cs="Arial"/>
                <w:b/>
                <w:bCs/>
                <w:szCs w:val="22"/>
              </w:rPr>
            </w:pPr>
            <w:r w:rsidRPr="008C45E6">
              <w:rPr>
                <w:rFonts w:cs="Arial"/>
                <w:b/>
                <w:bCs/>
                <w:szCs w:val="22"/>
              </w:rPr>
              <w:lastRenderedPageBreak/>
              <w:t>2016/17 Revenue  Account – General Fund Summary</w:t>
            </w:r>
          </w:p>
        </w:tc>
      </w:tr>
      <w:tr w:rsidR="00EF3AFF" w:rsidRPr="008C45E6" w:rsidTr="008C45E6">
        <w:trPr>
          <w:trHeight w:val="293"/>
        </w:trPr>
        <w:tc>
          <w:tcPr>
            <w:tcW w:w="8505" w:type="dxa"/>
            <w:gridSpan w:val="5"/>
            <w:vMerge/>
            <w:tcBorders>
              <w:top w:val="single" w:sz="4" w:space="0" w:color="auto"/>
              <w:left w:val="single" w:sz="4" w:space="0" w:color="auto"/>
              <w:bottom w:val="nil"/>
              <w:right w:val="single" w:sz="4" w:space="0" w:color="000000"/>
            </w:tcBorders>
            <w:vAlign w:val="center"/>
          </w:tcPr>
          <w:p w:rsidR="00EF3AFF" w:rsidRPr="008C45E6" w:rsidRDefault="00EF3AFF" w:rsidP="008C45E6">
            <w:pPr>
              <w:tabs>
                <w:tab w:val="clear" w:pos="1260"/>
                <w:tab w:val="clear" w:pos="1980"/>
                <w:tab w:val="clear" w:pos="2700"/>
                <w:tab w:val="clear" w:pos="3420"/>
              </w:tabs>
              <w:jc w:val="left"/>
              <w:rPr>
                <w:rFonts w:cs="Arial"/>
                <w:b/>
                <w:bCs/>
                <w:szCs w:val="22"/>
              </w:rPr>
            </w:pPr>
          </w:p>
        </w:tc>
      </w:tr>
      <w:tr w:rsidR="00EF3AFF" w:rsidRPr="008C45E6" w:rsidTr="008C45E6">
        <w:trPr>
          <w:trHeight w:val="945"/>
        </w:trPr>
        <w:tc>
          <w:tcPr>
            <w:tcW w:w="3827" w:type="dxa"/>
            <w:vMerge w:val="restart"/>
            <w:tcBorders>
              <w:top w:val="single" w:sz="4" w:space="0" w:color="auto"/>
              <w:left w:val="single" w:sz="4" w:space="0" w:color="auto"/>
              <w:bottom w:val="single" w:sz="4" w:space="0" w:color="000000"/>
              <w:right w:val="nil"/>
            </w:tcBorders>
            <w:noWrap/>
            <w:vAlign w:val="center"/>
          </w:tcPr>
          <w:p w:rsidR="00EF3AFF" w:rsidRPr="008C45E6" w:rsidRDefault="00EF3AFF" w:rsidP="008C45E6">
            <w:pPr>
              <w:tabs>
                <w:tab w:val="clear" w:pos="1260"/>
                <w:tab w:val="clear" w:pos="1980"/>
                <w:tab w:val="clear" w:pos="2700"/>
                <w:tab w:val="clear" w:pos="3420"/>
              </w:tabs>
              <w:jc w:val="center"/>
              <w:rPr>
                <w:rFonts w:cs="Arial"/>
                <w:b/>
                <w:bCs/>
                <w:szCs w:val="22"/>
              </w:rPr>
            </w:pPr>
            <w:r w:rsidRPr="008C45E6">
              <w:rPr>
                <w:rFonts w:cs="Arial"/>
                <w:b/>
                <w:bCs/>
                <w:szCs w:val="22"/>
              </w:rPr>
              <w:t>Service Area</w:t>
            </w:r>
          </w:p>
        </w:tc>
        <w:tc>
          <w:tcPr>
            <w:tcW w:w="1134" w:type="dxa"/>
            <w:tcBorders>
              <w:top w:val="single" w:sz="4" w:space="0" w:color="auto"/>
              <w:left w:val="single" w:sz="4" w:space="0" w:color="auto"/>
              <w:bottom w:val="nil"/>
              <w:right w:val="single" w:sz="4" w:space="0" w:color="auto"/>
            </w:tcBorders>
            <w:vAlign w:val="center"/>
          </w:tcPr>
          <w:p w:rsidR="00EF3AFF" w:rsidRPr="008C45E6" w:rsidRDefault="00EF3AFF" w:rsidP="008C45E6">
            <w:pPr>
              <w:tabs>
                <w:tab w:val="clear" w:pos="1260"/>
                <w:tab w:val="clear" w:pos="1980"/>
                <w:tab w:val="clear" w:pos="2700"/>
                <w:tab w:val="clear" w:pos="3420"/>
              </w:tabs>
              <w:jc w:val="center"/>
              <w:rPr>
                <w:rFonts w:cs="Arial"/>
                <w:b/>
                <w:bCs/>
                <w:szCs w:val="22"/>
              </w:rPr>
            </w:pPr>
            <w:r w:rsidRPr="008C45E6">
              <w:rPr>
                <w:rFonts w:cs="Arial"/>
                <w:b/>
                <w:bCs/>
                <w:szCs w:val="22"/>
              </w:rPr>
              <w:t>Original Budget</w:t>
            </w:r>
          </w:p>
        </w:tc>
        <w:tc>
          <w:tcPr>
            <w:tcW w:w="1134" w:type="dxa"/>
            <w:tcBorders>
              <w:top w:val="single" w:sz="4" w:space="0" w:color="auto"/>
              <w:left w:val="nil"/>
              <w:bottom w:val="nil"/>
              <w:right w:val="single" w:sz="4" w:space="0" w:color="auto"/>
            </w:tcBorders>
            <w:vAlign w:val="center"/>
          </w:tcPr>
          <w:p w:rsidR="00EF3AFF" w:rsidRPr="008C45E6" w:rsidRDefault="00EF3AFF"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Latest Budget </w:t>
            </w:r>
          </w:p>
        </w:tc>
        <w:tc>
          <w:tcPr>
            <w:tcW w:w="1134" w:type="dxa"/>
            <w:tcBorders>
              <w:top w:val="single" w:sz="4" w:space="0" w:color="auto"/>
              <w:left w:val="nil"/>
              <w:bottom w:val="nil"/>
              <w:right w:val="single" w:sz="4" w:space="0" w:color="auto"/>
            </w:tcBorders>
            <w:vAlign w:val="center"/>
          </w:tcPr>
          <w:p w:rsidR="00EF3AFF" w:rsidRPr="008C45E6" w:rsidRDefault="00EF3AFF"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Outturn </w:t>
            </w:r>
          </w:p>
        </w:tc>
        <w:tc>
          <w:tcPr>
            <w:tcW w:w="1276" w:type="dxa"/>
            <w:tcBorders>
              <w:top w:val="single" w:sz="4" w:space="0" w:color="auto"/>
              <w:left w:val="nil"/>
              <w:bottom w:val="nil"/>
              <w:right w:val="single" w:sz="4" w:space="0" w:color="auto"/>
            </w:tcBorders>
            <w:vAlign w:val="center"/>
          </w:tcPr>
          <w:p w:rsidR="00EF3AFF" w:rsidRPr="008C45E6" w:rsidRDefault="00EF3AFF"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Variance </w:t>
            </w:r>
          </w:p>
        </w:tc>
      </w:tr>
      <w:tr w:rsidR="00EF3AFF" w:rsidRPr="008C45E6" w:rsidTr="008C45E6">
        <w:trPr>
          <w:trHeight w:val="315"/>
        </w:trPr>
        <w:tc>
          <w:tcPr>
            <w:tcW w:w="3827" w:type="dxa"/>
            <w:vMerge/>
            <w:tcBorders>
              <w:top w:val="single" w:sz="4" w:space="0" w:color="auto"/>
              <w:left w:val="single" w:sz="4" w:space="0" w:color="auto"/>
              <w:bottom w:val="single" w:sz="4" w:space="0" w:color="000000"/>
              <w:right w:val="nil"/>
            </w:tcBorders>
            <w:vAlign w:val="center"/>
          </w:tcPr>
          <w:p w:rsidR="00EF3AFF" w:rsidRPr="008C45E6" w:rsidRDefault="00EF3AFF" w:rsidP="008C45E6">
            <w:pPr>
              <w:tabs>
                <w:tab w:val="clear" w:pos="1260"/>
                <w:tab w:val="clear" w:pos="1980"/>
                <w:tab w:val="clear" w:pos="2700"/>
                <w:tab w:val="clear" w:pos="3420"/>
              </w:tabs>
              <w:jc w:val="left"/>
              <w:rPr>
                <w:rFonts w:cs="Arial"/>
                <w:b/>
                <w:bCs/>
                <w:szCs w:val="22"/>
              </w:rPr>
            </w:pPr>
          </w:p>
        </w:tc>
        <w:tc>
          <w:tcPr>
            <w:tcW w:w="1134" w:type="dxa"/>
            <w:tcBorders>
              <w:top w:val="nil"/>
              <w:left w:val="single" w:sz="4" w:space="0" w:color="auto"/>
              <w:bottom w:val="single" w:sz="4" w:space="0" w:color="auto"/>
              <w:right w:val="single" w:sz="4" w:space="0" w:color="auto"/>
            </w:tcBorders>
            <w:noWrap/>
            <w:vAlign w:val="bottom"/>
          </w:tcPr>
          <w:p w:rsidR="00EF3AFF" w:rsidRPr="008C45E6" w:rsidRDefault="00EF3AFF"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£000 </w:t>
            </w:r>
          </w:p>
        </w:tc>
        <w:tc>
          <w:tcPr>
            <w:tcW w:w="1134" w:type="dxa"/>
            <w:tcBorders>
              <w:top w:val="nil"/>
              <w:left w:val="nil"/>
              <w:bottom w:val="single" w:sz="4" w:space="0" w:color="auto"/>
              <w:right w:val="single" w:sz="4" w:space="0" w:color="auto"/>
            </w:tcBorders>
            <w:noWrap/>
            <w:vAlign w:val="bottom"/>
          </w:tcPr>
          <w:p w:rsidR="00EF3AFF" w:rsidRPr="008C45E6" w:rsidRDefault="00EF3AFF"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£000 </w:t>
            </w:r>
          </w:p>
        </w:tc>
        <w:tc>
          <w:tcPr>
            <w:tcW w:w="1134" w:type="dxa"/>
            <w:tcBorders>
              <w:top w:val="nil"/>
              <w:left w:val="nil"/>
              <w:bottom w:val="single" w:sz="4" w:space="0" w:color="auto"/>
              <w:right w:val="nil"/>
            </w:tcBorders>
            <w:noWrap/>
            <w:vAlign w:val="bottom"/>
          </w:tcPr>
          <w:p w:rsidR="00EF3AFF" w:rsidRPr="008C45E6" w:rsidRDefault="00EF3AFF"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£000 </w:t>
            </w:r>
          </w:p>
        </w:tc>
        <w:tc>
          <w:tcPr>
            <w:tcW w:w="1276" w:type="dxa"/>
            <w:tcBorders>
              <w:top w:val="nil"/>
              <w:left w:val="single" w:sz="4" w:space="0" w:color="auto"/>
              <w:bottom w:val="nil"/>
              <w:right w:val="single" w:sz="4" w:space="0" w:color="auto"/>
            </w:tcBorders>
            <w:noWrap/>
            <w:vAlign w:val="bottom"/>
          </w:tcPr>
          <w:p w:rsidR="00EF3AFF" w:rsidRPr="008C45E6" w:rsidRDefault="00EF3AFF" w:rsidP="008C45E6">
            <w:pPr>
              <w:tabs>
                <w:tab w:val="clear" w:pos="1260"/>
                <w:tab w:val="clear" w:pos="1980"/>
                <w:tab w:val="clear" w:pos="2700"/>
                <w:tab w:val="clear" w:pos="3420"/>
              </w:tabs>
              <w:jc w:val="center"/>
              <w:rPr>
                <w:rFonts w:cs="Arial"/>
                <w:b/>
                <w:bCs/>
                <w:szCs w:val="22"/>
              </w:rPr>
            </w:pPr>
            <w:r w:rsidRPr="008C45E6">
              <w:rPr>
                <w:rFonts w:cs="Arial"/>
                <w:b/>
                <w:bCs/>
                <w:szCs w:val="22"/>
              </w:rPr>
              <w:t xml:space="preserve"> £000 </w:t>
            </w:r>
          </w:p>
        </w:tc>
      </w:tr>
      <w:tr w:rsidR="00EF3AFF" w:rsidRPr="008C45E6" w:rsidTr="008C45E6">
        <w:trPr>
          <w:trHeight w:val="300"/>
        </w:trPr>
        <w:tc>
          <w:tcPr>
            <w:tcW w:w="3827" w:type="dxa"/>
            <w:tcBorders>
              <w:top w:val="nil"/>
              <w:left w:val="single" w:sz="4" w:space="0" w:color="auto"/>
              <w:bottom w:val="nil"/>
              <w:right w:val="nil"/>
            </w:tcBorders>
            <w:noWrap/>
            <w:vAlign w:val="center"/>
          </w:tcPr>
          <w:p w:rsidR="00EF3AFF" w:rsidRPr="008C45E6" w:rsidRDefault="00EF3AFF" w:rsidP="00172723">
            <w:pPr>
              <w:tabs>
                <w:tab w:val="clear" w:pos="1260"/>
                <w:tab w:val="clear" w:pos="1980"/>
                <w:tab w:val="clear" w:pos="2700"/>
                <w:tab w:val="clear" w:pos="3420"/>
              </w:tabs>
              <w:jc w:val="left"/>
              <w:rPr>
                <w:rFonts w:cs="Arial"/>
                <w:szCs w:val="22"/>
              </w:rPr>
            </w:pPr>
            <w:r w:rsidRPr="008C45E6">
              <w:rPr>
                <w:rFonts w:cs="Arial"/>
                <w:szCs w:val="22"/>
              </w:rPr>
              <w:t>Leisure, Wellbeing &amp; Health</w:t>
            </w:r>
          </w:p>
        </w:tc>
        <w:tc>
          <w:tcPr>
            <w:tcW w:w="1134" w:type="dxa"/>
            <w:tcBorders>
              <w:top w:val="nil"/>
              <w:left w:val="single" w:sz="4" w:space="0" w:color="auto"/>
              <w:bottom w:val="nil"/>
              <w:right w:val="single" w:sz="4" w:space="0" w:color="auto"/>
            </w:tcBorders>
            <w:noWrap/>
            <w:vAlign w:val="center"/>
          </w:tcPr>
          <w:p w:rsidR="00EF3AFF" w:rsidRPr="008C45E6" w:rsidRDefault="00EF3AFF" w:rsidP="008C45E6">
            <w:pPr>
              <w:tabs>
                <w:tab w:val="clear" w:pos="1260"/>
                <w:tab w:val="clear" w:pos="1980"/>
                <w:tab w:val="clear" w:pos="2700"/>
                <w:tab w:val="clear" w:pos="3420"/>
              </w:tabs>
              <w:jc w:val="right"/>
              <w:rPr>
                <w:rFonts w:cs="Arial"/>
                <w:szCs w:val="22"/>
              </w:rPr>
            </w:pPr>
            <w:r>
              <w:rPr>
                <w:rFonts w:cs="Arial"/>
                <w:szCs w:val="22"/>
              </w:rPr>
              <w:t>2,339</w:t>
            </w:r>
            <w:r w:rsidRPr="008C45E6">
              <w:rPr>
                <w:rFonts w:cs="Arial"/>
                <w:szCs w:val="22"/>
              </w:rPr>
              <w:t xml:space="preserve"> </w:t>
            </w:r>
          </w:p>
        </w:tc>
        <w:tc>
          <w:tcPr>
            <w:tcW w:w="1134" w:type="dxa"/>
            <w:tcBorders>
              <w:top w:val="nil"/>
              <w:left w:val="nil"/>
              <w:bottom w:val="nil"/>
              <w:right w:val="single" w:sz="4" w:space="0" w:color="auto"/>
            </w:tcBorders>
            <w:noWrap/>
            <w:vAlign w:val="center"/>
          </w:tcPr>
          <w:p w:rsidR="00EF3AFF" w:rsidRPr="008C45E6" w:rsidRDefault="00EF3AFF" w:rsidP="00660427">
            <w:pPr>
              <w:tabs>
                <w:tab w:val="clear" w:pos="1260"/>
                <w:tab w:val="clear" w:pos="1980"/>
                <w:tab w:val="clear" w:pos="2700"/>
                <w:tab w:val="clear" w:pos="3420"/>
              </w:tabs>
              <w:jc w:val="right"/>
              <w:rPr>
                <w:rFonts w:cs="Arial"/>
                <w:szCs w:val="22"/>
              </w:rPr>
            </w:pPr>
            <w:r>
              <w:rPr>
                <w:rFonts w:cs="Arial"/>
                <w:szCs w:val="22"/>
              </w:rPr>
              <w:t>2,281</w:t>
            </w:r>
          </w:p>
        </w:tc>
        <w:tc>
          <w:tcPr>
            <w:tcW w:w="1134" w:type="dxa"/>
            <w:tcBorders>
              <w:top w:val="nil"/>
              <w:left w:val="nil"/>
              <w:bottom w:val="nil"/>
              <w:right w:val="nil"/>
            </w:tcBorders>
            <w:noWrap/>
            <w:vAlign w:val="center"/>
          </w:tcPr>
          <w:p w:rsidR="00EF3AFF" w:rsidRPr="008C45E6" w:rsidRDefault="00EF3AFF" w:rsidP="008C45E6">
            <w:pPr>
              <w:tabs>
                <w:tab w:val="clear" w:pos="1260"/>
                <w:tab w:val="clear" w:pos="1980"/>
                <w:tab w:val="clear" w:pos="2700"/>
                <w:tab w:val="clear" w:pos="3420"/>
              </w:tabs>
              <w:jc w:val="right"/>
              <w:rPr>
                <w:rFonts w:cs="Arial"/>
                <w:szCs w:val="22"/>
              </w:rPr>
            </w:pPr>
            <w:r>
              <w:rPr>
                <w:rFonts w:cs="Arial"/>
                <w:szCs w:val="22"/>
              </w:rPr>
              <w:t>2,281</w:t>
            </w:r>
          </w:p>
        </w:tc>
        <w:tc>
          <w:tcPr>
            <w:tcW w:w="1276" w:type="dxa"/>
            <w:tcBorders>
              <w:top w:val="single" w:sz="4" w:space="0" w:color="auto"/>
              <w:left w:val="single" w:sz="4" w:space="0" w:color="auto"/>
              <w:bottom w:val="nil"/>
              <w:right w:val="single" w:sz="4" w:space="0" w:color="auto"/>
            </w:tcBorders>
            <w:noWrap/>
            <w:vAlign w:val="center"/>
          </w:tcPr>
          <w:p w:rsidR="00EF3AFF" w:rsidRPr="008C45E6" w:rsidRDefault="00EF3AFF" w:rsidP="008C45E6">
            <w:pPr>
              <w:tabs>
                <w:tab w:val="clear" w:pos="1260"/>
                <w:tab w:val="clear" w:pos="1980"/>
                <w:tab w:val="clear" w:pos="2700"/>
                <w:tab w:val="clear" w:pos="3420"/>
              </w:tabs>
              <w:jc w:val="right"/>
              <w:rPr>
                <w:rFonts w:cs="Arial"/>
                <w:szCs w:val="22"/>
              </w:rPr>
            </w:pPr>
            <w:r>
              <w:rPr>
                <w:rFonts w:cs="Arial"/>
                <w:szCs w:val="22"/>
              </w:rPr>
              <w:t>0</w:t>
            </w:r>
          </w:p>
        </w:tc>
      </w:tr>
      <w:tr w:rsidR="00EF3AFF" w:rsidRPr="008C45E6" w:rsidTr="008C45E6">
        <w:trPr>
          <w:trHeight w:val="300"/>
        </w:trPr>
        <w:tc>
          <w:tcPr>
            <w:tcW w:w="3827" w:type="dxa"/>
            <w:tcBorders>
              <w:top w:val="nil"/>
              <w:left w:val="single" w:sz="4" w:space="0" w:color="auto"/>
              <w:bottom w:val="nil"/>
              <w:right w:val="nil"/>
            </w:tcBorders>
            <w:noWrap/>
            <w:vAlign w:val="center"/>
          </w:tcPr>
          <w:p w:rsidR="00EF3AFF" w:rsidRPr="008C45E6" w:rsidRDefault="00EF3AFF" w:rsidP="008C45E6">
            <w:pPr>
              <w:tabs>
                <w:tab w:val="clear" w:pos="1260"/>
                <w:tab w:val="clear" w:pos="1980"/>
                <w:tab w:val="clear" w:pos="2700"/>
                <w:tab w:val="clear" w:pos="3420"/>
              </w:tabs>
              <w:jc w:val="left"/>
              <w:rPr>
                <w:rFonts w:cs="Arial"/>
                <w:szCs w:val="22"/>
              </w:rPr>
            </w:pPr>
            <w:r w:rsidRPr="008C45E6">
              <w:rPr>
                <w:rFonts w:cs="Arial"/>
                <w:szCs w:val="22"/>
              </w:rPr>
              <w:t>Sustainable Development, Planning &amp; Transport</w:t>
            </w:r>
          </w:p>
        </w:tc>
        <w:tc>
          <w:tcPr>
            <w:tcW w:w="1134" w:type="dxa"/>
            <w:tcBorders>
              <w:top w:val="nil"/>
              <w:left w:val="single" w:sz="4" w:space="0" w:color="auto"/>
              <w:bottom w:val="nil"/>
              <w:right w:val="single" w:sz="4" w:space="0" w:color="auto"/>
            </w:tcBorders>
            <w:noWrap/>
            <w:vAlign w:val="center"/>
          </w:tcPr>
          <w:p w:rsidR="00EF3AFF" w:rsidRPr="008C45E6" w:rsidRDefault="00EF3AFF" w:rsidP="008C45E6">
            <w:pPr>
              <w:tabs>
                <w:tab w:val="clear" w:pos="1260"/>
                <w:tab w:val="clear" w:pos="1980"/>
                <w:tab w:val="clear" w:pos="2700"/>
                <w:tab w:val="clear" w:pos="3420"/>
              </w:tabs>
              <w:jc w:val="right"/>
              <w:rPr>
                <w:rFonts w:cs="Arial"/>
                <w:szCs w:val="22"/>
              </w:rPr>
            </w:pPr>
            <w:r>
              <w:rPr>
                <w:rFonts w:cs="Arial"/>
                <w:szCs w:val="22"/>
              </w:rPr>
              <w:t>1,649</w:t>
            </w:r>
          </w:p>
        </w:tc>
        <w:tc>
          <w:tcPr>
            <w:tcW w:w="1134" w:type="dxa"/>
            <w:tcBorders>
              <w:top w:val="nil"/>
              <w:left w:val="nil"/>
              <w:bottom w:val="nil"/>
              <w:right w:val="single" w:sz="4" w:space="0" w:color="auto"/>
            </w:tcBorders>
            <w:noWrap/>
            <w:vAlign w:val="center"/>
          </w:tcPr>
          <w:p w:rsidR="00EF3AFF" w:rsidRPr="008C45E6" w:rsidRDefault="00EF3AFF" w:rsidP="00660427">
            <w:pPr>
              <w:tabs>
                <w:tab w:val="clear" w:pos="1260"/>
                <w:tab w:val="clear" w:pos="1980"/>
                <w:tab w:val="clear" w:pos="2700"/>
                <w:tab w:val="clear" w:pos="3420"/>
              </w:tabs>
              <w:jc w:val="right"/>
              <w:rPr>
                <w:rFonts w:cs="Arial"/>
                <w:szCs w:val="22"/>
              </w:rPr>
            </w:pPr>
            <w:r>
              <w:rPr>
                <w:rFonts w:cs="Arial"/>
                <w:szCs w:val="22"/>
              </w:rPr>
              <w:t>1,716</w:t>
            </w:r>
          </w:p>
        </w:tc>
        <w:tc>
          <w:tcPr>
            <w:tcW w:w="1134" w:type="dxa"/>
            <w:tcBorders>
              <w:top w:val="nil"/>
              <w:left w:val="nil"/>
              <w:bottom w:val="nil"/>
              <w:right w:val="nil"/>
            </w:tcBorders>
            <w:noWrap/>
            <w:vAlign w:val="center"/>
          </w:tcPr>
          <w:p w:rsidR="00EF3AFF" w:rsidRPr="008C45E6" w:rsidRDefault="00EF3AFF" w:rsidP="00660427">
            <w:pPr>
              <w:tabs>
                <w:tab w:val="clear" w:pos="1260"/>
                <w:tab w:val="clear" w:pos="1980"/>
                <w:tab w:val="clear" w:pos="2700"/>
                <w:tab w:val="clear" w:pos="3420"/>
              </w:tabs>
              <w:jc w:val="right"/>
              <w:rPr>
                <w:rFonts w:cs="Arial"/>
                <w:szCs w:val="22"/>
              </w:rPr>
            </w:pPr>
            <w:r>
              <w:rPr>
                <w:rFonts w:cs="Arial"/>
                <w:szCs w:val="22"/>
              </w:rPr>
              <w:t>1,711</w:t>
            </w:r>
          </w:p>
        </w:tc>
        <w:tc>
          <w:tcPr>
            <w:tcW w:w="1276" w:type="dxa"/>
            <w:tcBorders>
              <w:top w:val="nil"/>
              <w:left w:val="single" w:sz="4" w:space="0" w:color="auto"/>
              <w:bottom w:val="nil"/>
              <w:right w:val="single" w:sz="4" w:space="0" w:color="auto"/>
            </w:tcBorders>
            <w:noWrap/>
            <w:vAlign w:val="center"/>
          </w:tcPr>
          <w:p w:rsidR="00EF3AFF" w:rsidRPr="008C45E6" w:rsidRDefault="00EF3AFF" w:rsidP="00660427">
            <w:pPr>
              <w:tabs>
                <w:tab w:val="clear" w:pos="1260"/>
                <w:tab w:val="clear" w:pos="1980"/>
                <w:tab w:val="clear" w:pos="2700"/>
                <w:tab w:val="clear" w:pos="3420"/>
              </w:tabs>
              <w:jc w:val="right"/>
              <w:rPr>
                <w:rFonts w:cs="Arial"/>
                <w:szCs w:val="22"/>
              </w:rPr>
            </w:pPr>
            <w:r>
              <w:rPr>
                <w:rFonts w:cs="Arial"/>
                <w:szCs w:val="22"/>
              </w:rPr>
              <w:t>(5)</w:t>
            </w:r>
          </w:p>
        </w:tc>
      </w:tr>
      <w:tr w:rsidR="00EF3AFF" w:rsidRPr="008C45E6" w:rsidTr="008C45E6">
        <w:trPr>
          <w:trHeight w:val="300"/>
        </w:trPr>
        <w:tc>
          <w:tcPr>
            <w:tcW w:w="3827" w:type="dxa"/>
            <w:tcBorders>
              <w:top w:val="nil"/>
              <w:left w:val="single" w:sz="4" w:space="0" w:color="auto"/>
              <w:bottom w:val="nil"/>
              <w:right w:val="nil"/>
            </w:tcBorders>
            <w:noWrap/>
            <w:vAlign w:val="center"/>
          </w:tcPr>
          <w:p w:rsidR="00EF3AFF" w:rsidRPr="008C45E6" w:rsidRDefault="00EF3AFF" w:rsidP="008C45E6">
            <w:pPr>
              <w:tabs>
                <w:tab w:val="clear" w:pos="1260"/>
                <w:tab w:val="clear" w:pos="1980"/>
                <w:tab w:val="clear" w:pos="2700"/>
                <w:tab w:val="clear" w:pos="3420"/>
              </w:tabs>
              <w:jc w:val="left"/>
              <w:rPr>
                <w:rFonts w:cs="Arial"/>
                <w:szCs w:val="22"/>
              </w:rPr>
            </w:pPr>
            <w:r w:rsidRPr="008C45E6">
              <w:rPr>
                <w:rFonts w:cs="Arial"/>
                <w:szCs w:val="22"/>
              </w:rPr>
              <w:t>General Public Services &amp; Community Safety</w:t>
            </w:r>
          </w:p>
        </w:tc>
        <w:tc>
          <w:tcPr>
            <w:tcW w:w="1134" w:type="dxa"/>
            <w:tcBorders>
              <w:top w:val="nil"/>
              <w:left w:val="single" w:sz="4" w:space="0" w:color="auto"/>
              <w:bottom w:val="nil"/>
              <w:right w:val="single" w:sz="4" w:space="0" w:color="auto"/>
            </w:tcBorders>
            <w:noWrap/>
            <w:vAlign w:val="center"/>
          </w:tcPr>
          <w:p w:rsidR="00EF3AFF" w:rsidRPr="008C45E6" w:rsidRDefault="00EF3AFF" w:rsidP="008C45E6">
            <w:pPr>
              <w:tabs>
                <w:tab w:val="clear" w:pos="1260"/>
                <w:tab w:val="clear" w:pos="1980"/>
                <w:tab w:val="clear" w:pos="2700"/>
                <w:tab w:val="clear" w:pos="3420"/>
              </w:tabs>
              <w:jc w:val="right"/>
              <w:rPr>
                <w:rFonts w:cs="Arial"/>
                <w:szCs w:val="22"/>
              </w:rPr>
            </w:pPr>
            <w:r>
              <w:rPr>
                <w:rFonts w:cs="Arial"/>
                <w:szCs w:val="22"/>
              </w:rPr>
              <w:t>2,257</w:t>
            </w:r>
          </w:p>
        </w:tc>
        <w:tc>
          <w:tcPr>
            <w:tcW w:w="1134" w:type="dxa"/>
            <w:tcBorders>
              <w:top w:val="nil"/>
              <w:left w:val="nil"/>
              <w:bottom w:val="nil"/>
              <w:right w:val="single" w:sz="4" w:space="0" w:color="auto"/>
            </w:tcBorders>
            <w:noWrap/>
            <w:vAlign w:val="center"/>
          </w:tcPr>
          <w:p w:rsidR="00EF3AFF" w:rsidRPr="008C45E6" w:rsidRDefault="00EF3AFF" w:rsidP="00660427">
            <w:pPr>
              <w:tabs>
                <w:tab w:val="clear" w:pos="1260"/>
                <w:tab w:val="clear" w:pos="1980"/>
                <w:tab w:val="clear" w:pos="2700"/>
                <w:tab w:val="clear" w:pos="3420"/>
              </w:tabs>
              <w:jc w:val="right"/>
              <w:rPr>
                <w:rFonts w:cs="Arial"/>
                <w:szCs w:val="22"/>
              </w:rPr>
            </w:pPr>
            <w:r>
              <w:rPr>
                <w:rFonts w:cs="Arial"/>
                <w:szCs w:val="22"/>
              </w:rPr>
              <w:t>2,320</w:t>
            </w:r>
          </w:p>
        </w:tc>
        <w:tc>
          <w:tcPr>
            <w:tcW w:w="1134" w:type="dxa"/>
            <w:tcBorders>
              <w:top w:val="nil"/>
              <w:left w:val="nil"/>
              <w:bottom w:val="nil"/>
              <w:right w:val="nil"/>
            </w:tcBorders>
            <w:noWrap/>
            <w:vAlign w:val="center"/>
          </w:tcPr>
          <w:p w:rsidR="00EF3AFF" w:rsidRPr="008C45E6" w:rsidRDefault="00EF3AFF" w:rsidP="00660427">
            <w:pPr>
              <w:tabs>
                <w:tab w:val="clear" w:pos="1260"/>
                <w:tab w:val="clear" w:pos="1980"/>
                <w:tab w:val="clear" w:pos="2700"/>
                <w:tab w:val="clear" w:pos="3420"/>
              </w:tabs>
              <w:jc w:val="right"/>
              <w:rPr>
                <w:rFonts w:cs="Arial"/>
                <w:szCs w:val="22"/>
              </w:rPr>
            </w:pPr>
            <w:r>
              <w:rPr>
                <w:rFonts w:cs="Arial"/>
                <w:szCs w:val="22"/>
              </w:rPr>
              <w:t>2,255</w:t>
            </w:r>
          </w:p>
        </w:tc>
        <w:tc>
          <w:tcPr>
            <w:tcW w:w="1276" w:type="dxa"/>
            <w:tcBorders>
              <w:top w:val="nil"/>
              <w:left w:val="single" w:sz="4" w:space="0" w:color="auto"/>
              <w:bottom w:val="nil"/>
              <w:right w:val="single" w:sz="4" w:space="0" w:color="auto"/>
            </w:tcBorders>
            <w:noWrap/>
            <w:vAlign w:val="center"/>
          </w:tcPr>
          <w:p w:rsidR="00EF3AFF" w:rsidRPr="008C45E6" w:rsidRDefault="00EF3AFF" w:rsidP="00660427">
            <w:pPr>
              <w:tabs>
                <w:tab w:val="clear" w:pos="1260"/>
                <w:tab w:val="clear" w:pos="1980"/>
                <w:tab w:val="clear" w:pos="2700"/>
                <w:tab w:val="clear" w:pos="3420"/>
              </w:tabs>
              <w:jc w:val="right"/>
              <w:rPr>
                <w:rFonts w:cs="Arial"/>
                <w:szCs w:val="22"/>
              </w:rPr>
            </w:pPr>
            <w:r>
              <w:rPr>
                <w:rFonts w:cs="Arial"/>
                <w:szCs w:val="22"/>
              </w:rPr>
              <w:t>(65)</w:t>
            </w:r>
          </w:p>
        </w:tc>
      </w:tr>
      <w:tr w:rsidR="00EF3AFF" w:rsidRPr="008C45E6" w:rsidTr="00660427">
        <w:trPr>
          <w:trHeight w:val="300"/>
        </w:trPr>
        <w:tc>
          <w:tcPr>
            <w:tcW w:w="3827" w:type="dxa"/>
            <w:tcBorders>
              <w:top w:val="nil"/>
              <w:left w:val="single" w:sz="4" w:space="0" w:color="auto"/>
              <w:bottom w:val="single" w:sz="4" w:space="0" w:color="auto"/>
              <w:right w:val="nil"/>
            </w:tcBorders>
            <w:noWrap/>
            <w:vAlign w:val="center"/>
          </w:tcPr>
          <w:p w:rsidR="00EF3AFF" w:rsidRPr="008C45E6" w:rsidRDefault="00EF3AFF" w:rsidP="008C45E6">
            <w:pPr>
              <w:tabs>
                <w:tab w:val="clear" w:pos="1260"/>
                <w:tab w:val="clear" w:pos="1980"/>
                <w:tab w:val="clear" w:pos="2700"/>
                <w:tab w:val="clear" w:pos="3420"/>
              </w:tabs>
              <w:jc w:val="left"/>
              <w:rPr>
                <w:rFonts w:cs="Arial"/>
                <w:szCs w:val="22"/>
              </w:rPr>
            </w:pPr>
            <w:r w:rsidRPr="008C45E6">
              <w:rPr>
                <w:rFonts w:cs="Arial"/>
                <w:szCs w:val="22"/>
              </w:rPr>
              <w:t>Policy &amp; Resources</w:t>
            </w:r>
          </w:p>
        </w:tc>
        <w:tc>
          <w:tcPr>
            <w:tcW w:w="1134" w:type="dxa"/>
            <w:tcBorders>
              <w:top w:val="nil"/>
              <w:left w:val="single" w:sz="4" w:space="0" w:color="auto"/>
              <w:bottom w:val="single" w:sz="4" w:space="0" w:color="auto"/>
              <w:right w:val="single" w:sz="4" w:space="0" w:color="auto"/>
            </w:tcBorders>
            <w:noWrap/>
            <w:vAlign w:val="center"/>
          </w:tcPr>
          <w:p w:rsidR="00EF3AFF" w:rsidRPr="008C45E6" w:rsidRDefault="00EF3AFF" w:rsidP="008C45E6">
            <w:pPr>
              <w:tabs>
                <w:tab w:val="clear" w:pos="1260"/>
                <w:tab w:val="clear" w:pos="1980"/>
                <w:tab w:val="clear" w:pos="2700"/>
                <w:tab w:val="clear" w:pos="3420"/>
              </w:tabs>
              <w:jc w:val="right"/>
              <w:rPr>
                <w:rFonts w:cs="Arial"/>
                <w:szCs w:val="22"/>
              </w:rPr>
            </w:pPr>
            <w:r>
              <w:rPr>
                <w:rFonts w:cs="Arial"/>
                <w:szCs w:val="22"/>
              </w:rPr>
              <w:t>4,530</w:t>
            </w:r>
          </w:p>
        </w:tc>
        <w:tc>
          <w:tcPr>
            <w:tcW w:w="1134" w:type="dxa"/>
            <w:tcBorders>
              <w:top w:val="nil"/>
              <w:left w:val="nil"/>
              <w:bottom w:val="single" w:sz="4" w:space="0" w:color="auto"/>
              <w:right w:val="single" w:sz="4" w:space="0" w:color="auto"/>
            </w:tcBorders>
            <w:noWrap/>
            <w:vAlign w:val="center"/>
          </w:tcPr>
          <w:p w:rsidR="00EF3AFF" w:rsidRPr="008C45E6" w:rsidRDefault="00EF3AFF" w:rsidP="00660427">
            <w:pPr>
              <w:tabs>
                <w:tab w:val="clear" w:pos="1260"/>
                <w:tab w:val="clear" w:pos="1980"/>
                <w:tab w:val="clear" w:pos="2700"/>
                <w:tab w:val="clear" w:pos="3420"/>
              </w:tabs>
              <w:jc w:val="right"/>
              <w:rPr>
                <w:rFonts w:cs="Arial"/>
                <w:szCs w:val="22"/>
              </w:rPr>
            </w:pPr>
            <w:r>
              <w:rPr>
                <w:rFonts w:cs="Arial"/>
                <w:szCs w:val="22"/>
              </w:rPr>
              <w:t>4,940</w:t>
            </w:r>
          </w:p>
        </w:tc>
        <w:tc>
          <w:tcPr>
            <w:tcW w:w="1134" w:type="dxa"/>
            <w:tcBorders>
              <w:top w:val="nil"/>
              <w:left w:val="nil"/>
              <w:bottom w:val="single" w:sz="4" w:space="0" w:color="auto"/>
              <w:right w:val="nil"/>
            </w:tcBorders>
            <w:noWrap/>
            <w:vAlign w:val="center"/>
          </w:tcPr>
          <w:p w:rsidR="00EF3AFF" w:rsidRPr="008C45E6" w:rsidRDefault="00EF3AFF" w:rsidP="00306C73">
            <w:pPr>
              <w:tabs>
                <w:tab w:val="clear" w:pos="1260"/>
                <w:tab w:val="clear" w:pos="1980"/>
                <w:tab w:val="clear" w:pos="2700"/>
                <w:tab w:val="clear" w:pos="3420"/>
              </w:tabs>
              <w:jc w:val="right"/>
              <w:rPr>
                <w:rFonts w:cs="Arial"/>
                <w:szCs w:val="22"/>
              </w:rPr>
            </w:pPr>
            <w:r>
              <w:rPr>
                <w:rFonts w:cs="Arial"/>
                <w:szCs w:val="22"/>
              </w:rPr>
              <w:t>4,965</w:t>
            </w:r>
          </w:p>
        </w:tc>
        <w:tc>
          <w:tcPr>
            <w:tcW w:w="1276" w:type="dxa"/>
            <w:tcBorders>
              <w:top w:val="nil"/>
              <w:left w:val="single" w:sz="4" w:space="0" w:color="auto"/>
              <w:bottom w:val="single" w:sz="4" w:space="0" w:color="auto"/>
              <w:right w:val="single" w:sz="4" w:space="0" w:color="auto"/>
            </w:tcBorders>
            <w:noWrap/>
            <w:vAlign w:val="center"/>
          </w:tcPr>
          <w:p w:rsidR="00EF3AFF" w:rsidRPr="008C45E6" w:rsidRDefault="00EF3AFF" w:rsidP="008C45E6">
            <w:pPr>
              <w:tabs>
                <w:tab w:val="clear" w:pos="1260"/>
                <w:tab w:val="clear" w:pos="1980"/>
                <w:tab w:val="clear" w:pos="2700"/>
                <w:tab w:val="clear" w:pos="3420"/>
              </w:tabs>
              <w:jc w:val="right"/>
              <w:rPr>
                <w:rFonts w:cs="Arial"/>
                <w:szCs w:val="22"/>
              </w:rPr>
            </w:pPr>
            <w:r>
              <w:rPr>
                <w:rFonts w:cs="Arial"/>
                <w:szCs w:val="22"/>
              </w:rPr>
              <w:t>25</w:t>
            </w:r>
          </w:p>
        </w:tc>
      </w:tr>
      <w:tr w:rsidR="00EF3AFF" w:rsidRPr="008C45E6" w:rsidTr="00660427">
        <w:trPr>
          <w:trHeight w:val="345"/>
        </w:trPr>
        <w:tc>
          <w:tcPr>
            <w:tcW w:w="3827" w:type="dxa"/>
            <w:tcBorders>
              <w:top w:val="single" w:sz="4" w:space="0" w:color="auto"/>
              <w:left w:val="single" w:sz="4" w:space="0" w:color="auto"/>
              <w:bottom w:val="single" w:sz="4" w:space="0" w:color="auto"/>
              <w:right w:val="single" w:sz="4" w:space="0" w:color="auto"/>
            </w:tcBorders>
            <w:noWrap/>
            <w:vAlign w:val="center"/>
          </w:tcPr>
          <w:p w:rsidR="00EF3AFF" w:rsidRPr="008C45E6" w:rsidRDefault="00EF3AFF" w:rsidP="008C45E6">
            <w:pPr>
              <w:tabs>
                <w:tab w:val="clear" w:pos="1260"/>
                <w:tab w:val="clear" w:pos="1980"/>
                <w:tab w:val="clear" w:pos="2700"/>
                <w:tab w:val="clear" w:pos="3420"/>
              </w:tabs>
              <w:jc w:val="left"/>
              <w:rPr>
                <w:rFonts w:cs="Arial"/>
                <w:b/>
                <w:bCs/>
                <w:szCs w:val="22"/>
              </w:rPr>
            </w:pPr>
            <w:r w:rsidRPr="008C45E6">
              <w:rPr>
                <w:rFonts w:cs="Arial"/>
                <w:b/>
                <w:bCs/>
                <w:szCs w:val="22"/>
              </w:rPr>
              <w:t>Net General Fund</w:t>
            </w:r>
          </w:p>
        </w:tc>
        <w:tc>
          <w:tcPr>
            <w:tcW w:w="1134" w:type="dxa"/>
            <w:tcBorders>
              <w:top w:val="single" w:sz="4" w:space="0" w:color="auto"/>
              <w:left w:val="nil"/>
              <w:bottom w:val="single" w:sz="4" w:space="0" w:color="auto"/>
              <w:right w:val="single" w:sz="4" w:space="0" w:color="auto"/>
            </w:tcBorders>
            <w:noWrap/>
            <w:vAlign w:val="center"/>
          </w:tcPr>
          <w:p w:rsidR="00EF3AFF" w:rsidRPr="008C45E6" w:rsidRDefault="00EF3AFF" w:rsidP="008C45E6">
            <w:pPr>
              <w:tabs>
                <w:tab w:val="clear" w:pos="1260"/>
                <w:tab w:val="clear" w:pos="1980"/>
                <w:tab w:val="clear" w:pos="2700"/>
                <w:tab w:val="clear" w:pos="3420"/>
              </w:tabs>
              <w:jc w:val="right"/>
              <w:rPr>
                <w:rFonts w:cs="Arial"/>
                <w:b/>
                <w:bCs/>
                <w:szCs w:val="22"/>
              </w:rPr>
            </w:pPr>
            <w:r>
              <w:rPr>
                <w:rFonts w:cs="Arial"/>
                <w:b/>
                <w:bCs/>
                <w:szCs w:val="22"/>
              </w:rPr>
              <w:t>10,775</w:t>
            </w:r>
            <w:r w:rsidRPr="008C45E6">
              <w:rPr>
                <w:rFonts w:cs="Arial"/>
                <w:b/>
                <w:bCs/>
                <w:szCs w:val="22"/>
              </w:rPr>
              <w:t xml:space="preserve"> </w:t>
            </w:r>
          </w:p>
        </w:tc>
        <w:tc>
          <w:tcPr>
            <w:tcW w:w="1134" w:type="dxa"/>
            <w:tcBorders>
              <w:top w:val="single" w:sz="4" w:space="0" w:color="auto"/>
              <w:left w:val="nil"/>
              <w:bottom w:val="single" w:sz="4" w:space="0" w:color="auto"/>
              <w:right w:val="single" w:sz="4" w:space="0" w:color="auto"/>
            </w:tcBorders>
            <w:noWrap/>
            <w:vAlign w:val="center"/>
          </w:tcPr>
          <w:p w:rsidR="00EF3AFF" w:rsidRPr="008C45E6" w:rsidRDefault="00EF3AFF" w:rsidP="00660427">
            <w:pPr>
              <w:tabs>
                <w:tab w:val="clear" w:pos="1260"/>
                <w:tab w:val="clear" w:pos="1980"/>
                <w:tab w:val="clear" w:pos="2700"/>
                <w:tab w:val="clear" w:pos="3420"/>
              </w:tabs>
              <w:jc w:val="right"/>
              <w:rPr>
                <w:rFonts w:cs="Arial"/>
                <w:b/>
                <w:bCs/>
                <w:szCs w:val="22"/>
              </w:rPr>
            </w:pPr>
            <w:r>
              <w:rPr>
                <w:rFonts w:cs="Arial"/>
                <w:b/>
                <w:bCs/>
                <w:szCs w:val="22"/>
              </w:rPr>
              <w:t>11,257</w:t>
            </w:r>
          </w:p>
        </w:tc>
        <w:tc>
          <w:tcPr>
            <w:tcW w:w="1134" w:type="dxa"/>
            <w:tcBorders>
              <w:top w:val="single" w:sz="4" w:space="0" w:color="auto"/>
              <w:left w:val="nil"/>
              <w:bottom w:val="single" w:sz="4" w:space="0" w:color="auto"/>
              <w:right w:val="single" w:sz="4" w:space="0" w:color="auto"/>
            </w:tcBorders>
            <w:noWrap/>
            <w:vAlign w:val="center"/>
          </w:tcPr>
          <w:p w:rsidR="00EF3AFF" w:rsidRPr="008C45E6" w:rsidRDefault="00EF3AFF" w:rsidP="00306C73">
            <w:pPr>
              <w:tabs>
                <w:tab w:val="clear" w:pos="1260"/>
                <w:tab w:val="clear" w:pos="1980"/>
                <w:tab w:val="clear" w:pos="2700"/>
                <w:tab w:val="clear" w:pos="3420"/>
              </w:tabs>
              <w:jc w:val="right"/>
              <w:rPr>
                <w:rFonts w:cs="Arial"/>
                <w:b/>
                <w:bCs/>
                <w:szCs w:val="22"/>
              </w:rPr>
            </w:pPr>
            <w:r>
              <w:rPr>
                <w:rFonts w:cs="Arial"/>
                <w:b/>
                <w:bCs/>
                <w:szCs w:val="22"/>
              </w:rPr>
              <w:t>11,212</w:t>
            </w:r>
          </w:p>
        </w:tc>
        <w:tc>
          <w:tcPr>
            <w:tcW w:w="1276" w:type="dxa"/>
            <w:tcBorders>
              <w:top w:val="single" w:sz="4" w:space="0" w:color="auto"/>
              <w:left w:val="nil"/>
              <w:bottom w:val="single" w:sz="4" w:space="0" w:color="auto"/>
              <w:right w:val="single" w:sz="4" w:space="0" w:color="auto"/>
            </w:tcBorders>
            <w:noWrap/>
            <w:vAlign w:val="center"/>
          </w:tcPr>
          <w:p w:rsidR="00EF3AFF" w:rsidRPr="008C45E6" w:rsidRDefault="00EF3AFF" w:rsidP="007A0E4D">
            <w:pPr>
              <w:tabs>
                <w:tab w:val="clear" w:pos="1260"/>
                <w:tab w:val="clear" w:pos="1980"/>
                <w:tab w:val="clear" w:pos="2700"/>
                <w:tab w:val="clear" w:pos="3420"/>
              </w:tabs>
              <w:jc w:val="right"/>
              <w:rPr>
                <w:rFonts w:cs="Arial"/>
                <w:b/>
                <w:bCs/>
                <w:szCs w:val="22"/>
              </w:rPr>
            </w:pPr>
            <w:r>
              <w:rPr>
                <w:rFonts w:cs="Arial"/>
                <w:b/>
                <w:bCs/>
                <w:szCs w:val="22"/>
              </w:rPr>
              <w:t>(45)</w:t>
            </w:r>
          </w:p>
        </w:tc>
      </w:tr>
    </w:tbl>
    <w:p w:rsidR="00EF3AFF" w:rsidRDefault="00EF3AFF" w:rsidP="006E632E">
      <w:pPr>
        <w:ind w:left="1267" w:hanging="1267"/>
        <w:rPr>
          <w:rFonts w:cs="Arial"/>
          <w:szCs w:val="22"/>
        </w:rPr>
      </w:pPr>
    </w:p>
    <w:p w:rsidR="00EF3AFF" w:rsidRDefault="00EF3AFF" w:rsidP="006E632E">
      <w:pPr>
        <w:ind w:left="1267" w:hanging="1267"/>
        <w:rPr>
          <w:rFonts w:cs="Arial"/>
          <w:szCs w:val="22"/>
        </w:rPr>
      </w:pPr>
      <w:r>
        <w:rPr>
          <w:rFonts w:cs="Arial"/>
          <w:szCs w:val="22"/>
        </w:rPr>
        <w:t>2.7</w:t>
      </w:r>
      <w:r>
        <w:rPr>
          <w:rFonts w:cs="Arial"/>
          <w:szCs w:val="22"/>
        </w:rPr>
        <w:tab/>
        <w:t>The trend over the financial year (2016/17) is plotted on the graph below;</w:t>
      </w:r>
    </w:p>
    <w:p w:rsidR="00EF3AFF" w:rsidRDefault="00EF3AFF" w:rsidP="006E632E">
      <w:pPr>
        <w:ind w:left="1267" w:hanging="1267"/>
        <w:rPr>
          <w:rFonts w:cs="Arial"/>
          <w:szCs w:val="22"/>
        </w:rPr>
      </w:pPr>
    </w:p>
    <w:p w:rsidR="00EF3AFF" w:rsidRDefault="00EF3AFF" w:rsidP="003A19C3">
      <w:pPr>
        <w:ind w:left="1267" w:firstLine="9"/>
        <w:rPr>
          <w:rFonts w:cs="Arial"/>
          <w:szCs w:val="22"/>
        </w:rPr>
      </w:pPr>
      <w:r w:rsidRPr="001005BF">
        <w:rPr>
          <w:rFonts w:cs="Arial"/>
          <w:noProof/>
          <w:szCs w:val="22"/>
        </w:rPr>
        <w:object w:dxaOrig="8353" w:dyaOrig="4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 o:spid="_x0000_i1025" type="#_x0000_t75" style="width:417.75pt;height:209.25pt;visibility:visible" o:ole="">
            <v:imagedata r:id="rId8" o:title="" cropbottom="-63f"/>
            <o:lock v:ext="edit" aspectratio="f"/>
          </v:shape>
          <o:OLEObject Type="Embed" ProgID="Excel.Sheet.8" ShapeID="Chart 3" DrawAspect="Content" ObjectID="_1536580973" r:id="rId9"/>
        </w:object>
      </w:r>
    </w:p>
    <w:p w:rsidR="00EF3AFF" w:rsidRPr="00B16B34" w:rsidRDefault="00EF3AFF" w:rsidP="006E632E">
      <w:pPr>
        <w:ind w:left="1267" w:hanging="1267"/>
        <w:rPr>
          <w:rFonts w:cs="Arial"/>
          <w:szCs w:val="22"/>
        </w:rPr>
      </w:pPr>
    </w:p>
    <w:p w:rsidR="00EF3AFF" w:rsidRDefault="00EF3AFF" w:rsidP="006E632E">
      <w:pPr>
        <w:ind w:left="1267" w:hanging="1267"/>
        <w:rPr>
          <w:rFonts w:cs="Arial"/>
          <w:szCs w:val="22"/>
        </w:rPr>
      </w:pPr>
      <w:r>
        <w:rPr>
          <w:rFonts w:cs="Arial"/>
          <w:szCs w:val="22"/>
        </w:rPr>
        <w:t>2.8</w:t>
      </w:r>
      <w:r>
        <w:rPr>
          <w:rFonts w:cs="Arial"/>
          <w:szCs w:val="22"/>
        </w:rPr>
        <w:tab/>
        <w:t>The effect of the variances on the Council’s (surplus)/deficit for the year and the general fund balance over the medium term is shown in the table below.</w:t>
      </w:r>
    </w:p>
    <w:p w:rsidR="00EF3AFF" w:rsidRDefault="00EF3AFF" w:rsidP="006E632E">
      <w:pPr>
        <w:ind w:left="1267" w:hanging="1267"/>
        <w:rPr>
          <w:rFonts w:cs="Arial"/>
          <w:szCs w:val="22"/>
        </w:rPr>
      </w:pPr>
    </w:p>
    <w:tbl>
      <w:tblPr>
        <w:tblW w:w="0" w:type="auto"/>
        <w:tblInd w:w="1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55"/>
        <w:gridCol w:w="1048"/>
        <w:gridCol w:w="1275"/>
        <w:gridCol w:w="1134"/>
        <w:gridCol w:w="1276"/>
        <w:gridCol w:w="1216"/>
      </w:tblGrid>
      <w:tr w:rsidR="00EF3AFF" w:rsidTr="001005BF">
        <w:trPr>
          <w:trHeight w:val="575"/>
        </w:trPr>
        <w:tc>
          <w:tcPr>
            <w:tcW w:w="2755" w:type="dxa"/>
            <w:vMerge w:val="restart"/>
          </w:tcPr>
          <w:p w:rsidR="00EF3AFF" w:rsidRPr="001005BF" w:rsidRDefault="00EF3AFF" w:rsidP="001005BF">
            <w:pPr>
              <w:jc w:val="center"/>
              <w:rPr>
                <w:rFonts w:cs="Arial"/>
                <w:b/>
                <w:szCs w:val="22"/>
              </w:rPr>
            </w:pPr>
          </w:p>
          <w:p w:rsidR="00EF3AFF" w:rsidRPr="001005BF" w:rsidRDefault="00EF3AFF" w:rsidP="001005BF">
            <w:pPr>
              <w:jc w:val="center"/>
              <w:rPr>
                <w:rFonts w:cs="Arial"/>
                <w:b/>
                <w:szCs w:val="22"/>
              </w:rPr>
            </w:pPr>
          </w:p>
          <w:p w:rsidR="00EF3AFF" w:rsidRPr="001005BF" w:rsidRDefault="00EF3AFF" w:rsidP="001005BF">
            <w:pPr>
              <w:jc w:val="center"/>
              <w:rPr>
                <w:rFonts w:cs="Arial"/>
                <w:b/>
                <w:szCs w:val="22"/>
              </w:rPr>
            </w:pPr>
            <w:r w:rsidRPr="001005BF">
              <w:rPr>
                <w:rFonts w:cs="Arial"/>
                <w:b/>
                <w:szCs w:val="22"/>
              </w:rPr>
              <w:t>Movement  on            General Fund</w:t>
            </w:r>
          </w:p>
        </w:tc>
        <w:tc>
          <w:tcPr>
            <w:tcW w:w="1048" w:type="dxa"/>
            <w:vAlign w:val="center"/>
          </w:tcPr>
          <w:p w:rsidR="00EF3AFF" w:rsidRPr="001005BF" w:rsidRDefault="00EF3AFF" w:rsidP="001005BF">
            <w:pPr>
              <w:jc w:val="center"/>
              <w:rPr>
                <w:rFonts w:cs="Arial"/>
                <w:b/>
                <w:szCs w:val="22"/>
              </w:rPr>
            </w:pPr>
            <w:r w:rsidRPr="001005BF">
              <w:rPr>
                <w:rFonts w:cs="Arial"/>
                <w:b/>
                <w:szCs w:val="22"/>
              </w:rPr>
              <w:t>2016/17</w:t>
            </w:r>
          </w:p>
        </w:tc>
        <w:tc>
          <w:tcPr>
            <w:tcW w:w="1275" w:type="dxa"/>
            <w:vAlign w:val="center"/>
          </w:tcPr>
          <w:p w:rsidR="00EF3AFF" w:rsidRPr="001005BF" w:rsidRDefault="00EF3AFF" w:rsidP="001005BF">
            <w:pPr>
              <w:jc w:val="center"/>
              <w:rPr>
                <w:rFonts w:cs="Arial"/>
                <w:b/>
                <w:szCs w:val="22"/>
              </w:rPr>
            </w:pPr>
            <w:r w:rsidRPr="001005BF">
              <w:rPr>
                <w:rFonts w:cs="Arial"/>
                <w:b/>
                <w:szCs w:val="22"/>
              </w:rPr>
              <w:t>2016/17</w:t>
            </w:r>
          </w:p>
        </w:tc>
        <w:tc>
          <w:tcPr>
            <w:tcW w:w="1134" w:type="dxa"/>
            <w:vAlign w:val="center"/>
          </w:tcPr>
          <w:p w:rsidR="00EF3AFF" w:rsidRPr="001005BF" w:rsidRDefault="00EF3AFF" w:rsidP="001005BF">
            <w:pPr>
              <w:jc w:val="center"/>
              <w:rPr>
                <w:rFonts w:cs="Arial"/>
                <w:b/>
                <w:szCs w:val="22"/>
              </w:rPr>
            </w:pPr>
            <w:r w:rsidRPr="001005BF">
              <w:rPr>
                <w:rFonts w:cs="Arial"/>
                <w:b/>
                <w:szCs w:val="22"/>
              </w:rPr>
              <w:t>2016/17</w:t>
            </w:r>
          </w:p>
        </w:tc>
        <w:tc>
          <w:tcPr>
            <w:tcW w:w="1276" w:type="dxa"/>
            <w:vAlign w:val="center"/>
          </w:tcPr>
          <w:p w:rsidR="00EF3AFF" w:rsidRPr="001005BF" w:rsidRDefault="00EF3AFF" w:rsidP="001005BF">
            <w:pPr>
              <w:jc w:val="center"/>
              <w:rPr>
                <w:rFonts w:cs="Arial"/>
                <w:b/>
                <w:szCs w:val="22"/>
              </w:rPr>
            </w:pPr>
            <w:r w:rsidRPr="001005BF">
              <w:rPr>
                <w:rFonts w:cs="Arial"/>
                <w:b/>
                <w:szCs w:val="22"/>
              </w:rPr>
              <w:t>2017/18</w:t>
            </w:r>
          </w:p>
        </w:tc>
        <w:tc>
          <w:tcPr>
            <w:tcW w:w="1216" w:type="dxa"/>
            <w:vAlign w:val="center"/>
          </w:tcPr>
          <w:p w:rsidR="00EF3AFF" w:rsidRPr="001005BF" w:rsidRDefault="00EF3AFF" w:rsidP="001005BF">
            <w:pPr>
              <w:jc w:val="center"/>
              <w:rPr>
                <w:rFonts w:cs="Arial"/>
                <w:b/>
                <w:szCs w:val="22"/>
              </w:rPr>
            </w:pPr>
          </w:p>
          <w:p w:rsidR="00EF3AFF" w:rsidRPr="001005BF" w:rsidRDefault="00EF3AFF" w:rsidP="001005BF">
            <w:pPr>
              <w:jc w:val="center"/>
              <w:rPr>
                <w:rFonts w:cs="Arial"/>
                <w:b/>
                <w:szCs w:val="22"/>
              </w:rPr>
            </w:pPr>
            <w:r w:rsidRPr="001005BF">
              <w:rPr>
                <w:rFonts w:cs="Arial"/>
                <w:b/>
                <w:szCs w:val="22"/>
              </w:rPr>
              <w:t>2018/19</w:t>
            </w:r>
          </w:p>
          <w:p w:rsidR="00EF3AFF" w:rsidRPr="001005BF" w:rsidRDefault="00EF3AFF" w:rsidP="001005BF">
            <w:pPr>
              <w:jc w:val="center"/>
              <w:rPr>
                <w:rFonts w:cs="Arial"/>
                <w:b/>
                <w:szCs w:val="22"/>
              </w:rPr>
            </w:pPr>
          </w:p>
        </w:tc>
      </w:tr>
      <w:tr w:rsidR="00EF3AFF" w:rsidTr="001005BF">
        <w:tc>
          <w:tcPr>
            <w:tcW w:w="2755" w:type="dxa"/>
            <w:vMerge/>
          </w:tcPr>
          <w:p w:rsidR="00EF3AFF" w:rsidRPr="001005BF" w:rsidRDefault="00EF3AFF" w:rsidP="006E632E">
            <w:pPr>
              <w:rPr>
                <w:rFonts w:cs="Arial"/>
                <w:b/>
                <w:szCs w:val="22"/>
              </w:rPr>
            </w:pPr>
          </w:p>
        </w:tc>
        <w:tc>
          <w:tcPr>
            <w:tcW w:w="1048" w:type="dxa"/>
          </w:tcPr>
          <w:p w:rsidR="00EF3AFF" w:rsidRPr="001005BF" w:rsidRDefault="00EF3AFF" w:rsidP="001005BF">
            <w:pPr>
              <w:jc w:val="center"/>
              <w:rPr>
                <w:rFonts w:cs="Arial"/>
                <w:b/>
                <w:szCs w:val="22"/>
              </w:rPr>
            </w:pPr>
            <w:r w:rsidRPr="001005BF">
              <w:rPr>
                <w:rFonts w:cs="Arial"/>
                <w:b/>
                <w:szCs w:val="22"/>
              </w:rPr>
              <w:t>Original Budget</w:t>
            </w:r>
          </w:p>
        </w:tc>
        <w:tc>
          <w:tcPr>
            <w:tcW w:w="1275" w:type="dxa"/>
          </w:tcPr>
          <w:p w:rsidR="00EF3AFF" w:rsidRPr="001005BF" w:rsidRDefault="00EF3AFF" w:rsidP="001005BF">
            <w:pPr>
              <w:jc w:val="center"/>
              <w:rPr>
                <w:rFonts w:cs="Arial"/>
                <w:b/>
                <w:szCs w:val="22"/>
              </w:rPr>
            </w:pPr>
            <w:r w:rsidRPr="001005BF">
              <w:rPr>
                <w:rFonts w:cs="Arial"/>
                <w:b/>
                <w:szCs w:val="22"/>
              </w:rPr>
              <w:t>Latest Approved</w:t>
            </w:r>
          </w:p>
        </w:tc>
        <w:tc>
          <w:tcPr>
            <w:tcW w:w="1134" w:type="dxa"/>
          </w:tcPr>
          <w:p w:rsidR="00EF3AFF" w:rsidRPr="001005BF" w:rsidRDefault="00EF3AFF" w:rsidP="001005BF">
            <w:pPr>
              <w:jc w:val="center"/>
              <w:rPr>
                <w:rFonts w:cs="Arial"/>
                <w:b/>
                <w:szCs w:val="22"/>
              </w:rPr>
            </w:pPr>
            <w:r w:rsidRPr="001005BF">
              <w:rPr>
                <w:rFonts w:cs="Arial"/>
                <w:b/>
                <w:szCs w:val="22"/>
              </w:rPr>
              <w:t>Outturn Forecast</w:t>
            </w:r>
          </w:p>
        </w:tc>
        <w:tc>
          <w:tcPr>
            <w:tcW w:w="1276" w:type="dxa"/>
          </w:tcPr>
          <w:p w:rsidR="00EF3AFF" w:rsidRPr="001005BF" w:rsidRDefault="00EF3AFF" w:rsidP="001005BF">
            <w:pPr>
              <w:jc w:val="center"/>
              <w:rPr>
                <w:rFonts w:cs="Arial"/>
                <w:b/>
                <w:szCs w:val="22"/>
              </w:rPr>
            </w:pPr>
            <w:r w:rsidRPr="001005BF">
              <w:rPr>
                <w:rFonts w:cs="Arial"/>
                <w:b/>
                <w:szCs w:val="22"/>
              </w:rPr>
              <w:t>Outturn Forecast</w:t>
            </w:r>
          </w:p>
        </w:tc>
        <w:tc>
          <w:tcPr>
            <w:tcW w:w="1216" w:type="dxa"/>
          </w:tcPr>
          <w:p w:rsidR="00EF3AFF" w:rsidRPr="001005BF" w:rsidRDefault="00EF3AFF" w:rsidP="001005BF">
            <w:pPr>
              <w:jc w:val="center"/>
              <w:rPr>
                <w:rFonts w:cs="Arial"/>
                <w:b/>
                <w:szCs w:val="22"/>
              </w:rPr>
            </w:pPr>
            <w:r w:rsidRPr="001005BF">
              <w:rPr>
                <w:rFonts w:cs="Arial"/>
                <w:b/>
                <w:szCs w:val="22"/>
              </w:rPr>
              <w:t>Outturn Forecast</w:t>
            </w:r>
          </w:p>
        </w:tc>
      </w:tr>
      <w:tr w:rsidR="00EF3AFF" w:rsidTr="001005BF">
        <w:tc>
          <w:tcPr>
            <w:tcW w:w="2755" w:type="dxa"/>
            <w:vMerge/>
          </w:tcPr>
          <w:p w:rsidR="00EF3AFF" w:rsidRPr="001005BF" w:rsidRDefault="00EF3AFF" w:rsidP="006E632E">
            <w:pPr>
              <w:rPr>
                <w:rFonts w:cs="Arial"/>
                <w:b/>
                <w:szCs w:val="22"/>
              </w:rPr>
            </w:pPr>
          </w:p>
        </w:tc>
        <w:tc>
          <w:tcPr>
            <w:tcW w:w="1048" w:type="dxa"/>
          </w:tcPr>
          <w:p w:rsidR="00EF3AFF" w:rsidRPr="001005BF" w:rsidRDefault="00EF3AFF" w:rsidP="001005BF">
            <w:pPr>
              <w:jc w:val="center"/>
              <w:rPr>
                <w:rFonts w:cs="Arial"/>
                <w:b/>
                <w:szCs w:val="22"/>
              </w:rPr>
            </w:pPr>
            <w:r w:rsidRPr="001005BF">
              <w:rPr>
                <w:rFonts w:cs="Arial"/>
                <w:b/>
                <w:szCs w:val="22"/>
              </w:rPr>
              <w:t>£000</w:t>
            </w:r>
          </w:p>
        </w:tc>
        <w:tc>
          <w:tcPr>
            <w:tcW w:w="1275" w:type="dxa"/>
          </w:tcPr>
          <w:p w:rsidR="00EF3AFF" w:rsidRPr="001005BF" w:rsidRDefault="00EF3AFF" w:rsidP="001005BF">
            <w:pPr>
              <w:jc w:val="center"/>
              <w:rPr>
                <w:rFonts w:cs="Arial"/>
                <w:b/>
                <w:szCs w:val="22"/>
              </w:rPr>
            </w:pPr>
            <w:r w:rsidRPr="001005BF">
              <w:rPr>
                <w:rFonts w:cs="Arial"/>
                <w:b/>
                <w:szCs w:val="22"/>
              </w:rPr>
              <w:t>£000</w:t>
            </w:r>
          </w:p>
        </w:tc>
        <w:tc>
          <w:tcPr>
            <w:tcW w:w="1134" w:type="dxa"/>
          </w:tcPr>
          <w:p w:rsidR="00EF3AFF" w:rsidRPr="001005BF" w:rsidRDefault="00EF3AFF" w:rsidP="001005BF">
            <w:pPr>
              <w:jc w:val="center"/>
              <w:rPr>
                <w:rFonts w:cs="Arial"/>
                <w:b/>
                <w:szCs w:val="22"/>
              </w:rPr>
            </w:pPr>
            <w:r w:rsidRPr="001005BF">
              <w:rPr>
                <w:rFonts w:cs="Arial"/>
                <w:b/>
                <w:szCs w:val="22"/>
              </w:rPr>
              <w:t>£000</w:t>
            </w:r>
          </w:p>
        </w:tc>
        <w:tc>
          <w:tcPr>
            <w:tcW w:w="1276" w:type="dxa"/>
          </w:tcPr>
          <w:p w:rsidR="00EF3AFF" w:rsidRPr="001005BF" w:rsidRDefault="00EF3AFF" w:rsidP="001005BF">
            <w:pPr>
              <w:jc w:val="center"/>
              <w:rPr>
                <w:rFonts w:cs="Arial"/>
                <w:b/>
                <w:szCs w:val="22"/>
              </w:rPr>
            </w:pPr>
            <w:r w:rsidRPr="001005BF">
              <w:rPr>
                <w:rFonts w:cs="Arial"/>
                <w:b/>
                <w:szCs w:val="22"/>
              </w:rPr>
              <w:t>£000</w:t>
            </w:r>
          </w:p>
        </w:tc>
        <w:tc>
          <w:tcPr>
            <w:tcW w:w="1216" w:type="dxa"/>
          </w:tcPr>
          <w:p w:rsidR="00EF3AFF" w:rsidRPr="001005BF" w:rsidRDefault="00EF3AFF" w:rsidP="001005BF">
            <w:pPr>
              <w:jc w:val="center"/>
              <w:rPr>
                <w:rFonts w:cs="Arial"/>
                <w:b/>
                <w:szCs w:val="22"/>
              </w:rPr>
            </w:pPr>
            <w:r w:rsidRPr="001005BF">
              <w:rPr>
                <w:rFonts w:cs="Arial"/>
                <w:b/>
                <w:szCs w:val="22"/>
              </w:rPr>
              <w:t>£000</w:t>
            </w:r>
          </w:p>
        </w:tc>
      </w:tr>
      <w:tr w:rsidR="00EF3AFF" w:rsidTr="001005BF">
        <w:tc>
          <w:tcPr>
            <w:tcW w:w="2755" w:type="dxa"/>
          </w:tcPr>
          <w:p w:rsidR="00EF3AFF" w:rsidRPr="001005BF" w:rsidRDefault="00EF3AFF" w:rsidP="001005BF">
            <w:pPr>
              <w:jc w:val="left"/>
              <w:rPr>
                <w:rFonts w:cs="Arial"/>
                <w:szCs w:val="22"/>
              </w:rPr>
            </w:pPr>
            <w:r w:rsidRPr="001005BF">
              <w:rPr>
                <w:rFonts w:cs="Arial"/>
                <w:szCs w:val="22"/>
              </w:rPr>
              <w:t>Balance B/F at 1 April</w:t>
            </w:r>
          </w:p>
        </w:tc>
        <w:tc>
          <w:tcPr>
            <w:tcW w:w="1048" w:type="dxa"/>
          </w:tcPr>
          <w:p w:rsidR="00EF3AFF" w:rsidRPr="001005BF" w:rsidRDefault="00EF3AFF" w:rsidP="001005BF">
            <w:pPr>
              <w:jc w:val="right"/>
              <w:rPr>
                <w:rFonts w:cs="Arial"/>
                <w:szCs w:val="22"/>
              </w:rPr>
            </w:pPr>
            <w:r w:rsidRPr="001005BF">
              <w:rPr>
                <w:rFonts w:cs="Arial"/>
                <w:szCs w:val="22"/>
              </w:rPr>
              <w:t>(4,727)</w:t>
            </w:r>
          </w:p>
        </w:tc>
        <w:tc>
          <w:tcPr>
            <w:tcW w:w="1275" w:type="dxa"/>
          </w:tcPr>
          <w:p w:rsidR="00EF3AFF" w:rsidRPr="001005BF" w:rsidRDefault="00EF3AFF" w:rsidP="001005BF">
            <w:pPr>
              <w:jc w:val="right"/>
              <w:rPr>
                <w:rFonts w:cs="Arial"/>
                <w:szCs w:val="22"/>
              </w:rPr>
            </w:pPr>
            <w:r w:rsidRPr="001005BF">
              <w:rPr>
                <w:rFonts w:cs="Arial"/>
                <w:szCs w:val="22"/>
              </w:rPr>
              <w:t>(4,396)</w:t>
            </w:r>
          </w:p>
        </w:tc>
        <w:tc>
          <w:tcPr>
            <w:tcW w:w="1134" w:type="dxa"/>
          </w:tcPr>
          <w:p w:rsidR="00EF3AFF" w:rsidRPr="001005BF" w:rsidRDefault="00EF3AFF" w:rsidP="001005BF">
            <w:pPr>
              <w:jc w:val="right"/>
              <w:rPr>
                <w:rFonts w:cs="Arial"/>
                <w:szCs w:val="22"/>
              </w:rPr>
            </w:pPr>
            <w:r w:rsidRPr="001005BF">
              <w:rPr>
                <w:rFonts w:cs="Arial"/>
                <w:szCs w:val="22"/>
              </w:rPr>
              <w:t>(4,396)</w:t>
            </w:r>
          </w:p>
        </w:tc>
        <w:tc>
          <w:tcPr>
            <w:tcW w:w="1276" w:type="dxa"/>
          </w:tcPr>
          <w:p w:rsidR="00EF3AFF" w:rsidRPr="001005BF" w:rsidRDefault="00EF3AFF" w:rsidP="001005BF">
            <w:pPr>
              <w:jc w:val="right"/>
              <w:rPr>
                <w:rFonts w:cs="Arial"/>
                <w:szCs w:val="22"/>
              </w:rPr>
            </w:pPr>
            <w:r w:rsidRPr="001005BF">
              <w:rPr>
                <w:rFonts w:cs="Arial"/>
                <w:szCs w:val="22"/>
              </w:rPr>
              <w:t>(3,965)</w:t>
            </w:r>
          </w:p>
        </w:tc>
        <w:tc>
          <w:tcPr>
            <w:tcW w:w="1216" w:type="dxa"/>
          </w:tcPr>
          <w:p w:rsidR="00EF3AFF" w:rsidRPr="001005BF" w:rsidRDefault="00EF3AFF" w:rsidP="001005BF">
            <w:pPr>
              <w:jc w:val="right"/>
              <w:rPr>
                <w:rFonts w:cs="Arial"/>
                <w:szCs w:val="22"/>
              </w:rPr>
            </w:pPr>
            <w:r w:rsidRPr="001005BF">
              <w:rPr>
                <w:rFonts w:cs="Arial"/>
                <w:szCs w:val="22"/>
              </w:rPr>
              <w:t>(3,990)</w:t>
            </w:r>
          </w:p>
        </w:tc>
      </w:tr>
      <w:tr w:rsidR="00EF3AFF" w:rsidTr="001005BF">
        <w:tc>
          <w:tcPr>
            <w:tcW w:w="2755" w:type="dxa"/>
          </w:tcPr>
          <w:p w:rsidR="00EF3AFF" w:rsidRPr="001005BF" w:rsidRDefault="00EF3AFF" w:rsidP="001005BF">
            <w:pPr>
              <w:jc w:val="left"/>
              <w:rPr>
                <w:rFonts w:cs="Arial"/>
                <w:szCs w:val="22"/>
              </w:rPr>
            </w:pPr>
            <w:r w:rsidRPr="001005BF">
              <w:rPr>
                <w:rFonts w:cs="Arial"/>
                <w:szCs w:val="22"/>
              </w:rPr>
              <w:t>(Surplus)/deficit for year</w:t>
            </w:r>
          </w:p>
        </w:tc>
        <w:tc>
          <w:tcPr>
            <w:tcW w:w="1048" w:type="dxa"/>
          </w:tcPr>
          <w:p w:rsidR="00EF3AFF" w:rsidRPr="001005BF" w:rsidRDefault="00EF3AFF" w:rsidP="001005BF">
            <w:pPr>
              <w:jc w:val="right"/>
              <w:rPr>
                <w:rFonts w:cs="Arial"/>
                <w:szCs w:val="22"/>
              </w:rPr>
            </w:pPr>
            <w:r w:rsidRPr="001005BF">
              <w:rPr>
                <w:rFonts w:cs="Arial"/>
                <w:szCs w:val="22"/>
              </w:rPr>
              <w:t>(5)</w:t>
            </w:r>
          </w:p>
        </w:tc>
        <w:tc>
          <w:tcPr>
            <w:tcW w:w="1275" w:type="dxa"/>
          </w:tcPr>
          <w:p w:rsidR="00EF3AFF" w:rsidRPr="001005BF" w:rsidRDefault="00EF3AFF" w:rsidP="001005BF">
            <w:pPr>
              <w:jc w:val="right"/>
              <w:rPr>
                <w:rFonts w:cs="Arial"/>
                <w:szCs w:val="22"/>
              </w:rPr>
            </w:pPr>
            <w:r w:rsidRPr="001005BF">
              <w:rPr>
                <w:rFonts w:cs="Arial"/>
                <w:szCs w:val="22"/>
              </w:rPr>
              <w:t>477</w:t>
            </w:r>
          </w:p>
        </w:tc>
        <w:tc>
          <w:tcPr>
            <w:tcW w:w="1134" w:type="dxa"/>
          </w:tcPr>
          <w:p w:rsidR="00EF3AFF" w:rsidRPr="001005BF" w:rsidRDefault="00EF3AFF" w:rsidP="001005BF">
            <w:pPr>
              <w:jc w:val="right"/>
              <w:rPr>
                <w:rFonts w:cs="Arial"/>
                <w:szCs w:val="22"/>
              </w:rPr>
            </w:pPr>
            <w:r w:rsidRPr="001005BF">
              <w:rPr>
                <w:rFonts w:cs="Arial"/>
                <w:szCs w:val="22"/>
              </w:rPr>
              <w:t>432</w:t>
            </w:r>
          </w:p>
        </w:tc>
        <w:tc>
          <w:tcPr>
            <w:tcW w:w="1276" w:type="dxa"/>
          </w:tcPr>
          <w:p w:rsidR="00EF3AFF" w:rsidRPr="001005BF" w:rsidRDefault="00EF3AFF" w:rsidP="001005BF">
            <w:pPr>
              <w:jc w:val="right"/>
              <w:rPr>
                <w:rFonts w:cs="Arial"/>
                <w:szCs w:val="22"/>
              </w:rPr>
            </w:pPr>
            <w:r w:rsidRPr="001005BF">
              <w:rPr>
                <w:rFonts w:cs="Arial"/>
                <w:szCs w:val="22"/>
              </w:rPr>
              <w:t>(25)</w:t>
            </w:r>
          </w:p>
        </w:tc>
        <w:tc>
          <w:tcPr>
            <w:tcW w:w="1216" w:type="dxa"/>
          </w:tcPr>
          <w:p w:rsidR="00EF3AFF" w:rsidRPr="001005BF" w:rsidRDefault="00EF3AFF" w:rsidP="001005BF">
            <w:pPr>
              <w:jc w:val="right"/>
              <w:rPr>
                <w:rFonts w:cs="Arial"/>
                <w:szCs w:val="22"/>
              </w:rPr>
            </w:pPr>
            <w:r w:rsidRPr="001005BF">
              <w:rPr>
                <w:rFonts w:cs="Arial"/>
                <w:szCs w:val="22"/>
              </w:rPr>
              <w:t>28</w:t>
            </w:r>
          </w:p>
        </w:tc>
      </w:tr>
      <w:tr w:rsidR="00EF3AFF" w:rsidTr="001005BF">
        <w:tc>
          <w:tcPr>
            <w:tcW w:w="2755" w:type="dxa"/>
          </w:tcPr>
          <w:p w:rsidR="00EF3AFF" w:rsidRPr="001005BF" w:rsidRDefault="00EF3AFF" w:rsidP="001005BF">
            <w:pPr>
              <w:jc w:val="left"/>
              <w:rPr>
                <w:rFonts w:cs="Arial"/>
                <w:szCs w:val="22"/>
              </w:rPr>
            </w:pPr>
            <w:r w:rsidRPr="001005BF">
              <w:rPr>
                <w:rFonts w:cs="Arial"/>
                <w:szCs w:val="22"/>
              </w:rPr>
              <w:t>Balance at 31 March</w:t>
            </w:r>
          </w:p>
        </w:tc>
        <w:tc>
          <w:tcPr>
            <w:tcW w:w="1048" w:type="dxa"/>
          </w:tcPr>
          <w:p w:rsidR="00EF3AFF" w:rsidRPr="001005BF" w:rsidRDefault="00EF3AFF" w:rsidP="001005BF">
            <w:pPr>
              <w:jc w:val="right"/>
              <w:rPr>
                <w:rFonts w:cs="Arial"/>
                <w:b/>
                <w:szCs w:val="22"/>
              </w:rPr>
            </w:pPr>
            <w:r w:rsidRPr="001005BF">
              <w:rPr>
                <w:rFonts w:cs="Arial"/>
                <w:b/>
                <w:szCs w:val="22"/>
              </w:rPr>
              <w:t>(4,732)</w:t>
            </w:r>
          </w:p>
        </w:tc>
        <w:tc>
          <w:tcPr>
            <w:tcW w:w="1275" w:type="dxa"/>
          </w:tcPr>
          <w:p w:rsidR="00EF3AFF" w:rsidRPr="001005BF" w:rsidRDefault="00EF3AFF" w:rsidP="001005BF">
            <w:pPr>
              <w:jc w:val="right"/>
              <w:rPr>
                <w:rFonts w:cs="Arial"/>
                <w:b/>
                <w:szCs w:val="22"/>
              </w:rPr>
            </w:pPr>
            <w:r w:rsidRPr="001005BF">
              <w:rPr>
                <w:rFonts w:cs="Arial"/>
                <w:b/>
                <w:szCs w:val="22"/>
              </w:rPr>
              <w:t>(3,919)</w:t>
            </w:r>
          </w:p>
        </w:tc>
        <w:tc>
          <w:tcPr>
            <w:tcW w:w="1134" w:type="dxa"/>
          </w:tcPr>
          <w:p w:rsidR="00EF3AFF" w:rsidRPr="001005BF" w:rsidRDefault="00EF3AFF" w:rsidP="001005BF">
            <w:pPr>
              <w:jc w:val="right"/>
              <w:rPr>
                <w:rFonts w:cs="Arial"/>
                <w:b/>
                <w:szCs w:val="22"/>
              </w:rPr>
            </w:pPr>
            <w:r w:rsidRPr="001005BF">
              <w:rPr>
                <w:rFonts w:cs="Arial"/>
                <w:b/>
                <w:szCs w:val="22"/>
              </w:rPr>
              <w:t>(3,965)</w:t>
            </w:r>
          </w:p>
        </w:tc>
        <w:tc>
          <w:tcPr>
            <w:tcW w:w="1276" w:type="dxa"/>
          </w:tcPr>
          <w:p w:rsidR="00EF3AFF" w:rsidRPr="001005BF" w:rsidRDefault="00EF3AFF" w:rsidP="001005BF">
            <w:pPr>
              <w:jc w:val="right"/>
              <w:rPr>
                <w:rFonts w:cs="Arial"/>
                <w:b/>
                <w:szCs w:val="22"/>
              </w:rPr>
            </w:pPr>
            <w:r w:rsidRPr="001005BF">
              <w:rPr>
                <w:rFonts w:cs="Arial"/>
                <w:b/>
                <w:szCs w:val="22"/>
              </w:rPr>
              <w:t>(3,990)</w:t>
            </w:r>
          </w:p>
        </w:tc>
        <w:tc>
          <w:tcPr>
            <w:tcW w:w="1216" w:type="dxa"/>
          </w:tcPr>
          <w:p w:rsidR="00EF3AFF" w:rsidRPr="001005BF" w:rsidRDefault="00EF3AFF" w:rsidP="001005BF">
            <w:pPr>
              <w:jc w:val="right"/>
              <w:rPr>
                <w:rFonts w:cs="Arial"/>
                <w:b/>
                <w:szCs w:val="22"/>
              </w:rPr>
            </w:pPr>
            <w:r w:rsidRPr="001005BF">
              <w:rPr>
                <w:rFonts w:cs="Arial"/>
                <w:b/>
                <w:szCs w:val="22"/>
              </w:rPr>
              <w:t>(3,962)</w:t>
            </w:r>
          </w:p>
        </w:tc>
      </w:tr>
    </w:tbl>
    <w:p w:rsidR="00EF3AFF" w:rsidRDefault="00EF3AFF" w:rsidP="006E632E">
      <w:pPr>
        <w:ind w:left="1267" w:hanging="1267"/>
        <w:rPr>
          <w:rFonts w:cs="Arial"/>
          <w:szCs w:val="22"/>
        </w:rPr>
      </w:pPr>
    </w:p>
    <w:p w:rsidR="00EF3AFF" w:rsidRDefault="00EF3AFF" w:rsidP="006E632E">
      <w:pPr>
        <w:ind w:left="1267" w:hanging="1267"/>
        <w:rPr>
          <w:rFonts w:cs="Arial"/>
          <w:szCs w:val="22"/>
        </w:rPr>
      </w:pPr>
      <w:r>
        <w:rPr>
          <w:rFonts w:cs="Arial"/>
          <w:szCs w:val="22"/>
        </w:rPr>
        <w:tab/>
        <w:t xml:space="preserve">A minimum prudent general fund balance of not less than £2 million is considered appropriate. </w:t>
      </w:r>
    </w:p>
    <w:p w:rsidR="00EF3AFF" w:rsidRDefault="00EF3AFF" w:rsidP="00181F47">
      <w:pPr>
        <w:ind w:left="1267" w:hanging="1267"/>
        <w:rPr>
          <w:rFonts w:cs="Arial"/>
          <w:szCs w:val="22"/>
        </w:rPr>
      </w:pPr>
    </w:p>
    <w:p w:rsidR="00EF3AFF" w:rsidRDefault="00EF3AFF" w:rsidP="00181F47">
      <w:pPr>
        <w:ind w:left="1267" w:hanging="1267"/>
        <w:rPr>
          <w:rFonts w:cs="Arial"/>
          <w:szCs w:val="22"/>
        </w:rPr>
      </w:pPr>
      <w:r w:rsidRPr="00B16B34">
        <w:rPr>
          <w:rFonts w:cs="Arial"/>
          <w:szCs w:val="22"/>
        </w:rPr>
        <w:t>2.</w:t>
      </w:r>
      <w:r>
        <w:rPr>
          <w:rFonts w:cs="Arial"/>
          <w:szCs w:val="22"/>
        </w:rPr>
        <w:t>9</w:t>
      </w:r>
      <w:r w:rsidRPr="00B16B34">
        <w:rPr>
          <w:rFonts w:cs="Arial"/>
          <w:szCs w:val="22"/>
        </w:rPr>
        <w:tab/>
      </w:r>
      <w:r w:rsidRPr="007E0F9B">
        <w:rPr>
          <w:rFonts w:cs="Arial"/>
          <w:b/>
          <w:szCs w:val="22"/>
        </w:rPr>
        <w:t xml:space="preserve">Appendix </w:t>
      </w:r>
      <w:r>
        <w:rPr>
          <w:rFonts w:cs="Arial"/>
          <w:b/>
          <w:szCs w:val="22"/>
        </w:rPr>
        <w:t>1</w:t>
      </w:r>
      <w:r w:rsidRPr="00B16B34">
        <w:rPr>
          <w:rFonts w:cs="Arial"/>
          <w:szCs w:val="22"/>
        </w:rPr>
        <w:t xml:space="preserve"> shows the medium term revenue budget by cost centre by </w:t>
      </w:r>
      <w:r>
        <w:rPr>
          <w:rFonts w:cs="Arial"/>
          <w:szCs w:val="22"/>
        </w:rPr>
        <w:t>c</w:t>
      </w:r>
      <w:r w:rsidRPr="00B16B34">
        <w:rPr>
          <w:rFonts w:cs="Arial"/>
          <w:szCs w:val="22"/>
        </w:rPr>
        <w:t>ommittee.</w:t>
      </w:r>
    </w:p>
    <w:p w:rsidR="00EF3AFF" w:rsidRDefault="00EF3AFF" w:rsidP="00181F47">
      <w:pPr>
        <w:ind w:left="1267" w:hanging="1267"/>
        <w:rPr>
          <w:rFonts w:cs="Arial"/>
          <w:szCs w:val="22"/>
        </w:rPr>
      </w:pPr>
    </w:p>
    <w:p w:rsidR="00EF3AFF" w:rsidRDefault="00EF3AFF" w:rsidP="00172723">
      <w:pPr>
        <w:ind w:left="1267" w:hanging="1267"/>
      </w:pPr>
      <w:r>
        <w:rPr>
          <w:rFonts w:cs="Arial"/>
          <w:szCs w:val="22"/>
        </w:rPr>
        <w:t>2.10</w:t>
      </w:r>
      <w:r>
        <w:rPr>
          <w:rFonts w:cs="Arial"/>
          <w:szCs w:val="22"/>
        </w:rPr>
        <w:tab/>
      </w:r>
      <w:r w:rsidRPr="007E0F9B">
        <w:rPr>
          <w:rFonts w:cs="Arial"/>
          <w:b/>
          <w:szCs w:val="22"/>
        </w:rPr>
        <w:t xml:space="preserve">Appendix </w:t>
      </w:r>
      <w:r>
        <w:rPr>
          <w:rFonts w:cs="Arial"/>
          <w:b/>
          <w:szCs w:val="22"/>
        </w:rPr>
        <w:t>2</w:t>
      </w:r>
      <w:r w:rsidRPr="00B16B34">
        <w:rPr>
          <w:rFonts w:cs="Arial"/>
          <w:szCs w:val="22"/>
        </w:rPr>
        <w:t xml:space="preserve"> shows the </w:t>
      </w:r>
      <w:r>
        <w:rPr>
          <w:rFonts w:cs="Arial"/>
          <w:szCs w:val="22"/>
        </w:rPr>
        <w:t>e</w:t>
      </w:r>
      <w:r>
        <w:t>xplanations of revenue variances reported since the last report.</w:t>
      </w:r>
    </w:p>
    <w:p w:rsidR="00EF3AFF" w:rsidRDefault="00EF3AFF" w:rsidP="00172723">
      <w:pPr>
        <w:ind w:left="1267" w:hanging="1267"/>
      </w:pPr>
    </w:p>
    <w:p w:rsidR="00EF3AFF" w:rsidRDefault="00EF3AFF" w:rsidP="00172723">
      <w:pPr>
        <w:ind w:left="1267" w:hanging="1267"/>
      </w:pPr>
      <w:r>
        <w:lastRenderedPageBreak/>
        <w:t>2.11</w:t>
      </w:r>
      <w:r>
        <w:tab/>
      </w:r>
      <w:r w:rsidRPr="00197BE0">
        <w:rPr>
          <w:b/>
        </w:rPr>
        <w:t>Appendix 3</w:t>
      </w:r>
      <w:r>
        <w:t xml:space="preserve"> shows the previous revenue variances up to period 3 (June) which have been reported to and agreed by this committee. This is shown to reconcile the movements from the original budget agreed by Council in February 2016.</w:t>
      </w:r>
    </w:p>
    <w:p w:rsidR="00EF3AFF" w:rsidRDefault="00EF3AFF" w:rsidP="00172723">
      <w:pPr>
        <w:ind w:left="1267" w:hanging="1267"/>
      </w:pPr>
    </w:p>
    <w:p w:rsidR="00EF3AFF" w:rsidRPr="00B16B34" w:rsidRDefault="00EF3AFF" w:rsidP="00172723">
      <w:pPr>
        <w:ind w:left="1267" w:hanging="1267"/>
        <w:rPr>
          <w:rFonts w:cs="Arial"/>
          <w:szCs w:val="22"/>
        </w:rPr>
      </w:pPr>
      <w:r w:rsidRPr="00B16B34">
        <w:rPr>
          <w:rFonts w:cs="Arial"/>
          <w:szCs w:val="22"/>
        </w:rPr>
        <w:t>2.</w:t>
      </w:r>
      <w:r>
        <w:rPr>
          <w:rFonts w:cs="Arial"/>
          <w:szCs w:val="22"/>
        </w:rPr>
        <w:t>12</w:t>
      </w:r>
      <w:r w:rsidRPr="00B16B34">
        <w:rPr>
          <w:rFonts w:cs="Arial"/>
          <w:szCs w:val="22"/>
        </w:rPr>
        <w:tab/>
      </w:r>
      <w:r w:rsidRPr="00B25D25">
        <w:rPr>
          <w:rFonts w:cs="Arial"/>
          <w:b/>
          <w:szCs w:val="22"/>
        </w:rPr>
        <w:t xml:space="preserve">Appendix </w:t>
      </w:r>
      <w:r>
        <w:rPr>
          <w:rFonts w:cs="Arial"/>
          <w:b/>
          <w:szCs w:val="22"/>
        </w:rPr>
        <w:t>4</w:t>
      </w:r>
      <w:r w:rsidRPr="00B16B34">
        <w:rPr>
          <w:rFonts w:cs="Arial"/>
          <w:szCs w:val="22"/>
        </w:rPr>
        <w:t xml:space="preserve"> shows the Council’s key budget indicators for service income.</w:t>
      </w:r>
    </w:p>
    <w:p w:rsidR="00EF3AFF" w:rsidRPr="00B16B34" w:rsidRDefault="00EF3AFF" w:rsidP="00EC67E2">
      <w:pPr>
        <w:tabs>
          <w:tab w:val="clear" w:pos="1260"/>
        </w:tabs>
        <w:rPr>
          <w:rFonts w:cs="Arial"/>
          <w:szCs w:val="22"/>
        </w:rPr>
      </w:pPr>
    </w:p>
    <w:p w:rsidR="00EF3AFF" w:rsidRPr="00A81F67" w:rsidRDefault="00EF3AFF" w:rsidP="00EC67E2">
      <w:pPr>
        <w:rPr>
          <w:rFonts w:cs="Arial"/>
          <w:szCs w:val="22"/>
        </w:rPr>
      </w:pPr>
      <w:r w:rsidRPr="00B16B34">
        <w:rPr>
          <w:rFonts w:cs="Arial"/>
          <w:szCs w:val="22"/>
        </w:rPr>
        <w:t>2.</w:t>
      </w:r>
      <w:r>
        <w:rPr>
          <w:rFonts w:cs="Arial"/>
          <w:szCs w:val="22"/>
        </w:rPr>
        <w:t>13</w:t>
      </w:r>
      <w:r w:rsidRPr="00A81F67">
        <w:rPr>
          <w:rFonts w:cs="Arial"/>
          <w:szCs w:val="22"/>
        </w:rPr>
        <w:t xml:space="preserve">              </w:t>
      </w:r>
      <w:r w:rsidRPr="00A81F67">
        <w:rPr>
          <w:rFonts w:cs="Arial"/>
          <w:b/>
          <w:szCs w:val="22"/>
        </w:rPr>
        <w:t xml:space="preserve">Appendix </w:t>
      </w:r>
      <w:r>
        <w:rPr>
          <w:rFonts w:cs="Arial"/>
          <w:b/>
          <w:szCs w:val="22"/>
        </w:rPr>
        <w:t>5</w:t>
      </w:r>
      <w:r w:rsidRPr="00A81F67">
        <w:rPr>
          <w:rFonts w:cs="Arial"/>
          <w:szCs w:val="22"/>
        </w:rPr>
        <w:t xml:space="preserve"> shows the Council’s </w:t>
      </w:r>
      <w:r>
        <w:rPr>
          <w:rFonts w:cs="Arial"/>
          <w:szCs w:val="22"/>
        </w:rPr>
        <w:t>k</w:t>
      </w:r>
      <w:r w:rsidRPr="00A81F67">
        <w:rPr>
          <w:rFonts w:cs="Arial"/>
          <w:szCs w:val="22"/>
        </w:rPr>
        <w:t xml:space="preserve">ey </w:t>
      </w:r>
      <w:r>
        <w:rPr>
          <w:rFonts w:cs="Arial"/>
          <w:szCs w:val="22"/>
        </w:rPr>
        <w:t>b</w:t>
      </w:r>
      <w:r w:rsidRPr="00A81F67">
        <w:rPr>
          <w:rFonts w:cs="Arial"/>
          <w:szCs w:val="22"/>
        </w:rPr>
        <w:t>udgetary</w:t>
      </w:r>
      <w:r>
        <w:rPr>
          <w:rFonts w:cs="Arial"/>
          <w:szCs w:val="22"/>
        </w:rPr>
        <w:t xml:space="preserve"> &amp; financial r</w:t>
      </w:r>
      <w:r w:rsidRPr="00A81F67">
        <w:rPr>
          <w:rFonts w:cs="Arial"/>
          <w:szCs w:val="22"/>
        </w:rPr>
        <w:t xml:space="preserve">isks. </w:t>
      </w:r>
    </w:p>
    <w:p w:rsidR="00EF3AFF" w:rsidRDefault="00EF3AFF" w:rsidP="006E177E">
      <w:pPr>
        <w:keepNext/>
        <w:ind w:left="1267" w:hanging="1267"/>
      </w:pPr>
    </w:p>
    <w:p w:rsidR="00EF3AFF" w:rsidRPr="00D972D6" w:rsidRDefault="00EF3AFF" w:rsidP="006E177E">
      <w:pPr>
        <w:keepNext/>
        <w:ind w:left="1267" w:hanging="1267"/>
        <w:rPr>
          <w:b/>
          <w:i/>
        </w:rPr>
      </w:pPr>
      <w:r>
        <w:tab/>
      </w:r>
      <w:r w:rsidRPr="00D972D6">
        <w:rPr>
          <w:b/>
          <w:i/>
        </w:rPr>
        <w:t>Capital</w:t>
      </w:r>
    </w:p>
    <w:p w:rsidR="00EF3AFF" w:rsidRDefault="00EF3AFF" w:rsidP="006E177E">
      <w:pPr>
        <w:keepNext/>
        <w:ind w:left="1267" w:hanging="1267"/>
        <w:rPr>
          <w:b/>
        </w:rPr>
      </w:pPr>
    </w:p>
    <w:p w:rsidR="00EF3AFF" w:rsidRDefault="00EF3AFF" w:rsidP="009C64F1">
      <w:pPr>
        <w:ind w:left="1267" w:hanging="1267"/>
      </w:pPr>
      <w:r>
        <w:t>2.14</w:t>
      </w:r>
      <w:r>
        <w:tab/>
        <w:t xml:space="preserve">The original budget for 2016/17 (as approved by Council in February 2016) was </w:t>
      </w:r>
      <w:r>
        <w:rPr>
          <w:b/>
        </w:rPr>
        <w:t>£6</w:t>
      </w:r>
      <w:r w:rsidRPr="00DB14F9">
        <w:rPr>
          <w:b/>
        </w:rPr>
        <w:t>.</w:t>
      </w:r>
      <w:r>
        <w:rPr>
          <w:b/>
        </w:rPr>
        <w:t>656</w:t>
      </w:r>
      <w:r w:rsidRPr="00DB14F9">
        <w:rPr>
          <w:b/>
        </w:rPr>
        <w:t xml:space="preserve"> million</w:t>
      </w:r>
      <w:r>
        <w:t xml:space="preserve">. The latest budget is </w:t>
      </w:r>
      <w:r w:rsidRPr="009C64F1">
        <w:rPr>
          <w:b/>
        </w:rPr>
        <w:t>£</w:t>
      </w:r>
      <w:r>
        <w:rPr>
          <w:b/>
        </w:rPr>
        <w:t>9.478</w:t>
      </w:r>
      <w:r w:rsidRPr="00FE5B84">
        <w:rPr>
          <w:b/>
        </w:rPr>
        <w:t xml:space="preserve"> million</w:t>
      </w:r>
      <w:r>
        <w:t xml:space="preserve"> which includes rephasing of </w:t>
      </w:r>
      <w:r w:rsidRPr="00C73882">
        <w:rPr>
          <w:b/>
        </w:rPr>
        <w:t>£0.482 million</w:t>
      </w:r>
      <w:r>
        <w:t xml:space="preserve"> as approved by Council at its meeting in May and additional  rephasing of </w:t>
      </w:r>
      <w:r w:rsidRPr="00F17085">
        <w:rPr>
          <w:b/>
        </w:rPr>
        <w:t>£</w:t>
      </w:r>
      <w:r>
        <w:rPr>
          <w:b/>
        </w:rPr>
        <w:t>2.340</w:t>
      </w:r>
      <w:r w:rsidRPr="00F17085">
        <w:rPr>
          <w:b/>
        </w:rPr>
        <w:t xml:space="preserve"> million</w:t>
      </w:r>
      <w:r>
        <w:t xml:space="preserve"> that was included in the outturn report presented to Policy &amp; Resources Committee in June and recommended for approval to Council.</w:t>
      </w:r>
    </w:p>
    <w:p w:rsidR="00EF3AFF" w:rsidRDefault="00EF3AFF" w:rsidP="009C64F1">
      <w:pPr>
        <w:ind w:left="1267" w:hanging="1267"/>
      </w:pPr>
    </w:p>
    <w:p w:rsidR="00EF3AFF" w:rsidRDefault="00EF3AFF" w:rsidP="009C64F1">
      <w:pPr>
        <w:ind w:left="1267" w:hanging="1267"/>
      </w:pPr>
      <w:r>
        <w:t>2.15</w:t>
      </w:r>
      <w:r>
        <w:tab/>
        <w:t xml:space="preserve">Services have identified </w:t>
      </w:r>
      <w:r w:rsidRPr="00434D29">
        <w:rPr>
          <w:b/>
        </w:rPr>
        <w:t>£1.410</w:t>
      </w:r>
      <w:r>
        <w:rPr>
          <w:b/>
        </w:rPr>
        <w:t xml:space="preserve"> </w:t>
      </w:r>
      <w:r w:rsidRPr="00434D29">
        <w:rPr>
          <w:b/>
        </w:rPr>
        <w:t>million</w:t>
      </w:r>
      <w:r>
        <w:t xml:space="preserve"> to be rephased to later years in the programme. This has reduced the 2016/17 budget </w:t>
      </w:r>
      <w:r w:rsidRPr="00434D29">
        <w:rPr>
          <w:b/>
        </w:rPr>
        <w:t>to £8.068</w:t>
      </w:r>
      <w:r>
        <w:rPr>
          <w:b/>
        </w:rPr>
        <w:t xml:space="preserve"> million</w:t>
      </w:r>
      <w:r>
        <w:t xml:space="preserve">. In addition services have also identified a project to the value of </w:t>
      </w:r>
      <w:r w:rsidRPr="00F712DC">
        <w:rPr>
          <w:b/>
        </w:rPr>
        <w:t>£0.150 million</w:t>
      </w:r>
      <w:r>
        <w:t xml:space="preserve"> to be removed from the programme and also additions to the programme totalling </w:t>
      </w:r>
      <w:r w:rsidRPr="00F712DC">
        <w:rPr>
          <w:b/>
        </w:rPr>
        <w:t>£0.149 million</w:t>
      </w:r>
      <w:r>
        <w:t xml:space="preserve"> (which are funded from external contributions.</w:t>
      </w:r>
    </w:p>
    <w:p w:rsidR="00EF3AFF" w:rsidRDefault="00EF3AFF" w:rsidP="009C64F1">
      <w:pPr>
        <w:ind w:left="1267" w:hanging="1267"/>
      </w:pPr>
    </w:p>
    <w:p w:rsidR="00EF3AFF" w:rsidRDefault="00EF3AFF" w:rsidP="00B62B27">
      <w:pPr>
        <w:keepNext/>
        <w:ind w:left="1267" w:hanging="1267"/>
        <w:rPr>
          <w:rFonts w:cs="Arial"/>
          <w:b/>
          <w:szCs w:val="22"/>
        </w:rPr>
      </w:pPr>
      <w:r>
        <w:rPr>
          <w:rFonts w:cs="Arial"/>
          <w:szCs w:val="22"/>
        </w:rPr>
        <w:t>2.16</w:t>
      </w:r>
      <w:r>
        <w:rPr>
          <w:rFonts w:cs="Arial"/>
          <w:szCs w:val="22"/>
        </w:rPr>
        <w:tab/>
        <w:t>The two main re</w:t>
      </w:r>
      <w:r w:rsidR="00672434">
        <w:rPr>
          <w:rFonts w:cs="Arial"/>
          <w:szCs w:val="22"/>
        </w:rPr>
        <w:t>-</w:t>
      </w:r>
      <w:r>
        <w:rPr>
          <w:rFonts w:cs="Arial"/>
          <w:szCs w:val="22"/>
        </w:rPr>
        <w:t>phasings identified are:</w:t>
      </w:r>
    </w:p>
    <w:p w:rsidR="00EF3AFF" w:rsidRDefault="00EF3AFF" w:rsidP="00B62B27">
      <w:pPr>
        <w:keepNext/>
        <w:ind w:left="1267" w:hanging="1267"/>
        <w:rPr>
          <w:rFonts w:cs="Arial"/>
          <w:b/>
          <w:szCs w:val="22"/>
        </w:rPr>
      </w:pPr>
    </w:p>
    <w:p w:rsidR="00EF3AFF" w:rsidRDefault="00EF3AFF" w:rsidP="00B62B27">
      <w:pPr>
        <w:pStyle w:val="ListParagraph"/>
        <w:keepNext/>
        <w:numPr>
          <w:ilvl w:val="0"/>
          <w:numId w:val="20"/>
        </w:numPr>
        <w:rPr>
          <w:rFonts w:cs="Arial"/>
          <w:szCs w:val="22"/>
        </w:rPr>
      </w:pPr>
      <w:r>
        <w:rPr>
          <w:rFonts w:cs="Arial"/>
          <w:szCs w:val="22"/>
        </w:rPr>
        <w:t xml:space="preserve">Bury Lake Young Mariners (BLYM) – </w:t>
      </w:r>
      <w:r w:rsidRPr="007514DD">
        <w:rPr>
          <w:rFonts w:cs="Arial"/>
          <w:b/>
          <w:szCs w:val="22"/>
        </w:rPr>
        <w:t>£0.750 million</w:t>
      </w:r>
      <w:r>
        <w:rPr>
          <w:rFonts w:cs="Arial"/>
          <w:szCs w:val="22"/>
        </w:rPr>
        <w:t xml:space="preserve"> rephased to 2017/18 due to the delay in BLYM confirming their VAT status for the construction project.</w:t>
      </w:r>
    </w:p>
    <w:p w:rsidR="00EF3AFF" w:rsidRDefault="00EF3AFF" w:rsidP="00B62B27">
      <w:pPr>
        <w:pStyle w:val="ListParagraph"/>
        <w:keepNext/>
        <w:ind w:left="2038"/>
        <w:rPr>
          <w:rFonts w:cs="Arial"/>
          <w:szCs w:val="22"/>
        </w:rPr>
      </w:pPr>
    </w:p>
    <w:p w:rsidR="00EF3AFF" w:rsidRPr="00945CBE" w:rsidRDefault="00EF3AFF" w:rsidP="00B62B27">
      <w:pPr>
        <w:pStyle w:val="ListParagraph"/>
        <w:keepNext/>
        <w:numPr>
          <w:ilvl w:val="0"/>
          <w:numId w:val="20"/>
        </w:numPr>
        <w:rPr>
          <w:rFonts w:cs="Arial"/>
          <w:szCs w:val="22"/>
        </w:rPr>
      </w:pPr>
      <w:r w:rsidRPr="007178BC">
        <w:rPr>
          <w:rFonts w:cs="Arial"/>
          <w:szCs w:val="22"/>
        </w:rPr>
        <w:t xml:space="preserve">Waste Services Depot - </w:t>
      </w:r>
      <w:r w:rsidRPr="007178BC">
        <w:rPr>
          <w:rFonts w:cs="Arial"/>
          <w:b/>
          <w:szCs w:val="22"/>
        </w:rPr>
        <w:t>£0.494 million</w:t>
      </w:r>
      <w:r w:rsidRPr="007178BC">
        <w:rPr>
          <w:rFonts w:cs="Arial"/>
          <w:szCs w:val="22"/>
        </w:rPr>
        <w:t xml:space="preserve"> rephased to 2017/18 </w:t>
      </w:r>
      <w:r>
        <w:rPr>
          <w:rFonts w:cs="Arial"/>
          <w:szCs w:val="22"/>
        </w:rPr>
        <w:t xml:space="preserve">as </w:t>
      </w:r>
      <w:r w:rsidRPr="007178BC">
        <w:rPr>
          <w:rFonts w:cs="Arial"/>
          <w:szCs w:val="22"/>
        </w:rPr>
        <w:t>awaiting a decision on location of new depot</w:t>
      </w:r>
    </w:p>
    <w:p w:rsidR="00EF3AFF" w:rsidRDefault="00EF3AFF" w:rsidP="00B62B27">
      <w:pPr>
        <w:keepNext/>
        <w:ind w:left="1260" w:hanging="1260"/>
        <w:rPr>
          <w:rFonts w:cs="Arial"/>
          <w:szCs w:val="22"/>
        </w:rPr>
      </w:pPr>
    </w:p>
    <w:p w:rsidR="00EF3AFF" w:rsidRDefault="00EF3AFF" w:rsidP="00B62B27">
      <w:pPr>
        <w:keepNext/>
        <w:ind w:left="1260" w:hanging="1260"/>
        <w:rPr>
          <w:rFonts w:cs="Arial"/>
          <w:szCs w:val="22"/>
        </w:rPr>
      </w:pPr>
      <w:r>
        <w:rPr>
          <w:rFonts w:cs="Arial"/>
          <w:szCs w:val="22"/>
        </w:rPr>
        <w:t>2.17</w:t>
      </w:r>
      <w:r>
        <w:rPr>
          <w:rFonts w:cs="Arial"/>
          <w:szCs w:val="22"/>
        </w:rPr>
        <w:tab/>
        <w:t xml:space="preserve">Capital spend up to 31 July was </w:t>
      </w:r>
      <w:r w:rsidRPr="00F91C09">
        <w:rPr>
          <w:rFonts w:cs="Arial"/>
          <w:b/>
          <w:szCs w:val="22"/>
        </w:rPr>
        <w:t>£</w:t>
      </w:r>
      <w:r>
        <w:rPr>
          <w:rFonts w:cs="Arial"/>
          <w:b/>
          <w:szCs w:val="22"/>
        </w:rPr>
        <w:t>0.988 million</w:t>
      </w:r>
      <w:r>
        <w:rPr>
          <w:rFonts w:cs="Arial"/>
          <w:szCs w:val="22"/>
        </w:rPr>
        <w:t xml:space="preserve"> which represents 12.2% of the latest budget following re-phasings. Service accountants have met with budget holders, who have confirmed that budgets will be spent by the end of the financial year; this will be monitored at future budget reports and any additional re-phasings will be identified as they are known. </w:t>
      </w:r>
    </w:p>
    <w:p w:rsidR="00EF3AFF" w:rsidRPr="00CB1746" w:rsidRDefault="00EF3AFF" w:rsidP="00B62B27">
      <w:pPr>
        <w:keepNext/>
        <w:rPr>
          <w:rFonts w:cs="Arial"/>
          <w:szCs w:val="22"/>
        </w:rPr>
      </w:pPr>
    </w:p>
    <w:p w:rsidR="00EF3AFF" w:rsidRDefault="00EF3AFF" w:rsidP="00A81F67">
      <w:pPr>
        <w:keepNext/>
        <w:ind w:left="1267" w:hanging="1267"/>
        <w:rPr>
          <w:rFonts w:cs="Arial"/>
          <w:szCs w:val="22"/>
        </w:rPr>
      </w:pPr>
      <w:r w:rsidRPr="00B16B34">
        <w:rPr>
          <w:rFonts w:cs="Arial"/>
          <w:szCs w:val="22"/>
        </w:rPr>
        <w:t>2.</w:t>
      </w:r>
      <w:r>
        <w:rPr>
          <w:rFonts w:cs="Arial"/>
          <w:szCs w:val="22"/>
        </w:rPr>
        <w:t>18</w:t>
      </w:r>
      <w:r>
        <w:rPr>
          <w:rFonts w:cs="Arial"/>
          <w:szCs w:val="22"/>
        </w:rPr>
        <w:tab/>
      </w:r>
      <w:r>
        <w:tab/>
      </w:r>
      <w:r w:rsidRPr="00F17085">
        <w:rPr>
          <w:b/>
        </w:rPr>
        <w:t xml:space="preserve">Appendix </w:t>
      </w:r>
      <w:r>
        <w:rPr>
          <w:b/>
        </w:rPr>
        <w:t>6</w:t>
      </w:r>
      <w:r>
        <w:t xml:space="preserve"> shows the Council’s medium term capital investment programme 2016 -2019 by cost centre by Committee</w:t>
      </w:r>
      <w:r>
        <w:rPr>
          <w:rFonts w:cs="Arial"/>
          <w:szCs w:val="22"/>
        </w:rPr>
        <w:t>.</w:t>
      </w:r>
    </w:p>
    <w:p w:rsidR="00EF3AFF" w:rsidRDefault="00EF3AFF" w:rsidP="00A81F67">
      <w:pPr>
        <w:keepNext/>
        <w:ind w:left="1267" w:hanging="1267"/>
        <w:rPr>
          <w:rFonts w:cs="Arial"/>
          <w:szCs w:val="22"/>
        </w:rPr>
      </w:pPr>
    </w:p>
    <w:p w:rsidR="00EF3AFF" w:rsidRDefault="00EF3AFF" w:rsidP="00A81F67">
      <w:pPr>
        <w:keepNext/>
        <w:ind w:left="1267" w:hanging="1267"/>
        <w:rPr>
          <w:rFonts w:cs="Arial"/>
          <w:b/>
          <w:szCs w:val="22"/>
        </w:rPr>
      </w:pPr>
      <w:r>
        <w:rPr>
          <w:rFonts w:cs="Arial"/>
          <w:szCs w:val="22"/>
        </w:rPr>
        <w:t>2.19</w:t>
      </w:r>
      <w:r>
        <w:rPr>
          <w:rFonts w:cs="Arial"/>
          <w:szCs w:val="22"/>
        </w:rPr>
        <w:tab/>
      </w:r>
      <w:r w:rsidRPr="007514DD">
        <w:rPr>
          <w:rFonts w:cs="Arial"/>
          <w:b/>
          <w:szCs w:val="22"/>
        </w:rPr>
        <w:t xml:space="preserve">Appendix </w:t>
      </w:r>
      <w:r>
        <w:rPr>
          <w:rFonts w:cs="Arial"/>
          <w:b/>
          <w:szCs w:val="22"/>
        </w:rPr>
        <w:t>7</w:t>
      </w:r>
      <w:r>
        <w:rPr>
          <w:rFonts w:cs="Arial"/>
          <w:szCs w:val="22"/>
        </w:rPr>
        <w:t xml:space="preserve"> </w:t>
      </w:r>
      <w:r w:rsidRPr="00CA1432">
        <w:rPr>
          <w:rFonts w:cs="Arial"/>
          <w:szCs w:val="22"/>
        </w:rPr>
        <w:t>shows the</w:t>
      </w:r>
      <w:r>
        <w:rPr>
          <w:rFonts w:cs="Arial"/>
          <w:b/>
          <w:szCs w:val="22"/>
        </w:rPr>
        <w:t xml:space="preserve"> </w:t>
      </w:r>
      <w:r>
        <w:rPr>
          <w:rFonts w:cs="Arial"/>
          <w:szCs w:val="22"/>
        </w:rPr>
        <w:t>e</w:t>
      </w:r>
      <w:r>
        <w:t>xplanations of capital variances reported this period</w:t>
      </w:r>
    </w:p>
    <w:p w:rsidR="00EF3AFF" w:rsidRDefault="00EF3AFF" w:rsidP="00A81F67">
      <w:pPr>
        <w:keepNext/>
        <w:ind w:left="1267" w:hanging="1267"/>
        <w:rPr>
          <w:rFonts w:cs="Arial"/>
          <w:b/>
          <w:szCs w:val="22"/>
        </w:rPr>
      </w:pPr>
    </w:p>
    <w:p w:rsidR="00EF3AFF" w:rsidRDefault="00EF3AFF" w:rsidP="00A81F67">
      <w:pPr>
        <w:keepNext/>
        <w:ind w:left="1267" w:hanging="1267"/>
      </w:pPr>
      <w:r w:rsidRPr="00CA1432">
        <w:rPr>
          <w:rFonts w:cs="Arial"/>
          <w:szCs w:val="22"/>
        </w:rPr>
        <w:t>2.</w:t>
      </w:r>
      <w:r>
        <w:rPr>
          <w:rFonts w:cs="Arial"/>
          <w:szCs w:val="22"/>
        </w:rPr>
        <w:t>20</w:t>
      </w:r>
      <w:r>
        <w:rPr>
          <w:rFonts w:cs="Arial"/>
          <w:b/>
          <w:szCs w:val="22"/>
        </w:rPr>
        <w:tab/>
        <w:t>Appendix 8</w:t>
      </w:r>
      <w:r w:rsidRPr="00F61EB1">
        <w:rPr>
          <w:rFonts w:cs="Arial"/>
          <w:szCs w:val="22"/>
        </w:rPr>
        <w:t xml:space="preserve"> </w:t>
      </w:r>
      <w:r>
        <w:rPr>
          <w:rFonts w:cs="Arial"/>
          <w:szCs w:val="22"/>
        </w:rPr>
        <w:t>shows the funding of the capital programme.</w:t>
      </w:r>
    </w:p>
    <w:p w:rsidR="00EF3AFF" w:rsidRDefault="00EF3AFF" w:rsidP="00A81F67">
      <w:pPr>
        <w:keepNext/>
        <w:ind w:left="1267" w:hanging="1267"/>
        <w:rPr>
          <w:rFonts w:cs="Arial"/>
          <w:szCs w:val="22"/>
        </w:rPr>
      </w:pPr>
    </w:p>
    <w:p w:rsidR="00EF3AFF" w:rsidRDefault="00EF3AFF" w:rsidP="000F504C">
      <w:pPr>
        <w:ind w:left="1267" w:hanging="1267"/>
        <w:jc w:val="left"/>
      </w:pPr>
      <w:r>
        <w:fldChar w:fldCharType="begin"/>
      </w:r>
      <w:r>
        <w:instrText xml:space="preserve">  </w:instrText>
      </w:r>
      <w:r>
        <w:fldChar w:fldCharType="end"/>
      </w:r>
      <w:r>
        <w:t>3.</w:t>
      </w:r>
      <w:r>
        <w:tab/>
      </w:r>
      <w:r>
        <w:rPr>
          <w:b/>
        </w:rPr>
        <w:t>Options/Reasons for Recommendation</w:t>
      </w:r>
    </w:p>
    <w:p w:rsidR="00EF3AFF" w:rsidRDefault="00EF3AFF">
      <w:pPr>
        <w:keepNext/>
        <w:ind w:left="1267" w:hanging="1267"/>
      </w:pPr>
    </w:p>
    <w:p w:rsidR="00EF3AFF" w:rsidRDefault="00EF3AFF" w:rsidP="00CF3D9A">
      <w:pPr>
        <w:ind w:left="1267" w:hanging="1267"/>
      </w:pPr>
      <w:r>
        <w:t>3.1</w:t>
      </w:r>
      <w:r>
        <w:tab/>
      </w:r>
      <w:r>
        <w:fldChar w:fldCharType="begin"/>
      </w:r>
      <w:r>
        <w:instrText xml:space="preserve">  </w:instrText>
      </w:r>
      <w:r>
        <w:fldChar w:fldCharType="end"/>
      </w:r>
      <w:r>
        <w:t>The recommendations below enable the Committee to make recommendations to Council concerning their budget.</w:t>
      </w:r>
    </w:p>
    <w:p w:rsidR="00EF3AFF" w:rsidRDefault="00EF3AFF">
      <w:pPr>
        <w:ind w:left="1267" w:hanging="1267"/>
      </w:pPr>
    </w:p>
    <w:p w:rsidR="00EF3AFF" w:rsidRDefault="00EF3AFF">
      <w:pPr>
        <w:keepNext/>
        <w:ind w:left="1267" w:hanging="1267"/>
        <w:rPr>
          <w:b/>
        </w:rPr>
      </w:pPr>
      <w:r>
        <w:t>4.</w:t>
      </w:r>
      <w:r>
        <w:tab/>
      </w:r>
      <w:r>
        <w:rPr>
          <w:b/>
        </w:rPr>
        <w:t>Policy / Budget Reference and Implications</w:t>
      </w:r>
    </w:p>
    <w:p w:rsidR="00EF3AFF" w:rsidRDefault="00EF3AFF" w:rsidP="00F62C05">
      <w:pPr>
        <w:ind w:left="1267" w:hanging="1267"/>
      </w:pPr>
      <w:r>
        <w:tab/>
      </w:r>
    </w:p>
    <w:p w:rsidR="00EF3AFF" w:rsidRDefault="00EF3AFF" w:rsidP="005A1298">
      <w:pPr>
        <w:ind w:left="1267" w:hanging="1267"/>
        <w:rPr>
          <w:b/>
          <w:i/>
          <w:color w:val="008000"/>
        </w:rPr>
      </w:pPr>
      <w:r w:rsidRPr="00B35FEB">
        <w:t>4.1</w:t>
      </w:r>
      <w:r w:rsidRPr="00B35FEB">
        <w:tab/>
        <w:t>In accordance with the Council’s financial procedure rules, if the recommendations are accepted, this will amend the Council’s budgets</w:t>
      </w:r>
      <w:r>
        <w:t>.</w:t>
      </w:r>
    </w:p>
    <w:p w:rsidR="00EF3AFF" w:rsidRDefault="00EF3AFF">
      <w:pPr>
        <w:keepNext/>
        <w:ind w:left="1267" w:hanging="1267"/>
      </w:pPr>
    </w:p>
    <w:p w:rsidR="00EF3AFF" w:rsidRDefault="00EF3AFF">
      <w:pPr>
        <w:ind w:left="1267" w:hanging="1267"/>
      </w:pPr>
      <w:r>
        <w:t>4.2</w:t>
      </w:r>
      <w:r>
        <w:tab/>
      </w:r>
      <w:r w:rsidRPr="004E0CF7">
        <w:t xml:space="preserve">There are no substantial changes to Council policy resulting from this report. </w:t>
      </w:r>
    </w:p>
    <w:p w:rsidR="00EF3AFF" w:rsidRDefault="00EF3AFF">
      <w:pPr>
        <w:ind w:left="1267" w:hanging="1267"/>
      </w:pPr>
    </w:p>
    <w:p w:rsidR="00EF3AFF" w:rsidRDefault="00EF3AFF">
      <w:pPr>
        <w:keepNext/>
        <w:ind w:left="1267" w:hanging="1267"/>
      </w:pPr>
      <w:r>
        <w:lastRenderedPageBreak/>
        <w:t>5.</w:t>
      </w:r>
      <w:r>
        <w:fldChar w:fldCharType="begin"/>
      </w:r>
      <w:r>
        <w:instrText xml:space="preserve">  </w:instrText>
      </w:r>
      <w:r>
        <w:fldChar w:fldCharType="end"/>
      </w:r>
      <w:r>
        <w:tab/>
      </w:r>
      <w:r>
        <w:rPr>
          <w:b/>
        </w:rPr>
        <w:t>Legal, Equal Opportunities, Staffing, Environmental, Community Safety, Public Health, Customer Services Centre, Communications &amp; Website, and Health &amp; Safety Implications</w:t>
      </w:r>
    </w:p>
    <w:p w:rsidR="00EF3AFF" w:rsidRDefault="00EF3AFF">
      <w:pPr>
        <w:keepNext/>
        <w:ind w:left="1267" w:hanging="1267"/>
      </w:pPr>
    </w:p>
    <w:p w:rsidR="00EF3AFF" w:rsidRDefault="00EF3AFF">
      <w:pPr>
        <w:ind w:left="1267" w:hanging="1267"/>
      </w:pPr>
      <w:r>
        <w:t>5.1</w:t>
      </w:r>
      <w:r>
        <w:fldChar w:fldCharType="begin"/>
      </w:r>
      <w:r>
        <w:instrText xml:space="preserve">  </w:instrText>
      </w:r>
      <w:r>
        <w:fldChar w:fldCharType="end"/>
      </w:r>
      <w:r>
        <w:tab/>
        <w:t>None specific.</w:t>
      </w:r>
    </w:p>
    <w:p w:rsidR="00EF3AFF" w:rsidRDefault="00EF3AFF">
      <w:pPr>
        <w:ind w:left="1267" w:hanging="1267"/>
      </w:pPr>
    </w:p>
    <w:p w:rsidR="00EF3AFF" w:rsidRDefault="00EF3AFF" w:rsidP="00C37CBD">
      <w:pPr>
        <w:keepNext/>
        <w:ind w:left="1267" w:hanging="1267"/>
      </w:pPr>
      <w:r>
        <w:t>6.</w:t>
      </w:r>
      <w:r>
        <w:tab/>
      </w:r>
      <w:r>
        <w:rPr>
          <w:b/>
        </w:rPr>
        <w:t>Financial Implications</w:t>
      </w:r>
    </w:p>
    <w:p w:rsidR="00EF3AFF" w:rsidRPr="00D2402D" w:rsidRDefault="00EF3AFF" w:rsidP="00C37CBD">
      <w:pPr>
        <w:keepNext/>
        <w:ind w:left="1267" w:hanging="1267"/>
        <w:rPr>
          <w:b/>
          <w:i/>
        </w:rPr>
      </w:pPr>
      <w:r>
        <w:t xml:space="preserve">                      </w:t>
      </w:r>
    </w:p>
    <w:p w:rsidR="00EF3AFF" w:rsidRDefault="00EF3AFF" w:rsidP="00C37CBD">
      <w:pPr>
        <w:keepNext/>
        <w:tabs>
          <w:tab w:val="left" w:pos="567"/>
        </w:tabs>
        <w:ind w:left="1267" w:hanging="1267"/>
      </w:pPr>
      <w:r>
        <w:t>6.1</w:t>
      </w:r>
      <w:r>
        <w:rPr>
          <w:i/>
        </w:rPr>
        <w:tab/>
      </w:r>
      <w:r>
        <w:rPr>
          <w:i/>
        </w:rPr>
        <w:tab/>
      </w:r>
      <w:r>
        <w:t>The following revenue and capital variations have been identified for all Service Committees for Period 4 (end of July).</w:t>
      </w:r>
    </w:p>
    <w:p w:rsidR="00EF3AFF" w:rsidRDefault="00EF3AFF" w:rsidP="00C37CBD"/>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275"/>
        <w:gridCol w:w="1134"/>
        <w:gridCol w:w="1134"/>
      </w:tblGrid>
      <w:tr w:rsidR="00EF3AFF" w:rsidTr="0077607D">
        <w:tc>
          <w:tcPr>
            <w:tcW w:w="4253" w:type="dxa"/>
          </w:tcPr>
          <w:p w:rsidR="00EF3AFF" w:rsidRDefault="00EF3AFF" w:rsidP="00D82603">
            <w:pPr>
              <w:widowControl w:val="0"/>
              <w:jc w:val="center"/>
              <w:rPr>
                <w:sz w:val="20"/>
              </w:rPr>
            </w:pPr>
          </w:p>
          <w:p w:rsidR="00EF3AFF" w:rsidRDefault="00EF3AFF" w:rsidP="00D30152">
            <w:pPr>
              <w:widowControl w:val="0"/>
              <w:jc w:val="center"/>
              <w:rPr>
                <w:sz w:val="20"/>
              </w:rPr>
            </w:pPr>
            <w:r>
              <w:rPr>
                <w:sz w:val="20"/>
              </w:rPr>
              <w:t>Variance</w:t>
            </w:r>
          </w:p>
        </w:tc>
        <w:tc>
          <w:tcPr>
            <w:tcW w:w="1275" w:type="dxa"/>
          </w:tcPr>
          <w:p w:rsidR="00EF3AFF" w:rsidRDefault="00EF3AFF" w:rsidP="00D82603">
            <w:pPr>
              <w:widowControl w:val="0"/>
              <w:jc w:val="center"/>
              <w:rPr>
                <w:sz w:val="20"/>
              </w:rPr>
            </w:pPr>
            <w:r>
              <w:rPr>
                <w:sz w:val="20"/>
              </w:rPr>
              <w:t>2016/17</w:t>
            </w:r>
          </w:p>
          <w:p w:rsidR="00EF3AFF" w:rsidRDefault="00EF3AFF" w:rsidP="00D82603">
            <w:pPr>
              <w:widowControl w:val="0"/>
              <w:jc w:val="center"/>
              <w:rPr>
                <w:sz w:val="20"/>
              </w:rPr>
            </w:pPr>
            <w:r>
              <w:rPr>
                <w:sz w:val="20"/>
              </w:rPr>
              <w:t>£</w:t>
            </w:r>
          </w:p>
        </w:tc>
        <w:tc>
          <w:tcPr>
            <w:tcW w:w="1134" w:type="dxa"/>
          </w:tcPr>
          <w:p w:rsidR="00EF3AFF" w:rsidRDefault="00EF3AFF" w:rsidP="00D82603">
            <w:pPr>
              <w:widowControl w:val="0"/>
              <w:jc w:val="center"/>
              <w:rPr>
                <w:sz w:val="20"/>
              </w:rPr>
            </w:pPr>
            <w:r>
              <w:rPr>
                <w:sz w:val="20"/>
              </w:rPr>
              <w:t>2017/18</w:t>
            </w:r>
          </w:p>
          <w:p w:rsidR="00EF3AFF" w:rsidRDefault="00EF3AFF" w:rsidP="00D82603">
            <w:pPr>
              <w:widowControl w:val="0"/>
              <w:jc w:val="center"/>
              <w:rPr>
                <w:sz w:val="20"/>
              </w:rPr>
            </w:pPr>
            <w:r>
              <w:rPr>
                <w:sz w:val="20"/>
              </w:rPr>
              <w:t>£</w:t>
            </w:r>
          </w:p>
        </w:tc>
        <w:tc>
          <w:tcPr>
            <w:tcW w:w="1134" w:type="dxa"/>
          </w:tcPr>
          <w:p w:rsidR="00EF3AFF" w:rsidRDefault="00EF3AFF" w:rsidP="00D82603">
            <w:pPr>
              <w:widowControl w:val="0"/>
              <w:jc w:val="center"/>
              <w:rPr>
                <w:sz w:val="20"/>
              </w:rPr>
            </w:pPr>
            <w:r>
              <w:rPr>
                <w:sz w:val="20"/>
              </w:rPr>
              <w:t>2018/19</w:t>
            </w:r>
          </w:p>
          <w:p w:rsidR="00EF3AFF" w:rsidRDefault="00EF3AFF" w:rsidP="00D82603">
            <w:pPr>
              <w:widowControl w:val="0"/>
              <w:jc w:val="center"/>
              <w:rPr>
                <w:sz w:val="20"/>
              </w:rPr>
            </w:pPr>
            <w:r>
              <w:rPr>
                <w:sz w:val="20"/>
              </w:rPr>
              <w:t>£</w:t>
            </w:r>
          </w:p>
        </w:tc>
      </w:tr>
      <w:tr w:rsidR="00EF3AFF" w:rsidTr="0077607D">
        <w:tc>
          <w:tcPr>
            <w:tcW w:w="4253" w:type="dxa"/>
          </w:tcPr>
          <w:p w:rsidR="00EF3AFF" w:rsidRDefault="00EF3AFF" w:rsidP="00466E0D">
            <w:pPr>
              <w:widowControl w:val="0"/>
              <w:spacing w:before="60" w:after="60"/>
              <w:rPr>
                <w:sz w:val="20"/>
              </w:rPr>
            </w:pPr>
            <w:r w:rsidRPr="00466E0D">
              <w:rPr>
                <w:b/>
                <w:sz w:val="20"/>
              </w:rPr>
              <w:t>Revenue</w:t>
            </w:r>
            <w:r>
              <w:rPr>
                <w:b/>
                <w:sz w:val="20"/>
              </w:rPr>
              <w:t xml:space="preserve"> </w:t>
            </w:r>
            <w:r>
              <w:rPr>
                <w:sz w:val="20"/>
              </w:rPr>
              <w:t>- (Favourable )/ Unfavourable</w:t>
            </w:r>
          </w:p>
        </w:tc>
        <w:tc>
          <w:tcPr>
            <w:tcW w:w="1275" w:type="dxa"/>
            <w:shd w:val="clear" w:color="auto" w:fill="FFFFFF"/>
          </w:tcPr>
          <w:p w:rsidR="00EF3AFF" w:rsidRPr="00C7625C" w:rsidRDefault="00EF3AFF" w:rsidP="002D526C">
            <w:pPr>
              <w:widowControl w:val="0"/>
              <w:spacing w:before="60" w:after="60"/>
              <w:jc w:val="right"/>
              <w:rPr>
                <w:sz w:val="20"/>
              </w:rPr>
            </w:pPr>
            <w:r>
              <w:rPr>
                <w:sz w:val="20"/>
              </w:rPr>
              <w:t>(45,130)</w:t>
            </w:r>
          </w:p>
        </w:tc>
        <w:tc>
          <w:tcPr>
            <w:tcW w:w="1134" w:type="dxa"/>
            <w:shd w:val="clear" w:color="auto" w:fill="FFFFFF"/>
          </w:tcPr>
          <w:p w:rsidR="00EF3AFF" w:rsidRPr="00C7625C" w:rsidRDefault="00EF3AFF" w:rsidP="009452E7">
            <w:pPr>
              <w:widowControl w:val="0"/>
              <w:spacing w:before="60" w:after="60"/>
              <w:ind w:right="7"/>
              <w:jc w:val="right"/>
              <w:rPr>
                <w:sz w:val="20"/>
              </w:rPr>
            </w:pPr>
            <w:r>
              <w:rPr>
                <w:sz w:val="20"/>
              </w:rPr>
              <w:t>(38,870)</w:t>
            </w:r>
          </w:p>
        </w:tc>
        <w:tc>
          <w:tcPr>
            <w:tcW w:w="1134" w:type="dxa"/>
            <w:shd w:val="clear" w:color="auto" w:fill="FFFFFF"/>
          </w:tcPr>
          <w:p w:rsidR="00EF3AFF" w:rsidRPr="00C7625C" w:rsidRDefault="00EF3AFF" w:rsidP="004A2B3E">
            <w:pPr>
              <w:widowControl w:val="0"/>
              <w:spacing w:before="60" w:after="60"/>
              <w:ind w:right="7"/>
              <w:jc w:val="right"/>
              <w:rPr>
                <w:sz w:val="20"/>
              </w:rPr>
            </w:pPr>
            <w:r>
              <w:rPr>
                <w:sz w:val="20"/>
              </w:rPr>
              <w:t>65,310</w:t>
            </w:r>
          </w:p>
        </w:tc>
      </w:tr>
      <w:tr w:rsidR="00EF3AFF" w:rsidTr="0077607D">
        <w:tc>
          <w:tcPr>
            <w:tcW w:w="4253" w:type="dxa"/>
          </w:tcPr>
          <w:p w:rsidR="00EF3AFF" w:rsidRDefault="00EF3AFF" w:rsidP="00466E0D">
            <w:pPr>
              <w:widowControl w:val="0"/>
              <w:spacing w:before="60" w:after="60"/>
              <w:rPr>
                <w:sz w:val="20"/>
              </w:rPr>
            </w:pPr>
            <w:r>
              <w:rPr>
                <w:b/>
                <w:sz w:val="20"/>
              </w:rPr>
              <w:t>Capital</w:t>
            </w:r>
            <w:r>
              <w:rPr>
                <w:sz w:val="20"/>
              </w:rPr>
              <w:t xml:space="preserve"> - Increase / (Decrease)</w:t>
            </w:r>
          </w:p>
        </w:tc>
        <w:tc>
          <w:tcPr>
            <w:tcW w:w="1275" w:type="dxa"/>
            <w:shd w:val="clear" w:color="auto" w:fill="FFFFFF"/>
          </w:tcPr>
          <w:p w:rsidR="00EF3AFF" w:rsidRPr="00C7625C" w:rsidRDefault="00EF3AFF" w:rsidP="0077607D">
            <w:pPr>
              <w:widowControl w:val="0"/>
              <w:spacing w:before="60" w:after="60"/>
              <w:jc w:val="right"/>
              <w:rPr>
                <w:sz w:val="20"/>
              </w:rPr>
            </w:pPr>
            <w:r>
              <w:rPr>
                <w:sz w:val="20"/>
              </w:rPr>
              <w:t>(1,411,120)</w:t>
            </w:r>
          </w:p>
        </w:tc>
        <w:tc>
          <w:tcPr>
            <w:tcW w:w="1134" w:type="dxa"/>
            <w:shd w:val="clear" w:color="auto" w:fill="FFFFFF"/>
          </w:tcPr>
          <w:p w:rsidR="00EF3AFF" w:rsidRPr="00C7625C" w:rsidRDefault="00EF3AFF" w:rsidP="0077607D">
            <w:pPr>
              <w:widowControl w:val="0"/>
              <w:spacing w:before="60" w:after="60"/>
              <w:ind w:right="7"/>
              <w:jc w:val="right"/>
              <w:rPr>
                <w:sz w:val="20"/>
              </w:rPr>
            </w:pPr>
            <w:r>
              <w:rPr>
                <w:sz w:val="20"/>
              </w:rPr>
              <w:t>1,257,800</w:t>
            </w:r>
          </w:p>
        </w:tc>
        <w:tc>
          <w:tcPr>
            <w:tcW w:w="1134" w:type="dxa"/>
            <w:shd w:val="clear" w:color="auto" w:fill="FFFFFF"/>
          </w:tcPr>
          <w:p w:rsidR="00EF3AFF" w:rsidRPr="00C7625C" w:rsidRDefault="00EF3AFF" w:rsidP="00D82603">
            <w:pPr>
              <w:widowControl w:val="0"/>
              <w:spacing w:before="60" w:after="60"/>
              <w:ind w:right="7"/>
              <w:jc w:val="right"/>
              <w:rPr>
                <w:sz w:val="20"/>
              </w:rPr>
            </w:pPr>
            <w:r>
              <w:rPr>
                <w:sz w:val="20"/>
              </w:rPr>
              <w:t>317,320</w:t>
            </w:r>
          </w:p>
        </w:tc>
      </w:tr>
    </w:tbl>
    <w:p w:rsidR="00EF3AFF" w:rsidRDefault="00EF3AFF" w:rsidP="00735FB1">
      <w:pPr>
        <w:keepNext/>
        <w:tabs>
          <w:tab w:val="clear" w:pos="1260"/>
        </w:tabs>
      </w:pPr>
      <w:r>
        <w:t xml:space="preserve">   </w:t>
      </w:r>
    </w:p>
    <w:p w:rsidR="00EF3AFF" w:rsidRPr="000B25D1" w:rsidRDefault="00EF3AFF" w:rsidP="000B25D1">
      <w:pPr>
        <w:keepNext/>
        <w:tabs>
          <w:tab w:val="clear" w:pos="1260"/>
          <w:tab w:val="clear" w:pos="1980"/>
          <w:tab w:val="left" w:pos="1276"/>
        </w:tabs>
        <w:ind w:left="1276" w:hanging="1276"/>
      </w:pPr>
      <w:r w:rsidRPr="000B25D1">
        <w:t>6.2</w:t>
      </w:r>
      <w:r w:rsidRPr="000B25D1">
        <w:tab/>
      </w:r>
      <w:r>
        <w:t>The r</w:t>
      </w:r>
      <w:r w:rsidRPr="000B25D1">
        <w:t xml:space="preserve">evenue </w:t>
      </w:r>
      <w:r>
        <w:t>budget shows a net favourable variance of</w:t>
      </w:r>
      <w:r w:rsidRPr="000B25D1">
        <w:t xml:space="preserve"> </w:t>
      </w:r>
      <w:r w:rsidRPr="000B25D1">
        <w:rPr>
          <w:b/>
        </w:rPr>
        <w:t>£0.</w:t>
      </w:r>
      <w:r>
        <w:rPr>
          <w:b/>
        </w:rPr>
        <w:t>019</w:t>
      </w:r>
      <w:r w:rsidRPr="000B25D1">
        <w:rPr>
          <w:b/>
        </w:rPr>
        <w:t xml:space="preserve"> million</w:t>
      </w:r>
      <w:r>
        <w:rPr>
          <w:b/>
        </w:rPr>
        <w:t xml:space="preserve"> </w:t>
      </w:r>
      <w:r w:rsidRPr="000B25D1">
        <w:t>over the three years 2016/17 to 2018/19</w:t>
      </w:r>
      <w:r>
        <w:t>, this primarily due to the increase in income from the number of participants using the garden waste collection service which has been offset against the commercial income targets over the medium term      .</w:t>
      </w:r>
    </w:p>
    <w:p w:rsidR="00EF3AFF" w:rsidRPr="000B25D1" w:rsidRDefault="00EF3AFF" w:rsidP="002655E2">
      <w:pPr>
        <w:keepNext/>
        <w:tabs>
          <w:tab w:val="clear" w:pos="1260"/>
          <w:tab w:val="clear" w:pos="1980"/>
          <w:tab w:val="left" w:pos="1276"/>
        </w:tabs>
      </w:pPr>
    </w:p>
    <w:p w:rsidR="00EF3AFF" w:rsidRDefault="00EF3AFF" w:rsidP="000B25D1">
      <w:pPr>
        <w:keepNext/>
        <w:tabs>
          <w:tab w:val="clear" w:pos="1260"/>
          <w:tab w:val="clear" w:pos="1980"/>
          <w:tab w:val="left" w:pos="1276"/>
        </w:tabs>
        <w:ind w:left="1276" w:hanging="1276"/>
      </w:pPr>
      <w:r w:rsidRPr="000B25D1">
        <w:t>6.3</w:t>
      </w:r>
      <w:r w:rsidRPr="000B25D1">
        <w:tab/>
      </w:r>
      <w:r>
        <w:t>The</w:t>
      </w:r>
      <w:r w:rsidRPr="000B25D1">
        <w:t xml:space="preserve"> </w:t>
      </w:r>
      <w:r>
        <w:t>c</w:t>
      </w:r>
      <w:r w:rsidRPr="000B25D1">
        <w:t xml:space="preserve">apital </w:t>
      </w:r>
      <w:r>
        <w:t xml:space="preserve">programme </w:t>
      </w:r>
      <w:r w:rsidRPr="000B25D1">
        <w:t xml:space="preserve">has increased by </w:t>
      </w:r>
      <w:r w:rsidRPr="000B25D1">
        <w:rPr>
          <w:b/>
        </w:rPr>
        <w:t>£0.164 million</w:t>
      </w:r>
      <w:r>
        <w:rPr>
          <w:b/>
        </w:rPr>
        <w:t xml:space="preserve"> </w:t>
      </w:r>
      <w:r w:rsidRPr="000B25D1">
        <w:t>over the three years to 2016/17 to 2018/19.</w:t>
      </w:r>
      <w:r>
        <w:t xml:space="preserve"> This is due to the following:</w:t>
      </w:r>
    </w:p>
    <w:p w:rsidR="00EF3AFF" w:rsidRDefault="00EF3AFF" w:rsidP="000B25D1">
      <w:pPr>
        <w:keepNext/>
        <w:tabs>
          <w:tab w:val="clear" w:pos="1260"/>
          <w:tab w:val="clear" w:pos="1980"/>
          <w:tab w:val="left" w:pos="1276"/>
        </w:tabs>
        <w:ind w:left="1276" w:hanging="1276"/>
      </w:pPr>
    </w:p>
    <w:p w:rsidR="00EF3AFF" w:rsidRDefault="00EF3AFF" w:rsidP="00E25908">
      <w:pPr>
        <w:pStyle w:val="ListParagraph"/>
        <w:numPr>
          <w:ilvl w:val="0"/>
          <w:numId w:val="25"/>
        </w:numPr>
        <w:rPr>
          <w:rFonts w:cs="Arial"/>
          <w:szCs w:val="22"/>
        </w:rPr>
      </w:pPr>
      <w:r w:rsidRPr="00E25908">
        <w:rPr>
          <w:rFonts w:cs="Arial"/>
          <w:szCs w:val="22"/>
        </w:rPr>
        <w:t>The refurbishment of play and leisure areas in the district at Eastbury, Ebury and Skidmore Way, funded by Section 106 (£63,500), Manor House and Bedmond, funded by Abbot Langley Parish Council (£135,500), Croxley Green Skate Park, subject to external funding (£115,000).</w:t>
      </w:r>
    </w:p>
    <w:p w:rsidR="00EF3AFF" w:rsidRDefault="00EF3AFF" w:rsidP="00E25908">
      <w:pPr>
        <w:pStyle w:val="ListParagraph"/>
        <w:keepNext/>
        <w:tabs>
          <w:tab w:val="clear" w:pos="1980"/>
          <w:tab w:val="left" w:pos="1985"/>
        </w:tabs>
        <w:ind w:left="1985"/>
        <w:rPr>
          <w:rFonts w:cs="Arial"/>
          <w:szCs w:val="22"/>
        </w:rPr>
      </w:pPr>
    </w:p>
    <w:p w:rsidR="00EF3AFF" w:rsidRPr="00E25908" w:rsidRDefault="00EF3AFF" w:rsidP="00E25908">
      <w:pPr>
        <w:pStyle w:val="ListParagraph"/>
        <w:keepNext/>
        <w:numPr>
          <w:ilvl w:val="0"/>
          <w:numId w:val="25"/>
        </w:numPr>
        <w:ind w:left="1985" w:hanging="425"/>
        <w:rPr>
          <w:rFonts w:cs="Arial"/>
          <w:szCs w:val="22"/>
        </w:rPr>
      </w:pPr>
      <w:r w:rsidRPr="00E25908">
        <w:rPr>
          <w:rFonts w:cs="Arial"/>
          <w:szCs w:val="22"/>
        </w:rPr>
        <w:t>The removal of the £150,000 budget for the investment in the council’s own Recycling facility due to the lack of space at Batchworth depot. The council is currently working with three other district councils (Welwyn &amp; Hatfield, Watford and Dacorum) to procure a new contract for this service. This service is currently provided by Herts CC at Waterdale and is funded from revenue.</w:t>
      </w:r>
    </w:p>
    <w:p w:rsidR="00EF3AFF" w:rsidRDefault="00EF3AFF" w:rsidP="002655E2">
      <w:pPr>
        <w:keepNext/>
        <w:tabs>
          <w:tab w:val="clear" w:pos="1260"/>
          <w:tab w:val="clear" w:pos="1980"/>
          <w:tab w:val="left" w:pos="1276"/>
        </w:tabs>
      </w:pPr>
      <w:r>
        <w:t xml:space="preserve">   </w:t>
      </w:r>
    </w:p>
    <w:p w:rsidR="00EF3AFF" w:rsidRDefault="00EF3AFF" w:rsidP="00E01F01">
      <w:pPr>
        <w:keepNext/>
        <w:tabs>
          <w:tab w:val="clear" w:pos="1260"/>
        </w:tabs>
        <w:rPr>
          <w:b/>
        </w:rPr>
      </w:pPr>
      <w:r w:rsidRPr="00D97B2B">
        <w:t>7</w:t>
      </w:r>
      <w:r>
        <w:t>.</w:t>
      </w:r>
      <w:r>
        <w:rPr>
          <w:b/>
        </w:rPr>
        <w:t xml:space="preserve">                  Risk Management Implications</w:t>
      </w:r>
    </w:p>
    <w:p w:rsidR="00EF3AFF" w:rsidRDefault="00EF3AFF" w:rsidP="00C37CBD">
      <w:pPr>
        <w:ind w:left="1260" w:hanging="1260"/>
      </w:pPr>
      <w:r>
        <w:rPr>
          <w:b/>
          <w:i/>
          <w:color w:val="008000"/>
        </w:rPr>
        <w:tab/>
      </w:r>
    </w:p>
    <w:p w:rsidR="00EF3AFF" w:rsidRDefault="00EF3AFF" w:rsidP="00C37CBD">
      <w:pPr>
        <w:ind w:left="1276" w:hanging="1276"/>
      </w:pPr>
      <w:r>
        <w:t>7.1</w:t>
      </w:r>
      <w:r>
        <w:tab/>
        <w:t>There are no risks to the Council in agreeing the recommendations.</w:t>
      </w:r>
    </w:p>
    <w:p w:rsidR="00EF3AFF" w:rsidRDefault="00EF3AFF" w:rsidP="00C37CBD"/>
    <w:p w:rsidR="00EF3AFF" w:rsidRDefault="00EF3AFF" w:rsidP="00C37CBD">
      <w:pPr>
        <w:ind w:left="1260" w:hanging="1260"/>
        <w:rPr>
          <w:i/>
        </w:rPr>
      </w:pPr>
      <w:r>
        <w:t>7.2</w:t>
      </w:r>
      <w:r>
        <w:tab/>
      </w:r>
      <w:r w:rsidRPr="00466E0D">
        <w:rPr>
          <w:i/>
        </w:rPr>
        <w:t xml:space="preserve">The following table gives the risks if the recommendations are rejected, together with a scored assessment of their impact and likelihood: </w:t>
      </w:r>
    </w:p>
    <w:p w:rsidR="00EF3AFF" w:rsidRPr="00466E0D" w:rsidRDefault="00EF3AFF" w:rsidP="00C37CBD">
      <w:pPr>
        <w:ind w:left="1260" w:hanging="1260"/>
        <w:rPr>
          <w:i/>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056"/>
        <w:gridCol w:w="1170"/>
        <w:gridCol w:w="1350"/>
      </w:tblGrid>
      <w:tr w:rsidR="00EF3AFF" w:rsidRPr="00466E0D" w:rsidTr="00D82603">
        <w:tc>
          <w:tcPr>
            <w:tcW w:w="5384" w:type="dxa"/>
            <w:gridSpan w:val="2"/>
          </w:tcPr>
          <w:p w:rsidR="00EF3AFF" w:rsidRPr="00466E0D" w:rsidRDefault="00EF3AFF" w:rsidP="00D82603">
            <w:pPr>
              <w:jc w:val="center"/>
              <w:rPr>
                <w:i/>
                <w:sz w:val="20"/>
              </w:rPr>
            </w:pPr>
            <w:r w:rsidRPr="00466E0D">
              <w:rPr>
                <w:i/>
                <w:sz w:val="20"/>
              </w:rPr>
              <w:t>Description of Risk</w:t>
            </w:r>
          </w:p>
        </w:tc>
        <w:tc>
          <w:tcPr>
            <w:tcW w:w="1170" w:type="dxa"/>
          </w:tcPr>
          <w:p w:rsidR="00EF3AFF" w:rsidRPr="00466E0D" w:rsidRDefault="00EF3AFF" w:rsidP="00D82603">
            <w:pPr>
              <w:jc w:val="center"/>
              <w:rPr>
                <w:i/>
                <w:sz w:val="20"/>
              </w:rPr>
            </w:pPr>
            <w:r w:rsidRPr="00466E0D">
              <w:rPr>
                <w:i/>
                <w:sz w:val="20"/>
              </w:rPr>
              <w:t>Impact</w:t>
            </w:r>
          </w:p>
        </w:tc>
        <w:tc>
          <w:tcPr>
            <w:tcW w:w="1350" w:type="dxa"/>
          </w:tcPr>
          <w:p w:rsidR="00EF3AFF" w:rsidRPr="00466E0D" w:rsidRDefault="00EF3AFF" w:rsidP="00D82603">
            <w:pPr>
              <w:ind w:left="34"/>
              <w:jc w:val="center"/>
              <w:rPr>
                <w:i/>
                <w:sz w:val="20"/>
              </w:rPr>
            </w:pPr>
            <w:r w:rsidRPr="00466E0D">
              <w:rPr>
                <w:i/>
                <w:sz w:val="20"/>
              </w:rPr>
              <w:t>Likelihood</w:t>
            </w:r>
          </w:p>
        </w:tc>
      </w:tr>
      <w:tr w:rsidR="00EF3AFF" w:rsidRPr="00466E0D" w:rsidTr="00D82603">
        <w:tc>
          <w:tcPr>
            <w:tcW w:w="328" w:type="dxa"/>
          </w:tcPr>
          <w:p w:rsidR="00EF3AFF" w:rsidRPr="00466E0D" w:rsidRDefault="00EF3AFF" w:rsidP="00D82603">
            <w:pPr>
              <w:jc w:val="left"/>
              <w:rPr>
                <w:i/>
                <w:sz w:val="20"/>
              </w:rPr>
            </w:pPr>
            <w:r w:rsidRPr="00466E0D">
              <w:rPr>
                <w:i/>
                <w:sz w:val="20"/>
              </w:rPr>
              <w:t>1</w:t>
            </w:r>
          </w:p>
        </w:tc>
        <w:tc>
          <w:tcPr>
            <w:tcW w:w="5056" w:type="dxa"/>
          </w:tcPr>
          <w:p w:rsidR="00EF3AFF" w:rsidRPr="00466E0D" w:rsidRDefault="00EF3AFF" w:rsidP="00D82603">
            <w:pPr>
              <w:jc w:val="left"/>
              <w:rPr>
                <w:i/>
                <w:sz w:val="20"/>
              </w:rPr>
            </w:pPr>
            <w:r w:rsidRPr="00466E0D">
              <w:rPr>
                <w:i/>
                <w:sz w:val="20"/>
              </w:rPr>
              <w:t>The Council’s Medium-Term Financial Plan would be out of date and officers would not have accurate budgets to work to.</w:t>
            </w:r>
          </w:p>
        </w:tc>
        <w:tc>
          <w:tcPr>
            <w:tcW w:w="1170" w:type="dxa"/>
          </w:tcPr>
          <w:p w:rsidR="00EF3AFF" w:rsidRPr="00466E0D" w:rsidRDefault="00EF3AFF" w:rsidP="00D82603">
            <w:pPr>
              <w:jc w:val="center"/>
              <w:rPr>
                <w:i/>
                <w:sz w:val="20"/>
              </w:rPr>
            </w:pPr>
          </w:p>
          <w:p w:rsidR="00EF3AFF" w:rsidRPr="00466E0D" w:rsidRDefault="00EF3AFF" w:rsidP="00D82603">
            <w:pPr>
              <w:jc w:val="center"/>
              <w:rPr>
                <w:i/>
                <w:sz w:val="20"/>
              </w:rPr>
            </w:pPr>
            <w:r w:rsidRPr="00466E0D">
              <w:rPr>
                <w:i/>
                <w:sz w:val="20"/>
              </w:rPr>
              <w:t>III</w:t>
            </w:r>
          </w:p>
        </w:tc>
        <w:tc>
          <w:tcPr>
            <w:tcW w:w="1350" w:type="dxa"/>
          </w:tcPr>
          <w:p w:rsidR="00EF3AFF" w:rsidRPr="00466E0D" w:rsidRDefault="00EF3AFF" w:rsidP="00D82603">
            <w:pPr>
              <w:jc w:val="center"/>
              <w:rPr>
                <w:i/>
                <w:sz w:val="20"/>
              </w:rPr>
            </w:pPr>
          </w:p>
          <w:p w:rsidR="00EF3AFF" w:rsidRPr="00466E0D" w:rsidRDefault="00EF3AFF" w:rsidP="00D82603">
            <w:pPr>
              <w:jc w:val="center"/>
              <w:rPr>
                <w:i/>
                <w:sz w:val="20"/>
              </w:rPr>
            </w:pPr>
            <w:r w:rsidRPr="00466E0D">
              <w:rPr>
                <w:i/>
                <w:sz w:val="20"/>
              </w:rPr>
              <w:t>A</w:t>
            </w:r>
          </w:p>
        </w:tc>
      </w:tr>
    </w:tbl>
    <w:p w:rsidR="00EF3AFF" w:rsidRDefault="00EF3AFF" w:rsidP="00C37CBD"/>
    <w:p w:rsidR="00EF3AFF" w:rsidRDefault="00EF3AFF" w:rsidP="00C37CBD">
      <w:pPr>
        <w:ind w:left="1276" w:hanging="1276"/>
      </w:pPr>
      <w:r>
        <w:t>7.3</w:t>
      </w:r>
      <w:r>
        <w:tab/>
        <w:t xml:space="preserve">The Council has determined its aversion to risk and is prepared to tolerate risks where the combination of impact and likelihood are plotted in the shaded area of the matrix. The remaining risks require a treatment plan. </w:t>
      </w:r>
      <w:r w:rsidRPr="00A36804">
        <w:t xml:space="preserve">The risk </w:t>
      </w:r>
      <w:r>
        <w:t>is</w:t>
      </w:r>
      <w:r w:rsidRPr="00A36804">
        <w:t xml:space="preserve"> managed within the </w:t>
      </w:r>
      <w:r>
        <w:t>Finance services s</w:t>
      </w:r>
      <w:r w:rsidRPr="00A36804">
        <w:t xml:space="preserve">ervice </w:t>
      </w:r>
      <w:r>
        <w:t>p</w:t>
      </w:r>
      <w:r w:rsidRPr="00A36804">
        <w:t>lan</w:t>
      </w:r>
      <w:r>
        <w:t>.</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08"/>
      </w:tblGrid>
      <w:tr w:rsidR="00EF3AFF" w:rsidTr="00D82603">
        <w:trPr>
          <w:cantSplit/>
        </w:trPr>
        <w:tc>
          <w:tcPr>
            <w:tcW w:w="645" w:type="dxa"/>
            <w:vMerge w:val="restart"/>
            <w:textDirection w:val="btLr"/>
          </w:tcPr>
          <w:p w:rsidR="00EF3AFF" w:rsidRDefault="00BD4CB8" w:rsidP="00D82603">
            <w:pPr>
              <w:keepNext/>
              <w:keepLines/>
              <w:ind w:left="113" w:right="113"/>
              <w:jc w:val="center"/>
              <w:rPr>
                <w:b/>
                <w:szCs w:val="22"/>
              </w:rPr>
            </w:pPr>
            <w:r>
              <w:rPr>
                <w:noProof/>
              </w:rPr>
              <w:lastRenderedPageBreak/>
              <w:pict>
                <v:line id="Line 4" o:spid="_x0000_s1026" style="position:absolute;left:0;text-align:left;flip:y;z-index:251658240;visibility:visible" from="87.85pt,8.5pt" to="87.8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" o:allowincell="f">
                  <v:stroke endarrow="block"/>
                </v:line>
              </w:pict>
            </w:r>
            <w:r>
              <w:rPr>
                <w:noProof/>
              </w:rPr>
              <w:pict>
                <v:line id="Line 5" o:spid="_x0000_s1027" style="position:absolute;left:0;text-align:left;z-index:251659264;visibility:visible" from="102.25pt,109.3pt" to="282.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" o:allowincell="f">
                  <v:stroke endarrow="block"/>
                </v:line>
              </w:pict>
            </w:r>
            <w:r w:rsidR="00EF3AFF">
              <w:rPr>
                <w:b/>
                <w:szCs w:val="22"/>
              </w:rPr>
              <w:t>Likelihood</w:t>
            </w:r>
          </w:p>
        </w:tc>
        <w:tc>
          <w:tcPr>
            <w:tcW w:w="452" w:type="dxa"/>
          </w:tcPr>
          <w:p w:rsidR="00EF3AFF" w:rsidRDefault="00EF3AFF" w:rsidP="00D82603">
            <w:pPr>
              <w:keepNext/>
              <w:keepLines/>
            </w:pPr>
            <w:r>
              <w:t>A</w:t>
            </w:r>
          </w:p>
        </w:tc>
        <w:tc>
          <w:tcPr>
            <w:tcW w:w="723" w:type="dxa"/>
            <w:shd w:val="pct15" w:color="auto" w:fill="FFFFFF"/>
          </w:tcPr>
          <w:p w:rsidR="00EF3AFF" w:rsidRDefault="00EF3AFF" w:rsidP="00D82603">
            <w:pPr>
              <w:keepNext/>
              <w:keepLines/>
            </w:pPr>
          </w:p>
        </w:tc>
        <w:tc>
          <w:tcPr>
            <w:tcW w:w="723" w:type="dxa"/>
          </w:tcPr>
          <w:p w:rsidR="00EF3AFF" w:rsidRDefault="00EF3AFF" w:rsidP="00D82603">
            <w:pPr>
              <w:keepNext/>
              <w:keepLines/>
            </w:pPr>
          </w:p>
        </w:tc>
        <w:tc>
          <w:tcPr>
            <w:tcW w:w="724" w:type="dxa"/>
          </w:tcPr>
          <w:p w:rsidR="00EF3AFF" w:rsidRDefault="00EF3AFF" w:rsidP="00D82603">
            <w:pPr>
              <w:keepNext/>
              <w:keepLines/>
            </w:pPr>
            <w:r>
              <w:t>1</w:t>
            </w:r>
          </w:p>
        </w:tc>
        <w:tc>
          <w:tcPr>
            <w:tcW w:w="723" w:type="dxa"/>
          </w:tcPr>
          <w:p w:rsidR="00EF3AFF" w:rsidRDefault="00EF3AFF" w:rsidP="00D82603">
            <w:pPr>
              <w:keepNext/>
              <w:keepLines/>
              <w:jc w:val="center"/>
            </w:pPr>
          </w:p>
        </w:tc>
        <w:tc>
          <w:tcPr>
            <w:tcW w:w="724" w:type="dxa"/>
          </w:tcPr>
          <w:p w:rsidR="00EF3AFF" w:rsidRDefault="00EF3AFF" w:rsidP="00D82603">
            <w:pPr>
              <w:keepNext/>
              <w:keepLines/>
              <w:jc w:val="center"/>
            </w:pPr>
          </w:p>
        </w:tc>
        <w:tc>
          <w:tcPr>
            <w:tcW w:w="1508" w:type="dxa"/>
            <w:tcBorders>
              <w:top w:val="nil"/>
              <w:bottom w:val="nil"/>
              <w:right w:val="nil"/>
            </w:tcBorders>
          </w:tcPr>
          <w:p w:rsidR="00EF3AFF" w:rsidRDefault="00EF3AFF" w:rsidP="00D82603">
            <w:pPr>
              <w:keepNext/>
              <w:keepLines/>
              <w:rPr>
                <w:sz w:val="16"/>
              </w:rPr>
            </w:pPr>
            <w:r>
              <w:rPr>
                <w:sz w:val="16"/>
              </w:rPr>
              <w:t>Impact</w:t>
            </w:r>
          </w:p>
        </w:tc>
        <w:tc>
          <w:tcPr>
            <w:tcW w:w="1608" w:type="dxa"/>
            <w:tcBorders>
              <w:top w:val="nil"/>
              <w:left w:val="nil"/>
              <w:bottom w:val="nil"/>
              <w:right w:val="nil"/>
            </w:tcBorders>
          </w:tcPr>
          <w:p w:rsidR="00EF3AFF" w:rsidRDefault="00EF3AFF" w:rsidP="00D82603">
            <w:pPr>
              <w:keepNext/>
              <w:keepLines/>
              <w:rPr>
                <w:sz w:val="16"/>
              </w:rPr>
            </w:pPr>
            <w:r>
              <w:rPr>
                <w:sz w:val="16"/>
              </w:rPr>
              <w:t>Likelihood</w:t>
            </w:r>
          </w:p>
        </w:tc>
      </w:tr>
      <w:tr w:rsidR="00EF3AFF" w:rsidTr="00D82603">
        <w:trPr>
          <w:cantSplit/>
        </w:trPr>
        <w:tc>
          <w:tcPr>
            <w:tcW w:w="645" w:type="dxa"/>
            <w:vMerge/>
          </w:tcPr>
          <w:p w:rsidR="00EF3AFF" w:rsidRDefault="00EF3AFF" w:rsidP="00D82603">
            <w:pPr>
              <w:keepNext/>
              <w:keepLines/>
            </w:pPr>
          </w:p>
        </w:tc>
        <w:tc>
          <w:tcPr>
            <w:tcW w:w="452" w:type="dxa"/>
          </w:tcPr>
          <w:p w:rsidR="00EF3AFF" w:rsidRDefault="00EF3AFF" w:rsidP="00D82603">
            <w:pPr>
              <w:keepNext/>
              <w:keepLines/>
            </w:pPr>
            <w:r>
              <w:t>B</w:t>
            </w:r>
          </w:p>
        </w:tc>
        <w:tc>
          <w:tcPr>
            <w:tcW w:w="723" w:type="dxa"/>
            <w:shd w:val="pct15" w:color="auto" w:fill="FFFFFF"/>
          </w:tcPr>
          <w:p w:rsidR="00EF3AFF" w:rsidRDefault="00EF3AFF" w:rsidP="00D82603">
            <w:pPr>
              <w:keepNext/>
              <w:keepLines/>
            </w:pPr>
          </w:p>
        </w:tc>
        <w:tc>
          <w:tcPr>
            <w:tcW w:w="723" w:type="dxa"/>
          </w:tcPr>
          <w:p w:rsidR="00EF3AFF" w:rsidRDefault="00EF3AFF" w:rsidP="00D82603">
            <w:pPr>
              <w:keepNext/>
              <w:keepLines/>
            </w:pPr>
          </w:p>
        </w:tc>
        <w:tc>
          <w:tcPr>
            <w:tcW w:w="724" w:type="dxa"/>
          </w:tcPr>
          <w:p w:rsidR="00EF3AFF" w:rsidRDefault="00EF3AFF" w:rsidP="00D82603">
            <w:pPr>
              <w:keepNext/>
              <w:keepLines/>
            </w:pPr>
          </w:p>
        </w:tc>
        <w:tc>
          <w:tcPr>
            <w:tcW w:w="723" w:type="dxa"/>
          </w:tcPr>
          <w:p w:rsidR="00EF3AFF" w:rsidRDefault="00EF3AFF" w:rsidP="00D82603">
            <w:pPr>
              <w:keepNext/>
              <w:keepLines/>
              <w:jc w:val="center"/>
            </w:pPr>
          </w:p>
        </w:tc>
        <w:tc>
          <w:tcPr>
            <w:tcW w:w="724" w:type="dxa"/>
          </w:tcPr>
          <w:p w:rsidR="00EF3AFF" w:rsidRDefault="00EF3AFF" w:rsidP="00D82603">
            <w:pPr>
              <w:keepNext/>
              <w:keepLines/>
              <w:jc w:val="center"/>
            </w:pPr>
          </w:p>
        </w:tc>
        <w:tc>
          <w:tcPr>
            <w:tcW w:w="1508" w:type="dxa"/>
            <w:tcBorders>
              <w:top w:val="nil"/>
              <w:bottom w:val="nil"/>
              <w:right w:val="nil"/>
            </w:tcBorders>
          </w:tcPr>
          <w:p w:rsidR="00EF3AFF" w:rsidRDefault="00EF3AFF" w:rsidP="00D82603">
            <w:pPr>
              <w:keepNext/>
              <w:keepLines/>
              <w:rPr>
                <w:sz w:val="16"/>
              </w:rPr>
            </w:pPr>
            <w:r>
              <w:rPr>
                <w:sz w:val="16"/>
              </w:rPr>
              <w:t>V = Catastrophic</w:t>
            </w:r>
          </w:p>
        </w:tc>
        <w:tc>
          <w:tcPr>
            <w:tcW w:w="1608" w:type="dxa"/>
            <w:tcBorders>
              <w:top w:val="nil"/>
              <w:left w:val="nil"/>
              <w:bottom w:val="nil"/>
              <w:right w:val="nil"/>
            </w:tcBorders>
          </w:tcPr>
          <w:p w:rsidR="00EF3AFF" w:rsidRDefault="00EF3AFF" w:rsidP="00D82603">
            <w:pPr>
              <w:keepNext/>
              <w:keepLines/>
              <w:rPr>
                <w:sz w:val="16"/>
              </w:rPr>
            </w:pPr>
            <w:r>
              <w:rPr>
                <w:sz w:val="16"/>
              </w:rPr>
              <w:t>A = &gt;98%</w:t>
            </w:r>
          </w:p>
        </w:tc>
      </w:tr>
      <w:tr w:rsidR="00EF3AFF" w:rsidTr="00D82603">
        <w:trPr>
          <w:cantSplit/>
        </w:trPr>
        <w:tc>
          <w:tcPr>
            <w:tcW w:w="645" w:type="dxa"/>
            <w:vMerge/>
          </w:tcPr>
          <w:p w:rsidR="00EF3AFF" w:rsidRDefault="00EF3AFF" w:rsidP="00D82603">
            <w:pPr>
              <w:keepNext/>
              <w:keepLines/>
            </w:pPr>
          </w:p>
        </w:tc>
        <w:tc>
          <w:tcPr>
            <w:tcW w:w="452" w:type="dxa"/>
          </w:tcPr>
          <w:p w:rsidR="00EF3AFF" w:rsidRDefault="00EF3AFF" w:rsidP="00D82603">
            <w:pPr>
              <w:keepNext/>
              <w:keepLines/>
            </w:pPr>
            <w:r>
              <w:t>C</w:t>
            </w:r>
          </w:p>
        </w:tc>
        <w:tc>
          <w:tcPr>
            <w:tcW w:w="723" w:type="dxa"/>
            <w:shd w:val="pct15" w:color="auto" w:fill="FFFFFF"/>
          </w:tcPr>
          <w:p w:rsidR="00EF3AFF" w:rsidRDefault="00EF3AFF" w:rsidP="00D82603">
            <w:pPr>
              <w:keepNext/>
              <w:keepLines/>
            </w:pPr>
          </w:p>
        </w:tc>
        <w:tc>
          <w:tcPr>
            <w:tcW w:w="723" w:type="dxa"/>
          </w:tcPr>
          <w:p w:rsidR="00EF3AFF" w:rsidRDefault="00EF3AFF" w:rsidP="00D82603">
            <w:pPr>
              <w:keepNext/>
              <w:keepLines/>
            </w:pPr>
          </w:p>
        </w:tc>
        <w:tc>
          <w:tcPr>
            <w:tcW w:w="724" w:type="dxa"/>
          </w:tcPr>
          <w:p w:rsidR="00EF3AFF" w:rsidRDefault="00EF3AFF" w:rsidP="00D82603">
            <w:pPr>
              <w:keepNext/>
              <w:keepLines/>
            </w:pPr>
          </w:p>
        </w:tc>
        <w:tc>
          <w:tcPr>
            <w:tcW w:w="723" w:type="dxa"/>
          </w:tcPr>
          <w:p w:rsidR="00EF3AFF" w:rsidRDefault="00EF3AFF" w:rsidP="00D82603">
            <w:pPr>
              <w:keepNext/>
              <w:keepLines/>
              <w:jc w:val="center"/>
            </w:pPr>
          </w:p>
        </w:tc>
        <w:tc>
          <w:tcPr>
            <w:tcW w:w="724" w:type="dxa"/>
          </w:tcPr>
          <w:p w:rsidR="00EF3AFF" w:rsidRDefault="00EF3AFF" w:rsidP="00D82603">
            <w:pPr>
              <w:keepNext/>
              <w:keepLines/>
              <w:jc w:val="center"/>
            </w:pPr>
          </w:p>
        </w:tc>
        <w:tc>
          <w:tcPr>
            <w:tcW w:w="1508" w:type="dxa"/>
            <w:tcBorders>
              <w:top w:val="nil"/>
              <w:bottom w:val="nil"/>
              <w:right w:val="nil"/>
            </w:tcBorders>
          </w:tcPr>
          <w:p w:rsidR="00EF3AFF" w:rsidRDefault="00EF3AFF" w:rsidP="00D82603">
            <w:pPr>
              <w:keepNext/>
              <w:keepLines/>
              <w:rPr>
                <w:sz w:val="16"/>
              </w:rPr>
            </w:pPr>
            <w:r>
              <w:rPr>
                <w:sz w:val="16"/>
              </w:rPr>
              <w:t>IV = Critical</w:t>
            </w:r>
          </w:p>
        </w:tc>
        <w:tc>
          <w:tcPr>
            <w:tcW w:w="1608" w:type="dxa"/>
            <w:tcBorders>
              <w:top w:val="nil"/>
              <w:left w:val="nil"/>
              <w:bottom w:val="nil"/>
              <w:right w:val="nil"/>
            </w:tcBorders>
          </w:tcPr>
          <w:p w:rsidR="00EF3AFF" w:rsidRDefault="00EF3AFF" w:rsidP="00D82603">
            <w:pPr>
              <w:keepNext/>
              <w:keepLines/>
              <w:rPr>
                <w:sz w:val="16"/>
              </w:rPr>
            </w:pPr>
            <w:r>
              <w:rPr>
                <w:sz w:val="16"/>
              </w:rPr>
              <w:t>B = 75% - 97%</w:t>
            </w:r>
          </w:p>
        </w:tc>
      </w:tr>
      <w:tr w:rsidR="00EF3AFF" w:rsidTr="00D82603">
        <w:trPr>
          <w:cantSplit/>
        </w:trPr>
        <w:tc>
          <w:tcPr>
            <w:tcW w:w="645" w:type="dxa"/>
            <w:vMerge/>
          </w:tcPr>
          <w:p w:rsidR="00EF3AFF" w:rsidRDefault="00EF3AFF" w:rsidP="00D82603">
            <w:pPr>
              <w:keepNext/>
              <w:keepLines/>
            </w:pPr>
          </w:p>
        </w:tc>
        <w:tc>
          <w:tcPr>
            <w:tcW w:w="452" w:type="dxa"/>
          </w:tcPr>
          <w:p w:rsidR="00EF3AFF" w:rsidRDefault="00EF3AFF" w:rsidP="00D82603">
            <w:pPr>
              <w:keepNext/>
              <w:keepLines/>
            </w:pPr>
            <w:r>
              <w:t>D</w:t>
            </w:r>
          </w:p>
        </w:tc>
        <w:tc>
          <w:tcPr>
            <w:tcW w:w="723" w:type="dxa"/>
            <w:shd w:val="pct15" w:color="auto" w:fill="FFFFFF"/>
          </w:tcPr>
          <w:p w:rsidR="00EF3AFF" w:rsidRDefault="00EF3AFF" w:rsidP="00D82603">
            <w:pPr>
              <w:keepNext/>
              <w:keepLines/>
            </w:pPr>
          </w:p>
        </w:tc>
        <w:tc>
          <w:tcPr>
            <w:tcW w:w="723" w:type="dxa"/>
            <w:shd w:val="pct15" w:color="auto" w:fill="FFFFFF"/>
          </w:tcPr>
          <w:p w:rsidR="00EF3AFF" w:rsidRDefault="00EF3AFF" w:rsidP="00D82603">
            <w:pPr>
              <w:keepNext/>
              <w:keepLines/>
            </w:pPr>
          </w:p>
        </w:tc>
        <w:tc>
          <w:tcPr>
            <w:tcW w:w="724" w:type="dxa"/>
          </w:tcPr>
          <w:p w:rsidR="00EF3AFF" w:rsidRDefault="00EF3AFF" w:rsidP="00D82603">
            <w:pPr>
              <w:keepNext/>
              <w:keepLines/>
            </w:pPr>
          </w:p>
        </w:tc>
        <w:tc>
          <w:tcPr>
            <w:tcW w:w="723" w:type="dxa"/>
          </w:tcPr>
          <w:p w:rsidR="00EF3AFF" w:rsidRDefault="00EF3AFF" w:rsidP="00D82603">
            <w:pPr>
              <w:keepNext/>
              <w:keepLines/>
              <w:jc w:val="center"/>
            </w:pPr>
          </w:p>
        </w:tc>
        <w:tc>
          <w:tcPr>
            <w:tcW w:w="724" w:type="dxa"/>
          </w:tcPr>
          <w:p w:rsidR="00EF3AFF" w:rsidRDefault="00EF3AFF" w:rsidP="00D82603">
            <w:pPr>
              <w:keepNext/>
              <w:keepLines/>
              <w:jc w:val="center"/>
            </w:pPr>
          </w:p>
        </w:tc>
        <w:tc>
          <w:tcPr>
            <w:tcW w:w="1508" w:type="dxa"/>
            <w:tcBorders>
              <w:top w:val="nil"/>
              <w:bottom w:val="nil"/>
              <w:right w:val="nil"/>
            </w:tcBorders>
          </w:tcPr>
          <w:p w:rsidR="00EF3AFF" w:rsidRDefault="00EF3AFF" w:rsidP="00D82603">
            <w:pPr>
              <w:keepNext/>
              <w:keepLines/>
              <w:rPr>
                <w:sz w:val="16"/>
              </w:rPr>
            </w:pPr>
            <w:r>
              <w:rPr>
                <w:sz w:val="16"/>
              </w:rPr>
              <w:t>III = Significant</w:t>
            </w:r>
          </w:p>
        </w:tc>
        <w:tc>
          <w:tcPr>
            <w:tcW w:w="1608" w:type="dxa"/>
            <w:tcBorders>
              <w:top w:val="nil"/>
              <w:left w:val="nil"/>
              <w:bottom w:val="nil"/>
              <w:right w:val="nil"/>
            </w:tcBorders>
          </w:tcPr>
          <w:p w:rsidR="00EF3AFF" w:rsidRDefault="00EF3AFF" w:rsidP="00D82603">
            <w:pPr>
              <w:keepNext/>
              <w:keepLines/>
              <w:rPr>
                <w:sz w:val="16"/>
              </w:rPr>
            </w:pPr>
            <w:r>
              <w:rPr>
                <w:sz w:val="16"/>
              </w:rPr>
              <w:t>C = 50% - 74%</w:t>
            </w:r>
          </w:p>
        </w:tc>
      </w:tr>
      <w:tr w:rsidR="00EF3AFF" w:rsidTr="00D82603">
        <w:trPr>
          <w:cantSplit/>
        </w:trPr>
        <w:tc>
          <w:tcPr>
            <w:tcW w:w="645" w:type="dxa"/>
            <w:vMerge/>
          </w:tcPr>
          <w:p w:rsidR="00EF3AFF" w:rsidRDefault="00EF3AFF" w:rsidP="00D82603">
            <w:pPr>
              <w:keepNext/>
              <w:keepLines/>
            </w:pPr>
          </w:p>
        </w:tc>
        <w:tc>
          <w:tcPr>
            <w:tcW w:w="452" w:type="dxa"/>
          </w:tcPr>
          <w:p w:rsidR="00EF3AFF" w:rsidRDefault="00EF3AFF" w:rsidP="00D82603">
            <w:pPr>
              <w:keepNext/>
              <w:keepLines/>
            </w:pPr>
            <w:r>
              <w:t>E</w:t>
            </w:r>
          </w:p>
        </w:tc>
        <w:tc>
          <w:tcPr>
            <w:tcW w:w="723" w:type="dxa"/>
            <w:shd w:val="pct15" w:color="auto" w:fill="FFFFFF"/>
          </w:tcPr>
          <w:p w:rsidR="00EF3AFF" w:rsidRDefault="00EF3AFF" w:rsidP="00D82603">
            <w:pPr>
              <w:keepNext/>
              <w:keepLines/>
            </w:pPr>
          </w:p>
        </w:tc>
        <w:tc>
          <w:tcPr>
            <w:tcW w:w="723" w:type="dxa"/>
            <w:shd w:val="pct15" w:color="auto" w:fill="FFFFFF"/>
          </w:tcPr>
          <w:p w:rsidR="00EF3AFF" w:rsidRDefault="00EF3AFF" w:rsidP="00D82603">
            <w:pPr>
              <w:keepNext/>
              <w:keepLines/>
            </w:pPr>
          </w:p>
        </w:tc>
        <w:tc>
          <w:tcPr>
            <w:tcW w:w="724" w:type="dxa"/>
          </w:tcPr>
          <w:p w:rsidR="00EF3AFF" w:rsidRDefault="00EF3AFF" w:rsidP="00D82603">
            <w:pPr>
              <w:keepNext/>
              <w:keepLines/>
            </w:pPr>
          </w:p>
        </w:tc>
        <w:tc>
          <w:tcPr>
            <w:tcW w:w="723" w:type="dxa"/>
          </w:tcPr>
          <w:p w:rsidR="00EF3AFF" w:rsidRDefault="00EF3AFF" w:rsidP="00D82603">
            <w:pPr>
              <w:keepNext/>
              <w:keepLines/>
              <w:jc w:val="center"/>
            </w:pPr>
          </w:p>
        </w:tc>
        <w:tc>
          <w:tcPr>
            <w:tcW w:w="724" w:type="dxa"/>
          </w:tcPr>
          <w:p w:rsidR="00EF3AFF" w:rsidRDefault="00EF3AFF" w:rsidP="00D82603">
            <w:pPr>
              <w:keepNext/>
              <w:keepLines/>
              <w:jc w:val="center"/>
            </w:pPr>
          </w:p>
        </w:tc>
        <w:tc>
          <w:tcPr>
            <w:tcW w:w="1508" w:type="dxa"/>
            <w:tcBorders>
              <w:top w:val="nil"/>
              <w:bottom w:val="nil"/>
              <w:right w:val="nil"/>
            </w:tcBorders>
          </w:tcPr>
          <w:p w:rsidR="00EF3AFF" w:rsidRDefault="00EF3AFF" w:rsidP="00D82603">
            <w:pPr>
              <w:keepNext/>
              <w:keepLines/>
              <w:rPr>
                <w:sz w:val="16"/>
              </w:rPr>
            </w:pPr>
            <w:r>
              <w:rPr>
                <w:sz w:val="16"/>
              </w:rPr>
              <w:t>II = Marginal</w:t>
            </w:r>
          </w:p>
        </w:tc>
        <w:tc>
          <w:tcPr>
            <w:tcW w:w="1608" w:type="dxa"/>
            <w:tcBorders>
              <w:top w:val="nil"/>
              <w:left w:val="nil"/>
              <w:bottom w:val="nil"/>
              <w:right w:val="nil"/>
            </w:tcBorders>
          </w:tcPr>
          <w:p w:rsidR="00EF3AFF" w:rsidRDefault="00EF3AFF" w:rsidP="00D82603">
            <w:pPr>
              <w:keepNext/>
              <w:keepLines/>
              <w:rPr>
                <w:sz w:val="16"/>
              </w:rPr>
            </w:pPr>
            <w:r>
              <w:rPr>
                <w:sz w:val="16"/>
              </w:rPr>
              <w:t>D = 25% - 49%</w:t>
            </w:r>
          </w:p>
        </w:tc>
      </w:tr>
      <w:tr w:rsidR="00EF3AFF" w:rsidTr="00D82603">
        <w:trPr>
          <w:cantSplit/>
        </w:trPr>
        <w:tc>
          <w:tcPr>
            <w:tcW w:w="645" w:type="dxa"/>
            <w:vMerge/>
          </w:tcPr>
          <w:p w:rsidR="00EF3AFF" w:rsidRDefault="00EF3AFF" w:rsidP="00D82603">
            <w:pPr>
              <w:keepNext/>
              <w:keepLines/>
            </w:pPr>
          </w:p>
        </w:tc>
        <w:tc>
          <w:tcPr>
            <w:tcW w:w="452" w:type="dxa"/>
          </w:tcPr>
          <w:p w:rsidR="00EF3AFF" w:rsidRDefault="00EF3AFF" w:rsidP="00D82603">
            <w:pPr>
              <w:keepNext/>
              <w:keepLines/>
            </w:pPr>
            <w:r>
              <w:t>F</w:t>
            </w:r>
          </w:p>
        </w:tc>
        <w:tc>
          <w:tcPr>
            <w:tcW w:w="723" w:type="dxa"/>
            <w:shd w:val="pct15" w:color="auto" w:fill="FFFFFF"/>
          </w:tcPr>
          <w:p w:rsidR="00EF3AFF" w:rsidRDefault="00EF3AFF" w:rsidP="00D82603">
            <w:pPr>
              <w:keepNext/>
              <w:keepLines/>
            </w:pPr>
          </w:p>
        </w:tc>
        <w:tc>
          <w:tcPr>
            <w:tcW w:w="723" w:type="dxa"/>
            <w:shd w:val="pct15" w:color="auto" w:fill="FFFFFF"/>
          </w:tcPr>
          <w:p w:rsidR="00EF3AFF" w:rsidRDefault="00EF3AFF" w:rsidP="00D82603">
            <w:pPr>
              <w:keepNext/>
              <w:keepLines/>
            </w:pPr>
          </w:p>
        </w:tc>
        <w:tc>
          <w:tcPr>
            <w:tcW w:w="724" w:type="dxa"/>
            <w:shd w:val="pct15" w:color="auto" w:fill="FFFFFF"/>
          </w:tcPr>
          <w:p w:rsidR="00EF3AFF" w:rsidRDefault="00EF3AFF" w:rsidP="00D82603">
            <w:pPr>
              <w:keepNext/>
              <w:keepLines/>
            </w:pPr>
          </w:p>
        </w:tc>
        <w:tc>
          <w:tcPr>
            <w:tcW w:w="723" w:type="dxa"/>
          </w:tcPr>
          <w:p w:rsidR="00EF3AFF" w:rsidRDefault="00EF3AFF" w:rsidP="00D82603">
            <w:pPr>
              <w:keepNext/>
              <w:keepLines/>
              <w:jc w:val="center"/>
            </w:pPr>
          </w:p>
        </w:tc>
        <w:tc>
          <w:tcPr>
            <w:tcW w:w="724" w:type="dxa"/>
          </w:tcPr>
          <w:p w:rsidR="00EF3AFF" w:rsidRDefault="00EF3AFF" w:rsidP="00D82603">
            <w:pPr>
              <w:keepNext/>
              <w:keepLines/>
              <w:jc w:val="center"/>
            </w:pPr>
          </w:p>
        </w:tc>
        <w:tc>
          <w:tcPr>
            <w:tcW w:w="1508" w:type="dxa"/>
            <w:tcBorders>
              <w:top w:val="nil"/>
              <w:bottom w:val="nil"/>
              <w:right w:val="nil"/>
            </w:tcBorders>
          </w:tcPr>
          <w:p w:rsidR="00EF3AFF" w:rsidRDefault="00EF3AFF" w:rsidP="00D82603">
            <w:pPr>
              <w:keepNext/>
              <w:keepLines/>
              <w:rPr>
                <w:sz w:val="16"/>
              </w:rPr>
            </w:pPr>
            <w:r>
              <w:rPr>
                <w:sz w:val="16"/>
              </w:rPr>
              <w:t>I = Negligible</w:t>
            </w:r>
          </w:p>
        </w:tc>
        <w:tc>
          <w:tcPr>
            <w:tcW w:w="1608" w:type="dxa"/>
            <w:tcBorders>
              <w:top w:val="nil"/>
              <w:left w:val="nil"/>
              <w:bottom w:val="nil"/>
              <w:right w:val="nil"/>
            </w:tcBorders>
          </w:tcPr>
          <w:p w:rsidR="00EF3AFF" w:rsidRDefault="00EF3AFF" w:rsidP="00D82603">
            <w:pPr>
              <w:keepNext/>
              <w:keepLines/>
              <w:rPr>
                <w:sz w:val="16"/>
              </w:rPr>
            </w:pPr>
            <w:r>
              <w:rPr>
                <w:sz w:val="16"/>
              </w:rPr>
              <w:t>E = 3% - 24%</w:t>
            </w:r>
          </w:p>
        </w:tc>
      </w:tr>
      <w:tr w:rsidR="00EF3AFF" w:rsidTr="00D82603">
        <w:trPr>
          <w:cantSplit/>
        </w:trPr>
        <w:tc>
          <w:tcPr>
            <w:tcW w:w="645" w:type="dxa"/>
            <w:vMerge/>
          </w:tcPr>
          <w:p w:rsidR="00EF3AFF" w:rsidRDefault="00EF3AFF" w:rsidP="00D82603">
            <w:pPr>
              <w:keepNext/>
              <w:keepLines/>
            </w:pPr>
          </w:p>
        </w:tc>
        <w:tc>
          <w:tcPr>
            <w:tcW w:w="452" w:type="dxa"/>
          </w:tcPr>
          <w:p w:rsidR="00EF3AFF" w:rsidRDefault="00EF3AFF" w:rsidP="00D82603">
            <w:pPr>
              <w:keepNext/>
              <w:keepLines/>
            </w:pPr>
          </w:p>
        </w:tc>
        <w:tc>
          <w:tcPr>
            <w:tcW w:w="723" w:type="dxa"/>
          </w:tcPr>
          <w:p w:rsidR="00EF3AFF" w:rsidRDefault="00EF3AFF" w:rsidP="00D82603">
            <w:pPr>
              <w:keepNext/>
              <w:keepLines/>
              <w:jc w:val="center"/>
            </w:pPr>
            <w:r>
              <w:t>I</w:t>
            </w:r>
          </w:p>
        </w:tc>
        <w:tc>
          <w:tcPr>
            <w:tcW w:w="723" w:type="dxa"/>
          </w:tcPr>
          <w:p w:rsidR="00EF3AFF" w:rsidRDefault="00EF3AFF" w:rsidP="00D82603">
            <w:pPr>
              <w:keepNext/>
              <w:keepLines/>
              <w:jc w:val="center"/>
            </w:pPr>
            <w:r>
              <w:t>II</w:t>
            </w:r>
          </w:p>
        </w:tc>
        <w:tc>
          <w:tcPr>
            <w:tcW w:w="724" w:type="dxa"/>
          </w:tcPr>
          <w:p w:rsidR="00EF3AFF" w:rsidRDefault="00EF3AFF" w:rsidP="00D82603">
            <w:pPr>
              <w:keepNext/>
              <w:keepLines/>
              <w:jc w:val="center"/>
            </w:pPr>
            <w:r>
              <w:t>III</w:t>
            </w:r>
          </w:p>
        </w:tc>
        <w:tc>
          <w:tcPr>
            <w:tcW w:w="723" w:type="dxa"/>
          </w:tcPr>
          <w:p w:rsidR="00EF3AFF" w:rsidRDefault="00EF3AFF" w:rsidP="00D82603">
            <w:pPr>
              <w:keepNext/>
              <w:keepLines/>
              <w:jc w:val="center"/>
            </w:pPr>
            <w:r>
              <w:t>IV</w:t>
            </w:r>
          </w:p>
        </w:tc>
        <w:tc>
          <w:tcPr>
            <w:tcW w:w="724" w:type="dxa"/>
          </w:tcPr>
          <w:p w:rsidR="00EF3AFF" w:rsidRDefault="00EF3AFF" w:rsidP="00D82603">
            <w:pPr>
              <w:keepNext/>
              <w:keepLines/>
              <w:jc w:val="center"/>
            </w:pPr>
            <w:r>
              <w:t>V</w:t>
            </w:r>
          </w:p>
        </w:tc>
        <w:tc>
          <w:tcPr>
            <w:tcW w:w="1508" w:type="dxa"/>
            <w:tcBorders>
              <w:top w:val="nil"/>
              <w:bottom w:val="nil"/>
              <w:right w:val="nil"/>
            </w:tcBorders>
          </w:tcPr>
          <w:p w:rsidR="00EF3AFF" w:rsidRDefault="00EF3AFF" w:rsidP="00D82603">
            <w:pPr>
              <w:keepNext/>
              <w:keepLines/>
            </w:pPr>
          </w:p>
        </w:tc>
        <w:tc>
          <w:tcPr>
            <w:tcW w:w="1608" w:type="dxa"/>
            <w:tcBorders>
              <w:top w:val="nil"/>
              <w:left w:val="nil"/>
              <w:bottom w:val="nil"/>
              <w:right w:val="nil"/>
            </w:tcBorders>
          </w:tcPr>
          <w:p w:rsidR="00EF3AFF" w:rsidRDefault="00EF3AFF" w:rsidP="00D82603">
            <w:pPr>
              <w:keepNext/>
              <w:keepLines/>
              <w:rPr>
                <w:sz w:val="16"/>
              </w:rPr>
            </w:pPr>
            <w:r>
              <w:rPr>
                <w:sz w:val="16"/>
              </w:rPr>
              <w:t xml:space="preserve">F = </w:t>
            </w:r>
            <w:r>
              <w:rPr>
                <w:spacing w:val="-8"/>
                <w:sz w:val="16"/>
              </w:rPr>
              <w:t xml:space="preserve"> &lt;2%</w:t>
            </w:r>
          </w:p>
        </w:tc>
      </w:tr>
      <w:tr w:rsidR="00EF3AFF" w:rsidTr="00D82603">
        <w:trPr>
          <w:cantSplit/>
          <w:trHeight w:val="420"/>
        </w:trPr>
        <w:tc>
          <w:tcPr>
            <w:tcW w:w="645" w:type="dxa"/>
            <w:vMerge/>
          </w:tcPr>
          <w:p w:rsidR="00EF3AFF" w:rsidRDefault="00EF3AFF" w:rsidP="00D82603">
            <w:pPr>
              <w:keepNext/>
              <w:keepLines/>
            </w:pPr>
          </w:p>
        </w:tc>
        <w:tc>
          <w:tcPr>
            <w:tcW w:w="4069" w:type="dxa"/>
            <w:gridSpan w:val="6"/>
          </w:tcPr>
          <w:p w:rsidR="00EF3AFF" w:rsidRDefault="00EF3AFF" w:rsidP="00D82603">
            <w:pPr>
              <w:keepNext/>
              <w:keepLines/>
              <w:spacing w:before="40"/>
              <w:jc w:val="center"/>
              <w:rPr>
                <w:b/>
                <w:szCs w:val="22"/>
              </w:rPr>
            </w:pPr>
            <w:r>
              <w:rPr>
                <w:b/>
                <w:szCs w:val="22"/>
              </w:rPr>
              <w:t>Impact</w:t>
            </w:r>
          </w:p>
          <w:p w:rsidR="00EF3AFF" w:rsidRDefault="00EF3AFF" w:rsidP="00D82603">
            <w:pPr>
              <w:keepNext/>
              <w:keepLines/>
              <w:rPr>
                <w:b/>
                <w:sz w:val="20"/>
              </w:rPr>
            </w:pPr>
          </w:p>
        </w:tc>
        <w:tc>
          <w:tcPr>
            <w:tcW w:w="1508" w:type="dxa"/>
            <w:tcBorders>
              <w:top w:val="nil"/>
              <w:bottom w:val="nil"/>
              <w:right w:val="nil"/>
            </w:tcBorders>
          </w:tcPr>
          <w:p w:rsidR="00EF3AFF" w:rsidRDefault="00EF3AFF" w:rsidP="00D82603">
            <w:pPr>
              <w:keepNext/>
              <w:keepLines/>
            </w:pPr>
          </w:p>
        </w:tc>
        <w:tc>
          <w:tcPr>
            <w:tcW w:w="1608" w:type="dxa"/>
            <w:tcBorders>
              <w:top w:val="nil"/>
              <w:left w:val="nil"/>
              <w:bottom w:val="nil"/>
              <w:right w:val="nil"/>
            </w:tcBorders>
          </w:tcPr>
          <w:p w:rsidR="00EF3AFF" w:rsidRDefault="00EF3AFF" w:rsidP="00D82603">
            <w:pPr>
              <w:keepNext/>
              <w:keepLines/>
            </w:pPr>
          </w:p>
        </w:tc>
      </w:tr>
    </w:tbl>
    <w:p w:rsidR="00EF3AFF" w:rsidRDefault="00EF3AFF" w:rsidP="00C37CBD"/>
    <w:p w:rsidR="00EF3AFF" w:rsidRDefault="00EF3AFF" w:rsidP="00C37CBD">
      <w:pPr>
        <w:keepNext/>
        <w:ind w:left="1267" w:hanging="1267"/>
      </w:pPr>
    </w:p>
    <w:p w:rsidR="00EF3AFF" w:rsidRDefault="00EF3AFF" w:rsidP="00C37CBD">
      <w:pPr>
        <w:keepNext/>
        <w:ind w:left="1267" w:hanging="1267"/>
      </w:pPr>
      <w:r>
        <w:t>8.</w:t>
      </w:r>
      <w:r>
        <w:fldChar w:fldCharType="begin"/>
      </w:r>
      <w:r>
        <w:instrText xml:space="preserve">  </w:instrText>
      </w:r>
      <w:r>
        <w:fldChar w:fldCharType="end"/>
      </w:r>
      <w:r>
        <w:tab/>
      </w:r>
      <w:r>
        <w:rPr>
          <w:b/>
        </w:rPr>
        <w:t>Recommendation</w:t>
      </w:r>
    </w:p>
    <w:p w:rsidR="00EF3AFF" w:rsidRDefault="00EF3AFF" w:rsidP="00C37CBD">
      <w:pPr>
        <w:keepNext/>
        <w:ind w:left="1267" w:hanging="1267"/>
      </w:pPr>
      <w:r>
        <w:tab/>
      </w:r>
      <w:r>
        <w:tab/>
      </w:r>
    </w:p>
    <w:p w:rsidR="00EF3AFF" w:rsidRDefault="00EF3AFF" w:rsidP="00C37CBD">
      <w:pPr>
        <w:keepNext/>
        <w:ind w:left="1267" w:hanging="1267"/>
      </w:pPr>
      <w:r>
        <w:tab/>
        <w:t>To Council:</w:t>
      </w:r>
    </w:p>
    <w:p w:rsidR="00EF3AFF" w:rsidRDefault="00EF3AFF" w:rsidP="00AB0E6E">
      <w:pPr>
        <w:keepNext/>
        <w:tabs>
          <w:tab w:val="left" w:pos="567"/>
        </w:tabs>
        <w:ind w:left="1267" w:hanging="1267"/>
      </w:pPr>
    </w:p>
    <w:p w:rsidR="00EF3AFF" w:rsidRDefault="00EF3AFF" w:rsidP="00AB0E6E">
      <w:pPr>
        <w:keepNext/>
        <w:tabs>
          <w:tab w:val="left" w:pos="567"/>
        </w:tabs>
        <w:ind w:left="1267" w:hanging="1267"/>
      </w:pPr>
      <w:r>
        <w:t xml:space="preserve">8.1  </w:t>
      </w:r>
      <w:r>
        <w:tab/>
      </w:r>
      <w:r>
        <w:tab/>
        <w:t>That the following revenue and capital budget variations be approved and incorporated into the three-year medium-term financial plan:-</w:t>
      </w:r>
    </w:p>
    <w:p w:rsidR="00EF3AFF" w:rsidRDefault="00EF3AFF" w:rsidP="00AB0E6E">
      <w:pPr>
        <w:keepNext/>
        <w:tabs>
          <w:tab w:val="left" w:pos="567"/>
        </w:tabs>
        <w:ind w:left="1267" w:hanging="1267"/>
      </w:pPr>
    </w:p>
    <w:tbl>
      <w:tblPr>
        <w:tblW w:w="7796"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275"/>
        <w:gridCol w:w="1134"/>
        <w:gridCol w:w="1134"/>
      </w:tblGrid>
      <w:tr w:rsidR="00EF3AFF" w:rsidTr="0077607D">
        <w:tc>
          <w:tcPr>
            <w:tcW w:w="4253" w:type="dxa"/>
          </w:tcPr>
          <w:p w:rsidR="00EF3AFF" w:rsidRDefault="00EF3AFF" w:rsidP="009A6723">
            <w:pPr>
              <w:widowControl w:val="0"/>
              <w:jc w:val="center"/>
              <w:rPr>
                <w:sz w:val="20"/>
              </w:rPr>
            </w:pPr>
          </w:p>
          <w:p w:rsidR="00EF3AFF" w:rsidRDefault="00EF3AFF" w:rsidP="009A6723">
            <w:pPr>
              <w:widowControl w:val="0"/>
              <w:jc w:val="center"/>
              <w:rPr>
                <w:sz w:val="20"/>
              </w:rPr>
            </w:pPr>
            <w:r>
              <w:rPr>
                <w:sz w:val="20"/>
              </w:rPr>
              <w:t>Variance</w:t>
            </w:r>
          </w:p>
        </w:tc>
        <w:tc>
          <w:tcPr>
            <w:tcW w:w="1275" w:type="dxa"/>
          </w:tcPr>
          <w:p w:rsidR="00EF3AFF" w:rsidRDefault="00EF3AFF" w:rsidP="009A6723">
            <w:pPr>
              <w:widowControl w:val="0"/>
              <w:jc w:val="center"/>
              <w:rPr>
                <w:sz w:val="20"/>
              </w:rPr>
            </w:pPr>
            <w:r>
              <w:rPr>
                <w:sz w:val="20"/>
              </w:rPr>
              <w:t>2016/17</w:t>
            </w:r>
          </w:p>
          <w:p w:rsidR="00EF3AFF" w:rsidRDefault="00EF3AFF" w:rsidP="009A6723">
            <w:pPr>
              <w:widowControl w:val="0"/>
              <w:jc w:val="center"/>
              <w:rPr>
                <w:sz w:val="20"/>
              </w:rPr>
            </w:pPr>
            <w:r>
              <w:rPr>
                <w:sz w:val="20"/>
              </w:rPr>
              <w:t>£</w:t>
            </w:r>
          </w:p>
        </w:tc>
        <w:tc>
          <w:tcPr>
            <w:tcW w:w="1134" w:type="dxa"/>
          </w:tcPr>
          <w:p w:rsidR="00EF3AFF" w:rsidRDefault="00EF3AFF" w:rsidP="009A6723">
            <w:pPr>
              <w:widowControl w:val="0"/>
              <w:jc w:val="center"/>
              <w:rPr>
                <w:sz w:val="20"/>
              </w:rPr>
            </w:pPr>
            <w:r>
              <w:rPr>
                <w:sz w:val="20"/>
              </w:rPr>
              <w:t>2017/18</w:t>
            </w:r>
          </w:p>
          <w:p w:rsidR="00EF3AFF" w:rsidRDefault="00EF3AFF" w:rsidP="009A6723">
            <w:pPr>
              <w:widowControl w:val="0"/>
              <w:jc w:val="center"/>
              <w:rPr>
                <w:sz w:val="20"/>
              </w:rPr>
            </w:pPr>
            <w:r>
              <w:rPr>
                <w:sz w:val="20"/>
              </w:rPr>
              <w:t>£</w:t>
            </w:r>
          </w:p>
        </w:tc>
        <w:tc>
          <w:tcPr>
            <w:tcW w:w="1134" w:type="dxa"/>
          </w:tcPr>
          <w:p w:rsidR="00EF3AFF" w:rsidRDefault="00EF3AFF" w:rsidP="009A6723">
            <w:pPr>
              <w:widowControl w:val="0"/>
              <w:jc w:val="center"/>
              <w:rPr>
                <w:sz w:val="20"/>
              </w:rPr>
            </w:pPr>
            <w:r>
              <w:rPr>
                <w:sz w:val="20"/>
              </w:rPr>
              <w:t>2018/19</w:t>
            </w:r>
          </w:p>
          <w:p w:rsidR="00EF3AFF" w:rsidRDefault="00EF3AFF" w:rsidP="009A6723">
            <w:pPr>
              <w:widowControl w:val="0"/>
              <w:jc w:val="center"/>
              <w:rPr>
                <w:sz w:val="20"/>
              </w:rPr>
            </w:pPr>
            <w:r>
              <w:rPr>
                <w:sz w:val="20"/>
              </w:rPr>
              <w:t>£</w:t>
            </w:r>
          </w:p>
        </w:tc>
      </w:tr>
      <w:tr w:rsidR="00EF3AFF" w:rsidTr="0077607D">
        <w:tc>
          <w:tcPr>
            <w:tcW w:w="4253" w:type="dxa"/>
          </w:tcPr>
          <w:p w:rsidR="00EF3AFF" w:rsidRDefault="00EF3AFF" w:rsidP="009A6723">
            <w:pPr>
              <w:widowControl w:val="0"/>
              <w:spacing w:before="60" w:after="60"/>
              <w:rPr>
                <w:sz w:val="20"/>
              </w:rPr>
            </w:pPr>
            <w:r w:rsidRPr="00466E0D">
              <w:rPr>
                <w:b/>
                <w:sz w:val="20"/>
              </w:rPr>
              <w:t>Revenue</w:t>
            </w:r>
            <w:r>
              <w:rPr>
                <w:b/>
                <w:sz w:val="20"/>
              </w:rPr>
              <w:t xml:space="preserve"> </w:t>
            </w:r>
            <w:r>
              <w:rPr>
                <w:sz w:val="20"/>
              </w:rPr>
              <w:t>- (Favourable )/ Unfavourable</w:t>
            </w:r>
          </w:p>
        </w:tc>
        <w:tc>
          <w:tcPr>
            <w:tcW w:w="1275" w:type="dxa"/>
            <w:shd w:val="clear" w:color="auto" w:fill="FFFFFF"/>
          </w:tcPr>
          <w:p w:rsidR="00EF3AFF" w:rsidRPr="00C7625C" w:rsidRDefault="00EF3AFF" w:rsidP="00E204D1">
            <w:pPr>
              <w:widowControl w:val="0"/>
              <w:spacing w:before="60" w:after="60"/>
              <w:jc w:val="right"/>
              <w:rPr>
                <w:sz w:val="20"/>
              </w:rPr>
            </w:pPr>
            <w:r>
              <w:rPr>
                <w:sz w:val="20"/>
              </w:rPr>
              <w:t>(45,130)</w:t>
            </w:r>
          </w:p>
        </w:tc>
        <w:tc>
          <w:tcPr>
            <w:tcW w:w="1134" w:type="dxa"/>
            <w:shd w:val="clear" w:color="auto" w:fill="FFFFFF"/>
          </w:tcPr>
          <w:p w:rsidR="00EF3AFF" w:rsidRPr="00C7625C" w:rsidRDefault="00EF3AFF" w:rsidP="009452E7">
            <w:pPr>
              <w:widowControl w:val="0"/>
              <w:spacing w:before="60" w:after="60"/>
              <w:ind w:right="7"/>
              <w:jc w:val="right"/>
              <w:rPr>
                <w:sz w:val="20"/>
              </w:rPr>
            </w:pPr>
            <w:r>
              <w:rPr>
                <w:sz w:val="20"/>
              </w:rPr>
              <w:t>(38,870)</w:t>
            </w:r>
          </w:p>
        </w:tc>
        <w:tc>
          <w:tcPr>
            <w:tcW w:w="1134" w:type="dxa"/>
            <w:shd w:val="clear" w:color="auto" w:fill="FFFFFF"/>
          </w:tcPr>
          <w:p w:rsidR="00EF3AFF" w:rsidRPr="00C7625C" w:rsidRDefault="00EF3AFF" w:rsidP="004A2B3E">
            <w:pPr>
              <w:widowControl w:val="0"/>
              <w:spacing w:before="60" w:after="60"/>
              <w:ind w:right="7"/>
              <w:jc w:val="right"/>
              <w:rPr>
                <w:sz w:val="20"/>
              </w:rPr>
            </w:pPr>
            <w:r>
              <w:rPr>
                <w:sz w:val="20"/>
              </w:rPr>
              <w:t>65,310</w:t>
            </w:r>
          </w:p>
        </w:tc>
      </w:tr>
      <w:tr w:rsidR="00EF3AFF" w:rsidTr="0077607D">
        <w:tc>
          <w:tcPr>
            <w:tcW w:w="4253" w:type="dxa"/>
          </w:tcPr>
          <w:p w:rsidR="00EF3AFF" w:rsidRDefault="00EF3AFF" w:rsidP="009A6723">
            <w:pPr>
              <w:widowControl w:val="0"/>
              <w:spacing w:before="60" w:after="60"/>
              <w:rPr>
                <w:sz w:val="20"/>
              </w:rPr>
            </w:pPr>
            <w:r>
              <w:rPr>
                <w:b/>
                <w:sz w:val="20"/>
              </w:rPr>
              <w:t>Capital</w:t>
            </w:r>
            <w:r>
              <w:rPr>
                <w:sz w:val="20"/>
              </w:rPr>
              <w:t xml:space="preserve"> - Increase / (Decrease)</w:t>
            </w:r>
          </w:p>
        </w:tc>
        <w:tc>
          <w:tcPr>
            <w:tcW w:w="1275" w:type="dxa"/>
            <w:shd w:val="clear" w:color="auto" w:fill="FFFFFF"/>
          </w:tcPr>
          <w:p w:rsidR="00EF3AFF" w:rsidRPr="00C7625C" w:rsidRDefault="00EF3AFF" w:rsidP="009A6723">
            <w:pPr>
              <w:widowControl w:val="0"/>
              <w:spacing w:before="60" w:after="60"/>
              <w:jc w:val="right"/>
              <w:rPr>
                <w:sz w:val="20"/>
              </w:rPr>
            </w:pPr>
            <w:r>
              <w:rPr>
                <w:sz w:val="20"/>
              </w:rPr>
              <w:t>(1,411,120)</w:t>
            </w:r>
          </w:p>
        </w:tc>
        <w:tc>
          <w:tcPr>
            <w:tcW w:w="1134" w:type="dxa"/>
            <w:shd w:val="clear" w:color="auto" w:fill="FFFFFF"/>
          </w:tcPr>
          <w:p w:rsidR="00EF3AFF" w:rsidRPr="00C7625C" w:rsidRDefault="00EF3AFF" w:rsidP="009A6723">
            <w:pPr>
              <w:widowControl w:val="0"/>
              <w:spacing w:before="60" w:after="60"/>
              <w:ind w:right="7"/>
              <w:jc w:val="right"/>
              <w:rPr>
                <w:sz w:val="20"/>
              </w:rPr>
            </w:pPr>
            <w:r>
              <w:rPr>
                <w:sz w:val="20"/>
              </w:rPr>
              <w:t>1,257,800</w:t>
            </w:r>
          </w:p>
        </w:tc>
        <w:tc>
          <w:tcPr>
            <w:tcW w:w="1134" w:type="dxa"/>
            <w:shd w:val="clear" w:color="auto" w:fill="FFFFFF"/>
          </w:tcPr>
          <w:p w:rsidR="00EF3AFF" w:rsidRPr="00C7625C" w:rsidRDefault="00EF3AFF" w:rsidP="009A6723">
            <w:pPr>
              <w:widowControl w:val="0"/>
              <w:spacing w:before="60" w:after="60"/>
              <w:ind w:right="7"/>
              <w:jc w:val="right"/>
              <w:rPr>
                <w:sz w:val="20"/>
              </w:rPr>
            </w:pPr>
            <w:r>
              <w:rPr>
                <w:sz w:val="20"/>
              </w:rPr>
              <w:t>317,320</w:t>
            </w:r>
          </w:p>
        </w:tc>
      </w:tr>
    </w:tbl>
    <w:p w:rsidR="00EF3AFF" w:rsidRDefault="00EF3AFF" w:rsidP="00B35FEB">
      <w:pPr>
        <w:keepNext/>
        <w:tabs>
          <w:tab w:val="clear" w:pos="1260"/>
        </w:tabs>
      </w:pPr>
      <w:r>
        <w:tab/>
      </w:r>
    </w:p>
    <w:p w:rsidR="00EF3AFF" w:rsidRDefault="00EF3AFF" w:rsidP="004A2B3E">
      <w:pPr>
        <w:tabs>
          <w:tab w:val="clear" w:pos="1980"/>
          <w:tab w:val="left" w:pos="2268"/>
        </w:tabs>
      </w:pPr>
      <w:r>
        <w:tab/>
      </w:r>
    </w:p>
    <w:p w:rsidR="00EF3AFF" w:rsidRDefault="00EF3AFF" w:rsidP="00C37CBD">
      <w:r>
        <w:tab/>
        <w:t>Report prepared by:</w:t>
      </w:r>
      <w:r>
        <w:tab/>
        <w:t>Stephen Exton – Finance Manager (Accountancy)</w:t>
      </w:r>
    </w:p>
    <w:p w:rsidR="00EF3AFF" w:rsidRDefault="00EF3AFF" w:rsidP="00C37CBD"/>
    <w:p w:rsidR="00EF3AFF" w:rsidRDefault="00EF3AFF" w:rsidP="00C37CBD">
      <w:r>
        <w:tab/>
        <w:t>Checked by: Nigel Pollard – Section Head (Accountancy)</w:t>
      </w:r>
    </w:p>
    <w:p w:rsidR="00EF3AFF" w:rsidRDefault="00EF3AFF" w:rsidP="00C37CBD"/>
    <w:p w:rsidR="00EF3AFF" w:rsidRDefault="00EF3AFF" w:rsidP="008E25BA">
      <w:pPr>
        <w:keepNext/>
        <w:ind w:left="1267" w:hanging="1267"/>
        <w:outlineLvl w:val="0"/>
      </w:pPr>
    </w:p>
    <w:p w:rsidR="00EF3AFF" w:rsidRDefault="00EF3AFF" w:rsidP="008E25BA">
      <w:pPr>
        <w:keepNext/>
        <w:ind w:left="1267" w:hanging="1267"/>
        <w:outlineLvl w:val="0"/>
        <w:rPr>
          <w:b/>
        </w:rPr>
      </w:pPr>
      <w:r>
        <w:tab/>
      </w:r>
      <w:r>
        <w:tab/>
      </w:r>
      <w:r>
        <w:rPr>
          <w:b/>
        </w:rPr>
        <w:t>Background Papers</w:t>
      </w:r>
    </w:p>
    <w:p w:rsidR="00EF3AFF" w:rsidRDefault="00EF3AFF" w:rsidP="008E25BA">
      <w:pPr>
        <w:keepNext/>
        <w:ind w:left="1267" w:hanging="1267"/>
        <w:outlineLvl w:val="0"/>
        <w:rPr>
          <w:b/>
        </w:rPr>
      </w:pPr>
    </w:p>
    <w:p w:rsidR="00EF3AFF" w:rsidRDefault="00EF3AFF" w:rsidP="00C37CBD">
      <w:pPr>
        <w:ind w:left="1260" w:hanging="1260"/>
      </w:pPr>
      <w:r>
        <w:rPr>
          <w:i/>
        </w:rPr>
        <w:tab/>
      </w:r>
      <w:r>
        <w:t>2016/17 Budget Monitoring Quarter 1 (April to June) report</w:t>
      </w:r>
    </w:p>
    <w:p w:rsidR="00EF3AFF" w:rsidRDefault="00EF3AFF" w:rsidP="00C37CBD">
      <w:pPr>
        <w:ind w:left="1260" w:hanging="1260"/>
      </w:pPr>
      <w:r>
        <w:tab/>
        <w:t>2016/17 Policy and Resources (12 September 2016) report</w:t>
      </w:r>
    </w:p>
    <w:p w:rsidR="00EF3AFF" w:rsidRDefault="00EF3AFF" w:rsidP="00C37CBD">
      <w:pPr>
        <w:ind w:left="1260" w:hanging="1260"/>
      </w:pPr>
    </w:p>
    <w:p w:rsidR="00EF3AFF" w:rsidRDefault="00EF3AFF" w:rsidP="00C37CBD">
      <w:pPr>
        <w:ind w:left="1260" w:hanging="1260"/>
        <w:rPr>
          <w:b/>
        </w:rPr>
      </w:pPr>
      <w:r>
        <w:rPr>
          <w:b/>
          <w:i/>
          <w:sz w:val="26"/>
        </w:rPr>
        <w:tab/>
      </w:r>
      <w:r>
        <w:rPr>
          <w:b/>
        </w:rPr>
        <w:t xml:space="preserve">APPENDICES </w:t>
      </w:r>
    </w:p>
    <w:p w:rsidR="00EF3AFF" w:rsidRDefault="00EF3AFF" w:rsidP="00C37CBD">
      <w:pPr>
        <w:keepNext/>
        <w:ind w:left="1259" w:hanging="1259"/>
      </w:pPr>
    </w:p>
    <w:p w:rsidR="00EF3AFF" w:rsidRPr="00102D03" w:rsidRDefault="00EF3AFF" w:rsidP="00B5553E">
      <w:pPr>
        <w:keepNext/>
        <w:ind w:left="1259" w:hanging="1259"/>
        <w:jc w:val="left"/>
        <w:rPr>
          <w:rFonts w:cs="Arial"/>
          <w:szCs w:val="22"/>
        </w:rPr>
      </w:pPr>
      <w:r>
        <w:tab/>
      </w:r>
      <w:r>
        <w:tab/>
      </w:r>
      <w:r w:rsidRPr="00102D03">
        <w:rPr>
          <w:rFonts w:cs="Arial"/>
          <w:szCs w:val="22"/>
        </w:rPr>
        <w:t xml:space="preserve">Appendix 1 </w:t>
      </w:r>
      <w:r>
        <w:rPr>
          <w:rFonts w:cs="Arial"/>
          <w:szCs w:val="22"/>
        </w:rPr>
        <w:t>M</w:t>
      </w:r>
      <w:r w:rsidRPr="00102D03">
        <w:rPr>
          <w:rFonts w:cs="Arial"/>
          <w:szCs w:val="22"/>
        </w:rPr>
        <w:t>edium term revenue budget by cost centre by Committee</w:t>
      </w:r>
      <w:r>
        <w:rPr>
          <w:rFonts w:cs="Arial"/>
          <w:szCs w:val="22"/>
        </w:rPr>
        <w:t xml:space="preserve"> (2016-19)</w:t>
      </w:r>
    </w:p>
    <w:p w:rsidR="00EF3AFF" w:rsidRPr="00102D03" w:rsidRDefault="00EF3AFF" w:rsidP="00B5553E">
      <w:pPr>
        <w:jc w:val="left"/>
        <w:rPr>
          <w:rFonts w:cs="Arial"/>
          <w:szCs w:val="22"/>
        </w:rPr>
      </w:pPr>
      <w:r w:rsidRPr="00102D03">
        <w:rPr>
          <w:rFonts w:cs="Arial"/>
          <w:szCs w:val="22"/>
        </w:rPr>
        <w:tab/>
        <w:t xml:space="preserve">Appendix 2 </w:t>
      </w:r>
      <w:r>
        <w:rPr>
          <w:rFonts w:cs="Arial"/>
          <w:szCs w:val="22"/>
        </w:rPr>
        <w:t>E</w:t>
      </w:r>
      <w:r w:rsidRPr="00102D03">
        <w:t>xplanations of revenue variances reported this Period</w:t>
      </w:r>
    </w:p>
    <w:p w:rsidR="00EF3AFF" w:rsidRPr="00102D03" w:rsidRDefault="00EF3AFF" w:rsidP="00B5553E">
      <w:pPr>
        <w:pStyle w:val="BodyTextIndent"/>
        <w:tabs>
          <w:tab w:val="clear" w:pos="1260"/>
          <w:tab w:val="left" w:pos="2552"/>
        </w:tabs>
        <w:ind w:left="2552"/>
        <w:jc w:val="left"/>
        <w:rPr>
          <w:rFonts w:cs="Arial"/>
          <w:szCs w:val="22"/>
        </w:rPr>
      </w:pPr>
      <w:r w:rsidRPr="00102D03">
        <w:t xml:space="preserve">Appendix 3 </w:t>
      </w:r>
      <w:r>
        <w:t>V</w:t>
      </w:r>
      <w:r w:rsidRPr="00102D03">
        <w:t xml:space="preserve">ariances </w:t>
      </w:r>
      <w:r>
        <w:t xml:space="preserve">previously reported </w:t>
      </w:r>
    </w:p>
    <w:p w:rsidR="00EF3AFF" w:rsidRPr="00102D03" w:rsidRDefault="00EF3AFF" w:rsidP="00B5553E">
      <w:pPr>
        <w:pStyle w:val="BodyTextIndent"/>
        <w:jc w:val="left"/>
        <w:rPr>
          <w:rFonts w:cs="Arial"/>
          <w:szCs w:val="22"/>
        </w:rPr>
      </w:pPr>
      <w:r w:rsidRPr="00102D03">
        <w:rPr>
          <w:rFonts w:cs="Arial"/>
          <w:szCs w:val="22"/>
        </w:rPr>
        <w:tab/>
        <w:t xml:space="preserve">Appendix 4 </w:t>
      </w:r>
      <w:r>
        <w:rPr>
          <w:rFonts w:cs="Arial"/>
          <w:szCs w:val="22"/>
        </w:rPr>
        <w:t>K</w:t>
      </w:r>
      <w:r w:rsidRPr="00102D03">
        <w:rPr>
          <w:rFonts w:cs="Arial"/>
          <w:szCs w:val="22"/>
        </w:rPr>
        <w:t xml:space="preserve">ey budget indicators </w:t>
      </w:r>
      <w:r>
        <w:rPr>
          <w:rFonts w:cs="Arial"/>
          <w:szCs w:val="22"/>
        </w:rPr>
        <w:t>– Income streams</w:t>
      </w:r>
    </w:p>
    <w:p w:rsidR="00EF3AFF" w:rsidRPr="00102D03" w:rsidRDefault="00EF3AFF" w:rsidP="00B5553E">
      <w:pPr>
        <w:pStyle w:val="BodyTextIndent"/>
        <w:jc w:val="left"/>
        <w:rPr>
          <w:rFonts w:cs="Arial"/>
          <w:szCs w:val="22"/>
        </w:rPr>
      </w:pPr>
      <w:r w:rsidRPr="00102D03">
        <w:rPr>
          <w:rFonts w:cs="Arial"/>
          <w:szCs w:val="22"/>
        </w:rPr>
        <w:tab/>
        <w:t xml:space="preserve">Appendix 5 </w:t>
      </w:r>
      <w:r>
        <w:rPr>
          <w:rFonts w:cs="Arial"/>
          <w:szCs w:val="22"/>
        </w:rPr>
        <w:t>B</w:t>
      </w:r>
      <w:r w:rsidRPr="00102D03">
        <w:rPr>
          <w:rFonts w:cs="Arial"/>
          <w:szCs w:val="22"/>
        </w:rPr>
        <w:t xml:space="preserve">udgetary </w:t>
      </w:r>
      <w:r>
        <w:rPr>
          <w:rFonts w:cs="Arial"/>
          <w:szCs w:val="22"/>
        </w:rPr>
        <w:t>r</w:t>
      </w:r>
      <w:r w:rsidRPr="00102D03">
        <w:rPr>
          <w:rFonts w:cs="Arial"/>
          <w:szCs w:val="22"/>
        </w:rPr>
        <w:t>isks.</w:t>
      </w:r>
    </w:p>
    <w:p w:rsidR="00EF3AFF" w:rsidRDefault="00EF3AFF" w:rsidP="00B5553E">
      <w:pPr>
        <w:pStyle w:val="BodyTextIndent"/>
        <w:tabs>
          <w:tab w:val="clear" w:pos="1260"/>
          <w:tab w:val="left" w:pos="2552"/>
        </w:tabs>
        <w:ind w:left="2552"/>
        <w:jc w:val="left"/>
      </w:pPr>
      <w:r w:rsidRPr="00102D03">
        <w:t xml:space="preserve">Appendix 6 </w:t>
      </w:r>
      <w:r>
        <w:t>Me</w:t>
      </w:r>
      <w:r w:rsidRPr="00102D03">
        <w:t xml:space="preserve">dium term capital investment programme </w:t>
      </w:r>
      <w:r>
        <w:t>(</w:t>
      </w:r>
      <w:r w:rsidRPr="00102D03">
        <w:t>2016 -2019</w:t>
      </w:r>
      <w:r>
        <w:t>)</w:t>
      </w:r>
      <w:r w:rsidRPr="00102D03">
        <w:t xml:space="preserve"> </w:t>
      </w:r>
    </w:p>
    <w:p w:rsidR="00EF3AFF" w:rsidRDefault="00EF3AFF" w:rsidP="00B5553E">
      <w:pPr>
        <w:pStyle w:val="BodyTextIndent"/>
        <w:tabs>
          <w:tab w:val="clear" w:pos="1260"/>
          <w:tab w:val="left" w:pos="2552"/>
        </w:tabs>
        <w:ind w:left="2552"/>
        <w:jc w:val="left"/>
      </w:pPr>
      <w:r w:rsidRPr="00102D03">
        <w:t xml:space="preserve">Appendix </w:t>
      </w:r>
      <w:r>
        <w:t>7</w:t>
      </w:r>
      <w:r w:rsidRPr="001B07D5">
        <w:t xml:space="preserve"> </w:t>
      </w:r>
      <w:r>
        <w:t>Explanations of capital variances reported this Period</w:t>
      </w:r>
    </w:p>
    <w:p w:rsidR="00EF3AFF" w:rsidRPr="00102D03" w:rsidRDefault="00EF3AFF" w:rsidP="00B5553E">
      <w:pPr>
        <w:pStyle w:val="BodyTextIndent"/>
        <w:jc w:val="left"/>
        <w:rPr>
          <w:rFonts w:cs="Arial"/>
          <w:szCs w:val="22"/>
        </w:rPr>
      </w:pPr>
      <w:r w:rsidRPr="00102D03">
        <w:rPr>
          <w:rFonts w:cs="Arial"/>
          <w:szCs w:val="22"/>
        </w:rPr>
        <w:tab/>
        <w:t xml:space="preserve">Appendix </w:t>
      </w:r>
      <w:r>
        <w:rPr>
          <w:rFonts w:cs="Arial"/>
          <w:szCs w:val="22"/>
        </w:rPr>
        <w:t>8</w:t>
      </w:r>
      <w:r w:rsidRPr="00102D03">
        <w:rPr>
          <w:rFonts w:cs="Arial"/>
          <w:szCs w:val="22"/>
        </w:rPr>
        <w:t xml:space="preserve"> </w:t>
      </w:r>
      <w:r>
        <w:rPr>
          <w:rFonts w:cs="Arial"/>
          <w:szCs w:val="22"/>
        </w:rPr>
        <w:t>F</w:t>
      </w:r>
      <w:r w:rsidRPr="00102D03">
        <w:rPr>
          <w:rFonts w:cs="Arial"/>
          <w:szCs w:val="22"/>
        </w:rPr>
        <w:t>unding the capital programme</w:t>
      </w:r>
      <w:r>
        <w:rPr>
          <w:rFonts w:cs="Arial"/>
          <w:szCs w:val="22"/>
        </w:rPr>
        <w:t xml:space="preserve"> (2016-2019)</w:t>
      </w:r>
    </w:p>
    <w:p w:rsidR="00EF3AFF" w:rsidRDefault="00EF3AFF" w:rsidP="00B5553E">
      <w:pPr>
        <w:keepNext/>
        <w:ind w:left="1259" w:hanging="1259"/>
        <w:jc w:val="left"/>
        <w:sectPr w:rsidR="00EF3AFF" w:rsidSect="005D4B2F">
          <w:pgSz w:w="11909" w:h="16834" w:code="9"/>
          <w:pgMar w:top="1077" w:right="1077" w:bottom="794" w:left="1077" w:header="709" w:footer="709" w:gutter="0"/>
          <w:cols w:space="720"/>
        </w:sectPr>
      </w:pPr>
      <w:r w:rsidRPr="00102D03">
        <w:rPr>
          <w:rFonts w:cs="Arial"/>
          <w:szCs w:val="22"/>
        </w:rPr>
        <w:tab/>
      </w:r>
    </w:p>
    <w:p w:rsidR="00EF3AFF" w:rsidRDefault="00EF3AFF" w:rsidP="00922D3A">
      <w:pPr>
        <w:pStyle w:val="BodyTextIndent"/>
        <w:jc w:val="right"/>
        <w:rPr>
          <w:b/>
          <w:noProof/>
          <w:sz w:val="28"/>
          <w:szCs w:val="28"/>
        </w:rPr>
      </w:pPr>
      <w:r>
        <w:rPr>
          <w:b/>
          <w:noProof/>
          <w:sz w:val="28"/>
          <w:szCs w:val="28"/>
        </w:rPr>
        <w:lastRenderedPageBreak/>
        <w:t>APPENDIX 1</w:t>
      </w:r>
    </w:p>
    <w:p w:rsidR="00EF3AFF" w:rsidRDefault="00EF3AFF" w:rsidP="00922D3A">
      <w:pPr>
        <w:pStyle w:val="BodyTextIndent"/>
        <w:jc w:val="right"/>
        <w:rPr>
          <w:b/>
          <w:noProof/>
          <w:sz w:val="28"/>
          <w:szCs w:val="28"/>
        </w:rPr>
      </w:pPr>
    </w:p>
    <w:p w:rsidR="00EF3AFF" w:rsidRDefault="00BD4CB8" w:rsidP="00AE1B3E">
      <w:pPr>
        <w:pStyle w:val="BodyTextIndent"/>
        <w:jc w:val="left"/>
        <w:rPr>
          <w:b/>
          <w:noProof/>
          <w:sz w:val="28"/>
          <w:szCs w:val="28"/>
        </w:rPr>
      </w:pPr>
      <w:r>
        <w:rPr>
          <w:noProof/>
        </w:rPr>
        <w:pict>
          <v:shape id="Picture 10" o:spid="_x0000_i1026" type="#_x0000_t75" style="width:483pt;height:666.75pt;visibility:visible">
            <v:imagedata r:id="rId10" o:title=""/>
          </v:shape>
        </w:pict>
      </w:r>
    </w:p>
    <w:p w:rsidR="00EF3AFF" w:rsidRDefault="00EF3AFF" w:rsidP="00922D3A">
      <w:pPr>
        <w:pStyle w:val="BodyTextIndent"/>
        <w:jc w:val="right"/>
        <w:rPr>
          <w:b/>
          <w:noProof/>
          <w:sz w:val="28"/>
          <w:szCs w:val="28"/>
        </w:rPr>
      </w:pPr>
    </w:p>
    <w:p w:rsidR="00EF3AFF" w:rsidRDefault="00EF3AFF" w:rsidP="00922D3A">
      <w:pPr>
        <w:pStyle w:val="BodyTextIndent"/>
        <w:jc w:val="right"/>
        <w:rPr>
          <w:b/>
          <w:noProof/>
          <w:sz w:val="28"/>
          <w:szCs w:val="28"/>
        </w:rPr>
      </w:pPr>
    </w:p>
    <w:p w:rsidR="00EF3AFF" w:rsidRDefault="00EF3AFF" w:rsidP="00922D3A">
      <w:pPr>
        <w:pStyle w:val="BodyTextIndent"/>
        <w:jc w:val="right"/>
        <w:rPr>
          <w:b/>
          <w:noProof/>
          <w:sz w:val="28"/>
          <w:szCs w:val="28"/>
        </w:rPr>
      </w:pPr>
    </w:p>
    <w:p w:rsidR="00EF3AFF" w:rsidRDefault="00BD4CB8" w:rsidP="00922D3A">
      <w:pPr>
        <w:pStyle w:val="BodyTextIndent"/>
        <w:jc w:val="left"/>
        <w:rPr>
          <w:b/>
          <w:noProof/>
          <w:sz w:val="28"/>
          <w:szCs w:val="28"/>
        </w:rPr>
      </w:pPr>
      <w:r>
        <w:rPr>
          <w:noProof/>
        </w:rPr>
        <w:lastRenderedPageBreak/>
        <w:pict>
          <v:shape id="Picture 5" o:spid="_x0000_i1027" type="#_x0000_t75" style="width:483pt;height:639.75pt;visibility:visible">
            <v:imagedata r:id="rId11" o:title=""/>
          </v:shape>
        </w:pict>
      </w:r>
    </w:p>
    <w:p w:rsidR="00EF3AFF" w:rsidRDefault="00EF3AFF" w:rsidP="00922D3A">
      <w:pPr>
        <w:pStyle w:val="BodyTextIndent"/>
        <w:jc w:val="right"/>
        <w:rPr>
          <w:noProof/>
        </w:rPr>
      </w:pPr>
    </w:p>
    <w:p w:rsidR="00EF3AFF" w:rsidRDefault="00EF3AFF" w:rsidP="002758D3">
      <w:pPr>
        <w:pStyle w:val="BodyTextIndent"/>
        <w:jc w:val="center"/>
      </w:pPr>
    </w:p>
    <w:p w:rsidR="00EF3AFF" w:rsidRDefault="00EF3AFF">
      <w:pPr>
        <w:tabs>
          <w:tab w:val="clear" w:pos="1260"/>
          <w:tab w:val="clear" w:pos="1980"/>
          <w:tab w:val="clear" w:pos="2700"/>
          <w:tab w:val="clear" w:pos="3420"/>
        </w:tabs>
        <w:jc w:val="left"/>
      </w:pPr>
      <w:r>
        <w:br w:type="page"/>
      </w:r>
    </w:p>
    <w:p w:rsidR="00EF3AFF" w:rsidRDefault="00BD4CB8" w:rsidP="00922D3A">
      <w:pPr>
        <w:pStyle w:val="BodyTextIndent"/>
        <w:jc w:val="left"/>
      </w:pPr>
      <w:r>
        <w:rPr>
          <w:noProof/>
        </w:rPr>
        <w:pict>
          <v:shape id="Picture 6" o:spid="_x0000_i1028" type="#_x0000_t75" style="width:483pt;height:555pt;visibility:visible">
            <v:imagedata r:id="rId12" o:title=""/>
          </v:shape>
        </w:pict>
      </w:r>
    </w:p>
    <w:p w:rsidR="00EF3AFF" w:rsidRDefault="00EF3AFF" w:rsidP="009C2B7E">
      <w:pPr>
        <w:tabs>
          <w:tab w:val="clear" w:pos="1260"/>
          <w:tab w:val="clear" w:pos="1980"/>
          <w:tab w:val="clear" w:pos="2700"/>
          <w:tab w:val="clear" w:pos="3420"/>
        </w:tabs>
        <w:jc w:val="left"/>
      </w:pPr>
      <w:r>
        <w:br w:type="page"/>
      </w:r>
      <w:r w:rsidR="00BD4CB8">
        <w:rPr>
          <w:noProof/>
        </w:rPr>
        <w:lastRenderedPageBreak/>
        <w:pict>
          <v:shape id="Picture 4" o:spid="_x0000_i1029" type="#_x0000_t75" style="width:483pt;height:745.5pt;visibility:visible">
            <v:imagedata r:id="rId13" o:title=""/>
          </v:shape>
        </w:pict>
      </w:r>
    </w:p>
    <w:p w:rsidR="00EF3AFF" w:rsidRDefault="00BD4CB8" w:rsidP="00E06B8E">
      <w:pPr>
        <w:pStyle w:val="BodyTextIndent"/>
        <w:jc w:val="left"/>
      </w:pPr>
      <w:r>
        <w:rPr>
          <w:noProof/>
        </w:rPr>
        <w:lastRenderedPageBreak/>
        <w:pict>
          <v:shape id="Picture 8" o:spid="_x0000_i1030" type="#_x0000_t75" style="width:483pt;height:387pt;visibility:visible">
            <v:imagedata r:id="rId14" o:title=""/>
          </v:shape>
        </w:pict>
      </w:r>
    </w:p>
    <w:p w:rsidR="00EF3AFF" w:rsidRDefault="00EF3AFF" w:rsidP="00E06B8E">
      <w:pPr>
        <w:pStyle w:val="BodyTextIndent"/>
        <w:jc w:val="left"/>
      </w:pPr>
    </w:p>
    <w:p w:rsidR="00EF3AFF" w:rsidRDefault="00EF3AFF" w:rsidP="00E06B8E">
      <w:pPr>
        <w:pStyle w:val="BodyTextIndent"/>
        <w:jc w:val="left"/>
      </w:pPr>
    </w:p>
    <w:p w:rsidR="00EF3AFF" w:rsidRDefault="00EF3AFF" w:rsidP="002758D3">
      <w:pPr>
        <w:pStyle w:val="BodyTextIndent"/>
        <w:jc w:val="center"/>
      </w:pPr>
    </w:p>
    <w:p w:rsidR="00EF3AFF" w:rsidRDefault="00BD4CB8" w:rsidP="00E06B8E">
      <w:pPr>
        <w:pStyle w:val="BodyTextIndent"/>
        <w:jc w:val="left"/>
      </w:pPr>
      <w:r>
        <w:rPr>
          <w:noProof/>
        </w:rPr>
        <w:pict>
          <v:shape id="Picture 11" o:spid="_x0000_i1031" type="#_x0000_t75" style="width:483pt;height:163.5pt;visibility:visible">
            <v:imagedata r:id="rId15" o:title=""/>
          </v:shape>
        </w:pict>
      </w:r>
    </w:p>
    <w:p w:rsidR="00EF3AFF" w:rsidRDefault="00EF3AFF" w:rsidP="002758D3">
      <w:pPr>
        <w:pStyle w:val="BodyTextIndent"/>
        <w:jc w:val="center"/>
      </w:pPr>
    </w:p>
    <w:p w:rsidR="00EF3AFF" w:rsidRDefault="00EF3AFF" w:rsidP="008220D0">
      <w:pPr>
        <w:pStyle w:val="BodyTextIndent"/>
        <w:jc w:val="center"/>
        <w:sectPr w:rsidR="00EF3AFF" w:rsidSect="002758D3">
          <w:pgSz w:w="11909" w:h="16834" w:code="9"/>
          <w:pgMar w:top="1077" w:right="1077" w:bottom="794" w:left="1077" w:header="709" w:footer="709" w:gutter="0"/>
          <w:cols w:space="720"/>
          <w:docGrid w:linePitch="299"/>
        </w:sectPr>
      </w:pPr>
    </w:p>
    <w:p w:rsidR="00EF3AFF" w:rsidRPr="00B8612D" w:rsidRDefault="00EF3AFF" w:rsidP="00B8612D">
      <w:pPr>
        <w:pStyle w:val="BodyTextIndent"/>
        <w:jc w:val="right"/>
        <w:rPr>
          <w:b/>
          <w:noProof/>
          <w:sz w:val="28"/>
          <w:szCs w:val="28"/>
        </w:rPr>
      </w:pPr>
      <w:r>
        <w:rPr>
          <w:b/>
          <w:noProof/>
          <w:sz w:val="28"/>
          <w:szCs w:val="28"/>
        </w:rPr>
        <w:lastRenderedPageBreak/>
        <w:t>APPENDIX 2</w:t>
      </w:r>
    </w:p>
    <w:p w:rsidR="00EF3AFF" w:rsidRDefault="00EF3AFF" w:rsidP="008220D0">
      <w:pPr>
        <w:pStyle w:val="BodyTextIndent"/>
        <w:jc w:val="center"/>
        <w:rPr>
          <w:noProof/>
        </w:rPr>
      </w:pPr>
    </w:p>
    <w:p w:rsidR="00EF3AFF" w:rsidRDefault="00BD4CB8" w:rsidP="00FE13DE">
      <w:pPr>
        <w:pStyle w:val="BodyTextIndent"/>
        <w:jc w:val="right"/>
        <w:rPr>
          <w:b/>
          <w:sz w:val="28"/>
          <w:szCs w:val="28"/>
        </w:rPr>
      </w:pPr>
      <w:r>
        <w:rPr>
          <w:noProof/>
        </w:rPr>
        <w:pict>
          <v:shape id="Picture 12" o:spid="_x0000_i1032" type="#_x0000_t75" style="width:747pt;height:462pt;visibility:visible">
            <v:imagedata r:id="rId16" o:title=""/>
          </v:shape>
        </w:pict>
      </w:r>
    </w:p>
    <w:p w:rsidR="00EF3AFF" w:rsidRDefault="00EF3AFF" w:rsidP="00FE13DE">
      <w:pPr>
        <w:pStyle w:val="BodyTextIndent"/>
        <w:jc w:val="right"/>
        <w:rPr>
          <w:b/>
          <w:sz w:val="28"/>
          <w:szCs w:val="28"/>
        </w:rPr>
      </w:pPr>
      <w:r w:rsidRPr="00FE13DE">
        <w:rPr>
          <w:b/>
          <w:sz w:val="28"/>
          <w:szCs w:val="28"/>
        </w:rPr>
        <w:lastRenderedPageBreak/>
        <w:t>APPENDIX 3</w:t>
      </w:r>
    </w:p>
    <w:p w:rsidR="00EF3AFF" w:rsidRDefault="00EF3AFF" w:rsidP="00FE13DE">
      <w:pPr>
        <w:pStyle w:val="BodyTextIndent"/>
        <w:jc w:val="right"/>
        <w:rPr>
          <w:b/>
          <w:sz w:val="28"/>
          <w:szCs w:val="28"/>
        </w:rPr>
      </w:pPr>
    </w:p>
    <w:p w:rsidR="00EF3AFF" w:rsidRDefault="00BD4CB8" w:rsidP="00FE13DE">
      <w:pPr>
        <w:pStyle w:val="BodyTextIndent"/>
        <w:jc w:val="left"/>
        <w:rPr>
          <w:b/>
          <w:sz w:val="28"/>
          <w:szCs w:val="28"/>
        </w:rPr>
      </w:pPr>
      <w:r>
        <w:rPr>
          <w:noProof/>
        </w:rPr>
        <w:pict>
          <v:shape id="Picture 13" o:spid="_x0000_i1033" type="#_x0000_t75" style="width:744pt;height:352.5pt;visibility:visible">
            <v:imagedata r:id="rId17" o:title=""/>
          </v:shape>
        </w:pict>
      </w:r>
    </w:p>
    <w:p w:rsidR="00EF3AFF" w:rsidRDefault="00EF3AFF" w:rsidP="00FE13DE">
      <w:pPr>
        <w:pStyle w:val="BodyTextIndent"/>
        <w:jc w:val="left"/>
        <w:rPr>
          <w:b/>
          <w:sz w:val="28"/>
          <w:szCs w:val="28"/>
        </w:rPr>
      </w:pPr>
    </w:p>
    <w:p w:rsidR="00EF3AFF" w:rsidRDefault="00BD4CB8" w:rsidP="00FE13DE">
      <w:pPr>
        <w:pStyle w:val="BodyTextIndent"/>
        <w:jc w:val="left"/>
        <w:rPr>
          <w:b/>
          <w:sz w:val="28"/>
          <w:szCs w:val="28"/>
        </w:rPr>
      </w:pPr>
      <w:r>
        <w:rPr>
          <w:noProof/>
        </w:rPr>
        <w:lastRenderedPageBreak/>
        <w:pict>
          <v:shape id="Picture 14" o:spid="_x0000_i1034" type="#_x0000_t75" style="width:744pt;height:238.5pt;visibility:visible">
            <v:imagedata r:id="rId18" o:title=""/>
          </v:shape>
        </w:pict>
      </w:r>
    </w:p>
    <w:p w:rsidR="00EF3AFF" w:rsidRDefault="00EF3AFF" w:rsidP="00FE13DE">
      <w:pPr>
        <w:pStyle w:val="BodyTextIndent"/>
        <w:jc w:val="left"/>
        <w:rPr>
          <w:b/>
          <w:sz w:val="28"/>
          <w:szCs w:val="28"/>
        </w:rPr>
      </w:pPr>
    </w:p>
    <w:p w:rsidR="00EF3AFF" w:rsidRDefault="00EF3AFF" w:rsidP="00FE13DE">
      <w:pPr>
        <w:pStyle w:val="BodyTextIndent"/>
        <w:jc w:val="left"/>
        <w:rPr>
          <w:b/>
          <w:sz w:val="28"/>
          <w:szCs w:val="28"/>
        </w:rPr>
      </w:pPr>
    </w:p>
    <w:p w:rsidR="00EF3AFF" w:rsidRDefault="00EF3AFF" w:rsidP="00FE13DE">
      <w:pPr>
        <w:pStyle w:val="BodyTextIndent"/>
        <w:jc w:val="left"/>
        <w:rPr>
          <w:b/>
          <w:sz w:val="28"/>
          <w:szCs w:val="28"/>
        </w:rPr>
      </w:pPr>
    </w:p>
    <w:p w:rsidR="00EF3AFF" w:rsidRDefault="00EF3AFF" w:rsidP="00FE13DE">
      <w:pPr>
        <w:pStyle w:val="BodyTextIndent"/>
        <w:jc w:val="left"/>
        <w:rPr>
          <w:b/>
          <w:sz w:val="28"/>
          <w:szCs w:val="28"/>
        </w:rPr>
      </w:pPr>
    </w:p>
    <w:p w:rsidR="00EF3AFF" w:rsidRDefault="00EF3AFF" w:rsidP="00FE13DE">
      <w:pPr>
        <w:pStyle w:val="BodyTextIndent"/>
        <w:jc w:val="left"/>
        <w:rPr>
          <w:b/>
          <w:sz w:val="28"/>
          <w:szCs w:val="28"/>
        </w:rPr>
      </w:pPr>
    </w:p>
    <w:p w:rsidR="00EF3AFF" w:rsidRDefault="00EF3AFF" w:rsidP="00FE13DE">
      <w:pPr>
        <w:pStyle w:val="BodyTextIndent"/>
        <w:jc w:val="left"/>
        <w:rPr>
          <w:b/>
          <w:sz w:val="28"/>
          <w:szCs w:val="28"/>
        </w:rPr>
      </w:pPr>
    </w:p>
    <w:p w:rsidR="00EF3AFF" w:rsidRDefault="00EF3AFF" w:rsidP="00FE13DE">
      <w:pPr>
        <w:pStyle w:val="BodyTextIndent"/>
        <w:jc w:val="left"/>
        <w:rPr>
          <w:b/>
          <w:sz w:val="28"/>
          <w:szCs w:val="28"/>
        </w:rPr>
      </w:pPr>
    </w:p>
    <w:p w:rsidR="00EF3AFF" w:rsidRDefault="00EF3AFF" w:rsidP="00FE13DE">
      <w:pPr>
        <w:pStyle w:val="BodyTextIndent"/>
        <w:jc w:val="left"/>
        <w:rPr>
          <w:b/>
          <w:sz w:val="28"/>
          <w:szCs w:val="28"/>
        </w:rPr>
      </w:pPr>
    </w:p>
    <w:p w:rsidR="00EF3AFF" w:rsidRDefault="00EF3AFF" w:rsidP="00FE13DE">
      <w:pPr>
        <w:pStyle w:val="BodyTextIndent"/>
        <w:jc w:val="left"/>
        <w:rPr>
          <w:b/>
          <w:sz w:val="28"/>
          <w:szCs w:val="28"/>
        </w:rPr>
      </w:pPr>
    </w:p>
    <w:p w:rsidR="00EF3AFF" w:rsidRDefault="00EF3AFF" w:rsidP="00FE13DE">
      <w:pPr>
        <w:pStyle w:val="BodyTextIndent"/>
        <w:jc w:val="left"/>
        <w:rPr>
          <w:b/>
          <w:sz w:val="28"/>
          <w:szCs w:val="28"/>
        </w:rPr>
      </w:pPr>
    </w:p>
    <w:p w:rsidR="00EF3AFF" w:rsidRDefault="00EF3AFF" w:rsidP="00FE13DE">
      <w:pPr>
        <w:pStyle w:val="BodyTextIndent"/>
        <w:jc w:val="left"/>
        <w:rPr>
          <w:b/>
          <w:sz w:val="28"/>
          <w:szCs w:val="28"/>
        </w:rPr>
      </w:pPr>
    </w:p>
    <w:p w:rsidR="00EF3AFF" w:rsidRDefault="00EF3AFF" w:rsidP="00FE13DE">
      <w:pPr>
        <w:pStyle w:val="BodyTextIndent"/>
        <w:jc w:val="left"/>
        <w:rPr>
          <w:b/>
          <w:sz w:val="28"/>
          <w:szCs w:val="28"/>
        </w:rPr>
      </w:pPr>
    </w:p>
    <w:p w:rsidR="00EF3AFF" w:rsidRDefault="00EF3AFF" w:rsidP="00FE13DE">
      <w:pPr>
        <w:pStyle w:val="BodyTextIndent"/>
        <w:jc w:val="right"/>
        <w:rPr>
          <w:b/>
          <w:sz w:val="28"/>
          <w:szCs w:val="28"/>
        </w:rPr>
      </w:pPr>
    </w:p>
    <w:p w:rsidR="00EF3AFF" w:rsidRDefault="00EF3AFF" w:rsidP="00FE13DE">
      <w:pPr>
        <w:pStyle w:val="BodyTextIndent"/>
        <w:jc w:val="right"/>
        <w:rPr>
          <w:b/>
          <w:sz w:val="28"/>
          <w:szCs w:val="28"/>
        </w:rPr>
      </w:pPr>
    </w:p>
    <w:p w:rsidR="00EF3AFF" w:rsidRDefault="00EF3AFF" w:rsidP="00FE13DE">
      <w:pPr>
        <w:pStyle w:val="BodyTextIndent"/>
        <w:jc w:val="right"/>
        <w:rPr>
          <w:b/>
          <w:sz w:val="28"/>
          <w:szCs w:val="28"/>
        </w:rPr>
      </w:pPr>
    </w:p>
    <w:p w:rsidR="00EF3AFF" w:rsidRDefault="00EF3AFF" w:rsidP="00FE13DE">
      <w:pPr>
        <w:pStyle w:val="BodyTextIndent"/>
        <w:jc w:val="right"/>
        <w:rPr>
          <w:b/>
          <w:sz w:val="28"/>
          <w:szCs w:val="28"/>
        </w:rPr>
      </w:pPr>
    </w:p>
    <w:p w:rsidR="00EF3AFF" w:rsidRDefault="00EF3AFF" w:rsidP="00FE13DE">
      <w:pPr>
        <w:pStyle w:val="BodyTextIndent"/>
        <w:jc w:val="right"/>
        <w:rPr>
          <w:b/>
          <w:sz w:val="28"/>
          <w:szCs w:val="28"/>
        </w:rPr>
      </w:pPr>
      <w:r>
        <w:rPr>
          <w:b/>
          <w:sz w:val="28"/>
          <w:szCs w:val="28"/>
        </w:rPr>
        <w:lastRenderedPageBreak/>
        <w:t>APPENDIX 4</w:t>
      </w:r>
    </w:p>
    <w:p w:rsidR="00EF3AFF" w:rsidRDefault="00EF3AFF" w:rsidP="00FE13DE">
      <w:pPr>
        <w:pStyle w:val="BodyTextIndent"/>
        <w:jc w:val="left"/>
        <w:rPr>
          <w:b/>
          <w:sz w:val="28"/>
          <w:szCs w:val="28"/>
        </w:rPr>
      </w:pPr>
    </w:p>
    <w:p w:rsidR="00EF3AFF" w:rsidRPr="00FE13DE" w:rsidRDefault="00BD4CB8" w:rsidP="00FE13DE">
      <w:pPr>
        <w:pStyle w:val="BodyTextIndent"/>
        <w:jc w:val="left"/>
        <w:rPr>
          <w:b/>
          <w:sz w:val="28"/>
          <w:szCs w:val="28"/>
        </w:rPr>
        <w:sectPr w:rsidR="00EF3AFF" w:rsidRPr="00FE13DE" w:rsidSect="005C7C1E">
          <w:pgSz w:w="16834" w:h="11909" w:orient="landscape" w:code="9"/>
          <w:pgMar w:top="851" w:right="1077" w:bottom="1077" w:left="794" w:header="709" w:footer="709" w:gutter="0"/>
          <w:cols w:space="720"/>
          <w:docGrid w:linePitch="299"/>
        </w:sectPr>
      </w:pPr>
      <w:r>
        <w:rPr>
          <w:noProof/>
        </w:rPr>
        <w:pict>
          <v:shape id="Picture 15" o:spid="_x0000_i1035" type="#_x0000_t75" style="width:735pt;height:448.5pt;visibility:visible">
            <v:imagedata r:id="rId19" o:title=""/>
          </v:shape>
        </w:pict>
      </w:r>
    </w:p>
    <w:p w:rsidR="00EF3AFF" w:rsidRDefault="00BD4CB8" w:rsidP="002758D3">
      <w:pPr>
        <w:pStyle w:val="BodyTextIndent"/>
        <w:jc w:val="center"/>
        <w:sectPr w:rsidR="00EF3AFF" w:rsidSect="00FA4518">
          <w:pgSz w:w="16834" w:h="11909" w:orient="landscape" w:code="9"/>
          <w:pgMar w:top="1077" w:right="1077" w:bottom="1077" w:left="794" w:header="709" w:footer="709" w:gutter="0"/>
          <w:cols w:space="720"/>
          <w:docGrid w:linePitch="299"/>
        </w:sectPr>
      </w:pPr>
      <w:r>
        <w:rPr>
          <w:noProof/>
        </w:rPr>
        <w:lastRenderedPageBreak/>
        <w:pict>
          <v:shape id="Picture 17" o:spid="_x0000_i1036" type="#_x0000_t75" style="width:727.5pt;height:474pt;visibility:visible">
            <v:imagedata r:id="rId20" o:title=""/>
          </v:shape>
        </w:pict>
      </w:r>
    </w:p>
    <w:p w:rsidR="00EF3AFF" w:rsidRDefault="00BD4CB8" w:rsidP="00481561">
      <w:pPr>
        <w:pStyle w:val="BodyTextIndent"/>
        <w:jc w:val="center"/>
        <w:sectPr w:rsidR="00EF3AFF" w:rsidSect="00FA4518">
          <w:pgSz w:w="16834" w:h="11909" w:orient="landscape" w:code="9"/>
          <w:pgMar w:top="1077" w:right="1077" w:bottom="1077" w:left="794" w:header="709" w:footer="709" w:gutter="0"/>
          <w:cols w:space="720"/>
          <w:docGrid w:linePitch="299"/>
        </w:sectPr>
      </w:pPr>
      <w:r>
        <w:rPr>
          <w:noProof/>
        </w:rPr>
        <w:lastRenderedPageBreak/>
        <w:pict>
          <v:shape id="Picture 18" o:spid="_x0000_i1037" type="#_x0000_t75" style="width:727.5pt;height:485.25pt;visibility:visible">
            <v:imagedata r:id="rId21" o:title=""/>
          </v:shape>
        </w:pict>
      </w:r>
    </w:p>
    <w:p w:rsidR="00EF3AFF" w:rsidRDefault="00BD4CB8" w:rsidP="00481561">
      <w:pPr>
        <w:pStyle w:val="BodyTextIndent"/>
        <w:jc w:val="center"/>
        <w:sectPr w:rsidR="00EF3AFF" w:rsidSect="00FA4518">
          <w:pgSz w:w="16834" w:h="11909" w:orient="landscape" w:code="9"/>
          <w:pgMar w:top="1077" w:right="1077" w:bottom="1077" w:left="794" w:header="709" w:footer="709" w:gutter="0"/>
          <w:cols w:space="720"/>
          <w:docGrid w:linePitch="299"/>
        </w:sectPr>
      </w:pPr>
      <w:r>
        <w:rPr>
          <w:noProof/>
        </w:rPr>
        <w:lastRenderedPageBreak/>
        <w:pict>
          <v:shape id="Picture 20" o:spid="_x0000_i1038" type="#_x0000_t75" style="width:727.5pt;height:483.75pt;visibility:visible">
            <v:imagedata r:id="rId22" o:title=""/>
          </v:shape>
        </w:pict>
      </w:r>
    </w:p>
    <w:p w:rsidR="00EF3AFF" w:rsidRDefault="00BD4CB8" w:rsidP="00204636">
      <w:pPr>
        <w:pStyle w:val="BodyTextIndent"/>
        <w:jc w:val="left"/>
      </w:pPr>
      <w:r>
        <w:rPr>
          <w:noProof/>
        </w:rPr>
        <w:lastRenderedPageBreak/>
        <w:pict>
          <v:shape id="Picture 27" o:spid="_x0000_i1039" type="#_x0000_t75" style="width:727.5pt;height:476.25pt;visibility:visible">
            <v:imagedata r:id="rId23" o:title=""/>
          </v:shape>
        </w:pict>
      </w:r>
    </w:p>
    <w:p w:rsidR="00EF3AFF" w:rsidRDefault="00EF3AFF" w:rsidP="00481561">
      <w:pPr>
        <w:pStyle w:val="BodyTextIndent"/>
        <w:jc w:val="center"/>
      </w:pPr>
    </w:p>
    <w:p w:rsidR="00EF3AFF" w:rsidRDefault="00EF3AFF" w:rsidP="00ED7571">
      <w:pPr>
        <w:pStyle w:val="BodyTextIndent"/>
        <w:jc w:val="right"/>
        <w:rPr>
          <w:b/>
          <w:sz w:val="28"/>
          <w:szCs w:val="28"/>
        </w:rPr>
      </w:pPr>
      <w:r w:rsidRPr="00ED7571">
        <w:rPr>
          <w:b/>
          <w:sz w:val="28"/>
          <w:szCs w:val="28"/>
        </w:rPr>
        <w:t>APPENDIX 5</w:t>
      </w:r>
    </w:p>
    <w:p w:rsidR="00EF3AFF" w:rsidRDefault="00EF3AFF" w:rsidP="00ED7571">
      <w:pPr>
        <w:pStyle w:val="BodyTextIndent"/>
        <w:jc w:val="right"/>
        <w:rPr>
          <w:b/>
          <w:sz w:val="28"/>
          <w:szCs w:val="28"/>
        </w:rPr>
      </w:pPr>
    </w:p>
    <w:p w:rsidR="00EF3AFF" w:rsidRDefault="00BD4CB8" w:rsidP="007E6824">
      <w:pPr>
        <w:pStyle w:val="BodyTextIndent"/>
        <w:jc w:val="left"/>
        <w:rPr>
          <w:b/>
          <w:sz w:val="28"/>
          <w:szCs w:val="28"/>
        </w:rPr>
      </w:pPr>
      <w:r>
        <w:rPr>
          <w:noProof/>
        </w:rPr>
        <w:pict>
          <v:shape id="Picture 31" o:spid="_x0000_i1040" type="#_x0000_t75" style="width:747.75pt;height:363pt;visibility:visible">
            <v:imagedata r:id="rId24" o:title=""/>
          </v:shape>
        </w:pict>
      </w:r>
    </w:p>
    <w:p w:rsidR="00EF3AFF" w:rsidRDefault="00EF3AFF" w:rsidP="00ED7571">
      <w:pPr>
        <w:pStyle w:val="BodyTextIndent"/>
        <w:jc w:val="right"/>
        <w:rPr>
          <w:b/>
          <w:sz w:val="28"/>
          <w:szCs w:val="28"/>
        </w:rPr>
      </w:pPr>
    </w:p>
    <w:p w:rsidR="00EF3AFF" w:rsidRPr="00CB0059" w:rsidRDefault="00EF3AFF" w:rsidP="00CB0059">
      <w:pPr>
        <w:pStyle w:val="BodyTextIndent"/>
        <w:jc w:val="left"/>
        <w:rPr>
          <w:szCs w:val="22"/>
        </w:rPr>
      </w:pPr>
      <w:r w:rsidRPr="00CB0059">
        <w:rPr>
          <w:szCs w:val="22"/>
        </w:rPr>
        <w:t xml:space="preserve">Note: </w:t>
      </w:r>
      <w:r>
        <w:rPr>
          <w:szCs w:val="22"/>
        </w:rPr>
        <w:t>The serial numbers relate to the Council’s risk register and serials 1-6 do not relate to finance or budget risks.</w:t>
      </w:r>
    </w:p>
    <w:p w:rsidR="00EF3AFF" w:rsidRDefault="00EF3AFF" w:rsidP="00ED7571">
      <w:pPr>
        <w:pStyle w:val="BodyTextIndent"/>
        <w:jc w:val="right"/>
        <w:rPr>
          <w:b/>
          <w:sz w:val="28"/>
          <w:szCs w:val="28"/>
        </w:rPr>
      </w:pPr>
    </w:p>
    <w:p w:rsidR="00EF3AFF" w:rsidRDefault="00BD4CB8" w:rsidP="007E6824">
      <w:pPr>
        <w:pStyle w:val="BodyTextIndent"/>
        <w:jc w:val="left"/>
        <w:rPr>
          <w:b/>
          <w:sz w:val="28"/>
          <w:szCs w:val="28"/>
        </w:rPr>
      </w:pPr>
      <w:r>
        <w:rPr>
          <w:noProof/>
        </w:rPr>
        <w:lastRenderedPageBreak/>
        <w:pict>
          <v:shape id="Picture 28" o:spid="_x0000_i1041" type="#_x0000_t75" style="width:738pt;height:261pt;visibility:visible">
            <v:imagedata r:id="rId25" o:title=""/>
          </v:shape>
        </w:pict>
      </w:r>
    </w:p>
    <w:p w:rsidR="00EF3AFF" w:rsidRDefault="00EF3AFF" w:rsidP="00ED7571">
      <w:pPr>
        <w:pStyle w:val="BodyTextIndent"/>
        <w:jc w:val="right"/>
        <w:rPr>
          <w:b/>
          <w:sz w:val="28"/>
          <w:szCs w:val="28"/>
        </w:rPr>
      </w:pPr>
    </w:p>
    <w:p w:rsidR="00EF3AFF" w:rsidRDefault="00BD4CB8" w:rsidP="007E6824">
      <w:pPr>
        <w:pStyle w:val="BodyTextIndent"/>
        <w:jc w:val="left"/>
        <w:rPr>
          <w:b/>
          <w:sz w:val="28"/>
          <w:szCs w:val="28"/>
        </w:rPr>
      </w:pPr>
      <w:r>
        <w:rPr>
          <w:noProof/>
        </w:rPr>
        <w:pict>
          <v:shape id="Picture 35" o:spid="_x0000_i1042" type="#_x0000_t75" style="width:484.5pt;height:194.25pt;visibility:visible">
            <v:imagedata r:id="rId26" o:title=""/>
          </v:shape>
        </w:pict>
      </w:r>
    </w:p>
    <w:p w:rsidR="00EF3AFF" w:rsidRPr="00ED7571" w:rsidRDefault="00EF3AFF" w:rsidP="00ED7571">
      <w:pPr>
        <w:pStyle w:val="BodyTextIndent"/>
        <w:jc w:val="right"/>
        <w:rPr>
          <w:b/>
          <w:sz w:val="28"/>
          <w:szCs w:val="28"/>
        </w:rPr>
        <w:sectPr w:rsidR="00EF3AFF" w:rsidRPr="00ED7571" w:rsidSect="00FA4518">
          <w:pgSz w:w="16834" w:h="11909" w:orient="landscape" w:code="9"/>
          <w:pgMar w:top="1077" w:right="1077" w:bottom="1077" w:left="794" w:header="709" w:footer="709" w:gutter="0"/>
          <w:cols w:space="720"/>
          <w:docGrid w:linePitch="299"/>
        </w:sectPr>
      </w:pPr>
    </w:p>
    <w:p w:rsidR="00EF3AFF" w:rsidRDefault="00EF3AFF" w:rsidP="00643B93">
      <w:pPr>
        <w:pStyle w:val="BodyTextIndent"/>
        <w:jc w:val="right"/>
        <w:rPr>
          <w:b/>
          <w:sz w:val="28"/>
          <w:szCs w:val="28"/>
        </w:rPr>
      </w:pPr>
      <w:r>
        <w:rPr>
          <w:b/>
          <w:sz w:val="28"/>
          <w:szCs w:val="28"/>
        </w:rPr>
        <w:lastRenderedPageBreak/>
        <w:t>APPENDIX 6</w:t>
      </w:r>
    </w:p>
    <w:p w:rsidR="00EF3AFF" w:rsidRDefault="00EF3AFF" w:rsidP="00643B93">
      <w:pPr>
        <w:pStyle w:val="BodyTextIndent"/>
        <w:jc w:val="right"/>
        <w:rPr>
          <w:b/>
          <w:sz w:val="28"/>
          <w:szCs w:val="28"/>
        </w:rPr>
      </w:pPr>
    </w:p>
    <w:p w:rsidR="00EF3AFF" w:rsidRDefault="00BD4CB8" w:rsidP="001C6ED4">
      <w:pPr>
        <w:pStyle w:val="BodyTextIndent"/>
        <w:jc w:val="left"/>
        <w:rPr>
          <w:noProof/>
        </w:rPr>
      </w:pPr>
      <w:r>
        <w:rPr>
          <w:noProof/>
        </w:rPr>
        <w:pict>
          <v:shape id="Picture 36" o:spid="_x0000_i1043" type="#_x0000_t75" style="width:744.75pt;height:412.5pt;visibility:visible">
            <v:imagedata r:id="rId27" o:title=""/>
          </v:shape>
        </w:pict>
      </w:r>
    </w:p>
    <w:p w:rsidR="00EF3AFF" w:rsidRDefault="00EF3AFF" w:rsidP="00643B93">
      <w:pPr>
        <w:pStyle w:val="BodyTextIndent"/>
        <w:jc w:val="right"/>
        <w:rPr>
          <w:noProof/>
        </w:rPr>
      </w:pPr>
    </w:p>
    <w:p w:rsidR="00EF3AFF" w:rsidRPr="00643B93" w:rsidRDefault="00EF3AFF" w:rsidP="00643B93">
      <w:pPr>
        <w:pStyle w:val="BodyTextIndent"/>
        <w:jc w:val="right"/>
        <w:rPr>
          <w:b/>
          <w:sz w:val="28"/>
          <w:szCs w:val="28"/>
        </w:rPr>
      </w:pPr>
    </w:p>
    <w:p w:rsidR="00EF3AFF" w:rsidRDefault="00EF3AFF" w:rsidP="00481561">
      <w:pPr>
        <w:pStyle w:val="BodyTextIndent"/>
        <w:jc w:val="center"/>
        <w:sectPr w:rsidR="00EF3AFF" w:rsidSect="00FA4518">
          <w:footerReference w:type="default" r:id="rId28"/>
          <w:pgSz w:w="16834" w:h="11909" w:orient="landscape" w:code="9"/>
          <w:pgMar w:top="1077" w:right="1077" w:bottom="1077" w:left="794" w:header="709" w:footer="709" w:gutter="0"/>
          <w:cols w:space="720"/>
          <w:docGrid w:linePitch="299"/>
        </w:sectPr>
      </w:pPr>
    </w:p>
    <w:p w:rsidR="00EF3AFF" w:rsidRDefault="00BD4CB8" w:rsidP="001C6ED4">
      <w:pPr>
        <w:pStyle w:val="BodyTextIndent"/>
        <w:jc w:val="left"/>
        <w:sectPr w:rsidR="00EF3AFF" w:rsidSect="00745ED2">
          <w:pgSz w:w="16834" w:h="11909" w:orient="landscape" w:code="9"/>
          <w:pgMar w:top="1077" w:right="1077" w:bottom="1077" w:left="794" w:header="709" w:footer="709" w:gutter="0"/>
          <w:cols w:space="720"/>
          <w:docGrid w:linePitch="299"/>
        </w:sectPr>
      </w:pPr>
      <w:r>
        <w:rPr>
          <w:noProof/>
        </w:rPr>
        <w:lastRenderedPageBreak/>
        <w:pict>
          <v:shape id="Picture 38" o:spid="_x0000_i1044" type="#_x0000_t75" style="width:744.75pt;height:368.25pt;visibility:visible">
            <v:imagedata r:id="rId29" o:title=""/>
          </v:shape>
        </w:pict>
      </w:r>
    </w:p>
    <w:p w:rsidR="00EF3AFF" w:rsidRDefault="00BD4CB8" w:rsidP="001C6ED4">
      <w:pPr>
        <w:pStyle w:val="BodyTextIndent"/>
        <w:jc w:val="left"/>
      </w:pPr>
      <w:r>
        <w:rPr>
          <w:noProof/>
        </w:rPr>
        <w:lastRenderedPageBreak/>
        <w:pict>
          <v:shape id="Picture 40" o:spid="_x0000_i1045" type="#_x0000_t75" style="width:744.75pt;height:437.25pt;visibility:visible">
            <v:imagedata r:id="rId30" o:title=""/>
          </v:shape>
        </w:pict>
      </w:r>
    </w:p>
    <w:p w:rsidR="00EF3AFF" w:rsidRDefault="00EF3AFF" w:rsidP="00481561">
      <w:pPr>
        <w:pStyle w:val="BodyTextIndent"/>
        <w:jc w:val="center"/>
      </w:pPr>
    </w:p>
    <w:p w:rsidR="00EF3AFF" w:rsidRDefault="00EF3AFF" w:rsidP="00481561">
      <w:pPr>
        <w:pStyle w:val="BodyTextIndent"/>
        <w:jc w:val="center"/>
      </w:pPr>
    </w:p>
    <w:p w:rsidR="00EF3AFF" w:rsidRDefault="00EF3AFF" w:rsidP="00481561">
      <w:pPr>
        <w:pStyle w:val="BodyTextIndent"/>
        <w:jc w:val="center"/>
        <w:sectPr w:rsidR="00EF3AFF" w:rsidSect="00745ED2">
          <w:pgSz w:w="16834" w:h="11909" w:orient="landscape" w:code="9"/>
          <w:pgMar w:top="1077" w:right="1077" w:bottom="1077" w:left="794" w:header="709" w:footer="709" w:gutter="0"/>
          <w:cols w:space="720"/>
          <w:docGrid w:linePitch="299"/>
        </w:sectPr>
      </w:pPr>
    </w:p>
    <w:p w:rsidR="00EF3AFF" w:rsidRDefault="00BD4CB8" w:rsidP="00481561">
      <w:pPr>
        <w:pStyle w:val="BodyTextIndent"/>
        <w:jc w:val="center"/>
        <w:sectPr w:rsidR="00EF3AFF" w:rsidSect="00745ED2">
          <w:pgSz w:w="16834" w:h="11909" w:orient="landscape" w:code="9"/>
          <w:pgMar w:top="1077" w:right="1077" w:bottom="1077" w:left="794" w:header="709" w:footer="709" w:gutter="0"/>
          <w:cols w:space="720"/>
          <w:docGrid w:linePitch="299"/>
        </w:sectPr>
      </w:pPr>
      <w:r>
        <w:rPr>
          <w:noProof/>
        </w:rPr>
        <w:lastRenderedPageBreak/>
        <w:pict>
          <v:shape id="Picture 41" o:spid="_x0000_i1046" type="#_x0000_t75" style="width:744.75pt;height:287.25pt;visibility:visible">
            <v:imagedata r:id="rId31" o:title=""/>
          </v:shape>
        </w:pict>
      </w:r>
    </w:p>
    <w:p w:rsidR="00EF3AFF" w:rsidRDefault="00BD4CB8" w:rsidP="001C6ED4">
      <w:pPr>
        <w:pStyle w:val="BodyTextIndent"/>
        <w:jc w:val="left"/>
        <w:rPr>
          <w:b/>
          <w:noProof/>
          <w:sz w:val="28"/>
          <w:szCs w:val="28"/>
        </w:rPr>
      </w:pPr>
      <w:r>
        <w:rPr>
          <w:noProof/>
        </w:rPr>
        <w:lastRenderedPageBreak/>
        <w:pict>
          <v:shape id="Picture 42" o:spid="_x0000_i1047" type="#_x0000_t75" style="width:744.75pt;height:423pt;visibility:visible">
            <v:imagedata r:id="rId32" o:title=""/>
          </v:shape>
        </w:pict>
      </w:r>
    </w:p>
    <w:p w:rsidR="00EF3AFF" w:rsidRDefault="00EF3AFF" w:rsidP="001365F0">
      <w:pPr>
        <w:pStyle w:val="BodyTextIndent"/>
        <w:jc w:val="right"/>
        <w:rPr>
          <w:b/>
          <w:noProof/>
          <w:sz w:val="28"/>
          <w:szCs w:val="28"/>
        </w:rPr>
      </w:pPr>
    </w:p>
    <w:p w:rsidR="00EF3AFF" w:rsidRDefault="00EF3AFF" w:rsidP="001365F0">
      <w:pPr>
        <w:pStyle w:val="BodyTextIndent"/>
        <w:jc w:val="right"/>
        <w:rPr>
          <w:b/>
          <w:noProof/>
          <w:sz w:val="28"/>
          <w:szCs w:val="28"/>
        </w:rPr>
      </w:pPr>
    </w:p>
    <w:p w:rsidR="00EF3AFF" w:rsidRDefault="00EF3AFF" w:rsidP="001365F0">
      <w:pPr>
        <w:pStyle w:val="BodyTextIndent"/>
        <w:jc w:val="right"/>
        <w:rPr>
          <w:b/>
          <w:noProof/>
          <w:sz w:val="28"/>
          <w:szCs w:val="28"/>
        </w:rPr>
      </w:pPr>
    </w:p>
    <w:p w:rsidR="00EF3AFF" w:rsidRDefault="00EF3AFF" w:rsidP="001365F0">
      <w:pPr>
        <w:pStyle w:val="BodyTextIndent"/>
        <w:jc w:val="right"/>
        <w:rPr>
          <w:b/>
          <w:noProof/>
          <w:sz w:val="28"/>
          <w:szCs w:val="28"/>
        </w:rPr>
      </w:pPr>
    </w:p>
    <w:p w:rsidR="00EF3AFF" w:rsidRDefault="00EF3AFF" w:rsidP="001365F0">
      <w:pPr>
        <w:pStyle w:val="BodyTextIndent"/>
        <w:jc w:val="right"/>
        <w:rPr>
          <w:b/>
          <w:noProof/>
          <w:sz w:val="28"/>
          <w:szCs w:val="28"/>
        </w:rPr>
      </w:pPr>
    </w:p>
    <w:p w:rsidR="00EF3AFF" w:rsidRDefault="00EF3AFF" w:rsidP="001365F0">
      <w:pPr>
        <w:pStyle w:val="BodyTextIndent"/>
        <w:jc w:val="right"/>
        <w:rPr>
          <w:b/>
          <w:noProof/>
          <w:sz w:val="28"/>
          <w:szCs w:val="28"/>
        </w:rPr>
      </w:pPr>
      <w:r>
        <w:rPr>
          <w:b/>
          <w:noProof/>
          <w:sz w:val="28"/>
          <w:szCs w:val="28"/>
        </w:rPr>
        <w:t>APPENDIX 7</w:t>
      </w:r>
    </w:p>
    <w:p w:rsidR="00EF3AFF" w:rsidRDefault="00EF3AFF" w:rsidP="001365F0">
      <w:pPr>
        <w:pStyle w:val="BodyTextIndent"/>
        <w:jc w:val="right"/>
        <w:rPr>
          <w:b/>
          <w:noProof/>
          <w:sz w:val="28"/>
          <w:szCs w:val="28"/>
        </w:rPr>
      </w:pPr>
    </w:p>
    <w:p w:rsidR="00EF3AFF" w:rsidRDefault="00EF3AFF" w:rsidP="001C6ED4">
      <w:pPr>
        <w:pStyle w:val="BodyTextIndent"/>
        <w:jc w:val="left"/>
        <w:rPr>
          <w:noProof/>
        </w:rPr>
      </w:pPr>
    </w:p>
    <w:p w:rsidR="00EF3AFF" w:rsidRDefault="00BD4CB8" w:rsidP="001C6ED4">
      <w:pPr>
        <w:pStyle w:val="BodyTextIndent"/>
        <w:jc w:val="left"/>
        <w:rPr>
          <w:b/>
          <w:noProof/>
          <w:sz w:val="28"/>
          <w:szCs w:val="28"/>
        </w:rPr>
      </w:pPr>
      <w:r>
        <w:rPr>
          <w:noProof/>
        </w:rPr>
        <w:pict>
          <v:shape id="Picture 43" o:spid="_x0000_i1048" type="#_x0000_t75" style="width:748.5pt;height:420.75pt;visibility:visible">
            <v:imagedata r:id="rId33" o:title=""/>
          </v:shape>
        </w:pict>
      </w:r>
    </w:p>
    <w:p w:rsidR="00EF3AFF" w:rsidRPr="001365F0" w:rsidRDefault="00EF3AFF" w:rsidP="001365F0">
      <w:pPr>
        <w:pStyle w:val="BodyTextIndent"/>
        <w:jc w:val="right"/>
        <w:rPr>
          <w:b/>
          <w:sz w:val="28"/>
          <w:szCs w:val="28"/>
        </w:rPr>
        <w:sectPr w:rsidR="00EF3AFF" w:rsidRPr="001365F0" w:rsidSect="00ED7DF9">
          <w:pgSz w:w="16834" w:h="11909" w:orient="landscape" w:code="9"/>
          <w:pgMar w:top="1077" w:right="1077" w:bottom="1077" w:left="794" w:header="709" w:footer="709" w:gutter="0"/>
          <w:cols w:space="720"/>
          <w:docGrid w:linePitch="299"/>
        </w:sectPr>
      </w:pPr>
    </w:p>
    <w:p w:rsidR="00EF3AFF" w:rsidRDefault="00BD4CB8" w:rsidP="003755E4">
      <w:pPr>
        <w:pStyle w:val="BodyTextIndent"/>
        <w:jc w:val="center"/>
      </w:pPr>
      <w:r>
        <w:rPr>
          <w:noProof/>
        </w:rPr>
        <w:lastRenderedPageBreak/>
        <w:pict>
          <v:shape id="Picture 44" o:spid="_x0000_i1049" type="#_x0000_t75" style="width:748.5pt;height:393pt;visibility:visible">
            <v:imagedata r:id="rId34" o:title=""/>
          </v:shape>
        </w:pict>
      </w:r>
    </w:p>
    <w:p w:rsidR="00EF3AFF" w:rsidRDefault="00EF3AFF" w:rsidP="003755E4">
      <w:pPr>
        <w:pStyle w:val="BodyTextIndent"/>
        <w:jc w:val="center"/>
      </w:pPr>
    </w:p>
    <w:p w:rsidR="00EF3AFF" w:rsidRDefault="00EF3AFF" w:rsidP="003755E4">
      <w:pPr>
        <w:pStyle w:val="BodyTextIndent"/>
        <w:jc w:val="center"/>
        <w:sectPr w:rsidR="00EF3AFF" w:rsidSect="00ED7DF9">
          <w:pgSz w:w="16834" w:h="11909" w:orient="landscape" w:code="9"/>
          <w:pgMar w:top="1077" w:right="1077" w:bottom="1077" w:left="794" w:header="709" w:footer="709" w:gutter="0"/>
          <w:cols w:space="720"/>
          <w:docGrid w:linePitch="299"/>
        </w:sectPr>
      </w:pPr>
    </w:p>
    <w:p w:rsidR="00EF3AFF" w:rsidRDefault="00EF3AFF" w:rsidP="00094AA6">
      <w:pPr>
        <w:pStyle w:val="BodyTextIndent"/>
        <w:jc w:val="right"/>
        <w:rPr>
          <w:b/>
          <w:sz w:val="28"/>
          <w:szCs w:val="28"/>
        </w:rPr>
      </w:pPr>
      <w:r>
        <w:rPr>
          <w:b/>
          <w:sz w:val="28"/>
          <w:szCs w:val="28"/>
        </w:rPr>
        <w:lastRenderedPageBreak/>
        <w:t>APPENDIX 8</w:t>
      </w:r>
    </w:p>
    <w:p w:rsidR="00EF3AFF" w:rsidRDefault="00EF3AFF" w:rsidP="00094AA6">
      <w:pPr>
        <w:pStyle w:val="BodyTextIndent"/>
        <w:jc w:val="right"/>
        <w:rPr>
          <w:b/>
          <w:sz w:val="28"/>
          <w:szCs w:val="28"/>
        </w:rPr>
      </w:pPr>
    </w:p>
    <w:p w:rsidR="00EF3AFF" w:rsidRPr="00094AA6" w:rsidRDefault="00BD4CB8" w:rsidP="003A5DC3">
      <w:pPr>
        <w:pStyle w:val="BodyTextIndent"/>
        <w:jc w:val="left"/>
        <w:rPr>
          <w:b/>
          <w:sz w:val="28"/>
          <w:szCs w:val="28"/>
        </w:rPr>
      </w:pPr>
      <w:r>
        <w:rPr>
          <w:noProof/>
        </w:rPr>
        <w:pict>
          <v:shape id="Picture 45" o:spid="_x0000_i1050" type="#_x0000_t75" style="width:487.5pt;height:675.75pt;visibility:visible">
            <v:imagedata r:id="rId35" o:title=""/>
          </v:shape>
        </w:pict>
      </w:r>
    </w:p>
    <w:sectPr w:rsidR="00EF3AFF" w:rsidRPr="00094AA6" w:rsidSect="00B4411E">
      <w:pgSz w:w="11909" w:h="16834" w:code="9"/>
      <w:pgMar w:top="1077" w:right="1077" w:bottom="794" w:left="1077"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AFF" w:rsidRDefault="00EF3AFF">
      <w:r>
        <w:separator/>
      </w:r>
    </w:p>
  </w:endnote>
  <w:endnote w:type="continuationSeparator" w:id="0">
    <w:p w:rsidR="00EF3AFF" w:rsidRDefault="00EF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AFF" w:rsidRDefault="00EF3AFF">
    <w:pPr>
      <w:pStyle w:val="Footer"/>
      <w:tabs>
        <w:tab w:val="clear" w:pos="4153"/>
        <w:tab w:val="clear" w:pos="8306"/>
        <w:tab w:val="center" w:pos="4680"/>
        <w:tab w:val="right" w:pos="909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AFF" w:rsidRDefault="00EF3AFF">
      <w:r>
        <w:separator/>
      </w:r>
    </w:p>
  </w:footnote>
  <w:footnote w:type="continuationSeparator" w:id="0">
    <w:p w:rsidR="00EF3AFF" w:rsidRDefault="00EF3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3727"/>
    <w:multiLevelType w:val="multilevel"/>
    <w:tmpl w:val="02223EF8"/>
    <w:lvl w:ilvl="0">
      <w:start w:val="3"/>
      <w:numFmt w:val="decimal"/>
      <w:lvlText w:val="%1"/>
      <w:lvlJc w:val="left"/>
      <w:pPr>
        <w:tabs>
          <w:tab w:val="num" w:pos="1230"/>
        </w:tabs>
        <w:ind w:left="1230" w:hanging="1230"/>
      </w:pPr>
      <w:rPr>
        <w:rFonts w:cs="Times New Roman" w:hint="default"/>
      </w:rPr>
    </w:lvl>
    <w:lvl w:ilvl="1">
      <w:start w:val="1"/>
      <w:numFmt w:val="decimal"/>
      <w:lvlText w:val="%1.%2"/>
      <w:lvlJc w:val="left"/>
      <w:pPr>
        <w:tabs>
          <w:tab w:val="num" w:pos="1230"/>
        </w:tabs>
        <w:ind w:left="1230" w:hanging="1230"/>
      </w:pPr>
      <w:rPr>
        <w:rFonts w:cs="Times New Roman" w:hint="default"/>
      </w:rPr>
    </w:lvl>
    <w:lvl w:ilvl="2">
      <w:start w:val="1"/>
      <w:numFmt w:val="decimal"/>
      <w:lvlText w:val="%1.%2.%3"/>
      <w:lvlJc w:val="left"/>
      <w:pPr>
        <w:tabs>
          <w:tab w:val="num" w:pos="1230"/>
        </w:tabs>
        <w:ind w:left="1230" w:hanging="1230"/>
      </w:pPr>
      <w:rPr>
        <w:rFonts w:cs="Times New Roman" w:hint="default"/>
      </w:rPr>
    </w:lvl>
    <w:lvl w:ilvl="3">
      <w:start w:val="1"/>
      <w:numFmt w:val="decimal"/>
      <w:lvlText w:val="%1.%2.%3.%4"/>
      <w:lvlJc w:val="left"/>
      <w:pPr>
        <w:tabs>
          <w:tab w:val="num" w:pos="1230"/>
        </w:tabs>
        <w:ind w:left="1230" w:hanging="1230"/>
      </w:pPr>
      <w:rPr>
        <w:rFonts w:cs="Times New Roman" w:hint="default"/>
      </w:rPr>
    </w:lvl>
    <w:lvl w:ilvl="4">
      <w:start w:val="1"/>
      <w:numFmt w:val="decimal"/>
      <w:lvlText w:val="%1.%2.%3.%4.%5"/>
      <w:lvlJc w:val="left"/>
      <w:pPr>
        <w:tabs>
          <w:tab w:val="num" w:pos="1230"/>
        </w:tabs>
        <w:ind w:left="1230" w:hanging="1230"/>
      </w:pPr>
      <w:rPr>
        <w:rFonts w:cs="Times New Roman" w:hint="default"/>
      </w:rPr>
    </w:lvl>
    <w:lvl w:ilvl="5">
      <w:start w:val="1"/>
      <w:numFmt w:val="decimal"/>
      <w:lvlText w:val="%1.%2.%3.%4.%5.%6"/>
      <w:lvlJc w:val="left"/>
      <w:pPr>
        <w:tabs>
          <w:tab w:val="num" w:pos="1230"/>
        </w:tabs>
        <w:ind w:left="1230" w:hanging="123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1CE3201"/>
    <w:multiLevelType w:val="multilevel"/>
    <w:tmpl w:val="6F6E454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85F1920"/>
    <w:multiLevelType w:val="multilevel"/>
    <w:tmpl w:val="095C5F14"/>
    <w:lvl w:ilvl="0">
      <w:start w:val="4"/>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231D5B66"/>
    <w:multiLevelType w:val="multilevel"/>
    <w:tmpl w:val="5094A83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39C525C"/>
    <w:multiLevelType w:val="hybridMultilevel"/>
    <w:tmpl w:val="D0CA7D64"/>
    <w:lvl w:ilvl="0" w:tplc="8DA453F2">
      <w:start w:val="7"/>
      <w:numFmt w:val="decimal"/>
      <w:lvlText w:val="%1."/>
      <w:lvlJc w:val="left"/>
      <w:pPr>
        <w:tabs>
          <w:tab w:val="num" w:pos="1260"/>
        </w:tabs>
        <w:ind w:left="1260" w:hanging="1260"/>
      </w:pPr>
      <w:rPr>
        <w:rFonts w:cs="Times New Roman" w:hint="default"/>
      </w:rPr>
    </w:lvl>
    <w:lvl w:ilvl="1" w:tplc="08090019" w:tentative="1">
      <w:start w:val="1"/>
      <w:numFmt w:val="lowerLetter"/>
      <w:lvlText w:val="%2."/>
      <w:lvlJc w:val="left"/>
      <w:pPr>
        <w:tabs>
          <w:tab w:val="num" w:pos="1648"/>
        </w:tabs>
        <w:ind w:left="1648" w:hanging="360"/>
      </w:pPr>
      <w:rPr>
        <w:rFonts w:cs="Times New Roman"/>
      </w:rPr>
    </w:lvl>
    <w:lvl w:ilvl="2" w:tplc="0809001B" w:tentative="1">
      <w:start w:val="1"/>
      <w:numFmt w:val="lowerRoman"/>
      <w:lvlText w:val="%3."/>
      <w:lvlJc w:val="right"/>
      <w:pPr>
        <w:tabs>
          <w:tab w:val="num" w:pos="2368"/>
        </w:tabs>
        <w:ind w:left="2368" w:hanging="180"/>
      </w:pPr>
      <w:rPr>
        <w:rFonts w:cs="Times New Roman"/>
      </w:rPr>
    </w:lvl>
    <w:lvl w:ilvl="3" w:tplc="0809000F" w:tentative="1">
      <w:start w:val="1"/>
      <w:numFmt w:val="decimal"/>
      <w:lvlText w:val="%4."/>
      <w:lvlJc w:val="left"/>
      <w:pPr>
        <w:tabs>
          <w:tab w:val="num" w:pos="3088"/>
        </w:tabs>
        <w:ind w:left="3088" w:hanging="360"/>
      </w:pPr>
      <w:rPr>
        <w:rFonts w:cs="Times New Roman"/>
      </w:rPr>
    </w:lvl>
    <w:lvl w:ilvl="4" w:tplc="08090019" w:tentative="1">
      <w:start w:val="1"/>
      <w:numFmt w:val="lowerLetter"/>
      <w:lvlText w:val="%5."/>
      <w:lvlJc w:val="left"/>
      <w:pPr>
        <w:tabs>
          <w:tab w:val="num" w:pos="3808"/>
        </w:tabs>
        <w:ind w:left="3808" w:hanging="360"/>
      </w:pPr>
      <w:rPr>
        <w:rFonts w:cs="Times New Roman"/>
      </w:rPr>
    </w:lvl>
    <w:lvl w:ilvl="5" w:tplc="0809001B" w:tentative="1">
      <w:start w:val="1"/>
      <w:numFmt w:val="lowerRoman"/>
      <w:lvlText w:val="%6."/>
      <w:lvlJc w:val="right"/>
      <w:pPr>
        <w:tabs>
          <w:tab w:val="num" w:pos="4528"/>
        </w:tabs>
        <w:ind w:left="4528" w:hanging="180"/>
      </w:pPr>
      <w:rPr>
        <w:rFonts w:cs="Times New Roman"/>
      </w:rPr>
    </w:lvl>
    <w:lvl w:ilvl="6" w:tplc="0809000F" w:tentative="1">
      <w:start w:val="1"/>
      <w:numFmt w:val="decimal"/>
      <w:lvlText w:val="%7."/>
      <w:lvlJc w:val="left"/>
      <w:pPr>
        <w:tabs>
          <w:tab w:val="num" w:pos="5248"/>
        </w:tabs>
        <w:ind w:left="5248" w:hanging="360"/>
      </w:pPr>
      <w:rPr>
        <w:rFonts w:cs="Times New Roman"/>
      </w:rPr>
    </w:lvl>
    <w:lvl w:ilvl="7" w:tplc="08090019" w:tentative="1">
      <w:start w:val="1"/>
      <w:numFmt w:val="lowerLetter"/>
      <w:lvlText w:val="%8."/>
      <w:lvlJc w:val="left"/>
      <w:pPr>
        <w:tabs>
          <w:tab w:val="num" w:pos="5968"/>
        </w:tabs>
        <w:ind w:left="5968" w:hanging="360"/>
      </w:pPr>
      <w:rPr>
        <w:rFonts w:cs="Times New Roman"/>
      </w:rPr>
    </w:lvl>
    <w:lvl w:ilvl="8" w:tplc="0809001B" w:tentative="1">
      <w:start w:val="1"/>
      <w:numFmt w:val="lowerRoman"/>
      <w:lvlText w:val="%9."/>
      <w:lvlJc w:val="right"/>
      <w:pPr>
        <w:tabs>
          <w:tab w:val="num" w:pos="6688"/>
        </w:tabs>
        <w:ind w:left="6688" w:hanging="180"/>
      </w:pPr>
      <w:rPr>
        <w:rFonts w:cs="Times New Roman"/>
      </w:rPr>
    </w:lvl>
  </w:abstractNum>
  <w:abstractNum w:abstractNumId="5">
    <w:nsid w:val="251D7CC9"/>
    <w:multiLevelType w:val="hybridMultilevel"/>
    <w:tmpl w:val="0E542724"/>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6">
    <w:nsid w:val="2F3134F7"/>
    <w:multiLevelType w:val="multilevel"/>
    <w:tmpl w:val="5A54BFEE"/>
    <w:lvl w:ilvl="0">
      <w:start w:val="4"/>
      <w:numFmt w:val="decimal"/>
      <w:lvlText w:val="%1"/>
      <w:lvlJc w:val="left"/>
      <w:pPr>
        <w:tabs>
          <w:tab w:val="num" w:pos="1260"/>
        </w:tabs>
        <w:ind w:left="1260" w:hanging="1260"/>
      </w:pPr>
      <w:rPr>
        <w:rFonts w:cs="Times New Roman" w:hint="default"/>
      </w:rPr>
    </w:lvl>
    <w:lvl w:ilvl="1">
      <w:start w:val="2"/>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2D7310F"/>
    <w:multiLevelType w:val="multilevel"/>
    <w:tmpl w:val="821A9BA0"/>
    <w:lvl w:ilvl="0">
      <w:start w:val="2"/>
      <w:numFmt w:val="decimal"/>
      <w:lvlText w:val="%1"/>
      <w:lvlJc w:val="left"/>
      <w:pPr>
        <w:tabs>
          <w:tab w:val="num" w:pos="1260"/>
        </w:tabs>
        <w:ind w:left="1260" w:hanging="1260"/>
      </w:pPr>
      <w:rPr>
        <w:rFonts w:cs="Times New Roman" w:hint="default"/>
      </w:rPr>
    </w:lvl>
    <w:lvl w:ilvl="1">
      <w:start w:val="6"/>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34195B16"/>
    <w:multiLevelType w:val="multilevel"/>
    <w:tmpl w:val="3BCC8C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37823A63"/>
    <w:multiLevelType w:val="hybridMultilevel"/>
    <w:tmpl w:val="353E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09431B"/>
    <w:multiLevelType w:val="hybridMultilevel"/>
    <w:tmpl w:val="3D28834A"/>
    <w:lvl w:ilvl="0" w:tplc="08090001">
      <w:start w:val="1"/>
      <w:numFmt w:val="bullet"/>
      <w:lvlText w:val=""/>
      <w:lvlJc w:val="left"/>
      <w:pPr>
        <w:ind w:left="1980" w:hanging="360"/>
      </w:pPr>
      <w:rPr>
        <w:rFonts w:ascii="Symbol" w:hAnsi="Symbol" w:hint="default"/>
      </w:rPr>
    </w:lvl>
    <w:lvl w:ilvl="1" w:tplc="08090003">
      <w:start w:val="1"/>
      <w:numFmt w:val="bullet"/>
      <w:lvlText w:val="o"/>
      <w:lvlJc w:val="left"/>
      <w:pPr>
        <w:ind w:left="2700" w:hanging="360"/>
      </w:pPr>
      <w:rPr>
        <w:rFonts w:ascii="Courier New" w:hAnsi="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11">
    <w:nsid w:val="454E0F24"/>
    <w:multiLevelType w:val="multilevel"/>
    <w:tmpl w:val="15DE6374"/>
    <w:lvl w:ilvl="0">
      <w:start w:val="6"/>
      <w:numFmt w:val="decimal"/>
      <w:lvlText w:val="%1"/>
      <w:lvlJc w:val="left"/>
      <w:pPr>
        <w:tabs>
          <w:tab w:val="num" w:pos="1290"/>
        </w:tabs>
        <w:ind w:left="1290" w:hanging="1290"/>
      </w:pPr>
      <w:rPr>
        <w:rFonts w:cs="Times New Roman" w:hint="default"/>
        <w:b w:val="0"/>
        <w:i w:val="0"/>
      </w:rPr>
    </w:lvl>
    <w:lvl w:ilvl="1">
      <w:start w:val="4"/>
      <w:numFmt w:val="decimal"/>
      <w:lvlText w:val="%1.%2"/>
      <w:lvlJc w:val="left"/>
      <w:pPr>
        <w:tabs>
          <w:tab w:val="num" w:pos="1290"/>
        </w:tabs>
        <w:ind w:left="1290" w:hanging="1290"/>
      </w:pPr>
      <w:rPr>
        <w:rFonts w:cs="Times New Roman" w:hint="default"/>
        <w:b w:val="0"/>
        <w:i w:val="0"/>
      </w:rPr>
    </w:lvl>
    <w:lvl w:ilvl="2">
      <w:start w:val="1"/>
      <w:numFmt w:val="decimal"/>
      <w:lvlText w:val="%1.%2.%3"/>
      <w:lvlJc w:val="left"/>
      <w:pPr>
        <w:tabs>
          <w:tab w:val="num" w:pos="1290"/>
        </w:tabs>
        <w:ind w:left="1290" w:hanging="1290"/>
      </w:pPr>
      <w:rPr>
        <w:rFonts w:cs="Times New Roman" w:hint="default"/>
        <w:b w:val="0"/>
        <w:i w:val="0"/>
      </w:rPr>
    </w:lvl>
    <w:lvl w:ilvl="3">
      <w:start w:val="1"/>
      <w:numFmt w:val="decimal"/>
      <w:lvlText w:val="%1.%2.%3.%4"/>
      <w:lvlJc w:val="left"/>
      <w:pPr>
        <w:tabs>
          <w:tab w:val="num" w:pos="1290"/>
        </w:tabs>
        <w:ind w:left="1290" w:hanging="1290"/>
      </w:pPr>
      <w:rPr>
        <w:rFonts w:cs="Times New Roman" w:hint="default"/>
        <w:b w:val="0"/>
        <w:i w:val="0"/>
      </w:rPr>
    </w:lvl>
    <w:lvl w:ilvl="4">
      <w:start w:val="1"/>
      <w:numFmt w:val="decimal"/>
      <w:lvlText w:val="%1.%2.%3.%4.%5"/>
      <w:lvlJc w:val="left"/>
      <w:pPr>
        <w:tabs>
          <w:tab w:val="num" w:pos="1290"/>
        </w:tabs>
        <w:ind w:left="1290" w:hanging="1290"/>
      </w:pPr>
      <w:rPr>
        <w:rFonts w:cs="Times New Roman" w:hint="default"/>
        <w:b w:val="0"/>
        <w:i w:val="0"/>
      </w:rPr>
    </w:lvl>
    <w:lvl w:ilvl="5">
      <w:start w:val="1"/>
      <w:numFmt w:val="decimal"/>
      <w:lvlText w:val="%1.%2.%3.%4.%5.%6"/>
      <w:lvlJc w:val="left"/>
      <w:pPr>
        <w:tabs>
          <w:tab w:val="num" w:pos="1290"/>
        </w:tabs>
        <w:ind w:left="1290" w:hanging="1290"/>
      </w:pPr>
      <w:rPr>
        <w:rFonts w:cs="Times New Roman" w:hint="default"/>
        <w:b w:val="0"/>
        <w:i w:val="0"/>
      </w:rPr>
    </w:lvl>
    <w:lvl w:ilvl="6">
      <w:start w:val="1"/>
      <w:numFmt w:val="decimal"/>
      <w:lvlText w:val="%1.%2.%3.%4.%5.%6.%7"/>
      <w:lvlJc w:val="left"/>
      <w:pPr>
        <w:tabs>
          <w:tab w:val="num" w:pos="1440"/>
        </w:tabs>
        <w:ind w:left="1440" w:hanging="1440"/>
      </w:pPr>
      <w:rPr>
        <w:rFonts w:cs="Times New Roman" w:hint="default"/>
        <w:b w:val="0"/>
        <w:i w:val="0"/>
      </w:rPr>
    </w:lvl>
    <w:lvl w:ilvl="7">
      <w:start w:val="1"/>
      <w:numFmt w:val="decimal"/>
      <w:lvlText w:val="%1.%2.%3.%4.%5.%6.%7.%8"/>
      <w:lvlJc w:val="left"/>
      <w:pPr>
        <w:tabs>
          <w:tab w:val="num" w:pos="1440"/>
        </w:tabs>
        <w:ind w:left="1440" w:hanging="1440"/>
      </w:pPr>
      <w:rPr>
        <w:rFonts w:cs="Times New Roman" w:hint="default"/>
        <w:b w:val="0"/>
        <w:i w:val="0"/>
      </w:rPr>
    </w:lvl>
    <w:lvl w:ilvl="8">
      <w:start w:val="1"/>
      <w:numFmt w:val="decimal"/>
      <w:lvlText w:val="%1.%2.%3.%4.%5.%6.%7.%8.%9"/>
      <w:lvlJc w:val="left"/>
      <w:pPr>
        <w:tabs>
          <w:tab w:val="num" w:pos="1800"/>
        </w:tabs>
        <w:ind w:left="1800" w:hanging="1800"/>
      </w:pPr>
      <w:rPr>
        <w:rFonts w:cs="Times New Roman" w:hint="default"/>
        <w:b w:val="0"/>
        <w:i w:val="0"/>
      </w:rPr>
    </w:lvl>
  </w:abstractNum>
  <w:abstractNum w:abstractNumId="12">
    <w:nsid w:val="52A2574D"/>
    <w:multiLevelType w:val="multilevel"/>
    <w:tmpl w:val="353E0F8A"/>
    <w:lvl w:ilvl="0">
      <w:start w:val="7"/>
      <w:numFmt w:val="decimal"/>
      <w:lvlText w:val="%1"/>
      <w:lvlJc w:val="left"/>
      <w:pPr>
        <w:tabs>
          <w:tab w:val="num" w:pos="1245"/>
        </w:tabs>
        <w:ind w:left="1245" w:hanging="1245"/>
      </w:pPr>
      <w:rPr>
        <w:rFonts w:cs="Times New Roman" w:hint="default"/>
      </w:rPr>
    </w:lvl>
    <w:lvl w:ilvl="1">
      <w:start w:val="2"/>
      <w:numFmt w:val="decimal"/>
      <w:lvlText w:val="%1.%2"/>
      <w:lvlJc w:val="left"/>
      <w:pPr>
        <w:tabs>
          <w:tab w:val="num" w:pos="1245"/>
        </w:tabs>
        <w:ind w:left="1245" w:hanging="1245"/>
      </w:pPr>
      <w:rPr>
        <w:rFonts w:cs="Times New Roman" w:hint="default"/>
      </w:rPr>
    </w:lvl>
    <w:lvl w:ilvl="2">
      <w:start w:val="1"/>
      <w:numFmt w:val="decimal"/>
      <w:lvlText w:val="%1.%2.%3"/>
      <w:lvlJc w:val="left"/>
      <w:pPr>
        <w:tabs>
          <w:tab w:val="num" w:pos="1245"/>
        </w:tabs>
        <w:ind w:left="1245" w:hanging="1245"/>
      </w:pPr>
      <w:rPr>
        <w:rFonts w:cs="Times New Roman" w:hint="default"/>
      </w:rPr>
    </w:lvl>
    <w:lvl w:ilvl="3">
      <w:start w:val="1"/>
      <w:numFmt w:val="decimal"/>
      <w:lvlText w:val="%1.%2.%3.%4"/>
      <w:lvlJc w:val="left"/>
      <w:pPr>
        <w:tabs>
          <w:tab w:val="num" w:pos="1245"/>
        </w:tabs>
        <w:ind w:left="1245" w:hanging="1245"/>
      </w:pPr>
      <w:rPr>
        <w:rFonts w:cs="Times New Roman" w:hint="default"/>
      </w:rPr>
    </w:lvl>
    <w:lvl w:ilvl="4">
      <w:start w:val="1"/>
      <w:numFmt w:val="decimal"/>
      <w:lvlText w:val="%1.%2.%3.%4.%5"/>
      <w:lvlJc w:val="left"/>
      <w:pPr>
        <w:tabs>
          <w:tab w:val="num" w:pos="1245"/>
        </w:tabs>
        <w:ind w:left="1245" w:hanging="1245"/>
      </w:pPr>
      <w:rPr>
        <w:rFonts w:cs="Times New Roman" w:hint="default"/>
      </w:rPr>
    </w:lvl>
    <w:lvl w:ilvl="5">
      <w:start w:val="1"/>
      <w:numFmt w:val="decimal"/>
      <w:lvlText w:val="%1.%2.%3.%4.%5.%6"/>
      <w:lvlJc w:val="left"/>
      <w:pPr>
        <w:tabs>
          <w:tab w:val="num" w:pos="1245"/>
        </w:tabs>
        <w:ind w:left="1245" w:hanging="124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3912103"/>
    <w:multiLevelType w:val="multilevel"/>
    <w:tmpl w:val="25F6C982"/>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6FA7411"/>
    <w:multiLevelType w:val="hybridMultilevel"/>
    <w:tmpl w:val="1C843F1C"/>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5">
    <w:nsid w:val="59CB028D"/>
    <w:multiLevelType w:val="multilevel"/>
    <w:tmpl w:val="3162064E"/>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59EF0003"/>
    <w:multiLevelType w:val="hybridMultilevel"/>
    <w:tmpl w:val="32DA38C6"/>
    <w:lvl w:ilvl="0" w:tplc="08090001">
      <w:start w:val="1"/>
      <w:numFmt w:val="bullet"/>
      <w:lvlText w:val=""/>
      <w:lvlJc w:val="left"/>
      <w:pPr>
        <w:ind w:left="2038" w:hanging="360"/>
      </w:pPr>
      <w:rPr>
        <w:rFonts w:ascii="Symbol" w:hAnsi="Symbol" w:hint="default"/>
      </w:rPr>
    </w:lvl>
    <w:lvl w:ilvl="1" w:tplc="08090003" w:tentative="1">
      <w:start w:val="1"/>
      <w:numFmt w:val="bullet"/>
      <w:lvlText w:val="o"/>
      <w:lvlJc w:val="left"/>
      <w:pPr>
        <w:ind w:left="2758" w:hanging="360"/>
      </w:pPr>
      <w:rPr>
        <w:rFonts w:ascii="Courier New" w:hAnsi="Courier New" w:hint="default"/>
      </w:rPr>
    </w:lvl>
    <w:lvl w:ilvl="2" w:tplc="08090005" w:tentative="1">
      <w:start w:val="1"/>
      <w:numFmt w:val="bullet"/>
      <w:lvlText w:val=""/>
      <w:lvlJc w:val="left"/>
      <w:pPr>
        <w:ind w:left="3478" w:hanging="360"/>
      </w:pPr>
      <w:rPr>
        <w:rFonts w:ascii="Wingdings" w:hAnsi="Wingdings" w:hint="default"/>
      </w:rPr>
    </w:lvl>
    <w:lvl w:ilvl="3" w:tplc="08090001" w:tentative="1">
      <w:start w:val="1"/>
      <w:numFmt w:val="bullet"/>
      <w:lvlText w:val=""/>
      <w:lvlJc w:val="left"/>
      <w:pPr>
        <w:ind w:left="4198" w:hanging="360"/>
      </w:pPr>
      <w:rPr>
        <w:rFonts w:ascii="Symbol" w:hAnsi="Symbol" w:hint="default"/>
      </w:rPr>
    </w:lvl>
    <w:lvl w:ilvl="4" w:tplc="08090003" w:tentative="1">
      <w:start w:val="1"/>
      <w:numFmt w:val="bullet"/>
      <w:lvlText w:val="o"/>
      <w:lvlJc w:val="left"/>
      <w:pPr>
        <w:ind w:left="4918" w:hanging="360"/>
      </w:pPr>
      <w:rPr>
        <w:rFonts w:ascii="Courier New" w:hAnsi="Courier New" w:hint="default"/>
      </w:rPr>
    </w:lvl>
    <w:lvl w:ilvl="5" w:tplc="08090005" w:tentative="1">
      <w:start w:val="1"/>
      <w:numFmt w:val="bullet"/>
      <w:lvlText w:val=""/>
      <w:lvlJc w:val="left"/>
      <w:pPr>
        <w:ind w:left="5638" w:hanging="360"/>
      </w:pPr>
      <w:rPr>
        <w:rFonts w:ascii="Wingdings" w:hAnsi="Wingdings" w:hint="default"/>
      </w:rPr>
    </w:lvl>
    <w:lvl w:ilvl="6" w:tplc="08090001" w:tentative="1">
      <w:start w:val="1"/>
      <w:numFmt w:val="bullet"/>
      <w:lvlText w:val=""/>
      <w:lvlJc w:val="left"/>
      <w:pPr>
        <w:ind w:left="6358" w:hanging="360"/>
      </w:pPr>
      <w:rPr>
        <w:rFonts w:ascii="Symbol" w:hAnsi="Symbol" w:hint="default"/>
      </w:rPr>
    </w:lvl>
    <w:lvl w:ilvl="7" w:tplc="08090003" w:tentative="1">
      <w:start w:val="1"/>
      <w:numFmt w:val="bullet"/>
      <w:lvlText w:val="o"/>
      <w:lvlJc w:val="left"/>
      <w:pPr>
        <w:ind w:left="7078" w:hanging="360"/>
      </w:pPr>
      <w:rPr>
        <w:rFonts w:ascii="Courier New" w:hAnsi="Courier New" w:hint="default"/>
      </w:rPr>
    </w:lvl>
    <w:lvl w:ilvl="8" w:tplc="08090005" w:tentative="1">
      <w:start w:val="1"/>
      <w:numFmt w:val="bullet"/>
      <w:lvlText w:val=""/>
      <w:lvlJc w:val="left"/>
      <w:pPr>
        <w:ind w:left="7798" w:hanging="360"/>
      </w:pPr>
      <w:rPr>
        <w:rFonts w:ascii="Wingdings" w:hAnsi="Wingdings" w:hint="default"/>
      </w:rPr>
    </w:lvl>
  </w:abstractNum>
  <w:abstractNum w:abstractNumId="17">
    <w:nsid w:val="5B2854FD"/>
    <w:multiLevelType w:val="hybridMultilevel"/>
    <w:tmpl w:val="97866714"/>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465"/>
        </w:tabs>
        <w:ind w:left="2465" w:hanging="360"/>
      </w:pPr>
      <w:rPr>
        <w:rFonts w:ascii="Courier New" w:hAnsi="Courier New" w:hint="default"/>
      </w:rPr>
    </w:lvl>
    <w:lvl w:ilvl="2" w:tplc="08090005" w:tentative="1">
      <w:start w:val="1"/>
      <w:numFmt w:val="bullet"/>
      <w:lvlText w:val=""/>
      <w:lvlJc w:val="left"/>
      <w:pPr>
        <w:tabs>
          <w:tab w:val="num" w:pos="3185"/>
        </w:tabs>
        <w:ind w:left="3185" w:hanging="360"/>
      </w:pPr>
      <w:rPr>
        <w:rFonts w:ascii="Wingdings" w:hAnsi="Wingdings" w:hint="default"/>
      </w:rPr>
    </w:lvl>
    <w:lvl w:ilvl="3" w:tplc="08090001" w:tentative="1">
      <w:start w:val="1"/>
      <w:numFmt w:val="bullet"/>
      <w:lvlText w:val=""/>
      <w:lvlJc w:val="left"/>
      <w:pPr>
        <w:tabs>
          <w:tab w:val="num" w:pos="3905"/>
        </w:tabs>
        <w:ind w:left="3905" w:hanging="360"/>
      </w:pPr>
      <w:rPr>
        <w:rFonts w:ascii="Symbol" w:hAnsi="Symbol" w:hint="default"/>
      </w:rPr>
    </w:lvl>
    <w:lvl w:ilvl="4" w:tplc="08090003" w:tentative="1">
      <w:start w:val="1"/>
      <w:numFmt w:val="bullet"/>
      <w:lvlText w:val="o"/>
      <w:lvlJc w:val="left"/>
      <w:pPr>
        <w:tabs>
          <w:tab w:val="num" w:pos="4625"/>
        </w:tabs>
        <w:ind w:left="4625" w:hanging="360"/>
      </w:pPr>
      <w:rPr>
        <w:rFonts w:ascii="Courier New" w:hAnsi="Courier New" w:hint="default"/>
      </w:rPr>
    </w:lvl>
    <w:lvl w:ilvl="5" w:tplc="08090005" w:tentative="1">
      <w:start w:val="1"/>
      <w:numFmt w:val="bullet"/>
      <w:lvlText w:val=""/>
      <w:lvlJc w:val="left"/>
      <w:pPr>
        <w:tabs>
          <w:tab w:val="num" w:pos="5345"/>
        </w:tabs>
        <w:ind w:left="5345" w:hanging="360"/>
      </w:pPr>
      <w:rPr>
        <w:rFonts w:ascii="Wingdings" w:hAnsi="Wingdings" w:hint="default"/>
      </w:rPr>
    </w:lvl>
    <w:lvl w:ilvl="6" w:tplc="08090001" w:tentative="1">
      <w:start w:val="1"/>
      <w:numFmt w:val="bullet"/>
      <w:lvlText w:val=""/>
      <w:lvlJc w:val="left"/>
      <w:pPr>
        <w:tabs>
          <w:tab w:val="num" w:pos="6065"/>
        </w:tabs>
        <w:ind w:left="6065" w:hanging="360"/>
      </w:pPr>
      <w:rPr>
        <w:rFonts w:ascii="Symbol" w:hAnsi="Symbol" w:hint="default"/>
      </w:rPr>
    </w:lvl>
    <w:lvl w:ilvl="7" w:tplc="08090003" w:tentative="1">
      <w:start w:val="1"/>
      <w:numFmt w:val="bullet"/>
      <w:lvlText w:val="o"/>
      <w:lvlJc w:val="left"/>
      <w:pPr>
        <w:tabs>
          <w:tab w:val="num" w:pos="6785"/>
        </w:tabs>
        <w:ind w:left="6785" w:hanging="360"/>
      </w:pPr>
      <w:rPr>
        <w:rFonts w:ascii="Courier New" w:hAnsi="Courier New" w:hint="default"/>
      </w:rPr>
    </w:lvl>
    <w:lvl w:ilvl="8" w:tplc="08090005" w:tentative="1">
      <w:start w:val="1"/>
      <w:numFmt w:val="bullet"/>
      <w:lvlText w:val=""/>
      <w:lvlJc w:val="left"/>
      <w:pPr>
        <w:tabs>
          <w:tab w:val="num" w:pos="7505"/>
        </w:tabs>
        <w:ind w:left="7505" w:hanging="360"/>
      </w:pPr>
      <w:rPr>
        <w:rFonts w:ascii="Wingdings" w:hAnsi="Wingdings" w:hint="default"/>
      </w:rPr>
    </w:lvl>
  </w:abstractNum>
  <w:abstractNum w:abstractNumId="18">
    <w:nsid w:val="60E045A1"/>
    <w:multiLevelType w:val="hybridMultilevel"/>
    <w:tmpl w:val="210079F6"/>
    <w:lvl w:ilvl="0" w:tplc="08090001">
      <w:start w:val="1"/>
      <w:numFmt w:val="bullet"/>
      <w:lvlText w:val=""/>
      <w:lvlJc w:val="left"/>
      <w:pPr>
        <w:ind w:left="1212" w:hanging="360"/>
      </w:pPr>
      <w:rPr>
        <w:rFonts w:ascii="Symbol" w:hAnsi="Symbol" w:hint="default"/>
      </w:rPr>
    </w:lvl>
    <w:lvl w:ilvl="1" w:tplc="08090003">
      <w:start w:val="1"/>
      <w:numFmt w:val="bullet"/>
      <w:lvlText w:val="o"/>
      <w:lvlJc w:val="left"/>
      <w:pPr>
        <w:ind w:left="1932" w:hanging="360"/>
      </w:pPr>
      <w:rPr>
        <w:rFonts w:ascii="Courier New" w:hAnsi="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19">
    <w:nsid w:val="64BC58EE"/>
    <w:multiLevelType w:val="multilevel"/>
    <w:tmpl w:val="E8128488"/>
    <w:lvl w:ilvl="0">
      <w:start w:val="6"/>
      <w:numFmt w:val="decimal"/>
      <w:lvlText w:val="%1"/>
      <w:lvlJc w:val="left"/>
      <w:pPr>
        <w:tabs>
          <w:tab w:val="num" w:pos="1260"/>
        </w:tabs>
        <w:ind w:left="1260" w:hanging="1260"/>
      </w:pPr>
      <w:rPr>
        <w:rFonts w:cs="Times New Roman" w:hint="default"/>
      </w:rPr>
    </w:lvl>
    <w:lvl w:ilvl="1">
      <w:start w:val="2"/>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66D30864"/>
    <w:multiLevelType w:val="multilevel"/>
    <w:tmpl w:val="353E0F8A"/>
    <w:lvl w:ilvl="0">
      <w:start w:val="7"/>
      <w:numFmt w:val="decimal"/>
      <w:lvlText w:val="%1"/>
      <w:lvlJc w:val="left"/>
      <w:pPr>
        <w:tabs>
          <w:tab w:val="num" w:pos="1245"/>
        </w:tabs>
        <w:ind w:left="1245" w:hanging="1245"/>
      </w:pPr>
      <w:rPr>
        <w:rFonts w:cs="Times New Roman" w:hint="default"/>
      </w:rPr>
    </w:lvl>
    <w:lvl w:ilvl="1">
      <w:start w:val="2"/>
      <w:numFmt w:val="decimal"/>
      <w:lvlText w:val="%1.%2"/>
      <w:lvlJc w:val="left"/>
      <w:pPr>
        <w:tabs>
          <w:tab w:val="num" w:pos="1245"/>
        </w:tabs>
        <w:ind w:left="1245" w:hanging="1245"/>
      </w:pPr>
      <w:rPr>
        <w:rFonts w:cs="Times New Roman" w:hint="default"/>
      </w:rPr>
    </w:lvl>
    <w:lvl w:ilvl="2">
      <w:start w:val="1"/>
      <w:numFmt w:val="decimal"/>
      <w:lvlText w:val="%1.%2.%3"/>
      <w:lvlJc w:val="left"/>
      <w:pPr>
        <w:tabs>
          <w:tab w:val="num" w:pos="1245"/>
        </w:tabs>
        <w:ind w:left="1245" w:hanging="1245"/>
      </w:pPr>
      <w:rPr>
        <w:rFonts w:cs="Times New Roman" w:hint="default"/>
      </w:rPr>
    </w:lvl>
    <w:lvl w:ilvl="3">
      <w:start w:val="1"/>
      <w:numFmt w:val="decimal"/>
      <w:lvlText w:val="%1.%2.%3.%4"/>
      <w:lvlJc w:val="left"/>
      <w:pPr>
        <w:tabs>
          <w:tab w:val="num" w:pos="1245"/>
        </w:tabs>
        <w:ind w:left="1245" w:hanging="1245"/>
      </w:pPr>
      <w:rPr>
        <w:rFonts w:cs="Times New Roman" w:hint="default"/>
      </w:rPr>
    </w:lvl>
    <w:lvl w:ilvl="4">
      <w:start w:val="1"/>
      <w:numFmt w:val="decimal"/>
      <w:lvlText w:val="%1.%2.%3.%4.%5"/>
      <w:lvlJc w:val="left"/>
      <w:pPr>
        <w:tabs>
          <w:tab w:val="num" w:pos="1245"/>
        </w:tabs>
        <w:ind w:left="1245" w:hanging="1245"/>
      </w:pPr>
      <w:rPr>
        <w:rFonts w:cs="Times New Roman" w:hint="default"/>
      </w:rPr>
    </w:lvl>
    <w:lvl w:ilvl="5">
      <w:start w:val="1"/>
      <w:numFmt w:val="decimal"/>
      <w:lvlText w:val="%1.%2.%3.%4.%5.%6"/>
      <w:lvlJc w:val="left"/>
      <w:pPr>
        <w:tabs>
          <w:tab w:val="num" w:pos="1245"/>
        </w:tabs>
        <w:ind w:left="1245" w:hanging="124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94F3F7B"/>
    <w:multiLevelType w:val="multilevel"/>
    <w:tmpl w:val="7FE0380E"/>
    <w:lvl w:ilvl="0">
      <w:start w:val="2"/>
      <w:numFmt w:val="decimal"/>
      <w:lvlText w:val="%1."/>
      <w:lvlJc w:val="left"/>
      <w:pPr>
        <w:tabs>
          <w:tab w:val="num" w:pos="1260"/>
        </w:tabs>
        <w:ind w:left="1260" w:hanging="1260"/>
      </w:pPr>
      <w:rPr>
        <w:rFonts w:cs="Times New Roman" w:hint="default"/>
        <w:b w:val="0"/>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6D0F396C"/>
    <w:multiLevelType w:val="hybridMultilevel"/>
    <w:tmpl w:val="E99CC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F405FA"/>
    <w:multiLevelType w:val="multilevel"/>
    <w:tmpl w:val="131A40E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6F8F21D7"/>
    <w:multiLevelType w:val="hybridMultilevel"/>
    <w:tmpl w:val="DAA0BE0C"/>
    <w:lvl w:ilvl="0" w:tplc="0F523B72">
      <w:start w:val="9"/>
      <w:numFmt w:val="decimal"/>
      <w:lvlText w:val="%1"/>
      <w:lvlJc w:val="left"/>
      <w:pPr>
        <w:tabs>
          <w:tab w:val="num" w:pos="1620"/>
        </w:tabs>
        <w:ind w:left="1620" w:hanging="12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71EE786A"/>
    <w:multiLevelType w:val="hybridMultilevel"/>
    <w:tmpl w:val="7CC64008"/>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num w:numId="1">
    <w:abstractNumId w:val="8"/>
  </w:num>
  <w:num w:numId="2">
    <w:abstractNumId w:val="0"/>
  </w:num>
  <w:num w:numId="3">
    <w:abstractNumId w:val="6"/>
  </w:num>
  <w:num w:numId="4">
    <w:abstractNumId w:val="15"/>
  </w:num>
  <w:num w:numId="5">
    <w:abstractNumId w:val="19"/>
  </w:num>
  <w:num w:numId="6">
    <w:abstractNumId w:val="5"/>
  </w:num>
  <w:num w:numId="7">
    <w:abstractNumId w:val="25"/>
  </w:num>
  <w:num w:numId="8">
    <w:abstractNumId w:val="17"/>
  </w:num>
  <w:num w:numId="9">
    <w:abstractNumId w:val="2"/>
  </w:num>
  <w:num w:numId="10">
    <w:abstractNumId w:val="24"/>
  </w:num>
  <w:num w:numId="11">
    <w:abstractNumId w:val="4"/>
  </w:num>
  <w:num w:numId="12">
    <w:abstractNumId w:val="12"/>
  </w:num>
  <w:num w:numId="13">
    <w:abstractNumId w:val="20"/>
  </w:num>
  <w:num w:numId="14">
    <w:abstractNumId w:val="3"/>
  </w:num>
  <w:num w:numId="15">
    <w:abstractNumId w:val="21"/>
  </w:num>
  <w:num w:numId="16">
    <w:abstractNumId w:val="11"/>
  </w:num>
  <w:num w:numId="17">
    <w:abstractNumId w:val="13"/>
  </w:num>
  <w:num w:numId="18">
    <w:abstractNumId w:val="1"/>
  </w:num>
  <w:num w:numId="19">
    <w:abstractNumId w:val="7"/>
  </w:num>
  <w:num w:numId="20">
    <w:abstractNumId w:val="16"/>
  </w:num>
  <w:num w:numId="21">
    <w:abstractNumId w:val="23"/>
  </w:num>
  <w:num w:numId="22">
    <w:abstractNumId w:val="18"/>
  </w:num>
  <w:num w:numId="23">
    <w:abstractNumId w:val="9"/>
  </w:num>
  <w:num w:numId="24">
    <w:abstractNumId w:val="14"/>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30B"/>
    <w:rsid w:val="00003045"/>
    <w:rsid w:val="0000715D"/>
    <w:rsid w:val="000101DE"/>
    <w:rsid w:val="00010D3E"/>
    <w:rsid w:val="00011910"/>
    <w:rsid w:val="00012B4D"/>
    <w:rsid w:val="00033470"/>
    <w:rsid w:val="00043BB1"/>
    <w:rsid w:val="000503BE"/>
    <w:rsid w:val="000528C8"/>
    <w:rsid w:val="00057939"/>
    <w:rsid w:val="00063A57"/>
    <w:rsid w:val="00064A10"/>
    <w:rsid w:val="00064D88"/>
    <w:rsid w:val="0006506B"/>
    <w:rsid w:val="00066FBC"/>
    <w:rsid w:val="0007504B"/>
    <w:rsid w:val="0008014A"/>
    <w:rsid w:val="00082385"/>
    <w:rsid w:val="000833FE"/>
    <w:rsid w:val="00090943"/>
    <w:rsid w:val="00094AA6"/>
    <w:rsid w:val="00094FAF"/>
    <w:rsid w:val="000A03A7"/>
    <w:rsid w:val="000A068B"/>
    <w:rsid w:val="000A7D80"/>
    <w:rsid w:val="000B25D1"/>
    <w:rsid w:val="000C1D55"/>
    <w:rsid w:val="000C31DE"/>
    <w:rsid w:val="000C3874"/>
    <w:rsid w:val="000C3A9F"/>
    <w:rsid w:val="000E7A74"/>
    <w:rsid w:val="000E7EDD"/>
    <w:rsid w:val="000F1D74"/>
    <w:rsid w:val="000F256E"/>
    <w:rsid w:val="000F504C"/>
    <w:rsid w:val="001005BF"/>
    <w:rsid w:val="00102D03"/>
    <w:rsid w:val="00103611"/>
    <w:rsid w:val="00112412"/>
    <w:rsid w:val="00114D5C"/>
    <w:rsid w:val="001174FB"/>
    <w:rsid w:val="00123374"/>
    <w:rsid w:val="001342E3"/>
    <w:rsid w:val="001365F0"/>
    <w:rsid w:val="001402B6"/>
    <w:rsid w:val="00142C2C"/>
    <w:rsid w:val="00157B4D"/>
    <w:rsid w:val="00157D77"/>
    <w:rsid w:val="0016063E"/>
    <w:rsid w:val="00162512"/>
    <w:rsid w:val="001712A5"/>
    <w:rsid w:val="00172723"/>
    <w:rsid w:val="00174BF2"/>
    <w:rsid w:val="00175D6A"/>
    <w:rsid w:val="00180711"/>
    <w:rsid w:val="00181F47"/>
    <w:rsid w:val="00185A50"/>
    <w:rsid w:val="00194A36"/>
    <w:rsid w:val="00197BE0"/>
    <w:rsid w:val="001B07D5"/>
    <w:rsid w:val="001B7AF5"/>
    <w:rsid w:val="001C6ED4"/>
    <w:rsid w:val="001C7314"/>
    <w:rsid w:val="001D686A"/>
    <w:rsid w:val="001E131D"/>
    <w:rsid w:val="001E1CFB"/>
    <w:rsid w:val="001E23B7"/>
    <w:rsid w:val="001E267B"/>
    <w:rsid w:val="001F2DCD"/>
    <w:rsid w:val="001F32D0"/>
    <w:rsid w:val="001F6B14"/>
    <w:rsid w:val="00201E01"/>
    <w:rsid w:val="00204636"/>
    <w:rsid w:val="0020606A"/>
    <w:rsid w:val="00211467"/>
    <w:rsid w:val="00211CE9"/>
    <w:rsid w:val="002121C2"/>
    <w:rsid w:val="002139D0"/>
    <w:rsid w:val="002145A5"/>
    <w:rsid w:val="00221ADD"/>
    <w:rsid w:val="00223DAB"/>
    <w:rsid w:val="002247E5"/>
    <w:rsid w:val="002366EB"/>
    <w:rsid w:val="002401C9"/>
    <w:rsid w:val="002407C7"/>
    <w:rsid w:val="00241330"/>
    <w:rsid w:val="00241768"/>
    <w:rsid w:val="00242CB6"/>
    <w:rsid w:val="00243159"/>
    <w:rsid w:val="0025081B"/>
    <w:rsid w:val="002549FA"/>
    <w:rsid w:val="002569C7"/>
    <w:rsid w:val="00262878"/>
    <w:rsid w:val="002655E2"/>
    <w:rsid w:val="00270B0E"/>
    <w:rsid w:val="002748D1"/>
    <w:rsid w:val="00274C92"/>
    <w:rsid w:val="002758D3"/>
    <w:rsid w:val="00291B05"/>
    <w:rsid w:val="002A370A"/>
    <w:rsid w:val="002A3958"/>
    <w:rsid w:val="002A7D4F"/>
    <w:rsid w:val="002B2619"/>
    <w:rsid w:val="002C63AD"/>
    <w:rsid w:val="002D526C"/>
    <w:rsid w:val="002E2E3E"/>
    <w:rsid w:val="002E3C59"/>
    <w:rsid w:val="002E7886"/>
    <w:rsid w:val="002F4EB2"/>
    <w:rsid w:val="002F5AE2"/>
    <w:rsid w:val="002F7F16"/>
    <w:rsid w:val="003012EC"/>
    <w:rsid w:val="00302A53"/>
    <w:rsid w:val="003050FB"/>
    <w:rsid w:val="00305D4A"/>
    <w:rsid w:val="00306C73"/>
    <w:rsid w:val="00325194"/>
    <w:rsid w:val="00333C51"/>
    <w:rsid w:val="0033530D"/>
    <w:rsid w:val="0033559B"/>
    <w:rsid w:val="003479CD"/>
    <w:rsid w:val="00347B82"/>
    <w:rsid w:val="00347DAE"/>
    <w:rsid w:val="003518A5"/>
    <w:rsid w:val="00361612"/>
    <w:rsid w:val="00361BC5"/>
    <w:rsid w:val="00374AA3"/>
    <w:rsid w:val="003755E4"/>
    <w:rsid w:val="00383E7C"/>
    <w:rsid w:val="003872DF"/>
    <w:rsid w:val="003900B1"/>
    <w:rsid w:val="003A0093"/>
    <w:rsid w:val="003A19C3"/>
    <w:rsid w:val="003A4354"/>
    <w:rsid w:val="003A4A12"/>
    <w:rsid w:val="003A5DC3"/>
    <w:rsid w:val="003A6D76"/>
    <w:rsid w:val="003A7356"/>
    <w:rsid w:val="003B2191"/>
    <w:rsid w:val="003C5059"/>
    <w:rsid w:val="003C51EE"/>
    <w:rsid w:val="003C770B"/>
    <w:rsid w:val="003D05AD"/>
    <w:rsid w:val="003D5D0F"/>
    <w:rsid w:val="003D6D10"/>
    <w:rsid w:val="003D7268"/>
    <w:rsid w:val="003E3B1F"/>
    <w:rsid w:val="003E467B"/>
    <w:rsid w:val="003E7844"/>
    <w:rsid w:val="003E7878"/>
    <w:rsid w:val="003F25C0"/>
    <w:rsid w:val="004079BD"/>
    <w:rsid w:val="00410DC5"/>
    <w:rsid w:val="0041297B"/>
    <w:rsid w:val="0041439F"/>
    <w:rsid w:val="00416E27"/>
    <w:rsid w:val="00417ED1"/>
    <w:rsid w:val="00420328"/>
    <w:rsid w:val="00422721"/>
    <w:rsid w:val="00423EFE"/>
    <w:rsid w:val="00434D29"/>
    <w:rsid w:val="0044131D"/>
    <w:rsid w:val="00443572"/>
    <w:rsid w:val="00445C93"/>
    <w:rsid w:val="00460B64"/>
    <w:rsid w:val="0046189C"/>
    <w:rsid w:val="0046261F"/>
    <w:rsid w:val="00466E0D"/>
    <w:rsid w:val="00467DE3"/>
    <w:rsid w:val="0047247F"/>
    <w:rsid w:val="004763C3"/>
    <w:rsid w:val="00476939"/>
    <w:rsid w:val="00481561"/>
    <w:rsid w:val="00493DA5"/>
    <w:rsid w:val="00497005"/>
    <w:rsid w:val="004A049C"/>
    <w:rsid w:val="004A084D"/>
    <w:rsid w:val="004A2B3E"/>
    <w:rsid w:val="004A387E"/>
    <w:rsid w:val="004B6E0C"/>
    <w:rsid w:val="004C0913"/>
    <w:rsid w:val="004C3CAC"/>
    <w:rsid w:val="004C67A2"/>
    <w:rsid w:val="004E0CF7"/>
    <w:rsid w:val="004E28C7"/>
    <w:rsid w:val="004E3356"/>
    <w:rsid w:val="004E46D9"/>
    <w:rsid w:val="004F170A"/>
    <w:rsid w:val="004F43EC"/>
    <w:rsid w:val="005052D9"/>
    <w:rsid w:val="00506122"/>
    <w:rsid w:val="0050624E"/>
    <w:rsid w:val="00511EA2"/>
    <w:rsid w:val="005236F2"/>
    <w:rsid w:val="00533E34"/>
    <w:rsid w:val="00533F4B"/>
    <w:rsid w:val="005624BC"/>
    <w:rsid w:val="00562EAF"/>
    <w:rsid w:val="00566676"/>
    <w:rsid w:val="0058112B"/>
    <w:rsid w:val="00581F30"/>
    <w:rsid w:val="005825C5"/>
    <w:rsid w:val="0059031D"/>
    <w:rsid w:val="005945D1"/>
    <w:rsid w:val="005A1298"/>
    <w:rsid w:val="005A1A4C"/>
    <w:rsid w:val="005A3853"/>
    <w:rsid w:val="005A6E91"/>
    <w:rsid w:val="005C4D71"/>
    <w:rsid w:val="005C50CD"/>
    <w:rsid w:val="005C5E36"/>
    <w:rsid w:val="005C6487"/>
    <w:rsid w:val="005C7C1E"/>
    <w:rsid w:val="005D350D"/>
    <w:rsid w:val="005D4B2F"/>
    <w:rsid w:val="005E56BF"/>
    <w:rsid w:val="006009BC"/>
    <w:rsid w:val="006034D7"/>
    <w:rsid w:val="00603CD0"/>
    <w:rsid w:val="00606BBC"/>
    <w:rsid w:val="00611718"/>
    <w:rsid w:val="00617B95"/>
    <w:rsid w:val="006239CF"/>
    <w:rsid w:val="006302B0"/>
    <w:rsid w:val="00630ACD"/>
    <w:rsid w:val="00635316"/>
    <w:rsid w:val="00635763"/>
    <w:rsid w:val="006368E4"/>
    <w:rsid w:val="0064113D"/>
    <w:rsid w:val="00643B93"/>
    <w:rsid w:val="0064734C"/>
    <w:rsid w:val="00654EF3"/>
    <w:rsid w:val="00655575"/>
    <w:rsid w:val="00660427"/>
    <w:rsid w:val="0067012B"/>
    <w:rsid w:val="00672056"/>
    <w:rsid w:val="00672434"/>
    <w:rsid w:val="00672E45"/>
    <w:rsid w:val="00674638"/>
    <w:rsid w:val="00681A92"/>
    <w:rsid w:val="0068645D"/>
    <w:rsid w:val="0069013D"/>
    <w:rsid w:val="00691060"/>
    <w:rsid w:val="006A527B"/>
    <w:rsid w:val="006B2BAC"/>
    <w:rsid w:val="006B3AE2"/>
    <w:rsid w:val="006B4297"/>
    <w:rsid w:val="006B540F"/>
    <w:rsid w:val="006C56FB"/>
    <w:rsid w:val="006E177E"/>
    <w:rsid w:val="006E45D3"/>
    <w:rsid w:val="006E632E"/>
    <w:rsid w:val="006F11CA"/>
    <w:rsid w:val="006F4E91"/>
    <w:rsid w:val="006F7184"/>
    <w:rsid w:val="0070178D"/>
    <w:rsid w:val="007178AB"/>
    <w:rsid w:val="007178BC"/>
    <w:rsid w:val="007200AD"/>
    <w:rsid w:val="00723156"/>
    <w:rsid w:val="00723FD0"/>
    <w:rsid w:val="00735190"/>
    <w:rsid w:val="00735BCD"/>
    <w:rsid w:val="00735FB1"/>
    <w:rsid w:val="00745ED2"/>
    <w:rsid w:val="00746B23"/>
    <w:rsid w:val="007514DD"/>
    <w:rsid w:val="0076278F"/>
    <w:rsid w:val="00767AC9"/>
    <w:rsid w:val="0077607D"/>
    <w:rsid w:val="00781F03"/>
    <w:rsid w:val="00783554"/>
    <w:rsid w:val="007874F2"/>
    <w:rsid w:val="00787626"/>
    <w:rsid w:val="0079114D"/>
    <w:rsid w:val="00791C20"/>
    <w:rsid w:val="00791E82"/>
    <w:rsid w:val="00795002"/>
    <w:rsid w:val="007A0E4D"/>
    <w:rsid w:val="007A341F"/>
    <w:rsid w:val="007A6308"/>
    <w:rsid w:val="007A6EB9"/>
    <w:rsid w:val="007A73BD"/>
    <w:rsid w:val="007B0F7D"/>
    <w:rsid w:val="007B7E20"/>
    <w:rsid w:val="007C6399"/>
    <w:rsid w:val="007C6FF1"/>
    <w:rsid w:val="007D358E"/>
    <w:rsid w:val="007D79C9"/>
    <w:rsid w:val="007E0F9B"/>
    <w:rsid w:val="007E6824"/>
    <w:rsid w:val="007F2FA5"/>
    <w:rsid w:val="0080035B"/>
    <w:rsid w:val="00802A54"/>
    <w:rsid w:val="00805D0F"/>
    <w:rsid w:val="008109FB"/>
    <w:rsid w:val="0081581D"/>
    <w:rsid w:val="00817073"/>
    <w:rsid w:val="0082055F"/>
    <w:rsid w:val="00820F0F"/>
    <w:rsid w:val="00821BA0"/>
    <w:rsid w:val="008220D0"/>
    <w:rsid w:val="00822AB3"/>
    <w:rsid w:val="00830031"/>
    <w:rsid w:val="00842B6A"/>
    <w:rsid w:val="00845C3A"/>
    <w:rsid w:val="0084617F"/>
    <w:rsid w:val="00855830"/>
    <w:rsid w:val="00863115"/>
    <w:rsid w:val="00865F33"/>
    <w:rsid w:val="00876667"/>
    <w:rsid w:val="00876E9D"/>
    <w:rsid w:val="00883E7B"/>
    <w:rsid w:val="0088513A"/>
    <w:rsid w:val="00885C90"/>
    <w:rsid w:val="00890A8C"/>
    <w:rsid w:val="008A256E"/>
    <w:rsid w:val="008A2DFE"/>
    <w:rsid w:val="008B0D83"/>
    <w:rsid w:val="008C0458"/>
    <w:rsid w:val="008C34B4"/>
    <w:rsid w:val="008C36E6"/>
    <w:rsid w:val="008C3FEE"/>
    <w:rsid w:val="008C45E6"/>
    <w:rsid w:val="008D4B88"/>
    <w:rsid w:val="008D7310"/>
    <w:rsid w:val="008E25BA"/>
    <w:rsid w:val="008E3563"/>
    <w:rsid w:val="008E7DD4"/>
    <w:rsid w:val="008F0D11"/>
    <w:rsid w:val="008F0EA1"/>
    <w:rsid w:val="008F3F3B"/>
    <w:rsid w:val="008F556A"/>
    <w:rsid w:val="008F6E38"/>
    <w:rsid w:val="009017AE"/>
    <w:rsid w:val="00922D3A"/>
    <w:rsid w:val="00925C3E"/>
    <w:rsid w:val="0092736F"/>
    <w:rsid w:val="009343E5"/>
    <w:rsid w:val="00937648"/>
    <w:rsid w:val="00940F6C"/>
    <w:rsid w:val="009452E7"/>
    <w:rsid w:val="00945CBE"/>
    <w:rsid w:val="00953D77"/>
    <w:rsid w:val="00957837"/>
    <w:rsid w:val="00957B8D"/>
    <w:rsid w:val="00967927"/>
    <w:rsid w:val="00967D4A"/>
    <w:rsid w:val="00973A82"/>
    <w:rsid w:val="00984D78"/>
    <w:rsid w:val="00991A84"/>
    <w:rsid w:val="009A6723"/>
    <w:rsid w:val="009B30AD"/>
    <w:rsid w:val="009C2B7E"/>
    <w:rsid w:val="009C64F1"/>
    <w:rsid w:val="009D17AD"/>
    <w:rsid w:val="009D27CD"/>
    <w:rsid w:val="009D3B3E"/>
    <w:rsid w:val="009D4016"/>
    <w:rsid w:val="009D73E0"/>
    <w:rsid w:val="009E0C43"/>
    <w:rsid w:val="009E26E9"/>
    <w:rsid w:val="009E562E"/>
    <w:rsid w:val="009E6A69"/>
    <w:rsid w:val="009E6E9F"/>
    <w:rsid w:val="009F5269"/>
    <w:rsid w:val="009F7DD0"/>
    <w:rsid w:val="00A0517B"/>
    <w:rsid w:val="00A05A0E"/>
    <w:rsid w:val="00A10843"/>
    <w:rsid w:val="00A270EF"/>
    <w:rsid w:val="00A351A1"/>
    <w:rsid w:val="00A36804"/>
    <w:rsid w:val="00A500F7"/>
    <w:rsid w:val="00A574AA"/>
    <w:rsid w:val="00A63729"/>
    <w:rsid w:val="00A6630B"/>
    <w:rsid w:val="00A71B45"/>
    <w:rsid w:val="00A71EF3"/>
    <w:rsid w:val="00A72FE8"/>
    <w:rsid w:val="00A74F6D"/>
    <w:rsid w:val="00A76CA7"/>
    <w:rsid w:val="00A81F67"/>
    <w:rsid w:val="00A83A63"/>
    <w:rsid w:val="00A84074"/>
    <w:rsid w:val="00A84C7A"/>
    <w:rsid w:val="00A86E60"/>
    <w:rsid w:val="00A90948"/>
    <w:rsid w:val="00A93140"/>
    <w:rsid w:val="00A96CB1"/>
    <w:rsid w:val="00AA2E1F"/>
    <w:rsid w:val="00AA3912"/>
    <w:rsid w:val="00AB0AE0"/>
    <w:rsid w:val="00AB0E6E"/>
    <w:rsid w:val="00AB3176"/>
    <w:rsid w:val="00AB5497"/>
    <w:rsid w:val="00AC06BE"/>
    <w:rsid w:val="00AC3ABB"/>
    <w:rsid w:val="00AC4831"/>
    <w:rsid w:val="00AD0802"/>
    <w:rsid w:val="00AE1B3E"/>
    <w:rsid w:val="00AE4036"/>
    <w:rsid w:val="00AE594E"/>
    <w:rsid w:val="00AF5464"/>
    <w:rsid w:val="00AF5C5F"/>
    <w:rsid w:val="00AF634A"/>
    <w:rsid w:val="00B00384"/>
    <w:rsid w:val="00B00F86"/>
    <w:rsid w:val="00B02DB8"/>
    <w:rsid w:val="00B05CFC"/>
    <w:rsid w:val="00B1683A"/>
    <w:rsid w:val="00B16B34"/>
    <w:rsid w:val="00B247C3"/>
    <w:rsid w:val="00B25D25"/>
    <w:rsid w:val="00B25D9A"/>
    <w:rsid w:val="00B32E05"/>
    <w:rsid w:val="00B35C27"/>
    <w:rsid w:val="00B35FEB"/>
    <w:rsid w:val="00B362EA"/>
    <w:rsid w:val="00B43E0C"/>
    <w:rsid w:val="00B4411E"/>
    <w:rsid w:val="00B47E54"/>
    <w:rsid w:val="00B54EDF"/>
    <w:rsid w:val="00B5553E"/>
    <w:rsid w:val="00B57823"/>
    <w:rsid w:val="00B57CE5"/>
    <w:rsid w:val="00B62797"/>
    <w:rsid w:val="00B62B27"/>
    <w:rsid w:val="00B636C7"/>
    <w:rsid w:val="00B676C3"/>
    <w:rsid w:val="00B7181D"/>
    <w:rsid w:val="00B722A6"/>
    <w:rsid w:val="00B75474"/>
    <w:rsid w:val="00B76515"/>
    <w:rsid w:val="00B779BB"/>
    <w:rsid w:val="00B81B2C"/>
    <w:rsid w:val="00B81DBB"/>
    <w:rsid w:val="00B8612D"/>
    <w:rsid w:val="00B879CB"/>
    <w:rsid w:val="00B924AC"/>
    <w:rsid w:val="00BA4783"/>
    <w:rsid w:val="00BA4DBB"/>
    <w:rsid w:val="00BB2645"/>
    <w:rsid w:val="00BB2B2E"/>
    <w:rsid w:val="00BB49F7"/>
    <w:rsid w:val="00BB5D1B"/>
    <w:rsid w:val="00BC1434"/>
    <w:rsid w:val="00BC5BFF"/>
    <w:rsid w:val="00BC63BA"/>
    <w:rsid w:val="00BC6AB5"/>
    <w:rsid w:val="00BD36CD"/>
    <w:rsid w:val="00BD37AD"/>
    <w:rsid w:val="00BD4CB8"/>
    <w:rsid w:val="00BE056D"/>
    <w:rsid w:val="00BE0A3D"/>
    <w:rsid w:val="00BE1B3A"/>
    <w:rsid w:val="00BE4FC7"/>
    <w:rsid w:val="00BE5449"/>
    <w:rsid w:val="00BF0ED5"/>
    <w:rsid w:val="00BF7203"/>
    <w:rsid w:val="00C03279"/>
    <w:rsid w:val="00C11983"/>
    <w:rsid w:val="00C257E9"/>
    <w:rsid w:val="00C333A7"/>
    <w:rsid w:val="00C34151"/>
    <w:rsid w:val="00C34BE9"/>
    <w:rsid w:val="00C35F8B"/>
    <w:rsid w:val="00C37CBD"/>
    <w:rsid w:val="00C42DD6"/>
    <w:rsid w:val="00C442CA"/>
    <w:rsid w:val="00C46A80"/>
    <w:rsid w:val="00C47004"/>
    <w:rsid w:val="00C567D1"/>
    <w:rsid w:val="00C63202"/>
    <w:rsid w:val="00C63536"/>
    <w:rsid w:val="00C6469C"/>
    <w:rsid w:val="00C73882"/>
    <w:rsid w:val="00C7625C"/>
    <w:rsid w:val="00C7735E"/>
    <w:rsid w:val="00C8154B"/>
    <w:rsid w:val="00C81C40"/>
    <w:rsid w:val="00C917D9"/>
    <w:rsid w:val="00CA1432"/>
    <w:rsid w:val="00CA59C1"/>
    <w:rsid w:val="00CB0059"/>
    <w:rsid w:val="00CB1746"/>
    <w:rsid w:val="00CB1A5B"/>
    <w:rsid w:val="00CB1AB7"/>
    <w:rsid w:val="00CB2CA2"/>
    <w:rsid w:val="00CB595C"/>
    <w:rsid w:val="00CC131E"/>
    <w:rsid w:val="00CD3615"/>
    <w:rsid w:val="00CD6865"/>
    <w:rsid w:val="00CE2EF7"/>
    <w:rsid w:val="00CF1033"/>
    <w:rsid w:val="00CF2935"/>
    <w:rsid w:val="00CF3D9A"/>
    <w:rsid w:val="00D10432"/>
    <w:rsid w:val="00D179A8"/>
    <w:rsid w:val="00D2402D"/>
    <w:rsid w:val="00D2553C"/>
    <w:rsid w:val="00D27EFC"/>
    <w:rsid w:val="00D30152"/>
    <w:rsid w:val="00D30DF4"/>
    <w:rsid w:val="00D34427"/>
    <w:rsid w:val="00D34C39"/>
    <w:rsid w:val="00D37698"/>
    <w:rsid w:val="00D5228A"/>
    <w:rsid w:val="00D66D72"/>
    <w:rsid w:val="00D740F8"/>
    <w:rsid w:val="00D80395"/>
    <w:rsid w:val="00D82603"/>
    <w:rsid w:val="00D93C83"/>
    <w:rsid w:val="00D949C0"/>
    <w:rsid w:val="00D9566C"/>
    <w:rsid w:val="00D972D6"/>
    <w:rsid w:val="00D97B2B"/>
    <w:rsid w:val="00DA642C"/>
    <w:rsid w:val="00DA68C3"/>
    <w:rsid w:val="00DA72E4"/>
    <w:rsid w:val="00DB14F9"/>
    <w:rsid w:val="00DB43F7"/>
    <w:rsid w:val="00DB5192"/>
    <w:rsid w:val="00DC2F15"/>
    <w:rsid w:val="00DC4791"/>
    <w:rsid w:val="00DD07BC"/>
    <w:rsid w:val="00DD486A"/>
    <w:rsid w:val="00DD6446"/>
    <w:rsid w:val="00DE4F82"/>
    <w:rsid w:val="00DE7D1F"/>
    <w:rsid w:val="00DF073A"/>
    <w:rsid w:val="00DF1C0A"/>
    <w:rsid w:val="00DF64E2"/>
    <w:rsid w:val="00E01F01"/>
    <w:rsid w:val="00E06B8E"/>
    <w:rsid w:val="00E10202"/>
    <w:rsid w:val="00E1056D"/>
    <w:rsid w:val="00E13790"/>
    <w:rsid w:val="00E15699"/>
    <w:rsid w:val="00E204D1"/>
    <w:rsid w:val="00E23A25"/>
    <w:rsid w:val="00E255D7"/>
    <w:rsid w:val="00E25908"/>
    <w:rsid w:val="00E30AA8"/>
    <w:rsid w:val="00E310F4"/>
    <w:rsid w:val="00E31FD4"/>
    <w:rsid w:val="00E34AFC"/>
    <w:rsid w:val="00E37DDC"/>
    <w:rsid w:val="00E462B2"/>
    <w:rsid w:val="00E5034C"/>
    <w:rsid w:val="00E52857"/>
    <w:rsid w:val="00E5712E"/>
    <w:rsid w:val="00E573E2"/>
    <w:rsid w:val="00E57855"/>
    <w:rsid w:val="00E828E7"/>
    <w:rsid w:val="00E91F5B"/>
    <w:rsid w:val="00E9221D"/>
    <w:rsid w:val="00E9688B"/>
    <w:rsid w:val="00EA181C"/>
    <w:rsid w:val="00EA5FF0"/>
    <w:rsid w:val="00EB66D3"/>
    <w:rsid w:val="00EC4A4F"/>
    <w:rsid w:val="00EC67E2"/>
    <w:rsid w:val="00ED53FA"/>
    <w:rsid w:val="00ED5837"/>
    <w:rsid w:val="00ED7571"/>
    <w:rsid w:val="00ED7DF9"/>
    <w:rsid w:val="00EE72F8"/>
    <w:rsid w:val="00EF1B00"/>
    <w:rsid w:val="00EF3AFF"/>
    <w:rsid w:val="00EF72A3"/>
    <w:rsid w:val="00F0377C"/>
    <w:rsid w:val="00F03A54"/>
    <w:rsid w:val="00F04C17"/>
    <w:rsid w:val="00F074C8"/>
    <w:rsid w:val="00F075B3"/>
    <w:rsid w:val="00F10375"/>
    <w:rsid w:val="00F10F30"/>
    <w:rsid w:val="00F12C1E"/>
    <w:rsid w:val="00F157D7"/>
    <w:rsid w:val="00F17085"/>
    <w:rsid w:val="00F20195"/>
    <w:rsid w:val="00F3256B"/>
    <w:rsid w:val="00F33A9D"/>
    <w:rsid w:val="00F366C1"/>
    <w:rsid w:val="00F4144B"/>
    <w:rsid w:val="00F425AD"/>
    <w:rsid w:val="00F4341A"/>
    <w:rsid w:val="00F47FBC"/>
    <w:rsid w:val="00F61EB1"/>
    <w:rsid w:val="00F62956"/>
    <w:rsid w:val="00F62C05"/>
    <w:rsid w:val="00F6577F"/>
    <w:rsid w:val="00F7111B"/>
    <w:rsid w:val="00F712DC"/>
    <w:rsid w:val="00F80B47"/>
    <w:rsid w:val="00F820AA"/>
    <w:rsid w:val="00F85C79"/>
    <w:rsid w:val="00F90DC9"/>
    <w:rsid w:val="00F91C09"/>
    <w:rsid w:val="00F9393D"/>
    <w:rsid w:val="00F93D21"/>
    <w:rsid w:val="00F9724C"/>
    <w:rsid w:val="00FA096C"/>
    <w:rsid w:val="00FA3202"/>
    <w:rsid w:val="00FA4518"/>
    <w:rsid w:val="00FA699C"/>
    <w:rsid w:val="00FB1318"/>
    <w:rsid w:val="00FB6FF5"/>
    <w:rsid w:val="00FC3B05"/>
    <w:rsid w:val="00FD020F"/>
    <w:rsid w:val="00FD294E"/>
    <w:rsid w:val="00FD48B6"/>
    <w:rsid w:val="00FE13DE"/>
    <w:rsid w:val="00FE2932"/>
    <w:rsid w:val="00FE3EBD"/>
    <w:rsid w:val="00FE5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ED1"/>
    <w:pPr>
      <w:tabs>
        <w:tab w:val="left" w:pos="1260"/>
        <w:tab w:val="left" w:pos="1980"/>
        <w:tab w:val="left" w:pos="2700"/>
        <w:tab w:val="left" w:pos="3420"/>
      </w:tabs>
      <w:jc w:val="both"/>
    </w:pPr>
    <w:rPr>
      <w:rFonts w:ascii="Arial" w:hAnsi="Arial"/>
      <w:szCs w:val="20"/>
    </w:rPr>
  </w:style>
  <w:style w:type="paragraph" w:styleId="Heading1">
    <w:name w:val="heading 1"/>
    <w:basedOn w:val="Normal"/>
    <w:next w:val="Normal"/>
    <w:link w:val="Heading1Char"/>
    <w:uiPriority w:val="99"/>
    <w:qFormat/>
    <w:rsid w:val="00417ED1"/>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link w:val="Heading2Char"/>
    <w:uiPriority w:val="99"/>
    <w:qFormat/>
    <w:rsid w:val="00417ED1"/>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link w:val="Heading3Char"/>
    <w:uiPriority w:val="99"/>
    <w:qFormat/>
    <w:rsid w:val="00417ED1"/>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link w:val="Heading4Char"/>
    <w:uiPriority w:val="99"/>
    <w:qFormat/>
    <w:rsid w:val="00417ED1"/>
    <w:pPr>
      <w:keepNext/>
      <w:ind w:left="1276" w:hanging="1276"/>
      <w:outlineLvl w:val="3"/>
    </w:pPr>
    <w:rPr>
      <w:i/>
      <w:color w:val="FF0000"/>
    </w:rPr>
  </w:style>
  <w:style w:type="paragraph" w:styleId="Heading5">
    <w:name w:val="heading 5"/>
    <w:basedOn w:val="Normal"/>
    <w:next w:val="Normal"/>
    <w:link w:val="Heading5Char"/>
    <w:uiPriority w:val="99"/>
    <w:qFormat/>
    <w:rsid w:val="00417ED1"/>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FE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65FE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65FE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65FE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65FED"/>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417ED1"/>
    <w:pPr>
      <w:tabs>
        <w:tab w:val="clear" w:pos="1260"/>
        <w:tab w:val="clear" w:pos="1980"/>
        <w:tab w:val="clear" w:pos="2700"/>
        <w:tab w:val="clear" w:pos="3420"/>
        <w:tab w:val="center" w:pos="4153"/>
        <w:tab w:val="right" w:pos="8306"/>
      </w:tabs>
    </w:pPr>
  </w:style>
  <w:style w:type="character" w:customStyle="1" w:styleId="HeaderChar">
    <w:name w:val="Header Char"/>
    <w:basedOn w:val="DefaultParagraphFont"/>
    <w:link w:val="Header"/>
    <w:uiPriority w:val="99"/>
    <w:semiHidden/>
    <w:rsid w:val="00A65FED"/>
    <w:rPr>
      <w:rFonts w:ascii="Arial" w:hAnsi="Arial"/>
      <w:szCs w:val="20"/>
    </w:rPr>
  </w:style>
  <w:style w:type="paragraph" w:styleId="Footer">
    <w:name w:val="footer"/>
    <w:basedOn w:val="Normal"/>
    <w:link w:val="FooterChar"/>
    <w:uiPriority w:val="99"/>
    <w:rsid w:val="00417ED1"/>
    <w:pPr>
      <w:tabs>
        <w:tab w:val="center" w:pos="4153"/>
        <w:tab w:val="right" w:pos="8306"/>
      </w:tabs>
    </w:pPr>
  </w:style>
  <w:style w:type="character" w:customStyle="1" w:styleId="FooterChar">
    <w:name w:val="Footer Char"/>
    <w:basedOn w:val="DefaultParagraphFont"/>
    <w:link w:val="Footer"/>
    <w:uiPriority w:val="99"/>
    <w:semiHidden/>
    <w:rsid w:val="00A65FED"/>
    <w:rPr>
      <w:rFonts w:ascii="Arial" w:hAnsi="Arial"/>
      <w:szCs w:val="20"/>
    </w:rPr>
  </w:style>
  <w:style w:type="character" w:styleId="PageNumber">
    <w:name w:val="page number"/>
    <w:basedOn w:val="DefaultParagraphFont"/>
    <w:uiPriority w:val="99"/>
    <w:rsid w:val="00417ED1"/>
    <w:rPr>
      <w:rFonts w:ascii="Arial" w:hAnsi="Arial" w:cs="Times New Roman"/>
      <w:sz w:val="22"/>
    </w:rPr>
  </w:style>
  <w:style w:type="paragraph" w:styleId="BodyTextIndent">
    <w:name w:val="Body Text Indent"/>
    <w:basedOn w:val="Normal"/>
    <w:link w:val="BodyTextIndentChar"/>
    <w:uiPriority w:val="99"/>
    <w:rsid w:val="00417ED1"/>
    <w:pPr>
      <w:ind w:left="1276" w:hanging="1276"/>
    </w:pPr>
  </w:style>
  <w:style w:type="character" w:customStyle="1" w:styleId="BodyTextIndentChar">
    <w:name w:val="Body Text Indent Char"/>
    <w:basedOn w:val="DefaultParagraphFont"/>
    <w:link w:val="BodyTextIndent"/>
    <w:uiPriority w:val="99"/>
    <w:semiHidden/>
    <w:rsid w:val="00A65FED"/>
    <w:rPr>
      <w:rFonts w:ascii="Arial" w:hAnsi="Arial"/>
      <w:szCs w:val="20"/>
    </w:rPr>
  </w:style>
  <w:style w:type="paragraph" w:styleId="BodyTextIndent2">
    <w:name w:val="Body Text Indent 2"/>
    <w:basedOn w:val="Normal"/>
    <w:link w:val="BodyTextIndent2Char"/>
    <w:uiPriority w:val="99"/>
    <w:rsid w:val="00417ED1"/>
    <w:pPr>
      <w:ind w:left="2707" w:hanging="2707"/>
    </w:pPr>
  </w:style>
  <w:style w:type="character" w:customStyle="1" w:styleId="BodyTextIndent2Char">
    <w:name w:val="Body Text Indent 2 Char"/>
    <w:basedOn w:val="DefaultParagraphFont"/>
    <w:link w:val="BodyTextIndent2"/>
    <w:uiPriority w:val="99"/>
    <w:semiHidden/>
    <w:rsid w:val="00A65FED"/>
    <w:rPr>
      <w:rFonts w:ascii="Arial" w:hAnsi="Arial"/>
      <w:szCs w:val="20"/>
    </w:rPr>
  </w:style>
  <w:style w:type="paragraph" w:styleId="BodyTextIndent3">
    <w:name w:val="Body Text Indent 3"/>
    <w:basedOn w:val="Normal"/>
    <w:link w:val="BodyTextIndent3Char"/>
    <w:uiPriority w:val="99"/>
    <w:rsid w:val="00417ED1"/>
    <w:pPr>
      <w:ind w:left="1276" w:hanging="1276"/>
    </w:pPr>
    <w:rPr>
      <w:i/>
      <w:color w:val="FF0000"/>
    </w:rPr>
  </w:style>
  <w:style w:type="character" w:customStyle="1" w:styleId="BodyTextIndent3Char">
    <w:name w:val="Body Text Indent 3 Char"/>
    <w:basedOn w:val="DefaultParagraphFont"/>
    <w:link w:val="BodyTextIndent3"/>
    <w:uiPriority w:val="99"/>
    <w:semiHidden/>
    <w:rsid w:val="00A65FED"/>
    <w:rPr>
      <w:rFonts w:ascii="Arial" w:hAnsi="Arial"/>
      <w:sz w:val="16"/>
      <w:szCs w:val="16"/>
    </w:rPr>
  </w:style>
  <w:style w:type="paragraph" w:styleId="BalloonText">
    <w:name w:val="Balloon Text"/>
    <w:basedOn w:val="Normal"/>
    <w:link w:val="BalloonTextChar"/>
    <w:uiPriority w:val="99"/>
    <w:semiHidden/>
    <w:rsid w:val="00417ED1"/>
    <w:rPr>
      <w:rFonts w:ascii="Tahoma" w:hAnsi="Tahoma" w:cs="Tahoma"/>
      <w:sz w:val="16"/>
      <w:szCs w:val="16"/>
    </w:rPr>
  </w:style>
  <w:style w:type="character" w:customStyle="1" w:styleId="BalloonTextChar">
    <w:name w:val="Balloon Text Char"/>
    <w:basedOn w:val="DefaultParagraphFont"/>
    <w:link w:val="BalloonText"/>
    <w:uiPriority w:val="99"/>
    <w:semiHidden/>
    <w:rsid w:val="00A65FED"/>
    <w:rPr>
      <w:sz w:val="0"/>
      <w:szCs w:val="0"/>
    </w:rPr>
  </w:style>
  <w:style w:type="table" w:styleId="TableGrid">
    <w:name w:val="Table Grid"/>
    <w:basedOn w:val="TableNormal"/>
    <w:uiPriority w:val="99"/>
    <w:rsid w:val="00417E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F3D9A"/>
    <w:rPr>
      <w:rFonts w:cs="Times New Roman"/>
      <w:color w:val="0000FF"/>
      <w:u w:val="single"/>
    </w:rPr>
  </w:style>
  <w:style w:type="character" w:styleId="FollowedHyperlink">
    <w:name w:val="FollowedHyperlink"/>
    <w:basedOn w:val="DefaultParagraphFont"/>
    <w:uiPriority w:val="99"/>
    <w:rsid w:val="00F3256B"/>
    <w:rPr>
      <w:rFonts w:cs="Times New Roman"/>
      <w:color w:val="0000FF"/>
      <w:u w:val="single"/>
    </w:rPr>
  </w:style>
  <w:style w:type="paragraph" w:customStyle="1" w:styleId="paragraphstyle3">
    <w:name w:val="paragraph_style_3"/>
    <w:basedOn w:val="Normal"/>
    <w:uiPriority w:val="99"/>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table" w:styleId="TableColumns1">
    <w:name w:val="Table Columns 1"/>
    <w:basedOn w:val="TableNormal"/>
    <w:uiPriority w:val="99"/>
    <w:rsid w:val="00603CD0"/>
    <w:pPr>
      <w:tabs>
        <w:tab w:val="left" w:pos="1260"/>
        <w:tab w:val="left" w:pos="1980"/>
        <w:tab w:val="left" w:pos="2700"/>
        <w:tab w:val="left" w:pos="3420"/>
      </w:tabs>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ListParagraph">
    <w:name w:val="List Paragraph"/>
    <w:basedOn w:val="Normal"/>
    <w:uiPriority w:val="99"/>
    <w:qFormat/>
    <w:rsid w:val="00AB0A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220921">
      <w:marLeft w:val="0"/>
      <w:marRight w:val="0"/>
      <w:marTop w:val="0"/>
      <w:marBottom w:val="0"/>
      <w:divBdr>
        <w:top w:val="none" w:sz="0" w:space="0" w:color="auto"/>
        <w:left w:val="none" w:sz="0" w:space="0" w:color="auto"/>
        <w:bottom w:val="none" w:sz="0" w:space="0" w:color="auto"/>
        <w:right w:val="none" w:sz="0" w:space="0" w:color="auto"/>
      </w:divBdr>
    </w:div>
    <w:div w:id="1116220923">
      <w:marLeft w:val="0"/>
      <w:marRight w:val="0"/>
      <w:marTop w:val="0"/>
      <w:marBottom w:val="0"/>
      <w:divBdr>
        <w:top w:val="none" w:sz="0" w:space="0" w:color="auto"/>
        <w:left w:val="none" w:sz="0" w:space="0" w:color="auto"/>
        <w:bottom w:val="none" w:sz="0" w:space="0" w:color="auto"/>
        <w:right w:val="none" w:sz="0" w:space="0" w:color="auto"/>
      </w:divBdr>
    </w:div>
    <w:div w:id="1116220925">
      <w:marLeft w:val="0"/>
      <w:marRight w:val="0"/>
      <w:marTop w:val="0"/>
      <w:marBottom w:val="0"/>
      <w:divBdr>
        <w:top w:val="none" w:sz="0" w:space="0" w:color="auto"/>
        <w:left w:val="none" w:sz="0" w:space="0" w:color="auto"/>
        <w:bottom w:val="none" w:sz="0" w:space="0" w:color="auto"/>
        <w:right w:val="none" w:sz="0" w:space="0" w:color="auto"/>
      </w:divBdr>
    </w:div>
    <w:div w:id="1116220926">
      <w:marLeft w:val="0"/>
      <w:marRight w:val="0"/>
      <w:marTop w:val="0"/>
      <w:marBottom w:val="0"/>
      <w:divBdr>
        <w:top w:val="none" w:sz="0" w:space="0" w:color="auto"/>
        <w:left w:val="none" w:sz="0" w:space="0" w:color="auto"/>
        <w:bottom w:val="none" w:sz="0" w:space="0" w:color="auto"/>
        <w:right w:val="none" w:sz="0" w:space="0" w:color="auto"/>
      </w:divBdr>
    </w:div>
    <w:div w:id="1116220927">
      <w:marLeft w:val="0"/>
      <w:marRight w:val="0"/>
      <w:marTop w:val="0"/>
      <w:marBottom w:val="0"/>
      <w:divBdr>
        <w:top w:val="none" w:sz="0" w:space="0" w:color="auto"/>
        <w:left w:val="none" w:sz="0" w:space="0" w:color="auto"/>
        <w:bottom w:val="none" w:sz="0" w:space="0" w:color="auto"/>
        <w:right w:val="none" w:sz="0" w:space="0" w:color="auto"/>
      </w:divBdr>
    </w:div>
    <w:div w:id="1116220930">
      <w:marLeft w:val="150"/>
      <w:marRight w:val="150"/>
      <w:marTop w:val="150"/>
      <w:marBottom w:val="150"/>
      <w:divBdr>
        <w:top w:val="none" w:sz="0" w:space="0" w:color="auto"/>
        <w:left w:val="none" w:sz="0" w:space="0" w:color="auto"/>
        <w:bottom w:val="none" w:sz="0" w:space="0" w:color="auto"/>
        <w:right w:val="none" w:sz="0" w:space="0" w:color="auto"/>
      </w:divBdr>
      <w:divsChild>
        <w:div w:id="1116220928">
          <w:marLeft w:val="0"/>
          <w:marRight w:val="0"/>
          <w:marTop w:val="0"/>
          <w:marBottom w:val="0"/>
          <w:divBdr>
            <w:top w:val="none" w:sz="0" w:space="0" w:color="auto"/>
            <w:left w:val="none" w:sz="0" w:space="0" w:color="auto"/>
            <w:bottom w:val="none" w:sz="0" w:space="0" w:color="auto"/>
            <w:right w:val="none" w:sz="0" w:space="0" w:color="auto"/>
          </w:divBdr>
          <w:divsChild>
            <w:div w:id="1116220933">
              <w:marLeft w:val="0"/>
              <w:marRight w:val="0"/>
              <w:marTop w:val="0"/>
              <w:marBottom w:val="0"/>
              <w:divBdr>
                <w:top w:val="none" w:sz="0" w:space="0" w:color="auto"/>
                <w:left w:val="none" w:sz="0" w:space="0" w:color="auto"/>
                <w:bottom w:val="none" w:sz="0" w:space="0" w:color="auto"/>
                <w:right w:val="none" w:sz="0" w:space="0" w:color="auto"/>
              </w:divBdr>
              <w:divsChild>
                <w:div w:id="1116220929">
                  <w:marLeft w:val="0"/>
                  <w:marRight w:val="0"/>
                  <w:marTop w:val="0"/>
                  <w:marBottom w:val="0"/>
                  <w:divBdr>
                    <w:top w:val="none" w:sz="0" w:space="0" w:color="auto"/>
                    <w:left w:val="none" w:sz="0" w:space="0" w:color="auto"/>
                    <w:bottom w:val="none" w:sz="0" w:space="0" w:color="auto"/>
                    <w:right w:val="none" w:sz="0" w:space="0" w:color="auto"/>
                  </w:divBdr>
                  <w:divsChild>
                    <w:div w:id="1116220924">
                      <w:marLeft w:val="0"/>
                      <w:marRight w:val="0"/>
                      <w:marTop w:val="0"/>
                      <w:marBottom w:val="0"/>
                      <w:divBdr>
                        <w:top w:val="none" w:sz="0" w:space="0" w:color="auto"/>
                        <w:left w:val="none" w:sz="0" w:space="0" w:color="auto"/>
                        <w:bottom w:val="none" w:sz="0" w:space="0" w:color="auto"/>
                        <w:right w:val="none" w:sz="0" w:space="0" w:color="auto"/>
                      </w:divBdr>
                      <w:divsChild>
                        <w:div w:id="1116220931">
                          <w:marLeft w:val="0"/>
                          <w:marRight w:val="0"/>
                          <w:marTop w:val="0"/>
                          <w:marBottom w:val="150"/>
                          <w:divBdr>
                            <w:top w:val="none" w:sz="0" w:space="0" w:color="auto"/>
                            <w:left w:val="none" w:sz="0" w:space="0" w:color="auto"/>
                            <w:bottom w:val="none" w:sz="0" w:space="0" w:color="auto"/>
                            <w:right w:val="none" w:sz="0" w:space="0" w:color="auto"/>
                          </w:divBdr>
                          <w:divsChild>
                            <w:div w:id="1116220935">
                              <w:marLeft w:val="0"/>
                              <w:marRight w:val="0"/>
                              <w:marTop w:val="0"/>
                              <w:marBottom w:val="30"/>
                              <w:divBdr>
                                <w:top w:val="none" w:sz="0" w:space="0" w:color="auto"/>
                                <w:left w:val="none" w:sz="0" w:space="0" w:color="auto"/>
                                <w:bottom w:val="dotted" w:sz="6" w:space="2" w:color="999999"/>
                                <w:right w:val="none" w:sz="0" w:space="0" w:color="auto"/>
                              </w:divBdr>
                              <w:divsChild>
                                <w:div w:id="11162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220932">
      <w:marLeft w:val="0"/>
      <w:marRight w:val="0"/>
      <w:marTop w:val="0"/>
      <w:marBottom w:val="0"/>
      <w:divBdr>
        <w:top w:val="none" w:sz="0" w:space="0" w:color="auto"/>
        <w:left w:val="none" w:sz="0" w:space="0" w:color="auto"/>
        <w:bottom w:val="none" w:sz="0" w:space="0" w:color="auto"/>
        <w:right w:val="none" w:sz="0" w:space="0" w:color="auto"/>
      </w:divBdr>
    </w:div>
    <w:div w:id="1116220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21" Type="http://schemas.openxmlformats.org/officeDocument/2006/relationships/image" Target="media/image13.emf"/><Relationship Id="rId34" Type="http://schemas.openxmlformats.org/officeDocument/2006/relationships/image" Target="media/image25.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4.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3.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1.emf"/><Relationship Id="rId35" Type="http://schemas.openxmlformats.org/officeDocument/2006/relationships/image" Target="media/image26.emf"/><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28</Pages>
  <Words>1569</Words>
  <Characters>8948</Characters>
  <Application>Microsoft Office Word</Application>
  <DocSecurity>0</DocSecurity>
  <Lines>74</Lines>
  <Paragraphs>20</Paragraphs>
  <ScaleCrop>false</ScaleCrop>
  <Company>Pre-installed Company</Company>
  <LinksUpToDate>false</LinksUpToDate>
  <CharactersWithSpaces>10497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Executive Cttee 05.09.11: part i - (05) budget monitoirng month 4 (july 2011)</dc:title>
  <dc:subject/>
  <dc:creator>David Gardner</dc:creator>
  <cp:keywords/>
  <dc:description/>
  <cp:lastModifiedBy>Sarah Haythorpe</cp:lastModifiedBy>
  <cp:revision>46</cp:revision>
  <cp:lastPrinted>2016-09-26T10:49:00Z</cp:lastPrinted>
  <dcterms:created xsi:type="dcterms:W3CDTF">2016-09-22T16:42:00Z</dcterms:created>
  <dcterms:modified xsi:type="dcterms:W3CDTF">2016-09-28T14:16:00Z</dcterms:modified>
</cp:coreProperties>
</file>