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C0CCC" w:rsidRDefault="00EC0CCC" w:rsidP="008A256E">
      <w:pPr>
        <w:ind w:left="-142" w:right="-269"/>
        <w:jc w:val="center"/>
        <w:rPr>
          <w:b/>
        </w:rPr>
      </w:pPr>
      <w:r>
        <w:rPr>
          <w:b/>
        </w:rPr>
        <w:t xml:space="preserve">POLICY AND RESOURCES COMMITTEE – </w:t>
      </w:r>
      <w:r w:rsidR="0098404B">
        <w:rPr>
          <w:b/>
        </w:rPr>
        <w:t xml:space="preserve">6 </w:t>
      </w:r>
      <w:r w:rsidR="009B764B">
        <w:rPr>
          <w:b/>
        </w:rPr>
        <w:t xml:space="preserve">OCTOBER </w:t>
      </w:r>
      <w:r>
        <w:rPr>
          <w:b/>
        </w:rPr>
        <w:t>2016</w:t>
      </w:r>
    </w:p>
    <w:p w:rsidR="00EC0CCC" w:rsidRDefault="00EC0CCC" w:rsidP="008A256E">
      <w:pPr>
        <w:ind w:left="-142" w:right="-269"/>
        <w:jc w:val="center"/>
        <w:rPr>
          <w:b/>
        </w:rPr>
      </w:pPr>
    </w:p>
    <w:p w:rsidR="00EC0CCC" w:rsidRDefault="00EC0CCC">
      <w:pPr>
        <w:jc w:val="center"/>
        <w:rPr>
          <w:b/>
        </w:rPr>
      </w:pPr>
      <w:r>
        <w:rPr>
          <w:b/>
        </w:rPr>
        <w:t xml:space="preserve">PART </w:t>
      </w:r>
      <w:r>
        <w:rPr>
          <w:b/>
        </w:rPr>
        <w:fldChar w:fldCharType="begin"/>
      </w:r>
      <w:r>
        <w:rPr>
          <w:b/>
        </w:rPr>
        <w:instrText xml:space="preserve">  </w:instrText>
      </w:r>
      <w:r>
        <w:rPr>
          <w:b/>
        </w:rPr>
        <w:fldChar w:fldCharType="end"/>
      </w:r>
      <w:r>
        <w:rPr>
          <w:b/>
        </w:rPr>
        <w:t xml:space="preserve">I - </w:t>
      </w: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Pr="007200AD">
        <w:rPr>
          <w:b/>
        </w:rPr>
        <w:t>DELEGATED</w:t>
      </w:r>
    </w:p>
    <w:p w:rsidR="00EC0CCC" w:rsidRDefault="00EC0CCC">
      <w:pPr>
        <w:jc w:val="center"/>
        <w:rPr>
          <w:b/>
        </w:rPr>
      </w:pPr>
    </w:p>
    <w:p w:rsidR="00EC0CCC" w:rsidRPr="00490345" w:rsidRDefault="00C27AA7">
      <w:pPr>
        <w:keepNext/>
        <w:ind w:left="1267" w:hanging="1267"/>
        <w:rPr>
          <w:b/>
        </w:rPr>
      </w:pPr>
      <w:r>
        <w:rPr>
          <w:b/>
        </w:rPr>
        <w:t>9</w:t>
      </w:r>
      <w:r w:rsidR="00EC0CCC">
        <w:rPr>
          <w:b/>
        </w:rPr>
        <w:t>.</w:t>
      </w:r>
      <w:r w:rsidR="00EC0CCC">
        <w:rPr>
          <w:b/>
        </w:rPr>
        <w:fldChar w:fldCharType="begin"/>
      </w:r>
      <w:r w:rsidR="00EC0CCC">
        <w:rPr>
          <w:b/>
        </w:rPr>
        <w:instrText xml:space="preserve">  </w:instrText>
      </w:r>
      <w:r w:rsidR="00EC0CCC">
        <w:rPr>
          <w:b/>
        </w:rPr>
        <w:fldChar w:fldCharType="end"/>
      </w:r>
      <w:r w:rsidR="00EC0CCC">
        <w:rPr>
          <w:b/>
        </w:rPr>
        <w:tab/>
      </w:r>
      <w:r w:rsidR="00EC0CCC" w:rsidRPr="00490345">
        <w:rPr>
          <w:b/>
          <w:caps/>
        </w:rPr>
        <w:t>Four-year financial settlement deal</w:t>
      </w:r>
      <w:r w:rsidR="00EC0CCC">
        <w:rPr>
          <w:b/>
        </w:rPr>
        <w:fldChar w:fldCharType="begin"/>
      </w:r>
      <w:r w:rsidR="00EC0CCC">
        <w:rPr>
          <w:b/>
        </w:rPr>
        <w:instrText xml:space="preserve">  </w:instrText>
      </w:r>
      <w:r w:rsidR="00EC0CCC">
        <w:rPr>
          <w:b/>
        </w:rPr>
        <w:fldChar w:fldCharType="end"/>
      </w:r>
    </w:p>
    <w:p w:rsidR="00EC0CCC" w:rsidRDefault="00EC0CCC">
      <w:pPr>
        <w:keepNext/>
        <w:ind w:left="1267" w:hanging="1267"/>
        <w:rPr>
          <w:b/>
          <w:i/>
          <w:color w:val="008000"/>
        </w:rPr>
      </w:pPr>
      <w:r>
        <w:rPr>
          <w:b/>
        </w:rPr>
        <w:tab/>
      </w:r>
      <w:r>
        <w:fldChar w:fldCharType="begin"/>
      </w:r>
      <w:r>
        <w:instrText xml:space="preserve">  </w:instrText>
      </w:r>
      <w:r>
        <w:fldChar w:fldCharType="end"/>
      </w:r>
      <w:r>
        <w:t>(DoF)</w:t>
      </w:r>
    </w:p>
    <w:p w:rsidR="00EC0CCC" w:rsidRDefault="00EC0CCC">
      <w:pPr>
        <w:ind w:left="1260" w:hanging="1260"/>
      </w:pPr>
    </w:p>
    <w:p w:rsidR="00EC0CCC" w:rsidRDefault="00EC0CCC">
      <w:pPr>
        <w:keepNext/>
        <w:ind w:left="1267" w:hanging="1267"/>
      </w:pPr>
      <w:r>
        <w:t>1.</w:t>
      </w:r>
      <w:r>
        <w:tab/>
      </w:r>
      <w:r>
        <w:rPr>
          <w:b/>
        </w:rPr>
        <w:t>Summary</w:t>
      </w:r>
    </w:p>
    <w:p w:rsidR="00EC0CCC" w:rsidRPr="004F56CC" w:rsidRDefault="00EC0CCC">
      <w:pPr>
        <w:keepNext/>
        <w:ind w:left="1267" w:hanging="1267"/>
        <w:rPr>
          <w:rFonts w:cs="Arial"/>
        </w:rPr>
      </w:pPr>
    </w:p>
    <w:p w:rsidR="00EC0CCC" w:rsidRPr="004F56CC" w:rsidRDefault="00EC0CCC" w:rsidP="00490345">
      <w:pPr>
        <w:numPr>
          <w:ilvl w:val="1"/>
          <w:numId w:val="19"/>
        </w:numPr>
        <w:tabs>
          <w:tab w:val="clear" w:pos="360"/>
          <w:tab w:val="clear" w:pos="1260"/>
          <w:tab w:val="num" w:pos="1276"/>
        </w:tabs>
        <w:ind w:left="1276" w:hanging="1276"/>
        <w:rPr>
          <w:rFonts w:cs="Arial"/>
          <w:szCs w:val="22"/>
        </w:rPr>
      </w:pPr>
      <w:r w:rsidRPr="004F56CC">
        <w:rPr>
          <w:rFonts w:cs="Arial"/>
          <w:szCs w:val="24"/>
          <w:lang w:eastAsia="en-US"/>
        </w:rPr>
        <w:t xml:space="preserve">This report covers </w:t>
      </w:r>
      <w:r w:rsidR="0098404B">
        <w:rPr>
          <w:rFonts w:cs="Arial"/>
          <w:szCs w:val="24"/>
          <w:lang w:eastAsia="en-US"/>
        </w:rPr>
        <w:t>the</w:t>
      </w:r>
      <w:r w:rsidRPr="004F56CC">
        <w:rPr>
          <w:rFonts w:cs="Arial"/>
          <w:szCs w:val="24"/>
          <w:lang w:eastAsia="en-US"/>
        </w:rPr>
        <w:t xml:space="preserve"> decision on whether to accept the </w:t>
      </w:r>
      <w:r w:rsidR="0008617D">
        <w:rPr>
          <w:rFonts w:cs="Arial"/>
          <w:szCs w:val="24"/>
          <w:lang w:eastAsia="en-US"/>
        </w:rPr>
        <w:t>Government</w:t>
      </w:r>
      <w:r w:rsidRPr="004F56CC">
        <w:rPr>
          <w:rFonts w:cs="Arial"/>
          <w:szCs w:val="24"/>
          <w:lang w:eastAsia="en-US"/>
        </w:rPr>
        <w:t>’s offer of a four-year financial settlement</w:t>
      </w:r>
      <w:r w:rsidR="0098404B">
        <w:rPr>
          <w:rFonts w:cs="Arial"/>
          <w:szCs w:val="24"/>
          <w:lang w:eastAsia="en-US"/>
        </w:rPr>
        <w:t xml:space="preserve"> and </w:t>
      </w:r>
      <w:r w:rsidRPr="004F56CC">
        <w:rPr>
          <w:rFonts w:cs="Arial"/>
          <w:szCs w:val="24"/>
          <w:lang w:eastAsia="en-US"/>
        </w:rPr>
        <w:t xml:space="preserve">the requirement </w:t>
      </w:r>
      <w:r w:rsidR="007266D5">
        <w:rPr>
          <w:rFonts w:cs="Arial"/>
          <w:szCs w:val="24"/>
          <w:lang w:eastAsia="en-US"/>
        </w:rPr>
        <w:t>to publish an Efficiency Plan.</w:t>
      </w:r>
    </w:p>
    <w:p w:rsidR="00EC0CCC" w:rsidRDefault="00EC0CCC" w:rsidP="00BE7450">
      <w:pPr>
        <w:keepNext/>
        <w:tabs>
          <w:tab w:val="clear" w:pos="1260"/>
        </w:tabs>
        <w:rPr>
          <w:b/>
        </w:rPr>
      </w:pPr>
      <w:r>
        <w:tab/>
      </w:r>
    </w:p>
    <w:p w:rsidR="00EC0CCC" w:rsidRDefault="00EC0CCC" w:rsidP="005C5E36">
      <w:pPr>
        <w:keepNext/>
        <w:numPr>
          <w:ilvl w:val="0"/>
          <w:numId w:val="15"/>
        </w:numPr>
        <w:rPr>
          <w:b/>
        </w:rPr>
      </w:pPr>
      <w:r>
        <w:rPr>
          <w:b/>
        </w:rPr>
        <w:t>Details</w:t>
      </w:r>
    </w:p>
    <w:p w:rsidR="00EC0CCC" w:rsidRDefault="00EC0CCC" w:rsidP="00BE7450">
      <w:pPr>
        <w:keepNext/>
        <w:tabs>
          <w:tab w:val="clear" w:pos="1260"/>
        </w:tabs>
        <w:rPr>
          <w:b/>
        </w:rPr>
      </w:pPr>
    </w:p>
    <w:p w:rsidR="00EC0CCC" w:rsidRDefault="00EC0CCC" w:rsidP="00490345">
      <w:pPr>
        <w:pStyle w:val="Heading3"/>
        <w:ind w:left="1260" w:hanging="1260"/>
      </w:pPr>
      <w:r>
        <w:t>2.1</w:t>
      </w:r>
      <w:r w:rsidRPr="009B01B5">
        <w:tab/>
      </w:r>
      <w:r>
        <w:t xml:space="preserve">As part of the Local Government Finance Settlement (LGFS) in February 2016, the </w:t>
      </w:r>
      <w:r w:rsidR="0008617D">
        <w:t>G</w:t>
      </w:r>
      <w:r>
        <w:t>overnment published an indicative four</w:t>
      </w:r>
      <w:r w:rsidR="0008617D">
        <w:t>-</w:t>
      </w:r>
      <w:r>
        <w:t xml:space="preserve">year settlement, with the settlement for 2016/17 confirmed and a provisional settlement for the three future periods 2017/18 to 2019/20.  The </w:t>
      </w:r>
      <w:r w:rsidR="0008617D">
        <w:t>Government</w:t>
      </w:r>
      <w:r>
        <w:t xml:space="preserve"> indicated that it would honour these figures </w:t>
      </w:r>
      <w:r w:rsidR="0008617D">
        <w:t xml:space="preserve">depending </w:t>
      </w:r>
      <w:r>
        <w:t xml:space="preserve">on individual local authorities agreeing to publish their Efficiency Plan.  In March 2016 the </w:t>
      </w:r>
      <w:r w:rsidR="0008617D">
        <w:t>Government</w:t>
      </w:r>
      <w:r>
        <w:t xml:space="preserve"> wrote to Local Authorities to confirm the requirements for an Efficiency Plan and the timescale for accepting the </w:t>
      </w:r>
      <w:r w:rsidR="0008617D">
        <w:t>Government</w:t>
      </w:r>
      <w:r>
        <w:t>’s offer, being 14 October 2016.</w:t>
      </w:r>
    </w:p>
    <w:p w:rsidR="00EC0CCC" w:rsidRDefault="00EC0CCC" w:rsidP="00543401">
      <w:pPr>
        <w:keepNext/>
        <w:tabs>
          <w:tab w:val="clear" w:pos="1260"/>
          <w:tab w:val="clear" w:pos="1980"/>
        </w:tabs>
        <w:ind w:left="360"/>
      </w:pPr>
    </w:p>
    <w:p w:rsidR="00EC0CCC" w:rsidRPr="00543401" w:rsidRDefault="00EC0CCC" w:rsidP="00543401">
      <w:pPr>
        <w:keepNext/>
        <w:numPr>
          <w:ilvl w:val="1"/>
          <w:numId w:val="29"/>
        </w:numPr>
        <w:tabs>
          <w:tab w:val="clear" w:pos="360"/>
          <w:tab w:val="clear" w:pos="1260"/>
          <w:tab w:val="clear" w:pos="1980"/>
          <w:tab w:val="num" w:pos="1276"/>
        </w:tabs>
        <w:ind w:left="1276" w:hanging="1276"/>
      </w:pPr>
      <w:r w:rsidRPr="00543401">
        <w:t>Council</w:t>
      </w:r>
      <w:r w:rsidR="0098404B">
        <w:t xml:space="preserve"> considered this decision on 12 September and delegated the final sign off of the decision to accept (or not) the four-year settlement from central government.  Council also delegated to this Committee to agree the efficiency plan.</w:t>
      </w:r>
    </w:p>
    <w:p w:rsidR="00EC0CCC" w:rsidRPr="003E01A1" w:rsidRDefault="00EC0CCC" w:rsidP="00543401">
      <w:pPr>
        <w:spacing w:after="200" w:line="276" w:lineRule="auto"/>
        <w:ind w:left="360"/>
        <w:contextualSpacing/>
        <w:rPr>
          <w:rFonts w:cs="Arial"/>
          <w:szCs w:val="24"/>
          <w:lang w:eastAsia="en-US"/>
        </w:rPr>
      </w:pPr>
    </w:p>
    <w:p w:rsidR="00EC0CCC" w:rsidRDefault="00EC0CCC" w:rsidP="00543401">
      <w:pPr>
        <w:keepNext/>
        <w:numPr>
          <w:ilvl w:val="1"/>
          <w:numId w:val="29"/>
        </w:numPr>
        <w:tabs>
          <w:tab w:val="clear" w:pos="360"/>
          <w:tab w:val="clear" w:pos="1260"/>
          <w:tab w:val="clear" w:pos="1980"/>
          <w:tab w:val="num" w:pos="1276"/>
        </w:tabs>
        <w:ind w:left="1276" w:hanging="1276"/>
      </w:pPr>
      <w:r w:rsidRPr="00543401">
        <w:t xml:space="preserve">The </w:t>
      </w:r>
      <w:r w:rsidR="004F56CC">
        <w:t>G</w:t>
      </w:r>
      <w:r w:rsidRPr="00543401">
        <w:t>overnment offer is as follows:</w:t>
      </w:r>
    </w:p>
    <w:p w:rsidR="00EC0CCC" w:rsidRPr="00543401" w:rsidRDefault="00EC0CCC" w:rsidP="00543401">
      <w:pPr>
        <w:keepNext/>
        <w:tabs>
          <w:tab w:val="clear" w:pos="1980"/>
        </w:tabs>
      </w:pPr>
    </w:p>
    <w:p w:rsidR="00EC0CCC" w:rsidRPr="003E01A1" w:rsidRDefault="00EC0CCC" w:rsidP="00543401">
      <w:pPr>
        <w:spacing w:after="200" w:line="276" w:lineRule="auto"/>
        <w:ind w:left="1440"/>
        <w:rPr>
          <w:rFonts w:cs="Arial"/>
          <w:i/>
          <w:szCs w:val="24"/>
          <w:lang w:eastAsia="en-US"/>
        </w:rPr>
      </w:pPr>
      <w:r w:rsidRPr="003E01A1">
        <w:rPr>
          <w:rFonts w:cs="Arial"/>
          <w:i/>
          <w:szCs w:val="24"/>
          <w:lang w:eastAsia="en-US"/>
        </w:rPr>
        <w:t>‘The relevant lines included with the financial settlement that are protected as part of this offer are;</w:t>
      </w:r>
    </w:p>
    <w:p w:rsidR="00EC0CCC" w:rsidRPr="003E01A1"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Revenue Support Grant</w:t>
      </w:r>
    </w:p>
    <w:p w:rsidR="00EC0CCC" w:rsidRPr="003E01A1"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Transitional Grant; and</w:t>
      </w:r>
    </w:p>
    <w:p w:rsidR="00EC0CCC" w:rsidRDefault="00EC0CCC" w:rsidP="00543401">
      <w:pPr>
        <w:numPr>
          <w:ilvl w:val="0"/>
          <w:numId w:val="33"/>
        </w:numPr>
        <w:tabs>
          <w:tab w:val="clear" w:pos="1260"/>
          <w:tab w:val="clear" w:pos="1980"/>
          <w:tab w:val="clear" w:pos="2700"/>
          <w:tab w:val="clear" w:pos="3420"/>
        </w:tabs>
        <w:spacing w:after="200" w:line="276" w:lineRule="auto"/>
        <w:ind w:left="1800"/>
        <w:contextualSpacing/>
        <w:jc w:val="left"/>
        <w:rPr>
          <w:rFonts w:cs="Arial"/>
          <w:i/>
          <w:szCs w:val="24"/>
          <w:lang w:eastAsia="en-US"/>
        </w:rPr>
      </w:pPr>
      <w:r w:rsidRPr="003E01A1">
        <w:rPr>
          <w:rFonts w:cs="Arial"/>
          <w:i/>
          <w:szCs w:val="24"/>
          <w:lang w:eastAsia="en-US"/>
        </w:rPr>
        <w:t>Rural Service</w:t>
      </w:r>
      <w:r>
        <w:rPr>
          <w:rFonts w:cs="Arial"/>
          <w:i/>
          <w:szCs w:val="24"/>
          <w:lang w:eastAsia="en-US"/>
        </w:rPr>
        <w:t xml:space="preserve">s Delivery Grant Allocations. </w:t>
      </w:r>
      <w:r w:rsidRPr="001E578E">
        <w:rPr>
          <w:rFonts w:cs="Arial"/>
          <w:szCs w:val="24"/>
          <w:lang w:eastAsia="en-US"/>
        </w:rPr>
        <w:t>[NB does not apply to TRDC]</w:t>
      </w:r>
    </w:p>
    <w:p w:rsidR="00EC0CCC" w:rsidRDefault="00EC0CCC" w:rsidP="00543401">
      <w:pPr>
        <w:spacing w:after="200" w:line="276" w:lineRule="auto"/>
        <w:ind w:left="1440"/>
        <w:rPr>
          <w:rFonts w:cs="Arial"/>
          <w:i/>
          <w:szCs w:val="24"/>
          <w:lang w:eastAsia="en-US"/>
        </w:rPr>
      </w:pPr>
      <w:r w:rsidRPr="003E01A1">
        <w:rPr>
          <w:rFonts w:cs="Arial"/>
          <w:i/>
          <w:szCs w:val="24"/>
          <w:lang w:eastAsia="en-US"/>
        </w:rPr>
        <w:t>In addition,</w:t>
      </w:r>
      <w:r>
        <w:rPr>
          <w:rFonts w:cs="Arial"/>
          <w:i/>
          <w:szCs w:val="24"/>
          <w:lang w:eastAsia="en-US"/>
        </w:rPr>
        <w:t xml:space="preserve"> </w:t>
      </w:r>
      <w:r w:rsidRPr="003E01A1">
        <w:rPr>
          <w:rFonts w:cs="Arial"/>
          <w:i/>
          <w:szCs w:val="24"/>
          <w:lang w:eastAsia="en-US"/>
        </w:rPr>
        <w:t>tariff and top-ups in 2017/18. 2018/19 and 2019/20 will not be altered for reasons related to relative needs of local authorities, and in the final year may be subject to the implementation of 100% business rates retention.’</w:t>
      </w:r>
    </w:p>
    <w:p w:rsidR="009B764B" w:rsidRPr="009B764B" w:rsidRDefault="00EC0CCC" w:rsidP="009B764B">
      <w:pPr>
        <w:pStyle w:val="ListParagraph"/>
        <w:keepNext/>
        <w:numPr>
          <w:ilvl w:val="1"/>
          <w:numId w:val="29"/>
        </w:numPr>
        <w:tabs>
          <w:tab w:val="clear" w:pos="360"/>
          <w:tab w:val="clear" w:pos="1260"/>
          <w:tab w:val="clear" w:pos="1980"/>
        </w:tabs>
        <w:spacing w:after="200" w:line="276" w:lineRule="auto"/>
        <w:ind w:left="1276" w:hanging="1276"/>
        <w:rPr>
          <w:rFonts w:cs="Arial"/>
          <w:b/>
          <w:szCs w:val="24"/>
          <w:lang w:eastAsia="en-US"/>
        </w:rPr>
      </w:pPr>
      <w:bookmarkStart w:id="0" w:name="_GoBack"/>
      <w:bookmarkEnd w:id="0"/>
      <w:r w:rsidRPr="00952127">
        <w:t>The table below shows the final settlement as published on 8 February 2016 fo</w:t>
      </w:r>
      <w:r w:rsidR="004F56CC">
        <w:t>r Three Rivers District Council</w:t>
      </w:r>
      <w:r w:rsidRPr="00952127">
        <w:t>:</w:t>
      </w:r>
    </w:p>
    <w:p w:rsidR="00EC0CCC" w:rsidRPr="009B764B" w:rsidRDefault="00EC0CCC" w:rsidP="009B764B">
      <w:pPr>
        <w:keepNext/>
        <w:tabs>
          <w:tab w:val="clear" w:pos="1980"/>
        </w:tabs>
        <w:spacing w:after="200" w:line="276" w:lineRule="auto"/>
        <w:ind w:left="360"/>
        <w:rPr>
          <w:rFonts w:cs="Arial"/>
          <w:b/>
          <w:szCs w:val="24"/>
          <w:lang w:eastAsia="en-US"/>
        </w:rPr>
      </w:pPr>
      <w:r w:rsidRPr="009B764B">
        <w:rPr>
          <w:rFonts w:cs="Arial"/>
          <w:b/>
          <w:szCs w:val="24"/>
          <w:lang w:eastAsia="en-US"/>
        </w:rPr>
        <w:t>Final Settlement – Three Rivers District Council</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58"/>
        <w:gridCol w:w="1620"/>
        <w:gridCol w:w="1440"/>
        <w:gridCol w:w="1620"/>
        <w:gridCol w:w="1556"/>
      </w:tblGrid>
      <w:tr w:rsidR="00EC0CCC" w:rsidRPr="00EA6743" w:rsidTr="00543401">
        <w:tc>
          <w:tcPr>
            <w:tcW w:w="3258" w:type="dxa"/>
          </w:tcPr>
          <w:p w:rsidR="00EC0CCC" w:rsidRPr="00EA6743" w:rsidRDefault="00EC0CCC" w:rsidP="00543401">
            <w:pPr>
              <w:rPr>
                <w:rFonts w:cs="Arial"/>
                <w:b/>
                <w:szCs w:val="24"/>
                <w:lang w:eastAsia="en-US"/>
              </w:rPr>
            </w:pPr>
            <w:r w:rsidRPr="00EA6743">
              <w:rPr>
                <w:rFonts w:cs="Arial"/>
                <w:b/>
                <w:szCs w:val="24"/>
                <w:lang w:eastAsia="en-US"/>
              </w:rPr>
              <w:t>Breakdown of Settlement</w:t>
            </w:r>
          </w:p>
        </w:tc>
        <w:tc>
          <w:tcPr>
            <w:tcW w:w="1620" w:type="dxa"/>
          </w:tcPr>
          <w:p w:rsidR="00EC0CCC" w:rsidRPr="00EA6743" w:rsidRDefault="00EC0CCC" w:rsidP="009F464B">
            <w:pPr>
              <w:jc w:val="center"/>
              <w:rPr>
                <w:rFonts w:cs="Arial"/>
                <w:b/>
                <w:szCs w:val="24"/>
                <w:lang w:eastAsia="en-US"/>
              </w:rPr>
            </w:pPr>
            <w:r w:rsidRPr="00EA6743">
              <w:rPr>
                <w:rFonts w:cs="Arial"/>
                <w:b/>
                <w:szCs w:val="24"/>
                <w:lang w:eastAsia="en-US"/>
              </w:rPr>
              <w:t>2016/17</w:t>
            </w:r>
          </w:p>
        </w:tc>
        <w:tc>
          <w:tcPr>
            <w:tcW w:w="1440" w:type="dxa"/>
          </w:tcPr>
          <w:p w:rsidR="00EC0CCC" w:rsidRPr="00EA6743" w:rsidRDefault="00EC0CCC" w:rsidP="009F464B">
            <w:pPr>
              <w:jc w:val="center"/>
              <w:rPr>
                <w:rFonts w:cs="Arial"/>
                <w:b/>
                <w:szCs w:val="24"/>
                <w:lang w:eastAsia="en-US"/>
              </w:rPr>
            </w:pPr>
            <w:r w:rsidRPr="00EA6743">
              <w:rPr>
                <w:rFonts w:cs="Arial"/>
                <w:b/>
                <w:szCs w:val="24"/>
                <w:lang w:eastAsia="en-US"/>
              </w:rPr>
              <w:t>2017/18</w:t>
            </w:r>
          </w:p>
        </w:tc>
        <w:tc>
          <w:tcPr>
            <w:tcW w:w="1620" w:type="dxa"/>
          </w:tcPr>
          <w:p w:rsidR="00EC0CCC" w:rsidRPr="00EA6743" w:rsidRDefault="00EC0CCC" w:rsidP="009F464B">
            <w:pPr>
              <w:jc w:val="center"/>
              <w:rPr>
                <w:rFonts w:cs="Arial"/>
                <w:b/>
                <w:szCs w:val="24"/>
                <w:lang w:eastAsia="en-US"/>
              </w:rPr>
            </w:pPr>
            <w:r w:rsidRPr="00EA6743">
              <w:rPr>
                <w:rFonts w:cs="Arial"/>
                <w:b/>
                <w:szCs w:val="24"/>
                <w:lang w:eastAsia="en-US"/>
              </w:rPr>
              <w:t>2018/19</w:t>
            </w:r>
          </w:p>
        </w:tc>
        <w:tc>
          <w:tcPr>
            <w:tcW w:w="1556" w:type="dxa"/>
          </w:tcPr>
          <w:p w:rsidR="00EC0CCC" w:rsidRPr="00EA6743" w:rsidRDefault="00EC0CCC" w:rsidP="009F464B">
            <w:pPr>
              <w:jc w:val="center"/>
              <w:rPr>
                <w:rFonts w:cs="Arial"/>
                <w:b/>
                <w:szCs w:val="24"/>
                <w:lang w:eastAsia="en-US"/>
              </w:rPr>
            </w:pPr>
            <w:r w:rsidRPr="00EA6743">
              <w:rPr>
                <w:rFonts w:cs="Arial"/>
                <w:b/>
                <w:szCs w:val="24"/>
                <w:lang w:eastAsia="en-US"/>
              </w:rPr>
              <w:t>2019/20</w:t>
            </w:r>
          </w:p>
        </w:tc>
      </w:tr>
      <w:tr w:rsidR="00EC0CCC" w:rsidRPr="00EA6743" w:rsidTr="00543401">
        <w:tc>
          <w:tcPr>
            <w:tcW w:w="9494" w:type="dxa"/>
            <w:gridSpan w:val="5"/>
          </w:tcPr>
          <w:p w:rsidR="00EC0CCC" w:rsidRPr="00EA6743" w:rsidRDefault="00EC0CCC" w:rsidP="00543401">
            <w:pPr>
              <w:rPr>
                <w:rFonts w:cs="Arial"/>
                <w:b/>
                <w:szCs w:val="24"/>
                <w:lang w:eastAsia="en-US"/>
              </w:rPr>
            </w:pPr>
            <w:r w:rsidRPr="00EA6743">
              <w:rPr>
                <w:rFonts w:cs="Arial"/>
                <w:b/>
                <w:szCs w:val="24"/>
                <w:lang w:eastAsia="en-US"/>
              </w:rPr>
              <w:t>Business Rates Income</w:t>
            </w:r>
          </w:p>
        </w:tc>
      </w:tr>
      <w:tr w:rsidR="00EC0CCC" w:rsidRPr="00EA6743" w:rsidTr="00543401">
        <w:tc>
          <w:tcPr>
            <w:tcW w:w="3258" w:type="dxa"/>
            <w:shd w:val="clear" w:color="auto" w:fill="EEECE1"/>
          </w:tcPr>
          <w:p w:rsidR="00EC0CCC" w:rsidRPr="00EA6743" w:rsidRDefault="00EC0CCC" w:rsidP="00543401">
            <w:pPr>
              <w:rPr>
                <w:rFonts w:cs="Arial"/>
                <w:szCs w:val="24"/>
                <w:lang w:eastAsia="en-US"/>
              </w:rPr>
            </w:pPr>
            <w:r w:rsidRPr="00EA6743">
              <w:rPr>
                <w:rFonts w:cs="Arial"/>
                <w:szCs w:val="24"/>
                <w:lang w:eastAsia="en-US"/>
              </w:rPr>
              <w:t>Baseline</w:t>
            </w:r>
          </w:p>
        </w:tc>
        <w:tc>
          <w:tcPr>
            <w:tcW w:w="1620" w:type="dxa"/>
            <w:shd w:val="clear" w:color="auto" w:fill="EEECE1"/>
          </w:tcPr>
          <w:p w:rsidR="00EC0CCC" w:rsidRPr="00EA6743" w:rsidRDefault="00EC0CCC" w:rsidP="00A8183A">
            <w:pPr>
              <w:jc w:val="right"/>
              <w:rPr>
                <w:rFonts w:cs="Arial"/>
                <w:szCs w:val="24"/>
                <w:lang w:eastAsia="en-US"/>
              </w:rPr>
            </w:pPr>
            <w:r>
              <w:rPr>
                <w:rFonts w:cs="Arial"/>
                <w:szCs w:val="24"/>
                <w:lang w:eastAsia="en-US"/>
              </w:rPr>
              <w:t>£1,825,607</w:t>
            </w:r>
          </w:p>
        </w:tc>
        <w:tc>
          <w:tcPr>
            <w:tcW w:w="1440" w:type="dxa"/>
            <w:shd w:val="clear" w:color="auto" w:fill="EEECE1"/>
          </w:tcPr>
          <w:p w:rsidR="00EC0CCC" w:rsidRPr="00EA6743" w:rsidRDefault="00EC0CCC" w:rsidP="00543401">
            <w:pPr>
              <w:jc w:val="right"/>
              <w:rPr>
                <w:rFonts w:cs="Arial"/>
                <w:szCs w:val="24"/>
                <w:lang w:eastAsia="en-US"/>
              </w:rPr>
            </w:pPr>
            <w:r>
              <w:rPr>
                <w:rFonts w:cs="Arial"/>
                <w:szCs w:val="24"/>
                <w:lang w:eastAsia="en-US"/>
              </w:rPr>
              <w:t>£1,861,514</w:t>
            </w:r>
          </w:p>
        </w:tc>
        <w:tc>
          <w:tcPr>
            <w:tcW w:w="1620" w:type="dxa"/>
            <w:shd w:val="clear" w:color="auto" w:fill="EEECE1"/>
          </w:tcPr>
          <w:p w:rsidR="00EC0CCC" w:rsidRPr="00EA6743" w:rsidRDefault="00EC0CCC" w:rsidP="00543401">
            <w:pPr>
              <w:jc w:val="right"/>
              <w:rPr>
                <w:rFonts w:cs="Arial"/>
                <w:szCs w:val="24"/>
                <w:lang w:eastAsia="en-US"/>
              </w:rPr>
            </w:pPr>
            <w:r>
              <w:rPr>
                <w:rFonts w:cs="Arial"/>
                <w:szCs w:val="24"/>
                <w:lang w:eastAsia="en-US"/>
              </w:rPr>
              <w:t>£1,916,430</w:t>
            </w:r>
          </w:p>
        </w:tc>
        <w:tc>
          <w:tcPr>
            <w:tcW w:w="1556" w:type="dxa"/>
            <w:shd w:val="clear" w:color="auto" w:fill="EEECE1"/>
          </w:tcPr>
          <w:p w:rsidR="00EC0CCC" w:rsidRPr="00EA6743" w:rsidRDefault="00EC0CCC" w:rsidP="009F464B">
            <w:pPr>
              <w:jc w:val="right"/>
              <w:rPr>
                <w:rFonts w:cs="Arial"/>
                <w:szCs w:val="24"/>
                <w:lang w:eastAsia="en-US"/>
              </w:rPr>
            </w:pPr>
            <w:r>
              <w:rPr>
                <w:rFonts w:cs="Arial"/>
                <w:szCs w:val="24"/>
                <w:lang w:eastAsia="en-US"/>
              </w:rPr>
              <w:t>£1,977,682</w:t>
            </w:r>
          </w:p>
        </w:tc>
      </w:tr>
      <w:tr w:rsidR="00EC0CCC" w:rsidRPr="00EA6743" w:rsidTr="00543401">
        <w:tc>
          <w:tcPr>
            <w:tcW w:w="3258" w:type="dxa"/>
            <w:shd w:val="clear" w:color="auto" w:fill="EEECE1"/>
          </w:tcPr>
          <w:p w:rsidR="00EC0CCC" w:rsidRPr="00EA6743" w:rsidRDefault="00EC0CCC" w:rsidP="00543401">
            <w:pPr>
              <w:rPr>
                <w:rFonts w:cs="Arial"/>
                <w:szCs w:val="24"/>
                <w:lang w:eastAsia="en-US"/>
              </w:rPr>
            </w:pPr>
            <w:r w:rsidRPr="00EA6743">
              <w:rPr>
                <w:rFonts w:cs="Arial"/>
                <w:szCs w:val="24"/>
                <w:lang w:eastAsia="en-US"/>
              </w:rPr>
              <w:t>Tariff Adjustment (Negative RSG)</w:t>
            </w:r>
          </w:p>
        </w:tc>
        <w:tc>
          <w:tcPr>
            <w:tcW w:w="162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44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620" w:type="dxa"/>
            <w:shd w:val="clear" w:color="auto" w:fill="EEECE1"/>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shd w:val="clear" w:color="auto" w:fill="EEECE1"/>
          </w:tcPr>
          <w:p w:rsidR="00EC0CCC" w:rsidRDefault="00EC0CCC" w:rsidP="009F464B">
            <w:pPr>
              <w:jc w:val="right"/>
              <w:rPr>
                <w:rFonts w:cs="Arial"/>
                <w:szCs w:val="24"/>
                <w:lang w:eastAsia="en-US"/>
              </w:rPr>
            </w:pPr>
            <w:r w:rsidRPr="00EA6743">
              <w:rPr>
                <w:rFonts w:cs="Arial"/>
                <w:szCs w:val="24"/>
                <w:lang w:eastAsia="en-US"/>
              </w:rPr>
              <w:t>(</w:t>
            </w:r>
            <w:r>
              <w:rPr>
                <w:rFonts w:cs="Arial"/>
                <w:szCs w:val="24"/>
                <w:lang w:eastAsia="en-US"/>
              </w:rPr>
              <w:t>£350,445</w:t>
            </w:r>
            <w:r w:rsidRPr="00EA6743">
              <w:rPr>
                <w:rFonts w:cs="Arial"/>
                <w:szCs w:val="24"/>
                <w:lang w:eastAsia="en-US"/>
              </w:rPr>
              <w:t>)</w:t>
            </w:r>
          </w:p>
          <w:p w:rsidR="00EC0CCC" w:rsidRPr="009F464B" w:rsidRDefault="00EC0CCC" w:rsidP="009F464B">
            <w:pPr>
              <w:jc w:val="right"/>
              <w:rPr>
                <w:rFonts w:cs="Arial"/>
                <w:i/>
                <w:szCs w:val="24"/>
                <w:lang w:eastAsia="en-US"/>
              </w:rPr>
            </w:pPr>
            <w:r w:rsidRPr="009F464B">
              <w:rPr>
                <w:rFonts w:cs="Arial"/>
                <w:i/>
                <w:szCs w:val="24"/>
                <w:lang w:eastAsia="en-US"/>
              </w:rPr>
              <w:t>(see below)</w:t>
            </w:r>
          </w:p>
        </w:tc>
      </w:tr>
      <w:tr w:rsidR="00EC0CCC" w:rsidRPr="00EA6743" w:rsidTr="00543401">
        <w:tc>
          <w:tcPr>
            <w:tcW w:w="3258" w:type="dxa"/>
          </w:tcPr>
          <w:p w:rsidR="00EC0CCC" w:rsidRPr="00EA6743" w:rsidRDefault="00EC0CCC" w:rsidP="00543401">
            <w:pPr>
              <w:rPr>
                <w:rFonts w:cs="Arial"/>
                <w:b/>
                <w:szCs w:val="24"/>
                <w:lang w:eastAsia="en-US"/>
              </w:rPr>
            </w:pPr>
            <w:r w:rsidRPr="00EA6743">
              <w:rPr>
                <w:rFonts w:cs="Arial"/>
                <w:b/>
                <w:szCs w:val="24"/>
                <w:lang w:eastAsia="en-US"/>
              </w:rPr>
              <w:t>Retained Business Rates</w:t>
            </w:r>
          </w:p>
        </w:tc>
        <w:tc>
          <w:tcPr>
            <w:tcW w:w="1620" w:type="dxa"/>
          </w:tcPr>
          <w:p w:rsidR="00EC0CCC" w:rsidRPr="009F464B" w:rsidRDefault="00EC0CCC" w:rsidP="009F464B">
            <w:pPr>
              <w:jc w:val="right"/>
              <w:rPr>
                <w:rFonts w:cs="Arial"/>
                <w:b/>
                <w:szCs w:val="24"/>
                <w:lang w:eastAsia="en-US"/>
              </w:rPr>
            </w:pPr>
            <w:r w:rsidRPr="009F464B">
              <w:rPr>
                <w:rFonts w:cs="Arial"/>
                <w:b/>
                <w:szCs w:val="24"/>
                <w:lang w:eastAsia="en-US"/>
              </w:rPr>
              <w:t>£1,825,607</w:t>
            </w:r>
          </w:p>
        </w:tc>
        <w:tc>
          <w:tcPr>
            <w:tcW w:w="1440" w:type="dxa"/>
          </w:tcPr>
          <w:p w:rsidR="00EC0CCC" w:rsidRPr="009F464B" w:rsidRDefault="00EC0CCC" w:rsidP="009F464B">
            <w:pPr>
              <w:jc w:val="right"/>
              <w:rPr>
                <w:rFonts w:cs="Arial"/>
                <w:b/>
                <w:szCs w:val="24"/>
                <w:lang w:eastAsia="en-US"/>
              </w:rPr>
            </w:pPr>
            <w:r w:rsidRPr="009F464B">
              <w:rPr>
                <w:rFonts w:cs="Arial"/>
                <w:b/>
                <w:szCs w:val="24"/>
                <w:lang w:eastAsia="en-US"/>
              </w:rPr>
              <w:t>£1,861,514</w:t>
            </w:r>
          </w:p>
        </w:tc>
        <w:tc>
          <w:tcPr>
            <w:tcW w:w="1620" w:type="dxa"/>
          </w:tcPr>
          <w:p w:rsidR="00EC0CCC" w:rsidRPr="009F464B" w:rsidRDefault="00EC0CCC" w:rsidP="009F464B">
            <w:pPr>
              <w:jc w:val="right"/>
              <w:rPr>
                <w:rFonts w:cs="Arial"/>
                <w:b/>
                <w:szCs w:val="24"/>
                <w:lang w:eastAsia="en-US"/>
              </w:rPr>
            </w:pPr>
            <w:r w:rsidRPr="009F464B">
              <w:rPr>
                <w:rFonts w:cs="Arial"/>
                <w:b/>
                <w:szCs w:val="24"/>
                <w:lang w:eastAsia="en-US"/>
              </w:rPr>
              <w:t>£1,916,430</w:t>
            </w:r>
          </w:p>
        </w:tc>
        <w:tc>
          <w:tcPr>
            <w:tcW w:w="1556" w:type="dxa"/>
          </w:tcPr>
          <w:p w:rsidR="00EC0CCC" w:rsidRPr="009F464B" w:rsidRDefault="00EC0CCC" w:rsidP="009F464B">
            <w:pPr>
              <w:jc w:val="right"/>
              <w:rPr>
                <w:rFonts w:cs="Arial"/>
                <w:b/>
                <w:szCs w:val="24"/>
                <w:lang w:eastAsia="en-US"/>
              </w:rPr>
            </w:pPr>
            <w:r>
              <w:rPr>
                <w:rFonts w:cs="Arial"/>
                <w:b/>
                <w:szCs w:val="24"/>
                <w:lang w:eastAsia="en-US"/>
              </w:rPr>
              <w:t>£1,627</w:t>
            </w:r>
            <w:r w:rsidRPr="009F464B">
              <w:rPr>
                <w:rFonts w:cs="Arial"/>
                <w:b/>
                <w:szCs w:val="24"/>
                <w:lang w:eastAsia="en-US"/>
              </w:rPr>
              <w:t>,</w:t>
            </w:r>
            <w:r>
              <w:rPr>
                <w:rFonts w:cs="Arial"/>
                <w:b/>
                <w:szCs w:val="24"/>
                <w:lang w:eastAsia="en-US"/>
              </w:rPr>
              <w:t>237</w:t>
            </w:r>
          </w:p>
        </w:tc>
      </w:tr>
      <w:tr w:rsidR="00EC0CCC" w:rsidRPr="00EA6743" w:rsidTr="00543401">
        <w:tc>
          <w:tcPr>
            <w:tcW w:w="9494" w:type="dxa"/>
            <w:gridSpan w:val="5"/>
          </w:tcPr>
          <w:p w:rsidR="00EC0CCC" w:rsidRPr="00EA6743" w:rsidRDefault="00EC0CCC" w:rsidP="00543401">
            <w:pPr>
              <w:rPr>
                <w:rFonts w:cs="Arial"/>
                <w:b/>
                <w:szCs w:val="24"/>
                <w:lang w:eastAsia="en-US"/>
              </w:rPr>
            </w:pPr>
            <w:r w:rsidRPr="00EA6743">
              <w:rPr>
                <w:rFonts w:cs="Arial"/>
                <w:b/>
                <w:szCs w:val="24"/>
                <w:lang w:eastAsia="en-US"/>
              </w:rPr>
              <w:t>Other Core Funding</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RSG</w:t>
            </w:r>
          </w:p>
        </w:tc>
        <w:tc>
          <w:tcPr>
            <w:tcW w:w="1620" w:type="dxa"/>
          </w:tcPr>
          <w:p w:rsidR="00EC0CCC" w:rsidRPr="00EA6743" w:rsidRDefault="00EC0CCC" w:rsidP="009F464B">
            <w:pPr>
              <w:jc w:val="right"/>
              <w:rPr>
                <w:rFonts w:cs="Arial"/>
                <w:szCs w:val="24"/>
                <w:lang w:eastAsia="en-US"/>
              </w:rPr>
            </w:pPr>
            <w:r>
              <w:rPr>
                <w:rFonts w:cs="Arial"/>
                <w:szCs w:val="24"/>
                <w:lang w:eastAsia="en-US"/>
              </w:rPr>
              <w:t>£874,195</w:t>
            </w:r>
          </w:p>
        </w:tc>
        <w:tc>
          <w:tcPr>
            <w:tcW w:w="1440" w:type="dxa"/>
          </w:tcPr>
          <w:p w:rsidR="00EC0CCC" w:rsidRPr="00EA6743" w:rsidRDefault="00EC0CCC" w:rsidP="00543401">
            <w:pPr>
              <w:jc w:val="right"/>
              <w:rPr>
                <w:rFonts w:cs="Arial"/>
                <w:szCs w:val="24"/>
                <w:lang w:eastAsia="en-US"/>
              </w:rPr>
            </w:pPr>
            <w:r>
              <w:rPr>
                <w:rFonts w:cs="Arial"/>
                <w:szCs w:val="24"/>
                <w:lang w:eastAsia="en-US"/>
              </w:rPr>
              <w:t>£336,058</w:t>
            </w:r>
          </w:p>
        </w:tc>
        <w:tc>
          <w:tcPr>
            <w:tcW w:w="1620" w:type="dxa"/>
          </w:tcPr>
          <w:p w:rsidR="00EC0CCC" w:rsidRPr="00EA6743" w:rsidRDefault="00EC0CCC" w:rsidP="009F464B">
            <w:pPr>
              <w:jc w:val="right"/>
              <w:rPr>
                <w:rFonts w:cs="Arial"/>
                <w:szCs w:val="24"/>
                <w:lang w:eastAsia="en-US"/>
              </w:rPr>
            </w:pPr>
            <w:r>
              <w:rPr>
                <w:rFonts w:cs="Arial"/>
                <w:szCs w:val="24"/>
                <w:lang w:eastAsia="en-US"/>
              </w:rPr>
              <w:t>£11,792</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Transition Grant</w:t>
            </w:r>
          </w:p>
        </w:tc>
        <w:tc>
          <w:tcPr>
            <w:tcW w:w="1620" w:type="dxa"/>
          </w:tcPr>
          <w:p w:rsidR="00EC0CCC" w:rsidRPr="00EA6743" w:rsidRDefault="00EC0CCC" w:rsidP="009F464B">
            <w:pPr>
              <w:jc w:val="right"/>
              <w:rPr>
                <w:rFonts w:cs="Arial"/>
                <w:szCs w:val="24"/>
                <w:lang w:eastAsia="en-US"/>
              </w:rPr>
            </w:pPr>
            <w:r>
              <w:rPr>
                <w:rFonts w:cs="Arial"/>
                <w:szCs w:val="24"/>
                <w:lang w:eastAsia="en-US"/>
              </w:rPr>
              <w:t>£65,925</w:t>
            </w:r>
          </w:p>
        </w:tc>
        <w:tc>
          <w:tcPr>
            <w:tcW w:w="1440" w:type="dxa"/>
          </w:tcPr>
          <w:p w:rsidR="00EC0CCC" w:rsidRPr="00EA6743" w:rsidRDefault="00EC0CCC" w:rsidP="00543401">
            <w:pPr>
              <w:jc w:val="right"/>
              <w:rPr>
                <w:rFonts w:cs="Arial"/>
                <w:szCs w:val="24"/>
                <w:lang w:eastAsia="en-US"/>
              </w:rPr>
            </w:pPr>
            <w:r>
              <w:rPr>
                <w:rFonts w:cs="Arial"/>
                <w:szCs w:val="24"/>
                <w:lang w:eastAsia="en-US"/>
              </w:rPr>
              <w:t>£65,689</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tcPr>
          <w:p w:rsidR="00EC0CCC" w:rsidRPr="00EA6743" w:rsidRDefault="00EC0CCC" w:rsidP="00543401">
            <w:pPr>
              <w:rPr>
                <w:rFonts w:cs="Arial"/>
                <w:szCs w:val="24"/>
                <w:lang w:eastAsia="en-US"/>
              </w:rPr>
            </w:pPr>
            <w:r w:rsidRPr="00EA6743">
              <w:rPr>
                <w:rFonts w:cs="Arial"/>
                <w:szCs w:val="24"/>
                <w:lang w:eastAsia="en-US"/>
              </w:rPr>
              <w:t>Rural Services Grant</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44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620" w:type="dxa"/>
          </w:tcPr>
          <w:p w:rsidR="00EC0CCC" w:rsidRPr="00EA6743" w:rsidRDefault="00EC0CCC" w:rsidP="00543401">
            <w:pPr>
              <w:jc w:val="right"/>
              <w:rPr>
                <w:rFonts w:cs="Arial"/>
                <w:szCs w:val="24"/>
                <w:lang w:eastAsia="en-US"/>
              </w:rPr>
            </w:pPr>
            <w:r w:rsidRPr="00EA6743">
              <w:rPr>
                <w:rFonts w:cs="Arial"/>
                <w:szCs w:val="24"/>
                <w:lang w:eastAsia="en-US"/>
              </w:rPr>
              <w:t>0</w:t>
            </w:r>
          </w:p>
        </w:tc>
        <w:tc>
          <w:tcPr>
            <w:tcW w:w="1556" w:type="dxa"/>
          </w:tcPr>
          <w:p w:rsidR="00EC0CCC" w:rsidRPr="00EA6743" w:rsidRDefault="00EC0CCC" w:rsidP="00543401">
            <w:pPr>
              <w:jc w:val="right"/>
              <w:rPr>
                <w:rFonts w:cs="Arial"/>
                <w:szCs w:val="24"/>
                <w:lang w:eastAsia="en-US"/>
              </w:rPr>
            </w:pPr>
            <w:r w:rsidRPr="00EA6743">
              <w:rPr>
                <w:rFonts w:cs="Arial"/>
                <w:szCs w:val="24"/>
                <w:lang w:eastAsia="en-US"/>
              </w:rPr>
              <w:t>0</w:t>
            </w:r>
          </w:p>
        </w:tc>
      </w:tr>
      <w:tr w:rsidR="00EC0CCC" w:rsidRPr="00EA6743" w:rsidTr="00543401">
        <w:tc>
          <w:tcPr>
            <w:tcW w:w="3258" w:type="dxa"/>
            <w:shd w:val="clear" w:color="auto" w:fill="8DB3E2"/>
          </w:tcPr>
          <w:p w:rsidR="00EC0CCC" w:rsidRPr="00EA6743" w:rsidRDefault="00EC0CCC" w:rsidP="00543401">
            <w:pPr>
              <w:rPr>
                <w:rFonts w:cs="Arial"/>
                <w:b/>
                <w:szCs w:val="24"/>
                <w:lang w:eastAsia="en-US"/>
              </w:rPr>
            </w:pPr>
            <w:r w:rsidRPr="00EA6743">
              <w:rPr>
                <w:rFonts w:cs="Arial"/>
                <w:b/>
                <w:szCs w:val="24"/>
                <w:lang w:eastAsia="en-US"/>
              </w:rPr>
              <w:t>Total Funding (including Retained Business Rates)</w:t>
            </w:r>
          </w:p>
        </w:tc>
        <w:tc>
          <w:tcPr>
            <w:tcW w:w="1620"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£2,765,727</w:t>
            </w:r>
          </w:p>
        </w:tc>
        <w:tc>
          <w:tcPr>
            <w:tcW w:w="1440"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£2,263,261</w:t>
            </w:r>
          </w:p>
        </w:tc>
        <w:tc>
          <w:tcPr>
            <w:tcW w:w="1620" w:type="dxa"/>
            <w:shd w:val="clear" w:color="auto" w:fill="8DB3E2"/>
          </w:tcPr>
          <w:p w:rsidR="00EC0CCC" w:rsidRDefault="00EC0CCC" w:rsidP="00543401">
            <w:pPr>
              <w:jc w:val="right"/>
              <w:rPr>
                <w:rFonts w:cs="Arial"/>
                <w:b/>
                <w:szCs w:val="24"/>
                <w:lang w:eastAsia="en-US"/>
              </w:rPr>
            </w:pPr>
            <w:r>
              <w:rPr>
                <w:rFonts w:cs="Arial"/>
                <w:b/>
                <w:szCs w:val="24"/>
                <w:lang w:eastAsia="en-US"/>
              </w:rPr>
              <w:t>£1,928,222</w:t>
            </w:r>
          </w:p>
          <w:p w:rsidR="00EC0CCC" w:rsidRPr="00EA6743" w:rsidRDefault="00EC0CCC" w:rsidP="00543401">
            <w:pPr>
              <w:jc w:val="right"/>
              <w:rPr>
                <w:rFonts w:cs="Arial"/>
                <w:b/>
                <w:szCs w:val="24"/>
                <w:lang w:eastAsia="en-US"/>
              </w:rPr>
            </w:pPr>
          </w:p>
        </w:tc>
        <w:tc>
          <w:tcPr>
            <w:tcW w:w="1556" w:type="dxa"/>
            <w:shd w:val="clear" w:color="auto" w:fill="8DB3E2"/>
          </w:tcPr>
          <w:p w:rsidR="00EC0CCC" w:rsidRPr="00EA6743" w:rsidRDefault="00EC0CCC" w:rsidP="00543401">
            <w:pPr>
              <w:jc w:val="right"/>
              <w:rPr>
                <w:rFonts w:cs="Arial"/>
                <w:b/>
                <w:szCs w:val="24"/>
                <w:lang w:eastAsia="en-US"/>
              </w:rPr>
            </w:pPr>
            <w:r>
              <w:rPr>
                <w:rFonts w:cs="Arial"/>
                <w:b/>
                <w:szCs w:val="24"/>
                <w:lang w:eastAsia="en-US"/>
              </w:rPr>
              <w:t>£1,627</w:t>
            </w:r>
            <w:r w:rsidRPr="009F464B">
              <w:rPr>
                <w:rFonts w:cs="Arial"/>
                <w:b/>
                <w:szCs w:val="24"/>
                <w:lang w:eastAsia="en-US"/>
              </w:rPr>
              <w:t>,</w:t>
            </w:r>
            <w:r>
              <w:rPr>
                <w:rFonts w:cs="Arial"/>
                <w:b/>
                <w:szCs w:val="24"/>
                <w:lang w:eastAsia="en-US"/>
              </w:rPr>
              <w:t>237</w:t>
            </w:r>
          </w:p>
        </w:tc>
      </w:tr>
    </w:tbl>
    <w:p w:rsidR="00EC0CCC" w:rsidRPr="00952127" w:rsidRDefault="00EC0CCC" w:rsidP="009B764B">
      <w:pPr>
        <w:spacing w:after="200" w:line="276" w:lineRule="auto"/>
        <w:ind w:left="1260"/>
        <w:rPr>
          <w:rFonts w:cs="Arial"/>
          <w:i/>
          <w:szCs w:val="24"/>
          <w:lang w:eastAsia="en-US"/>
        </w:rPr>
      </w:pPr>
      <w:r>
        <w:rPr>
          <w:rFonts w:cs="Arial"/>
          <w:i/>
          <w:szCs w:val="24"/>
          <w:lang w:eastAsia="en-US"/>
        </w:rPr>
        <w:lastRenderedPageBreak/>
        <w:t>Note on “negative RSG”.</w:t>
      </w:r>
      <w:r w:rsidRPr="00952127">
        <w:rPr>
          <w:color w:val="323232"/>
          <w:szCs w:val="28"/>
          <w:lang w:eastAsia="en-US"/>
        </w:rPr>
        <w:t xml:space="preserve"> </w:t>
      </w:r>
      <w:r w:rsidRPr="00952127">
        <w:rPr>
          <w:rFonts w:cs="Arial"/>
          <w:i/>
          <w:szCs w:val="24"/>
          <w:lang w:eastAsia="en-US"/>
        </w:rPr>
        <w:t>The Tariff / Top Up adjustment funding reduction</w:t>
      </w:r>
      <w:r>
        <w:rPr>
          <w:rFonts w:cs="Arial"/>
          <w:i/>
          <w:szCs w:val="24"/>
          <w:lang w:eastAsia="en-US"/>
        </w:rPr>
        <w:t xml:space="preserve"> </w:t>
      </w:r>
      <w:r w:rsidRPr="00952127">
        <w:rPr>
          <w:rFonts w:cs="Arial"/>
          <w:i/>
          <w:szCs w:val="24"/>
          <w:lang w:eastAsia="en-US"/>
        </w:rPr>
        <w:t>(or negative RSG as it was effectively</w:t>
      </w:r>
      <w:r>
        <w:rPr>
          <w:rFonts w:cs="Arial"/>
          <w:i/>
          <w:szCs w:val="24"/>
          <w:lang w:eastAsia="en-US"/>
        </w:rPr>
        <w:t xml:space="preserve"> known</w:t>
      </w:r>
      <w:r w:rsidRPr="00952127">
        <w:rPr>
          <w:rFonts w:cs="Arial"/>
          <w:i/>
          <w:szCs w:val="24"/>
          <w:lang w:eastAsia="en-US"/>
        </w:rPr>
        <w:t xml:space="preserve">) for 2017/18 and 2018/19 </w:t>
      </w:r>
      <w:r>
        <w:rPr>
          <w:rFonts w:cs="Arial"/>
          <w:i/>
          <w:szCs w:val="24"/>
          <w:lang w:eastAsia="en-US"/>
        </w:rPr>
        <w:t>w</w:t>
      </w:r>
      <w:r w:rsidRPr="00952127">
        <w:rPr>
          <w:rFonts w:cs="Arial"/>
          <w:i/>
          <w:szCs w:val="24"/>
          <w:lang w:eastAsia="en-US"/>
        </w:rPr>
        <w:t xml:space="preserve">as </w:t>
      </w:r>
      <w:r>
        <w:rPr>
          <w:rFonts w:cs="Arial"/>
          <w:i/>
          <w:szCs w:val="24"/>
          <w:lang w:eastAsia="en-US"/>
        </w:rPr>
        <w:t>r</w:t>
      </w:r>
      <w:r w:rsidRPr="00952127">
        <w:rPr>
          <w:rFonts w:cs="Arial"/>
          <w:i/>
          <w:szCs w:val="24"/>
          <w:lang w:eastAsia="en-US"/>
        </w:rPr>
        <w:t>emoved</w:t>
      </w:r>
      <w:r>
        <w:rPr>
          <w:rFonts w:cs="Arial"/>
          <w:i/>
          <w:szCs w:val="24"/>
          <w:lang w:eastAsia="en-US"/>
        </w:rPr>
        <w:t xml:space="preserve"> from the final settlement</w:t>
      </w:r>
      <w:r w:rsidRPr="00952127">
        <w:rPr>
          <w:rFonts w:cs="Arial"/>
          <w:i/>
          <w:szCs w:val="24"/>
          <w:lang w:eastAsia="en-US"/>
        </w:rPr>
        <w:t xml:space="preserve">. This will benefit those authorities that </w:t>
      </w:r>
      <w:r>
        <w:rPr>
          <w:rFonts w:cs="Arial"/>
          <w:i/>
          <w:szCs w:val="24"/>
          <w:lang w:eastAsia="en-US"/>
        </w:rPr>
        <w:t xml:space="preserve">were </w:t>
      </w:r>
      <w:r w:rsidRPr="00952127">
        <w:rPr>
          <w:rFonts w:cs="Arial"/>
          <w:i/>
          <w:szCs w:val="24"/>
          <w:lang w:eastAsia="en-US"/>
        </w:rPr>
        <w:t>subject to the reduction</w:t>
      </w:r>
      <w:r>
        <w:rPr>
          <w:rFonts w:cs="Arial"/>
          <w:i/>
          <w:szCs w:val="24"/>
          <w:lang w:eastAsia="en-US"/>
        </w:rPr>
        <w:t xml:space="preserve"> (not TRDC)</w:t>
      </w:r>
      <w:r w:rsidRPr="00952127">
        <w:rPr>
          <w:rFonts w:cs="Arial"/>
          <w:i/>
          <w:szCs w:val="24"/>
          <w:lang w:eastAsia="en-US"/>
        </w:rPr>
        <w:t xml:space="preserve">.  Whilst the reduction remains in place for 2019/20, the Minister did indicate the </w:t>
      </w:r>
      <w:r w:rsidR="00F86B4B">
        <w:rPr>
          <w:rFonts w:cs="Arial"/>
          <w:i/>
          <w:szCs w:val="24"/>
          <w:lang w:eastAsia="en-US"/>
        </w:rPr>
        <w:t xml:space="preserve">planned </w:t>
      </w:r>
      <w:r w:rsidRPr="00952127">
        <w:rPr>
          <w:rFonts w:cs="Arial"/>
          <w:i/>
          <w:szCs w:val="24"/>
          <w:lang w:eastAsia="en-US"/>
        </w:rPr>
        <w:t xml:space="preserve">introduction of 100% Business Rates in 2019/20 would mean that the adjustment would not be relevant for that year anyway. </w:t>
      </w:r>
    </w:p>
    <w:p w:rsidR="00EC0CCC" w:rsidRPr="00952127" w:rsidRDefault="00EC0CCC" w:rsidP="00952127">
      <w:pPr>
        <w:keepNext/>
        <w:numPr>
          <w:ilvl w:val="1"/>
          <w:numId w:val="29"/>
        </w:numPr>
        <w:tabs>
          <w:tab w:val="clear" w:pos="360"/>
          <w:tab w:val="clear" w:pos="1260"/>
          <w:tab w:val="clear" w:pos="1980"/>
          <w:tab w:val="num" w:pos="1276"/>
        </w:tabs>
        <w:ind w:left="1276" w:hanging="1276"/>
      </w:pPr>
      <w:r w:rsidRPr="00952127">
        <w:t>In theory this offer is fixed</w:t>
      </w:r>
      <w:r w:rsidR="0008617D">
        <w:t xml:space="preserve"> but</w:t>
      </w:r>
      <w:r w:rsidRPr="00952127">
        <w:t xml:space="preserve"> this does not mean that other changes may not arise outside of this offer.  It is not clear what the impact would be of not accepting this offer and it is unlikely that this would become clear until December 2016 when the next provisional settlement is announced.  Therefore the option is to make the decision on whether to accept the offer without knowing the alternative position.  At a briefing in January to CIPFA, CLG offered the opinion that the </w:t>
      </w:r>
      <w:r w:rsidR="0008617D">
        <w:t>four-year</w:t>
      </w:r>
      <w:r w:rsidRPr="00952127">
        <w:t xml:space="preserve"> settlem</w:t>
      </w:r>
      <w:r w:rsidR="007266D5">
        <w:t>ent was not likely to improve.</w:t>
      </w:r>
    </w:p>
    <w:p w:rsidR="00EC0CCC" w:rsidRDefault="00EC0CCC" w:rsidP="00490345">
      <w:pPr>
        <w:keepNext/>
        <w:tabs>
          <w:tab w:val="clear" w:pos="1980"/>
          <w:tab w:val="clear" w:pos="2700"/>
        </w:tabs>
        <w:ind w:left="1276" w:hanging="1276"/>
        <w:rPr>
          <w:rFonts w:cs="Arial"/>
          <w:szCs w:val="22"/>
        </w:rPr>
      </w:pPr>
    </w:p>
    <w:p w:rsidR="00EC0CCC" w:rsidRDefault="00EC0CCC">
      <w:pPr>
        <w:keepNext/>
        <w:ind w:left="1267" w:hanging="1267"/>
      </w:pPr>
      <w:r>
        <w:t>3.</w:t>
      </w:r>
      <w:r>
        <w:tab/>
      </w:r>
      <w:r>
        <w:rPr>
          <w:b/>
        </w:rPr>
        <w:t>Options/Reasons for Recommendation</w:t>
      </w:r>
    </w:p>
    <w:p w:rsidR="00EC0CCC" w:rsidRDefault="00EC0CCC">
      <w:pPr>
        <w:keepNext/>
        <w:ind w:left="1267" w:hanging="1267"/>
      </w:pPr>
    </w:p>
    <w:p w:rsidR="00EC0CCC" w:rsidRDefault="00EC0CCC" w:rsidP="00D82A5A">
      <w:pPr>
        <w:ind w:left="1267" w:hanging="1267"/>
      </w:pPr>
      <w:r>
        <w:t>3.1</w:t>
      </w:r>
      <w:r>
        <w:tab/>
      </w:r>
      <w:r w:rsidR="00F86B4B">
        <w:t>Having</w:t>
      </w:r>
      <w:r w:rsidR="0098404B">
        <w:t xml:space="preserve"> reviewed the settlement offer and after attending many briefings and following discussions with senior finance officers at other councils, the Council’s </w:t>
      </w:r>
      <w:r w:rsidR="00F86B4B">
        <w:t xml:space="preserve">senior </w:t>
      </w:r>
      <w:r w:rsidR="0098404B">
        <w:t xml:space="preserve">finance officers consider that acceptance of the four-year settlement is the best option to follow.  This </w:t>
      </w:r>
      <w:r w:rsidRPr="00952127">
        <w:t>provides an element of certainty and</w:t>
      </w:r>
      <w:r w:rsidR="0085266C">
        <w:t xml:space="preserve"> it</w:t>
      </w:r>
      <w:r w:rsidRPr="00952127">
        <w:t xml:space="preserve"> is difficult to see </w:t>
      </w:r>
      <w:r>
        <w:t xml:space="preserve">any </w:t>
      </w:r>
      <w:r w:rsidRPr="00952127">
        <w:t>authorities who choose not to accept the offer benefiting a</w:t>
      </w:r>
      <w:r w:rsidR="0085266C">
        <w:t>s</w:t>
      </w:r>
      <w:r w:rsidRPr="00952127">
        <w:t xml:space="preserve"> a result.</w:t>
      </w:r>
      <w:r>
        <w:t xml:space="preserve">  </w:t>
      </w:r>
      <w:r w:rsidR="0098404B">
        <w:t>If HM Treasury agree to honour the settlement, then it is highly likely that any further cuts to local government funding would fall on those authorities outside of the agreed settlement.  A downside however is that having demonstrated that the Council can ‘live within the means of the settlement</w:t>
      </w:r>
      <w:r w:rsidR="003805AD">
        <w:t xml:space="preserve">’ it </w:t>
      </w:r>
      <w:r w:rsidR="00F86B4B">
        <w:t>would</w:t>
      </w:r>
      <w:r w:rsidR="003805AD">
        <w:t xml:space="preserve"> be hard to argue for additional funding, unless a new burden is attached.</w:t>
      </w:r>
      <w:r w:rsidR="0098404B">
        <w:t xml:space="preserve"> </w:t>
      </w:r>
    </w:p>
    <w:p w:rsidR="009B764B" w:rsidRDefault="009B764B" w:rsidP="00D82A5A">
      <w:pPr>
        <w:ind w:left="1267" w:hanging="1267"/>
      </w:pPr>
    </w:p>
    <w:p w:rsidR="00EC0CCC" w:rsidRDefault="00EC0CCC" w:rsidP="00D82A5A">
      <w:pPr>
        <w:ind w:left="1267" w:hanging="1267"/>
      </w:pPr>
      <w:r>
        <w:t>3.2</w:t>
      </w:r>
      <w:r>
        <w:tab/>
        <w:t xml:space="preserve">Committee is requested to </w:t>
      </w:r>
      <w:r w:rsidR="003805AD">
        <w:t xml:space="preserve">recommend to officers whether or not to accept the central </w:t>
      </w:r>
      <w:r w:rsidR="00F86B4B">
        <w:t>government’s</w:t>
      </w:r>
      <w:r w:rsidR="003805AD">
        <w:t xml:space="preserve"> offer of a four-year settlement.</w:t>
      </w:r>
    </w:p>
    <w:p w:rsidR="00EC0CCC" w:rsidRDefault="00EC0CCC">
      <w:pPr>
        <w:ind w:left="1267" w:hanging="1267"/>
      </w:pPr>
      <w:r>
        <w:fldChar w:fldCharType="begin"/>
      </w:r>
      <w:r>
        <w:instrText xml:space="preserve">  </w:instrText>
      </w:r>
      <w:r>
        <w:fldChar w:fldCharType="end"/>
      </w:r>
    </w:p>
    <w:p w:rsidR="00EC0CCC" w:rsidRDefault="00EC0CCC">
      <w:pPr>
        <w:keepNext/>
        <w:ind w:left="1267" w:hanging="1267"/>
        <w:rPr>
          <w:b/>
        </w:rPr>
      </w:pPr>
      <w:r>
        <w:t>4.</w:t>
      </w:r>
      <w:r>
        <w:tab/>
      </w:r>
      <w:r>
        <w:rPr>
          <w:b/>
        </w:rPr>
        <w:t>Policy / Budget Reference and Implications</w:t>
      </w:r>
    </w:p>
    <w:p w:rsidR="00EC0CCC" w:rsidRDefault="00EC0CCC" w:rsidP="00F62C05">
      <w:pPr>
        <w:ind w:left="1267" w:hanging="1267"/>
      </w:pPr>
      <w:r>
        <w:tab/>
      </w:r>
    </w:p>
    <w:p w:rsidR="00EC0CCC" w:rsidRPr="00D7229A" w:rsidRDefault="00EC0CCC" w:rsidP="00F62C05">
      <w:pPr>
        <w:ind w:left="1267" w:hanging="1267"/>
        <w:rPr>
          <w:b/>
          <w:i/>
          <w:color w:val="008000"/>
        </w:rPr>
      </w:pPr>
      <w:r>
        <w:t>4.1</w:t>
      </w:r>
      <w:r>
        <w:tab/>
        <w:t>The recommendations in this report are within the Council’s agreed policy.  The current Medium Term Financial Plan reflects the figures in the final settlement.</w:t>
      </w:r>
    </w:p>
    <w:p w:rsidR="00EC0CCC" w:rsidRDefault="00EC0CCC" w:rsidP="00D82A5A"/>
    <w:p w:rsidR="00EC0CCC" w:rsidRDefault="00EC0CCC">
      <w:pPr>
        <w:keepNext/>
        <w:ind w:left="1267" w:hanging="1267"/>
      </w:pPr>
      <w:r>
        <w:t>5.</w:t>
      </w:r>
      <w:r>
        <w:fldChar w:fldCharType="begin"/>
      </w:r>
      <w:r>
        <w:instrText xml:space="preserve">  </w:instrText>
      </w:r>
      <w:r>
        <w:fldChar w:fldCharType="end"/>
      </w:r>
      <w:r>
        <w:tab/>
      </w:r>
      <w:r>
        <w:rPr>
          <w:b/>
        </w:rPr>
        <w:t>Legal, Equal Opportunities, Staffing, Environmental, Community Safety, Customer Services Centre, Communications &amp; Website, and Health &amp; Safety Implications</w:t>
      </w:r>
    </w:p>
    <w:p w:rsidR="00EC0CCC" w:rsidRDefault="00EC0CCC">
      <w:pPr>
        <w:keepNext/>
        <w:ind w:left="1267" w:hanging="1267"/>
      </w:pPr>
    </w:p>
    <w:p w:rsidR="00EC0CCC" w:rsidRDefault="00EC0CCC">
      <w:pPr>
        <w:ind w:left="1267" w:hanging="1267"/>
      </w:pPr>
      <w:r>
        <w:t>5.1</w:t>
      </w:r>
      <w:r>
        <w:fldChar w:fldCharType="begin"/>
      </w:r>
      <w:r>
        <w:instrText xml:space="preserve">  </w:instrText>
      </w:r>
      <w:r>
        <w:fldChar w:fldCharType="end"/>
      </w:r>
      <w:r>
        <w:tab/>
        <w:t>None specific.</w:t>
      </w:r>
    </w:p>
    <w:p w:rsidR="00EC0CCC" w:rsidRDefault="00EC0CCC">
      <w:pPr>
        <w:ind w:left="1267" w:hanging="1267"/>
      </w:pPr>
    </w:p>
    <w:p w:rsidR="00EC0CCC" w:rsidRDefault="00EC0CCC" w:rsidP="00C37CBD">
      <w:pPr>
        <w:keepNext/>
        <w:ind w:left="1267" w:hanging="1267"/>
      </w:pPr>
      <w:r>
        <w:t>6.</w:t>
      </w:r>
      <w:r>
        <w:tab/>
      </w:r>
      <w:r>
        <w:rPr>
          <w:b/>
        </w:rPr>
        <w:t>Financial Implications</w:t>
      </w:r>
    </w:p>
    <w:p w:rsidR="00EC0CCC" w:rsidRDefault="00EC0CCC" w:rsidP="00AB629E">
      <w:pPr>
        <w:keepNext/>
        <w:ind w:left="1267" w:hanging="1267"/>
      </w:pPr>
    </w:p>
    <w:p w:rsidR="00EC0CCC" w:rsidRDefault="00EC0CCC" w:rsidP="00096C5D">
      <w:pPr>
        <w:tabs>
          <w:tab w:val="clear" w:pos="1260"/>
          <w:tab w:val="left" w:pos="3330"/>
        </w:tabs>
        <w:ind w:left="1267" w:hanging="1267"/>
      </w:pPr>
      <w:r>
        <w:t>6.1</w:t>
      </w:r>
      <w:r>
        <w:tab/>
        <w:t xml:space="preserve">The main implications are contained within the report.  The </w:t>
      </w:r>
      <w:r w:rsidRPr="005153C6">
        <w:t xml:space="preserve">medium term </w:t>
      </w:r>
      <w:r>
        <w:t xml:space="preserve">financial plan will be adjusted once a decision has been taken on whether or not to accept the offer of a </w:t>
      </w:r>
      <w:r w:rsidR="0008617D">
        <w:t>four-year</w:t>
      </w:r>
      <w:r>
        <w:t xml:space="preserve"> settlement.  </w:t>
      </w:r>
    </w:p>
    <w:p w:rsidR="00EC0CCC" w:rsidRPr="007A620E" w:rsidRDefault="00EC0CCC" w:rsidP="00096C5D">
      <w:pPr>
        <w:tabs>
          <w:tab w:val="clear" w:pos="1260"/>
          <w:tab w:val="left" w:pos="3330"/>
        </w:tabs>
        <w:ind w:left="1267" w:hanging="1267"/>
        <w:rPr>
          <w:color w:val="3366FF"/>
        </w:rPr>
      </w:pPr>
    </w:p>
    <w:p w:rsidR="00EC0CCC" w:rsidRPr="00AD0A5D" w:rsidRDefault="00EC0CCC" w:rsidP="007266D5">
      <w:pPr>
        <w:keepNext/>
        <w:tabs>
          <w:tab w:val="clear" w:pos="1260"/>
          <w:tab w:val="left" w:pos="1276"/>
        </w:tabs>
        <w:rPr>
          <w:b/>
        </w:rPr>
      </w:pPr>
      <w:r w:rsidRPr="00AD0A5D">
        <w:t>7.</w:t>
      </w:r>
      <w:r w:rsidR="007266D5">
        <w:tab/>
      </w:r>
      <w:r w:rsidRPr="00AD0A5D">
        <w:rPr>
          <w:b/>
        </w:rPr>
        <w:t>Risk Management and Health &amp; Safety Implications</w:t>
      </w:r>
    </w:p>
    <w:p w:rsidR="00EC0CCC" w:rsidRPr="00AD0A5D" w:rsidRDefault="00EC0CCC" w:rsidP="00C37CBD">
      <w:pPr>
        <w:ind w:left="1260" w:hanging="1260"/>
      </w:pPr>
      <w:r w:rsidRPr="00AD0A5D">
        <w:rPr>
          <w:b/>
          <w:i/>
        </w:rPr>
        <w:tab/>
      </w:r>
    </w:p>
    <w:p w:rsidR="00EC0CCC" w:rsidRPr="00AD0A5D" w:rsidRDefault="00EC0CCC" w:rsidP="00C37CBD">
      <w:pPr>
        <w:ind w:left="1276" w:hanging="1276"/>
      </w:pPr>
      <w:r w:rsidRPr="00AD0A5D">
        <w:t>7.1</w:t>
      </w:r>
      <w:r w:rsidRPr="00AD0A5D">
        <w:tab/>
        <w:t>The Council has agreed its risk management strategy which can be found on the website at http://www.threerivers.gov.uk.  In addition, the risks of the proposals in the report have also been assessed against the Council’s duties under Health and Safety legislation relating to employees, visitors and persons affected by our operations.  The risk management implications of this report are detailed below.</w:t>
      </w:r>
    </w:p>
    <w:p w:rsidR="00EC0CCC" w:rsidRDefault="00EC0CCC" w:rsidP="00C37CBD"/>
    <w:p w:rsidR="000A7EA1" w:rsidRDefault="000A7EA1" w:rsidP="00C37CBD"/>
    <w:p w:rsidR="00EC0CCC" w:rsidRDefault="00EC0CCC" w:rsidP="00AB6EB1">
      <w:pPr>
        <w:ind w:left="1276" w:hanging="1276"/>
      </w:pPr>
      <w:r w:rsidRPr="00AD0A5D">
        <w:t>7.2</w:t>
      </w:r>
      <w:r w:rsidRPr="00AD0A5D">
        <w:tab/>
        <w:t xml:space="preserve">There are no risks to the Council </w:t>
      </w:r>
      <w:r w:rsidR="00AB6EB1">
        <w:t>in agreeing the recommendation as the settlement provides an element of certainty around future Government Funding.</w:t>
      </w:r>
    </w:p>
    <w:p w:rsidR="00AB6EB1" w:rsidRPr="007A620E" w:rsidRDefault="00AB6EB1" w:rsidP="00AB6EB1">
      <w:pPr>
        <w:ind w:left="1276" w:hanging="1276"/>
        <w:rPr>
          <w:color w:val="3366FF"/>
        </w:rPr>
      </w:pPr>
    </w:p>
    <w:p w:rsidR="00EC0CCC" w:rsidRPr="00AD0A5D" w:rsidRDefault="00EC0CCC" w:rsidP="00C37CBD">
      <w:pPr>
        <w:keepNext/>
        <w:ind w:left="1267" w:hanging="1267"/>
      </w:pPr>
      <w:r w:rsidRPr="00AD0A5D">
        <w:t>8.</w:t>
      </w:r>
      <w:r w:rsidRPr="00AD0A5D">
        <w:fldChar w:fldCharType="begin"/>
      </w:r>
      <w:r w:rsidRPr="00AD0A5D">
        <w:instrText xml:space="preserve">  </w:instrText>
      </w:r>
      <w:r w:rsidRPr="00AD0A5D">
        <w:fldChar w:fldCharType="end"/>
      </w:r>
      <w:r w:rsidRPr="00AD0A5D">
        <w:tab/>
      </w:r>
      <w:r w:rsidRPr="00AD0A5D">
        <w:rPr>
          <w:b/>
        </w:rPr>
        <w:t>Recommendation</w:t>
      </w:r>
    </w:p>
    <w:p w:rsidR="00EC0CCC" w:rsidRPr="00AD0A5D" w:rsidRDefault="00EC0CCC" w:rsidP="00C37CBD">
      <w:pPr>
        <w:keepNext/>
        <w:ind w:left="1267" w:hanging="1267"/>
      </w:pPr>
    </w:p>
    <w:p w:rsidR="00EC0CCC" w:rsidRPr="00490345" w:rsidRDefault="007266D5" w:rsidP="00490345">
      <w:pPr>
        <w:ind w:left="1260" w:hanging="1260"/>
        <w:jc w:val="left"/>
      </w:pPr>
      <w:r>
        <w:t>8.1</w:t>
      </w:r>
      <w:r w:rsidR="00EC0CCC" w:rsidRPr="003E6AC9">
        <w:tab/>
      </w:r>
      <w:r w:rsidR="000A7EA1">
        <w:t>That t</w:t>
      </w:r>
      <w:r w:rsidR="00EC0CCC" w:rsidRPr="00490345">
        <w:t>he</w:t>
      </w:r>
      <w:r w:rsidR="00EC0CCC">
        <w:t xml:space="preserve"> Policy and Resources Committee </w:t>
      </w:r>
      <w:r w:rsidR="00F86B4B">
        <w:t xml:space="preserve">decide </w:t>
      </w:r>
      <w:r w:rsidR="00EC0CCC" w:rsidRPr="00490345">
        <w:t xml:space="preserve">whether or not to accept the </w:t>
      </w:r>
      <w:r w:rsidR="0008617D">
        <w:t>Government</w:t>
      </w:r>
      <w:r w:rsidR="00EC0CCC" w:rsidRPr="00490345">
        <w:t>’s offer of a confirmed four-settlement of funding before the deadline of 14 October 2016.</w:t>
      </w:r>
    </w:p>
    <w:p w:rsidR="00EC0CCC" w:rsidRPr="007A620E" w:rsidRDefault="00EC0CCC" w:rsidP="00C37CBD">
      <w:pPr>
        <w:rPr>
          <w:color w:val="3366FF"/>
        </w:rPr>
      </w:pPr>
    </w:p>
    <w:p w:rsidR="00EC0CCC" w:rsidRDefault="00EC0CCC" w:rsidP="00C37CBD">
      <w:pPr>
        <w:rPr>
          <w:color w:val="3366FF"/>
        </w:rPr>
      </w:pPr>
      <w:r w:rsidRPr="007A620E">
        <w:rPr>
          <w:color w:val="3366FF"/>
        </w:rPr>
        <w:tab/>
      </w:r>
    </w:p>
    <w:p w:rsidR="00F86B4B" w:rsidRPr="00F86B4B" w:rsidRDefault="009B764B" w:rsidP="00C37CBD">
      <w:r>
        <w:tab/>
      </w:r>
      <w:r w:rsidR="00F86B4B" w:rsidRPr="00F86B4B">
        <w:t xml:space="preserve">Appendix </w:t>
      </w:r>
      <w:r w:rsidR="00AB6EB1" w:rsidRPr="00F86B4B">
        <w:t>1 Efficiency</w:t>
      </w:r>
      <w:r w:rsidR="00F86B4B" w:rsidRPr="00F86B4B">
        <w:t xml:space="preserve"> Plan</w:t>
      </w:r>
    </w:p>
    <w:p w:rsidR="00EC0CCC" w:rsidRDefault="00EC0CCC" w:rsidP="00C37CBD">
      <w:pPr>
        <w:rPr>
          <w:color w:val="3366FF"/>
        </w:rPr>
      </w:pPr>
    </w:p>
    <w:p w:rsidR="00EC0CCC" w:rsidRPr="007A620E" w:rsidRDefault="004F56CC" w:rsidP="00C37CBD">
      <w:pPr>
        <w:rPr>
          <w:color w:val="3366FF"/>
        </w:rPr>
      </w:pPr>
      <w:r>
        <w:tab/>
      </w:r>
      <w:r w:rsidR="00EC0CCC" w:rsidRPr="00AD0A5D">
        <w:t>Report prepared by</w:t>
      </w:r>
      <w:r w:rsidR="00EC0CCC" w:rsidRPr="007A620E">
        <w:rPr>
          <w:color w:val="3366FF"/>
        </w:rPr>
        <w:t>:</w:t>
      </w:r>
      <w:r w:rsidR="00EC0CCC" w:rsidRPr="007A620E">
        <w:rPr>
          <w:color w:val="3366FF"/>
        </w:rPr>
        <w:tab/>
      </w:r>
      <w:r w:rsidR="00EC0CCC">
        <w:t>Bob Watson</w:t>
      </w:r>
      <w:r w:rsidR="00EC0CCC" w:rsidRPr="003E6AC9">
        <w:t xml:space="preserve"> – </w:t>
      </w:r>
      <w:r w:rsidR="00EC0CCC">
        <w:t xml:space="preserve">Head of </w:t>
      </w:r>
      <w:r w:rsidR="00EC0CCC" w:rsidRPr="003E6AC9">
        <w:t xml:space="preserve">Finance </w:t>
      </w:r>
      <w:r w:rsidR="00EC0CCC">
        <w:t>(shared service)</w:t>
      </w:r>
      <w:r w:rsidR="00EC0CCC" w:rsidRPr="007A620E">
        <w:rPr>
          <w:color w:val="3366FF"/>
        </w:rPr>
        <w:t xml:space="preserve"> </w:t>
      </w:r>
      <w:r w:rsidR="00EC0CCC" w:rsidRPr="007A620E">
        <w:rPr>
          <w:color w:val="3366FF"/>
        </w:rPr>
        <w:fldChar w:fldCharType="begin"/>
      </w:r>
      <w:r w:rsidR="00EC0CCC" w:rsidRPr="007A620E">
        <w:rPr>
          <w:color w:val="3366FF"/>
        </w:rPr>
        <w:instrText xml:space="preserve"> ASK   \* MERGEFORMAT </w:instrText>
      </w:r>
      <w:r w:rsidR="00EC0CCC" w:rsidRPr="007A620E">
        <w:rPr>
          <w:color w:val="3366FF"/>
        </w:rPr>
        <w:fldChar w:fldCharType="end"/>
      </w:r>
    </w:p>
    <w:p w:rsidR="00EC0CCC" w:rsidRPr="007A620E" w:rsidRDefault="00EC0CCC" w:rsidP="00C37CBD">
      <w:pPr>
        <w:rPr>
          <w:color w:val="3366FF"/>
        </w:rPr>
      </w:pPr>
      <w:r w:rsidRPr="007A620E">
        <w:rPr>
          <w:color w:val="3366FF"/>
        </w:rPr>
        <w:tab/>
      </w:r>
      <w:r w:rsidRPr="007A620E">
        <w:rPr>
          <w:color w:val="3366FF"/>
        </w:rPr>
        <w:fldChar w:fldCharType="begin"/>
      </w:r>
      <w:r w:rsidRPr="007A620E">
        <w:rPr>
          <w:color w:val="3366FF"/>
        </w:rPr>
        <w:instrText xml:space="preserve">  </w:instrText>
      </w:r>
      <w:r w:rsidRPr="007A620E">
        <w:rPr>
          <w:color w:val="3366FF"/>
        </w:rPr>
        <w:fldChar w:fldCharType="end"/>
      </w:r>
    </w:p>
    <w:p w:rsidR="00EC0CCC" w:rsidRPr="00AD0A5D" w:rsidRDefault="00EC0CCC" w:rsidP="00C37CBD">
      <w:pPr>
        <w:keepNext/>
        <w:ind w:left="1267" w:hanging="1267"/>
        <w:outlineLvl w:val="0"/>
        <w:rPr>
          <w:b/>
        </w:rPr>
      </w:pPr>
      <w:r w:rsidRPr="007A620E">
        <w:rPr>
          <w:color w:val="3366FF"/>
        </w:rPr>
        <w:tab/>
      </w:r>
      <w:r w:rsidRPr="00AD0A5D">
        <w:rPr>
          <w:b/>
        </w:rPr>
        <w:t>Data Quality</w:t>
      </w:r>
    </w:p>
    <w:p w:rsidR="00EC0CCC" w:rsidRPr="00AD0A5D" w:rsidRDefault="00EC0CCC" w:rsidP="00C37CBD">
      <w:pPr>
        <w:keepNext/>
        <w:ind w:left="1267" w:hanging="1267"/>
      </w:pPr>
      <w:r w:rsidRPr="00AD0A5D">
        <w:rPr>
          <w:b/>
        </w:rPr>
        <w:tab/>
      </w:r>
      <w:r w:rsidRPr="00AD0A5D">
        <w:t>Data sources:</w:t>
      </w:r>
    </w:p>
    <w:p w:rsidR="00EC0CCC" w:rsidRPr="00AD0A5D" w:rsidRDefault="00EC0CCC" w:rsidP="00C37CBD">
      <w:pPr>
        <w:keepNext/>
        <w:ind w:left="1267" w:hanging="1267"/>
      </w:pPr>
      <w:r w:rsidRPr="00AD0A5D">
        <w:tab/>
        <w:t>Financial Information System</w:t>
      </w:r>
    </w:p>
    <w:p w:rsidR="00EC0CCC" w:rsidRPr="007A620E" w:rsidRDefault="00EC0CCC" w:rsidP="00C37CBD">
      <w:pPr>
        <w:ind w:left="1253" w:hanging="1253"/>
        <w:rPr>
          <w:color w:val="3366FF"/>
        </w:rPr>
      </w:pPr>
      <w:r w:rsidRPr="00AD0A5D">
        <w:rPr>
          <w:i/>
        </w:rPr>
        <w:tab/>
      </w:r>
      <w:r w:rsidRPr="00AD0A5D">
        <w:rPr>
          <w:i/>
        </w:rPr>
        <w:tab/>
      </w:r>
      <w:r w:rsidRPr="00AD0A5D">
        <w:t>Data checked by</w:t>
      </w:r>
      <w:r w:rsidRPr="007A620E">
        <w:rPr>
          <w:color w:val="3366FF"/>
        </w:rPr>
        <w:t xml:space="preserve">: </w:t>
      </w:r>
      <w:smartTag w:uri="urn:schemas-microsoft-com:office:smarttags" w:element="PersonName">
        <w:r w:rsidRPr="003E6AC9">
          <w:t>Nigel Pollard</w:t>
        </w:r>
      </w:smartTag>
      <w:r w:rsidRPr="003E6AC9">
        <w:t xml:space="preserve"> – </w:t>
      </w:r>
      <w:r>
        <w:t>Section Head (Financial Planning and Analysis)</w:t>
      </w:r>
      <w:r w:rsidRPr="007A620E">
        <w:rPr>
          <w:color w:val="3366FF"/>
        </w:rPr>
        <w:t xml:space="preserve"> </w:t>
      </w:r>
      <w:r w:rsidRPr="007A620E">
        <w:rPr>
          <w:color w:val="3366FF"/>
        </w:rPr>
        <w:fldChar w:fldCharType="begin"/>
      </w:r>
      <w:r w:rsidRPr="007A620E">
        <w:rPr>
          <w:color w:val="3366FF"/>
        </w:rPr>
        <w:instrText xml:space="preserve"> ASK   \* MERGEFORMAT </w:instrText>
      </w:r>
      <w:r w:rsidRPr="007A620E">
        <w:rPr>
          <w:color w:val="3366FF"/>
        </w:rPr>
        <w:fldChar w:fldCharType="end"/>
      </w:r>
    </w:p>
    <w:p w:rsidR="00EC0CCC" w:rsidRPr="00AD0A5D" w:rsidRDefault="00EC0CCC" w:rsidP="00C37CBD">
      <w:pPr>
        <w:ind w:left="1260" w:hanging="1260"/>
        <w:rPr>
          <w:b/>
          <w:i/>
        </w:rPr>
      </w:pPr>
      <w:r w:rsidRPr="007A620E">
        <w:rPr>
          <w:color w:val="3366FF"/>
        </w:rPr>
        <w:tab/>
      </w:r>
      <w:r w:rsidR="007266D5">
        <w:t>Data rating:</w:t>
      </w:r>
    </w:p>
    <w:p w:rsidR="00EC0CCC" w:rsidRPr="00AD0A5D" w:rsidRDefault="00EC0CCC" w:rsidP="00C37CBD">
      <w:pPr>
        <w:ind w:left="1253" w:hanging="1253"/>
      </w:pPr>
    </w:p>
    <w:tbl>
      <w:tblPr>
        <w:tblW w:w="0" w:type="auto"/>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2"/>
        <w:gridCol w:w="1276"/>
        <w:gridCol w:w="492"/>
      </w:tblGrid>
      <w:tr w:rsidR="00EC0CCC" w:rsidRPr="00AD0A5D" w:rsidTr="00BE72AD">
        <w:trPr>
          <w:trHeight w:hRule="exact" w:val="346"/>
        </w:trPr>
        <w:tc>
          <w:tcPr>
            <w:tcW w:w="392" w:type="dxa"/>
            <w:vAlign w:val="center"/>
          </w:tcPr>
          <w:p w:rsidR="00EC0CCC" w:rsidRPr="00AD0A5D" w:rsidRDefault="00EC0CCC" w:rsidP="00BE72AD">
            <w:pPr>
              <w:keepNext/>
              <w:keepLines/>
            </w:pPr>
            <w:r w:rsidRPr="00AD0A5D">
              <w:t>1</w:t>
            </w:r>
          </w:p>
        </w:tc>
        <w:tc>
          <w:tcPr>
            <w:tcW w:w="1276" w:type="dxa"/>
            <w:vAlign w:val="center"/>
          </w:tcPr>
          <w:p w:rsidR="00EC0CCC" w:rsidRPr="00AD0A5D" w:rsidRDefault="00EC0CCC" w:rsidP="00BE72AD">
            <w:pPr>
              <w:keepNext/>
              <w:keepLines/>
            </w:pPr>
            <w:r w:rsidRPr="00AD0A5D">
              <w:t>Poor</w:t>
            </w:r>
          </w:p>
        </w:tc>
        <w:tc>
          <w:tcPr>
            <w:tcW w:w="492" w:type="dxa"/>
            <w:vAlign w:val="center"/>
          </w:tcPr>
          <w:p w:rsidR="00EC0CCC" w:rsidRPr="00AD0A5D" w:rsidRDefault="00EC0CCC" w:rsidP="00BE72AD">
            <w:pPr>
              <w:keepNext/>
              <w:keepLines/>
              <w:jc w:val="center"/>
            </w:pPr>
          </w:p>
        </w:tc>
      </w:tr>
      <w:tr w:rsidR="00EC0CCC" w:rsidRPr="00AD0A5D" w:rsidTr="00BE72AD">
        <w:trPr>
          <w:trHeight w:hRule="exact" w:val="346"/>
        </w:trPr>
        <w:tc>
          <w:tcPr>
            <w:tcW w:w="392" w:type="dxa"/>
            <w:vAlign w:val="center"/>
          </w:tcPr>
          <w:p w:rsidR="00EC0CCC" w:rsidRPr="00AD0A5D" w:rsidRDefault="00EC0CCC" w:rsidP="00BE72AD">
            <w:pPr>
              <w:keepNext/>
              <w:keepLines/>
            </w:pPr>
            <w:r w:rsidRPr="00AD0A5D">
              <w:t>2</w:t>
            </w:r>
          </w:p>
        </w:tc>
        <w:tc>
          <w:tcPr>
            <w:tcW w:w="1276" w:type="dxa"/>
            <w:vAlign w:val="center"/>
          </w:tcPr>
          <w:p w:rsidR="00EC0CCC" w:rsidRPr="00AD0A5D" w:rsidRDefault="00EC0CCC" w:rsidP="00BE72AD">
            <w:pPr>
              <w:keepNext/>
              <w:keepLines/>
            </w:pPr>
            <w:r w:rsidRPr="00AD0A5D">
              <w:t>Sufficient</w:t>
            </w:r>
          </w:p>
        </w:tc>
        <w:tc>
          <w:tcPr>
            <w:tcW w:w="492" w:type="dxa"/>
            <w:vAlign w:val="center"/>
          </w:tcPr>
          <w:p w:rsidR="00EC0CCC" w:rsidRPr="00AD0A5D" w:rsidRDefault="00EC0CCC" w:rsidP="00BE72AD">
            <w:pPr>
              <w:keepNext/>
              <w:keepLines/>
              <w:jc w:val="center"/>
            </w:pPr>
          </w:p>
        </w:tc>
      </w:tr>
      <w:tr w:rsidR="00EC0CCC" w:rsidRPr="00AD0A5D" w:rsidTr="00BE72AD">
        <w:trPr>
          <w:trHeight w:hRule="exact" w:val="346"/>
        </w:trPr>
        <w:tc>
          <w:tcPr>
            <w:tcW w:w="392" w:type="dxa"/>
            <w:vAlign w:val="center"/>
          </w:tcPr>
          <w:p w:rsidR="00EC0CCC" w:rsidRPr="00AD0A5D" w:rsidRDefault="00EC0CCC" w:rsidP="00BE72AD">
            <w:pPr>
              <w:keepNext/>
              <w:keepLines/>
            </w:pPr>
            <w:r w:rsidRPr="00AD0A5D">
              <w:t>3</w:t>
            </w:r>
          </w:p>
        </w:tc>
        <w:tc>
          <w:tcPr>
            <w:tcW w:w="1276" w:type="dxa"/>
            <w:vAlign w:val="center"/>
          </w:tcPr>
          <w:p w:rsidR="00EC0CCC" w:rsidRPr="00AD0A5D" w:rsidRDefault="00EC0CCC" w:rsidP="00BE72AD">
            <w:pPr>
              <w:keepNext/>
              <w:keepLines/>
            </w:pPr>
            <w:r w:rsidRPr="00AD0A5D">
              <w:t>High</w:t>
            </w:r>
          </w:p>
        </w:tc>
        <w:tc>
          <w:tcPr>
            <w:tcW w:w="492" w:type="dxa"/>
            <w:vAlign w:val="center"/>
          </w:tcPr>
          <w:p w:rsidR="00EC0CCC" w:rsidRPr="00AD0A5D" w:rsidRDefault="00EC0CCC" w:rsidP="00BE72AD">
            <w:pPr>
              <w:keepNext/>
              <w:keepLines/>
              <w:jc w:val="center"/>
            </w:pPr>
            <w:r w:rsidRPr="00BE72AD">
              <w:rPr>
                <w:szCs w:val="22"/>
              </w:rPr>
              <w:sym w:font="Wingdings 2" w:char="F050"/>
            </w:r>
          </w:p>
        </w:tc>
      </w:tr>
    </w:tbl>
    <w:p w:rsidR="00EC0CCC" w:rsidRPr="007A620E" w:rsidRDefault="00EC0CCC" w:rsidP="00C37CBD">
      <w:pPr>
        <w:ind w:left="1253" w:hanging="1253"/>
        <w:rPr>
          <w:color w:val="3366FF"/>
        </w:rPr>
      </w:pPr>
    </w:p>
    <w:p w:rsidR="00EC0CCC" w:rsidRPr="00AD0A5D" w:rsidRDefault="00EC0CCC" w:rsidP="00C37CBD">
      <w:pPr>
        <w:keepNext/>
        <w:ind w:left="1267" w:hanging="1267"/>
        <w:rPr>
          <w:b/>
        </w:rPr>
      </w:pPr>
      <w:r w:rsidRPr="007A620E">
        <w:rPr>
          <w:color w:val="3366FF"/>
        </w:rPr>
        <w:tab/>
      </w:r>
      <w:r w:rsidRPr="00AD0A5D">
        <w:rPr>
          <w:b/>
        </w:rPr>
        <w:t>Background Papers</w:t>
      </w:r>
    </w:p>
    <w:p w:rsidR="00EC0CCC" w:rsidRPr="00AD0A5D" w:rsidRDefault="00EC0CCC" w:rsidP="00C37CBD">
      <w:pPr>
        <w:ind w:left="1260" w:hanging="1260"/>
      </w:pPr>
      <w:r w:rsidRPr="00AD0A5D">
        <w:rPr>
          <w:i/>
        </w:rPr>
        <w:tab/>
      </w:r>
      <w:r w:rsidRPr="00AD0A5D">
        <w:t>None</w:t>
      </w:r>
    </w:p>
    <w:p w:rsidR="00EC0CCC" w:rsidRPr="00AD0A5D" w:rsidRDefault="00EC0CCC" w:rsidP="00C37CBD">
      <w:pPr>
        <w:ind w:left="1260" w:hanging="1260"/>
        <w:rPr>
          <w:b/>
          <w:i/>
          <w:sz w:val="26"/>
        </w:rPr>
      </w:pPr>
      <w:r w:rsidRPr="00AD0A5D">
        <w:rPr>
          <w:b/>
          <w:i/>
          <w:sz w:val="26"/>
        </w:rPr>
        <w:tab/>
      </w:r>
    </w:p>
    <w:p w:rsidR="00EC0CCC" w:rsidRDefault="00EC0CCC" w:rsidP="00C37CBD">
      <w:pPr>
        <w:ind w:left="1260" w:hanging="1260"/>
        <w:rPr>
          <w:b/>
          <w:i/>
          <w:sz w:val="26"/>
        </w:rPr>
      </w:pPr>
      <w:r w:rsidRPr="00AD0A5D">
        <w:rPr>
          <w:b/>
          <w:i/>
          <w:sz w:val="26"/>
        </w:rPr>
        <w:tab/>
      </w:r>
    </w:p>
    <w:p w:rsidR="00EC0CCC" w:rsidRDefault="00EC0CCC" w:rsidP="00490345">
      <w:pPr>
        <w:ind w:left="1260" w:hanging="1260"/>
        <w:rPr>
          <w:b/>
          <w:i/>
          <w:sz w:val="26"/>
        </w:rPr>
      </w:pPr>
      <w:r>
        <w:rPr>
          <w:b/>
          <w:i/>
          <w:sz w:val="26"/>
        </w:rPr>
        <w:tab/>
      </w: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FB0C2E" w:rsidRDefault="00FB0C2E"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0A7EA1">
      <w:pPr>
        <w:ind w:left="1260" w:hanging="1260"/>
        <w:jc w:val="right"/>
        <w:rPr>
          <w:b/>
          <w:sz w:val="28"/>
          <w:szCs w:val="28"/>
        </w:rPr>
      </w:pPr>
      <w:r>
        <w:rPr>
          <w:b/>
          <w:sz w:val="28"/>
          <w:szCs w:val="28"/>
        </w:rPr>
        <w:t>APPENDIX 1</w:t>
      </w:r>
    </w:p>
    <w:p w:rsidR="000A7EA1" w:rsidRDefault="000A7EA1" w:rsidP="000A7EA1">
      <w:pPr>
        <w:ind w:left="1260" w:hanging="1260"/>
        <w:jc w:val="right"/>
        <w:rPr>
          <w:b/>
          <w:sz w:val="28"/>
          <w:szCs w:val="28"/>
        </w:rPr>
      </w:pPr>
    </w:p>
    <w:p w:rsidR="000A7EA1" w:rsidRDefault="000A7EA1" w:rsidP="000A7EA1">
      <w:pPr>
        <w:ind w:left="1260" w:hanging="1260"/>
        <w:jc w:val="right"/>
        <w:rPr>
          <w:b/>
          <w:sz w:val="28"/>
          <w:szCs w:val="28"/>
        </w:rPr>
      </w:pPr>
    </w:p>
    <w:p w:rsidR="000A7EA1" w:rsidRPr="000A7EA1" w:rsidRDefault="001822D6" w:rsidP="001822D6">
      <w:pPr>
        <w:ind w:left="1260" w:hanging="1260"/>
        <w:jc w:val="left"/>
        <w:rPr>
          <w:b/>
          <w:sz w:val="28"/>
          <w:szCs w:val="28"/>
        </w:rPr>
      </w:pPr>
      <w:r w:rsidRPr="001822D6">
        <w:rPr>
          <w:noProof/>
        </w:rPr>
        <w:drawing>
          <wp:inline distT="0" distB="0" distL="0" distR="0" wp14:anchorId="0B19AB79" wp14:editId="72D3FC26">
            <wp:extent cx="6194425" cy="5954044"/>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94425" cy="5954044"/>
                    </a:xfrm>
                    <a:prstGeom prst="rect">
                      <a:avLst/>
                    </a:prstGeom>
                    <a:noFill/>
                    <a:ln>
                      <a:noFill/>
                    </a:ln>
                  </pic:spPr>
                </pic:pic>
              </a:graphicData>
            </a:graphic>
          </wp:inline>
        </w:drawing>
      </w: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Default="000A7EA1" w:rsidP="00490345">
      <w:pPr>
        <w:ind w:left="1260" w:hanging="1260"/>
        <w:rPr>
          <w:b/>
          <w:i/>
          <w:sz w:val="26"/>
        </w:rPr>
      </w:pPr>
    </w:p>
    <w:p w:rsidR="000A7EA1" w:rsidRPr="007A620E" w:rsidRDefault="000A7EA1" w:rsidP="00490345">
      <w:pPr>
        <w:ind w:left="1260" w:hanging="1260"/>
      </w:pPr>
    </w:p>
    <w:sectPr w:rsidR="000A7EA1" w:rsidRPr="007A620E" w:rsidSect="00F86B4B">
      <w:footerReference w:type="default" r:id="rId9"/>
      <w:pgSz w:w="11909" w:h="16834" w:code="9"/>
      <w:pgMar w:top="1134" w:right="1077" w:bottom="964" w:left="1077"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A8B" w:rsidRDefault="00F81A8B">
      <w:r>
        <w:separator/>
      </w:r>
    </w:p>
  </w:endnote>
  <w:endnote w:type="continuationSeparator" w:id="0">
    <w:p w:rsidR="00F81A8B" w:rsidRDefault="00F81A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05AD" w:rsidRDefault="003805AD">
    <w:pPr>
      <w:pStyle w:val="Footer"/>
      <w:tabs>
        <w:tab w:val="clear" w:pos="4153"/>
        <w:tab w:val="clear" w:pos="8306"/>
        <w:tab w:val="center" w:pos="4680"/>
        <w:tab w:val="right" w:pos="9090"/>
      </w:tabs>
      <w:rPr>
        <w:sz w:val="16"/>
      </w:rPr>
    </w:pPr>
  </w:p>
  <w:p w:rsidR="003805AD" w:rsidRDefault="003805AD" w:rsidP="006C56FB">
    <w:pPr>
      <w:pStyle w:val="Footer"/>
      <w:tabs>
        <w:tab w:val="clear" w:pos="4153"/>
        <w:tab w:val="clear" w:pos="8306"/>
        <w:tab w:val="center" w:pos="4680"/>
        <w:tab w:val="right" w:pos="909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A8B" w:rsidRDefault="00F81A8B">
      <w:r>
        <w:separator/>
      </w:r>
    </w:p>
  </w:footnote>
  <w:footnote w:type="continuationSeparator" w:id="0">
    <w:p w:rsidR="00F81A8B" w:rsidRDefault="00F81A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63727"/>
    <w:multiLevelType w:val="multilevel"/>
    <w:tmpl w:val="02223EF8"/>
    <w:lvl w:ilvl="0">
      <w:start w:val="3"/>
      <w:numFmt w:val="decimal"/>
      <w:lvlText w:val="%1"/>
      <w:lvlJc w:val="left"/>
      <w:pPr>
        <w:tabs>
          <w:tab w:val="num" w:pos="1230"/>
        </w:tabs>
        <w:ind w:left="1230" w:hanging="1230"/>
      </w:pPr>
      <w:rPr>
        <w:rFonts w:cs="Times New Roman" w:hint="default"/>
      </w:rPr>
    </w:lvl>
    <w:lvl w:ilvl="1">
      <w:start w:val="1"/>
      <w:numFmt w:val="decimal"/>
      <w:lvlText w:val="%1.%2"/>
      <w:lvlJc w:val="left"/>
      <w:pPr>
        <w:tabs>
          <w:tab w:val="num" w:pos="1230"/>
        </w:tabs>
        <w:ind w:left="1230" w:hanging="1230"/>
      </w:pPr>
      <w:rPr>
        <w:rFonts w:cs="Times New Roman" w:hint="default"/>
      </w:rPr>
    </w:lvl>
    <w:lvl w:ilvl="2">
      <w:start w:val="1"/>
      <w:numFmt w:val="decimal"/>
      <w:lvlText w:val="%1.%2.%3"/>
      <w:lvlJc w:val="left"/>
      <w:pPr>
        <w:tabs>
          <w:tab w:val="num" w:pos="1230"/>
        </w:tabs>
        <w:ind w:left="1230" w:hanging="1230"/>
      </w:pPr>
      <w:rPr>
        <w:rFonts w:cs="Times New Roman" w:hint="default"/>
      </w:rPr>
    </w:lvl>
    <w:lvl w:ilvl="3">
      <w:start w:val="1"/>
      <w:numFmt w:val="decimal"/>
      <w:lvlText w:val="%1.%2.%3.%4"/>
      <w:lvlJc w:val="left"/>
      <w:pPr>
        <w:tabs>
          <w:tab w:val="num" w:pos="1230"/>
        </w:tabs>
        <w:ind w:left="1230" w:hanging="1230"/>
      </w:pPr>
      <w:rPr>
        <w:rFonts w:cs="Times New Roman" w:hint="default"/>
      </w:rPr>
    </w:lvl>
    <w:lvl w:ilvl="4">
      <w:start w:val="1"/>
      <w:numFmt w:val="decimal"/>
      <w:lvlText w:val="%1.%2.%3.%4.%5"/>
      <w:lvlJc w:val="left"/>
      <w:pPr>
        <w:tabs>
          <w:tab w:val="num" w:pos="1230"/>
        </w:tabs>
        <w:ind w:left="1230" w:hanging="1230"/>
      </w:pPr>
      <w:rPr>
        <w:rFonts w:cs="Times New Roman" w:hint="default"/>
      </w:rPr>
    </w:lvl>
    <w:lvl w:ilvl="5">
      <w:start w:val="1"/>
      <w:numFmt w:val="decimal"/>
      <w:lvlText w:val="%1.%2.%3.%4.%5.%6"/>
      <w:lvlJc w:val="left"/>
      <w:pPr>
        <w:tabs>
          <w:tab w:val="num" w:pos="1230"/>
        </w:tabs>
        <w:ind w:left="1230" w:hanging="123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11CE3201"/>
    <w:multiLevelType w:val="multilevel"/>
    <w:tmpl w:val="6F6E4544"/>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15035834"/>
    <w:multiLevelType w:val="multilevel"/>
    <w:tmpl w:val="75CEF084"/>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
    <w:nsid w:val="1749732A"/>
    <w:multiLevelType w:val="multilevel"/>
    <w:tmpl w:val="AB705266"/>
    <w:lvl w:ilvl="0">
      <w:start w:val="1"/>
      <w:numFmt w:val="decimal"/>
      <w:lvlText w:val="%1"/>
      <w:lvlJc w:val="left"/>
      <w:pPr>
        <w:tabs>
          <w:tab w:val="num" w:pos="360"/>
        </w:tabs>
        <w:ind w:left="360" w:hanging="360"/>
      </w:pPr>
      <w:rPr>
        <w:rFonts w:cs="Times New Roman"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
    <w:nsid w:val="185F1920"/>
    <w:multiLevelType w:val="multilevel"/>
    <w:tmpl w:val="095C5F14"/>
    <w:lvl w:ilvl="0">
      <w:start w:val="4"/>
      <w:numFmt w:val="decimal"/>
      <w:lvlText w:val="%1"/>
      <w:lvlJc w:val="left"/>
      <w:pPr>
        <w:tabs>
          <w:tab w:val="num" w:pos="1260"/>
        </w:tabs>
        <w:ind w:left="1260" w:hanging="1260"/>
      </w:pPr>
      <w:rPr>
        <w:rFonts w:cs="Times New Roman" w:hint="default"/>
      </w:rPr>
    </w:lvl>
    <w:lvl w:ilvl="1">
      <w:start w:val="1"/>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
    <w:nsid w:val="231D5B66"/>
    <w:multiLevelType w:val="multilevel"/>
    <w:tmpl w:val="5094A83A"/>
    <w:lvl w:ilvl="0">
      <w:start w:val="6"/>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6">
    <w:nsid w:val="239C525C"/>
    <w:multiLevelType w:val="hybridMultilevel"/>
    <w:tmpl w:val="D0CA7D64"/>
    <w:lvl w:ilvl="0" w:tplc="8DA453F2">
      <w:start w:val="7"/>
      <w:numFmt w:val="decimal"/>
      <w:lvlText w:val="%1."/>
      <w:lvlJc w:val="left"/>
      <w:pPr>
        <w:tabs>
          <w:tab w:val="num" w:pos="1260"/>
        </w:tabs>
        <w:ind w:left="1260" w:hanging="1260"/>
      </w:pPr>
      <w:rPr>
        <w:rFonts w:cs="Times New Roman" w:hint="default"/>
      </w:rPr>
    </w:lvl>
    <w:lvl w:ilvl="1" w:tplc="08090019" w:tentative="1">
      <w:start w:val="1"/>
      <w:numFmt w:val="lowerLetter"/>
      <w:lvlText w:val="%2."/>
      <w:lvlJc w:val="left"/>
      <w:pPr>
        <w:tabs>
          <w:tab w:val="num" w:pos="1648"/>
        </w:tabs>
        <w:ind w:left="1648" w:hanging="360"/>
      </w:pPr>
      <w:rPr>
        <w:rFonts w:cs="Times New Roman"/>
      </w:rPr>
    </w:lvl>
    <w:lvl w:ilvl="2" w:tplc="0809001B" w:tentative="1">
      <w:start w:val="1"/>
      <w:numFmt w:val="lowerRoman"/>
      <w:lvlText w:val="%3."/>
      <w:lvlJc w:val="right"/>
      <w:pPr>
        <w:tabs>
          <w:tab w:val="num" w:pos="2368"/>
        </w:tabs>
        <w:ind w:left="2368" w:hanging="180"/>
      </w:pPr>
      <w:rPr>
        <w:rFonts w:cs="Times New Roman"/>
      </w:rPr>
    </w:lvl>
    <w:lvl w:ilvl="3" w:tplc="0809000F" w:tentative="1">
      <w:start w:val="1"/>
      <w:numFmt w:val="decimal"/>
      <w:lvlText w:val="%4."/>
      <w:lvlJc w:val="left"/>
      <w:pPr>
        <w:tabs>
          <w:tab w:val="num" w:pos="3088"/>
        </w:tabs>
        <w:ind w:left="3088" w:hanging="360"/>
      </w:pPr>
      <w:rPr>
        <w:rFonts w:cs="Times New Roman"/>
      </w:rPr>
    </w:lvl>
    <w:lvl w:ilvl="4" w:tplc="08090019" w:tentative="1">
      <w:start w:val="1"/>
      <w:numFmt w:val="lowerLetter"/>
      <w:lvlText w:val="%5."/>
      <w:lvlJc w:val="left"/>
      <w:pPr>
        <w:tabs>
          <w:tab w:val="num" w:pos="3808"/>
        </w:tabs>
        <w:ind w:left="3808" w:hanging="360"/>
      </w:pPr>
      <w:rPr>
        <w:rFonts w:cs="Times New Roman"/>
      </w:rPr>
    </w:lvl>
    <w:lvl w:ilvl="5" w:tplc="0809001B" w:tentative="1">
      <w:start w:val="1"/>
      <w:numFmt w:val="lowerRoman"/>
      <w:lvlText w:val="%6."/>
      <w:lvlJc w:val="right"/>
      <w:pPr>
        <w:tabs>
          <w:tab w:val="num" w:pos="4528"/>
        </w:tabs>
        <w:ind w:left="4528" w:hanging="180"/>
      </w:pPr>
      <w:rPr>
        <w:rFonts w:cs="Times New Roman"/>
      </w:rPr>
    </w:lvl>
    <w:lvl w:ilvl="6" w:tplc="0809000F" w:tentative="1">
      <w:start w:val="1"/>
      <w:numFmt w:val="decimal"/>
      <w:lvlText w:val="%7."/>
      <w:lvlJc w:val="left"/>
      <w:pPr>
        <w:tabs>
          <w:tab w:val="num" w:pos="5248"/>
        </w:tabs>
        <w:ind w:left="5248" w:hanging="360"/>
      </w:pPr>
      <w:rPr>
        <w:rFonts w:cs="Times New Roman"/>
      </w:rPr>
    </w:lvl>
    <w:lvl w:ilvl="7" w:tplc="08090019" w:tentative="1">
      <w:start w:val="1"/>
      <w:numFmt w:val="lowerLetter"/>
      <w:lvlText w:val="%8."/>
      <w:lvlJc w:val="left"/>
      <w:pPr>
        <w:tabs>
          <w:tab w:val="num" w:pos="5968"/>
        </w:tabs>
        <w:ind w:left="5968" w:hanging="360"/>
      </w:pPr>
      <w:rPr>
        <w:rFonts w:cs="Times New Roman"/>
      </w:rPr>
    </w:lvl>
    <w:lvl w:ilvl="8" w:tplc="0809001B" w:tentative="1">
      <w:start w:val="1"/>
      <w:numFmt w:val="lowerRoman"/>
      <w:lvlText w:val="%9."/>
      <w:lvlJc w:val="right"/>
      <w:pPr>
        <w:tabs>
          <w:tab w:val="num" w:pos="6688"/>
        </w:tabs>
        <w:ind w:left="6688" w:hanging="180"/>
      </w:pPr>
      <w:rPr>
        <w:rFonts w:cs="Times New Roman"/>
      </w:rPr>
    </w:lvl>
  </w:abstractNum>
  <w:abstractNum w:abstractNumId="7">
    <w:nsid w:val="251D7CC9"/>
    <w:multiLevelType w:val="hybridMultilevel"/>
    <w:tmpl w:val="0E542724"/>
    <w:lvl w:ilvl="0" w:tplc="08090001">
      <w:start w:val="1"/>
      <w:numFmt w:val="bullet"/>
      <w:lvlText w:val=""/>
      <w:lvlJc w:val="left"/>
      <w:pPr>
        <w:tabs>
          <w:tab w:val="num" w:pos="1980"/>
        </w:tabs>
        <w:ind w:left="1980" w:hanging="360"/>
      </w:pPr>
      <w:rPr>
        <w:rFonts w:ascii="Symbol" w:hAnsi="Symbol"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8">
    <w:nsid w:val="2ECF0530"/>
    <w:multiLevelType w:val="hybridMultilevel"/>
    <w:tmpl w:val="351A9C6C"/>
    <w:lvl w:ilvl="0" w:tplc="A0A2FE6E">
      <w:start w:val="4"/>
      <w:numFmt w:val="bullet"/>
      <w:lvlText w:val=""/>
      <w:lvlJc w:val="left"/>
      <w:pPr>
        <w:tabs>
          <w:tab w:val="num" w:pos="720"/>
        </w:tabs>
        <w:ind w:left="720" w:hanging="360"/>
      </w:pPr>
      <w:rPr>
        <w:rFonts w:ascii="Symbol" w:eastAsia="Times New Roman"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2F3134F7"/>
    <w:multiLevelType w:val="multilevel"/>
    <w:tmpl w:val="5A54BFEE"/>
    <w:lvl w:ilvl="0">
      <w:start w:val="4"/>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34195B16"/>
    <w:multiLevelType w:val="multilevel"/>
    <w:tmpl w:val="3BCC8CEE"/>
    <w:lvl w:ilvl="0">
      <w:start w:val="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1">
    <w:nsid w:val="34DE649A"/>
    <w:multiLevelType w:val="hybridMultilevel"/>
    <w:tmpl w:val="AC501602"/>
    <w:lvl w:ilvl="0" w:tplc="FAECE7E4">
      <w:start w:val="1"/>
      <w:numFmt w:val="decimal"/>
      <w:lvlText w:val="%1."/>
      <w:lvlJc w:val="left"/>
      <w:pPr>
        <w:ind w:left="360" w:hanging="360"/>
      </w:pPr>
      <w:rPr>
        <w:rFonts w:cs="Times New Roman" w:hint="default"/>
        <w:b w:val="0"/>
      </w:rPr>
    </w:lvl>
    <w:lvl w:ilvl="1" w:tplc="08090019">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2">
    <w:nsid w:val="35500465"/>
    <w:multiLevelType w:val="hybridMultilevel"/>
    <w:tmpl w:val="A9F6EB7C"/>
    <w:lvl w:ilvl="0" w:tplc="08090001">
      <w:start w:val="1"/>
      <w:numFmt w:val="bullet"/>
      <w:lvlText w:val=""/>
      <w:lvlJc w:val="left"/>
      <w:pPr>
        <w:ind w:left="2040" w:hanging="360"/>
      </w:pPr>
      <w:rPr>
        <w:rFonts w:ascii="Symbol" w:hAnsi="Symbol" w:hint="default"/>
      </w:rPr>
    </w:lvl>
    <w:lvl w:ilvl="1" w:tplc="08090003" w:tentative="1">
      <w:start w:val="1"/>
      <w:numFmt w:val="bullet"/>
      <w:lvlText w:val="o"/>
      <w:lvlJc w:val="left"/>
      <w:pPr>
        <w:ind w:left="2760" w:hanging="360"/>
      </w:pPr>
      <w:rPr>
        <w:rFonts w:ascii="Courier New" w:hAnsi="Courier New" w:hint="default"/>
      </w:rPr>
    </w:lvl>
    <w:lvl w:ilvl="2" w:tplc="08090005" w:tentative="1">
      <w:start w:val="1"/>
      <w:numFmt w:val="bullet"/>
      <w:lvlText w:val=""/>
      <w:lvlJc w:val="left"/>
      <w:pPr>
        <w:ind w:left="3480" w:hanging="360"/>
      </w:pPr>
      <w:rPr>
        <w:rFonts w:ascii="Wingdings" w:hAnsi="Wingdings" w:hint="default"/>
      </w:rPr>
    </w:lvl>
    <w:lvl w:ilvl="3" w:tplc="08090001" w:tentative="1">
      <w:start w:val="1"/>
      <w:numFmt w:val="bullet"/>
      <w:lvlText w:val=""/>
      <w:lvlJc w:val="left"/>
      <w:pPr>
        <w:ind w:left="4200" w:hanging="360"/>
      </w:pPr>
      <w:rPr>
        <w:rFonts w:ascii="Symbol" w:hAnsi="Symbol" w:hint="default"/>
      </w:rPr>
    </w:lvl>
    <w:lvl w:ilvl="4" w:tplc="08090003" w:tentative="1">
      <w:start w:val="1"/>
      <w:numFmt w:val="bullet"/>
      <w:lvlText w:val="o"/>
      <w:lvlJc w:val="left"/>
      <w:pPr>
        <w:ind w:left="4920" w:hanging="360"/>
      </w:pPr>
      <w:rPr>
        <w:rFonts w:ascii="Courier New" w:hAnsi="Courier New" w:hint="default"/>
      </w:rPr>
    </w:lvl>
    <w:lvl w:ilvl="5" w:tplc="08090005" w:tentative="1">
      <w:start w:val="1"/>
      <w:numFmt w:val="bullet"/>
      <w:lvlText w:val=""/>
      <w:lvlJc w:val="left"/>
      <w:pPr>
        <w:ind w:left="5640" w:hanging="360"/>
      </w:pPr>
      <w:rPr>
        <w:rFonts w:ascii="Wingdings" w:hAnsi="Wingdings" w:hint="default"/>
      </w:rPr>
    </w:lvl>
    <w:lvl w:ilvl="6" w:tplc="08090001" w:tentative="1">
      <w:start w:val="1"/>
      <w:numFmt w:val="bullet"/>
      <w:lvlText w:val=""/>
      <w:lvlJc w:val="left"/>
      <w:pPr>
        <w:ind w:left="6360" w:hanging="360"/>
      </w:pPr>
      <w:rPr>
        <w:rFonts w:ascii="Symbol" w:hAnsi="Symbol" w:hint="default"/>
      </w:rPr>
    </w:lvl>
    <w:lvl w:ilvl="7" w:tplc="08090003" w:tentative="1">
      <w:start w:val="1"/>
      <w:numFmt w:val="bullet"/>
      <w:lvlText w:val="o"/>
      <w:lvlJc w:val="left"/>
      <w:pPr>
        <w:ind w:left="7080" w:hanging="360"/>
      </w:pPr>
      <w:rPr>
        <w:rFonts w:ascii="Courier New" w:hAnsi="Courier New" w:hint="default"/>
      </w:rPr>
    </w:lvl>
    <w:lvl w:ilvl="8" w:tplc="08090005" w:tentative="1">
      <w:start w:val="1"/>
      <w:numFmt w:val="bullet"/>
      <w:lvlText w:val=""/>
      <w:lvlJc w:val="left"/>
      <w:pPr>
        <w:ind w:left="7800" w:hanging="360"/>
      </w:pPr>
      <w:rPr>
        <w:rFonts w:ascii="Wingdings" w:hAnsi="Wingdings" w:hint="default"/>
      </w:rPr>
    </w:lvl>
  </w:abstractNum>
  <w:abstractNum w:abstractNumId="13">
    <w:nsid w:val="37B7235C"/>
    <w:multiLevelType w:val="multilevel"/>
    <w:tmpl w:val="8D347FA0"/>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4">
    <w:nsid w:val="42696A0C"/>
    <w:multiLevelType w:val="multilevel"/>
    <w:tmpl w:val="386AB732"/>
    <w:lvl w:ilvl="0">
      <w:start w:val="2"/>
      <w:numFmt w:val="decimal"/>
      <w:lvlText w:val="%1"/>
      <w:lvlJc w:val="left"/>
      <w:pPr>
        <w:tabs>
          <w:tab w:val="num" w:pos="360"/>
        </w:tabs>
        <w:ind w:left="360" w:hanging="360"/>
      </w:pPr>
      <w:rPr>
        <w:rFonts w:cs="Times New Roman" w:hint="default"/>
        <w:b/>
      </w:rPr>
    </w:lvl>
    <w:lvl w:ilvl="1">
      <w:start w:val="5"/>
      <w:numFmt w:val="decimal"/>
      <w:lvlText w:val="%1.%2"/>
      <w:lvlJc w:val="left"/>
      <w:pPr>
        <w:tabs>
          <w:tab w:val="num" w:pos="360"/>
        </w:tabs>
        <w:ind w:left="360" w:hanging="360"/>
      </w:pPr>
      <w:rPr>
        <w:rFonts w:cs="Times New Roman" w:hint="default"/>
        <w:b/>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15">
    <w:nsid w:val="454E0F24"/>
    <w:multiLevelType w:val="multilevel"/>
    <w:tmpl w:val="15DE6374"/>
    <w:lvl w:ilvl="0">
      <w:start w:val="6"/>
      <w:numFmt w:val="decimal"/>
      <w:lvlText w:val="%1"/>
      <w:lvlJc w:val="left"/>
      <w:pPr>
        <w:tabs>
          <w:tab w:val="num" w:pos="1290"/>
        </w:tabs>
        <w:ind w:left="1290" w:hanging="1290"/>
      </w:pPr>
      <w:rPr>
        <w:rFonts w:cs="Times New Roman" w:hint="default"/>
        <w:b w:val="0"/>
        <w:i w:val="0"/>
      </w:rPr>
    </w:lvl>
    <w:lvl w:ilvl="1">
      <w:start w:val="4"/>
      <w:numFmt w:val="decimal"/>
      <w:lvlText w:val="%1.%2"/>
      <w:lvlJc w:val="left"/>
      <w:pPr>
        <w:tabs>
          <w:tab w:val="num" w:pos="1290"/>
        </w:tabs>
        <w:ind w:left="1290" w:hanging="1290"/>
      </w:pPr>
      <w:rPr>
        <w:rFonts w:cs="Times New Roman" w:hint="default"/>
        <w:b w:val="0"/>
        <w:i w:val="0"/>
      </w:rPr>
    </w:lvl>
    <w:lvl w:ilvl="2">
      <w:start w:val="1"/>
      <w:numFmt w:val="decimal"/>
      <w:lvlText w:val="%1.%2.%3"/>
      <w:lvlJc w:val="left"/>
      <w:pPr>
        <w:tabs>
          <w:tab w:val="num" w:pos="1290"/>
        </w:tabs>
        <w:ind w:left="1290" w:hanging="1290"/>
      </w:pPr>
      <w:rPr>
        <w:rFonts w:cs="Times New Roman" w:hint="default"/>
        <w:b w:val="0"/>
        <w:i w:val="0"/>
      </w:rPr>
    </w:lvl>
    <w:lvl w:ilvl="3">
      <w:start w:val="1"/>
      <w:numFmt w:val="decimal"/>
      <w:lvlText w:val="%1.%2.%3.%4"/>
      <w:lvlJc w:val="left"/>
      <w:pPr>
        <w:tabs>
          <w:tab w:val="num" w:pos="1290"/>
        </w:tabs>
        <w:ind w:left="1290" w:hanging="1290"/>
      </w:pPr>
      <w:rPr>
        <w:rFonts w:cs="Times New Roman" w:hint="default"/>
        <w:b w:val="0"/>
        <w:i w:val="0"/>
      </w:rPr>
    </w:lvl>
    <w:lvl w:ilvl="4">
      <w:start w:val="1"/>
      <w:numFmt w:val="decimal"/>
      <w:lvlText w:val="%1.%2.%3.%4.%5"/>
      <w:lvlJc w:val="left"/>
      <w:pPr>
        <w:tabs>
          <w:tab w:val="num" w:pos="1290"/>
        </w:tabs>
        <w:ind w:left="1290" w:hanging="1290"/>
      </w:pPr>
      <w:rPr>
        <w:rFonts w:cs="Times New Roman" w:hint="default"/>
        <w:b w:val="0"/>
        <w:i w:val="0"/>
      </w:rPr>
    </w:lvl>
    <w:lvl w:ilvl="5">
      <w:start w:val="1"/>
      <w:numFmt w:val="decimal"/>
      <w:lvlText w:val="%1.%2.%3.%4.%5.%6"/>
      <w:lvlJc w:val="left"/>
      <w:pPr>
        <w:tabs>
          <w:tab w:val="num" w:pos="1290"/>
        </w:tabs>
        <w:ind w:left="1290" w:hanging="1290"/>
      </w:pPr>
      <w:rPr>
        <w:rFonts w:cs="Times New Roman" w:hint="default"/>
        <w:b w:val="0"/>
        <w:i w:val="0"/>
      </w:rPr>
    </w:lvl>
    <w:lvl w:ilvl="6">
      <w:start w:val="1"/>
      <w:numFmt w:val="decimal"/>
      <w:lvlText w:val="%1.%2.%3.%4.%5.%6.%7"/>
      <w:lvlJc w:val="left"/>
      <w:pPr>
        <w:tabs>
          <w:tab w:val="num" w:pos="1440"/>
        </w:tabs>
        <w:ind w:left="1440" w:hanging="1440"/>
      </w:pPr>
      <w:rPr>
        <w:rFonts w:cs="Times New Roman" w:hint="default"/>
        <w:b w:val="0"/>
        <w:i w:val="0"/>
      </w:rPr>
    </w:lvl>
    <w:lvl w:ilvl="7">
      <w:start w:val="1"/>
      <w:numFmt w:val="decimal"/>
      <w:lvlText w:val="%1.%2.%3.%4.%5.%6.%7.%8"/>
      <w:lvlJc w:val="left"/>
      <w:pPr>
        <w:tabs>
          <w:tab w:val="num" w:pos="1440"/>
        </w:tabs>
        <w:ind w:left="1440" w:hanging="1440"/>
      </w:pPr>
      <w:rPr>
        <w:rFonts w:cs="Times New Roman" w:hint="default"/>
        <w:b w:val="0"/>
        <w:i w:val="0"/>
      </w:rPr>
    </w:lvl>
    <w:lvl w:ilvl="8">
      <w:start w:val="1"/>
      <w:numFmt w:val="decimal"/>
      <w:lvlText w:val="%1.%2.%3.%4.%5.%6.%7.%8.%9"/>
      <w:lvlJc w:val="left"/>
      <w:pPr>
        <w:tabs>
          <w:tab w:val="num" w:pos="1800"/>
        </w:tabs>
        <w:ind w:left="1800" w:hanging="1800"/>
      </w:pPr>
      <w:rPr>
        <w:rFonts w:cs="Times New Roman" w:hint="default"/>
        <w:b w:val="0"/>
        <w:i w:val="0"/>
      </w:rPr>
    </w:lvl>
  </w:abstractNum>
  <w:abstractNum w:abstractNumId="16">
    <w:nsid w:val="494362BE"/>
    <w:multiLevelType w:val="hybridMultilevel"/>
    <w:tmpl w:val="5D9C88BE"/>
    <w:lvl w:ilvl="0" w:tplc="13E0C5D0">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00D3CA1"/>
    <w:multiLevelType w:val="hybridMultilevel"/>
    <w:tmpl w:val="3A0C28FE"/>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18">
    <w:nsid w:val="52A2574D"/>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9">
    <w:nsid w:val="53912103"/>
    <w:multiLevelType w:val="multilevel"/>
    <w:tmpl w:val="25F6C982"/>
    <w:lvl w:ilvl="0">
      <w:start w:val="6"/>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0">
    <w:nsid w:val="5824306E"/>
    <w:multiLevelType w:val="multilevel"/>
    <w:tmpl w:val="6D64F74E"/>
    <w:lvl w:ilvl="0">
      <w:start w:val="2"/>
      <w:numFmt w:val="decimal"/>
      <w:lvlText w:val="%1"/>
      <w:lvlJc w:val="left"/>
      <w:pPr>
        <w:tabs>
          <w:tab w:val="num" w:pos="360"/>
        </w:tabs>
        <w:ind w:left="360" w:hanging="360"/>
      </w:pPr>
      <w:rPr>
        <w:rFonts w:cs="Times New Roman" w:hint="default"/>
      </w:rPr>
    </w:lvl>
    <w:lvl w:ilvl="1">
      <w:start w:val="5"/>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59CB028D"/>
    <w:multiLevelType w:val="multilevel"/>
    <w:tmpl w:val="3162064E"/>
    <w:lvl w:ilvl="0">
      <w:start w:val="8"/>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5B2854FD"/>
    <w:multiLevelType w:val="hybridMultilevel"/>
    <w:tmpl w:val="97866714"/>
    <w:lvl w:ilvl="0" w:tplc="08090001">
      <w:start w:val="1"/>
      <w:numFmt w:val="bullet"/>
      <w:lvlText w:val=""/>
      <w:lvlJc w:val="left"/>
      <w:pPr>
        <w:tabs>
          <w:tab w:val="num" w:pos="1620"/>
        </w:tabs>
        <w:ind w:left="1620" w:hanging="360"/>
      </w:pPr>
      <w:rPr>
        <w:rFonts w:ascii="Symbol" w:hAnsi="Symbol" w:hint="default"/>
      </w:rPr>
    </w:lvl>
    <w:lvl w:ilvl="1" w:tplc="08090003" w:tentative="1">
      <w:start w:val="1"/>
      <w:numFmt w:val="bullet"/>
      <w:lvlText w:val="o"/>
      <w:lvlJc w:val="left"/>
      <w:pPr>
        <w:tabs>
          <w:tab w:val="num" w:pos="2465"/>
        </w:tabs>
        <w:ind w:left="2465" w:hanging="360"/>
      </w:pPr>
      <w:rPr>
        <w:rFonts w:ascii="Courier New" w:hAnsi="Courier New" w:hint="default"/>
      </w:rPr>
    </w:lvl>
    <w:lvl w:ilvl="2" w:tplc="08090005" w:tentative="1">
      <w:start w:val="1"/>
      <w:numFmt w:val="bullet"/>
      <w:lvlText w:val=""/>
      <w:lvlJc w:val="left"/>
      <w:pPr>
        <w:tabs>
          <w:tab w:val="num" w:pos="3185"/>
        </w:tabs>
        <w:ind w:left="3185" w:hanging="360"/>
      </w:pPr>
      <w:rPr>
        <w:rFonts w:ascii="Wingdings" w:hAnsi="Wingdings" w:hint="default"/>
      </w:rPr>
    </w:lvl>
    <w:lvl w:ilvl="3" w:tplc="08090001" w:tentative="1">
      <w:start w:val="1"/>
      <w:numFmt w:val="bullet"/>
      <w:lvlText w:val=""/>
      <w:lvlJc w:val="left"/>
      <w:pPr>
        <w:tabs>
          <w:tab w:val="num" w:pos="3905"/>
        </w:tabs>
        <w:ind w:left="3905" w:hanging="360"/>
      </w:pPr>
      <w:rPr>
        <w:rFonts w:ascii="Symbol" w:hAnsi="Symbol" w:hint="default"/>
      </w:rPr>
    </w:lvl>
    <w:lvl w:ilvl="4" w:tplc="08090003" w:tentative="1">
      <w:start w:val="1"/>
      <w:numFmt w:val="bullet"/>
      <w:lvlText w:val="o"/>
      <w:lvlJc w:val="left"/>
      <w:pPr>
        <w:tabs>
          <w:tab w:val="num" w:pos="4625"/>
        </w:tabs>
        <w:ind w:left="4625" w:hanging="360"/>
      </w:pPr>
      <w:rPr>
        <w:rFonts w:ascii="Courier New" w:hAnsi="Courier New" w:hint="default"/>
      </w:rPr>
    </w:lvl>
    <w:lvl w:ilvl="5" w:tplc="08090005" w:tentative="1">
      <w:start w:val="1"/>
      <w:numFmt w:val="bullet"/>
      <w:lvlText w:val=""/>
      <w:lvlJc w:val="left"/>
      <w:pPr>
        <w:tabs>
          <w:tab w:val="num" w:pos="5345"/>
        </w:tabs>
        <w:ind w:left="5345" w:hanging="360"/>
      </w:pPr>
      <w:rPr>
        <w:rFonts w:ascii="Wingdings" w:hAnsi="Wingdings" w:hint="default"/>
      </w:rPr>
    </w:lvl>
    <w:lvl w:ilvl="6" w:tplc="08090001" w:tentative="1">
      <w:start w:val="1"/>
      <w:numFmt w:val="bullet"/>
      <w:lvlText w:val=""/>
      <w:lvlJc w:val="left"/>
      <w:pPr>
        <w:tabs>
          <w:tab w:val="num" w:pos="6065"/>
        </w:tabs>
        <w:ind w:left="6065" w:hanging="360"/>
      </w:pPr>
      <w:rPr>
        <w:rFonts w:ascii="Symbol" w:hAnsi="Symbol" w:hint="default"/>
      </w:rPr>
    </w:lvl>
    <w:lvl w:ilvl="7" w:tplc="08090003" w:tentative="1">
      <w:start w:val="1"/>
      <w:numFmt w:val="bullet"/>
      <w:lvlText w:val="o"/>
      <w:lvlJc w:val="left"/>
      <w:pPr>
        <w:tabs>
          <w:tab w:val="num" w:pos="6785"/>
        </w:tabs>
        <w:ind w:left="6785" w:hanging="360"/>
      </w:pPr>
      <w:rPr>
        <w:rFonts w:ascii="Courier New" w:hAnsi="Courier New" w:hint="default"/>
      </w:rPr>
    </w:lvl>
    <w:lvl w:ilvl="8" w:tplc="08090005" w:tentative="1">
      <w:start w:val="1"/>
      <w:numFmt w:val="bullet"/>
      <w:lvlText w:val=""/>
      <w:lvlJc w:val="left"/>
      <w:pPr>
        <w:tabs>
          <w:tab w:val="num" w:pos="7505"/>
        </w:tabs>
        <w:ind w:left="7505" w:hanging="360"/>
      </w:pPr>
      <w:rPr>
        <w:rFonts w:ascii="Wingdings" w:hAnsi="Wingdings" w:hint="default"/>
      </w:rPr>
    </w:lvl>
  </w:abstractNum>
  <w:abstractNum w:abstractNumId="23">
    <w:nsid w:val="61804216"/>
    <w:multiLevelType w:val="hybridMultilevel"/>
    <w:tmpl w:val="0E5C626C"/>
    <w:lvl w:ilvl="0" w:tplc="08090005">
      <w:start w:val="1"/>
      <w:numFmt w:val="bullet"/>
      <w:lvlText w:val=""/>
      <w:lvlJc w:val="left"/>
      <w:pPr>
        <w:tabs>
          <w:tab w:val="num" w:pos="1980"/>
        </w:tabs>
        <w:ind w:left="1980" w:hanging="360"/>
      </w:pPr>
      <w:rPr>
        <w:rFonts w:ascii="Wingdings" w:hAnsi="Wingdings" w:hint="default"/>
      </w:rPr>
    </w:lvl>
    <w:lvl w:ilvl="1" w:tplc="08090003" w:tentative="1">
      <w:start w:val="1"/>
      <w:numFmt w:val="bullet"/>
      <w:lvlText w:val="o"/>
      <w:lvlJc w:val="left"/>
      <w:pPr>
        <w:tabs>
          <w:tab w:val="num" w:pos="2700"/>
        </w:tabs>
        <w:ind w:left="2700" w:hanging="360"/>
      </w:pPr>
      <w:rPr>
        <w:rFonts w:ascii="Courier New" w:hAnsi="Courier New" w:hint="default"/>
      </w:rPr>
    </w:lvl>
    <w:lvl w:ilvl="2" w:tplc="08090005" w:tentative="1">
      <w:start w:val="1"/>
      <w:numFmt w:val="bullet"/>
      <w:lvlText w:val=""/>
      <w:lvlJc w:val="left"/>
      <w:pPr>
        <w:tabs>
          <w:tab w:val="num" w:pos="3420"/>
        </w:tabs>
        <w:ind w:left="3420" w:hanging="360"/>
      </w:pPr>
      <w:rPr>
        <w:rFonts w:ascii="Wingdings" w:hAnsi="Wingdings" w:hint="default"/>
      </w:rPr>
    </w:lvl>
    <w:lvl w:ilvl="3" w:tplc="08090001" w:tentative="1">
      <w:start w:val="1"/>
      <w:numFmt w:val="bullet"/>
      <w:lvlText w:val=""/>
      <w:lvlJc w:val="left"/>
      <w:pPr>
        <w:tabs>
          <w:tab w:val="num" w:pos="4140"/>
        </w:tabs>
        <w:ind w:left="4140" w:hanging="360"/>
      </w:pPr>
      <w:rPr>
        <w:rFonts w:ascii="Symbol" w:hAnsi="Symbol" w:hint="default"/>
      </w:rPr>
    </w:lvl>
    <w:lvl w:ilvl="4" w:tplc="08090003" w:tentative="1">
      <w:start w:val="1"/>
      <w:numFmt w:val="bullet"/>
      <w:lvlText w:val="o"/>
      <w:lvlJc w:val="left"/>
      <w:pPr>
        <w:tabs>
          <w:tab w:val="num" w:pos="4860"/>
        </w:tabs>
        <w:ind w:left="4860" w:hanging="360"/>
      </w:pPr>
      <w:rPr>
        <w:rFonts w:ascii="Courier New" w:hAnsi="Courier New" w:hint="default"/>
      </w:rPr>
    </w:lvl>
    <w:lvl w:ilvl="5" w:tplc="08090005" w:tentative="1">
      <w:start w:val="1"/>
      <w:numFmt w:val="bullet"/>
      <w:lvlText w:val=""/>
      <w:lvlJc w:val="left"/>
      <w:pPr>
        <w:tabs>
          <w:tab w:val="num" w:pos="5580"/>
        </w:tabs>
        <w:ind w:left="5580" w:hanging="360"/>
      </w:pPr>
      <w:rPr>
        <w:rFonts w:ascii="Wingdings" w:hAnsi="Wingdings" w:hint="default"/>
      </w:rPr>
    </w:lvl>
    <w:lvl w:ilvl="6" w:tplc="08090001" w:tentative="1">
      <w:start w:val="1"/>
      <w:numFmt w:val="bullet"/>
      <w:lvlText w:val=""/>
      <w:lvlJc w:val="left"/>
      <w:pPr>
        <w:tabs>
          <w:tab w:val="num" w:pos="6300"/>
        </w:tabs>
        <w:ind w:left="6300" w:hanging="360"/>
      </w:pPr>
      <w:rPr>
        <w:rFonts w:ascii="Symbol" w:hAnsi="Symbol" w:hint="default"/>
      </w:rPr>
    </w:lvl>
    <w:lvl w:ilvl="7" w:tplc="08090003" w:tentative="1">
      <w:start w:val="1"/>
      <w:numFmt w:val="bullet"/>
      <w:lvlText w:val="o"/>
      <w:lvlJc w:val="left"/>
      <w:pPr>
        <w:tabs>
          <w:tab w:val="num" w:pos="7020"/>
        </w:tabs>
        <w:ind w:left="7020" w:hanging="360"/>
      </w:pPr>
      <w:rPr>
        <w:rFonts w:ascii="Courier New" w:hAnsi="Courier New" w:hint="default"/>
      </w:rPr>
    </w:lvl>
    <w:lvl w:ilvl="8" w:tplc="08090005" w:tentative="1">
      <w:start w:val="1"/>
      <w:numFmt w:val="bullet"/>
      <w:lvlText w:val=""/>
      <w:lvlJc w:val="left"/>
      <w:pPr>
        <w:tabs>
          <w:tab w:val="num" w:pos="7740"/>
        </w:tabs>
        <w:ind w:left="7740" w:hanging="360"/>
      </w:pPr>
      <w:rPr>
        <w:rFonts w:ascii="Wingdings" w:hAnsi="Wingdings" w:hint="default"/>
      </w:rPr>
    </w:lvl>
  </w:abstractNum>
  <w:abstractNum w:abstractNumId="24">
    <w:nsid w:val="64BC58EE"/>
    <w:multiLevelType w:val="multilevel"/>
    <w:tmpl w:val="E8128488"/>
    <w:lvl w:ilvl="0">
      <w:start w:val="6"/>
      <w:numFmt w:val="decimal"/>
      <w:lvlText w:val="%1"/>
      <w:lvlJc w:val="left"/>
      <w:pPr>
        <w:tabs>
          <w:tab w:val="num" w:pos="1260"/>
        </w:tabs>
        <w:ind w:left="1260" w:hanging="1260"/>
      </w:pPr>
      <w:rPr>
        <w:rFonts w:cs="Times New Roman" w:hint="default"/>
      </w:rPr>
    </w:lvl>
    <w:lvl w:ilvl="1">
      <w:start w:val="2"/>
      <w:numFmt w:val="decimal"/>
      <w:lvlText w:val="%1.%2"/>
      <w:lvlJc w:val="left"/>
      <w:pPr>
        <w:tabs>
          <w:tab w:val="num" w:pos="1260"/>
        </w:tabs>
        <w:ind w:left="1260" w:hanging="1260"/>
      </w:pPr>
      <w:rPr>
        <w:rFonts w:cs="Times New Roman" w:hint="default"/>
      </w:rPr>
    </w:lvl>
    <w:lvl w:ilvl="2">
      <w:start w:val="1"/>
      <w:numFmt w:val="decimal"/>
      <w:lvlText w:val="%1.%2.%3"/>
      <w:lvlJc w:val="left"/>
      <w:pPr>
        <w:tabs>
          <w:tab w:val="num" w:pos="1260"/>
        </w:tabs>
        <w:ind w:left="1260" w:hanging="1260"/>
      </w:pPr>
      <w:rPr>
        <w:rFonts w:cs="Times New Roman" w:hint="default"/>
      </w:rPr>
    </w:lvl>
    <w:lvl w:ilvl="3">
      <w:start w:val="1"/>
      <w:numFmt w:val="decimal"/>
      <w:lvlText w:val="%1.%2.%3.%4"/>
      <w:lvlJc w:val="left"/>
      <w:pPr>
        <w:tabs>
          <w:tab w:val="num" w:pos="1260"/>
        </w:tabs>
        <w:ind w:left="1260" w:hanging="1260"/>
      </w:pPr>
      <w:rPr>
        <w:rFonts w:cs="Times New Roman" w:hint="default"/>
      </w:rPr>
    </w:lvl>
    <w:lvl w:ilvl="4">
      <w:start w:val="1"/>
      <w:numFmt w:val="decimal"/>
      <w:lvlText w:val="%1.%2.%3.%4.%5"/>
      <w:lvlJc w:val="left"/>
      <w:pPr>
        <w:tabs>
          <w:tab w:val="num" w:pos="1260"/>
        </w:tabs>
        <w:ind w:left="1260" w:hanging="1260"/>
      </w:pPr>
      <w:rPr>
        <w:rFonts w:cs="Times New Roman" w:hint="default"/>
      </w:rPr>
    </w:lvl>
    <w:lvl w:ilvl="5">
      <w:start w:val="1"/>
      <w:numFmt w:val="decimal"/>
      <w:lvlText w:val="%1.%2.%3.%4.%5.%6"/>
      <w:lvlJc w:val="left"/>
      <w:pPr>
        <w:tabs>
          <w:tab w:val="num" w:pos="1260"/>
        </w:tabs>
        <w:ind w:left="1260" w:hanging="126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5">
    <w:nsid w:val="66D30864"/>
    <w:multiLevelType w:val="multilevel"/>
    <w:tmpl w:val="353E0F8A"/>
    <w:lvl w:ilvl="0">
      <w:start w:val="7"/>
      <w:numFmt w:val="decimal"/>
      <w:lvlText w:val="%1"/>
      <w:lvlJc w:val="left"/>
      <w:pPr>
        <w:tabs>
          <w:tab w:val="num" w:pos="1245"/>
        </w:tabs>
        <w:ind w:left="1245" w:hanging="1245"/>
      </w:pPr>
      <w:rPr>
        <w:rFonts w:cs="Times New Roman" w:hint="default"/>
      </w:rPr>
    </w:lvl>
    <w:lvl w:ilvl="1">
      <w:start w:val="2"/>
      <w:numFmt w:val="decimal"/>
      <w:lvlText w:val="%1.%2"/>
      <w:lvlJc w:val="left"/>
      <w:pPr>
        <w:tabs>
          <w:tab w:val="num" w:pos="1245"/>
        </w:tabs>
        <w:ind w:left="1245" w:hanging="1245"/>
      </w:pPr>
      <w:rPr>
        <w:rFonts w:cs="Times New Roman" w:hint="default"/>
      </w:rPr>
    </w:lvl>
    <w:lvl w:ilvl="2">
      <w:start w:val="1"/>
      <w:numFmt w:val="decimal"/>
      <w:lvlText w:val="%1.%2.%3"/>
      <w:lvlJc w:val="left"/>
      <w:pPr>
        <w:tabs>
          <w:tab w:val="num" w:pos="1245"/>
        </w:tabs>
        <w:ind w:left="1245" w:hanging="1245"/>
      </w:pPr>
      <w:rPr>
        <w:rFonts w:cs="Times New Roman" w:hint="default"/>
      </w:rPr>
    </w:lvl>
    <w:lvl w:ilvl="3">
      <w:start w:val="1"/>
      <w:numFmt w:val="decimal"/>
      <w:lvlText w:val="%1.%2.%3.%4"/>
      <w:lvlJc w:val="left"/>
      <w:pPr>
        <w:tabs>
          <w:tab w:val="num" w:pos="1245"/>
        </w:tabs>
        <w:ind w:left="1245" w:hanging="1245"/>
      </w:pPr>
      <w:rPr>
        <w:rFonts w:cs="Times New Roman" w:hint="default"/>
      </w:rPr>
    </w:lvl>
    <w:lvl w:ilvl="4">
      <w:start w:val="1"/>
      <w:numFmt w:val="decimal"/>
      <w:lvlText w:val="%1.%2.%3.%4.%5"/>
      <w:lvlJc w:val="left"/>
      <w:pPr>
        <w:tabs>
          <w:tab w:val="num" w:pos="1245"/>
        </w:tabs>
        <w:ind w:left="1245" w:hanging="1245"/>
      </w:pPr>
      <w:rPr>
        <w:rFonts w:cs="Times New Roman" w:hint="default"/>
      </w:rPr>
    </w:lvl>
    <w:lvl w:ilvl="5">
      <w:start w:val="1"/>
      <w:numFmt w:val="decimal"/>
      <w:lvlText w:val="%1.%2.%3.%4.%5.%6"/>
      <w:lvlJc w:val="left"/>
      <w:pPr>
        <w:tabs>
          <w:tab w:val="num" w:pos="1245"/>
        </w:tabs>
        <w:ind w:left="1245" w:hanging="124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6">
    <w:nsid w:val="694F3F7B"/>
    <w:multiLevelType w:val="multilevel"/>
    <w:tmpl w:val="86CA8F84"/>
    <w:lvl w:ilvl="0">
      <w:start w:val="2"/>
      <w:numFmt w:val="decimal"/>
      <w:lvlText w:val="%1."/>
      <w:lvlJc w:val="left"/>
      <w:pPr>
        <w:tabs>
          <w:tab w:val="num" w:pos="1260"/>
        </w:tabs>
        <w:ind w:left="1260" w:hanging="1260"/>
      </w:pPr>
      <w:rPr>
        <w:rFonts w:cs="Times New Roman" w:hint="default"/>
        <w:b w:val="0"/>
      </w:rPr>
    </w:lvl>
    <w:lvl w:ilvl="1">
      <w:start w:val="5"/>
      <w:numFmt w:val="decimal"/>
      <w:isLgl/>
      <w:lvlText w:val="%1.%2"/>
      <w:lvlJc w:val="left"/>
      <w:pPr>
        <w:tabs>
          <w:tab w:val="num" w:pos="360"/>
        </w:tabs>
        <w:ind w:left="360" w:hanging="36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720"/>
        </w:tabs>
        <w:ind w:left="720" w:hanging="72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7">
    <w:nsid w:val="6F8F21D7"/>
    <w:multiLevelType w:val="hybridMultilevel"/>
    <w:tmpl w:val="DAA0BE0C"/>
    <w:lvl w:ilvl="0" w:tplc="0F523B72">
      <w:start w:val="9"/>
      <w:numFmt w:val="decimal"/>
      <w:lvlText w:val="%1"/>
      <w:lvlJc w:val="left"/>
      <w:pPr>
        <w:tabs>
          <w:tab w:val="num" w:pos="1620"/>
        </w:tabs>
        <w:ind w:left="1620" w:hanging="1260"/>
      </w:pPr>
      <w:rPr>
        <w:rFonts w:cs="Times New Roman" w:hint="default"/>
        <w:b w:val="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8">
    <w:nsid w:val="70605DFB"/>
    <w:multiLevelType w:val="multilevel"/>
    <w:tmpl w:val="4A0AC298"/>
    <w:lvl w:ilvl="0">
      <w:start w:val="6"/>
      <w:numFmt w:val="decimal"/>
      <w:lvlText w:val="%1"/>
      <w:lvlJc w:val="left"/>
      <w:pPr>
        <w:tabs>
          <w:tab w:val="num" w:pos="1335"/>
        </w:tabs>
        <w:ind w:left="1335" w:hanging="1335"/>
      </w:pPr>
      <w:rPr>
        <w:rFonts w:cs="Times New Roman" w:hint="default"/>
      </w:rPr>
    </w:lvl>
    <w:lvl w:ilvl="1">
      <w:start w:val="4"/>
      <w:numFmt w:val="decimal"/>
      <w:lvlText w:val="%1.%2"/>
      <w:lvlJc w:val="left"/>
      <w:pPr>
        <w:tabs>
          <w:tab w:val="num" w:pos="1335"/>
        </w:tabs>
        <w:ind w:left="1335" w:hanging="1335"/>
      </w:pPr>
      <w:rPr>
        <w:rFonts w:cs="Times New Roman" w:hint="default"/>
      </w:rPr>
    </w:lvl>
    <w:lvl w:ilvl="2">
      <w:start w:val="1"/>
      <w:numFmt w:val="decimal"/>
      <w:lvlText w:val="%1.%2.%3"/>
      <w:lvlJc w:val="left"/>
      <w:pPr>
        <w:tabs>
          <w:tab w:val="num" w:pos="1335"/>
        </w:tabs>
        <w:ind w:left="1335" w:hanging="1335"/>
      </w:pPr>
      <w:rPr>
        <w:rFonts w:cs="Times New Roman" w:hint="default"/>
      </w:rPr>
    </w:lvl>
    <w:lvl w:ilvl="3">
      <w:start w:val="1"/>
      <w:numFmt w:val="decimal"/>
      <w:lvlText w:val="%1.%2.%3.%4"/>
      <w:lvlJc w:val="left"/>
      <w:pPr>
        <w:tabs>
          <w:tab w:val="num" w:pos="1335"/>
        </w:tabs>
        <w:ind w:left="1335" w:hanging="1335"/>
      </w:pPr>
      <w:rPr>
        <w:rFonts w:cs="Times New Roman" w:hint="default"/>
      </w:rPr>
    </w:lvl>
    <w:lvl w:ilvl="4">
      <w:start w:val="1"/>
      <w:numFmt w:val="decimal"/>
      <w:lvlText w:val="%1.%2.%3.%4.%5"/>
      <w:lvlJc w:val="left"/>
      <w:pPr>
        <w:tabs>
          <w:tab w:val="num" w:pos="1335"/>
        </w:tabs>
        <w:ind w:left="1335" w:hanging="1335"/>
      </w:pPr>
      <w:rPr>
        <w:rFonts w:cs="Times New Roman" w:hint="default"/>
      </w:rPr>
    </w:lvl>
    <w:lvl w:ilvl="5">
      <w:start w:val="1"/>
      <w:numFmt w:val="decimal"/>
      <w:lvlText w:val="%1.%2.%3.%4.%5.%6"/>
      <w:lvlJc w:val="left"/>
      <w:pPr>
        <w:tabs>
          <w:tab w:val="num" w:pos="1335"/>
        </w:tabs>
        <w:ind w:left="1335" w:hanging="133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9">
    <w:nsid w:val="71EE786A"/>
    <w:multiLevelType w:val="hybridMultilevel"/>
    <w:tmpl w:val="7CC64008"/>
    <w:lvl w:ilvl="0" w:tplc="08090001">
      <w:start w:val="1"/>
      <w:numFmt w:val="bullet"/>
      <w:lvlText w:val=""/>
      <w:lvlJc w:val="left"/>
      <w:pPr>
        <w:tabs>
          <w:tab w:val="num" w:pos="2700"/>
        </w:tabs>
        <w:ind w:left="2700" w:hanging="360"/>
      </w:pPr>
      <w:rPr>
        <w:rFonts w:ascii="Symbol" w:hAnsi="Symbol" w:hint="default"/>
      </w:rPr>
    </w:lvl>
    <w:lvl w:ilvl="1" w:tplc="08090003" w:tentative="1">
      <w:start w:val="1"/>
      <w:numFmt w:val="bullet"/>
      <w:lvlText w:val="o"/>
      <w:lvlJc w:val="left"/>
      <w:pPr>
        <w:tabs>
          <w:tab w:val="num" w:pos="3420"/>
        </w:tabs>
        <w:ind w:left="3420" w:hanging="360"/>
      </w:pPr>
      <w:rPr>
        <w:rFonts w:ascii="Courier New" w:hAnsi="Courier New" w:hint="default"/>
      </w:rPr>
    </w:lvl>
    <w:lvl w:ilvl="2" w:tplc="08090005" w:tentative="1">
      <w:start w:val="1"/>
      <w:numFmt w:val="bullet"/>
      <w:lvlText w:val=""/>
      <w:lvlJc w:val="left"/>
      <w:pPr>
        <w:tabs>
          <w:tab w:val="num" w:pos="4140"/>
        </w:tabs>
        <w:ind w:left="4140" w:hanging="360"/>
      </w:pPr>
      <w:rPr>
        <w:rFonts w:ascii="Wingdings" w:hAnsi="Wingdings" w:hint="default"/>
      </w:rPr>
    </w:lvl>
    <w:lvl w:ilvl="3" w:tplc="08090001" w:tentative="1">
      <w:start w:val="1"/>
      <w:numFmt w:val="bullet"/>
      <w:lvlText w:val=""/>
      <w:lvlJc w:val="left"/>
      <w:pPr>
        <w:tabs>
          <w:tab w:val="num" w:pos="4860"/>
        </w:tabs>
        <w:ind w:left="4860" w:hanging="360"/>
      </w:pPr>
      <w:rPr>
        <w:rFonts w:ascii="Symbol" w:hAnsi="Symbol" w:hint="default"/>
      </w:rPr>
    </w:lvl>
    <w:lvl w:ilvl="4" w:tplc="08090003" w:tentative="1">
      <w:start w:val="1"/>
      <w:numFmt w:val="bullet"/>
      <w:lvlText w:val="o"/>
      <w:lvlJc w:val="left"/>
      <w:pPr>
        <w:tabs>
          <w:tab w:val="num" w:pos="5580"/>
        </w:tabs>
        <w:ind w:left="5580" w:hanging="360"/>
      </w:pPr>
      <w:rPr>
        <w:rFonts w:ascii="Courier New" w:hAnsi="Courier New" w:hint="default"/>
      </w:rPr>
    </w:lvl>
    <w:lvl w:ilvl="5" w:tplc="08090005" w:tentative="1">
      <w:start w:val="1"/>
      <w:numFmt w:val="bullet"/>
      <w:lvlText w:val=""/>
      <w:lvlJc w:val="left"/>
      <w:pPr>
        <w:tabs>
          <w:tab w:val="num" w:pos="6300"/>
        </w:tabs>
        <w:ind w:left="6300" w:hanging="360"/>
      </w:pPr>
      <w:rPr>
        <w:rFonts w:ascii="Wingdings" w:hAnsi="Wingdings" w:hint="default"/>
      </w:rPr>
    </w:lvl>
    <w:lvl w:ilvl="6" w:tplc="08090001" w:tentative="1">
      <w:start w:val="1"/>
      <w:numFmt w:val="bullet"/>
      <w:lvlText w:val=""/>
      <w:lvlJc w:val="left"/>
      <w:pPr>
        <w:tabs>
          <w:tab w:val="num" w:pos="7020"/>
        </w:tabs>
        <w:ind w:left="7020" w:hanging="360"/>
      </w:pPr>
      <w:rPr>
        <w:rFonts w:ascii="Symbol" w:hAnsi="Symbol" w:hint="default"/>
      </w:rPr>
    </w:lvl>
    <w:lvl w:ilvl="7" w:tplc="08090003" w:tentative="1">
      <w:start w:val="1"/>
      <w:numFmt w:val="bullet"/>
      <w:lvlText w:val="o"/>
      <w:lvlJc w:val="left"/>
      <w:pPr>
        <w:tabs>
          <w:tab w:val="num" w:pos="7740"/>
        </w:tabs>
        <w:ind w:left="7740" w:hanging="360"/>
      </w:pPr>
      <w:rPr>
        <w:rFonts w:ascii="Courier New" w:hAnsi="Courier New" w:hint="default"/>
      </w:rPr>
    </w:lvl>
    <w:lvl w:ilvl="8" w:tplc="08090005" w:tentative="1">
      <w:start w:val="1"/>
      <w:numFmt w:val="bullet"/>
      <w:lvlText w:val=""/>
      <w:lvlJc w:val="left"/>
      <w:pPr>
        <w:tabs>
          <w:tab w:val="num" w:pos="8460"/>
        </w:tabs>
        <w:ind w:left="8460" w:hanging="360"/>
      </w:pPr>
      <w:rPr>
        <w:rFonts w:ascii="Wingdings" w:hAnsi="Wingdings" w:hint="default"/>
      </w:rPr>
    </w:lvl>
  </w:abstractNum>
  <w:abstractNum w:abstractNumId="30">
    <w:nsid w:val="75D3752B"/>
    <w:multiLevelType w:val="multilevel"/>
    <w:tmpl w:val="0FDE1242"/>
    <w:lvl w:ilvl="0">
      <w:start w:val="2"/>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b w:val="0"/>
        <w:i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1">
    <w:nsid w:val="79FC0AFA"/>
    <w:multiLevelType w:val="hybridMultilevel"/>
    <w:tmpl w:val="B7EA3520"/>
    <w:lvl w:ilvl="0" w:tplc="08090005">
      <w:start w:val="1"/>
      <w:numFmt w:val="bullet"/>
      <w:lvlText w:val=""/>
      <w:lvlJc w:val="left"/>
      <w:pPr>
        <w:tabs>
          <w:tab w:val="num" w:pos="1620"/>
        </w:tabs>
        <w:ind w:left="1620" w:hanging="360"/>
      </w:pPr>
      <w:rPr>
        <w:rFonts w:ascii="Wingdings" w:hAnsi="Wingdings" w:hint="default"/>
      </w:rPr>
    </w:lvl>
    <w:lvl w:ilvl="1" w:tplc="08090003" w:tentative="1">
      <w:start w:val="1"/>
      <w:numFmt w:val="bullet"/>
      <w:lvlText w:val="o"/>
      <w:lvlJc w:val="left"/>
      <w:pPr>
        <w:tabs>
          <w:tab w:val="num" w:pos="2340"/>
        </w:tabs>
        <w:ind w:left="2340" w:hanging="360"/>
      </w:pPr>
      <w:rPr>
        <w:rFonts w:ascii="Courier New" w:hAnsi="Courier New" w:hint="default"/>
      </w:rPr>
    </w:lvl>
    <w:lvl w:ilvl="2" w:tplc="08090005" w:tentative="1">
      <w:start w:val="1"/>
      <w:numFmt w:val="bullet"/>
      <w:lvlText w:val=""/>
      <w:lvlJc w:val="left"/>
      <w:pPr>
        <w:tabs>
          <w:tab w:val="num" w:pos="3060"/>
        </w:tabs>
        <w:ind w:left="3060" w:hanging="360"/>
      </w:pPr>
      <w:rPr>
        <w:rFonts w:ascii="Wingdings" w:hAnsi="Wingdings" w:hint="default"/>
      </w:rPr>
    </w:lvl>
    <w:lvl w:ilvl="3" w:tplc="08090001" w:tentative="1">
      <w:start w:val="1"/>
      <w:numFmt w:val="bullet"/>
      <w:lvlText w:val=""/>
      <w:lvlJc w:val="left"/>
      <w:pPr>
        <w:tabs>
          <w:tab w:val="num" w:pos="3780"/>
        </w:tabs>
        <w:ind w:left="3780" w:hanging="360"/>
      </w:pPr>
      <w:rPr>
        <w:rFonts w:ascii="Symbol" w:hAnsi="Symbol" w:hint="default"/>
      </w:rPr>
    </w:lvl>
    <w:lvl w:ilvl="4" w:tplc="08090003" w:tentative="1">
      <w:start w:val="1"/>
      <w:numFmt w:val="bullet"/>
      <w:lvlText w:val="o"/>
      <w:lvlJc w:val="left"/>
      <w:pPr>
        <w:tabs>
          <w:tab w:val="num" w:pos="4500"/>
        </w:tabs>
        <w:ind w:left="4500" w:hanging="360"/>
      </w:pPr>
      <w:rPr>
        <w:rFonts w:ascii="Courier New" w:hAnsi="Courier New" w:hint="default"/>
      </w:rPr>
    </w:lvl>
    <w:lvl w:ilvl="5" w:tplc="08090005" w:tentative="1">
      <w:start w:val="1"/>
      <w:numFmt w:val="bullet"/>
      <w:lvlText w:val=""/>
      <w:lvlJc w:val="left"/>
      <w:pPr>
        <w:tabs>
          <w:tab w:val="num" w:pos="5220"/>
        </w:tabs>
        <w:ind w:left="5220" w:hanging="360"/>
      </w:pPr>
      <w:rPr>
        <w:rFonts w:ascii="Wingdings" w:hAnsi="Wingdings" w:hint="default"/>
      </w:rPr>
    </w:lvl>
    <w:lvl w:ilvl="6" w:tplc="08090001" w:tentative="1">
      <w:start w:val="1"/>
      <w:numFmt w:val="bullet"/>
      <w:lvlText w:val=""/>
      <w:lvlJc w:val="left"/>
      <w:pPr>
        <w:tabs>
          <w:tab w:val="num" w:pos="5940"/>
        </w:tabs>
        <w:ind w:left="5940" w:hanging="360"/>
      </w:pPr>
      <w:rPr>
        <w:rFonts w:ascii="Symbol" w:hAnsi="Symbol" w:hint="default"/>
      </w:rPr>
    </w:lvl>
    <w:lvl w:ilvl="7" w:tplc="08090003" w:tentative="1">
      <w:start w:val="1"/>
      <w:numFmt w:val="bullet"/>
      <w:lvlText w:val="o"/>
      <w:lvlJc w:val="left"/>
      <w:pPr>
        <w:tabs>
          <w:tab w:val="num" w:pos="6660"/>
        </w:tabs>
        <w:ind w:left="6660" w:hanging="360"/>
      </w:pPr>
      <w:rPr>
        <w:rFonts w:ascii="Courier New" w:hAnsi="Courier New" w:hint="default"/>
      </w:rPr>
    </w:lvl>
    <w:lvl w:ilvl="8" w:tplc="08090005" w:tentative="1">
      <w:start w:val="1"/>
      <w:numFmt w:val="bullet"/>
      <w:lvlText w:val=""/>
      <w:lvlJc w:val="left"/>
      <w:pPr>
        <w:tabs>
          <w:tab w:val="num" w:pos="7380"/>
        </w:tabs>
        <w:ind w:left="7380" w:hanging="360"/>
      </w:pPr>
      <w:rPr>
        <w:rFonts w:ascii="Wingdings" w:hAnsi="Wingdings" w:hint="default"/>
      </w:rPr>
    </w:lvl>
  </w:abstractNum>
  <w:abstractNum w:abstractNumId="32">
    <w:nsid w:val="7FA76F81"/>
    <w:multiLevelType w:val="multilevel"/>
    <w:tmpl w:val="F59C02F4"/>
    <w:lvl w:ilvl="0">
      <w:start w:val="2"/>
      <w:numFmt w:val="decimal"/>
      <w:lvlText w:val="%1"/>
      <w:lvlJc w:val="left"/>
      <w:pPr>
        <w:tabs>
          <w:tab w:val="num" w:pos="1275"/>
        </w:tabs>
        <w:ind w:left="1275" w:hanging="1275"/>
      </w:pPr>
      <w:rPr>
        <w:rFonts w:cs="Times New Roman" w:hint="default"/>
      </w:rPr>
    </w:lvl>
    <w:lvl w:ilvl="1">
      <w:start w:val="1"/>
      <w:numFmt w:val="decimal"/>
      <w:lvlText w:val="%1.%2"/>
      <w:lvlJc w:val="left"/>
      <w:pPr>
        <w:tabs>
          <w:tab w:val="num" w:pos="1275"/>
        </w:tabs>
        <w:ind w:left="1275" w:hanging="1275"/>
      </w:pPr>
      <w:rPr>
        <w:rFonts w:cs="Times New Roman" w:hint="default"/>
      </w:rPr>
    </w:lvl>
    <w:lvl w:ilvl="2">
      <w:start w:val="1"/>
      <w:numFmt w:val="decimal"/>
      <w:lvlText w:val="%1.%2.%3"/>
      <w:lvlJc w:val="left"/>
      <w:pPr>
        <w:tabs>
          <w:tab w:val="num" w:pos="1275"/>
        </w:tabs>
        <w:ind w:left="1275" w:hanging="1275"/>
      </w:pPr>
      <w:rPr>
        <w:rFonts w:cs="Times New Roman" w:hint="default"/>
      </w:rPr>
    </w:lvl>
    <w:lvl w:ilvl="3">
      <w:start w:val="1"/>
      <w:numFmt w:val="decimal"/>
      <w:lvlText w:val="%1.%2.%3.%4"/>
      <w:lvlJc w:val="left"/>
      <w:pPr>
        <w:tabs>
          <w:tab w:val="num" w:pos="1275"/>
        </w:tabs>
        <w:ind w:left="1275" w:hanging="1275"/>
      </w:pPr>
      <w:rPr>
        <w:rFonts w:cs="Times New Roman" w:hint="default"/>
      </w:rPr>
    </w:lvl>
    <w:lvl w:ilvl="4">
      <w:start w:val="1"/>
      <w:numFmt w:val="decimal"/>
      <w:lvlText w:val="%1.%2.%3.%4.%5"/>
      <w:lvlJc w:val="left"/>
      <w:pPr>
        <w:tabs>
          <w:tab w:val="num" w:pos="1275"/>
        </w:tabs>
        <w:ind w:left="1275" w:hanging="1275"/>
      </w:pPr>
      <w:rPr>
        <w:rFonts w:cs="Times New Roman" w:hint="default"/>
      </w:rPr>
    </w:lvl>
    <w:lvl w:ilvl="5">
      <w:start w:val="1"/>
      <w:numFmt w:val="decimal"/>
      <w:lvlText w:val="%1.%2.%3.%4.%5.%6"/>
      <w:lvlJc w:val="left"/>
      <w:pPr>
        <w:tabs>
          <w:tab w:val="num" w:pos="1275"/>
        </w:tabs>
        <w:ind w:left="1275" w:hanging="1275"/>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num w:numId="1">
    <w:abstractNumId w:val="10"/>
  </w:num>
  <w:num w:numId="2">
    <w:abstractNumId w:val="0"/>
  </w:num>
  <w:num w:numId="3">
    <w:abstractNumId w:val="9"/>
  </w:num>
  <w:num w:numId="4">
    <w:abstractNumId w:val="21"/>
  </w:num>
  <w:num w:numId="5">
    <w:abstractNumId w:val="24"/>
  </w:num>
  <w:num w:numId="6">
    <w:abstractNumId w:val="7"/>
  </w:num>
  <w:num w:numId="7">
    <w:abstractNumId w:val="29"/>
  </w:num>
  <w:num w:numId="8">
    <w:abstractNumId w:val="22"/>
  </w:num>
  <w:num w:numId="9">
    <w:abstractNumId w:val="4"/>
  </w:num>
  <w:num w:numId="10">
    <w:abstractNumId w:val="27"/>
  </w:num>
  <w:num w:numId="11">
    <w:abstractNumId w:val="6"/>
  </w:num>
  <w:num w:numId="12">
    <w:abstractNumId w:val="18"/>
  </w:num>
  <w:num w:numId="13">
    <w:abstractNumId w:val="25"/>
  </w:num>
  <w:num w:numId="14">
    <w:abstractNumId w:val="5"/>
  </w:num>
  <w:num w:numId="15">
    <w:abstractNumId w:val="26"/>
  </w:num>
  <w:num w:numId="16">
    <w:abstractNumId w:val="15"/>
  </w:num>
  <w:num w:numId="17">
    <w:abstractNumId w:val="19"/>
  </w:num>
  <w:num w:numId="18">
    <w:abstractNumId w:val="1"/>
  </w:num>
  <w:num w:numId="19">
    <w:abstractNumId w:val="13"/>
  </w:num>
  <w:num w:numId="20">
    <w:abstractNumId w:val="23"/>
  </w:num>
  <w:num w:numId="21">
    <w:abstractNumId w:val="3"/>
  </w:num>
  <w:num w:numId="22">
    <w:abstractNumId w:val="17"/>
  </w:num>
  <w:num w:numId="23">
    <w:abstractNumId w:val="8"/>
  </w:num>
  <w:num w:numId="24">
    <w:abstractNumId w:val="31"/>
  </w:num>
  <w:num w:numId="25">
    <w:abstractNumId w:val="14"/>
  </w:num>
  <w:num w:numId="26">
    <w:abstractNumId w:val="20"/>
  </w:num>
  <w:num w:numId="27">
    <w:abstractNumId w:val="28"/>
  </w:num>
  <w:num w:numId="28">
    <w:abstractNumId w:val="32"/>
  </w:num>
  <w:num w:numId="29">
    <w:abstractNumId w:val="2"/>
  </w:num>
  <w:num w:numId="30">
    <w:abstractNumId w:val="30"/>
  </w:num>
  <w:num w:numId="31">
    <w:abstractNumId w:val="12"/>
  </w:num>
  <w:num w:numId="32">
    <w:abstractNumId w:val="11"/>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30B"/>
    <w:rsid w:val="00003045"/>
    <w:rsid w:val="0000715D"/>
    <w:rsid w:val="000101DE"/>
    <w:rsid w:val="0001110D"/>
    <w:rsid w:val="00011910"/>
    <w:rsid w:val="00012B4D"/>
    <w:rsid w:val="0002592D"/>
    <w:rsid w:val="000303BC"/>
    <w:rsid w:val="0003152A"/>
    <w:rsid w:val="00043BB1"/>
    <w:rsid w:val="000503BE"/>
    <w:rsid w:val="00057939"/>
    <w:rsid w:val="00063A57"/>
    <w:rsid w:val="0006506B"/>
    <w:rsid w:val="00066FBC"/>
    <w:rsid w:val="0007504B"/>
    <w:rsid w:val="00082385"/>
    <w:rsid w:val="0008617D"/>
    <w:rsid w:val="00090943"/>
    <w:rsid w:val="00094FAF"/>
    <w:rsid w:val="00096C5D"/>
    <w:rsid w:val="00097C35"/>
    <w:rsid w:val="000A03A7"/>
    <w:rsid w:val="000A068B"/>
    <w:rsid w:val="000A4F6F"/>
    <w:rsid w:val="000A51A2"/>
    <w:rsid w:val="000A7EA1"/>
    <w:rsid w:val="000C0AB8"/>
    <w:rsid w:val="000C31DE"/>
    <w:rsid w:val="000C3A9F"/>
    <w:rsid w:val="000E7A74"/>
    <w:rsid w:val="000E7EDD"/>
    <w:rsid w:val="000F0C40"/>
    <w:rsid w:val="000F1D74"/>
    <w:rsid w:val="000F256E"/>
    <w:rsid w:val="00123374"/>
    <w:rsid w:val="00126352"/>
    <w:rsid w:val="001402B6"/>
    <w:rsid w:val="00145984"/>
    <w:rsid w:val="0016063E"/>
    <w:rsid w:val="00174D0B"/>
    <w:rsid w:val="00175D6A"/>
    <w:rsid w:val="00180711"/>
    <w:rsid w:val="001822D6"/>
    <w:rsid w:val="00185A50"/>
    <w:rsid w:val="00196D8F"/>
    <w:rsid w:val="001B7AF5"/>
    <w:rsid w:val="001C3557"/>
    <w:rsid w:val="001C3905"/>
    <w:rsid w:val="001C7314"/>
    <w:rsid w:val="001E0A07"/>
    <w:rsid w:val="001E23B7"/>
    <w:rsid w:val="001E267B"/>
    <w:rsid w:val="001E3D9E"/>
    <w:rsid w:val="001E578E"/>
    <w:rsid w:val="001F2DCD"/>
    <w:rsid w:val="00201E01"/>
    <w:rsid w:val="00211467"/>
    <w:rsid w:val="00215DD2"/>
    <w:rsid w:val="00221ADD"/>
    <w:rsid w:val="00223DAB"/>
    <w:rsid w:val="00224088"/>
    <w:rsid w:val="00230110"/>
    <w:rsid w:val="002366EB"/>
    <w:rsid w:val="002401C9"/>
    <w:rsid w:val="002407C7"/>
    <w:rsid w:val="00241330"/>
    <w:rsid w:val="00242CB6"/>
    <w:rsid w:val="0024760A"/>
    <w:rsid w:val="00247A57"/>
    <w:rsid w:val="00253E52"/>
    <w:rsid w:val="00254811"/>
    <w:rsid w:val="002549FA"/>
    <w:rsid w:val="002569C7"/>
    <w:rsid w:val="00270B0E"/>
    <w:rsid w:val="00274C92"/>
    <w:rsid w:val="0028175A"/>
    <w:rsid w:val="00281E26"/>
    <w:rsid w:val="002910E3"/>
    <w:rsid w:val="00291B05"/>
    <w:rsid w:val="00293BEA"/>
    <w:rsid w:val="00294A2F"/>
    <w:rsid w:val="002A0E77"/>
    <w:rsid w:val="002A3958"/>
    <w:rsid w:val="002A5005"/>
    <w:rsid w:val="002A7D4F"/>
    <w:rsid w:val="002B03E3"/>
    <w:rsid w:val="002B31E8"/>
    <w:rsid w:val="002C18DB"/>
    <w:rsid w:val="002C63AD"/>
    <w:rsid w:val="002D0A63"/>
    <w:rsid w:val="002D3E24"/>
    <w:rsid w:val="002E0C16"/>
    <w:rsid w:val="002E2E3E"/>
    <w:rsid w:val="002E3C59"/>
    <w:rsid w:val="002E6149"/>
    <w:rsid w:val="002F4EB2"/>
    <w:rsid w:val="002F5AE2"/>
    <w:rsid w:val="003012EC"/>
    <w:rsid w:val="00302A53"/>
    <w:rsid w:val="0033559B"/>
    <w:rsid w:val="00345350"/>
    <w:rsid w:val="003479CD"/>
    <w:rsid w:val="00347B82"/>
    <w:rsid w:val="00347DAE"/>
    <w:rsid w:val="00355B4F"/>
    <w:rsid w:val="00360791"/>
    <w:rsid w:val="00361612"/>
    <w:rsid w:val="003722F0"/>
    <w:rsid w:val="003739D3"/>
    <w:rsid w:val="003805AD"/>
    <w:rsid w:val="00385ADF"/>
    <w:rsid w:val="003872DF"/>
    <w:rsid w:val="003900B1"/>
    <w:rsid w:val="003A0093"/>
    <w:rsid w:val="003A4354"/>
    <w:rsid w:val="003A6D76"/>
    <w:rsid w:val="003B12B7"/>
    <w:rsid w:val="003B2191"/>
    <w:rsid w:val="003B23F3"/>
    <w:rsid w:val="003B3D07"/>
    <w:rsid w:val="003B4226"/>
    <w:rsid w:val="003C1994"/>
    <w:rsid w:val="003C770B"/>
    <w:rsid w:val="003D5D0F"/>
    <w:rsid w:val="003D6D10"/>
    <w:rsid w:val="003E01A1"/>
    <w:rsid w:val="003E3B1F"/>
    <w:rsid w:val="003E467B"/>
    <w:rsid w:val="003E6AC9"/>
    <w:rsid w:val="003E7878"/>
    <w:rsid w:val="003F25C0"/>
    <w:rsid w:val="003F2F8C"/>
    <w:rsid w:val="003F3375"/>
    <w:rsid w:val="003F4EF7"/>
    <w:rsid w:val="003F7DCB"/>
    <w:rsid w:val="004079BD"/>
    <w:rsid w:val="0041439F"/>
    <w:rsid w:val="00422721"/>
    <w:rsid w:val="00422D7C"/>
    <w:rsid w:val="00423EFE"/>
    <w:rsid w:val="004438D1"/>
    <w:rsid w:val="00460B64"/>
    <w:rsid w:val="0046238C"/>
    <w:rsid w:val="0047247F"/>
    <w:rsid w:val="004763C3"/>
    <w:rsid w:val="00476939"/>
    <w:rsid w:val="00481852"/>
    <w:rsid w:val="00490345"/>
    <w:rsid w:val="004A049C"/>
    <w:rsid w:val="004A084D"/>
    <w:rsid w:val="004B3DCC"/>
    <w:rsid w:val="004B6BDD"/>
    <w:rsid w:val="004C0913"/>
    <w:rsid w:val="004D0DBA"/>
    <w:rsid w:val="004E0CF7"/>
    <w:rsid w:val="004E28C7"/>
    <w:rsid w:val="004E3356"/>
    <w:rsid w:val="004F170A"/>
    <w:rsid w:val="004F43EC"/>
    <w:rsid w:val="004F56CC"/>
    <w:rsid w:val="0050624E"/>
    <w:rsid w:val="00512507"/>
    <w:rsid w:val="005153C6"/>
    <w:rsid w:val="00533F4B"/>
    <w:rsid w:val="00543401"/>
    <w:rsid w:val="0055396E"/>
    <w:rsid w:val="005624BC"/>
    <w:rsid w:val="00562EAF"/>
    <w:rsid w:val="0058112B"/>
    <w:rsid w:val="0059031D"/>
    <w:rsid w:val="005970DB"/>
    <w:rsid w:val="005A3853"/>
    <w:rsid w:val="005A5EEE"/>
    <w:rsid w:val="005A6E91"/>
    <w:rsid w:val="005A72BE"/>
    <w:rsid w:val="005B29E2"/>
    <w:rsid w:val="005C12F9"/>
    <w:rsid w:val="005C4D71"/>
    <w:rsid w:val="005C50CD"/>
    <w:rsid w:val="005C5E36"/>
    <w:rsid w:val="005D3200"/>
    <w:rsid w:val="005F6BD2"/>
    <w:rsid w:val="006009BC"/>
    <w:rsid w:val="00607FB6"/>
    <w:rsid w:val="00611026"/>
    <w:rsid w:val="00614D62"/>
    <w:rsid w:val="00617682"/>
    <w:rsid w:val="006302B0"/>
    <w:rsid w:val="00630ACD"/>
    <w:rsid w:val="00632B5A"/>
    <w:rsid w:val="00635316"/>
    <w:rsid w:val="00635EF0"/>
    <w:rsid w:val="0064113D"/>
    <w:rsid w:val="00654EF3"/>
    <w:rsid w:val="00655575"/>
    <w:rsid w:val="00670047"/>
    <w:rsid w:val="0067012B"/>
    <w:rsid w:val="00672056"/>
    <w:rsid w:val="00672E45"/>
    <w:rsid w:val="00675588"/>
    <w:rsid w:val="00681A92"/>
    <w:rsid w:val="0068645D"/>
    <w:rsid w:val="006934E8"/>
    <w:rsid w:val="006A527B"/>
    <w:rsid w:val="006A611B"/>
    <w:rsid w:val="006B1E3C"/>
    <w:rsid w:val="006B2BAC"/>
    <w:rsid w:val="006B3AE2"/>
    <w:rsid w:val="006B4297"/>
    <w:rsid w:val="006B540F"/>
    <w:rsid w:val="006C56FB"/>
    <w:rsid w:val="006C63FA"/>
    <w:rsid w:val="006E0B26"/>
    <w:rsid w:val="006E177E"/>
    <w:rsid w:val="006E5E47"/>
    <w:rsid w:val="006E7D41"/>
    <w:rsid w:val="006F11CA"/>
    <w:rsid w:val="006F16CA"/>
    <w:rsid w:val="006F1EED"/>
    <w:rsid w:val="0070178D"/>
    <w:rsid w:val="007049B8"/>
    <w:rsid w:val="007200AD"/>
    <w:rsid w:val="00720384"/>
    <w:rsid w:val="00723156"/>
    <w:rsid w:val="007266D5"/>
    <w:rsid w:val="00735929"/>
    <w:rsid w:val="00735FB1"/>
    <w:rsid w:val="00746FCD"/>
    <w:rsid w:val="007517D4"/>
    <w:rsid w:val="00756903"/>
    <w:rsid w:val="0076118C"/>
    <w:rsid w:val="00763ADE"/>
    <w:rsid w:val="00767AC9"/>
    <w:rsid w:val="007871DF"/>
    <w:rsid w:val="00787626"/>
    <w:rsid w:val="0079114D"/>
    <w:rsid w:val="00791E82"/>
    <w:rsid w:val="00792ED7"/>
    <w:rsid w:val="00795002"/>
    <w:rsid w:val="007A620E"/>
    <w:rsid w:val="007A6308"/>
    <w:rsid w:val="007A73BD"/>
    <w:rsid w:val="007B304F"/>
    <w:rsid w:val="007B5C45"/>
    <w:rsid w:val="007B6D13"/>
    <w:rsid w:val="007C3815"/>
    <w:rsid w:val="007C6399"/>
    <w:rsid w:val="007C6FF1"/>
    <w:rsid w:val="007D722E"/>
    <w:rsid w:val="007D76D5"/>
    <w:rsid w:val="007F2FA5"/>
    <w:rsid w:val="00801181"/>
    <w:rsid w:val="00805D0F"/>
    <w:rsid w:val="00805E25"/>
    <w:rsid w:val="0081190F"/>
    <w:rsid w:val="00815E08"/>
    <w:rsid w:val="00817073"/>
    <w:rsid w:val="0082055F"/>
    <w:rsid w:val="00821A67"/>
    <w:rsid w:val="00821BA0"/>
    <w:rsid w:val="00822AB3"/>
    <w:rsid w:val="008267F1"/>
    <w:rsid w:val="00830031"/>
    <w:rsid w:val="00840E53"/>
    <w:rsid w:val="00845C3A"/>
    <w:rsid w:val="0084617F"/>
    <w:rsid w:val="0085266C"/>
    <w:rsid w:val="00855830"/>
    <w:rsid w:val="00863115"/>
    <w:rsid w:val="00870FA7"/>
    <w:rsid w:val="00875A1A"/>
    <w:rsid w:val="00876667"/>
    <w:rsid w:val="00876E9D"/>
    <w:rsid w:val="00877DA6"/>
    <w:rsid w:val="00883E7B"/>
    <w:rsid w:val="00884024"/>
    <w:rsid w:val="00885C90"/>
    <w:rsid w:val="008A256E"/>
    <w:rsid w:val="008C34B4"/>
    <w:rsid w:val="008C36E6"/>
    <w:rsid w:val="008C7227"/>
    <w:rsid w:val="008D11C3"/>
    <w:rsid w:val="008D28A6"/>
    <w:rsid w:val="008E3563"/>
    <w:rsid w:val="008E7DD4"/>
    <w:rsid w:val="008F0EA1"/>
    <w:rsid w:val="008F27DE"/>
    <w:rsid w:val="008F556A"/>
    <w:rsid w:val="008F6E38"/>
    <w:rsid w:val="00900F18"/>
    <w:rsid w:val="009017AE"/>
    <w:rsid w:val="00916ABC"/>
    <w:rsid w:val="0093028D"/>
    <w:rsid w:val="009343E5"/>
    <w:rsid w:val="00946FD5"/>
    <w:rsid w:val="0095170B"/>
    <w:rsid w:val="00952127"/>
    <w:rsid w:val="0095619D"/>
    <w:rsid w:val="00957054"/>
    <w:rsid w:val="00957B8D"/>
    <w:rsid w:val="00965B9D"/>
    <w:rsid w:val="00967D4A"/>
    <w:rsid w:val="00973A82"/>
    <w:rsid w:val="009777F3"/>
    <w:rsid w:val="0098404B"/>
    <w:rsid w:val="00984D78"/>
    <w:rsid w:val="009A24C3"/>
    <w:rsid w:val="009B01B5"/>
    <w:rsid w:val="009B19E2"/>
    <w:rsid w:val="009B30AD"/>
    <w:rsid w:val="009B764B"/>
    <w:rsid w:val="009D17AD"/>
    <w:rsid w:val="009D73E0"/>
    <w:rsid w:val="009E0C43"/>
    <w:rsid w:val="009E26E9"/>
    <w:rsid w:val="009E46F1"/>
    <w:rsid w:val="009E562E"/>
    <w:rsid w:val="009E6E9F"/>
    <w:rsid w:val="009F103D"/>
    <w:rsid w:val="009F464B"/>
    <w:rsid w:val="009F7DD0"/>
    <w:rsid w:val="00A10843"/>
    <w:rsid w:val="00A11C53"/>
    <w:rsid w:val="00A133A1"/>
    <w:rsid w:val="00A21DC3"/>
    <w:rsid w:val="00A23278"/>
    <w:rsid w:val="00A36804"/>
    <w:rsid w:val="00A42B74"/>
    <w:rsid w:val="00A57204"/>
    <w:rsid w:val="00A621A6"/>
    <w:rsid w:val="00A6552D"/>
    <w:rsid w:val="00A661D6"/>
    <w:rsid w:val="00A6630B"/>
    <w:rsid w:val="00A71B45"/>
    <w:rsid w:val="00A8183A"/>
    <w:rsid w:val="00A83A63"/>
    <w:rsid w:val="00A84C7A"/>
    <w:rsid w:val="00A86E60"/>
    <w:rsid w:val="00A87865"/>
    <w:rsid w:val="00A90948"/>
    <w:rsid w:val="00A916C6"/>
    <w:rsid w:val="00AA26CB"/>
    <w:rsid w:val="00AA2E1F"/>
    <w:rsid w:val="00AB3176"/>
    <w:rsid w:val="00AB629E"/>
    <w:rsid w:val="00AB6EB1"/>
    <w:rsid w:val="00AC06BE"/>
    <w:rsid w:val="00AC4831"/>
    <w:rsid w:val="00AD0A5D"/>
    <w:rsid w:val="00AE594E"/>
    <w:rsid w:val="00B00059"/>
    <w:rsid w:val="00B00F86"/>
    <w:rsid w:val="00B05CFC"/>
    <w:rsid w:val="00B06D90"/>
    <w:rsid w:val="00B247C3"/>
    <w:rsid w:val="00B25D9A"/>
    <w:rsid w:val="00B35C27"/>
    <w:rsid w:val="00B362EA"/>
    <w:rsid w:val="00B4415F"/>
    <w:rsid w:val="00B47E54"/>
    <w:rsid w:val="00B54EDF"/>
    <w:rsid w:val="00B561BD"/>
    <w:rsid w:val="00B57823"/>
    <w:rsid w:val="00B64B20"/>
    <w:rsid w:val="00B66F50"/>
    <w:rsid w:val="00B672B5"/>
    <w:rsid w:val="00B676C3"/>
    <w:rsid w:val="00B7181D"/>
    <w:rsid w:val="00B722A6"/>
    <w:rsid w:val="00B75474"/>
    <w:rsid w:val="00B76515"/>
    <w:rsid w:val="00B776F8"/>
    <w:rsid w:val="00B779BB"/>
    <w:rsid w:val="00B81DBB"/>
    <w:rsid w:val="00B87010"/>
    <w:rsid w:val="00B9156F"/>
    <w:rsid w:val="00BA1446"/>
    <w:rsid w:val="00BA4950"/>
    <w:rsid w:val="00BA4C17"/>
    <w:rsid w:val="00BB5D1B"/>
    <w:rsid w:val="00BC5BFF"/>
    <w:rsid w:val="00BD0950"/>
    <w:rsid w:val="00BD36CD"/>
    <w:rsid w:val="00BE056D"/>
    <w:rsid w:val="00BE06B5"/>
    <w:rsid w:val="00BE0D07"/>
    <w:rsid w:val="00BE4FC7"/>
    <w:rsid w:val="00BE6A07"/>
    <w:rsid w:val="00BE72AD"/>
    <w:rsid w:val="00BE7450"/>
    <w:rsid w:val="00BF014F"/>
    <w:rsid w:val="00BF0ED5"/>
    <w:rsid w:val="00BF43A7"/>
    <w:rsid w:val="00C03279"/>
    <w:rsid w:val="00C0546D"/>
    <w:rsid w:val="00C11983"/>
    <w:rsid w:val="00C24EAF"/>
    <w:rsid w:val="00C257E9"/>
    <w:rsid w:val="00C27AA7"/>
    <w:rsid w:val="00C31E8A"/>
    <w:rsid w:val="00C333A7"/>
    <w:rsid w:val="00C34151"/>
    <w:rsid w:val="00C35F8B"/>
    <w:rsid w:val="00C37CBD"/>
    <w:rsid w:val="00C47004"/>
    <w:rsid w:val="00C567D1"/>
    <w:rsid w:val="00C63202"/>
    <w:rsid w:val="00C70449"/>
    <w:rsid w:val="00C80923"/>
    <w:rsid w:val="00C952A6"/>
    <w:rsid w:val="00CA59C1"/>
    <w:rsid w:val="00CA5AF0"/>
    <w:rsid w:val="00CB1A5B"/>
    <w:rsid w:val="00CB1AB7"/>
    <w:rsid w:val="00CC0477"/>
    <w:rsid w:val="00CD2200"/>
    <w:rsid w:val="00CD30CD"/>
    <w:rsid w:val="00CD6865"/>
    <w:rsid w:val="00CE2D77"/>
    <w:rsid w:val="00CE2EF7"/>
    <w:rsid w:val="00CF1033"/>
    <w:rsid w:val="00CF2935"/>
    <w:rsid w:val="00CF344B"/>
    <w:rsid w:val="00CF3D9A"/>
    <w:rsid w:val="00CF6024"/>
    <w:rsid w:val="00D10432"/>
    <w:rsid w:val="00D10B16"/>
    <w:rsid w:val="00D179A8"/>
    <w:rsid w:val="00D2402D"/>
    <w:rsid w:val="00D30DF4"/>
    <w:rsid w:val="00D3441B"/>
    <w:rsid w:val="00D34427"/>
    <w:rsid w:val="00D366B7"/>
    <w:rsid w:val="00D66D72"/>
    <w:rsid w:val="00D7229A"/>
    <w:rsid w:val="00D740F8"/>
    <w:rsid w:val="00D80395"/>
    <w:rsid w:val="00D81D14"/>
    <w:rsid w:val="00D82603"/>
    <w:rsid w:val="00D82A5A"/>
    <w:rsid w:val="00D82FD7"/>
    <w:rsid w:val="00D850BD"/>
    <w:rsid w:val="00D90EB7"/>
    <w:rsid w:val="00D93C83"/>
    <w:rsid w:val="00D949C0"/>
    <w:rsid w:val="00DA642C"/>
    <w:rsid w:val="00DA68C3"/>
    <w:rsid w:val="00DC1332"/>
    <w:rsid w:val="00DC3042"/>
    <w:rsid w:val="00DC424F"/>
    <w:rsid w:val="00DD10F7"/>
    <w:rsid w:val="00DE4080"/>
    <w:rsid w:val="00DF6298"/>
    <w:rsid w:val="00E01F01"/>
    <w:rsid w:val="00E028F9"/>
    <w:rsid w:val="00E1056D"/>
    <w:rsid w:val="00E16AE9"/>
    <w:rsid w:val="00E2344D"/>
    <w:rsid w:val="00E255D7"/>
    <w:rsid w:val="00E30AA8"/>
    <w:rsid w:val="00E310F4"/>
    <w:rsid w:val="00E31DD2"/>
    <w:rsid w:val="00E31FD4"/>
    <w:rsid w:val="00E33588"/>
    <w:rsid w:val="00E34AFC"/>
    <w:rsid w:val="00E4507A"/>
    <w:rsid w:val="00E462B2"/>
    <w:rsid w:val="00E54A3A"/>
    <w:rsid w:val="00E5712E"/>
    <w:rsid w:val="00E57855"/>
    <w:rsid w:val="00E61F3F"/>
    <w:rsid w:val="00E6242E"/>
    <w:rsid w:val="00E624AA"/>
    <w:rsid w:val="00E62A02"/>
    <w:rsid w:val="00E77E35"/>
    <w:rsid w:val="00E828E7"/>
    <w:rsid w:val="00E9688B"/>
    <w:rsid w:val="00EA1457"/>
    <w:rsid w:val="00EA6743"/>
    <w:rsid w:val="00EB5091"/>
    <w:rsid w:val="00EB66D3"/>
    <w:rsid w:val="00EC0CCC"/>
    <w:rsid w:val="00EC4A4F"/>
    <w:rsid w:val="00ED28B4"/>
    <w:rsid w:val="00ED53FA"/>
    <w:rsid w:val="00ED5837"/>
    <w:rsid w:val="00EE151E"/>
    <w:rsid w:val="00EE72F8"/>
    <w:rsid w:val="00EF0612"/>
    <w:rsid w:val="00EF6D27"/>
    <w:rsid w:val="00F0377C"/>
    <w:rsid w:val="00F075B3"/>
    <w:rsid w:val="00F12C1E"/>
    <w:rsid w:val="00F17F5E"/>
    <w:rsid w:val="00F20195"/>
    <w:rsid w:val="00F2044E"/>
    <w:rsid w:val="00F241B8"/>
    <w:rsid w:val="00F3256B"/>
    <w:rsid w:val="00F33A9D"/>
    <w:rsid w:val="00F366C1"/>
    <w:rsid w:val="00F4144B"/>
    <w:rsid w:val="00F425AD"/>
    <w:rsid w:val="00F471A4"/>
    <w:rsid w:val="00F62956"/>
    <w:rsid w:val="00F62C05"/>
    <w:rsid w:val="00F636C2"/>
    <w:rsid w:val="00F751D9"/>
    <w:rsid w:val="00F80B47"/>
    <w:rsid w:val="00F81A8B"/>
    <w:rsid w:val="00F85C79"/>
    <w:rsid w:val="00F8673D"/>
    <w:rsid w:val="00F86B4B"/>
    <w:rsid w:val="00F90ED4"/>
    <w:rsid w:val="00F9393D"/>
    <w:rsid w:val="00F93D21"/>
    <w:rsid w:val="00F9482C"/>
    <w:rsid w:val="00FA096C"/>
    <w:rsid w:val="00FA3202"/>
    <w:rsid w:val="00FA699C"/>
    <w:rsid w:val="00FB0C2E"/>
    <w:rsid w:val="00FB1318"/>
    <w:rsid w:val="00FC3B05"/>
    <w:rsid w:val="00FD020F"/>
    <w:rsid w:val="00FD48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pPr>
      <w:tabs>
        <w:tab w:val="left" w:pos="1260"/>
        <w:tab w:val="left" w:pos="1980"/>
        <w:tab w:val="left" w:pos="2700"/>
        <w:tab w:val="left" w:pos="3420"/>
      </w:tabs>
      <w:jc w:val="both"/>
    </w:pPr>
    <w:rPr>
      <w:rFonts w:ascii="Arial" w:hAnsi="Arial"/>
      <w:szCs w:val="20"/>
    </w:rPr>
  </w:style>
  <w:style w:type="paragraph" w:styleId="Heading1">
    <w:name w:val="heading 1"/>
    <w:basedOn w:val="Normal"/>
    <w:next w:val="Normal"/>
    <w:link w:val="Heading1Char"/>
    <w:uiPriority w:val="99"/>
    <w:qFormat/>
    <w:rsid w:val="00821A67"/>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uiPriority w:val="99"/>
    <w:qFormat/>
    <w:rsid w:val="00821A67"/>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uiPriority w:val="99"/>
    <w:qFormat/>
    <w:rsid w:val="00821A67"/>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uiPriority w:val="99"/>
    <w:qFormat/>
    <w:rsid w:val="00821A67"/>
    <w:pPr>
      <w:keepNext/>
      <w:ind w:left="1276" w:hanging="1276"/>
      <w:outlineLvl w:val="3"/>
    </w:pPr>
    <w:rPr>
      <w:i/>
      <w:color w:val="FF0000"/>
    </w:rPr>
  </w:style>
  <w:style w:type="paragraph" w:styleId="Heading5">
    <w:name w:val="heading 5"/>
    <w:basedOn w:val="Normal"/>
    <w:next w:val="Normal"/>
    <w:link w:val="Heading5Char"/>
    <w:uiPriority w:val="99"/>
    <w:qFormat/>
    <w:rsid w:val="00821A67"/>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60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60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60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603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821A67"/>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uiPriority w:val="99"/>
    <w:semiHidden/>
    <w:rsid w:val="00F4603B"/>
    <w:rPr>
      <w:rFonts w:ascii="Arial" w:hAnsi="Arial"/>
      <w:szCs w:val="20"/>
    </w:rPr>
  </w:style>
  <w:style w:type="paragraph" w:styleId="Footer">
    <w:name w:val="footer"/>
    <w:basedOn w:val="Normal"/>
    <w:link w:val="FooterChar"/>
    <w:uiPriority w:val="99"/>
    <w:rsid w:val="00821A67"/>
    <w:pPr>
      <w:tabs>
        <w:tab w:val="center" w:pos="4153"/>
        <w:tab w:val="right" w:pos="8306"/>
      </w:tabs>
    </w:pPr>
  </w:style>
  <w:style w:type="character" w:customStyle="1" w:styleId="FooterChar">
    <w:name w:val="Footer Char"/>
    <w:basedOn w:val="DefaultParagraphFont"/>
    <w:link w:val="Footer"/>
    <w:uiPriority w:val="99"/>
    <w:semiHidden/>
    <w:rsid w:val="00F4603B"/>
    <w:rPr>
      <w:rFonts w:ascii="Arial" w:hAnsi="Arial"/>
      <w:szCs w:val="20"/>
    </w:rPr>
  </w:style>
  <w:style w:type="character" w:styleId="PageNumber">
    <w:name w:val="page number"/>
    <w:basedOn w:val="DefaultParagraphFont"/>
    <w:uiPriority w:val="99"/>
    <w:rsid w:val="00821A67"/>
    <w:rPr>
      <w:rFonts w:ascii="Arial" w:hAnsi="Arial" w:cs="Times New Roman"/>
      <w:sz w:val="22"/>
    </w:rPr>
  </w:style>
  <w:style w:type="paragraph" w:styleId="BodyTextIndent">
    <w:name w:val="Body Text Indent"/>
    <w:basedOn w:val="Normal"/>
    <w:link w:val="BodyTextIndentChar"/>
    <w:uiPriority w:val="99"/>
    <w:rsid w:val="00821A67"/>
    <w:pPr>
      <w:ind w:left="1276" w:hanging="1276"/>
    </w:pPr>
  </w:style>
  <w:style w:type="character" w:customStyle="1" w:styleId="BodyTextIndentChar">
    <w:name w:val="Body Text Indent Char"/>
    <w:basedOn w:val="DefaultParagraphFont"/>
    <w:link w:val="BodyTextIndent"/>
    <w:uiPriority w:val="99"/>
    <w:semiHidden/>
    <w:rsid w:val="00F4603B"/>
    <w:rPr>
      <w:rFonts w:ascii="Arial" w:hAnsi="Arial"/>
      <w:szCs w:val="20"/>
    </w:rPr>
  </w:style>
  <w:style w:type="paragraph" w:styleId="BodyTextIndent2">
    <w:name w:val="Body Text Indent 2"/>
    <w:basedOn w:val="Normal"/>
    <w:link w:val="BodyTextIndent2Char"/>
    <w:uiPriority w:val="99"/>
    <w:rsid w:val="00821A67"/>
    <w:pPr>
      <w:ind w:left="2707" w:hanging="2707"/>
    </w:pPr>
  </w:style>
  <w:style w:type="character" w:customStyle="1" w:styleId="BodyTextIndent2Char">
    <w:name w:val="Body Text Indent 2 Char"/>
    <w:basedOn w:val="DefaultParagraphFont"/>
    <w:link w:val="BodyTextIndent2"/>
    <w:uiPriority w:val="99"/>
    <w:semiHidden/>
    <w:rsid w:val="00F4603B"/>
    <w:rPr>
      <w:rFonts w:ascii="Arial" w:hAnsi="Arial"/>
      <w:szCs w:val="20"/>
    </w:rPr>
  </w:style>
  <w:style w:type="paragraph" w:styleId="BodyTextIndent3">
    <w:name w:val="Body Text Indent 3"/>
    <w:basedOn w:val="Normal"/>
    <w:link w:val="BodyTextIndent3Char"/>
    <w:uiPriority w:val="99"/>
    <w:rsid w:val="00821A67"/>
    <w:pPr>
      <w:ind w:left="1276" w:hanging="1276"/>
    </w:pPr>
    <w:rPr>
      <w:i/>
      <w:color w:val="FF0000"/>
    </w:rPr>
  </w:style>
  <w:style w:type="character" w:customStyle="1" w:styleId="BodyTextIndent3Char">
    <w:name w:val="Body Text Indent 3 Char"/>
    <w:basedOn w:val="DefaultParagraphFont"/>
    <w:link w:val="BodyTextIndent3"/>
    <w:uiPriority w:val="99"/>
    <w:semiHidden/>
    <w:rsid w:val="00F4603B"/>
    <w:rPr>
      <w:rFonts w:ascii="Arial" w:hAnsi="Arial"/>
      <w:sz w:val="16"/>
      <w:szCs w:val="16"/>
    </w:rPr>
  </w:style>
  <w:style w:type="paragraph" w:styleId="BalloonText">
    <w:name w:val="Balloon Text"/>
    <w:basedOn w:val="Normal"/>
    <w:link w:val="BalloonTextChar"/>
    <w:uiPriority w:val="99"/>
    <w:semiHidden/>
    <w:rsid w:val="00821A67"/>
    <w:rPr>
      <w:rFonts w:ascii="Tahoma" w:hAnsi="Tahoma" w:cs="Tahoma"/>
      <w:sz w:val="16"/>
      <w:szCs w:val="16"/>
    </w:rPr>
  </w:style>
  <w:style w:type="character" w:customStyle="1" w:styleId="BalloonTextChar">
    <w:name w:val="Balloon Text Char"/>
    <w:basedOn w:val="DefaultParagraphFont"/>
    <w:link w:val="BalloonText"/>
    <w:uiPriority w:val="99"/>
    <w:semiHidden/>
    <w:rsid w:val="00F4603B"/>
    <w:rPr>
      <w:sz w:val="0"/>
      <w:szCs w:val="0"/>
    </w:rPr>
  </w:style>
  <w:style w:type="table" w:styleId="TableGrid">
    <w:name w:val="Table Grid"/>
    <w:basedOn w:val="TableNormal"/>
    <w:uiPriority w:val="99"/>
    <w:rsid w:val="00821A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D9A"/>
    <w:rPr>
      <w:rFonts w:cs="Times New Roman"/>
      <w:color w:val="0000FF"/>
      <w:u w:val="single"/>
    </w:rPr>
  </w:style>
  <w:style w:type="character" w:styleId="FollowedHyperlink">
    <w:name w:val="FollowedHyperlink"/>
    <w:basedOn w:val="DefaultParagraphFont"/>
    <w:uiPriority w:val="99"/>
    <w:rsid w:val="00F3256B"/>
    <w:rPr>
      <w:rFonts w:cs="Times New Roman"/>
      <w:color w:val="0000FF"/>
      <w:u w:val="single"/>
    </w:rPr>
  </w:style>
  <w:style w:type="paragraph" w:customStyle="1" w:styleId="paragraphstyle3">
    <w:name w:val="paragraph_style_3"/>
    <w:basedOn w:val="Normal"/>
    <w:uiPriority w:val="99"/>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99"/>
    <w:qFormat/>
    <w:rsid w:val="00543401"/>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A67"/>
    <w:pPr>
      <w:tabs>
        <w:tab w:val="left" w:pos="1260"/>
        <w:tab w:val="left" w:pos="1980"/>
        <w:tab w:val="left" w:pos="2700"/>
        <w:tab w:val="left" w:pos="3420"/>
      </w:tabs>
      <w:jc w:val="both"/>
    </w:pPr>
    <w:rPr>
      <w:rFonts w:ascii="Arial" w:hAnsi="Arial"/>
      <w:szCs w:val="20"/>
    </w:rPr>
  </w:style>
  <w:style w:type="paragraph" w:styleId="Heading1">
    <w:name w:val="heading 1"/>
    <w:basedOn w:val="Normal"/>
    <w:next w:val="Normal"/>
    <w:link w:val="Heading1Char"/>
    <w:uiPriority w:val="99"/>
    <w:qFormat/>
    <w:rsid w:val="00821A67"/>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link w:val="Heading2Char"/>
    <w:uiPriority w:val="99"/>
    <w:qFormat/>
    <w:rsid w:val="00821A67"/>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link w:val="Heading3Char"/>
    <w:uiPriority w:val="99"/>
    <w:qFormat/>
    <w:rsid w:val="00821A67"/>
    <w:pPr>
      <w:tabs>
        <w:tab w:val="clear" w:pos="1260"/>
        <w:tab w:val="clear" w:pos="1980"/>
        <w:tab w:val="clear" w:pos="2700"/>
        <w:tab w:val="left" w:pos="1267"/>
        <w:tab w:val="left" w:pos="1987"/>
        <w:tab w:val="left" w:pos="2707"/>
        <w:tab w:val="left" w:pos="3672"/>
      </w:tabs>
      <w:outlineLvl w:val="2"/>
    </w:pPr>
  </w:style>
  <w:style w:type="paragraph" w:styleId="Heading4">
    <w:name w:val="heading 4"/>
    <w:basedOn w:val="Normal"/>
    <w:next w:val="Normal"/>
    <w:link w:val="Heading4Char"/>
    <w:uiPriority w:val="99"/>
    <w:qFormat/>
    <w:rsid w:val="00821A67"/>
    <w:pPr>
      <w:keepNext/>
      <w:ind w:left="1276" w:hanging="1276"/>
      <w:outlineLvl w:val="3"/>
    </w:pPr>
    <w:rPr>
      <w:i/>
      <w:color w:val="FF0000"/>
    </w:rPr>
  </w:style>
  <w:style w:type="paragraph" w:styleId="Heading5">
    <w:name w:val="heading 5"/>
    <w:basedOn w:val="Normal"/>
    <w:next w:val="Normal"/>
    <w:link w:val="Heading5Char"/>
    <w:uiPriority w:val="99"/>
    <w:qFormat/>
    <w:rsid w:val="00821A67"/>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03B"/>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F4603B"/>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F4603B"/>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F4603B"/>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F4603B"/>
    <w:rPr>
      <w:rFonts w:asciiTheme="minorHAnsi" w:eastAsiaTheme="minorEastAsia" w:hAnsiTheme="minorHAnsi" w:cstheme="minorBidi"/>
      <w:b/>
      <w:bCs/>
      <w:i/>
      <w:iCs/>
      <w:sz w:val="26"/>
      <w:szCs w:val="26"/>
    </w:rPr>
  </w:style>
  <w:style w:type="paragraph" w:styleId="Header">
    <w:name w:val="header"/>
    <w:basedOn w:val="Normal"/>
    <w:link w:val="HeaderChar"/>
    <w:uiPriority w:val="99"/>
    <w:rsid w:val="00821A67"/>
    <w:pPr>
      <w:tabs>
        <w:tab w:val="clear" w:pos="1260"/>
        <w:tab w:val="clear" w:pos="1980"/>
        <w:tab w:val="clear" w:pos="2700"/>
        <w:tab w:val="clear" w:pos="3420"/>
        <w:tab w:val="center" w:pos="4153"/>
        <w:tab w:val="right" w:pos="8306"/>
      </w:tabs>
    </w:pPr>
  </w:style>
  <w:style w:type="character" w:customStyle="1" w:styleId="HeaderChar">
    <w:name w:val="Header Char"/>
    <w:basedOn w:val="DefaultParagraphFont"/>
    <w:link w:val="Header"/>
    <w:uiPriority w:val="99"/>
    <w:semiHidden/>
    <w:rsid w:val="00F4603B"/>
    <w:rPr>
      <w:rFonts w:ascii="Arial" w:hAnsi="Arial"/>
      <w:szCs w:val="20"/>
    </w:rPr>
  </w:style>
  <w:style w:type="paragraph" w:styleId="Footer">
    <w:name w:val="footer"/>
    <w:basedOn w:val="Normal"/>
    <w:link w:val="FooterChar"/>
    <w:uiPriority w:val="99"/>
    <w:rsid w:val="00821A67"/>
    <w:pPr>
      <w:tabs>
        <w:tab w:val="center" w:pos="4153"/>
        <w:tab w:val="right" w:pos="8306"/>
      </w:tabs>
    </w:pPr>
  </w:style>
  <w:style w:type="character" w:customStyle="1" w:styleId="FooterChar">
    <w:name w:val="Footer Char"/>
    <w:basedOn w:val="DefaultParagraphFont"/>
    <w:link w:val="Footer"/>
    <w:uiPriority w:val="99"/>
    <w:semiHidden/>
    <w:rsid w:val="00F4603B"/>
    <w:rPr>
      <w:rFonts w:ascii="Arial" w:hAnsi="Arial"/>
      <w:szCs w:val="20"/>
    </w:rPr>
  </w:style>
  <w:style w:type="character" w:styleId="PageNumber">
    <w:name w:val="page number"/>
    <w:basedOn w:val="DefaultParagraphFont"/>
    <w:uiPriority w:val="99"/>
    <w:rsid w:val="00821A67"/>
    <w:rPr>
      <w:rFonts w:ascii="Arial" w:hAnsi="Arial" w:cs="Times New Roman"/>
      <w:sz w:val="22"/>
    </w:rPr>
  </w:style>
  <w:style w:type="paragraph" w:styleId="BodyTextIndent">
    <w:name w:val="Body Text Indent"/>
    <w:basedOn w:val="Normal"/>
    <w:link w:val="BodyTextIndentChar"/>
    <w:uiPriority w:val="99"/>
    <w:rsid w:val="00821A67"/>
    <w:pPr>
      <w:ind w:left="1276" w:hanging="1276"/>
    </w:pPr>
  </w:style>
  <w:style w:type="character" w:customStyle="1" w:styleId="BodyTextIndentChar">
    <w:name w:val="Body Text Indent Char"/>
    <w:basedOn w:val="DefaultParagraphFont"/>
    <w:link w:val="BodyTextIndent"/>
    <w:uiPriority w:val="99"/>
    <w:semiHidden/>
    <w:rsid w:val="00F4603B"/>
    <w:rPr>
      <w:rFonts w:ascii="Arial" w:hAnsi="Arial"/>
      <w:szCs w:val="20"/>
    </w:rPr>
  </w:style>
  <w:style w:type="paragraph" w:styleId="BodyTextIndent2">
    <w:name w:val="Body Text Indent 2"/>
    <w:basedOn w:val="Normal"/>
    <w:link w:val="BodyTextIndent2Char"/>
    <w:uiPriority w:val="99"/>
    <w:rsid w:val="00821A67"/>
    <w:pPr>
      <w:ind w:left="2707" w:hanging="2707"/>
    </w:pPr>
  </w:style>
  <w:style w:type="character" w:customStyle="1" w:styleId="BodyTextIndent2Char">
    <w:name w:val="Body Text Indent 2 Char"/>
    <w:basedOn w:val="DefaultParagraphFont"/>
    <w:link w:val="BodyTextIndent2"/>
    <w:uiPriority w:val="99"/>
    <w:semiHidden/>
    <w:rsid w:val="00F4603B"/>
    <w:rPr>
      <w:rFonts w:ascii="Arial" w:hAnsi="Arial"/>
      <w:szCs w:val="20"/>
    </w:rPr>
  </w:style>
  <w:style w:type="paragraph" w:styleId="BodyTextIndent3">
    <w:name w:val="Body Text Indent 3"/>
    <w:basedOn w:val="Normal"/>
    <w:link w:val="BodyTextIndent3Char"/>
    <w:uiPriority w:val="99"/>
    <w:rsid w:val="00821A67"/>
    <w:pPr>
      <w:ind w:left="1276" w:hanging="1276"/>
    </w:pPr>
    <w:rPr>
      <w:i/>
      <w:color w:val="FF0000"/>
    </w:rPr>
  </w:style>
  <w:style w:type="character" w:customStyle="1" w:styleId="BodyTextIndent3Char">
    <w:name w:val="Body Text Indent 3 Char"/>
    <w:basedOn w:val="DefaultParagraphFont"/>
    <w:link w:val="BodyTextIndent3"/>
    <w:uiPriority w:val="99"/>
    <w:semiHidden/>
    <w:rsid w:val="00F4603B"/>
    <w:rPr>
      <w:rFonts w:ascii="Arial" w:hAnsi="Arial"/>
      <w:sz w:val="16"/>
      <w:szCs w:val="16"/>
    </w:rPr>
  </w:style>
  <w:style w:type="paragraph" w:styleId="BalloonText">
    <w:name w:val="Balloon Text"/>
    <w:basedOn w:val="Normal"/>
    <w:link w:val="BalloonTextChar"/>
    <w:uiPriority w:val="99"/>
    <w:semiHidden/>
    <w:rsid w:val="00821A67"/>
    <w:rPr>
      <w:rFonts w:ascii="Tahoma" w:hAnsi="Tahoma" w:cs="Tahoma"/>
      <w:sz w:val="16"/>
      <w:szCs w:val="16"/>
    </w:rPr>
  </w:style>
  <w:style w:type="character" w:customStyle="1" w:styleId="BalloonTextChar">
    <w:name w:val="Balloon Text Char"/>
    <w:basedOn w:val="DefaultParagraphFont"/>
    <w:link w:val="BalloonText"/>
    <w:uiPriority w:val="99"/>
    <w:semiHidden/>
    <w:rsid w:val="00F4603B"/>
    <w:rPr>
      <w:sz w:val="0"/>
      <w:szCs w:val="0"/>
    </w:rPr>
  </w:style>
  <w:style w:type="table" w:styleId="TableGrid">
    <w:name w:val="Table Grid"/>
    <w:basedOn w:val="TableNormal"/>
    <w:uiPriority w:val="99"/>
    <w:rsid w:val="00821A67"/>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F3D9A"/>
    <w:rPr>
      <w:rFonts w:cs="Times New Roman"/>
      <w:color w:val="0000FF"/>
      <w:u w:val="single"/>
    </w:rPr>
  </w:style>
  <w:style w:type="character" w:styleId="FollowedHyperlink">
    <w:name w:val="FollowedHyperlink"/>
    <w:basedOn w:val="DefaultParagraphFont"/>
    <w:uiPriority w:val="99"/>
    <w:rsid w:val="00F3256B"/>
    <w:rPr>
      <w:rFonts w:cs="Times New Roman"/>
      <w:color w:val="0000FF"/>
      <w:u w:val="single"/>
    </w:rPr>
  </w:style>
  <w:style w:type="paragraph" w:customStyle="1" w:styleId="paragraphstyle3">
    <w:name w:val="paragraph_style_3"/>
    <w:basedOn w:val="Normal"/>
    <w:uiPriority w:val="99"/>
    <w:rsid w:val="00CE2EF7"/>
    <w:pPr>
      <w:tabs>
        <w:tab w:val="clear" w:pos="1260"/>
        <w:tab w:val="clear" w:pos="1980"/>
        <w:tab w:val="clear" w:pos="2700"/>
        <w:tab w:val="clear" w:pos="3420"/>
      </w:tabs>
      <w:spacing w:line="240" w:lineRule="atLeast"/>
    </w:pPr>
    <w:rPr>
      <w:rFonts w:ascii="Times New Roman" w:hAnsi="Times New Roman"/>
      <w:color w:val="000000"/>
      <w:sz w:val="21"/>
      <w:szCs w:val="21"/>
    </w:rPr>
  </w:style>
  <w:style w:type="paragraph" w:styleId="ListParagraph">
    <w:name w:val="List Paragraph"/>
    <w:basedOn w:val="Normal"/>
    <w:uiPriority w:val="99"/>
    <w:qFormat/>
    <w:rsid w:val="00543401"/>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9536331">
      <w:marLeft w:val="0"/>
      <w:marRight w:val="0"/>
      <w:marTop w:val="0"/>
      <w:marBottom w:val="0"/>
      <w:divBdr>
        <w:top w:val="none" w:sz="0" w:space="0" w:color="auto"/>
        <w:left w:val="none" w:sz="0" w:space="0" w:color="auto"/>
        <w:bottom w:val="none" w:sz="0" w:space="0" w:color="auto"/>
        <w:right w:val="none" w:sz="0" w:space="0" w:color="auto"/>
      </w:divBdr>
    </w:div>
    <w:div w:id="279536332">
      <w:marLeft w:val="0"/>
      <w:marRight w:val="0"/>
      <w:marTop w:val="0"/>
      <w:marBottom w:val="0"/>
      <w:divBdr>
        <w:top w:val="none" w:sz="0" w:space="0" w:color="auto"/>
        <w:left w:val="none" w:sz="0" w:space="0" w:color="auto"/>
        <w:bottom w:val="none" w:sz="0" w:space="0" w:color="auto"/>
        <w:right w:val="none" w:sz="0" w:space="0" w:color="auto"/>
      </w:divBdr>
    </w:div>
    <w:div w:id="279536333">
      <w:marLeft w:val="0"/>
      <w:marRight w:val="0"/>
      <w:marTop w:val="0"/>
      <w:marBottom w:val="0"/>
      <w:divBdr>
        <w:top w:val="none" w:sz="0" w:space="0" w:color="auto"/>
        <w:left w:val="none" w:sz="0" w:space="0" w:color="auto"/>
        <w:bottom w:val="none" w:sz="0" w:space="0" w:color="auto"/>
        <w:right w:val="none" w:sz="0" w:space="0" w:color="auto"/>
      </w:divBdr>
    </w:div>
    <w:div w:id="279536336">
      <w:marLeft w:val="0"/>
      <w:marRight w:val="0"/>
      <w:marTop w:val="0"/>
      <w:marBottom w:val="0"/>
      <w:divBdr>
        <w:top w:val="none" w:sz="0" w:space="0" w:color="auto"/>
        <w:left w:val="none" w:sz="0" w:space="0" w:color="auto"/>
        <w:bottom w:val="none" w:sz="0" w:space="0" w:color="auto"/>
        <w:right w:val="none" w:sz="0" w:space="0" w:color="auto"/>
      </w:divBdr>
    </w:div>
    <w:div w:id="279536337">
      <w:marLeft w:val="0"/>
      <w:marRight w:val="0"/>
      <w:marTop w:val="0"/>
      <w:marBottom w:val="0"/>
      <w:divBdr>
        <w:top w:val="none" w:sz="0" w:space="0" w:color="auto"/>
        <w:left w:val="none" w:sz="0" w:space="0" w:color="auto"/>
        <w:bottom w:val="none" w:sz="0" w:space="0" w:color="auto"/>
        <w:right w:val="none" w:sz="0" w:space="0" w:color="auto"/>
      </w:divBdr>
    </w:div>
    <w:div w:id="279536338">
      <w:marLeft w:val="0"/>
      <w:marRight w:val="0"/>
      <w:marTop w:val="0"/>
      <w:marBottom w:val="0"/>
      <w:divBdr>
        <w:top w:val="none" w:sz="0" w:space="0" w:color="auto"/>
        <w:left w:val="none" w:sz="0" w:space="0" w:color="auto"/>
        <w:bottom w:val="none" w:sz="0" w:space="0" w:color="auto"/>
        <w:right w:val="none" w:sz="0" w:space="0" w:color="auto"/>
      </w:divBdr>
    </w:div>
    <w:div w:id="279536339">
      <w:marLeft w:val="0"/>
      <w:marRight w:val="0"/>
      <w:marTop w:val="0"/>
      <w:marBottom w:val="0"/>
      <w:divBdr>
        <w:top w:val="none" w:sz="0" w:space="0" w:color="auto"/>
        <w:left w:val="none" w:sz="0" w:space="0" w:color="auto"/>
        <w:bottom w:val="none" w:sz="0" w:space="0" w:color="auto"/>
        <w:right w:val="none" w:sz="0" w:space="0" w:color="auto"/>
      </w:divBdr>
    </w:div>
    <w:div w:id="279536340">
      <w:marLeft w:val="0"/>
      <w:marRight w:val="0"/>
      <w:marTop w:val="0"/>
      <w:marBottom w:val="0"/>
      <w:divBdr>
        <w:top w:val="none" w:sz="0" w:space="0" w:color="auto"/>
        <w:left w:val="none" w:sz="0" w:space="0" w:color="auto"/>
        <w:bottom w:val="none" w:sz="0" w:space="0" w:color="auto"/>
        <w:right w:val="none" w:sz="0" w:space="0" w:color="auto"/>
      </w:divBdr>
    </w:div>
    <w:div w:id="279536341">
      <w:marLeft w:val="0"/>
      <w:marRight w:val="0"/>
      <w:marTop w:val="0"/>
      <w:marBottom w:val="0"/>
      <w:divBdr>
        <w:top w:val="none" w:sz="0" w:space="0" w:color="auto"/>
        <w:left w:val="none" w:sz="0" w:space="0" w:color="auto"/>
        <w:bottom w:val="none" w:sz="0" w:space="0" w:color="auto"/>
        <w:right w:val="none" w:sz="0" w:space="0" w:color="auto"/>
      </w:divBdr>
    </w:div>
    <w:div w:id="279536342">
      <w:marLeft w:val="0"/>
      <w:marRight w:val="0"/>
      <w:marTop w:val="0"/>
      <w:marBottom w:val="0"/>
      <w:divBdr>
        <w:top w:val="none" w:sz="0" w:space="0" w:color="auto"/>
        <w:left w:val="none" w:sz="0" w:space="0" w:color="auto"/>
        <w:bottom w:val="none" w:sz="0" w:space="0" w:color="auto"/>
        <w:right w:val="none" w:sz="0" w:space="0" w:color="auto"/>
      </w:divBdr>
    </w:div>
    <w:div w:id="279536344">
      <w:marLeft w:val="0"/>
      <w:marRight w:val="0"/>
      <w:marTop w:val="0"/>
      <w:marBottom w:val="0"/>
      <w:divBdr>
        <w:top w:val="none" w:sz="0" w:space="0" w:color="auto"/>
        <w:left w:val="none" w:sz="0" w:space="0" w:color="auto"/>
        <w:bottom w:val="none" w:sz="0" w:space="0" w:color="auto"/>
        <w:right w:val="none" w:sz="0" w:space="0" w:color="auto"/>
      </w:divBdr>
    </w:div>
    <w:div w:id="279536345">
      <w:marLeft w:val="0"/>
      <w:marRight w:val="0"/>
      <w:marTop w:val="0"/>
      <w:marBottom w:val="0"/>
      <w:divBdr>
        <w:top w:val="none" w:sz="0" w:space="0" w:color="auto"/>
        <w:left w:val="none" w:sz="0" w:space="0" w:color="auto"/>
        <w:bottom w:val="none" w:sz="0" w:space="0" w:color="auto"/>
        <w:right w:val="none" w:sz="0" w:space="0" w:color="auto"/>
      </w:divBdr>
    </w:div>
    <w:div w:id="279536347">
      <w:marLeft w:val="0"/>
      <w:marRight w:val="0"/>
      <w:marTop w:val="0"/>
      <w:marBottom w:val="0"/>
      <w:divBdr>
        <w:top w:val="none" w:sz="0" w:space="0" w:color="auto"/>
        <w:left w:val="none" w:sz="0" w:space="0" w:color="auto"/>
        <w:bottom w:val="none" w:sz="0" w:space="0" w:color="auto"/>
        <w:right w:val="none" w:sz="0" w:space="0" w:color="auto"/>
      </w:divBdr>
    </w:div>
    <w:div w:id="279536348">
      <w:marLeft w:val="0"/>
      <w:marRight w:val="0"/>
      <w:marTop w:val="0"/>
      <w:marBottom w:val="0"/>
      <w:divBdr>
        <w:top w:val="none" w:sz="0" w:space="0" w:color="auto"/>
        <w:left w:val="none" w:sz="0" w:space="0" w:color="auto"/>
        <w:bottom w:val="none" w:sz="0" w:space="0" w:color="auto"/>
        <w:right w:val="none" w:sz="0" w:space="0" w:color="auto"/>
      </w:divBdr>
    </w:div>
    <w:div w:id="279536349">
      <w:marLeft w:val="0"/>
      <w:marRight w:val="0"/>
      <w:marTop w:val="0"/>
      <w:marBottom w:val="0"/>
      <w:divBdr>
        <w:top w:val="none" w:sz="0" w:space="0" w:color="auto"/>
        <w:left w:val="none" w:sz="0" w:space="0" w:color="auto"/>
        <w:bottom w:val="none" w:sz="0" w:space="0" w:color="auto"/>
        <w:right w:val="none" w:sz="0" w:space="0" w:color="auto"/>
      </w:divBdr>
    </w:div>
    <w:div w:id="279536350">
      <w:marLeft w:val="150"/>
      <w:marRight w:val="150"/>
      <w:marTop w:val="150"/>
      <w:marBottom w:val="150"/>
      <w:divBdr>
        <w:top w:val="none" w:sz="0" w:space="0" w:color="auto"/>
        <w:left w:val="none" w:sz="0" w:space="0" w:color="auto"/>
        <w:bottom w:val="none" w:sz="0" w:space="0" w:color="auto"/>
        <w:right w:val="none" w:sz="0" w:space="0" w:color="auto"/>
      </w:divBdr>
      <w:divsChild>
        <w:div w:id="279536343">
          <w:marLeft w:val="0"/>
          <w:marRight w:val="0"/>
          <w:marTop w:val="0"/>
          <w:marBottom w:val="0"/>
          <w:divBdr>
            <w:top w:val="none" w:sz="0" w:space="0" w:color="auto"/>
            <w:left w:val="none" w:sz="0" w:space="0" w:color="auto"/>
            <w:bottom w:val="none" w:sz="0" w:space="0" w:color="auto"/>
            <w:right w:val="none" w:sz="0" w:space="0" w:color="auto"/>
          </w:divBdr>
          <w:divsChild>
            <w:div w:id="279536355">
              <w:marLeft w:val="0"/>
              <w:marRight w:val="0"/>
              <w:marTop w:val="0"/>
              <w:marBottom w:val="0"/>
              <w:divBdr>
                <w:top w:val="none" w:sz="0" w:space="0" w:color="auto"/>
                <w:left w:val="none" w:sz="0" w:space="0" w:color="auto"/>
                <w:bottom w:val="none" w:sz="0" w:space="0" w:color="auto"/>
                <w:right w:val="none" w:sz="0" w:space="0" w:color="auto"/>
              </w:divBdr>
              <w:divsChild>
                <w:div w:id="279536346">
                  <w:marLeft w:val="0"/>
                  <w:marRight w:val="0"/>
                  <w:marTop w:val="0"/>
                  <w:marBottom w:val="0"/>
                  <w:divBdr>
                    <w:top w:val="none" w:sz="0" w:space="0" w:color="auto"/>
                    <w:left w:val="none" w:sz="0" w:space="0" w:color="auto"/>
                    <w:bottom w:val="none" w:sz="0" w:space="0" w:color="auto"/>
                    <w:right w:val="none" w:sz="0" w:space="0" w:color="auto"/>
                  </w:divBdr>
                  <w:divsChild>
                    <w:div w:id="279536335">
                      <w:marLeft w:val="0"/>
                      <w:marRight w:val="0"/>
                      <w:marTop w:val="0"/>
                      <w:marBottom w:val="0"/>
                      <w:divBdr>
                        <w:top w:val="none" w:sz="0" w:space="0" w:color="auto"/>
                        <w:left w:val="none" w:sz="0" w:space="0" w:color="auto"/>
                        <w:bottom w:val="none" w:sz="0" w:space="0" w:color="auto"/>
                        <w:right w:val="none" w:sz="0" w:space="0" w:color="auto"/>
                      </w:divBdr>
                      <w:divsChild>
                        <w:div w:id="279536352">
                          <w:marLeft w:val="0"/>
                          <w:marRight w:val="0"/>
                          <w:marTop w:val="0"/>
                          <w:marBottom w:val="150"/>
                          <w:divBdr>
                            <w:top w:val="none" w:sz="0" w:space="0" w:color="auto"/>
                            <w:left w:val="none" w:sz="0" w:space="0" w:color="auto"/>
                            <w:bottom w:val="none" w:sz="0" w:space="0" w:color="auto"/>
                            <w:right w:val="none" w:sz="0" w:space="0" w:color="auto"/>
                          </w:divBdr>
                          <w:divsChild>
                            <w:div w:id="279536357">
                              <w:marLeft w:val="0"/>
                              <w:marRight w:val="0"/>
                              <w:marTop w:val="0"/>
                              <w:marBottom w:val="30"/>
                              <w:divBdr>
                                <w:top w:val="none" w:sz="0" w:space="0" w:color="auto"/>
                                <w:left w:val="none" w:sz="0" w:space="0" w:color="auto"/>
                                <w:bottom w:val="dotted" w:sz="6" w:space="2" w:color="999999"/>
                                <w:right w:val="none" w:sz="0" w:space="0" w:color="auto"/>
                              </w:divBdr>
                              <w:divsChild>
                                <w:div w:id="27953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79536351">
      <w:marLeft w:val="0"/>
      <w:marRight w:val="0"/>
      <w:marTop w:val="0"/>
      <w:marBottom w:val="0"/>
      <w:divBdr>
        <w:top w:val="none" w:sz="0" w:space="0" w:color="auto"/>
        <w:left w:val="none" w:sz="0" w:space="0" w:color="auto"/>
        <w:bottom w:val="none" w:sz="0" w:space="0" w:color="auto"/>
        <w:right w:val="none" w:sz="0" w:space="0" w:color="auto"/>
      </w:divBdr>
    </w:div>
    <w:div w:id="279536353">
      <w:marLeft w:val="0"/>
      <w:marRight w:val="0"/>
      <w:marTop w:val="0"/>
      <w:marBottom w:val="0"/>
      <w:divBdr>
        <w:top w:val="none" w:sz="0" w:space="0" w:color="auto"/>
        <w:left w:val="none" w:sz="0" w:space="0" w:color="auto"/>
        <w:bottom w:val="none" w:sz="0" w:space="0" w:color="auto"/>
        <w:right w:val="none" w:sz="0" w:space="0" w:color="auto"/>
      </w:divBdr>
    </w:div>
    <w:div w:id="279536354">
      <w:marLeft w:val="0"/>
      <w:marRight w:val="0"/>
      <w:marTop w:val="0"/>
      <w:marBottom w:val="0"/>
      <w:divBdr>
        <w:top w:val="none" w:sz="0" w:space="0" w:color="auto"/>
        <w:left w:val="none" w:sz="0" w:space="0" w:color="auto"/>
        <w:bottom w:val="none" w:sz="0" w:space="0" w:color="auto"/>
        <w:right w:val="none" w:sz="0" w:space="0" w:color="auto"/>
      </w:divBdr>
    </w:div>
    <w:div w:id="279536356">
      <w:marLeft w:val="0"/>
      <w:marRight w:val="0"/>
      <w:marTop w:val="0"/>
      <w:marBottom w:val="0"/>
      <w:divBdr>
        <w:top w:val="none" w:sz="0" w:space="0" w:color="auto"/>
        <w:left w:val="none" w:sz="0" w:space="0" w:color="auto"/>
        <w:bottom w:val="none" w:sz="0" w:space="0" w:color="auto"/>
        <w:right w:val="none" w:sz="0" w:space="0" w:color="auto"/>
      </w:divBdr>
    </w:div>
    <w:div w:id="279536358">
      <w:marLeft w:val="0"/>
      <w:marRight w:val="0"/>
      <w:marTop w:val="0"/>
      <w:marBottom w:val="0"/>
      <w:divBdr>
        <w:top w:val="none" w:sz="0" w:space="0" w:color="auto"/>
        <w:left w:val="none" w:sz="0" w:space="0" w:color="auto"/>
        <w:bottom w:val="none" w:sz="0" w:space="0" w:color="auto"/>
        <w:right w:val="none" w:sz="0" w:space="0" w:color="auto"/>
      </w:divBdr>
    </w:div>
    <w:div w:id="2795363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929</Words>
  <Characters>5242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Report: Executive Cttee 05.09.11: part i - (05) budget monitoirng month 4 (july 2011)</vt:lpstr>
    </vt:vector>
  </TitlesOfParts>
  <Company>Pre-installed Company</Company>
  <LinksUpToDate>false</LinksUpToDate>
  <CharactersWithSpaces>6159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Executive Cttee 05.09.11: part i - (05) budget monitoirng month 4 (july 2011)</dc:title>
  <dc:creator>David Gardner</dc:creator>
  <cp:lastModifiedBy>Helen Wailling</cp:lastModifiedBy>
  <cp:revision>7</cp:revision>
  <cp:lastPrinted>2016-09-29T16:48:00Z</cp:lastPrinted>
  <dcterms:created xsi:type="dcterms:W3CDTF">2016-09-30T09:31:00Z</dcterms:created>
  <dcterms:modified xsi:type="dcterms:W3CDTF">2016-09-30T10:00:00Z</dcterms:modified>
</cp:coreProperties>
</file>