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Default="00E11170" w:rsidP="00173DBB">
      <w:pPr>
        <w:jc w:val="center"/>
        <w:rPr>
          <w:b/>
        </w:rPr>
      </w:pPr>
      <w:r>
        <w:rPr>
          <w:b/>
        </w:rPr>
        <w:t>LEISURE, WELLBEING &amp; HEALTH</w:t>
      </w:r>
      <w:r w:rsidR="00DE754C">
        <w:rPr>
          <w:b/>
        </w:rPr>
        <w:t xml:space="preserve"> COMMITTEE</w:t>
      </w:r>
    </w:p>
    <w:p w:rsidR="00DE754C" w:rsidRPr="00000C94" w:rsidRDefault="00DE754C">
      <w:pPr>
        <w:jc w:val="left"/>
        <w:rPr>
          <w:b/>
          <w:sz w:val="20"/>
        </w:rPr>
      </w:pPr>
    </w:p>
    <w:p w:rsidR="00BF34FA" w:rsidRDefault="00E11170">
      <w:pPr>
        <w:jc w:val="center"/>
        <w:rPr>
          <w:b/>
          <w:i/>
        </w:rPr>
      </w:pPr>
      <w:r>
        <w:rPr>
          <w:b/>
        </w:rPr>
        <w:t>30</w:t>
      </w:r>
      <w:r w:rsidR="00243800">
        <w:rPr>
          <w:b/>
        </w:rPr>
        <w:t xml:space="preserve"> </w:t>
      </w:r>
      <w:r>
        <w:rPr>
          <w:b/>
        </w:rPr>
        <w:t>NOVEMBER</w:t>
      </w:r>
      <w:r w:rsidR="00243800">
        <w:rPr>
          <w:b/>
        </w:rPr>
        <w:t xml:space="preserve"> 201</w:t>
      </w:r>
      <w:r w:rsidR="00E003E0">
        <w:rPr>
          <w:b/>
        </w:rPr>
        <w:t>6</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p>
    <w:p w:rsidR="00BF34FA" w:rsidRPr="00000C94" w:rsidRDefault="00BF34FA">
      <w:pPr>
        <w:jc w:val="center"/>
        <w:rPr>
          <w:sz w:val="20"/>
        </w:rP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Pr="00000C94" w:rsidRDefault="00BF34FA">
      <w:pPr>
        <w:jc w:val="center"/>
        <w:rPr>
          <w:sz w:val="20"/>
        </w:rPr>
      </w:pPr>
    </w:p>
    <w:p w:rsidR="00BF34FA" w:rsidRDefault="00BF34FA">
      <w:pPr>
        <w:keepNext/>
        <w:ind w:left="1267" w:hanging="1267"/>
        <w:rPr>
          <w:b/>
          <w:i/>
          <w:color w:val="008000"/>
        </w:rPr>
      </w:pPr>
      <w:r>
        <w:rPr>
          <w:b/>
        </w:rPr>
        <w:fldChar w:fldCharType="begin"/>
      </w:r>
      <w:r>
        <w:rPr>
          <w:b/>
        </w:rPr>
        <w:instrText xml:space="preserve">  </w:instrText>
      </w:r>
      <w:r>
        <w:rPr>
          <w:b/>
        </w:rPr>
        <w:fldChar w:fldCharType="end"/>
      </w:r>
      <w:r w:rsidR="00911629">
        <w:rPr>
          <w:b/>
        </w:rPr>
        <w:t>6.</w:t>
      </w:r>
      <w:r w:rsidR="004553CC">
        <w:rPr>
          <w:b/>
        </w:rPr>
        <w:tab/>
      </w:r>
      <w:r w:rsidR="00A826B6">
        <w:rPr>
          <w:b/>
        </w:rPr>
        <w:t>CITIZENS’ ADVICE SERVICE IN THREE RIVERS ANNUAL REPORT 2015/16</w:t>
      </w:r>
      <w:r>
        <w:rPr>
          <w:b/>
        </w:rPr>
        <w:fldChar w:fldCharType="begin"/>
      </w:r>
      <w:r>
        <w:rPr>
          <w:b/>
        </w:rPr>
        <w:instrText xml:space="preserve">  </w:instrText>
      </w:r>
      <w:r>
        <w:rPr>
          <w:b/>
        </w:rPr>
        <w:fldChar w:fldCharType="end"/>
      </w:r>
    </w:p>
    <w:p w:rsidR="00BF34FA" w:rsidRDefault="00BF34FA">
      <w:pPr>
        <w:keepNext/>
        <w:ind w:left="1267" w:hanging="1267"/>
        <w:rPr>
          <w:b/>
          <w:i/>
          <w:color w:val="008000"/>
        </w:rPr>
      </w:pPr>
      <w:r>
        <w:rPr>
          <w:b/>
        </w:rPr>
        <w:tab/>
      </w:r>
      <w:r>
        <w:t>(CED)</w:t>
      </w:r>
      <w:r>
        <w:fldChar w:fldCharType="begin"/>
      </w:r>
      <w:r>
        <w:instrText xml:space="preserve">  </w:instrText>
      </w:r>
      <w:r>
        <w:fldChar w:fldCharType="end"/>
      </w:r>
    </w:p>
    <w:p w:rsidR="00BF34FA" w:rsidRPr="00000C94" w:rsidRDefault="00BF34FA" w:rsidP="00746C99">
      <w:pPr>
        <w:rPr>
          <w:sz w:val="20"/>
        </w:rPr>
      </w:pPr>
    </w:p>
    <w:p w:rsidR="00BF34FA" w:rsidRPr="00000C94" w:rsidRDefault="00BF34FA">
      <w:pPr>
        <w:keepNext/>
        <w:ind w:left="1267" w:hanging="1267"/>
        <w:rPr>
          <w:sz w:val="20"/>
        </w:rPr>
      </w:pPr>
      <w:r>
        <w:t>1.</w:t>
      </w:r>
      <w:r>
        <w:tab/>
      </w:r>
      <w:r>
        <w:rPr>
          <w:b/>
        </w:rPr>
        <w:t>Summary</w:t>
      </w:r>
      <w:r w:rsidR="00000C94">
        <w:rPr>
          <w:b/>
        </w:rPr>
        <w:br/>
      </w:r>
    </w:p>
    <w:p w:rsidR="00BF34FA" w:rsidRDefault="00BF34FA">
      <w:pPr>
        <w:ind w:left="1267" w:hanging="1267"/>
      </w:pPr>
      <w:r>
        <w:t>1.1</w:t>
      </w:r>
      <w:r>
        <w:tab/>
      </w:r>
      <w:r w:rsidR="000D433D">
        <w:t>Th</w:t>
      </w:r>
      <w:r w:rsidR="00E11170">
        <w:t>e Committee will receive a presentation from the Director of the Citizens</w:t>
      </w:r>
      <w:r w:rsidR="00796591">
        <w:t>’</w:t>
      </w:r>
      <w:r w:rsidR="00E11170">
        <w:t xml:space="preserve"> Advice Service</w:t>
      </w:r>
      <w:r w:rsidR="005A1B63">
        <w:t xml:space="preserve"> (CAS)</w:t>
      </w:r>
      <w:r w:rsidR="00E11170">
        <w:t xml:space="preserve"> in Three Rivers highlighting the</w:t>
      </w:r>
      <w:r w:rsidR="00000C94">
        <w:t>ir</w:t>
      </w:r>
      <w:r w:rsidR="00E11170">
        <w:t xml:space="preserve"> </w:t>
      </w:r>
      <w:r w:rsidR="00000C94">
        <w:t xml:space="preserve">performance </w:t>
      </w:r>
      <w:r w:rsidR="00AF2B8C">
        <w:t>and achievements for the financial year</w:t>
      </w:r>
      <w:r w:rsidR="00E11170">
        <w:t xml:space="preserve"> 2015/16.</w:t>
      </w:r>
    </w:p>
    <w:p w:rsidR="00BF34FA" w:rsidRPr="00000C94" w:rsidRDefault="00BF34FA">
      <w:pPr>
        <w:ind w:left="1267" w:hanging="1267"/>
        <w:rPr>
          <w:sz w:val="20"/>
        </w:rPr>
      </w:pPr>
    </w:p>
    <w:p w:rsidR="00BF34FA" w:rsidRPr="00000C94" w:rsidRDefault="00BF34FA">
      <w:pPr>
        <w:keepNext/>
        <w:ind w:left="1267" w:hanging="1267"/>
        <w:rPr>
          <w:b/>
          <w:sz w:val="20"/>
        </w:rPr>
      </w:pPr>
      <w:r>
        <w:t>2.</w:t>
      </w:r>
      <w:r>
        <w:tab/>
      </w:r>
      <w:r>
        <w:rPr>
          <w:b/>
        </w:rPr>
        <w:t>Details</w:t>
      </w:r>
      <w:r w:rsidR="00000C94">
        <w:rPr>
          <w:b/>
        </w:rPr>
        <w:br/>
      </w:r>
    </w:p>
    <w:p w:rsidR="00AF2B8C" w:rsidRPr="0072795F" w:rsidRDefault="00BF34FA" w:rsidP="00AF2B8C">
      <w:pPr>
        <w:ind w:left="1260" w:hanging="1260"/>
        <w:rPr>
          <w:color w:val="000000" w:themeColor="text1"/>
          <w:szCs w:val="22"/>
        </w:rPr>
      </w:pPr>
      <w:r>
        <w:t>2.1</w:t>
      </w:r>
      <w:r>
        <w:tab/>
      </w:r>
      <w:r w:rsidR="00AF2B8C" w:rsidRPr="0072795F">
        <w:rPr>
          <w:color w:val="000000" w:themeColor="text1"/>
          <w:szCs w:val="22"/>
        </w:rPr>
        <w:t xml:space="preserve">Three Rivers District Council has a Service Level Agreement (SLA) in place with the </w:t>
      </w:r>
      <w:r w:rsidR="00AF2B8C" w:rsidRPr="0072795F">
        <w:rPr>
          <w:color w:val="000000" w:themeColor="text1"/>
        </w:rPr>
        <w:t>Citizens</w:t>
      </w:r>
      <w:r w:rsidR="00796591">
        <w:rPr>
          <w:color w:val="000000" w:themeColor="text1"/>
        </w:rPr>
        <w:t>’</w:t>
      </w:r>
      <w:r w:rsidR="00AF2B8C" w:rsidRPr="0072795F">
        <w:rPr>
          <w:color w:val="000000" w:themeColor="text1"/>
        </w:rPr>
        <w:t xml:space="preserve"> Advice Service in Three Rivers</w:t>
      </w:r>
      <w:r w:rsidR="00AF2B8C">
        <w:rPr>
          <w:color w:val="000000" w:themeColor="text1"/>
        </w:rPr>
        <w:t xml:space="preserve"> (CASTR)</w:t>
      </w:r>
      <w:r w:rsidR="00AF2B8C" w:rsidRPr="0072795F">
        <w:rPr>
          <w:color w:val="000000" w:themeColor="text1"/>
          <w:szCs w:val="22"/>
        </w:rPr>
        <w:t>.</w:t>
      </w:r>
    </w:p>
    <w:p w:rsidR="00AF2B8C" w:rsidRPr="00000C94" w:rsidRDefault="00AF2B8C" w:rsidP="00AF2B8C">
      <w:pPr>
        <w:ind w:left="1260" w:hanging="1260"/>
        <w:rPr>
          <w:color w:val="000000" w:themeColor="text1"/>
          <w:sz w:val="20"/>
        </w:rPr>
      </w:pPr>
    </w:p>
    <w:p w:rsidR="00AF2B8C" w:rsidRPr="0072795F" w:rsidRDefault="00AF2B8C" w:rsidP="00AF2B8C">
      <w:pPr>
        <w:ind w:left="1260" w:hanging="1260"/>
        <w:rPr>
          <w:color w:val="000000" w:themeColor="text1"/>
          <w:szCs w:val="22"/>
        </w:rPr>
      </w:pPr>
      <w:r>
        <w:rPr>
          <w:color w:val="000000" w:themeColor="text1"/>
          <w:szCs w:val="22"/>
        </w:rPr>
        <w:t>2.2</w:t>
      </w:r>
      <w:r>
        <w:rPr>
          <w:color w:val="000000" w:themeColor="text1"/>
          <w:szCs w:val="22"/>
        </w:rPr>
        <w:tab/>
        <w:t xml:space="preserve">Each year the </w:t>
      </w:r>
      <w:r w:rsidRPr="0072795F">
        <w:rPr>
          <w:color w:val="000000" w:themeColor="text1"/>
          <w:szCs w:val="22"/>
        </w:rPr>
        <w:t>CAS</w:t>
      </w:r>
      <w:r>
        <w:rPr>
          <w:color w:val="000000" w:themeColor="text1"/>
          <w:szCs w:val="22"/>
        </w:rPr>
        <w:t>TR</w:t>
      </w:r>
      <w:r w:rsidRPr="0072795F">
        <w:rPr>
          <w:color w:val="000000" w:themeColor="text1"/>
          <w:szCs w:val="22"/>
        </w:rPr>
        <w:t xml:space="preserve"> receives £257,340 funding</w:t>
      </w:r>
      <w:r w:rsidR="00796591">
        <w:rPr>
          <w:color w:val="000000" w:themeColor="text1"/>
          <w:szCs w:val="22"/>
        </w:rPr>
        <w:t>.</w:t>
      </w:r>
      <w:r w:rsidR="004F1198">
        <w:rPr>
          <w:color w:val="000000" w:themeColor="text1"/>
          <w:szCs w:val="22"/>
        </w:rPr>
        <w:t xml:space="preserve">  </w:t>
      </w:r>
      <w:r w:rsidR="00796591">
        <w:rPr>
          <w:color w:val="000000" w:themeColor="text1"/>
          <w:szCs w:val="22"/>
        </w:rPr>
        <w:t xml:space="preserve">In addition the Council meets the </w:t>
      </w:r>
      <w:r w:rsidRPr="0072795F">
        <w:rPr>
          <w:color w:val="000000" w:themeColor="text1"/>
          <w:szCs w:val="22"/>
        </w:rPr>
        <w:t xml:space="preserve">£46,000 </w:t>
      </w:r>
      <w:r w:rsidR="004F1198">
        <w:rPr>
          <w:color w:val="000000" w:themeColor="text1"/>
          <w:szCs w:val="22"/>
        </w:rPr>
        <w:t xml:space="preserve">lease costs of </w:t>
      </w:r>
      <w:r w:rsidRPr="0072795F">
        <w:rPr>
          <w:color w:val="000000" w:themeColor="text1"/>
          <w:szCs w:val="22"/>
        </w:rPr>
        <w:t>premises in Rickmansworth and South Oxhey</w:t>
      </w:r>
      <w:r w:rsidR="00796591" w:rsidRPr="00E253DE">
        <w:rPr>
          <w:i/>
          <w:color w:val="000000" w:themeColor="text1"/>
          <w:szCs w:val="22"/>
        </w:rPr>
        <w:t>.</w:t>
      </w:r>
      <w:r w:rsidR="00796591" w:rsidRPr="00E253DE">
        <w:rPr>
          <w:color w:val="000000" w:themeColor="text1"/>
          <w:szCs w:val="22"/>
        </w:rPr>
        <w:t xml:space="preserve"> </w:t>
      </w:r>
    </w:p>
    <w:p w:rsidR="00AF2B8C" w:rsidRPr="00394C66" w:rsidRDefault="00AF2B8C" w:rsidP="00AF2B8C">
      <w:pPr>
        <w:tabs>
          <w:tab w:val="clear" w:pos="1260"/>
          <w:tab w:val="num" w:pos="1276"/>
        </w:tabs>
        <w:rPr>
          <w:color w:val="000000" w:themeColor="text1"/>
          <w:sz w:val="20"/>
        </w:rPr>
      </w:pPr>
    </w:p>
    <w:p w:rsidR="00AF2B8C" w:rsidRPr="003D3B0E" w:rsidRDefault="00AF2B8C" w:rsidP="00AF2B8C">
      <w:pPr>
        <w:tabs>
          <w:tab w:val="clear" w:pos="1980"/>
        </w:tabs>
        <w:ind w:left="1260" w:hanging="1260"/>
        <w:rPr>
          <w:color w:val="000000" w:themeColor="text1"/>
          <w:szCs w:val="22"/>
        </w:rPr>
      </w:pPr>
      <w:r w:rsidRPr="0072795F">
        <w:rPr>
          <w:color w:val="000000" w:themeColor="text1"/>
          <w:szCs w:val="22"/>
        </w:rPr>
        <w:t>2.3</w:t>
      </w:r>
      <w:r w:rsidRPr="0072795F">
        <w:rPr>
          <w:color w:val="000000" w:themeColor="text1"/>
          <w:szCs w:val="22"/>
        </w:rPr>
        <w:tab/>
      </w:r>
      <w:r w:rsidRPr="003D3B0E">
        <w:rPr>
          <w:color w:val="000000" w:themeColor="text1"/>
          <w:szCs w:val="22"/>
        </w:rPr>
        <w:t>Council funding and support enables the CASTR to deliver the following services for the residents of Three Rivers:</w:t>
      </w:r>
    </w:p>
    <w:p w:rsidR="00AF2B8C" w:rsidRPr="003D3B0E" w:rsidRDefault="00AF2B8C" w:rsidP="00AF2B8C">
      <w:pPr>
        <w:tabs>
          <w:tab w:val="clear" w:pos="1260"/>
          <w:tab w:val="num" w:pos="1276"/>
        </w:tabs>
        <w:rPr>
          <w:color w:val="000000" w:themeColor="text1"/>
          <w:sz w:val="20"/>
        </w:rPr>
      </w:pPr>
    </w:p>
    <w:p w:rsidR="00AF2B8C" w:rsidRPr="003D3B0E" w:rsidRDefault="00AF2B8C" w:rsidP="003D3B0E">
      <w:pPr>
        <w:numPr>
          <w:ilvl w:val="0"/>
          <w:numId w:val="4"/>
        </w:numPr>
        <w:tabs>
          <w:tab w:val="clear" w:pos="600"/>
          <w:tab w:val="clear" w:pos="1260"/>
          <w:tab w:val="clear" w:pos="1980"/>
          <w:tab w:val="num" w:pos="2340"/>
        </w:tabs>
        <w:ind w:left="1620"/>
        <w:rPr>
          <w:color w:val="000000" w:themeColor="text1"/>
          <w:szCs w:val="22"/>
        </w:rPr>
      </w:pPr>
      <w:r w:rsidRPr="003D3B0E">
        <w:rPr>
          <w:color w:val="000000" w:themeColor="text1"/>
          <w:szCs w:val="22"/>
        </w:rPr>
        <w:t>Provision of advice to residents principally covering</w:t>
      </w:r>
      <w:r w:rsidR="003D3B0E">
        <w:rPr>
          <w:color w:val="000000" w:themeColor="text1"/>
          <w:szCs w:val="22"/>
        </w:rPr>
        <w:t>:</w:t>
      </w:r>
      <w:r w:rsidRPr="003D3B0E">
        <w:rPr>
          <w:color w:val="000000" w:themeColor="text1"/>
          <w:szCs w:val="22"/>
        </w:rPr>
        <w:t xml:space="preserve"> benefits, consumer, debt, education, employment, finance, health, housing, immigration, law, relationships, signposting, tax, travel and utilities.</w:t>
      </w:r>
    </w:p>
    <w:p w:rsidR="00AF2B8C" w:rsidRPr="004F1198" w:rsidRDefault="00AF2B8C" w:rsidP="003D3B0E">
      <w:pPr>
        <w:tabs>
          <w:tab w:val="clear" w:pos="1260"/>
        </w:tabs>
        <w:ind w:left="1080"/>
        <w:rPr>
          <w:color w:val="000000" w:themeColor="text1"/>
          <w:sz w:val="16"/>
          <w:szCs w:val="16"/>
        </w:rPr>
      </w:pPr>
    </w:p>
    <w:p w:rsidR="00AF2B8C" w:rsidRPr="003D3B0E" w:rsidRDefault="00AF2B8C" w:rsidP="003D3B0E">
      <w:pPr>
        <w:numPr>
          <w:ilvl w:val="0"/>
          <w:numId w:val="4"/>
        </w:numPr>
        <w:tabs>
          <w:tab w:val="clear" w:pos="600"/>
          <w:tab w:val="clear" w:pos="1260"/>
          <w:tab w:val="num" w:pos="1560"/>
        </w:tabs>
        <w:ind w:left="1620"/>
        <w:rPr>
          <w:color w:val="000000" w:themeColor="text1"/>
          <w:szCs w:val="22"/>
          <w:u w:val="single"/>
        </w:rPr>
      </w:pPr>
      <w:r w:rsidRPr="003D3B0E">
        <w:rPr>
          <w:color w:val="000000" w:themeColor="text1"/>
          <w:szCs w:val="22"/>
        </w:rPr>
        <w:t>Access to 3 bureaux in Rickmansworth, South Oxhey and Abbots Langley from Monday to Friday, as well as outreach in Mill End and South Oxhey.</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320"/>
        </w:tabs>
        <w:ind w:left="1620"/>
        <w:rPr>
          <w:color w:val="000000" w:themeColor="text1"/>
          <w:szCs w:val="22"/>
          <w:u w:val="single"/>
        </w:rPr>
      </w:pPr>
      <w:r w:rsidRPr="003D3B0E">
        <w:rPr>
          <w:rFonts w:cs="Arial"/>
          <w:color w:val="000000" w:themeColor="text1"/>
          <w:szCs w:val="22"/>
        </w:rPr>
        <w:t>Home visits for people who are housebound.</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320"/>
        </w:tabs>
        <w:ind w:left="1620"/>
        <w:rPr>
          <w:color w:val="000000" w:themeColor="text1"/>
          <w:szCs w:val="22"/>
          <w:u w:val="single"/>
        </w:rPr>
      </w:pPr>
      <w:r w:rsidRPr="003D3B0E">
        <w:rPr>
          <w:color w:val="000000" w:themeColor="text1"/>
          <w:szCs w:val="22"/>
        </w:rPr>
        <w:t>Access to specialist debt advice and budgeting courses.</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140"/>
        </w:tabs>
        <w:ind w:left="1620"/>
        <w:rPr>
          <w:color w:val="000000" w:themeColor="text1"/>
          <w:szCs w:val="22"/>
          <w:u w:val="single"/>
        </w:rPr>
      </w:pPr>
      <w:r w:rsidRPr="003D3B0E">
        <w:rPr>
          <w:color w:val="000000" w:themeColor="text1"/>
          <w:szCs w:val="22"/>
        </w:rPr>
        <w:t>Representation by the CASTR for clients in repossession hearings in court and c</w:t>
      </w:r>
      <w:r w:rsidRPr="003D3B0E">
        <w:rPr>
          <w:rFonts w:cs="Arial"/>
          <w:color w:val="000000" w:themeColor="text1"/>
          <w:szCs w:val="22"/>
        </w:rPr>
        <w:t>lients at benefit tribunal hearings.</w:t>
      </w:r>
    </w:p>
    <w:p w:rsidR="00AF2B8C" w:rsidRPr="004F1198" w:rsidRDefault="00AF2B8C" w:rsidP="003D3B0E">
      <w:pPr>
        <w:tabs>
          <w:tab w:val="clear" w:pos="1260"/>
        </w:tabs>
        <w:ind w:left="1020"/>
        <w:rPr>
          <w:color w:val="000000" w:themeColor="text1"/>
          <w:sz w:val="16"/>
          <w:szCs w:val="16"/>
        </w:rPr>
      </w:pPr>
    </w:p>
    <w:p w:rsidR="00AF2B8C" w:rsidRPr="003D3B0E" w:rsidRDefault="00AF2B8C" w:rsidP="003D3B0E">
      <w:pPr>
        <w:numPr>
          <w:ilvl w:val="0"/>
          <w:numId w:val="4"/>
        </w:numPr>
        <w:tabs>
          <w:tab w:val="clear" w:pos="600"/>
          <w:tab w:val="clear" w:pos="1260"/>
          <w:tab w:val="num" w:pos="1080"/>
        </w:tabs>
        <w:ind w:left="1620"/>
        <w:rPr>
          <w:color w:val="000000" w:themeColor="text1"/>
          <w:szCs w:val="22"/>
          <w:u w:val="single"/>
        </w:rPr>
      </w:pPr>
      <w:r w:rsidRPr="003D3B0E">
        <w:rPr>
          <w:color w:val="000000" w:themeColor="text1"/>
          <w:szCs w:val="22"/>
        </w:rPr>
        <w:t>Provision of information to partner organisations and membership of the Three Rivers Local Strategic Partnership.</w:t>
      </w:r>
    </w:p>
    <w:p w:rsidR="00AF2B8C" w:rsidRPr="00000C94" w:rsidRDefault="00AF2B8C" w:rsidP="00AF2B8C">
      <w:pPr>
        <w:tabs>
          <w:tab w:val="clear" w:pos="1260"/>
          <w:tab w:val="num" w:pos="1276"/>
        </w:tabs>
        <w:rPr>
          <w:color w:val="000000" w:themeColor="text1"/>
          <w:sz w:val="20"/>
          <w:u w:val="single"/>
        </w:rPr>
      </w:pPr>
    </w:p>
    <w:p w:rsidR="00AF2B8C" w:rsidRPr="00AD1132" w:rsidRDefault="00AF2B8C" w:rsidP="00AF2B8C">
      <w:pPr>
        <w:tabs>
          <w:tab w:val="clear" w:pos="1980"/>
        </w:tabs>
        <w:ind w:left="1276" w:hanging="1276"/>
        <w:rPr>
          <w:color w:val="000000" w:themeColor="text1"/>
          <w:szCs w:val="22"/>
        </w:rPr>
      </w:pPr>
      <w:r w:rsidRPr="00AD1132">
        <w:rPr>
          <w:color w:val="000000" w:themeColor="text1"/>
          <w:szCs w:val="22"/>
        </w:rPr>
        <w:t>2.4</w:t>
      </w:r>
      <w:r w:rsidRPr="00AD1132">
        <w:rPr>
          <w:color w:val="000000" w:themeColor="text1"/>
          <w:szCs w:val="22"/>
        </w:rPr>
        <w:tab/>
        <w:t xml:space="preserve">The CASTR annual </w:t>
      </w:r>
      <w:r w:rsidR="00AD1132">
        <w:rPr>
          <w:color w:val="000000" w:themeColor="text1"/>
          <w:szCs w:val="22"/>
        </w:rPr>
        <w:t>report</w:t>
      </w:r>
      <w:r w:rsidRPr="00AD1132">
        <w:rPr>
          <w:color w:val="000000" w:themeColor="text1"/>
          <w:szCs w:val="22"/>
        </w:rPr>
        <w:t xml:space="preserve"> </w:t>
      </w:r>
      <w:r w:rsidR="003D3B0E">
        <w:rPr>
          <w:color w:val="000000" w:themeColor="text1"/>
          <w:szCs w:val="22"/>
        </w:rPr>
        <w:t>is in</w:t>
      </w:r>
      <w:r w:rsidRPr="00AD1132">
        <w:rPr>
          <w:color w:val="000000" w:themeColor="text1"/>
          <w:szCs w:val="22"/>
        </w:rPr>
        <w:t xml:space="preserve"> Appendix A.</w:t>
      </w:r>
    </w:p>
    <w:p w:rsidR="00AF2B8C" w:rsidRPr="00394C66" w:rsidRDefault="00AF2B8C" w:rsidP="00AF2B8C">
      <w:pPr>
        <w:tabs>
          <w:tab w:val="clear" w:pos="1980"/>
        </w:tabs>
        <w:ind w:left="1276" w:hanging="1276"/>
        <w:rPr>
          <w:color w:val="000000" w:themeColor="text1"/>
          <w:sz w:val="20"/>
        </w:rPr>
      </w:pPr>
    </w:p>
    <w:p w:rsidR="00AF2B8C" w:rsidRPr="0072795F" w:rsidRDefault="00AF2B8C" w:rsidP="00AF2B8C">
      <w:pPr>
        <w:tabs>
          <w:tab w:val="clear" w:pos="1980"/>
        </w:tabs>
        <w:ind w:left="1276" w:hanging="1276"/>
        <w:rPr>
          <w:color w:val="000000" w:themeColor="text1"/>
          <w:szCs w:val="22"/>
          <w:u w:val="single"/>
        </w:rPr>
      </w:pPr>
      <w:r>
        <w:rPr>
          <w:color w:val="000000" w:themeColor="text1"/>
          <w:szCs w:val="22"/>
        </w:rPr>
        <w:t>2.5</w:t>
      </w:r>
      <w:r>
        <w:rPr>
          <w:color w:val="000000" w:themeColor="text1"/>
          <w:szCs w:val="22"/>
        </w:rPr>
        <w:tab/>
      </w:r>
      <w:r w:rsidR="00AD1132">
        <w:rPr>
          <w:color w:val="000000" w:themeColor="text1"/>
          <w:szCs w:val="22"/>
        </w:rPr>
        <w:t>Officers publish an annual SLA return for the CASTR within the Members’ Information Bulletin.</w:t>
      </w:r>
    </w:p>
    <w:p w:rsidR="001E6C5E" w:rsidRPr="00394C66" w:rsidRDefault="001E6C5E" w:rsidP="008F488A">
      <w:pPr>
        <w:rPr>
          <w:sz w:val="20"/>
        </w:rPr>
      </w:pPr>
    </w:p>
    <w:p w:rsidR="00000C94" w:rsidRDefault="00BF34FA">
      <w:pPr>
        <w:keepNext/>
        <w:ind w:left="1267" w:hanging="1267"/>
        <w:rPr>
          <w:b/>
        </w:rPr>
      </w:pPr>
      <w:r>
        <w:t>3.</w:t>
      </w:r>
      <w:r>
        <w:tab/>
      </w:r>
      <w:r>
        <w:rPr>
          <w:b/>
        </w:rPr>
        <w:t>Options/Reasons for Recommendation</w:t>
      </w:r>
    </w:p>
    <w:p w:rsidR="00000C94" w:rsidRPr="00000C94" w:rsidRDefault="00000C94">
      <w:pPr>
        <w:keepNext/>
        <w:ind w:left="1267" w:hanging="1267"/>
        <w:rPr>
          <w:sz w:val="20"/>
        </w:rPr>
      </w:pPr>
    </w:p>
    <w:p w:rsidR="00AF2B8C" w:rsidRDefault="00BF34FA">
      <w:pPr>
        <w:ind w:left="1267" w:hanging="1267"/>
      </w:pPr>
      <w:r>
        <w:t>3.1</w:t>
      </w:r>
      <w:r>
        <w:tab/>
      </w:r>
      <w:r w:rsidR="001969EF">
        <w:t xml:space="preserve">To </w:t>
      </w:r>
      <w:r w:rsidR="00AF2B8C">
        <w:t>note the performance and achievements of the CASTR</w:t>
      </w:r>
      <w:r w:rsidR="009D65B4">
        <w:t xml:space="preserve"> for 2015/16</w:t>
      </w:r>
      <w:r w:rsidR="00AF2B8C">
        <w:t>.</w:t>
      </w:r>
    </w:p>
    <w:p w:rsidR="00AF2B8C" w:rsidRPr="00394C66" w:rsidRDefault="00AF2B8C">
      <w:pPr>
        <w:ind w:left="1267" w:hanging="1267"/>
        <w:rPr>
          <w:sz w:val="20"/>
        </w:rPr>
      </w:pPr>
    </w:p>
    <w:p w:rsidR="00BF34FA" w:rsidRDefault="00AF2B8C">
      <w:pPr>
        <w:ind w:left="1267" w:hanging="1267"/>
      </w:pPr>
      <w:r>
        <w:t>3.2</w:t>
      </w:r>
      <w:r>
        <w:tab/>
        <w:t>To raise any questions following the presentation by the Director of the CASTR.</w:t>
      </w:r>
      <w:r w:rsidR="00BF34FA">
        <w:fldChar w:fldCharType="begin"/>
      </w:r>
      <w:r w:rsidR="00BF34FA">
        <w:instrText xml:space="preserve">  </w:instrText>
      </w:r>
      <w:r w:rsidR="00BF34FA">
        <w:fldChar w:fldCharType="end"/>
      </w:r>
    </w:p>
    <w:p w:rsidR="00AF2B8C" w:rsidRPr="00394C66" w:rsidRDefault="00AF2B8C" w:rsidP="009360FC">
      <w:pPr>
        <w:rPr>
          <w:sz w:val="20"/>
        </w:rPr>
      </w:pPr>
    </w:p>
    <w:p w:rsidR="00BF34FA" w:rsidRPr="00000C94" w:rsidRDefault="00BF34FA" w:rsidP="00000C94">
      <w:pPr>
        <w:keepNext/>
        <w:ind w:left="1267" w:hanging="1267"/>
        <w:jc w:val="left"/>
        <w:rPr>
          <w:sz w:val="20"/>
        </w:rPr>
      </w:pPr>
      <w:r>
        <w:t>4.</w:t>
      </w:r>
      <w:r>
        <w:tab/>
      </w:r>
      <w:r>
        <w:rPr>
          <w:b/>
        </w:rPr>
        <w:t>Policy/Budget Reference and Implications</w:t>
      </w:r>
      <w:r w:rsidR="00000C94">
        <w:rPr>
          <w:b/>
        </w:rPr>
        <w:br/>
      </w:r>
    </w:p>
    <w:p w:rsidR="00AF2B8C" w:rsidRPr="00DE60B1" w:rsidRDefault="00AF2B8C" w:rsidP="00AF2B8C">
      <w:pPr>
        <w:numPr>
          <w:ilvl w:val="1"/>
          <w:numId w:val="5"/>
        </w:numPr>
        <w:tabs>
          <w:tab w:val="clear" w:pos="360"/>
        </w:tabs>
        <w:ind w:left="1276" w:hanging="1276"/>
        <w:rPr>
          <w:color w:val="000000"/>
        </w:rPr>
      </w:pPr>
      <w:r w:rsidRPr="00DE60B1">
        <w:rPr>
          <w:color w:val="000000"/>
        </w:rPr>
        <w:t xml:space="preserve">The recommendations in this report are within the Council’s agreed policy </w:t>
      </w:r>
      <w:r w:rsidR="009849A2">
        <w:rPr>
          <w:color w:val="000000"/>
        </w:rPr>
        <w:t>and budgets. The relevant policies</w:t>
      </w:r>
      <w:r w:rsidRPr="00DE60B1">
        <w:rPr>
          <w:color w:val="000000"/>
        </w:rPr>
        <w:t xml:space="preserve"> </w:t>
      </w:r>
      <w:r w:rsidR="009849A2">
        <w:rPr>
          <w:color w:val="000000"/>
        </w:rPr>
        <w:t>are</w:t>
      </w:r>
      <w:r w:rsidRPr="00DE60B1">
        <w:rPr>
          <w:color w:val="000000"/>
        </w:rPr>
        <w:t xml:space="preserve"> entitled the </w:t>
      </w:r>
      <w:r w:rsidRPr="00DE60B1">
        <w:rPr>
          <w:color w:val="000000"/>
        </w:rPr>
        <w:fldChar w:fldCharType="begin"/>
      </w:r>
      <w:r w:rsidRPr="00DE60B1">
        <w:rPr>
          <w:color w:val="000000"/>
        </w:rPr>
        <w:instrText xml:space="preserve"> ASK   \* MERGEFORMAT </w:instrText>
      </w:r>
      <w:r w:rsidRPr="00DE60B1">
        <w:rPr>
          <w:color w:val="000000"/>
        </w:rPr>
        <w:fldChar w:fldCharType="end"/>
      </w:r>
      <w:r w:rsidR="009849A2">
        <w:rPr>
          <w:color w:val="000000"/>
        </w:rPr>
        <w:t>Strategic Plan 2016-19</w:t>
      </w:r>
      <w:r w:rsidR="004159B7">
        <w:rPr>
          <w:color w:val="000000"/>
        </w:rPr>
        <w:t xml:space="preserve">. </w:t>
      </w:r>
      <w:bookmarkStart w:id="0" w:name="_GoBack"/>
      <w:bookmarkEnd w:id="0"/>
    </w:p>
    <w:p w:rsidR="00490883" w:rsidRPr="00000C94" w:rsidRDefault="00490883" w:rsidP="00AF2B8C">
      <w:pPr>
        <w:ind w:left="1267" w:hanging="1267"/>
        <w:rPr>
          <w:sz w:val="20"/>
        </w:rPr>
      </w:pPr>
    </w:p>
    <w:p w:rsidR="00D16466" w:rsidRPr="00000C94" w:rsidRDefault="00D16466">
      <w:pPr>
        <w:keepNext/>
        <w:ind w:left="1267" w:hanging="1267"/>
        <w:rPr>
          <w:sz w:val="20"/>
        </w:rPr>
      </w:pPr>
    </w:p>
    <w:p w:rsidR="00BF34FA" w:rsidRDefault="006E1A19">
      <w:pPr>
        <w:keepNext/>
        <w:ind w:left="1267" w:hanging="1267"/>
        <w:rPr>
          <w:b/>
          <w:color w:val="000000"/>
        </w:rPr>
      </w:pPr>
      <w:r>
        <w:rPr>
          <w:color w:val="000000"/>
        </w:rPr>
        <w:t>5</w:t>
      </w:r>
      <w:r w:rsidR="00BF34FA" w:rsidRPr="00552D80">
        <w:rPr>
          <w:color w:val="000000"/>
        </w:rPr>
        <w:t>.</w:t>
      </w:r>
      <w:r w:rsidR="00BF34FA" w:rsidRPr="00552D80">
        <w:rPr>
          <w:color w:val="000000"/>
        </w:rPr>
        <w:tab/>
      </w:r>
      <w:r w:rsidR="00BF34FA" w:rsidRPr="00552D80">
        <w:rPr>
          <w:b/>
          <w:color w:val="000000"/>
        </w:rPr>
        <w:t>Financial Implications</w:t>
      </w:r>
    </w:p>
    <w:p w:rsidR="00000C94" w:rsidRPr="00000C94" w:rsidRDefault="00000C94">
      <w:pPr>
        <w:keepNext/>
        <w:ind w:left="1267" w:hanging="1267"/>
        <w:rPr>
          <w:color w:val="000000"/>
          <w:sz w:val="20"/>
        </w:rPr>
      </w:pPr>
    </w:p>
    <w:p w:rsidR="00AF2B8C" w:rsidRPr="00AF2B8C" w:rsidRDefault="00AF2B8C" w:rsidP="006E1A19">
      <w:pPr>
        <w:pStyle w:val="ListParagraph"/>
        <w:keepNext/>
        <w:numPr>
          <w:ilvl w:val="1"/>
          <w:numId w:val="8"/>
        </w:numPr>
        <w:tabs>
          <w:tab w:val="clear" w:pos="1260"/>
        </w:tabs>
        <w:ind w:left="1276" w:hanging="1276"/>
        <w:rPr>
          <w:color w:val="000000"/>
        </w:rPr>
      </w:pPr>
      <w:r w:rsidRPr="00AF2B8C">
        <w:rPr>
          <w:color w:val="000000"/>
        </w:rPr>
        <w:t>The budgeted funding for the SLA for 2016/17 is £</w:t>
      </w:r>
      <w:r w:rsidR="00796591">
        <w:rPr>
          <w:color w:val="000000"/>
        </w:rPr>
        <w:t>257,340</w:t>
      </w:r>
      <w:r w:rsidRPr="00AF2B8C">
        <w:rPr>
          <w:color w:val="000000"/>
        </w:rPr>
        <w:t xml:space="preserve">.  This </w:t>
      </w:r>
      <w:r w:rsidR="00796591">
        <w:rPr>
          <w:color w:val="000000"/>
        </w:rPr>
        <w:t xml:space="preserve">does not </w:t>
      </w:r>
      <w:r w:rsidRPr="00AF2B8C">
        <w:rPr>
          <w:color w:val="000000"/>
        </w:rPr>
        <w:t>include the lease costs of CAS offices in Rickmansworth and South Oxhey</w:t>
      </w:r>
      <w:r w:rsidR="00796591">
        <w:rPr>
          <w:color w:val="000000"/>
        </w:rPr>
        <w:t xml:space="preserve"> which have a value of £46,000</w:t>
      </w:r>
      <w:r w:rsidRPr="00AF2B8C">
        <w:rPr>
          <w:color w:val="000000"/>
        </w:rPr>
        <w:t>.</w:t>
      </w:r>
      <w:r w:rsidR="00796591">
        <w:rPr>
          <w:color w:val="000000"/>
        </w:rPr>
        <w:t xml:space="preserve"> There are no proposed changes to the budget. </w:t>
      </w:r>
    </w:p>
    <w:p w:rsidR="00AF2B8C" w:rsidRPr="00394C66" w:rsidRDefault="00AF2B8C">
      <w:pPr>
        <w:pStyle w:val="Header"/>
        <w:tabs>
          <w:tab w:val="clear" w:pos="4153"/>
          <w:tab w:val="clear" w:pos="8306"/>
          <w:tab w:val="left" w:pos="1260"/>
          <w:tab w:val="left" w:pos="1980"/>
          <w:tab w:val="left" w:pos="2700"/>
          <w:tab w:val="left" w:pos="3420"/>
        </w:tabs>
        <w:rPr>
          <w:sz w:val="20"/>
        </w:rPr>
      </w:pPr>
    </w:p>
    <w:p w:rsidR="00BF34FA" w:rsidRDefault="006E1A19">
      <w:pPr>
        <w:keepNext/>
        <w:ind w:left="1267" w:hanging="1267"/>
        <w:rPr>
          <w:b/>
        </w:rPr>
      </w:pPr>
      <w:r>
        <w:t>6</w:t>
      </w:r>
      <w:r w:rsidR="00BF34FA">
        <w:t>.</w:t>
      </w:r>
      <w:r w:rsidR="00BF34FA">
        <w:tab/>
      </w:r>
      <w:r w:rsidR="00BF34FA">
        <w:rPr>
          <w:b/>
        </w:rPr>
        <w:t>Risk Management and Health &amp; Safety Implications</w:t>
      </w:r>
    </w:p>
    <w:p w:rsidR="00000C94" w:rsidRPr="00000C94" w:rsidRDefault="00000C94" w:rsidP="00000C94">
      <w:pPr>
        <w:keepNext/>
        <w:rPr>
          <w:b/>
          <w:sz w:val="20"/>
        </w:rPr>
      </w:pPr>
    </w:p>
    <w:p w:rsidR="00BF34FA" w:rsidRDefault="006E1A19">
      <w:pPr>
        <w:ind w:left="1276" w:hanging="1276"/>
      </w:pPr>
      <w:r>
        <w:t>6</w:t>
      </w:r>
      <w:r w:rsidR="00BF34FA">
        <w:t>.1</w:t>
      </w:r>
      <w:r w:rsidR="00BF34FA">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Pr="00394C66" w:rsidRDefault="00BF34FA">
      <w:pPr>
        <w:rPr>
          <w:sz w:val="20"/>
        </w:rPr>
      </w:pPr>
    </w:p>
    <w:p w:rsidR="00BF34FA" w:rsidRDefault="006E1A19">
      <w:pPr>
        <w:ind w:left="1260" w:hanging="1260"/>
      </w:pPr>
      <w:r>
        <w:t>6</w:t>
      </w:r>
      <w:r w:rsidR="00BF34FA">
        <w:t>.2</w:t>
      </w:r>
      <w:r w:rsidR="00BF34FA">
        <w:tab/>
        <w:t xml:space="preserve">The subject of this report is covered by the </w:t>
      </w:r>
      <w:r w:rsidR="008E41A1">
        <w:t>Community Partnerships</w:t>
      </w:r>
      <w:r w:rsidR="00BF34FA">
        <w:fldChar w:fldCharType="begin"/>
      </w:r>
      <w:r w:rsidR="00BF34FA">
        <w:instrText xml:space="preserve"> ASK   \* MERGEFORMAT </w:instrText>
      </w:r>
      <w:r w:rsidR="00BF34FA">
        <w:fldChar w:fldCharType="end"/>
      </w:r>
      <w:r w:rsidR="00BF34FA">
        <w:t xml:space="preserve"> service plan</w:t>
      </w:r>
      <w:r w:rsidR="004533A1">
        <w:t>.</w:t>
      </w:r>
      <w:r w:rsidR="00BF34FA">
        <w:t xml:space="preserve">  Any risks resulting from this report will be included in the risk register and, if necessary, managed within</w:t>
      </w:r>
      <w:r w:rsidR="008E41A1">
        <w:t xml:space="preserve"> this plan. </w:t>
      </w:r>
    </w:p>
    <w:p w:rsidR="00BF34FA" w:rsidRPr="00394C66" w:rsidRDefault="00BF34FA">
      <w:pPr>
        <w:rPr>
          <w:sz w:val="20"/>
        </w:rPr>
      </w:pPr>
    </w:p>
    <w:p w:rsidR="00BF34FA" w:rsidRDefault="006E1A19">
      <w:pPr>
        <w:ind w:left="1276" w:hanging="1276"/>
      </w:pPr>
      <w:r>
        <w:t>6</w:t>
      </w:r>
      <w:r w:rsidR="00BF34FA">
        <w:t>.3</w:t>
      </w:r>
      <w:r w:rsidR="00BF34FA">
        <w:tab/>
        <w:t>There are no risks to the Council in agreeing the recommendatio</w:t>
      </w:r>
      <w:r w:rsidR="00BF34FA" w:rsidRPr="009D65B4">
        <w:rPr>
          <w:color w:val="000000" w:themeColor="text1"/>
        </w:rPr>
        <w:t>n.</w:t>
      </w:r>
    </w:p>
    <w:p w:rsidR="00BF34FA" w:rsidRPr="00394C66" w:rsidRDefault="00BF34FA">
      <w:pPr>
        <w:rPr>
          <w:sz w:val="20"/>
        </w:rPr>
      </w:pPr>
    </w:p>
    <w:p w:rsidR="00BF34FA" w:rsidRPr="008F7A93" w:rsidRDefault="006E1A19" w:rsidP="008F7A93">
      <w:pPr>
        <w:ind w:left="1276" w:hanging="1276"/>
      </w:pPr>
      <w:r>
        <w:t>6</w:t>
      </w:r>
      <w:r w:rsidR="00FA0C1C">
        <w:t>.4</w:t>
      </w:r>
      <w:r w:rsidR="00FA0C1C">
        <w:tab/>
      </w:r>
      <w:r w:rsidR="00BF34FA">
        <w:tab/>
      </w:r>
      <w:r w:rsidR="00F8054A">
        <w:t>There are no risks to the Council in rejecting the recommendation</w:t>
      </w:r>
      <w:r w:rsidR="00F8054A" w:rsidRPr="009D65B4">
        <w:rPr>
          <w:color w:val="008000"/>
        </w:rPr>
        <w:t>.</w:t>
      </w:r>
    </w:p>
    <w:p w:rsidR="006E1A19" w:rsidRPr="006E1A19" w:rsidRDefault="006E1A19">
      <w:pPr>
        <w:rPr>
          <w:color w:val="000000" w:themeColor="text1"/>
          <w:sz w:val="20"/>
        </w:rPr>
      </w:pPr>
    </w:p>
    <w:p w:rsidR="006E1A19" w:rsidRPr="006E1A19" w:rsidRDefault="006E1A19" w:rsidP="006E1A19">
      <w:pPr>
        <w:keepNext/>
        <w:ind w:left="1267" w:hanging="1267"/>
        <w:rPr>
          <w:b/>
          <w:color w:val="000000" w:themeColor="text1"/>
        </w:rPr>
      </w:pPr>
      <w:r w:rsidRPr="006E1A19">
        <w:rPr>
          <w:color w:val="000000" w:themeColor="text1"/>
        </w:rPr>
        <w:t>7.</w:t>
      </w:r>
      <w:r w:rsidRPr="006E1A19">
        <w:rPr>
          <w:color w:val="000000" w:themeColor="text1"/>
        </w:rPr>
        <w:fldChar w:fldCharType="begin"/>
      </w:r>
      <w:r w:rsidRPr="006E1A19">
        <w:rPr>
          <w:color w:val="000000" w:themeColor="text1"/>
        </w:rPr>
        <w:instrText xml:space="preserve">  </w:instrText>
      </w:r>
      <w:r w:rsidRPr="006E1A19">
        <w:rPr>
          <w:color w:val="000000" w:themeColor="text1"/>
        </w:rPr>
        <w:fldChar w:fldCharType="end"/>
      </w:r>
      <w:r w:rsidRPr="006E1A19">
        <w:rPr>
          <w:color w:val="000000" w:themeColor="text1"/>
        </w:rPr>
        <w:tab/>
      </w:r>
      <w:r w:rsidRPr="006E1A19">
        <w:rPr>
          <w:b/>
          <w:color w:val="000000" w:themeColor="text1"/>
        </w:rPr>
        <w:t>Legal, Equal Opportunitie</w:t>
      </w:r>
      <w:r>
        <w:rPr>
          <w:b/>
          <w:color w:val="000000" w:themeColor="text1"/>
        </w:rPr>
        <w:t xml:space="preserve">s, </w:t>
      </w:r>
      <w:r w:rsidRPr="006E1A19">
        <w:rPr>
          <w:b/>
          <w:color w:val="000000" w:themeColor="text1"/>
        </w:rPr>
        <w:t>Staffing,</w:t>
      </w:r>
      <w:r>
        <w:rPr>
          <w:b/>
          <w:color w:val="000000" w:themeColor="text1"/>
        </w:rPr>
        <w:t xml:space="preserve"> </w:t>
      </w:r>
      <w:r w:rsidRPr="006E1A19">
        <w:rPr>
          <w:b/>
          <w:color w:val="000000" w:themeColor="text1"/>
        </w:rPr>
        <w:t>Environmental,</w:t>
      </w:r>
      <w:r>
        <w:rPr>
          <w:b/>
          <w:color w:val="000000" w:themeColor="text1"/>
        </w:rPr>
        <w:t xml:space="preserve"> </w:t>
      </w:r>
      <w:r w:rsidRPr="006E1A19">
        <w:rPr>
          <w:b/>
          <w:color w:val="000000" w:themeColor="text1"/>
        </w:rPr>
        <w:t>Community Safety</w:t>
      </w:r>
      <w:r>
        <w:rPr>
          <w:b/>
          <w:color w:val="000000" w:themeColor="text1"/>
        </w:rPr>
        <w:t xml:space="preserve">, </w:t>
      </w:r>
      <w:r w:rsidRPr="006E1A19">
        <w:rPr>
          <w:b/>
          <w:color w:val="000000" w:themeColor="text1"/>
        </w:rPr>
        <w:t>Public Health</w:t>
      </w:r>
      <w:r>
        <w:rPr>
          <w:b/>
          <w:color w:val="000000" w:themeColor="text1"/>
        </w:rPr>
        <w:t xml:space="preserve">, Customer Services Centre and </w:t>
      </w:r>
      <w:r w:rsidRPr="006E1A19">
        <w:rPr>
          <w:b/>
          <w:color w:val="000000" w:themeColor="text1"/>
        </w:rPr>
        <w:t>Communications &amp; Website</w:t>
      </w:r>
      <w:r>
        <w:rPr>
          <w:b/>
          <w:color w:val="000000" w:themeColor="text1"/>
        </w:rPr>
        <w:t xml:space="preserve"> </w:t>
      </w:r>
      <w:r w:rsidRPr="006E1A19">
        <w:rPr>
          <w:b/>
          <w:color w:val="000000" w:themeColor="text1"/>
        </w:rPr>
        <w:t>Implications</w:t>
      </w:r>
    </w:p>
    <w:p w:rsidR="006E1A19" w:rsidRPr="004F1198" w:rsidRDefault="006E1A19" w:rsidP="006E1A19">
      <w:pPr>
        <w:keepNext/>
        <w:ind w:left="1267" w:hanging="1267"/>
        <w:rPr>
          <w:color w:val="000000" w:themeColor="text1"/>
          <w:sz w:val="20"/>
        </w:rPr>
      </w:pPr>
    </w:p>
    <w:p w:rsidR="006E1A19" w:rsidRPr="006E1A19" w:rsidRDefault="006E1A19" w:rsidP="006E1A19">
      <w:pPr>
        <w:ind w:left="1267" w:hanging="1267"/>
        <w:rPr>
          <w:color w:val="000000" w:themeColor="text1"/>
        </w:rPr>
      </w:pPr>
      <w:r w:rsidRPr="006E1A19">
        <w:rPr>
          <w:color w:val="000000" w:themeColor="text1"/>
        </w:rPr>
        <w:t>7.1</w:t>
      </w:r>
      <w:r w:rsidRPr="006E1A19">
        <w:rPr>
          <w:color w:val="000000" w:themeColor="text1"/>
        </w:rPr>
        <w:fldChar w:fldCharType="begin"/>
      </w:r>
      <w:r w:rsidRPr="006E1A19">
        <w:rPr>
          <w:color w:val="000000" w:themeColor="text1"/>
        </w:rPr>
        <w:instrText xml:space="preserve">  </w:instrText>
      </w:r>
      <w:r w:rsidRPr="006E1A19">
        <w:rPr>
          <w:color w:val="000000" w:themeColor="text1"/>
        </w:rPr>
        <w:fldChar w:fldCharType="end"/>
      </w:r>
      <w:r w:rsidRPr="006E1A19">
        <w:rPr>
          <w:color w:val="000000" w:themeColor="text1"/>
        </w:rPr>
        <w:tab/>
        <w:t>None specific.</w:t>
      </w:r>
    </w:p>
    <w:p w:rsidR="00BF34FA" w:rsidRPr="006E1A19" w:rsidRDefault="00BF34FA" w:rsidP="008F7A93">
      <w:pPr>
        <w:pStyle w:val="BodyTextIndent"/>
        <w:ind w:left="0" w:firstLine="0"/>
        <w:rPr>
          <w:color w:val="000000" w:themeColor="text1"/>
          <w:sz w:val="20"/>
        </w:rPr>
      </w:pPr>
    </w:p>
    <w:p w:rsidR="00BF34FA" w:rsidRDefault="00F8054A">
      <w:pPr>
        <w:keepNext/>
        <w:ind w:left="1267" w:hanging="1267"/>
        <w:rPr>
          <w:b/>
        </w:rPr>
      </w:pPr>
      <w:r>
        <w:t>8</w:t>
      </w:r>
      <w:r w:rsidR="00BF34FA">
        <w:t>.</w:t>
      </w:r>
      <w:r w:rsidR="00BF34FA">
        <w:fldChar w:fldCharType="begin"/>
      </w:r>
      <w:r w:rsidR="00BF34FA">
        <w:instrText xml:space="preserve">  </w:instrText>
      </w:r>
      <w:r w:rsidR="00BF34FA">
        <w:fldChar w:fldCharType="end"/>
      </w:r>
      <w:r w:rsidR="00BF34FA">
        <w:tab/>
      </w:r>
      <w:r w:rsidR="00BF34FA">
        <w:rPr>
          <w:b/>
        </w:rPr>
        <w:t>Recommendation</w:t>
      </w:r>
    </w:p>
    <w:p w:rsidR="00000C94" w:rsidRPr="00000C94" w:rsidRDefault="00000C94">
      <w:pPr>
        <w:keepNext/>
        <w:ind w:left="1267" w:hanging="1267"/>
        <w:rPr>
          <w:sz w:val="20"/>
        </w:rPr>
      </w:pPr>
    </w:p>
    <w:p w:rsidR="00F8054A" w:rsidRDefault="00F8054A" w:rsidP="00F8054A">
      <w:pPr>
        <w:ind w:left="1267" w:hanging="1267"/>
      </w:pPr>
      <w:r>
        <w:t>8</w:t>
      </w:r>
      <w:r w:rsidR="00BF34FA">
        <w:t>.1</w:t>
      </w:r>
      <w:r w:rsidR="00BF34FA">
        <w:tab/>
      </w:r>
      <w:r>
        <w:t>To note the performance and achievements of the CASTR for 2015/16.</w:t>
      </w:r>
    </w:p>
    <w:p w:rsidR="00796591" w:rsidRPr="00394C66" w:rsidRDefault="00796591" w:rsidP="00F8054A">
      <w:pPr>
        <w:ind w:left="1267" w:hanging="1267"/>
        <w:rPr>
          <w:sz w:val="20"/>
        </w:rPr>
      </w:pPr>
    </w:p>
    <w:p w:rsidR="00796591" w:rsidRDefault="00796591" w:rsidP="00F8054A">
      <w:pPr>
        <w:ind w:left="1267" w:hanging="1267"/>
      </w:pPr>
      <w:r>
        <w:t>8.2</w:t>
      </w:r>
      <w:r>
        <w:tab/>
        <w:t xml:space="preserve">To identify any areas for further policy consideration regarding the data </w:t>
      </w:r>
      <w:r w:rsidR="00000C94">
        <w:t xml:space="preserve">and information </w:t>
      </w:r>
      <w:r>
        <w:t xml:space="preserve">presented. </w:t>
      </w:r>
    </w:p>
    <w:p w:rsidR="00BF34FA" w:rsidRPr="00394C66" w:rsidRDefault="00BF34FA" w:rsidP="00F8054A">
      <w:pPr>
        <w:rPr>
          <w:sz w:val="20"/>
        </w:rPr>
      </w:pPr>
    </w:p>
    <w:p w:rsidR="00BF34FA" w:rsidRPr="00394C66" w:rsidRDefault="00BF34FA">
      <w:pPr>
        <w:rPr>
          <w:sz w:val="20"/>
        </w:rPr>
      </w:pPr>
    </w:p>
    <w:p w:rsidR="00F8054A" w:rsidRDefault="00BF34FA" w:rsidP="00F8054A">
      <w:pPr>
        <w:ind w:left="1253" w:hanging="1253"/>
      </w:pPr>
      <w:r>
        <w:tab/>
        <w:t>Report prepared by:</w:t>
      </w:r>
      <w:r>
        <w:tab/>
      </w:r>
      <w:r w:rsidR="00F8054A">
        <w:t>Karl Stonebank</w:t>
      </w:r>
      <w:r w:rsidR="008E41A1">
        <w:t xml:space="preserve">, </w:t>
      </w:r>
      <w:r w:rsidR="00F8054A">
        <w:t>Partnerships Officer</w:t>
      </w:r>
      <w:r w:rsidR="00F8054A">
        <w:fldChar w:fldCharType="begin"/>
      </w:r>
      <w:r w:rsidR="00F8054A">
        <w:instrText xml:space="preserve"> ASK   \* MERGEFORMAT </w:instrText>
      </w:r>
      <w:r w:rsidR="00F8054A">
        <w:fldChar w:fldCharType="end"/>
      </w:r>
    </w:p>
    <w:p w:rsidR="009D65B4" w:rsidRPr="00394C66" w:rsidRDefault="00394C66" w:rsidP="008E41A1">
      <w:pPr>
        <w:rPr>
          <w:sz w:val="20"/>
        </w:rPr>
      </w:pPr>
      <w:r w:rsidRPr="00394C66">
        <w:rPr>
          <w:sz w:val="20"/>
        </w:rPr>
        <w:br/>
      </w:r>
    </w:p>
    <w:p w:rsidR="009D65B4" w:rsidRDefault="009D65B4" w:rsidP="009D65B4">
      <w:pPr>
        <w:keepNext/>
        <w:keepLines/>
        <w:ind w:left="1267" w:hanging="1267"/>
        <w:outlineLvl w:val="0"/>
        <w:rPr>
          <w:b/>
        </w:rPr>
      </w:pPr>
      <w:r>
        <w:rPr>
          <w:b/>
        </w:rPr>
        <w:tab/>
        <w:t>Data Quality</w:t>
      </w:r>
    </w:p>
    <w:p w:rsidR="009D65B4" w:rsidRDefault="009D65B4" w:rsidP="009026FF">
      <w:pPr>
        <w:keepNext/>
        <w:ind w:left="1260"/>
      </w:pPr>
      <w:r>
        <w:t xml:space="preserve">Data sources: </w:t>
      </w:r>
      <w:r w:rsidR="004F1198">
        <w:t>CASTR</w:t>
      </w:r>
      <w:r w:rsidR="009026FF">
        <w:t xml:space="preserve"> </w:t>
      </w:r>
      <w:r>
        <w:t>SLA Performance Report – 2015/16</w:t>
      </w:r>
    </w:p>
    <w:p w:rsidR="009D65B4" w:rsidRPr="00394C66" w:rsidRDefault="009D65B4" w:rsidP="009D65B4">
      <w:pPr>
        <w:keepNext/>
        <w:keepLines/>
        <w:ind w:left="1267" w:hanging="1267"/>
        <w:rPr>
          <w:sz w:val="20"/>
        </w:rPr>
      </w:pPr>
    </w:p>
    <w:p w:rsidR="009D65B4" w:rsidRDefault="009D65B4" w:rsidP="009D65B4">
      <w:pPr>
        <w:keepNext/>
        <w:keepLines/>
        <w:ind w:left="1267" w:hanging="1267"/>
      </w:pPr>
      <w:r>
        <w:fldChar w:fldCharType="begin"/>
      </w:r>
      <w:r>
        <w:instrText xml:space="preserve"> ASK   \* MERGEFORMAT </w:instrText>
      </w:r>
      <w:r>
        <w:fldChar w:fldCharType="end"/>
      </w:r>
      <w:r>
        <w:rPr>
          <w:i/>
        </w:rPr>
        <w:tab/>
      </w:r>
      <w:r>
        <w:rPr>
          <w:i/>
        </w:rPr>
        <w:tab/>
      </w:r>
      <w:r>
        <w:t xml:space="preserve">Data checked by: Andy Stovold, Head of Community Partnerships </w:t>
      </w:r>
    </w:p>
    <w:p w:rsidR="009D65B4" w:rsidRDefault="009D65B4" w:rsidP="009D65B4">
      <w:pPr>
        <w:ind w:left="1260" w:hanging="1260"/>
        <w:rPr>
          <w:b/>
          <w:i/>
          <w:color w:val="008000"/>
        </w:rPr>
      </w:pPr>
      <w:r w:rsidRPr="00394C66">
        <w:rPr>
          <w:sz w:val="20"/>
        </w:rPr>
        <w:tab/>
      </w:r>
      <w:r w:rsidRPr="00394C66">
        <w:rPr>
          <w:sz w:val="20"/>
        </w:rPr>
        <w:br/>
      </w:r>
      <w:r>
        <w:t xml:space="preserve">Data rating: </w:t>
      </w:r>
    </w:p>
    <w:p w:rsidR="009D65B4" w:rsidRPr="00394C66" w:rsidRDefault="009D65B4" w:rsidP="009D65B4">
      <w:pPr>
        <w:ind w:left="1253" w:hanging="1253"/>
        <w:rPr>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9D65B4" w:rsidTr="00936BCB">
        <w:trPr>
          <w:trHeight w:hRule="exact" w:val="346"/>
        </w:trPr>
        <w:tc>
          <w:tcPr>
            <w:tcW w:w="392" w:type="dxa"/>
            <w:vAlign w:val="center"/>
          </w:tcPr>
          <w:p w:rsidR="009D65B4" w:rsidRDefault="009D65B4" w:rsidP="00936BCB">
            <w:pPr>
              <w:keepNext/>
              <w:keepLines/>
            </w:pPr>
            <w:r>
              <w:t>1</w:t>
            </w:r>
          </w:p>
        </w:tc>
        <w:tc>
          <w:tcPr>
            <w:tcW w:w="1276" w:type="dxa"/>
            <w:vAlign w:val="center"/>
          </w:tcPr>
          <w:p w:rsidR="009D65B4" w:rsidRDefault="009D65B4" w:rsidP="00936BCB">
            <w:pPr>
              <w:keepNext/>
              <w:keepLines/>
            </w:pPr>
            <w:r>
              <w:t>Poor</w:t>
            </w:r>
          </w:p>
        </w:tc>
        <w:tc>
          <w:tcPr>
            <w:tcW w:w="492" w:type="dxa"/>
            <w:vAlign w:val="center"/>
          </w:tcPr>
          <w:p w:rsidR="009D65B4" w:rsidRDefault="009D65B4" w:rsidP="00936BCB">
            <w:pPr>
              <w:keepNext/>
              <w:keepLines/>
              <w:jc w:val="center"/>
            </w:pPr>
          </w:p>
        </w:tc>
      </w:tr>
      <w:tr w:rsidR="009D65B4" w:rsidTr="00936BCB">
        <w:trPr>
          <w:trHeight w:hRule="exact" w:val="346"/>
        </w:trPr>
        <w:tc>
          <w:tcPr>
            <w:tcW w:w="392" w:type="dxa"/>
            <w:vAlign w:val="center"/>
          </w:tcPr>
          <w:p w:rsidR="009D65B4" w:rsidRDefault="009D65B4" w:rsidP="00936BCB">
            <w:pPr>
              <w:keepNext/>
              <w:keepLines/>
            </w:pPr>
            <w:r>
              <w:t>2</w:t>
            </w:r>
          </w:p>
        </w:tc>
        <w:tc>
          <w:tcPr>
            <w:tcW w:w="1276" w:type="dxa"/>
            <w:vAlign w:val="center"/>
          </w:tcPr>
          <w:p w:rsidR="009D65B4" w:rsidRDefault="009D65B4" w:rsidP="00936BCB">
            <w:pPr>
              <w:keepNext/>
              <w:keepLines/>
            </w:pPr>
            <w:r>
              <w:t>Sufficient</w:t>
            </w:r>
          </w:p>
        </w:tc>
        <w:tc>
          <w:tcPr>
            <w:tcW w:w="492" w:type="dxa"/>
            <w:vAlign w:val="center"/>
          </w:tcPr>
          <w:p w:rsidR="009D65B4" w:rsidRDefault="009D65B4" w:rsidP="00936BCB">
            <w:pPr>
              <w:keepNext/>
              <w:keepLines/>
              <w:jc w:val="center"/>
            </w:pPr>
            <w:r>
              <w:rPr>
                <w:b/>
                <w:szCs w:val="22"/>
              </w:rPr>
              <w:sym w:font="Wingdings" w:char="F0FC"/>
            </w:r>
          </w:p>
        </w:tc>
      </w:tr>
      <w:tr w:rsidR="009D65B4" w:rsidTr="00936BCB">
        <w:trPr>
          <w:trHeight w:hRule="exact" w:val="346"/>
        </w:trPr>
        <w:tc>
          <w:tcPr>
            <w:tcW w:w="392" w:type="dxa"/>
            <w:vAlign w:val="center"/>
          </w:tcPr>
          <w:p w:rsidR="009D65B4" w:rsidRDefault="009D65B4" w:rsidP="00936BCB">
            <w:pPr>
              <w:keepNext/>
              <w:keepLines/>
            </w:pPr>
            <w:r>
              <w:t>3</w:t>
            </w:r>
          </w:p>
        </w:tc>
        <w:tc>
          <w:tcPr>
            <w:tcW w:w="1276" w:type="dxa"/>
            <w:vAlign w:val="center"/>
          </w:tcPr>
          <w:p w:rsidR="009D65B4" w:rsidRDefault="009D65B4" w:rsidP="00936BCB">
            <w:pPr>
              <w:keepNext/>
              <w:keepLines/>
            </w:pPr>
            <w:r>
              <w:t>High</w:t>
            </w:r>
          </w:p>
        </w:tc>
        <w:tc>
          <w:tcPr>
            <w:tcW w:w="492" w:type="dxa"/>
            <w:vAlign w:val="center"/>
          </w:tcPr>
          <w:p w:rsidR="009D65B4" w:rsidRDefault="009D65B4" w:rsidP="00936BCB">
            <w:pPr>
              <w:keepNext/>
              <w:keepLines/>
              <w:jc w:val="center"/>
            </w:pPr>
          </w:p>
        </w:tc>
      </w:tr>
    </w:tbl>
    <w:p w:rsidR="009D65B4" w:rsidRPr="00876468" w:rsidRDefault="009D65B4" w:rsidP="00394C66">
      <w:pPr>
        <w:ind w:left="1253" w:hanging="1253"/>
        <w:jc w:val="left"/>
        <w:rPr>
          <w:rFonts w:cs="Arial"/>
          <w:color w:val="000000" w:themeColor="text1"/>
          <w:szCs w:val="22"/>
        </w:rPr>
      </w:pPr>
      <w:r w:rsidRPr="00394C66">
        <w:rPr>
          <w:rFonts w:cs="Arial"/>
          <w:color w:val="000000" w:themeColor="text1"/>
          <w:sz w:val="20"/>
        </w:rPr>
        <w:br/>
      </w:r>
      <w:r w:rsidRPr="00394C66">
        <w:rPr>
          <w:rFonts w:cs="Arial"/>
          <w:b/>
          <w:color w:val="000000" w:themeColor="text1"/>
          <w:sz w:val="20"/>
        </w:rPr>
        <w:tab/>
      </w:r>
      <w:r w:rsidR="00394C66" w:rsidRPr="00394C66">
        <w:rPr>
          <w:rFonts w:cs="Arial"/>
          <w:b/>
          <w:color w:val="000000" w:themeColor="text1"/>
          <w:sz w:val="20"/>
        </w:rPr>
        <w:br/>
      </w:r>
      <w:r w:rsidRPr="00876468">
        <w:rPr>
          <w:rFonts w:cs="Arial"/>
          <w:b/>
          <w:color w:val="000000" w:themeColor="text1"/>
          <w:szCs w:val="22"/>
        </w:rPr>
        <w:t>APPENDICES</w:t>
      </w:r>
    </w:p>
    <w:p w:rsidR="00000C94" w:rsidRDefault="008F7A93" w:rsidP="004F1198">
      <w:pPr>
        <w:tabs>
          <w:tab w:val="clear" w:pos="1260"/>
          <w:tab w:val="clear" w:pos="1980"/>
          <w:tab w:val="left" w:pos="1276"/>
        </w:tabs>
        <w:rPr>
          <w:szCs w:val="22"/>
        </w:rPr>
      </w:pPr>
      <w:r>
        <w:rPr>
          <w:szCs w:val="22"/>
        </w:rPr>
        <w:t xml:space="preserve">                    </w:t>
      </w:r>
      <w:r w:rsidR="009D65B4" w:rsidRPr="007D2BBE">
        <w:rPr>
          <w:szCs w:val="22"/>
        </w:rPr>
        <w:t>Appendix A</w:t>
      </w:r>
      <w:r w:rsidR="009D65B4">
        <w:rPr>
          <w:szCs w:val="22"/>
        </w:rPr>
        <w:t xml:space="preserve"> </w:t>
      </w:r>
      <w:r w:rsidR="006E1A19">
        <w:rPr>
          <w:szCs w:val="22"/>
        </w:rPr>
        <w:t>–</w:t>
      </w:r>
      <w:r w:rsidR="009D65B4">
        <w:rPr>
          <w:szCs w:val="22"/>
        </w:rPr>
        <w:t xml:space="preserve"> </w:t>
      </w:r>
      <w:r w:rsidR="004F1198">
        <w:t>CASTR</w:t>
      </w:r>
      <w:r w:rsidR="004F1198">
        <w:rPr>
          <w:szCs w:val="22"/>
        </w:rPr>
        <w:t xml:space="preserve"> </w:t>
      </w:r>
      <w:r w:rsidR="00AD1132">
        <w:rPr>
          <w:szCs w:val="22"/>
        </w:rPr>
        <w:t>Annual Report</w:t>
      </w:r>
      <w:r w:rsidR="00394C66">
        <w:rPr>
          <w:szCs w:val="22"/>
        </w:rPr>
        <w:t xml:space="preserve"> </w:t>
      </w:r>
      <w:r w:rsidR="009D65B4" w:rsidRPr="00CC627E">
        <w:rPr>
          <w:szCs w:val="22"/>
        </w:rPr>
        <w:t>2015/16</w:t>
      </w:r>
    </w:p>
    <w:p w:rsidR="009849A2" w:rsidRDefault="009849A2">
      <w:pPr>
        <w:tabs>
          <w:tab w:val="clear" w:pos="1260"/>
          <w:tab w:val="clear" w:pos="1980"/>
          <w:tab w:val="clear" w:pos="2700"/>
          <w:tab w:val="clear" w:pos="3420"/>
        </w:tabs>
        <w:jc w:val="left"/>
        <w:rPr>
          <w:szCs w:val="22"/>
        </w:rPr>
      </w:pPr>
      <w:r>
        <w:rPr>
          <w:szCs w:val="22"/>
        </w:rPr>
        <w:br w:type="page"/>
      </w:r>
    </w:p>
    <w:p w:rsidR="00D95348" w:rsidRPr="00000C94" w:rsidRDefault="00E4727F" w:rsidP="00000C94">
      <w:pPr>
        <w:tabs>
          <w:tab w:val="clear" w:pos="1260"/>
          <w:tab w:val="clear" w:pos="1980"/>
          <w:tab w:val="clear" w:pos="2700"/>
          <w:tab w:val="clear" w:pos="3420"/>
        </w:tabs>
        <w:jc w:val="left"/>
        <w:rPr>
          <w:szCs w:val="22"/>
        </w:rPr>
      </w:pPr>
      <w:r w:rsidRPr="007D2BBE">
        <w:rPr>
          <w:szCs w:val="22"/>
        </w:rPr>
        <w:lastRenderedPageBreak/>
        <w:t>Appendix A</w:t>
      </w:r>
    </w:p>
    <w:p w:rsidR="00FE795A" w:rsidRPr="00873ADE" w:rsidRDefault="00FE795A" w:rsidP="00FE795A">
      <w:pPr>
        <w:keepNext/>
        <w:keepLines/>
        <w:ind w:left="1267" w:hanging="1267"/>
        <w:outlineLvl w:val="0"/>
        <w:rPr>
          <w:b/>
        </w:rPr>
      </w:pPr>
      <w:r>
        <w:rPr>
          <w:noProof/>
        </w:rPr>
        <w:drawing>
          <wp:anchor distT="0" distB="0" distL="114300" distR="114300" simplePos="0" relativeHeight="251658240" behindDoc="1" locked="0" layoutInCell="1" allowOverlap="1">
            <wp:simplePos x="0" y="0"/>
            <wp:positionH relativeFrom="column">
              <wp:posOffset>541655</wp:posOffset>
            </wp:positionH>
            <wp:positionV relativeFrom="paragraph">
              <wp:posOffset>173990</wp:posOffset>
            </wp:positionV>
            <wp:extent cx="589280" cy="589280"/>
            <wp:effectExtent l="0" t="0" r="1270" b="1270"/>
            <wp:wrapTight wrapText="bothSides">
              <wp:wrapPolygon edited="0">
                <wp:start x="0" y="0"/>
                <wp:lineTo x="0" y="20948"/>
                <wp:lineTo x="20948" y="20948"/>
                <wp:lineTo x="20948" y="0"/>
                <wp:lineTo x="0" y="0"/>
              </wp:wrapPolygon>
            </wp:wrapTight>
            <wp:docPr id="1" name="Picture 1" descr="R0_G75_B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_G75_B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95A" w:rsidRPr="005F00D6" w:rsidRDefault="00FE795A" w:rsidP="00FE795A">
      <w:pPr>
        <w:jc w:val="center"/>
        <w:rPr>
          <w:b/>
          <w:sz w:val="32"/>
          <w:szCs w:val="32"/>
        </w:rPr>
      </w:pPr>
      <w:r w:rsidRPr="005F00D6">
        <w:rPr>
          <w:b/>
          <w:sz w:val="32"/>
          <w:szCs w:val="32"/>
        </w:rPr>
        <w:t xml:space="preserve">CITIZENS ADVICE SERVICE IN THREE RIVERS </w:t>
      </w:r>
      <w:r w:rsidR="004F1198">
        <w:rPr>
          <w:b/>
          <w:sz w:val="32"/>
          <w:szCs w:val="32"/>
        </w:rPr>
        <w:t xml:space="preserve">ANNUAL REPORT </w:t>
      </w:r>
      <w:r w:rsidRPr="005F00D6">
        <w:rPr>
          <w:b/>
          <w:sz w:val="32"/>
          <w:szCs w:val="32"/>
        </w:rPr>
        <w:t>201</w:t>
      </w:r>
      <w:r>
        <w:rPr>
          <w:b/>
          <w:sz w:val="32"/>
          <w:szCs w:val="32"/>
        </w:rPr>
        <w:t>5</w:t>
      </w:r>
      <w:r w:rsidRPr="005F00D6">
        <w:rPr>
          <w:b/>
          <w:sz w:val="32"/>
          <w:szCs w:val="32"/>
        </w:rPr>
        <w:t>/201</w:t>
      </w:r>
      <w:r>
        <w:rPr>
          <w:b/>
          <w:sz w:val="32"/>
          <w:szCs w:val="32"/>
        </w:rPr>
        <w:t>6</w:t>
      </w:r>
    </w:p>
    <w:p w:rsidR="00FE795A" w:rsidRPr="00421C8B" w:rsidRDefault="00FE795A" w:rsidP="00FE795A">
      <w:pPr>
        <w:jc w:val="center"/>
        <w:rPr>
          <w:b/>
          <w:sz w:val="4"/>
          <w:szCs w:val="4"/>
        </w:rPr>
      </w:pPr>
    </w:p>
    <w:p w:rsidR="00FE795A" w:rsidRDefault="00FE795A" w:rsidP="00FE795A">
      <w:pPr>
        <w:jc w:val="center"/>
        <w:rPr>
          <w:b/>
          <w:sz w:val="24"/>
          <w:szCs w:val="24"/>
        </w:rPr>
      </w:pPr>
      <w:r w:rsidRPr="00C408AD">
        <w:rPr>
          <w:b/>
          <w:sz w:val="24"/>
          <w:szCs w:val="24"/>
        </w:rPr>
        <w:t xml:space="preserve">(Abbots </w:t>
      </w:r>
      <w:smartTag w:uri="urn:schemas-microsoft-com:office:smarttags" w:element="place">
        <w:smartTag w:uri="urn:schemas-microsoft-com:office:smarttags" w:element="City">
          <w:smartTag w:uri="urn:schemas-microsoft-com:office:smarttags" w:element="address">
            <w:r w:rsidRPr="00C408AD">
              <w:rPr>
                <w:b/>
                <w:sz w:val="24"/>
                <w:szCs w:val="24"/>
              </w:rPr>
              <w:t>Langley</w:t>
            </w:r>
          </w:smartTag>
        </w:smartTag>
      </w:smartTag>
      <w:r w:rsidRPr="00C408AD">
        <w:rPr>
          <w:b/>
          <w:sz w:val="24"/>
          <w:szCs w:val="24"/>
        </w:rPr>
        <w:t>, Oxhey &amp; Rickmansworth Bureaux)</w:t>
      </w:r>
    </w:p>
    <w:p w:rsidR="00FE795A" w:rsidRDefault="00FE795A" w:rsidP="00FE795A">
      <w:pPr>
        <w:jc w:val="center"/>
        <w:rPr>
          <w:b/>
          <w:sz w:val="8"/>
          <w:szCs w:val="8"/>
        </w:rPr>
      </w:pPr>
    </w:p>
    <w:p w:rsidR="00FE795A" w:rsidRDefault="00FE795A" w:rsidP="00FE795A">
      <w:pPr>
        <w:jc w:val="center"/>
        <w:rPr>
          <w:b/>
          <w:sz w:val="8"/>
          <w:szCs w:val="8"/>
        </w:rPr>
      </w:pPr>
    </w:p>
    <w:p w:rsidR="00FE795A" w:rsidRPr="005F00D6" w:rsidRDefault="00FE795A" w:rsidP="00FE795A">
      <w:pPr>
        <w:jc w:val="center"/>
        <w:rPr>
          <w:b/>
          <w:sz w:val="8"/>
          <w:szCs w:val="8"/>
        </w:rPr>
      </w:pPr>
    </w:p>
    <w:p w:rsidR="00FE795A" w:rsidRPr="00421C8B" w:rsidRDefault="00FE795A" w:rsidP="00FE795A">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258"/>
        <w:gridCol w:w="1209"/>
        <w:gridCol w:w="635"/>
        <w:gridCol w:w="3090"/>
        <w:gridCol w:w="1701"/>
      </w:tblGrid>
      <w:tr w:rsidR="00FE795A" w:rsidRPr="007A2AAF" w:rsidTr="00FC128B">
        <w:tc>
          <w:tcPr>
            <w:tcW w:w="1746" w:type="dxa"/>
            <w:shd w:val="pct25" w:color="auto" w:fill="auto"/>
            <w:vAlign w:val="center"/>
          </w:tcPr>
          <w:p w:rsidR="00FE795A" w:rsidRPr="007A2AAF" w:rsidRDefault="00FE795A" w:rsidP="00FC128B">
            <w:pPr>
              <w:jc w:val="center"/>
              <w:rPr>
                <w:rFonts w:cs="Arial"/>
                <w:b/>
                <w:szCs w:val="22"/>
              </w:rPr>
            </w:pPr>
            <w:r w:rsidRPr="007A2AAF">
              <w:rPr>
                <w:rFonts w:cs="Arial"/>
                <w:b/>
                <w:szCs w:val="22"/>
              </w:rPr>
              <w:t>Issue Distribution</w:t>
            </w:r>
          </w:p>
        </w:tc>
        <w:tc>
          <w:tcPr>
            <w:tcW w:w="1258" w:type="dxa"/>
            <w:shd w:val="pct25" w:color="auto" w:fill="auto"/>
            <w:vAlign w:val="center"/>
          </w:tcPr>
          <w:p w:rsidR="00FE795A" w:rsidRPr="007A2AAF" w:rsidRDefault="00FE795A" w:rsidP="00FC128B">
            <w:pPr>
              <w:jc w:val="center"/>
              <w:rPr>
                <w:rFonts w:cs="Arial"/>
                <w:b/>
                <w:szCs w:val="22"/>
              </w:rPr>
            </w:pPr>
            <w:r w:rsidRPr="007A2AAF">
              <w:rPr>
                <w:rFonts w:cs="Arial"/>
                <w:b/>
                <w:szCs w:val="22"/>
              </w:rPr>
              <w:t>Number of issues</w:t>
            </w:r>
          </w:p>
        </w:tc>
        <w:tc>
          <w:tcPr>
            <w:tcW w:w="1209" w:type="dxa"/>
            <w:shd w:val="pct25" w:color="auto" w:fill="auto"/>
            <w:vAlign w:val="center"/>
          </w:tcPr>
          <w:p w:rsidR="00FE795A" w:rsidRPr="007A2AAF" w:rsidRDefault="00FE795A" w:rsidP="00FC128B">
            <w:pPr>
              <w:jc w:val="center"/>
              <w:rPr>
                <w:rFonts w:cs="Arial"/>
                <w:b/>
                <w:szCs w:val="22"/>
              </w:rPr>
            </w:pPr>
            <w:r w:rsidRPr="007A2AAF">
              <w:rPr>
                <w:rFonts w:cs="Arial"/>
                <w:b/>
                <w:szCs w:val="22"/>
              </w:rPr>
              <w:t>%</w:t>
            </w:r>
          </w:p>
          <w:p w:rsidR="00FE795A" w:rsidRPr="007A2AAF" w:rsidRDefault="00FE795A" w:rsidP="00FC128B">
            <w:pPr>
              <w:jc w:val="center"/>
              <w:rPr>
                <w:rFonts w:cs="Arial"/>
                <w:b/>
                <w:szCs w:val="22"/>
              </w:rPr>
            </w:pPr>
            <w:r w:rsidRPr="007A2AAF">
              <w:rPr>
                <w:rFonts w:cs="Arial"/>
                <w:b/>
                <w:szCs w:val="22"/>
              </w:rPr>
              <w:t>of work</w:t>
            </w:r>
          </w:p>
        </w:tc>
        <w:tc>
          <w:tcPr>
            <w:tcW w:w="635" w:type="dxa"/>
            <w:tcBorders>
              <w:top w:val="nil"/>
              <w:bottom w:val="nil"/>
            </w:tcBorders>
            <w:shd w:val="clear" w:color="auto" w:fill="auto"/>
            <w:vAlign w:val="center"/>
          </w:tcPr>
          <w:p w:rsidR="00FE795A" w:rsidRPr="007A2AAF" w:rsidRDefault="00FE795A" w:rsidP="00FC128B">
            <w:pPr>
              <w:jc w:val="center"/>
              <w:rPr>
                <w:rFonts w:cs="Arial"/>
                <w:szCs w:val="22"/>
              </w:rPr>
            </w:pPr>
          </w:p>
        </w:tc>
        <w:tc>
          <w:tcPr>
            <w:tcW w:w="3090" w:type="dxa"/>
            <w:shd w:val="pct25" w:color="auto" w:fill="auto"/>
            <w:vAlign w:val="center"/>
          </w:tcPr>
          <w:p w:rsidR="00FE795A" w:rsidRPr="007A2AAF" w:rsidRDefault="00FE795A" w:rsidP="00FC128B">
            <w:pPr>
              <w:jc w:val="center"/>
              <w:rPr>
                <w:rFonts w:cs="Arial"/>
                <w:b/>
                <w:szCs w:val="22"/>
              </w:rPr>
            </w:pPr>
            <w:r w:rsidRPr="007A2AAF">
              <w:rPr>
                <w:rFonts w:cs="Arial"/>
                <w:b/>
                <w:szCs w:val="22"/>
              </w:rPr>
              <w:t>Staffing</w:t>
            </w:r>
          </w:p>
        </w:tc>
        <w:tc>
          <w:tcPr>
            <w:tcW w:w="1701" w:type="dxa"/>
            <w:shd w:val="pct25" w:color="auto" w:fill="auto"/>
            <w:vAlign w:val="center"/>
          </w:tcPr>
          <w:p w:rsidR="00FE795A" w:rsidRPr="007A2AAF" w:rsidRDefault="00FE795A" w:rsidP="00FC128B">
            <w:pPr>
              <w:jc w:val="center"/>
              <w:rPr>
                <w:rFonts w:cs="Arial"/>
                <w:b/>
                <w:szCs w:val="22"/>
              </w:rPr>
            </w:pPr>
            <w:r w:rsidRPr="007A2AAF">
              <w:rPr>
                <w:rFonts w:cs="Arial"/>
                <w:b/>
                <w:szCs w:val="22"/>
              </w:rPr>
              <w:t>Number of hours per week</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Benefits</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5,034</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31</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nil"/>
            </w:tcBorders>
            <w:shd w:val="clear" w:color="auto" w:fill="auto"/>
          </w:tcPr>
          <w:p w:rsidR="00FE795A" w:rsidRPr="007A2AAF" w:rsidRDefault="00FE795A" w:rsidP="00FC128B">
            <w:pPr>
              <w:rPr>
                <w:rFonts w:cs="Arial"/>
                <w:b/>
                <w:szCs w:val="22"/>
              </w:rPr>
            </w:pPr>
            <w:r w:rsidRPr="007A2AAF">
              <w:rPr>
                <w:rFonts w:cs="Arial"/>
                <w:b/>
                <w:szCs w:val="22"/>
              </w:rPr>
              <w:t xml:space="preserve">PAID HOURS </w:t>
            </w:r>
          </w:p>
        </w:tc>
        <w:tc>
          <w:tcPr>
            <w:tcW w:w="1701" w:type="dxa"/>
            <w:tcBorders>
              <w:bottom w:val="nil"/>
            </w:tcBorders>
          </w:tcPr>
          <w:p w:rsidR="00FE795A" w:rsidRPr="007A2AAF" w:rsidRDefault="00FE795A" w:rsidP="00FC128B">
            <w:pPr>
              <w:jc w:val="center"/>
              <w:rPr>
                <w:rFonts w:cs="Arial"/>
                <w:szCs w:val="22"/>
              </w:rPr>
            </w:pPr>
            <w:r w:rsidRPr="007A2AAF">
              <w:rPr>
                <w:rFonts w:cs="Arial"/>
                <w:szCs w:val="22"/>
              </w:rPr>
              <w:t>293</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Consumer</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449</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3</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nil"/>
              <w:bottom w:val="nil"/>
            </w:tcBorders>
            <w:shd w:val="clear" w:color="auto" w:fill="auto"/>
          </w:tcPr>
          <w:p w:rsidR="00FE795A" w:rsidRPr="007A2AAF" w:rsidRDefault="00FE795A" w:rsidP="00FC128B">
            <w:pPr>
              <w:rPr>
                <w:rFonts w:cs="Arial"/>
                <w:b/>
                <w:szCs w:val="22"/>
              </w:rPr>
            </w:pPr>
            <w:r w:rsidRPr="007A2AAF">
              <w:rPr>
                <w:rFonts w:cs="Arial"/>
                <w:b/>
                <w:szCs w:val="22"/>
              </w:rPr>
              <w:t xml:space="preserve">per week across all 3 </w:t>
            </w:r>
            <w:r w:rsidR="00AD1132">
              <w:rPr>
                <w:rFonts w:cs="Arial"/>
                <w:b/>
                <w:szCs w:val="22"/>
              </w:rPr>
              <w:t>CAB Offices</w:t>
            </w:r>
            <w:r w:rsidRPr="007A2AAF">
              <w:rPr>
                <w:rFonts w:cs="Arial"/>
                <w:b/>
                <w:szCs w:val="22"/>
              </w:rPr>
              <w:t xml:space="preserve">, </w:t>
            </w:r>
          </w:p>
        </w:tc>
        <w:tc>
          <w:tcPr>
            <w:tcW w:w="1701" w:type="dxa"/>
            <w:tcBorders>
              <w:top w:val="nil"/>
              <w:bottom w:val="nil"/>
            </w:tcBorders>
          </w:tcPr>
          <w:p w:rsidR="00FE795A" w:rsidRPr="007A2AAF" w:rsidRDefault="00FE795A" w:rsidP="00FC128B">
            <w:pPr>
              <w:jc w:val="center"/>
              <w:rPr>
                <w:rFonts w:cs="Arial"/>
                <w:b/>
                <w:szCs w:val="22"/>
              </w:rPr>
            </w:pP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Debt</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3,197</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20</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nil"/>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of which</w:t>
            </w:r>
          </w:p>
        </w:tc>
        <w:tc>
          <w:tcPr>
            <w:tcW w:w="1701" w:type="dxa"/>
            <w:tcBorders>
              <w:top w:val="nil"/>
              <w:bottom w:val="single" w:sz="4" w:space="0" w:color="auto"/>
            </w:tcBorders>
          </w:tcPr>
          <w:p w:rsidR="00FE795A" w:rsidRPr="007A2AAF" w:rsidRDefault="00FE795A" w:rsidP="00FC128B">
            <w:pPr>
              <w:jc w:val="center"/>
              <w:rPr>
                <w:rFonts w:cs="Arial"/>
                <w:b/>
                <w:szCs w:val="22"/>
              </w:rPr>
            </w:pP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Discrimination</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99</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1</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Core funding:</w:t>
            </w:r>
          </w:p>
        </w:tc>
        <w:tc>
          <w:tcPr>
            <w:tcW w:w="1701" w:type="dxa"/>
            <w:tcBorders>
              <w:bottom w:val="single" w:sz="4" w:space="0" w:color="auto"/>
            </w:tcBorders>
          </w:tcPr>
          <w:p w:rsidR="00FE795A" w:rsidRPr="007A2AAF" w:rsidRDefault="00FE795A" w:rsidP="00FC128B">
            <w:pPr>
              <w:jc w:val="center"/>
              <w:rPr>
                <w:rFonts w:cs="Arial"/>
                <w:szCs w:val="22"/>
              </w:rPr>
            </w:pPr>
            <w:r w:rsidRPr="007A2AAF">
              <w:rPr>
                <w:rFonts w:cs="Arial"/>
                <w:szCs w:val="22"/>
              </w:rPr>
              <w:t>249</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Education</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120</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1</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External funding:</w:t>
            </w:r>
          </w:p>
        </w:tc>
        <w:tc>
          <w:tcPr>
            <w:tcW w:w="1701" w:type="dxa"/>
            <w:tcBorders>
              <w:bottom w:val="single" w:sz="4" w:space="0" w:color="auto"/>
            </w:tcBorders>
          </w:tcPr>
          <w:p w:rsidR="00FE795A" w:rsidRPr="007A2AAF" w:rsidRDefault="00FE795A" w:rsidP="00FC128B">
            <w:pPr>
              <w:jc w:val="center"/>
              <w:rPr>
                <w:rFonts w:cs="Arial"/>
                <w:szCs w:val="22"/>
              </w:rPr>
            </w:pPr>
            <w:r w:rsidRPr="007A2AAF">
              <w:rPr>
                <w:rFonts w:cs="Arial"/>
                <w:szCs w:val="22"/>
              </w:rPr>
              <w:t>44</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Employment</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1,210</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8</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single" w:sz="4" w:space="0" w:color="auto"/>
            </w:tcBorders>
            <w:shd w:val="clear" w:color="auto" w:fill="auto"/>
          </w:tcPr>
          <w:p w:rsidR="00FE795A" w:rsidRPr="007A2AAF" w:rsidRDefault="00FE795A" w:rsidP="00FC128B">
            <w:pPr>
              <w:rPr>
                <w:rFonts w:cs="Arial"/>
                <w:b/>
                <w:szCs w:val="22"/>
              </w:rPr>
            </w:pPr>
          </w:p>
        </w:tc>
        <w:tc>
          <w:tcPr>
            <w:tcW w:w="1701" w:type="dxa"/>
            <w:tcBorders>
              <w:bottom w:val="single" w:sz="4" w:space="0" w:color="auto"/>
            </w:tcBorders>
          </w:tcPr>
          <w:p w:rsidR="00FE795A" w:rsidRPr="007A2AAF" w:rsidRDefault="00FE795A" w:rsidP="00FC128B">
            <w:pPr>
              <w:jc w:val="center"/>
              <w:rPr>
                <w:rFonts w:cs="Arial"/>
                <w:szCs w:val="22"/>
              </w:rPr>
            </w:pP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Financial</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385</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2</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nil"/>
              <w:right w:val="nil"/>
            </w:tcBorders>
            <w:shd w:val="clear" w:color="auto" w:fill="BFBFBF"/>
          </w:tcPr>
          <w:p w:rsidR="00FE795A" w:rsidRPr="007A2AAF" w:rsidRDefault="00FE795A" w:rsidP="00FC128B">
            <w:pPr>
              <w:rPr>
                <w:rFonts w:cs="Arial"/>
                <w:b/>
                <w:szCs w:val="22"/>
              </w:rPr>
            </w:pPr>
            <w:r w:rsidRPr="007A2AAF">
              <w:rPr>
                <w:rFonts w:cs="Arial"/>
                <w:b/>
                <w:szCs w:val="22"/>
              </w:rPr>
              <w:t xml:space="preserve">Full time equivalent for </w:t>
            </w:r>
          </w:p>
        </w:tc>
        <w:tc>
          <w:tcPr>
            <w:tcW w:w="1701" w:type="dxa"/>
            <w:tcBorders>
              <w:bottom w:val="nil"/>
            </w:tcBorders>
          </w:tcPr>
          <w:p w:rsidR="00FE795A" w:rsidRPr="007A2AAF" w:rsidRDefault="00FE795A" w:rsidP="00FC128B">
            <w:pPr>
              <w:jc w:val="center"/>
              <w:rPr>
                <w:rFonts w:cs="Arial"/>
                <w:szCs w:val="22"/>
              </w:rPr>
            </w:pPr>
            <w:r w:rsidRPr="007A2AAF">
              <w:rPr>
                <w:rFonts w:cs="Arial"/>
                <w:szCs w:val="22"/>
              </w:rPr>
              <w:t>6.7</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Health</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337</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2</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nil"/>
              <w:bottom w:val="single" w:sz="4" w:space="0" w:color="auto"/>
              <w:right w:val="single" w:sz="4" w:space="0" w:color="auto"/>
            </w:tcBorders>
            <w:shd w:val="pct25" w:color="auto" w:fill="auto"/>
          </w:tcPr>
          <w:p w:rsidR="00FE795A" w:rsidRPr="007A2AAF" w:rsidRDefault="00FE795A" w:rsidP="00FC128B">
            <w:pPr>
              <w:rPr>
                <w:rFonts w:cs="Arial"/>
                <w:b/>
                <w:szCs w:val="22"/>
              </w:rPr>
            </w:pPr>
            <w:r w:rsidRPr="007A2AAF">
              <w:rPr>
                <w:rFonts w:cs="Arial"/>
                <w:b/>
                <w:szCs w:val="22"/>
              </w:rPr>
              <w:t>core hours</w:t>
            </w:r>
          </w:p>
        </w:tc>
        <w:tc>
          <w:tcPr>
            <w:tcW w:w="1701" w:type="dxa"/>
            <w:tcBorders>
              <w:top w:val="nil"/>
              <w:bottom w:val="single" w:sz="4" w:space="0" w:color="auto"/>
            </w:tcBorders>
          </w:tcPr>
          <w:p w:rsidR="00FE795A" w:rsidRPr="007A2AAF" w:rsidRDefault="00FE795A" w:rsidP="00FC128B">
            <w:pPr>
              <w:jc w:val="center"/>
              <w:rPr>
                <w:rFonts w:cs="Arial"/>
                <w:szCs w:val="22"/>
              </w:rPr>
            </w:pP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Housing</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1,805</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12</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single" w:sz="4" w:space="0" w:color="auto"/>
              <w:bottom w:val="single" w:sz="4" w:space="0" w:color="auto"/>
              <w:right w:val="single" w:sz="4" w:space="0" w:color="auto"/>
            </w:tcBorders>
            <w:shd w:val="clear" w:color="auto" w:fill="FFFFFF"/>
          </w:tcPr>
          <w:p w:rsidR="00FE795A" w:rsidRPr="007A2AAF" w:rsidRDefault="00FE795A" w:rsidP="00FC128B">
            <w:pPr>
              <w:rPr>
                <w:rFonts w:cs="Arial"/>
                <w:b/>
                <w:szCs w:val="22"/>
              </w:rPr>
            </w:pPr>
          </w:p>
        </w:tc>
        <w:tc>
          <w:tcPr>
            <w:tcW w:w="1701" w:type="dxa"/>
            <w:tcBorders>
              <w:top w:val="single" w:sz="4" w:space="0" w:color="auto"/>
              <w:bottom w:val="single" w:sz="4" w:space="0" w:color="auto"/>
            </w:tcBorders>
          </w:tcPr>
          <w:p w:rsidR="00FE795A" w:rsidRPr="007A2AAF" w:rsidRDefault="00FE795A" w:rsidP="00FC128B">
            <w:pPr>
              <w:jc w:val="center"/>
              <w:rPr>
                <w:rFonts w:cs="Arial"/>
                <w:szCs w:val="22"/>
              </w:rPr>
            </w:pPr>
          </w:p>
        </w:tc>
      </w:tr>
      <w:tr w:rsidR="00FE795A" w:rsidRPr="007A2AAF" w:rsidTr="00FC128B">
        <w:tc>
          <w:tcPr>
            <w:tcW w:w="1746" w:type="dxa"/>
            <w:tcBorders>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Immigration</w:t>
            </w:r>
          </w:p>
        </w:tc>
        <w:tc>
          <w:tcPr>
            <w:tcW w:w="1258" w:type="dxa"/>
            <w:tcBorders>
              <w:bottom w:val="single" w:sz="4" w:space="0" w:color="auto"/>
            </w:tcBorders>
            <w:shd w:val="clear" w:color="auto" w:fill="auto"/>
          </w:tcPr>
          <w:p w:rsidR="00FE795A" w:rsidRPr="007A2AAF" w:rsidRDefault="00FE795A" w:rsidP="00FC128B">
            <w:pPr>
              <w:jc w:val="right"/>
              <w:rPr>
                <w:rFonts w:cs="Arial"/>
                <w:szCs w:val="22"/>
              </w:rPr>
            </w:pPr>
            <w:r w:rsidRPr="007A2AAF">
              <w:rPr>
                <w:rFonts w:cs="Arial"/>
                <w:szCs w:val="22"/>
              </w:rPr>
              <w:t>148</w:t>
            </w:r>
          </w:p>
        </w:tc>
        <w:tc>
          <w:tcPr>
            <w:tcW w:w="1209" w:type="dxa"/>
            <w:tcBorders>
              <w:bottom w:val="single" w:sz="4" w:space="0" w:color="auto"/>
            </w:tcBorders>
            <w:shd w:val="clear" w:color="auto" w:fill="auto"/>
          </w:tcPr>
          <w:p w:rsidR="00FE795A" w:rsidRPr="007A2AAF" w:rsidRDefault="00FE795A" w:rsidP="00FC128B">
            <w:pPr>
              <w:jc w:val="right"/>
              <w:rPr>
                <w:rFonts w:cs="Arial"/>
                <w:szCs w:val="22"/>
              </w:rPr>
            </w:pPr>
            <w:r w:rsidRPr="007A2AAF">
              <w:rPr>
                <w:rFonts w:cs="Arial"/>
                <w:szCs w:val="22"/>
              </w:rPr>
              <w:t>1</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single" w:sz="4" w:space="0" w:color="auto"/>
              <w:bottom w:val="nil"/>
              <w:right w:val="nil"/>
            </w:tcBorders>
            <w:shd w:val="clear" w:color="auto" w:fill="auto"/>
          </w:tcPr>
          <w:p w:rsidR="00FE795A" w:rsidRPr="007A2AAF" w:rsidRDefault="00FE795A" w:rsidP="00FC128B">
            <w:pPr>
              <w:rPr>
                <w:rFonts w:cs="Arial"/>
                <w:b/>
                <w:szCs w:val="22"/>
              </w:rPr>
            </w:pPr>
            <w:r w:rsidRPr="007A2AAF">
              <w:rPr>
                <w:rFonts w:cs="Arial"/>
                <w:b/>
                <w:szCs w:val="22"/>
              </w:rPr>
              <w:t>VOLUNTARY HOURS</w:t>
            </w:r>
          </w:p>
        </w:tc>
        <w:tc>
          <w:tcPr>
            <w:tcW w:w="1701" w:type="dxa"/>
            <w:tcBorders>
              <w:top w:val="single" w:sz="4" w:space="0" w:color="auto"/>
              <w:bottom w:val="nil"/>
            </w:tcBorders>
          </w:tcPr>
          <w:p w:rsidR="00FE795A" w:rsidRPr="007A2AAF" w:rsidRDefault="00FE795A" w:rsidP="00FC128B">
            <w:pPr>
              <w:rPr>
                <w:rFonts w:cs="Arial"/>
                <w:b/>
                <w:szCs w:val="22"/>
              </w:rPr>
            </w:pPr>
            <w:r w:rsidRPr="007A2AAF">
              <w:rPr>
                <w:rFonts w:cs="Arial"/>
                <w:b/>
                <w:szCs w:val="22"/>
              </w:rPr>
              <w:t>Nos         Hrs</w:t>
            </w:r>
          </w:p>
        </w:tc>
      </w:tr>
      <w:tr w:rsidR="00FE795A" w:rsidRPr="007A2AAF" w:rsidTr="00FC128B">
        <w:trPr>
          <w:trHeight w:val="245"/>
        </w:trPr>
        <w:tc>
          <w:tcPr>
            <w:tcW w:w="1746" w:type="dxa"/>
            <w:shd w:val="clear" w:color="auto" w:fill="auto"/>
          </w:tcPr>
          <w:p w:rsidR="00FE795A" w:rsidRPr="007A2AAF" w:rsidRDefault="00FE795A" w:rsidP="00FC128B">
            <w:pPr>
              <w:rPr>
                <w:rFonts w:cs="Arial"/>
                <w:b/>
                <w:szCs w:val="22"/>
              </w:rPr>
            </w:pPr>
            <w:r w:rsidRPr="007A2AAF">
              <w:rPr>
                <w:rFonts w:cs="Arial"/>
                <w:b/>
                <w:szCs w:val="22"/>
              </w:rPr>
              <w:t>Legal</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918</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6</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nil"/>
              <w:bottom w:val="single" w:sz="4" w:space="0" w:color="auto"/>
              <w:right w:val="single" w:sz="4" w:space="0" w:color="auto"/>
            </w:tcBorders>
            <w:shd w:val="clear" w:color="auto" w:fill="auto"/>
          </w:tcPr>
          <w:p w:rsidR="00FE795A" w:rsidRPr="007A2AAF" w:rsidRDefault="00FE795A" w:rsidP="00FC128B">
            <w:pPr>
              <w:rPr>
                <w:rFonts w:cs="Arial"/>
                <w:b/>
                <w:szCs w:val="22"/>
              </w:rPr>
            </w:pPr>
            <w:r w:rsidRPr="007A2AAF">
              <w:rPr>
                <w:rFonts w:cs="Arial"/>
                <w:b/>
                <w:szCs w:val="22"/>
              </w:rPr>
              <w:t>per week</w:t>
            </w:r>
          </w:p>
        </w:tc>
        <w:tc>
          <w:tcPr>
            <w:tcW w:w="1701" w:type="dxa"/>
            <w:tcBorders>
              <w:top w:val="nil"/>
              <w:bottom w:val="single" w:sz="4" w:space="0" w:color="auto"/>
            </w:tcBorders>
          </w:tcPr>
          <w:p w:rsidR="00FE795A" w:rsidRPr="007A2AAF" w:rsidRDefault="00FE795A" w:rsidP="00FC128B">
            <w:pPr>
              <w:rPr>
                <w:rFonts w:cs="Arial"/>
                <w:b/>
                <w:szCs w:val="22"/>
              </w:rPr>
            </w:pP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Other</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357</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0</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single" w:sz="4" w:space="0" w:color="auto"/>
              <w:right w:val="single" w:sz="4" w:space="0" w:color="auto"/>
            </w:tcBorders>
            <w:shd w:val="clear" w:color="auto" w:fill="auto"/>
          </w:tcPr>
          <w:p w:rsidR="00FE795A" w:rsidRPr="007A2AAF" w:rsidRDefault="00FE795A" w:rsidP="00FC128B">
            <w:pPr>
              <w:rPr>
                <w:rFonts w:cs="Arial"/>
                <w:b/>
                <w:szCs w:val="22"/>
              </w:rPr>
            </w:pPr>
            <w:r w:rsidRPr="007A2AAF">
              <w:rPr>
                <w:rFonts w:cs="Arial"/>
                <w:b/>
                <w:szCs w:val="22"/>
              </w:rPr>
              <w:t>Advisers</w:t>
            </w:r>
          </w:p>
        </w:tc>
        <w:tc>
          <w:tcPr>
            <w:tcW w:w="1701" w:type="dxa"/>
            <w:tcBorders>
              <w:top w:val="single" w:sz="4" w:space="0" w:color="auto"/>
            </w:tcBorders>
          </w:tcPr>
          <w:p w:rsidR="00FE795A" w:rsidRPr="007A2AAF" w:rsidRDefault="00FE795A" w:rsidP="00FC128B">
            <w:pPr>
              <w:rPr>
                <w:rFonts w:cs="Arial"/>
                <w:b/>
                <w:szCs w:val="22"/>
              </w:rPr>
            </w:pPr>
            <w:r w:rsidRPr="007A2AAF">
              <w:rPr>
                <w:rFonts w:cs="Arial"/>
                <w:szCs w:val="22"/>
              </w:rPr>
              <w:t>72              576</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Relationships</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1,357</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8</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top w:val="single" w:sz="4" w:space="0" w:color="auto"/>
              <w:right w:val="single" w:sz="4" w:space="0" w:color="auto"/>
            </w:tcBorders>
            <w:shd w:val="clear" w:color="auto" w:fill="auto"/>
          </w:tcPr>
          <w:p w:rsidR="00FE795A" w:rsidRPr="007A2AAF" w:rsidRDefault="00FE795A" w:rsidP="00FC128B">
            <w:pPr>
              <w:rPr>
                <w:rFonts w:cs="Arial"/>
                <w:b/>
                <w:szCs w:val="22"/>
              </w:rPr>
            </w:pPr>
            <w:r w:rsidRPr="007A2AAF">
              <w:rPr>
                <w:rFonts w:cs="Arial"/>
                <w:b/>
                <w:szCs w:val="22"/>
              </w:rPr>
              <w:t>Administration</w:t>
            </w:r>
          </w:p>
        </w:tc>
        <w:tc>
          <w:tcPr>
            <w:tcW w:w="1701" w:type="dxa"/>
            <w:tcBorders>
              <w:top w:val="single" w:sz="4" w:space="0" w:color="auto"/>
            </w:tcBorders>
          </w:tcPr>
          <w:p w:rsidR="00FE795A" w:rsidRPr="007A2AAF" w:rsidRDefault="00FE795A" w:rsidP="00FC128B">
            <w:pPr>
              <w:rPr>
                <w:rFonts w:cs="Arial"/>
                <w:szCs w:val="22"/>
              </w:rPr>
            </w:pPr>
            <w:r w:rsidRPr="007A2AAF">
              <w:rPr>
                <w:rFonts w:cs="Arial"/>
                <w:szCs w:val="22"/>
              </w:rPr>
              <w:t>8                 32</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Tax</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221</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1</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shd w:val="clear" w:color="auto" w:fill="auto"/>
          </w:tcPr>
          <w:p w:rsidR="00FE795A" w:rsidRPr="007A2AAF" w:rsidRDefault="00FE795A" w:rsidP="00FC128B">
            <w:pPr>
              <w:rPr>
                <w:rFonts w:cs="Arial"/>
                <w:b/>
                <w:szCs w:val="22"/>
              </w:rPr>
            </w:pPr>
            <w:r w:rsidRPr="007A2AAF">
              <w:rPr>
                <w:rFonts w:cs="Arial"/>
                <w:b/>
                <w:szCs w:val="22"/>
              </w:rPr>
              <w:t>Trainees</w:t>
            </w:r>
          </w:p>
        </w:tc>
        <w:tc>
          <w:tcPr>
            <w:tcW w:w="1701" w:type="dxa"/>
          </w:tcPr>
          <w:p w:rsidR="00FE795A" w:rsidRPr="007A2AAF" w:rsidRDefault="00FE795A" w:rsidP="00FC128B">
            <w:pPr>
              <w:rPr>
                <w:rFonts w:cs="Arial"/>
                <w:szCs w:val="22"/>
              </w:rPr>
            </w:pPr>
            <w:r w:rsidRPr="007A2AAF">
              <w:rPr>
                <w:rFonts w:cs="Arial"/>
                <w:szCs w:val="22"/>
              </w:rPr>
              <w:t>9                 72</w:t>
            </w:r>
          </w:p>
        </w:tc>
      </w:tr>
      <w:tr w:rsidR="00FE795A" w:rsidRPr="007A2AAF" w:rsidTr="00FC128B">
        <w:tc>
          <w:tcPr>
            <w:tcW w:w="1746" w:type="dxa"/>
            <w:shd w:val="clear" w:color="auto" w:fill="auto"/>
          </w:tcPr>
          <w:p w:rsidR="00FE795A" w:rsidRPr="007A2AAF" w:rsidRDefault="00FE795A" w:rsidP="00FC128B">
            <w:pPr>
              <w:rPr>
                <w:rFonts w:cs="Arial"/>
                <w:b/>
                <w:szCs w:val="22"/>
              </w:rPr>
            </w:pPr>
            <w:r w:rsidRPr="007A2AAF">
              <w:rPr>
                <w:rFonts w:cs="Arial"/>
                <w:b/>
                <w:szCs w:val="22"/>
              </w:rPr>
              <w:t>Travel</w:t>
            </w:r>
          </w:p>
        </w:tc>
        <w:tc>
          <w:tcPr>
            <w:tcW w:w="1258" w:type="dxa"/>
            <w:shd w:val="clear" w:color="auto" w:fill="auto"/>
          </w:tcPr>
          <w:p w:rsidR="00FE795A" w:rsidRPr="007A2AAF" w:rsidRDefault="00FE795A" w:rsidP="00FC128B">
            <w:pPr>
              <w:jc w:val="right"/>
              <w:rPr>
                <w:rFonts w:cs="Arial"/>
                <w:szCs w:val="22"/>
              </w:rPr>
            </w:pPr>
            <w:r w:rsidRPr="007A2AAF">
              <w:rPr>
                <w:rFonts w:cs="Arial"/>
                <w:szCs w:val="22"/>
              </w:rPr>
              <w:t>275</w:t>
            </w:r>
          </w:p>
        </w:tc>
        <w:tc>
          <w:tcPr>
            <w:tcW w:w="1209" w:type="dxa"/>
            <w:shd w:val="clear" w:color="auto" w:fill="auto"/>
          </w:tcPr>
          <w:p w:rsidR="00FE795A" w:rsidRPr="007A2AAF" w:rsidRDefault="00FE795A" w:rsidP="00FC128B">
            <w:pPr>
              <w:jc w:val="right"/>
              <w:rPr>
                <w:rFonts w:cs="Arial"/>
                <w:szCs w:val="22"/>
              </w:rPr>
            </w:pPr>
            <w:r w:rsidRPr="007A2AAF">
              <w:rPr>
                <w:rFonts w:cs="Arial"/>
                <w:szCs w:val="22"/>
              </w:rPr>
              <w:t>2</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shd w:val="clear" w:color="auto" w:fill="auto"/>
          </w:tcPr>
          <w:p w:rsidR="00FE795A" w:rsidRPr="007A2AAF" w:rsidRDefault="00FE795A" w:rsidP="00FC128B">
            <w:pPr>
              <w:rPr>
                <w:rFonts w:cs="Arial"/>
                <w:b/>
                <w:szCs w:val="22"/>
              </w:rPr>
            </w:pPr>
            <w:r w:rsidRPr="007A2AAF">
              <w:rPr>
                <w:rFonts w:cs="Arial"/>
                <w:b/>
                <w:szCs w:val="22"/>
              </w:rPr>
              <w:t>Trustees</w:t>
            </w:r>
          </w:p>
        </w:tc>
        <w:tc>
          <w:tcPr>
            <w:tcW w:w="1701" w:type="dxa"/>
          </w:tcPr>
          <w:p w:rsidR="00FE795A" w:rsidRPr="007A2AAF" w:rsidRDefault="00FE795A" w:rsidP="00FC128B">
            <w:pPr>
              <w:rPr>
                <w:rFonts w:cs="Arial"/>
                <w:szCs w:val="22"/>
              </w:rPr>
            </w:pPr>
            <w:r w:rsidRPr="007A2AAF">
              <w:rPr>
                <w:rFonts w:cs="Arial"/>
                <w:szCs w:val="22"/>
              </w:rPr>
              <w:t>8                   8</w:t>
            </w:r>
          </w:p>
        </w:tc>
      </w:tr>
      <w:tr w:rsidR="00FE795A" w:rsidRPr="007A2AAF" w:rsidTr="00FC128B">
        <w:tc>
          <w:tcPr>
            <w:tcW w:w="1746" w:type="dxa"/>
            <w:tcBorders>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Utilities</w:t>
            </w:r>
          </w:p>
        </w:tc>
        <w:tc>
          <w:tcPr>
            <w:tcW w:w="1258" w:type="dxa"/>
            <w:tcBorders>
              <w:bottom w:val="single" w:sz="4" w:space="0" w:color="auto"/>
            </w:tcBorders>
            <w:shd w:val="clear" w:color="auto" w:fill="auto"/>
          </w:tcPr>
          <w:p w:rsidR="00FE795A" w:rsidRPr="007A2AAF" w:rsidRDefault="00FE795A" w:rsidP="00FC128B">
            <w:pPr>
              <w:jc w:val="right"/>
              <w:rPr>
                <w:rFonts w:cs="Arial"/>
                <w:szCs w:val="22"/>
              </w:rPr>
            </w:pPr>
            <w:r w:rsidRPr="007A2AAF">
              <w:rPr>
                <w:rFonts w:cs="Arial"/>
                <w:szCs w:val="22"/>
              </w:rPr>
              <w:t>293</w:t>
            </w:r>
          </w:p>
        </w:tc>
        <w:tc>
          <w:tcPr>
            <w:tcW w:w="1209" w:type="dxa"/>
            <w:tcBorders>
              <w:bottom w:val="single" w:sz="4" w:space="0" w:color="auto"/>
            </w:tcBorders>
            <w:shd w:val="clear" w:color="auto" w:fill="auto"/>
          </w:tcPr>
          <w:p w:rsidR="00FE795A" w:rsidRPr="007A2AAF" w:rsidRDefault="00FE795A" w:rsidP="00FC128B">
            <w:pPr>
              <w:jc w:val="right"/>
              <w:rPr>
                <w:rFonts w:cs="Arial"/>
                <w:szCs w:val="22"/>
              </w:rPr>
            </w:pPr>
            <w:r w:rsidRPr="007A2AAF">
              <w:rPr>
                <w:rFonts w:cs="Arial"/>
                <w:szCs w:val="22"/>
              </w:rPr>
              <w:t>2</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single" w:sz="4" w:space="0" w:color="auto"/>
            </w:tcBorders>
            <w:shd w:val="clear" w:color="auto" w:fill="auto"/>
          </w:tcPr>
          <w:p w:rsidR="00FE795A" w:rsidRPr="007A2AAF" w:rsidRDefault="00FE795A" w:rsidP="00FC128B">
            <w:pPr>
              <w:rPr>
                <w:rFonts w:cs="Arial"/>
                <w:b/>
                <w:szCs w:val="22"/>
              </w:rPr>
            </w:pPr>
            <w:r w:rsidRPr="007A2AAF">
              <w:rPr>
                <w:rFonts w:cs="Arial"/>
                <w:b/>
                <w:szCs w:val="22"/>
              </w:rPr>
              <w:t>I.T.</w:t>
            </w:r>
          </w:p>
        </w:tc>
        <w:tc>
          <w:tcPr>
            <w:tcW w:w="1701" w:type="dxa"/>
            <w:tcBorders>
              <w:bottom w:val="single" w:sz="4" w:space="0" w:color="auto"/>
            </w:tcBorders>
          </w:tcPr>
          <w:p w:rsidR="00FE795A" w:rsidRPr="007A2AAF" w:rsidRDefault="00FE795A" w:rsidP="00FC128B">
            <w:pPr>
              <w:rPr>
                <w:rFonts w:cs="Arial"/>
                <w:szCs w:val="22"/>
              </w:rPr>
            </w:pPr>
            <w:r w:rsidRPr="007A2AAF">
              <w:rPr>
                <w:rFonts w:cs="Arial"/>
                <w:szCs w:val="22"/>
              </w:rPr>
              <w:t>1                   8</w:t>
            </w:r>
          </w:p>
        </w:tc>
      </w:tr>
      <w:tr w:rsidR="00FE795A" w:rsidRPr="007A2AAF" w:rsidTr="00FC128B">
        <w:tc>
          <w:tcPr>
            <w:tcW w:w="1746" w:type="dxa"/>
            <w:shd w:val="clear" w:color="auto" w:fill="C0C0C0"/>
          </w:tcPr>
          <w:p w:rsidR="00FE795A" w:rsidRPr="007A2AAF" w:rsidRDefault="00FE795A" w:rsidP="00FC128B">
            <w:pPr>
              <w:jc w:val="right"/>
              <w:rPr>
                <w:rFonts w:cs="Arial"/>
                <w:b/>
                <w:szCs w:val="22"/>
              </w:rPr>
            </w:pPr>
            <w:r w:rsidRPr="007A2AAF">
              <w:rPr>
                <w:rFonts w:cs="Arial"/>
                <w:b/>
                <w:szCs w:val="22"/>
              </w:rPr>
              <w:t>Total</w:t>
            </w:r>
          </w:p>
        </w:tc>
        <w:tc>
          <w:tcPr>
            <w:tcW w:w="1258" w:type="dxa"/>
            <w:shd w:val="clear" w:color="auto" w:fill="C0C0C0"/>
          </w:tcPr>
          <w:p w:rsidR="00FE795A" w:rsidRPr="007A2AAF" w:rsidRDefault="00FE795A" w:rsidP="00FC128B">
            <w:pPr>
              <w:jc w:val="right"/>
              <w:rPr>
                <w:rFonts w:cs="Arial"/>
                <w:b/>
                <w:szCs w:val="22"/>
              </w:rPr>
            </w:pPr>
            <w:r w:rsidRPr="007A2AAF">
              <w:rPr>
                <w:rFonts w:cs="Arial"/>
                <w:b/>
                <w:szCs w:val="22"/>
              </w:rPr>
              <w:t>16,205</w:t>
            </w:r>
          </w:p>
        </w:tc>
        <w:tc>
          <w:tcPr>
            <w:tcW w:w="1209" w:type="dxa"/>
            <w:shd w:val="clear" w:color="auto" w:fill="C0C0C0"/>
          </w:tcPr>
          <w:p w:rsidR="00FE795A" w:rsidRPr="007A2AAF" w:rsidRDefault="00FE795A" w:rsidP="00FC128B">
            <w:pPr>
              <w:jc w:val="right"/>
              <w:rPr>
                <w:rFonts w:cs="Arial"/>
                <w:b/>
                <w:szCs w:val="22"/>
              </w:rPr>
            </w:pPr>
            <w:r w:rsidRPr="007A2AAF">
              <w:rPr>
                <w:rFonts w:cs="Arial"/>
                <w:b/>
                <w:szCs w:val="22"/>
              </w:rPr>
              <w:t>100%</w:t>
            </w:r>
          </w:p>
        </w:tc>
        <w:tc>
          <w:tcPr>
            <w:tcW w:w="635" w:type="dxa"/>
            <w:tcBorders>
              <w:top w:val="nil"/>
              <w:bottom w:val="nil"/>
            </w:tcBorders>
            <w:shd w:val="clear" w:color="auto" w:fill="auto"/>
          </w:tcPr>
          <w:p w:rsidR="00FE795A" w:rsidRPr="007A2AAF" w:rsidRDefault="00FE795A" w:rsidP="00FC128B">
            <w:pPr>
              <w:jc w:val="right"/>
              <w:rPr>
                <w:rFonts w:cs="Arial"/>
                <w:szCs w:val="22"/>
              </w:rPr>
            </w:pPr>
          </w:p>
        </w:tc>
        <w:tc>
          <w:tcPr>
            <w:tcW w:w="3090" w:type="dxa"/>
            <w:tcBorders>
              <w:bottom w:val="single" w:sz="4" w:space="0" w:color="auto"/>
            </w:tcBorders>
            <w:shd w:val="pct25" w:color="auto" w:fill="auto"/>
          </w:tcPr>
          <w:p w:rsidR="00FE795A" w:rsidRPr="007A2AAF" w:rsidRDefault="00FE795A" w:rsidP="00FC128B">
            <w:pPr>
              <w:jc w:val="right"/>
              <w:rPr>
                <w:rFonts w:cs="Arial"/>
                <w:b/>
                <w:szCs w:val="22"/>
              </w:rPr>
            </w:pPr>
            <w:r w:rsidRPr="007A2AAF">
              <w:rPr>
                <w:rFonts w:cs="Arial"/>
                <w:b/>
                <w:szCs w:val="22"/>
              </w:rPr>
              <w:t>Total</w:t>
            </w:r>
          </w:p>
        </w:tc>
        <w:tc>
          <w:tcPr>
            <w:tcW w:w="1701" w:type="dxa"/>
            <w:tcBorders>
              <w:bottom w:val="single" w:sz="4" w:space="0" w:color="auto"/>
            </w:tcBorders>
            <w:shd w:val="pct25" w:color="auto" w:fill="auto"/>
          </w:tcPr>
          <w:p w:rsidR="00FE795A" w:rsidRPr="007A2AAF" w:rsidRDefault="00FE795A" w:rsidP="00FC128B">
            <w:pPr>
              <w:rPr>
                <w:rFonts w:cs="Arial"/>
                <w:b/>
                <w:szCs w:val="22"/>
              </w:rPr>
            </w:pPr>
            <w:r w:rsidRPr="007A2AAF">
              <w:rPr>
                <w:rFonts w:cs="Arial"/>
                <w:b/>
                <w:szCs w:val="22"/>
              </w:rPr>
              <w:t>98         696</w:t>
            </w:r>
          </w:p>
        </w:tc>
      </w:tr>
    </w:tbl>
    <w:p w:rsidR="00FE795A" w:rsidRPr="007A2AAF" w:rsidRDefault="00FE795A" w:rsidP="00FE795A">
      <w:pPr>
        <w:ind w:left="3600" w:hanging="3600"/>
        <w:rPr>
          <w:rFonts w:cs="Arial"/>
          <w:b/>
          <w:sz w:val="24"/>
          <w:szCs w:val="24"/>
        </w:rPr>
      </w:pPr>
    </w:p>
    <w:p w:rsidR="00FE795A" w:rsidRPr="00FE795A" w:rsidRDefault="00FE795A" w:rsidP="00FE795A">
      <w:pPr>
        <w:ind w:left="3600" w:hanging="3600"/>
        <w:rPr>
          <w:rFonts w:cs="Arial"/>
          <w:b/>
          <w:szCs w:val="22"/>
        </w:rPr>
      </w:pPr>
    </w:p>
    <w:p w:rsidR="00FE795A" w:rsidRPr="00FE795A" w:rsidRDefault="00FE795A" w:rsidP="00FE795A">
      <w:pPr>
        <w:ind w:left="3600" w:hanging="3600"/>
        <w:rPr>
          <w:rFonts w:cs="Arial"/>
          <w:b/>
          <w:szCs w:val="22"/>
        </w:rPr>
      </w:pPr>
      <w:r w:rsidRPr="00FE795A">
        <w:rPr>
          <w:rFonts w:cs="Arial"/>
          <w:b/>
          <w:szCs w:val="22"/>
        </w:rPr>
        <w:t>Noteworthy Trends</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Total number of advice issues in 2015/16: </w:t>
      </w:r>
      <w:r w:rsidRPr="00FE795A">
        <w:rPr>
          <w:rFonts w:cs="Arial"/>
          <w:szCs w:val="22"/>
          <w:u w:val="single"/>
        </w:rPr>
        <w:t>16,205</w:t>
      </w:r>
      <w:r w:rsidRPr="00FE795A">
        <w:rPr>
          <w:rFonts w:cs="Arial"/>
          <w:szCs w:val="22"/>
        </w:rPr>
        <w:t xml:space="preserve"> (+6% on 2014/15).</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Total number of new clients in 2015/16:</w:t>
      </w:r>
      <w:r w:rsidRPr="00FE795A">
        <w:rPr>
          <w:rFonts w:cs="Arial"/>
          <w:szCs w:val="22"/>
          <w:u w:val="single"/>
        </w:rPr>
        <w:t xml:space="preserve"> 7,141 </w:t>
      </w:r>
      <w:r w:rsidRPr="00FE795A">
        <w:rPr>
          <w:rFonts w:cs="Arial"/>
          <w:szCs w:val="22"/>
        </w:rPr>
        <w:t>(+9% on 2014/15).</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u w:val="single"/>
        </w:rPr>
        <w:t>33%</w:t>
      </w:r>
      <w:r w:rsidRPr="00FE795A">
        <w:rPr>
          <w:rFonts w:cs="Arial"/>
          <w:szCs w:val="22"/>
        </w:rPr>
        <w:t xml:space="preserve"> of our clients are disabled or have a long term health condition.</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We now offer email advice to Three Rivers residents via our website: threeriverscab.org.uk </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We have recently begun to offer advice via webchat to increase the channels of access to our service.</w:t>
      </w:r>
    </w:p>
    <w:p w:rsidR="00FE795A" w:rsidRPr="00FE795A" w:rsidRDefault="00AD1132" w:rsidP="00F24507">
      <w:pPr>
        <w:numPr>
          <w:ilvl w:val="0"/>
          <w:numId w:val="11"/>
        </w:numPr>
        <w:tabs>
          <w:tab w:val="clear" w:pos="1260"/>
          <w:tab w:val="clear" w:pos="1980"/>
          <w:tab w:val="clear" w:pos="2700"/>
          <w:tab w:val="clear" w:pos="3420"/>
        </w:tabs>
        <w:rPr>
          <w:rFonts w:cs="Arial"/>
          <w:szCs w:val="22"/>
        </w:rPr>
      </w:pPr>
      <w:r w:rsidRPr="00FE795A">
        <w:rPr>
          <w:rFonts w:cs="Arial"/>
          <w:szCs w:val="22"/>
        </w:rPr>
        <w:t>We joined Adviceline, the Citizens Advice county phone service, three years ago and are the only Herts CAB to have their local phone service linked to Adviceline.</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We provide an outreach at Watford County Court twice per month, to represent and defend clients facing possession hearings.  Their average success rate is </w:t>
      </w:r>
      <w:r w:rsidRPr="00F24507">
        <w:rPr>
          <w:rFonts w:cs="Arial"/>
          <w:szCs w:val="22"/>
          <w:u w:val="single"/>
        </w:rPr>
        <w:t>100%.</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Our caseworkers represent clients at benefit tribunals, to appeal against benefit rejection decisions. Their average success rate is </w:t>
      </w:r>
      <w:r w:rsidRPr="00F24507">
        <w:rPr>
          <w:rFonts w:cs="Arial"/>
          <w:szCs w:val="22"/>
          <w:u w:val="single"/>
        </w:rPr>
        <w:t>94%.</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We provide advice outreaches at Mill End and South Oxhey foodbanks.</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We offer a full </w:t>
      </w:r>
      <w:r w:rsidR="00AD1132" w:rsidRPr="00FE795A">
        <w:rPr>
          <w:rFonts w:cs="Arial"/>
          <w:szCs w:val="22"/>
        </w:rPr>
        <w:t>home visiting</w:t>
      </w:r>
      <w:r w:rsidRPr="00FE795A">
        <w:rPr>
          <w:rFonts w:cs="Arial"/>
          <w:szCs w:val="22"/>
        </w:rPr>
        <w:t xml:space="preserve"> service for the homebound in Three Rivers.</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 xml:space="preserve">Money gained for local community in past year: </w:t>
      </w:r>
      <w:r w:rsidRPr="00F24507">
        <w:rPr>
          <w:rFonts w:cs="Arial"/>
          <w:szCs w:val="22"/>
          <w:u w:val="single"/>
        </w:rPr>
        <w:t>£1,000,591.</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u w:val="single"/>
        </w:rPr>
        <w:t>32,032</w:t>
      </w:r>
      <w:r w:rsidRPr="00FE795A">
        <w:rPr>
          <w:rFonts w:cs="Arial"/>
          <w:szCs w:val="22"/>
        </w:rPr>
        <w:t xml:space="preserve"> hours donated by </w:t>
      </w:r>
      <w:r w:rsidRPr="00FE795A">
        <w:rPr>
          <w:rFonts w:cs="Arial"/>
          <w:szCs w:val="22"/>
          <w:u w:val="single"/>
        </w:rPr>
        <w:t>88</w:t>
      </w:r>
      <w:r w:rsidRPr="00FE795A">
        <w:rPr>
          <w:rFonts w:cs="Arial"/>
          <w:szCs w:val="22"/>
        </w:rPr>
        <w:t xml:space="preserve"> volunteers last year, equating to </w:t>
      </w:r>
      <w:r w:rsidRPr="00FE795A">
        <w:rPr>
          <w:rFonts w:cs="Arial"/>
          <w:szCs w:val="22"/>
          <w:u w:val="single"/>
        </w:rPr>
        <w:t>£544,544</w:t>
      </w:r>
      <w:r w:rsidRPr="00FE795A">
        <w:rPr>
          <w:rFonts w:cs="Arial"/>
          <w:szCs w:val="22"/>
        </w:rPr>
        <w:t xml:space="preserve"> if paid </w:t>
      </w:r>
      <w:r w:rsidR="00CF7C4E">
        <w:rPr>
          <w:rFonts w:cs="Arial"/>
          <w:szCs w:val="22"/>
        </w:rPr>
        <w:t xml:space="preserve">person </w:t>
      </w:r>
      <w:r w:rsidRPr="00FE795A">
        <w:rPr>
          <w:rFonts w:cs="Arial"/>
          <w:szCs w:val="22"/>
        </w:rPr>
        <w:t>hours.</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Courses on financial awareness given to local community groups, pensioners and schools (</w:t>
      </w:r>
      <w:r w:rsidRPr="00FE795A">
        <w:rPr>
          <w:rFonts w:cs="Arial"/>
          <w:szCs w:val="22"/>
          <w:u w:val="single"/>
        </w:rPr>
        <w:t>241</w:t>
      </w:r>
      <w:r w:rsidRPr="00FE795A">
        <w:rPr>
          <w:rFonts w:cs="Arial"/>
          <w:szCs w:val="22"/>
        </w:rPr>
        <w:t xml:space="preserve"> attendees) plus individual budgeting sessions.</w:t>
      </w:r>
    </w:p>
    <w:p w:rsidR="00FE795A" w:rsidRP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Research and Campaigns work – working with local MP and council officers.</w:t>
      </w:r>
    </w:p>
    <w:p w:rsidR="00FE795A" w:rsidRDefault="00FE795A" w:rsidP="00F24507">
      <w:pPr>
        <w:numPr>
          <w:ilvl w:val="0"/>
          <w:numId w:val="11"/>
        </w:numPr>
        <w:tabs>
          <w:tab w:val="clear" w:pos="1260"/>
          <w:tab w:val="clear" w:pos="1980"/>
          <w:tab w:val="clear" w:pos="2700"/>
          <w:tab w:val="clear" w:pos="3420"/>
        </w:tabs>
        <w:rPr>
          <w:rFonts w:cs="Arial"/>
          <w:szCs w:val="22"/>
        </w:rPr>
      </w:pPr>
      <w:r w:rsidRPr="00FE795A">
        <w:rPr>
          <w:rFonts w:cs="Arial"/>
          <w:szCs w:val="22"/>
        </w:rPr>
        <w:t>District manager LSP board member, vice chair of LSP subgroup and</w:t>
      </w:r>
      <w:r w:rsidR="00F24507">
        <w:rPr>
          <w:rFonts w:cs="Arial"/>
          <w:szCs w:val="22"/>
        </w:rPr>
        <w:t xml:space="preserve"> until March 20</w:t>
      </w:r>
      <w:r w:rsidRPr="00FE795A">
        <w:rPr>
          <w:rFonts w:cs="Arial"/>
          <w:szCs w:val="22"/>
        </w:rPr>
        <w:t>16 was chair of Herts CAB managers’ group</w:t>
      </w:r>
      <w:r>
        <w:rPr>
          <w:rFonts w:cs="Arial"/>
          <w:szCs w:val="22"/>
        </w:rPr>
        <w:t>.</w:t>
      </w:r>
    </w:p>
    <w:p w:rsidR="00FE795A" w:rsidRDefault="00FE795A">
      <w:pPr>
        <w:tabs>
          <w:tab w:val="clear" w:pos="1260"/>
          <w:tab w:val="clear" w:pos="1980"/>
          <w:tab w:val="clear" w:pos="2700"/>
          <w:tab w:val="clear" w:pos="3420"/>
        </w:tabs>
        <w:jc w:val="left"/>
        <w:rPr>
          <w:rFonts w:cs="Arial"/>
          <w:szCs w:val="22"/>
        </w:rPr>
      </w:pPr>
      <w:r>
        <w:rPr>
          <w:rFonts w:cs="Arial"/>
          <w:szCs w:val="22"/>
        </w:rPr>
        <w:br w:type="page"/>
      </w:r>
    </w:p>
    <w:p w:rsidR="00FE795A" w:rsidRPr="00FE795A" w:rsidRDefault="00FE795A" w:rsidP="00FE795A">
      <w:pPr>
        <w:tabs>
          <w:tab w:val="clear" w:pos="1260"/>
          <w:tab w:val="clear" w:pos="1980"/>
          <w:tab w:val="clear" w:pos="2700"/>
          <w:tab w:val="clear" w:pos="3420"/>
        </w:tabs>
        <w:jc w:val="left"/>
        <w:rPr>
          <w:rFonts w:cs="Arial"/>
          <w:szCs w:val="22"/>
        </w:rPr>
      </w:pPr>
      <w:r>
        <w:rPr>
          <w:rFonts w:cs="Arial"/>
          <w:b/>
          <w:szCs w:val="22"/>
        </w:rPr>
        <w:lastRenderedPageBreak/>
        <w:t xml:space="preserve">Other </w:t>
      </w:r>
      <w:r w:rsidRPr="00FE795A">
        <w:rPr>
          <w:rFonts w:cs="Arial"/>
          <w:b/>
          <w:szCs w:val="22"/>
        </w:rPr>
        <w:t>External Funding initiatives 2015/16 – Total raised £137,483</w:t>
      </w:r>
    </w:p>
    <w:p w:rsidR="00FE795A" w:rsidRPr="00FE795A" w:rsidRDefault="00FE795A" w:rsidP="00FE795A">
      <w:pPr>
        <w:numPr>
          <w:ilvl w:val="0"/>
          <w:numId w:val="10"/>
        </w:numPr>
        <w:tabs>
          <w:tab w:val="clear" w:pos="1260"/>
          <w:tab w:val="clear" w:pos="1980"/>
          <w:tab w:val="clear" w:pos="2700"/>
          <w:tab w:val="clear" w:pos="3420"/>
        </w:tabs>
        <w:jc w:val="left"/>
        <w:rPr>
          <w:rFonts w:cs="Arial"/>
          <w:szCs w:val="22"/>
        </w:rPr>
      </w:pPr>
      <w:r w:rsidRPr="00FE795A">
        <w:rPr>
          <w:rFonts w:cs="Arial"/>
          <w:szCs w:val="22"/>
        </w:rPr>
        <w:t>Advice Services Transition fund – building local partnerships and client referrals (£186,000 over 2 years).</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Herts County Council – welfare, foodbank and DRO applications funding (£35,779 to end of March 2017).</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DWP Back to Work Programme managed by our CAB across 6 counties (approx. £2,000 pa).</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 xml:space="preserve">Herts Healthy Homes Fund from Herts County Council (£15,000 for Herts </w:t>
      </w:r>
      <w:r w:rsidR="00AD1132" w:rsidRPr="00FE795A">
        <w:rPr>
          <w:rFonts w:cs="Arial"/>
          <w:szCs w:val="22"/>
        </w:rPr>
        <w:t>CAB Offices</w:t>
      </w:r>
      <w:r w:rsidRPr="00FE795A">
        <w:rPr>
          <w:rFonts w:cs="Arial"/>
          <w:szCs w:val="22"/>
        </w:rPr>
        <w:t>).</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Thrive Homes - extra CAB debt advice hours (£12,000 p.a.).</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South Bucks Management fee for general advice service (£8,000 p.a.).</w:t>
      </w:r>
    </w:p>
    <w:p w:rsidR="00FE795A" w:rsidRPr="00FE795A" w:rsidRDefault="00FE795A" w:rsidP="00FE795A">
      <w:pPr>
        <w:numPr>
          <w:ilvl w:val="0"/>
          <w:numId w:val="9"/>
        </w:numPr>
        <w:tabs>
          <w:tab w:val="clear" w:pos="1260"/>
          <w:tab w:val="clear" w:pos="1980"/>
          <w:tab w:val="clear" w:pos="2700"/>
          <w:tab w:val="clear" w:pos="3420"/>
        </w:tabs>
        <w:jc w:val="left"/>
        <w:rPr>
          <w:rFonts w:cs="Arial"/>
          <w:szCs w:val="22"/>
        </w:rPr>
      </w:pPr>
      <w:r w:rsidRPr="00FE795A">
        <w:rPr>
          <w:rFonts w:cs="Arial"/>
          <w:szCs w:val="22"/>
        </w:rPr>
        <w:t>Abbots Langley Parochial Church Council – rent subsidy (£6,004 p.a.).</w:t>
      </w:r>
    </w:p>
    <w:p w:rsidR="00FE795A" w:rsidRPr="00FE795A" w:rsidRDefault="00FE795A" w:rsidP="00FE795A">
      <w:pPr>
        <w:numPr>
          <w:ilvl w:val="0"/>
          <w:numId w:val="10"/>
        </w:numPr>
        <w:tabs>
          <w:tab w:val="clear" w:pos="1260"/>
          <w:tab w:val="clear" w:pos="1980"/>
          <w:tab w:val="clear" w:pos="2700"/>
          <w:tab w:val="clear" w:pos="3420"/>
        </w:tabs>
        <w:jc w:val="left"/>
        <w:rPr>
          <w:rFonts w:cs="Arial"/>
          <w:szCs w:val="22"/>
        </w:rPr>
      </w:pPr>
      <w:r w:rsidRPr="00FE795A">
        <w:rPr>
          <w:rFonts w:cs="Arial"/>
          <w:szCs w:val="22"/>
        </w:rPr>
        <w:t>Watford Rural Parish Council – Oxhey caseworker (£4,000 p.a.).</w:t>
      </w:r>
    </w:p>
    <w:p w:rsidR="00FE795A" w:rsidRPr="00FE795A" w:rsidRDefault="00FE795A" w:rsidP="00FE795A">
      <w:pPr>
        <w:numPr>
          <w:ilvl w:val="0"/>
          <w:numId w:val="10"/>
        </w:numPr>
        <w:tabs>
          <w:tab w:val="clear" w:pos="1260"/>
          <w:tab w:val="clear" w:pos="1980"/>
          <w:tab w:val="clear" w:pos="2700"/>
          <w:tab w:val="clear" w:pos="3420"/>
        </w:tabs>
        <w:jc w:val="left"/>
        <w:rPr>
          <w:rFonts w:cs="Arial"/>
          <w:szCs w:val="22"/>
        </w:rPr>
      </w:pPr>
      <w:r w:rsidRPr="00FE795A">
        <w:rPr>
          <w:rFonts w:cs="Arial"/>
          <w:szCs w:val="22"/>
        </w:rPr>
        <w:t>Abbots Langley Parish Council – Abbots caseworker (£2,000 p.a.).</w:t>
      </w:r>
    </w:p>
    <w:p w:rsidR="00FE795A" w:rsidRPr="00FE795A" w:rsidRDefault="00FE795A" w:rsidP="00FE795A">
      <w:pPr>
        <w:numPr>
          <w:ilvl w:val="0"/>
          <w:numId w:val="10"/>
        </w:numPr>
        <w:tabs>
          <w:tab w:val="clear" w:pos="1260"/>
          <w:tab w:val="clear" w:pos="1980"/>
          <w:tab w:val="clear" w:pos="2700"/>
          <w:tab w:val="clear" w:pos="3420"/>
        </w:tabs>
        <w:jc w:val="left"/>
        <w:rPr>
          <w:rFonts w:cs="Arial"/>
          <w:szCs w:val="22"/>
        </w:rPr>
      </w:pPr>
      <w:r w:rsidRPr="00FE795A">
        <w:rPr>
          <w:rFonts w:cs="Arial"/>
          <w:szCs w:val="22"/>
        </w:rPr>
        <w:t>OFGEM – courses for local community on utility bill savings (£1,200).</w:t>
      </w:r>
    </w:p>
    <w:p w:rsidR="00FE795A" w:rsidRPr="00FE795A" w:rsidRDefault="00FE795A" w:rsidP="00FE795A">
      <w:pPr>
        <w:numPr>
          <w:ilvl w:val="0"/>
          <w:numId w:val="10"/>
        </w:numPr>
        <w:tabs>
          <w:tab w:val="clear" w:pos="1260"/>
          <w:tab w:val="clear" w:pos="1980"/>
          <w:tab w:val="clear" w:pos="2700"/>
          <w:tab w:val="clear" w:pos="3420"/>
        </w:tabs>
        <w:jc w:val="left"/>
        <w:rPr>
          <w:rFonts w:cs="Arial"/>
          <w:szCs w:val="22"/>
        </w:rPr>
      </w:pPr>
      <w:r w:rsidRPr="00FE795A">
        <w:rPr>
          <w:rFonts w:cs="Arial"/>
          <w:szCs w:val="22"/>
        </w:rPr>
        <w:t>Santander – one year funding for a budgeting adviser (£5,000).</w:t>
      </w:r>
    </w:p>
    <w:p w:rsidR="00FE795A" w:rsidRPr="00FE795A" w:rsidRDefault="00FE795A" w:rsidP="00FE795A">
      <w:pPr>
        <w:ind w:left="360"/>
        <w:rPr>
          <w:rFonts w:cs="Arial"/>
          <w:szCs w:val="22"/>
        </w:rPr>
      </w:pPr>
    </w:p>
    <w:p w:rsidR="00FE795A" w:rsidRPr="00FE795A" w:rsidRDefault="00FE795A" w:rsidP="00FE795A">
      <w:pPr>
        <w:rPr>
          <w:rFonts w:cs="Arial"/>
          <w:szCs w:val="22"/>
        </w:rPr>
      </w:pPr>
      <w:r>
        <w:rPr>
          <w:rFonts w:cs="Arial"/>
          <w:b/>
          <w:szCs w:val="22"/>
        </w:rPr>
        <w:br/>
      </w:r>
      <w:r w:rsidRPr="00FE795A">
        <w:rPr>
          <w:rFonts w:cs="Arial"/>
          <w:b/>
          <w:szCs w:val="22"/>
        </w:rPr>
        <w:t>Home Visits &amp; Casework</w:t>
      </w:r>
      <w:r w:rsidRPr="00FE795A">
        <w:rPr>
          <w:rFonts w:cs="Arial"/>
          <w:szCs w:val="22"/>
        </w:rPr>
        <w:t>: Service available at all 3 sites.</w:t>
      </w:r>
    </w:p>
    <w:p w:rsidR="00FE795A" w:rsidRPr="00FE795A" w:rsidRDefault="00FE795A" w:rsidP="00FE795A">
      <w:pPr>
        <w:rPr>
          <w:rFonts w:cs="Arial"/>
          <w:szCs w:val="22"/>
        </w:rPr>
      </w:pPr>
      <w:r w:rsidRPr="00FE795A">
        <w:rPr>
          <w:rFonts w:cs="Arial"/>
          <w:b/>
          <w:szCs w:val="22"/>
        </w:rPr>
        <w:t>Legal Advice Sessions</w:t>
      </w:r>
      <w:r>
        <w:rPr>
          <w:rFonts w:cs="Arial"/>
          <w:szCs w:val="22"/>
        </w:rPr>
        <w:t xml:space="preserve">: </w:t>
      </w:r>
      <w:r w:rsidRPr="00FE795A">
        <w:rPr>
          <w:rFonts w:cs="Arial"/>
          <w:szCs w:val="22"/>
        </w:rPr>
        <w:t>A</w:t>
      </w:r>
      <w:r>
        <w:rPr>
          <w:rFonts w:cs="Arial"/>
          <w:szCs w:val="22"/>
        </w:rPr>
        <w:t>vailable at South Oxhey</w:t>
      </w:r>
    </w:p>
    <w:p w:rsidR="00F24507" w:rsidRDefault="00AD1132" w:rsidP="00F24507">
      <w:pPr>
        <w:ind w:left="2880" w:hanging="2880"/>
        <w:rPr>
          <w:rFonts w:cs="Arial"/>
          <w:szCs w:val="22"/>
        </w:rPr>
      </w:pPr>
      <w:r w:rsidRPr="00FE795A">
        <w:rPr>
          <w:rFonts w:cs="Arial"/>
          <w:b/>
          <w:szCs w:val="22"/>
        </w:rPr>
        <w:t>CAB Premises:</w:t>
      </w:r>
      <w:r>
        <w:rPr>
          <w:rFonts w:cs="Arial"/>
          <w:b/>
          <w:szCs w:val="22"/>
        </w:rPr>
        <w:t xml:space="preserve"> </w:t>
      </w:r>
      <w:r w:rsidRPr="00FE795A">
        <w:rPr>
          <w:rFonts w:cs="Arial"/>
          <w:szCs w:val="22"/>
        </w:rPr>
        <w:t>Also used by hearing assistance charity, Signpost youth charity and</w:t>
      </w:r>
      <w:r>
        <w:rPr>
          <w:rFonts w:cs="Arial"/>
          <w:szCs w:val="22"/>
        </w:rPr>
        <w:t xml:space="preserve"> </w:t>
      </w:r>
      <w:r w:rsidRPr="00FE795A">
        <w:rPr>
          <w:rFonts w:cs="Arial"/>
          <w:szCs w:val="22"/>
        </w:rPr>
        <w:t>M</w:t>
      </w:r>
      <w:r>
        <w:rPr>
          <w:rFonts w:cs="Arial"/>
          <w:szCs w:val="22"/>
        </w:rPr>
        <w:t>ill</w:t>
      </w:r>
    </w:p>
    <w:p w:rsidR="00FE795A" w:rsidRPr="00F24507" w:rsidRDefault="00FE795A" w:rsidP="00F24507">
      <w:pPr>
        <w:ind w:left="2880" w:hanging="2880"/>
        <w:rPr>
          <w:rFonts w:cs="Arial"/>
          <w:b/>
          <w:szCs w:val="22"/>
        </w:rPr>
      </w:pPr>
      <w:r w:rsidRPr="00FE795A">
        <w:rPr>
          <w:rFonts w:cs="Arial"/>
          <w:szCs w:val="22"/>
        </w:rPr>
        <w:t>End Foodbank.</w:t>
      </w:r>
      <w:r>
        <w:rPr>
          <w:rFonts w:cs="Arial"/>
          <w:szCs w:val="22"/>
        </w:rPr>
        <w:t xml:space="preserve">   </w:t>
      </w:r>
    </w:p>
    <w:p w:rsidR="00FE795A" w:rsidRDefault="00FE795A" w:rsidP="00FE795A">
      <w:pPr>
        <w:ind w:left="2880" w:hanging="2880"/>
        <w:rPr>
          <w:rFonts w:cs="Arial"/>
          <w:szCs w:val="22"/>
        </w:rPr>
      </w:pPr>
      <w:r w:rsidRPr="00FE795A">
        <w:rPr>
          <w:rFonts w:cs="Arial"/>
          <w:b/>
          <w:szCs w:val="22"/>
        </w:rPr>
        <w:t>Opening Hours:</w:t>
      </w:r>
      <w:r w:rsidR="00F24507">
        <w:rPr>
          <w:rFonts w:cs="Arial"/>
          <w:b/>
          <w:szCs w:val="22"/>
        </w:rPr>
        <w:t xml:space="preserve"> </w:t>
      </w:r>
      <w:r w:rsidRPr="00FE795A">
        <w:rPr>
          <w:rFonts w:cs="Arial"/>
          <w:szCs w:val="22"/>
        </w:rPr>
        <w:t>Total of 77 hours per week, including Tuesday late night.</w:t>
      </w:r>
    </w:p>
    <w:p w:rsidR="00F24507" w:rsidRDefault="00FE795A" w:rsidP="00F24507">
      <w:pPr>
        <w:ind w:left="2880" w:hanging="2880"/>
        <w:rPr>
          <w:rFonts w:cs="Arial"/>
          <w:szCs w:val="22"/>
        </w:rPr>
      </w:pPr>
      <w:r w:rsidRPr="00FE795A">
        <w:rPr>
          <w:rFonts w:cs="Arial"/>
          <w:b/>
          <w:szCs w:val="22"/>
        </w:rPr>
        <w:t>The Future:</w:t>
      </w:r>
      <w:r w:rsidR="00F24507">
        <w:rPr>
          <w:rFonts w:cs="Arial"/>
          <w:b/>
          <w:szCs w:val="22"/>
        </w:rPr>
        <w:t xml:space="preserve"> </w:t>
      </w:r>
      <w:r w:rsidRPr="00FE795A">
        <w:rPr>
          <w:rFonts w:cs="Arial"/>
          <w:szCs w:val="22"/>
        </w:rPr>
        <w:t>Concern that in 2016/17 current frontline services may need to be</w:t>
      </w:r>
      <w:r>
        <w:rPr>
          <w:rFonts w:cs="Arial"/>
          <w:szCs w:val="22"/>
        </w:rPr>
        <w:t xml:space="preserve"> </w:t>
      </w:r>
      <w:r w:rsidRPr="00FE795A">
        <w:rPr>
          <w:rFonts w:cs="Arial"/>
          <w:szCs w:val="22"/>
        </w:rPr>
        <w:t>reviewed.</w:t>
      </w:r>
    </w:p>
    <w:p w:rsidR="00F24507" w:rsidRDefault="00FE795A" w:rsidP="00F24507">
      <w:pPr>
        <w:ind w:left="2880" w:hanging="2880"/>
        <w:rPr>
          <w:rFonts w:cs="Arial"/>
          <w:szCs w:val="22"/>
        </w:rPr>
      </w:pPr>
      <w:r w:rsidRPr="00FE795A">
        <w:rPr>
          <w:rFonts w:cs="Arial"/>
          <w:szCs w:val="22"/>
        </w:rPr>
        <w:t>Funding gained to provide an improved client referral</w:t>
      </w:r>
      <w:r w:rsidR="00AD1132">
        <w:rPr>
          <w:rFonts w:cs="Arial"/>
          <w:szCs w:val="22"/>
        </w:rPr>
        <w:t xml:space="preserve"> </w:t>
      </w:r>
      <w:r w:rsidRPr="00FE795A">
        <w:rPr>
          <w:rFonts w:cs="Arial"/>
          <w:szCs w:val="22"/>
        </w:rPr>
        <w:t>service betwee</w:t>
      </w:r>
      <w:r w:rsidR="00F24507">
        <w:rPr>
          <w:rFonts w:cs="Arial"/>
          <w:szCs w:val="22"/>
        </w:rPr>
        <w:t>n organisations in</w:t>
      </w:r>
    </w:p>
    <w:p w:rsidR="00AD1132" w:rsidRDefault="00FE795A" w:rsidP="00F24507">
      <w:pPr>
        <w:ind w:left="2880" w:hanging="2880"/>
        <w:rPr>
          <w:rFonts w:cs="Arial"/>
          <w:szCs w:val="22"/>
        </w:rPr>
      </w:pPr>
      <w:r w:rsidRPr="00FE795A">
        <w:rPr>
          <w:rFonts w:cs="Arial"/>
          <w:szCs w:val="22"/>
        </w:rPr>
        <w:t>Three Rivers, plus outreaches at</w:t>
      </w:r>
      <w:r>
        <w:rPr>
          <w:rFonts w:cs="Arial"/>
          <w:szCs w:val="22"/>
        </w:rPr>
        <w:t xml:space="preserve"> </w:t>
      </w:r>
      <w:r w:rsidRPr="00FE795A">
        <w:rPr>
          <w:rFonts w:cs="Arial"/>
          <w:szCs w:val="22"/>
        </w:rPr>
        <w:t>foodbanks</w:t>
      </w:r>
      <w:r w:rsidR="00AD1132">
        <w:rPr>
          <w:rFonts w:cs="Arial"/>
          <w:szCs w:val="22"/>
        </w:rPr>
        <w:t xml:space="preserve">, </w:t>
      </w:r>
      <w:r w:rsidRPr="00FE795A">
        <w:rPr>
          <w:rFonts w:cs="Arial"/>
          <w:szCs w:val="22"/>
        </w:rPr>
        <w:t>some D</w:t>
      </w:r>
      <w:r w:rsidR="00AD1132">
        <w:rPr>
          <w:rFonts w:cs="Arial"/>
          <w:szCs w:val="22"/>
        </w:rPr>
        <w:t xml:space="preserve">ebt </w:t>
      </w:r>
      <w:r w:rsidRPr="00FE795A">
        <w:rPr>
          <w:rFonts w:cs="Arial"/>
          <w:szCs w:val="22"/>
        </w:rPr>
        <w:t>R</w:t>
      </w:r>
      <w:r w:rsidR="00AD1132">
        <w:rPr>
          <w:rFonts w:cs="Arial"/>
          <w:szCs w:val="22"/>
        </w:rPr>
        <w:t xml:space="preserve">elief </w:t>
      </w:r>
      <w:r w:rsidRPr="00FE795A">
        <w:rPr>
          <w:rFonts w:cs="Arial"/>
          <w:szCs w:val="22"/>
        </w:rPr>
        <w:t>O</w:t>
      </w:r>
      <w:r w:rsidR="00AD1132">
        <w:rPr>
          <w:rFonts w:cs="Arial"/>
          <w:szCs w:val="22"/>
        </w:rPr>
        <w:t>rder</w:t>
      </w:r>
      <w:r w:rsidRPr="00FE795A">
        <w:rPr>
          <w:rFonts w:cs="Arial"/>
          <w:szCs w:val="22"/>
        </w:rPr>
        <w:t xml:space="preserve"> application f</w:t>
      </w:r>
      <w:r w:rsidR="00AD1132">
        <w:rPr>
          <w:rFonts w:cs="Arial"/>
          <w:szCs w:val="22"/>
        </w:rPr>
        <w:t>ees</w:t>
      </w:r>
    </w:p>
    <w:p w:rsidR="005D0BE8" w:rsidRDefault="00F24507" w:rsidP="002460EB">
      <w:pPr>
        <w:ind w:left="2880" w:hanging="2880"/>
        <w:rPr>
          <w:b/>
          <w:sz w:val="24"/>
          <w:szCs w:val="24"/>
          <w:u w:val="single"/>
        </w:rPr>
      </w:pPr>
      <w:r>
        <w:rPr>
          <w:rFonts w:cs="Arial"/>
          <w:szCs w:val="22"/>
        </w:rPr>
        <w:t>paid and</w:t>
      </w:r>
      <w:r w:rsidR="00AD1132">
        <w:rPr>
          <w:rFonts w:cs="Arial"/>
          <w:szCs w:val="22"/>
        </w:rPr>
        <w:t xml:space="preserve"> </w:t>
      </w:r>
      <w:r w:rsidR="00FE795A" w:rsidRPr="00FE795A">
        <w:rPr>
          <w:rFonts w:cs="Arial"/>
          <w:szCs w:val="22"/>
        </w:rPr>
        <w:t>budgeting adviser.</w:t>
      </w:r>
    </w:p>
    <w:sectPr w:rsidR="005D0BE8">
      <w:footerReference w:type="default" r:id="rId10"/>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D5" w:rsidRDefault="004665D5">
      <w:r>
        <w:separator/>
      </w:r>
    </w:p>
  </w:endnote>
  <w:endnote w:type="continuationSeparator" w:id="0">
    <w:p w:rsidR="004665D5" w:rsidRDefault="0046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1" w:rsidRDefault="008E41A1">
    <w:pPr>
      <w:pStyle w:val="Footer"/>
      <w:tabs>
        <w:tab w:val="clear" w:pos="4153"/>
        <w:tab w:val="clear" w:pos="8306"/>
        <w:tab w:val="center" w:pos="4680"/>
        <w:tab w:val="right" w:pos="9090"/>
      </w:tabs>
      <w:rPr>
        <w:sz w:val="16"/>
      </w:rPr>
    </w:pPr>
  </w:p>
  <w:p w:rsidR="008E41A1" w:rsidRPr="00B84728" w:rsidRDefault="008E41A1"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D5" w:rsidRDefault="004665D5">
      <w:r>
        <w:separator/>
      </w:r>
    </w:p>
  </w:footnote>
  <w:footnote w:type="continuationSeparator" w:id="0">
    <w:p w:rsidR="004665D5" w:rsidRDefault="00466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886"/>
    <w:multiLevelType w:val="hybridMultilevel"/>
    <w:tmpl w:val="F7D2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07684"/>
    <w:multiLevelType w:val="multilevel"/>
    <w:tmpl w:val="05C0E9C2"/>
    <w:lvl w:ilvl="0">
      <w:start w:val="1"/>
      <w:numFmt w:val="upperRoman"/>
      <w:lvlText w:val="%1."/>
      <w:lvlJc w:val="right"/>
      <w:pPr>
        <w:tabs>
          <w:tab w:val="num" w:pos="600"/>
        </w:tabs>
        <w:ind w:left="600" w:hanging="18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
    <w:nsid w:val="2A540257"/>
    <w:multiLevelType w:val="multilevel"/>
    <w:tmpl w:val="F220489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306B386D"/>
    <w:multiLevelType w:val="multilevel"/>
    <w:tmpl w:val="D608814C"/>
    <w:lvl w:ilvl="0">
      <w:start w:val="5"/>
      <w:numFmt w:val="decimal"/>
      <w:lvlText w:val="%1."/>
      <w:lvlJc w:val="left"/>
      <w:pPr>
        <w:tabs>
          <w:tab w:val="num" w:pos="1620"/>
        </w:tabs>
        <w:ind w:left="1620" w:hanging="12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FE15874"/>
    <w:multiLevelType w:val="hybridMultilevel"/>
    <w:tmpl w:val="53C63020"/>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nsid w:val="58700763"/>
    <w:multiLevelType w:val="hybridMultilevel"/>
    <w:tmpl w:val="297CE80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nsid w:val="58DC44A9"/>
    <w:multiLevelType w:val="multilevel"/>
    <w:tmpl w:val="AB14A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B4C317D"/>
    <w:multiLevelType w:val="hybridMultilevel"/>
    <w:tmpl w:val="7EF4BE7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nsid w:val="616B0832"/>
    <w:multiLevelType w:val="hybridMultilevel"/>
    <w:tmpl w:val="3046740C"/>
    <w:lvl w:ilvl="0" w:tplc="2C8EB588">
      <w:start w:val="1"/>
      <w:numFmt w:val="bullet"/>
      <w:lvlText w:val=""/>
      <w:lvlJc w:val="left"/>
      <w:pPr>
        <w:tabs>
          <w:tab w:val="num" w:pos="530"/>
        </w:tabs>
        <w:ind w:left="530" w:hanging="5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2C165D"/>
    <w:multiLevelType w:val="hybridMultilevel"/>
    <w:tmpl w:val="62D4CB80"/>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
    <w:nsid w:val="7AF56576"/>
    <w:multiLevelType w:val="hybridMultilevel"/>
    <w:tmpl w:val="4B44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6"/>
  </w:num>
  <w:num w:numId="6">
    <w:abstractNumId w:val="3"/>
  </w:num>
  <w:num w:numId="7">
    <w:abstractNumId w:val="7"/>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0C94"/>
    <w:rsid w:val="000222D8"/>
    <w:rsid w:val="000431C7"/>
    <w:rsid w:val="000B589C"/>
    <w:rsid w:val="000D1B8E"/>
    <w:rsid w:val="000D433D"/>
    <w:rsid w:val="001072EC"/>
    <w:rsid w:val="00173DBB"/>
    <w:rsid w:val="001969EF"/>
    <w:rsid w:val="001A713C"/>
    <w:rsid w:val="001D4190"/>
    <w:rsid w:val="001D5FB1"/>
    <w:rsid w:val="001E10FE"/>
    <w:rsid w:val="001E6C5E"/>
    <w:rsid w:val="001F4D1C"/>
    <w:rsid w:val="001F59B8"/>
    <w:rsid w:val="002059D1"/>
    <w:rsid w:val="00227303"/>
    <w:rsid w:val="00243800"/>
    <w:rsid w:val="002460EB"/>
    <w:rsid w:val="00251D39"/>
    <w:rsid w:val="00256A73"/>
    <w:rsid w:val="00270045"/>
    <w:rsid w:val="002765A4"/>
    <w:rsid w:val="00282F59"/>
    <w:rsid w:val="002E489C"/>
    <w:rsid w:val="00394C66"/>
    <w:rsid w:val="00395880"/>
    <w:rsid w:val="003C6509"/>
    <w:rsid w:val="003D3B0E"/>
    <w:rsid w:val="003D5820"/>
    <w:rsid w:val="003F6869"/>
    <w:rsid w:val="00410CEF"/>
    <w:rsid w:val="00413A73"/>
    <w:rsid w:val="004159B7"/>
    <w:rsid w:val="004239E6"/>
    <w:rsid w:val="0044748B"/>
    <w:rsid w:val="004533A1"/>
    <w:rsid w:val="004553CC"/>
    <w:rsid w:val="004665D5"/>
    <w:rsid w:val="00480EC6"/>
    <w:rsid w:val="00490883"/>
    <w:rsid w:val="0049419B"/>
    <w:rsid w:val="0049533E"/>
    <w:rsid w:val="004A73CB"/>
    <w:rsid w:val="004D13EF"/>
    <w:rsid w:val="004F1198"/>
    <w:rsid w:val="005445FF"/>
    <w:rsid w:val="00552D80"/>
    <w:rsid w:val="00571B48"/>
    <w:rsid w:val="005A1B63"/>
    <w:rsid w:val="005B4547"/>
    <w:rsid w:val="005D0BE8"/>
    <w:rsid w:val="005E5CA5"/>
    <w:rsid w:val="005F78E0"/>
    <w:rsid w:val="00646F99"/>
    <w:rsid w:val="00661DB5"/>
    <w:rsid w:val="006651C8"/>
    <w:rsid w:val="00675F64"/>
    <w:rsid w:val="006943EE"/>
    <w:rsid w:val="006E1A19"/>
    <w:rsid w:val="007442BC"/>
    <w:rsid w:val="00745051"/>
    <w:rsid w:val="00746C99"/>
    <w:rsid w:val="007942BA"/>
    <w:rsid w:val="00796591"/>
    <w:rsid w:val="007B7DC1"/>
    <w:rsid w:val="007E142B"/>
    <w:rsid w:val="0081610F"/>
    <w:rsid w:val="0083173F"/>
    <w:rsid w:val="008372C3"/>
    <w:rsid w:val="00874DCD"/>
    <w:rsid w:val="008E41A1"/>
    <w:rsid w:val="008F488A"/>
    <w:rsid w:val="008F7A93"/>
    <w:rsid w:val="009026FF"/>
    <w:rsid w:val="00902CE6"/>
    <w:rsid w:val="00902EBC"/>
    <w:rsid w:val="00907756"/>
    <w:rsid w:val="00911629"/>
    <w:rsid w:val="009360FC"/>
    <w:rsid w:val="00956B1B"/>
    <w:rsid w:val="009608DE"/>
    <w:rsid w:val="009849A2"/>
    <w:rsid w:val="00986707"/>
    <w:rsid w:val="009A6284"/>
    <w:rsid w:val="009C3701"/>
    <w:rsid w:val="009D15E9"/>
    <w:rsid w:val="009D65B4"/>
    <w:rsid w:val="009F18E0"/>
    <w:rsid w:val="00A14A81"/>
    <w:rsid w:val="00A248F6"/>
    <w:rsid w:val="00A826B6"/>
    <w:rsid w:val="00AB3927"/>
    <w:rsid w:val="00AB63B5"/>
    <w:rsid w:val="00AD1132"/>
    <w:rsid w:val="00AD70D3"/>
    <w:rsid w:val="00AF111E"/>
    <w:rsid w:val="00AF2B8C"/>
    <w:rsid w:val="00AF702F"/>
    <w:rsid w:val="00B2603D"/>
    <w:rsid w:val="00B5043F"/>
    <w:rsid w:val="00B57820"/>
    <w:rsid w:val="00B84728"/>
    <w:rsid w:val="00BB39B1"/>
    <w:rsid w:val="00BD1EA2"/>
    <w:rsid w:val="00BD4A5D"/>
    <w:rsid w:val="00BE4804"/>
    <w:rsid w:val="00BF34FA"/>
    <w:rsid w:val="00BF76C9"/>
    <w:rsid w:val="00C23FDB"/>
    <w:rsid w:val="00C359F2"/>
    <w:rsid w:val="00C518EA"/>
    <w:rsid w:val="00C70C88"/>
    <w:rsid w:val="00C84446"/>
    <w:rsid w:val="00CB4880"/>
    <w:rsid w:val="00CF0E44"/>
    <w:rsid w:val="00CF1A93"/>
    <w:rsid w:val="00CF7C4E"/>
    <w:rsid w:val="00D16466"/>
    <w:rsid w:val="00D16937"/>
    <w:rsid w:val="00D7229A"/>
    <w:rsid w:val="00D76D34"/>
    <w:rsid w:val="00D9261A"/>
    <w:rsid w:val="00D95348"/>
    <w:rsid w:val="00D956C8"/>
    <w:rsid w:val="00DB28EC"/>
    <w:rsid w:val="00DE754C"/>
    <w:rsid w:val="00E003E0"/>
    <w:rsid w:val="00E06557"/>
    <w:rsid w:val="00E11170"/>
    <w:rsid w:val="00E15247"/>
    <w:rsid w:val="00E253DE"/>
    <w:rsid w:val="00E361BA"/>
    <w:rsid w:val="00E4727F"/>
    <w:rsid w:val="00E53E83"/>
    <w:rsid w:val="00E6258F"/>
    <w:rsid w:val="00E701FC"/>
    <w:rsid w:val="00E7205B"/>
    <w:rsid w:val="00E722CA"/>
    <w:rsid w:val="00E73B10"/>
    <w:rsid w:val="00E96B73"/>
    <w:rsid w:val="00EA6863"/>
    <w:rsid w:val="00EB27D9"/>
    <w:rsid w:val="00EC5556"/>
    <w:rsid w:val="00ED7B10"/>
    <w:rsid w:val="00EF7564"/>
    <w:rsid w:val="00F07D86"/>
    <w:rsid w:val="00F24507"/>
    <w:rsid w:val="00F8054A"/>
    <w:rsid w:val="00FA0C1C"/>
    <w:rsid w:val="00FB372F"/>
    <w:rsid w:val="00FD09D5"/>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AF2B8C"/>
    <w:pPr>
      <w:ind w:left="720"/>
      <w:contextualSpacing/>
    </w:pPr>
  </w:style>
  <w:style w:type="character" w:styleId="CommentReference">
    <w:name w:val="annotation reference"/>
    <w:basedOn w:val="DefaultParagraphFont"/>
    <w:rsid w:val="00796591"/>
    <w:rPr>
      <w:sz w:val="16"/>
      <w:szCs w:val="16"/>
    </w:rPr>
  </w:style>
  <w:style w:type="paragraph" w:styleId="CommentText">
    <w:name w:val="annotation text"/>
    <w:basedOn w:val="Normal"/>
    <w:link w:val="CommentTextChar"/>
    <w:rsid w:val="00796591"/>
    <w:rPr>
      <w:sz w:val="20"/>
    </w:rPr>
  </w:style>
  <w:style w:type="character" w:customStyle="1" w:styleId="CommentTextChar">
    <w:name w:val="Comment Text Char"/>
    <w:basedOn w:val="DefaultParagraphFont"/>
    <w:link w:val="CommentText"/>
    <w:rsid w:val="00796591"/>
    <w:rPr>
      <w:rFonts w:ascii="Arial" w:hAnsi="Arial"/>
    </w:rPr>
  </w:style>
  <w:style w:type="paragraph" w:styleId="CommentSubject">
    <w:name w:val="annotation subject"/>
    <w:basedOn w:val="CommentText"/>
    <w:next w:val="CommentText"/>
    <w:link w:val="CommentSubjectChar"/>
    <w:rsid w:val="00796591"/>
    <w:rPr>
      <w:b/>
      <w:bCs/>
    </w:rPr>
  </w:style>
  <w:style w:type="character" w:customStyle="1" w:styleId="CommentSubjectChar">
    <w:name w:val="Comment Subject Char"/>
    <w:basedOn w:val="CommentTextChar"/>
    <w:link w:val="CommentSubject"/>
    <w:rsid w:val="0079659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AF2B8C"/>
    <w:pPr>
      <w:ind w:left="720"/>
      <w:contextualSpacing/>
    </w:pPr>
  </w:style>
  <w:style w:type="character" w:styleId="CommentReference">
    <w:name w:val="annotation reference"/>
    <w:basedOn w:val="DefaultParagraphFont"/>
    <w:rsid w:val="00796591"/>
    <w:rPr>
      <w:sz w:val="16"/>
      <w:szCs w:val="16"/>
    </w:rPr>
  </w:style>
  <w:style w:type="paragraph" w:styleId="CommentText">
    <w:name w:val="annotation text"/>
    <w:basedOn w:val="Normal"/>
    <w:link w:val="CommentTextChar"/>
    <w:rsid w:val="00796591"/>
    <w:rPr>
      <w:sz w:val="20"/>
    </w:rPr>
  </w:style>
  <w:style w:type="character" w:customStyle="1" w:styleId="CommentTextChar">
    <w:name w:val="Comment Text Char"/>
    <w:basedOn w:val="DefaultParagraphFont"/>
    <w:link w:val="CommentText"/>
    <w:rsid w:val="00796591"/>
    <w:rPr>
      <w:rFonts w:ascii="Arial" w:hAnsi="Arial"/>
    </w:rPr>
  </w:style>
  <w:style w:type="paragraph" w:styleId="CommentSubject">
    <w:name w:val="annotation subject"/>
    <w:basedOn w:val="CommentText"/>
    <w:next w:val="CommentText"/>
    <w:link w:val="CommentSubjectChar"/>
    <w:rsid w:val="00796591"/>
    <w:rPr>
      <w:b/>
      <w:bCs/>
    </w:rPr>
  </w:style>
  <w:style w:type="character" w:customStyle="1" w:styleId="CommentSubjectChar">
    <w:name w:val="Comment Subject Char"/>
    <w:basedOn w:val="CommentTextChar"/>
    <w:link w:val="CommentSubject"/>
    <w:rsid w:val="007965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8AAD-7922-4D46-8C28-00E616EB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TRDC Report Template 15 08 12.dot</Template>
  <TotalTime>3</TotalTime>
  <Pages>4</Pages>
  <Words>1148</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7766</CharactersWithSpaces>
  <SharedDoc>false</SharedDoc>
  <HLinks>
    <vt:vector size="6" baseType="variant">
      <vt:variant>
        <vt:i4>1769501</vt:i4>
      </vt:variant>
      <vt:variant>
        <vt:i4>24</vt:i4>
      </vt:variant>
      <vt:variant>
        <vt:i4>0</vt:i4>
      </vt:variant>
      <vt:variant>
        <vt:i4>5</vt:i4>
      </vt:variant>
      <vt:variant>
        <vt:lpwstr>http://intranet.threerivers.gov.uk/Default.aspx/Web/PoliciesAndProceduresCategoryListingPage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Helen Wailling</cp:lastModifiedBy>
  <cp:revision>13</cp:revision>
  <cp:lastPrinted>2016-11-17T15:55:00Z</cp:lastPrinted>
  <dcterms:created xsi:type="dcterms:W3CDTF">2016-11-22T12:24:00Z</dcterms:created>
  <dcterms:modified xsi:type="dcterms:W3CDTF">2016-11-22T15:55:00Z</dcterms:modified>
</cp:coreProperties>
</file>