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44" w:rsidRDefault="00FF1644" w:rsidP="00FF1644">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right"/>
        <w:rPr>
          <w:rFonts w:cs="Arial"/>
          <w:b w:val="0"/>
          <w:color w:val="000000"/>
          <w:szCs w:val="22"/>
        </w:rPr>
      </w:pPr>
      <w:r>
        <w:rPr>
          <w:rFonts w:cs="Arial"/>
          <w:b w:val="0"/>
          <w:color w:val="000000"/>
          <w:szCs w:val="22"/>
        </w:rPr>
        <w:t xml:space="preserve">Agenda Item </w:t>
      </w:r>
      <w:r w:rsidR="00516E50">
        <w:rPr>
          <w:rFonts w:cs="Arial"/>
          <w:b w:val="0"/>
          <w:color w:val="000000"/>
          <w:szCs w:val="22"/>
        </w:rPr>
        <w:t>5</w:t>
      </w:r>
    </w:p>
    <w:p w:rsidR="00FF1644" w:rsidRDefault="00FF1644"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color w:val="000000"/>
          <w:szCs w:val="22"/>
        </w:rPr>
      </w:pPr>
    </w:p>
    <w:p w:rsidR="006B0ACF" w:rsidRDefault="006B0ACF"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color w:val="000000"/>
          <w:szCs w:val="22"/>
        </w:rPr>
      </w:pPr>
      <w:r>
        <w:rPr>
          <w:rFonts w:cs="Arial"/>
          <w:b w:val="0"/>
          <w:color w:val="000000"/>
          <w:szCs w:val="22"/>
        </w:rPr>
        <w:t>Recommendation</w:t>
      </w:r>
      <w:r w:rsidR="00516E50">
        <w:rPr>
          <w:rFonts w:cs="Arial"/>
          <w:b w:val="0"/>
          <w:color w:val="000000"/>
          <w:szCs w:val="22"/>
        </w:rPr>
        <w:t>s</w:t>
      </w:r>
      <w:r>
        <w:rPr>
          <w:rFonts w:cs="Arial"/>
          <w:b w:val="0"/>
          <w:color w:val="000000"/>
          <w:szCs w:val="22"/>
        </w:rPr>
        <w:t xml:space="preserve"> from </w:t>
      </w:r>
      <w:r w:rsidR="00516E50">
        <w:rPr>
          <w:rFonts w:cs="Arial"/>
          <w:b w:val="0"/>
          <w:color w:val="000000"/>
          <w:szCs w:val="22"/>
        </w:rPr>
        <w:t xml:space="preserve">Policy and Resources Committee </w:t>
      </w:r>
      <w:r w:rsidR="001315FC">
        <w:rPr>
          <w:rFonts w:cs="Arial"/>
          <w:b w:val="0"/>
          <w:color w:val="000000"/>
          <w:szCs w:val="22"/>
        </w:rPr>
        <w:t xml:space="preserve">held on </w:t>
      </w:r>
      <w:r w:rsidR="00516E50">
        <w:rPr>
          <w:rFonts w:cs="Arial"/>
          <w:b w:val="0"/>
          <w:color w:val="000000"/>
          <w:szCs w:val="22"/>
        </w:rPr>
        <w:t xml:space="preserve">8 November </w:t>
      </w:r>
      <w:r>
        <w:rPr>
          <w:rFonts w:cs="Arial"/>
          <w:b w:val="0"/>
          <w:color w:val="000000"/>
          <w:szCs w:val="22"/>
        </w:rPr>
        <w:t>2016</w:t>
      </w:r>
      <w:r w:rsidR="00516E50">
        <w:rPr>
          <w:rFonts w:cs="Arial"/>
          <w:b w:val="0"/>
          <w:color w:val="000000"/>
          <w:szCs w:val="22"/>
        </w:rPr>
        <w:t xml:space="preserve"> and 5 December 2016</w:t>
      </w:r>
    </w:p>
    <w:p w:rsidR="006B0ACF" w:rsidRDefault="006B0ACF"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szCs w:val="22"/>
        </w:rPr>
      </w:pPr>
    </w:p>
    <w:p w:rsidR="00516E50" w:rsidRPr="00516E50" w:rsidRDefault="00516E50"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szCs w:val="22"/>
        </w:rPr>
      </w:pPr>
      <w:r w:rsidRPr="00516E50">
        <w:rPr>
          <w:rFonts w:cs="Arial"/>
          <w:szCs w:val="22"/>
        </w:rPr>
        <w:t>PR67/16 Calendar of Meetings 2017/18</w:t>
      </w:r>
    </w:p>
    <w:p w:rsidR="00516E50" w:rsidRDefault="00516E50"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szCs w:val="22"/>
        </w:rPr>
      </w:pPr>
    </w:p>
    <w:p w:rsidR="00516E50" w:rsidRPr="00516E50" w:rsidRDefault="00516E50" w:rsidP="00516E50">
      <w:pPr>
        <w:keepNext/>
        <w:tabs>
          <w:tab w:val="left" w:pos="9214"/>
        </w:tabs>
        <w:ind w:left="1267" w:hanging="1267"/>
        <w:jc w:val="both"/>
        <w:rPr>
          <w:rFonts w:ascii="Arial" w:hAnsi="Arial" w:cs="Arial"/>
          <w:sz w:val="22"/>
          <w:szCs w:val="22"/>
        </w:rPr>
      </w:pPr>
      <w:r w:rsidRPr="00516E50">
        <w:rPr>
          <w:rFonts w:ascii="Arial" w:hAnsi="Arial" w:cs="Arial"/>
          <w:sz w:val="22"/>
          <w:szCs w:val="22"/>
        </w:rPr>
        <w:tab/>
        <w:t>To Council:</w:t>
      </w:r>
    </w:p>
    <w:p w:rsidR="00516E50" w:rsidRPr="00516E50" w:rsidRDefault="00516E50" w:rsidP="00516E50">
      <w:pPr>
        <w:tabs>
          <w:tab w:val="left" w:pos="9214"/>
        </w:tabs>
        <w:rPr>
          <w:rFonts w:ascii="Arial" w:hAnsi="Arial" w:cs="Arial"/>
          <w:sz w:val="22"/>
          <w:szCs w:val="22"/>
        </w:rPr>
      </w:pPr>
      <w:r w:rsidRPr="00516E50">
        <w:rPr>
          <w:rFonts w:ascii="Arial" w:hAnsi="Arial" w:cs="Arial"/>
          <w:sz w:val="22"/>
          <w:szCs w:val="22"/>
        </w:rPr>
        <w:tab/>
      </w:r>
    </w:p>
    <w:p w:rsidR="00516E50" w:rsidRPr="00516E50" w:rsidRDefault="00516E50" w:rsidP="00516E50">
      <w:pPr>
        <w:tabs>
          <w:tab w:val="left" w:pos="9214"/>
        </w:tabs>
        <w:ind w:left="1267"/>
        <w:rPr>
          <w:rFonts w:ascii="Arial" w:hAnsi="Arial" w:cs="Arial"/>
          <w:sz w:val="22"/>
          <w:szCs w:val="22"/>
        </w:rPr>
      </w:pPr>
      <w:r w:rsidRPr="00516E50">
        <w:rPr>
          <w:rFonts w:ascii="Arial" w:hAnsi="Arial" w:cs="Arial"/>
          <w:sz w:val="22"/>
          <w:szCs w:val="22"/>
        </w:rPr>
        <w:t>That the calendar of meetings for 2016/17 be recommended to Council subject to final amendments.</w:t>
      </w:r>
    </w:p>
    <w:p w:rsidR="00516E50" w:rsidRPr="00516E50" w:rsidRDefault="00516E50"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szCs w:val="22"/>
        </w:rPr>
      </w:pPr>
    </w:p>
    <w:p w:rsidR="00516E50" w:rsidRPr="00516E50" w:rsidRDefault="00516E50"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szCs w:val="22"/>
        </w:rPr>
      </w:pPr>
      <w:r w:rsidRPr="00516E50">
        <w:rPr>
          <w:rFonts w:cs="Arial"/>
          <w:szCs w:val="22"/>
        </w:rPr>
        <w:t>PC79/16 Budget Monitoring – Month 6 (September 2016)</w:t>
      </w:r>
    </w:p>
    <w:p w:rsidR="00516E50" w:rsidRDefault="00516E50"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szCs w:val="22"/>
        </w:rPr>
      </w:pPr>
    </w:p>
    <w:p w:rsidR="00516E50" w:rsidRPr="00516E50" w:rsidRDefault="00516E50" w:rsidP="00516E50">
      <w:pPr>
        <w:keepNext/>
        <w:ind w:left="1267" w:hanging="1267"/>
        <w:rPr>
          <w:rFonts w:ascii="Arial" w:hAnsi="Arial" w:cs="Arial"/>
          <w:sz w:val="22"/>
          <w:szCs w:val="22"/>
        </w:rPr>
      </w:pPr>
      <w:r w:rsidRPr="00516E50">
        <w:rPr>
          <w:rFonts w:ascii="Arial" w:hAnsi="Arial" w:cs="Arial"/>
          <w:sz w:val="22"/>
          <w:szCs w:val="22"/>
        </w:rPr>
        <w:tab/>
        <w:t>To Council:</w:t>
      </w:r>
    </w:p>
    <w:p w:rsidR="00516E50" w:rsidRPr="00516E50" w:rsidRDefault="00516E50" w:rsidP="00516E50">
      <w:pPr>
        <w:keepNext/>
        <w:ind w:left="1267" w:hanging="1267"/>
        <w:rPr>
          <w:rFonts w:ascii="Arial" w:hAnsi="Arial" w:cs="Arial"/>
          <w:sz w:val="22"/>
          <w:szCs w:val="22"/>
        </w:rPr>
      </w:pPr>
    </w:p>
    <w:p w:rsidR="00516E50" w:rsidRPr="00516E50" w:rsidRDefault="00516E50" w:rsidP="00516E50">
      <w:pPr>
        <w:keepNext/>
        <w:tabs>
          <w:tab w:val="left" w:pos="567"/>
        </w:tabs>
        <w:ind w:left="1267" w:hanging="1267"/>
        <w:rPr>
          <w:rFonts w:ascii="Arial" w:hAnsi="Arial" w:cs="Arial"/>
          <w:sz w:val="22"/>
          <w:szCs w:val="22"/>
        </w:rPr>
      </w:pPr>
      <w:r>
        <w:rPr>
          <w:rFonts w:ascii="Arial" w:hAnsi="Arial" w:cs="Arial"/>
          <w:sz w:val="22"/>
          <w:szCs w:val="22"/>
        </w:rPr>
        <w:tab/>
      </w:r>
      <w:r w:rsidRPr="00516E50">
        <w:rPr>
          <w:rFonts w:ascii="Arial" w:hAnsi="Arial" w:cs="Arial"/>
          <w:sz w:val="22"/>
          <w:szCs w:val="22"/>
        </w:rPr>
        <w:tab/>
        <w:t>That the following revenue and capital budget variations be approved and incorporated into the three-year medium-term financial plan:-</w:t>
      </w:r>
    </w:p>
    <w:p w:rsidR="00516E50" w:rsidRPr="00516E50" w:rsidRDefault="00516E50" w:rsidP="00516E50">
      <w:pPr>
        <w:keepNext/>
        <w:tabs>
          <w:tab w:val="left" w:pos="567"/>
        </w:tabs>
        <w:ind w:left="1267" w:hanging="1267"/>
        <w:rPr>
          <w:rFonts w:ascii="Arial" w:hAnsi="Arial" w:cs="Arial"/>
          <w:sz w:val="22"/>
          <w:szCs w:val="22"/>
        </w:rPr>
      </w:pP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5"/>
        <w:gridCol w:w="1134"/>
        <w:gridCol w:w="1134"/>
      </w:tblGrid>
      <w:tr w:rsidR="00516E50" w:rsidRPr="00516E50" w:rsidTr="00734269">
        <w:tc>
          <w:tcPr>
            <w:tcW w:w="4253" w:type="dxa"/>
          </w:tcPr>
          <w:p w:rsidR="00516E50" w:rsidRPr="00516E50" w:rsidRDefault="00516E50" w:rsidP="00734269">
            <w:pPr>
              <w:widowControl w:val="0"/>
              <w:jc w:val="center"/>
              <w:rPr>
                <w:rFonts w:ascii="Arial" w:hAnsi="Arial" w:cs="Arial"/>
                <w:sz w:val="22"/>
                <w:szCs w:val="22"/>
              </w:rPr>
            </w:pPr>
          </w:p>
          <w:p w:rsidR="00516E50" w:rsidRPr="00516E50" w:rsidRDefault="00516E50" w:rsidP="00734269">
            <w:pPr>
              <w:widowControl w:val="0"/>
              <w:jc w:val="center"/>
              <w:rPr>
                <w:rFonts w:ascii="Arial" w:hAnsi="Arial" w:cs="Arial"/>
                <w:sz w:val="22"/>
                <w:szCs w:val="22"/>
              </w:rPr>
            </w:pPr>
            <w:r w:rsidRPr="00516E50">
              <w:rPr>
                <w:rFonts w:ascii="Arial" w:hAnsi="Arial" w:cs="Arial"/>
                <w:sz w:val="22"/>
                <w:szCs w:val="22"/>
              </w:rPr>
              <w:t>Variance</w:t>
            </w:r>
          </w:p>
        </w:tc>
        <w:tc>
          <w:tcPr>
            <w:tcW w:w="1275" w:type="dxa"/>
            <w:tcBorders>
              <w:bottom w:val="single" w:sz="4" w:space="0" w:color="auto"/>
            </w:tcBorders>
          </w:tcPr>
          <w:p w:rsidR="00516E50" w:rsidRPr="00516E50" w:rsidRDefault="00516E50" w:rsidP="00734269">
            <w:pPr>
              <w:widowControl w:val="0"/>
              <w:jc w:val="center"/>
              <w:rPr>
                <w:rFonts w:ascii="Arial" w:hAnsi="Arial" w:cs="Arial"/>
                <w:sz w:val="22"/>
                <w:szCs w:val="22"/>
              </w:rPr>
            </w:pPr>
            <w:r w:rsidRPr="00516E50">
              <w:rPr>
                <w:rFonts w:ascii="Arial" w:hAnsi="Arial" w:cs="Arial"/>
                <w:sz w:val="22"/>
                <w:szCs w:val="22"/>
              </w:rPr>
              <w:t>2016/17</w:t>
            </w:r>
          </w:p>
          <w:p w:rsidR="00516E50" w:rsidRPr="00516E50" w:rsidRDefault="00516E50" w:rsidP="00734269">
            <w:pPr>
              <w:widowControl w:val="0"/>
              <w:jc w:val="center"/>
              <w:rPr>
                <w:rFonts w:ascii="Arial" w:hAnsi="Arial" w:cs="Arial"/>
                <w:sz w:val="22"/>
                <w:szCs w:val="22"/>
              </w:rPr>
            </w:pPr>
            <w:r w:rsidRPr="00516E50">
              <w:rPr>
                <w:rFonts w:ascii="Arial" w:hAnsi="Arial" w:cs="Arial"/>
                <w:sz w:val="22"/>
                <w:szCs w:val="22"/>
              </w:rPr>
              <w:t>£</w:t>
            </w:r>
          </w:p>
        </w:tc>
        <w:tc>
          <w:tcPr>
            <w:tcW w:w="1134" w:type="dxa"/>
            <w:tcBorders>
              <w:bottom w:val="single" w:sz="4" w:space="0" w:color="auto"/>
            </w:tcBorders>
          </w:tcPr>
          <w:p w:rsidR="00516E50" w:rsidRPr="00516E50" w:rsidRDefault="00516E50" w:rsidP="00734269">
            <w:pPr>
              <w:widowControl w:val="0"/>
              <w:jc w:val="center"/>
              <w:rPr>
                <w:rFonts w:ascii="Arial" w:hAnsi="Arial" w:cs="Arial"/>
                <w:sz w:val="22"/>
                <w:szCs w:val="22"/>
              </w:rPr>
            </w:pPr>
            <w:r w:rsidRPr="00516E50">
              <w:rPr>
                <w:rFonts w:ascii="Arial" w:hAnsi="Arial" w:cs="Arial"/>
                <w:sz w:val="22"/>
                <w:szCs w:val="22"/>
              </w:rPr>
              <w:t>2017/18</w:t>
            </w:r>
          </w:p>
          <w:p w:rsidR="00516E50" w:rsidRPr="00516E50" w:rsidRDefault="00516E50" w:rsidP="00734269">
            <w:pPr>
              <w:widowControl w:val="0"/>
              <w:jc w:val="center"/>
              <w:rPr>
                <w:rFonts w:ascii="Arial" w:hAnsi="Arial" w:cs="Arial"/>
                <w:sz w:val="22"/>
                <w:szCs w:val="22"/>
              </w:rPr>
            </w:pPr>
            <w:r w:rsidRPr="00516E50">
              <w:rPr>
                <w:rFonts w:ascii="Arial" w:hAnsi="Arial" w:cs="Arial"/>
                <w:sz w:val="22"/>
                <w:szCs w:val="22"/>
              </w:rPr>
              <w:t>£</w:t>
            </w:r>
          </w:p>
        </w:tc>
        <w:tc>
          <w:tcPr>
            <w:tcW w:w="1134" w:type="dxa"/>
            <w:tcBorders>
              <w:bottom w:val="single" w:sz="4" w:space="0" w:color="auto"/>
            </w:tcBorders>
          </w:tcPr>
          <w:p w:rsidR="00516E50" w:rsidRPr="00516E50" w:rsidRDefault="00516E50" w:rsidP="00734269">
            <w:pPr>
              <w:widowControl w:val="0"/>
              <w:jc w:val="center"/>
              <w:rPr>
                <w:rFonts w:ascii="Arial" w:hAnsi="Arial" w:cs="Arial"/>
                <w:sz w:val="22"/>
                <w:szCs w:val="22"/>
              </w:rPr>
            </w:pPr>
            <w:r w:rsidRPr="00516E50">
              <w:rPr>
                <w:rFonts w:ascii="Arial" w:hAnsi="Arial" w:cs="Arial"/>
                <w:sz w:val="22"/>
                <w:szCs w:val="22"/>
              </w:rPr>
              <w:t>2018/19</w:t>
            </w:r>
          </w:p>
          <w:p w:rsidR="00516E50" w:rsidRPr="00516E50" w:rsidRDefault="00516E50" w:rsidP="00734269">
            <w:pPr>
              <w:widowControl w:val="0"/>
              <w:jc w:val="center"/>
              <w:rPr>
                <w:rFonts w:ascii="Arial" w:hAnsi="Arial" w:cs="Arial"/>
                <w:sz w:val="22"/>
                <w:szCs w:val="22"/>
              </w:rPr>
            </w:pPr>
            <w:r w:rsidRPr="00516E50">
              <w:rPr>
                <w:rFonts w:ascii="Arial" w:hAnsi="Arial" w:cs="Arial"/>
                <w:sz w:val="22"/>
                <w:szCs w:val="22"/>
              </w:rPr>
              <w:t>£</w:t>
            </w:r>
          </w:p>
        </w:tc>
      </w:tr>
      <w:tr w:rsidR="00516E50" w:rsidRPr="00516E50" w:rsidTr="00734269">
        <w:tc>
          <w:tcPr>
            <w:tcW w:w="4253" w:type="dxa"/>
          </w:tcPr>
          <w:p w:rsidR="00516E50" w:rsidRPr="00516E50" w:rsidRDefault="00516E50" w:rsidP="00734269">
            <w:pPr>
              <w:widowControl w:val="0"/>
              <w:spacing w:before="60" w:after="60"/>
              <w:rPr>
                <w:rFonts w:ascii="Arial" w:hAnsi="Arial" w:cs="Arial"/>
                <w:sz w:val="22"/>
                <w:szCs w:val="22"/>
              </w:rPr>
            </w:pPr>
            <w:r w:rsidRPr="00516E50">
              <w:rPr>
                <w:rFonts w:ascii="Arial" w:hAnsi="Arial" w:cs="Arial"/>
                <w:b/>
                <w:sz w:val="22"/>
                <w:szCs w:val="22"/>
              </w:rPr>
              <w:t xml:space="preserve">Revenue </w:t>
            </w:r>
            <w:r w:rsidRPr="00516E50">
              <w:rPr>
                <w:rFonts w:ascii="Arial" w:hAnsi="Arial" w:cs="Arial"/>
                <w:sz w:val="22"/>
                <w:szCs w:val="22"/>
              </w:rPr>
              <w:t>- (Favourable )/ Unfavourable</w:t>
            </w:r>
          </w:p>
        </w:tc>
        <w:tc>
          <w:tcPr>
            <w:tcW w:w="1275" w:type="dxa"/>
            <w:shd w:val="clear" w:color="auto" w:fill="FFFFFF"/>
          </w:tcPr>
          <w:p w:rsidR="00516E50" w:rsidRPr="00516E50" w:rsidRDefault="00516E50" w:rsidP="00734269">
            <w:pPr>
              <w:widowControl w:val="0"/>
              <w:spacing w:before="60" w:after="60"/>
              <w:jc w:val="right"/>
              <w:rPr>
                <w:rFonts w:ascii="Arial" w:hAnsi="Arial" w:cs="Arial"/>
                <w:sz w:val="22"/>
                <w:szCs w:val="22"/>
              </w:rPr>
            </w:pPr>
            <w:r w:rsidRPr="00516E50">
              <w:rPr>
                <w:rFonts w:ascii="Arial" w:hAnsi="Arial" w:cs="Arial"/>
                <w:sz w:val="22"/>
                <w:szCs w:val="22"/>
              </w:rPr>
              <w:t>575,440</w:t>
            </w:r>
          </w:p>
        </w:tc>
        <w:tc>
          <w:tcPr>
            <w:tcW w:w="1134" w:type="dxa"/>
            <w:shd w:val="clear" w:color="auto" w:fill="FFFFFF"/>
          </w:tcPr>
          <w:p w:rsidR="00516E50" w:rsidRPr="00516E50" w:rsidRDefault="00516E50" w:rsidP="00734269">
            <w:pPr>
              <w:widowControl w:val="0"/>
              <w:spacing w:before="60" w:after="60"/>
              <w:ind w:right="7"/>
              <w:jc w:val="right"/>
              <w:rPr>
                <w:rFonts w:ascii="Arial" w:hAnsi="Arial" w:cs="Arial"/>
                <w:sz w:val="22"/>
                <w:szCs w:val="22"/>
              </w:rPr>
            </w:pPr>
            <w:r w:rsidRPr="00516E50">
              <w:rPr>
                <w:rFonts w:ascii="Arial" w:hAnsi="Arial" w:cs="Arial"/>
                <w:sz w:val="22"/>
                <w:szCs w:val="22"/>
              </w:rPr>
              <w:t>259,930</w:t>
            </w:r>
          </w:p>
        </w:tc>
        <w:tc>
          <w:tcPr>
            <w:tcW w:w="1134" w:type="dxa"/>
            <w:shd w:val="clear" w:color="auto" w:fill="FFFFFF"/>
          </w:tcPr>
          <w:p w:rsidR="00516E50" w:rsidRPr="00516E50" w:rsidRDefault="00516E50" w:rsidP="00734269">
            <w:pPr>
              <w:widowControl w:val="0"/>
              <w:spacing w:before="60" w:after="60"/>
              <w:ind w:right="7"/>
              <w:jc w:val="right"/>
              <w:rPr>
                <w:rFonts w:ascii="Arial" w:hAnsi="Arial" w:cs="Arial"/>
                <w:sz w:val="22"/>
                <w:szCs w:val="22"/>
              </w:rPr>
            </w:pPr>
            <w:r w:rsidRPr="00516E50">
              <w:rPr>
                <w:rFonts w:ascii="Arial" w:hAnsi="Arial" w:cs="Arial"/>
                <w:sz w:val="22"/>
                <w:szCs w:val="22"/>
              </w:rPr>
              <w:t>82,780</w:t>
            </w:r>
          </w:p>
        </w:tc>
      </w:tr>
      <w:tr w:rsidR="00516E50" w:rsidRPr="00516E50" w:rsidTr="00734269">
        <w:tc>
          <w:tcPr>
            <w:tcW w:w="4253" w:type="dxa"/>
          </w:tcPr>
          <w:p w:rsidR="00516E50" w:rsidRPr="00516E50" w:rsidRDefault="00516E50" w:rsidP="00734269">
            <w:pPr>
              <w:widowControl w:val="0"/>
              <w:spacing w:before="60" w:after="60"/>
              <w:rPr>
                <w:rFonts w:ascii="Arial" w:hAnsi="Arial" w:cs="Arial"/>
                <w:sz w:val="22"/>
                <w:szCs w:val="22"/>
              </w:rPr>
            </w:pPr>
            <w:r w:rsidRPr="00516E50">
              <w:rPr>
                <w:rFonts w:ascii="Arial" w:hAnsi="Arial" w:cs="Arial"/>
                <w:b/>
                <w:sz w:val="22"/>
                <w:szCs w:val="22"/>
              </w:rPr>
              <w:t>Capital</w:t>
            </w:r>
            <w:r w:rsidRPr="00516E50">
              <w:rPr>
                <w:rFonts w:ascii="Arial" w:hAnsi="Arial" w:cs="Arial"/>
                <w:sz w:val="22"/>
                <w:szCs w:val="22"/>
              </w:rPr>
              <w:t xml:space="preserve"> - Increase / (Decrease)</w:t>
            </w:r>
          </w:p>
        </w:tc>
        <w:tc>
          <w:tcPr>
            <w:tcW w:w="1275" w:type="dxa"/>
            <w:shd w:val="clear" w:color="auto" w:fill="FFFFFF"/>
          </w:tcPr>
          <w:p w:rsidR="00516E50" w:rsidRPr="00516E50" w:rsidRDefault="00516E50" w:rsidP="00734269">
            <w:pPr>
              <w:widowControl w:val="0"/>
              <w:spacing w:before="60" w:after="60"/>
              <w:jc w:val="right"/>
              <w:rPr>
                <w:rFonts w:ascii="Arial" w:hAnsi="Arial" w:cs="Arial"/>
                <w:sz w:val="22"/>
                <w:szCs w:val="22"/>
              </w:rPr>
            </w:pPr>
            <w:r w:rsidRPr="00516E50">
              <w:rPr>
                <w:rFonts w:ascii="Arial" w:hAnsi="Arial" w:cs="Arial"/>
                <w:sz w:val="22"/>
                <w:szCs w:val="22"/>
              </w:rPr>
              <w:t>(346,913)</w:t>
            </w:r>
          </w:p>
        </w:tc>
        <w:tc>
          <w:tcPr>
            <w:tcW w:w="1134" w:type="dxa"/>
            <w:shd w:val="clear" w:color="auto" w:fill="FFFFFF"/>
          </w:tcPr>
          <w:p w:rsidR="00516E50" w:rsidRPr="00516E50" w:rsidRDefault="00516E50" w:rsidP="00734269">
            <w:pPr>
              <w:widowControl w:val="0"/>
              <w:spacing w:before="60" w:after="60"/>
              <w:ind w:right="7"/>
              <w:jc w:val="right"/>
              <w:rPr>
                <w:rFonts w:ascii="Arial" w:hAnsi="Arial" w:cs="Arial"/>
                <w:sz w:val="22"/>
                <w:szCs w:val="22"/>
              </w:rPr>
            </w:pPr>
            <w:r w:rsidRPr="00516E50">
              <w:rPr>
                <w:rFonts w:ascii="Arial" w:hAnsi="Arial" w:cs="Arial"/>
                <w:sz w:val="22"/>
                <w:szCs w:val="22"/>
              </w:rPr>
              <w:t>1,519,913</w:t>
            </w:r>
          </w:p>
        </w:tc>
        <w:tc>
          <w:tcPr>
            <w:tcW w:w="1134" w:type="dxa"/>
            <w:shd w:val="clear" w:color="auto" w:fill="FFFFFF"/>
          </w:tcPr>
          <w:p w:rsidR="00516E50" w:rsidRPr="00516E50" w:rsidRDefault="00516E50" w:rsidP="00734269">
            <w:pPr>
              <w:widowControl w:val="0"/>
              <w:spacing w:before="60" w:after="60"/>
              <w:ind w:right="7"/>
              <w:jc w:val="right"/>
              <w:rPr>
                <w:rFonts w:ascii="Arial" w:hAnsi="Arial" w:cs="Arial"/>
                <w:sz w:val="22"/>
                <w:szCs w:val="22"/>
              </w:rPr>
            </w:pPr>
            <w:r w:rsidRPr="00516E50">
              <w:rPr>
                <w:rFonts w:ascii="Arial" w:hAnsi="Arial" w:cs="Arial"/>
                <w:sz w:val="22"/>
                <w:szCs w:val="22"/>
              </w:rPr>
              <w:t>0</w:t>
            </w:r>
          </w:p>
        </w:tc>
      </w:tr>
    </w:tbl>
    <w:p w:rsidR="00516E50" w:rsidRPr="00516E50" w:rsidRDefault="00516E50"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szCs w:val="22"/>
        </w:rPr>
      </w:pPr>
    </w:p>
    <w:p w:rsidR="00E3574F" w:rsidRPr="00516E50" w:rsidRDefault="00516E50" w:rsidP="00E3574F">
      <w:pPr>
        <w:tabs>
          <w:tab w:val="left" w:pos="1260"/>
        </w:tabs>
        <w:ind w:left="1260" w:hanging="1260"/>
        <w:jc w:val="both"/>
        <w:rPr>
          <w:rFonts w:ascii="Arial" w:hAnsi="Arial" w:cs="Arial"/>
          <w:b/>
          <w:sz w:val="22"/>
          <w:szCs w:val="22"/>
        </w:rPr>
      </w:pPr>
      <w:r w:rsidRPr="00516E50">
        <w:rPr>
          <w:rFonts w:ascii="Arial" w:hAnsi="Arial" w:cs="Arial"/>
          <w:b/>
          <w:sz w:val="22"/>
          <w:szCs w:val="22"/>
        </w:rPr>
        <w:t xml:space="preserve">PC80/16 Appropriation of Land in South </w:t>
      </w:r>
      <w:proofErr w:type="spellStart"/>
      <w:r w:rsidRPr="00516E50">
        <w:rPr>
          <w:rFonts w:ascii="Arial" w:hAnsi="Arial" w:cs="Arial"/>
          <w:b/>
          <w:sz w:val="22"/>
          <w:szCs w:val="22"/>
        </w:rPr>
        <w:t>Oxhey</w:t>
      </w:r>
      <w:proofErr w:type="spellEnd"/>
    </w:p>
    <w:p w:rsidR="00E3574F" w:rsidRPr="00E3574F" w:rsidRDefault="00E3574F" w:rsidP="0060712A">
      <w:pPr>
        <w:rPr>
          <w:rFonts w:ascii="Arial" w:hAnsi="Arial" w:cs="Arial"/>
          <w:sz w:val="22"/>
          <w:szCs w:val="22"/>
        </w:rPr>
      </w:pPr>
    </w:p>
    <w:p w:rsidR="008F7519" w:rsidRDefault="00516E50" w:rsidP="00E3574F">
      <w:pPr>
        <w:keepNext/>
        <w:rPr>
          <w:rFonts w:ascii="Arial" w:hAnsi="Arial" w:cs="Arial"/>
          <w:sz w:val="22"/>
          <w:szCs w:val="22"/>
        </w:rPr>
      </w:pPr>
      <w:r>
        <w:rPr>
          <w:rFonts w:ascii="Arial" w:hAnsi="Arial" w:cs="Arial"/>
          <w:sz w:val="22"/>
          <w:szCs w:val="22"/>
        </w:rPr>
        <w:tab/>
      </w:r>
      <w:r>
        <w:rPr>
          <w:rFonts w:ascii="Arial" w:hAnsi="Arial" w:cs="Arial"/>
          <w:sz w:val="22"/>
          <w:szCs w:val="22"/>
        </w:rPr>
        <w:tab/>
        <w:t>To Council:</w:t>
      </w:r>
    </w:p>
    <w:p w:rsidR="00516E50" w:rsidRPr="00516E50" w:rsidRDefault="00516E50" w:rsidP="00516E50">
      <w:pPr>
        <w:keepNext/>
        <w:jc w:val="both"/>
        <w:rPr>
          <w:rFonts w:ascii="Arial" w:hAnsi="Arial" w:cs="Arial"/>
          <w:sz w:val="22"/>
          <w:szCs w:val="22"/>
        </w:rPr>
      </w:pPr>
    </w:p>
    <w:p w:rsidR="00516E50" w:rsidRPr="00516E50" w:rsidRDefault="00516E50" w:rsidP="00516E50">
      <w:pPr>
        <w:pStyle w:val="Level2Number"/>
        <w:tabs>
          <w:tab w:val="clear" w:pos="360"/>
        </w:tabs>
        <w:ind w:left="1335" w:hanging="1335"/>
        <w:jc w:val="both"/>
        <w:rPr>
          <w:sz w:val="22"/>
          <w:szCs w:val="22"/>
        </w:rPr>
      </w:pPr>
      <w:r w:rsidRPr="00516E50">
        <w:rPr>
          <w:sz w:val="22"/>
          <w:szCs w:val="22"/>
        </w:rPr>
        <w:t>8.1</w:t>
      </w:r>
      <w:r w:rsidRPr="00516E50">
        <w:rPr>
          <w:sz w:val="22"/>
          <w:szCs w:val="22"/>
        </w:rPr>
        <w:tab/>
        <w:t xml:space="preserve">It resolves </w:t>
      </w:r>
      <w:r w:rsidRPr="00516E50">
        <w:rPr>
          <w:sz w:val="22"/>
          <w:szCs w:val="22"/>
          <w:lang w:eastAsia="en-GB"/>
        </w:rPr>
        <w:t xml:space="preserve">to authorise the appropriation of the land at Former Tennis Courts, land west of the </w:t>
      </w:r>
      <w:proofErr w:type="spellStart"/>
      <w:r w:rsidRPr="00516E50">
        <w:rPr>
          <w:sz w:val="22"/>
          <w:szCs w:val="22"/>
          <w:lang w:eastAsia="en-GB"/>
        </w:rPr>
        <w:t>Oxhey</w:t>
      </w:r>
      <w:proofErr w:type="spellEnd"/>
      <w:r w:rsidRPr="00516E50">
        <w:rPr>
          <w:sz w:val="22"/>
          <w:szCs w:val="22"/>
          <w:lang w:eastAsia="en-GB"/>
        </w:rPr>
        <w:t xml:space="preserve"> Pavilion (the Site) within </w:t>
      </w:r>
      <w:proofErr w:type="spellStart"/>
      <w:r w:rsidRPr="00516E50">
        <w:rPr>
          <w:sz w:val="22"/>
          <w:szCs w:val="22"/>
          <w:lang w:eastAsia="en-GB"/>
        </w:rPr>
        <w:t>Oxhey</w:t>
      </w:r>
      <w:proofErr w:type="spellEnd"/>
      <w:r w:rsidRPr="00516E50">
        <w:rPr>
          <w:sz w:val="22"/>
          <w:szCs w:val="22"/>
          <w:lang w:eastAsia="en-GB"/>
        </w:rPr>
        <w:t xml:space="preserve"> Playing Fields for planning purposes (as shown on the plan at Appendix A which is owned freehold by the Council) having first considered any objections received to the same under the provisions of Section 122 of the Local Government Act 1972 to enable the Council to override third party rights and easements pursuant to Section 203 of the Housing and Planning Act 2016;</w:t>
      </w:r>
    </w:p>
    <w:p w:rsidR="00516E50" w:rsidRPr="00516E50" w:rsidRDefault="00516E50" w:rsidP="00516E50">
      <w:pPr>
        <w:pStyle w:val="Level2Number"/>
        <w:tabs>
          <w:tab w:val="clear" w:pos="360"/>
        </w:tabs>
        <w:ind w:left="1335" w:hanging="1335"/>
        <w:jc w:val="both"/>
        <w:rPr>
          <w:sz w:val="22"/>
          <w:szCs w:val="22"/>
        </w:rPr>
      </w:pPr>
      <w:r w:rsidRPr="00516E50">
        <w:rPr>
          <w:sz w:val="22"/>
          <w:szCs w:val="22"/>
        </w:rPr>
        <w:t>8.2</w:t>
      </w:r>
      <w:r w:rsidRPr="00516E50">
        <w:rPr>
          <w:sz w:val="22"/>
          <w:szCs w:val="22"/>
        </w:rPr>
        <w:tab/>
        <w:t>It authorises the disposal of the Site as public open space pursuant to s.233 of the Town and Country Planning Act 1990 by virtue of a lease for 20 years to the 14th Watford Scout group having first considered any obje</w:t>
      </w:r>
      <w:r>
        <w:rPr>
          <w:sz w:val="22"/>
          <w:szCs w:val="22"/>
        </w:rPr>
        <w:t>ctions received to the same;</w:t>
      </w:r>
    </w:p>
    <w:p w:rsidR="00516E50" w:rsidRPr="00516E50" w:rsidRDefault="00516E50" w:rsidP="00516E50">
      <w:pPr>
        <w:pStyle w:val="Level2Number"/>
        <w:tabs>
          <w:tab w:val="clear" w:pos="360"/>
        </w:tabs>
        <w:ind w:left="1335" w:hanging="1335"/>
        <w:jc w:val="both"/>
        <w:rPr>
          <w:sz w:val="22"/>
          <w:szCs w:val="22"/>
        </w:rPr>
      </w:pPr>
      <w:r w:rsidRPr="00516E50">
        <w:rPr>
          <w:sz w:val="22"/>
          <w:szCs w:val="22"/>
        </w:rPr>
        <w:t>8.3</w:t>
      </w:r>
      <w:r w:rsidRPr="00516E50">
        <w:rPr>
          <w:sz w:val="22"/>
          <w:szCs w:val="22"/>
        </w:rPr>
        <w:tab/>
        <w:t>That the consideration of any objections be delegated to the Chief Executive in consultation with the Chair of Poli</w:t>
      </w:r>
      <w:r>
        <w:rPr>
          <w:sz w:val="22"/>
          <w:szCs w:val="22"/>
        </w:rPr>
        <w:t>cy &amp; Resources Committee (P&amp;RC); and</w:t>
      </w:r>
    </w:p>
    <w:p w:rsidR="00516E50" w:rsidRPr="008F7519" w:rsidRDefault="00516E50" w:rsidP="00516E50">
      <w:pPr>
        <w:ind w:left="1260" w:hanging="1260"/>
        <w:jc w:val="both"/>
        <w:rPr>
          <w:rFonts w:ascii="Arial" w:hAnsi="Arial" w:cs="Arial"/>
          <w:sz w:val="22"/>
          <w:szCs w:val="22"/>
        </w:rPr>
      </w:pPr>
      <w:r w:rsidRPr="00516E50">
        <w:rPr>
          <w:rFonts w:ascii="Arial" w:hAnsi="Arial" w:cs="Arial"/>
          <w:sz w:val="22"/>
          <w:szCs w:val="22"/>
        </w:rPr>
        <w:t>8.4</w:t>
      </w:r>
      <w:r w:rsidRPr="00516E50">
        <w:rPr>
          <w:rFonts w:ascii="Arial" w:hAnsi="Arial" w:cs="Arial"/>
          <w:sz w:val="22"/>
          <w:szCs w:val="22"/>
        </w:rPr>
        <w:tab/>
        <w:t>That in doing so the Council has considered the provisions of the Equalities Act 2010 and the Human Rights Act 1998 contained in paragraph 4 of this report so far as they might be applicable in deciding whether or not to authorise the appropriation and resolves the following With regard to Article 1 of Protocol 1 it is considered that in balancing the rights of the individuals who are affected by the appropriation against the benefit to the community of proceeding with the appropriation, the appropriation resulting in the interference with the individuals rights is justified in the interests of providing the relocation of an essential community use for a scouting facility.</w:t>
      </w:r>
      <w:bookmarkStart w:id="0" w:name="_GoBack"/>
      <w:bookmarkEnd w:id="0"/>
    </w:p>
    <w:sectPr w:rsidR="00516E50" w:rsidRPr="008F75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429" w:rsidRDefault="00C85429" w:rsidP="00C85429">
      <w:r>
        <w:separator/>
      </w:r>
    </w:p>
  </w:endnote>
  <w:endnote w:type="continuationSeparator" w:id="0">
    <w:p w:rsidR="00C85429" w:rsidRDefault="00C85429" w:rsidP="00C8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429" w:rsidRPr="00C85429" w:rsidRDefault="00516E50" w:rsidP="00C85429">
    <w:pPr>
      <w:pStyle w:val="Footer"/>
      <w:jc w:val="center"/>
      <w:rPr>
        <w:rFonts w:ascii="Arial" w:hAnsi="Arial" w:cs="Arial"/>
        <w:sz w:val="24"/>
        <w:szCs w:val="24"/>
      </w:rPr>
    </w:pPr>
    <w:r>
      <w:rPr>
        <w:rFonts w:ascii="Arial" w:hAnsi="Arial" w:cs="Arial"/>
        <w:sz w:val="24"/>
        <w:szCs w:val="24"/>
      </w:rPr>
      <w:t>B</w:t>
    </w:r>
    <w:r w:rsidR="00F02980">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429" w:rsidRDefault="00C85429" w:rsidP="00C85429">
      <w:r>
        <w:separator/>
      </w:r>
    </w:p>
  </w:footnote>
  <w:footnote w:type="continuationSeparator" w:id="0">
    <w:p w:rsidR="00C85429" w:rsidRDefault="00C85429" w:rsidP="00C85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E5760"/>
    <w:multiLevelType w:val="hybridMultilevel"/>
    <w:tmpl w:val="D0A000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3C541B68"/>
    <w:multiLevelType w:val="hybridMultilevel"/>
    <w:tmpl w:val="4DB6A38A"/>
    <w:lvl w:ilvl="0" w:tplc="08090001">
      <w:start w:val="1"/>
      <w:numFmt w:val="bullet"/>
      <w:lvlText w:val=""/>
      <w:lvlJc w:val="left"/>
      <w:pPr>
        <w:ind w:left="1992" w:hanging="360"/>
      </w:pPr>
      <w:rPr>
        <w:rFonts w:ascii="Symbol" w:hAnsi="Symbol" w:hint="default"/>
      </w:rPr>
    </w:lvl>
    <w:lvl w:ilvl="1" w:tplc="08090003" w:tentative="1">
      <w:start w:val="1"/>
      <w:numFmt w:val="bullet"/>
      <w:lvlText w:val="o"/>
      <w:lvlJc w:val="left"/>
      <w:pPr>
        <w:ind w:left="2712" w:hanging="360"/>
      </w:pPr>
      <w:rPr>
        <w:rFonts w:ascii="Courier New" w:hAnsi="Courier New" w:cs="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cs="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cs="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2">
    <w:nsid w:val="4115008C"/>
    <w:multiLevelType w:val="hybridMultilevel"/>
    <w:tmpl w:val="91F83DDA"/>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
    <w:nsid w:val="5F5B030C"/>
    <w:multiLevelType w:val="hybridMultilevel"/>
    <w:tmpl w:val="2CC269AC"/>
    <w:lvl w:ilvl="0" w:tplc="08090001">
      <w:start w:val="1"/>
      <w:numFmt w:val="bullet"/>
      <w:lvlText w:val=""/>
      <w:lvlJc w:val="left"/>
      <w:pPr>
        <w:ind w:left="1992" w:hanging="360"/>
      </w:pPr>
      <w:rPr>
        <w:rFonts w:ascii="Symbol" w:hAnsi="Symbol" w:hint="default"/>
      </w:rPr>
    </w:lvl>
    <w:lvl w:ilvl="1" w:tplc="08090003" w:tentative="1">
      <w:start w:val="1"/>
      <w:numFmt w:val="bullet"/>
      <w:lvlText w:val="o"/>
      <w:lvlJc w:val="left"/>
      <w:pPr>
        <w:ind w:left="2712" w:hanging="360"/>
      </w:pPr>
      <w:rPr>
        <w:rFonts w:ascii="Courier New" w:hAnsi="Courier New" w:cs="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cs="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cs="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4">
    <w:nsid w:val="664F4131"/>
    <w:multiLevelType w:val="hybridMultilevel"/>
    <w:tmpl w:val="5D38AC7C"/>
    <w:lvl w:ilvl="0" w:tplc="08090001">
      <w:start w:val="1"/>
      <w:numFmt w:val="bullet"/>
      <w:lvlText w:val=""/>
      <w:lvlJc w:val="left"/>
      <w:pPr>
        <w:ind w:left="1993" w:hanging="360"/>
      </w:pPr>
      <w:rPr>
        <w:rFonts w:ascii="Symbol" w:hAnsi="Symbol"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CF"/>
    <w:rsid w:val="001315FC"/>
    <w:rsid w:val="002E00AE"/>
    <w:rsid w:val="002F7B0C"/>
    <w:rsid w:val="00516E50"/>
    <w:rsid w:val="0060712A"/>
    <w:rsid w:val="006B0ACF"/>
    <w:rsid w:val="008F7519"/>
    <w:rsid w:val="00961637"/>
    <w:rsid w:val="0099792B"/>
    <w:rsid w:val="00C218B9"/>
    <w:rsid w:val="00C85429"/>
    <w:rsid w:val="00E3574F"/>
    <w:rsid w:val="00EA3A10"/>
    <w:rsid w:val="00F02980"/>
    <w:rsid w:val="00FF1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C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0ACF"/>
    <w:pPr>
      <w:tabs>
        <w:tab w:val="left" w:pos="1440"/>
        <w:tab w:val="left" w:pos="2160"/>
        <w:tab w:val="left" w:pos="2880"/>
        <w:tab w:val="left" w:pos="3600"/>
        <w:tab w:val="left" w:pos="4320"/>
      </w:tabs>
      <w:spacing w:line="238" w:lineRule="exact"/>
      <w:jc w:val="center"/>
    </w:pPr>
    <w:rPr>
      <w:rFonts w:ascii="Arial" w:hAnsi="Arial"/>
      <w:b/>
      <w:sz w:val="22"/>
    </w:rPr>
  </w:style>
  <w:style w:type="character" w:customStyle="1" w:styleId="TitleChar">
    <w:name w:val="Title Char"/>
    <w:basedOn w:val="DefaultParagraphFont"/>
    <w:link w:val="Title"/>
    <w:rsid w:val="006B0ACF"/>
    <w:rPr>
      <w:rFonts w:ascii="Arial" w:eastAsia="Times New Roman" w:hAnsi="Arial" w:cs="Times New Roman"/>
      <w:b/>
      <w:szCs w:val="20"/>
      <w:lang w:eastAsia="en-GB"/>
    </w:rPr>
  </w:style>
  <w:style w:type="paragraph" w:styleId="BodyTextIndent3">
    <w:name w:val="Body Text Indent 3"/>
    <w:basedOn w:val="Normal"/>
    <w:link w:val="BodyTextIndent3Char"/>
    <w:rsid w:val="006B0ACF"/>
    <w:pPr>
      <w:tabs>
        <w:tab w:val="left" w:pos="1260"/>
        <w:tab w:val="left" w:pos="1620"/>
        <w:tab w:val="left" w:pos="1980"/>
        <w:tab w:val="left" w:pos="2700"/>
        <w:tab w:val="left" w:pos="3420"/>
        <w:tab w:val="left" w:pos="4140"/>
      </w:tabs>
      <w:ind w:left="1620" w:hanging="1620"/>
      <w:jc w:val="both"/>
    </w:pPr>
    <w:rPr>
      <w:rFonts w:ascii="Arial" w:hAnsi="Arial"/>
      <w:sz w:val="22"/>
    </w:rPr>
  </w:style>
  <w:style w:type="character" w:customStyle="1" w:styleId="BodyTextIndent3Char">
    <w:name w:val="Body Text Indent 3 Char"/>
    <w:basedOn w:val="DefaultParagraphFont"/>
    <w:link w:val="BodyTextIndent3"/>
    <w:rsid w:val="006B0ACF"/>
    <w:rPr>
      <w:rFonts w:ascii="Arial" w:eastAsia="Times New Roman" w:hAnsi="Arial" w:cs="Times New Roman"/>
      <w:szCs w:val="20"/>
      <w:lang w:eastAsia="en-GB"/>
    </w:rPr>
  </w:style>
  <w:style w:type="paragraph" w:styleId="ListParagraph">
    <w:name w:val="List Paragraph"/>
    <w:basedOn w:val="Normal"/>
    <w:uiPriority w:val="34"/>
    <w:qFormat/>
    <w:rsid w:val="0099792B"/>
    <w:pPr>
      <w:ind w:left="720"/>
    </w:pPr>
    <w:rPr>
      <w:rFonts w:ascii="Arial" w:hAnsi="Arial"/>
      <w:sz w:val="24"/>
    </w:rPr>
  </w:style>
  <w:style w:type="character" w:customStyle="1" w:styleId="organisation-logo">
    <w:name w:val="organisation-logo"/>
    <w:rsid w:val="0099792B"/>
  </w:style>
  <w:style w:type="paragraph" w:styleId="Header">
    <w:name w:val="header"/>
    <w:basedOn w:val="Normal"/>
    <w:link w:val="HeaderChar"/>
    <w:uiPriority w:val="99"/>
    <w:unhideWhenUsed/>
    <w:rsid w:val="00C85429"/>
    <w:pPr>
      <w:tabs>
        <w:tab w:val="center" w:pos="4513"/>
        <w:tab w:val="right" w:pos="9026"/>
      </w:tabs>
    </w:pPr>
  </w:style>
  <w:style w:type="character" w:customStyle="1" w:styleId="HeaderChar">
    <w:name w:val="Header Char"/>
    <w:basedOn w:val="DefaultParagraphFont"/>
    <w:link w:val="Header"/>
    <w:uiPriority w:val="99"/>
    <w:rsid w:val="00C8542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85429"/>
    <w:pPr>
      <w:tabs>
        <w:tab w:val="center" w:pos="4513"/>
        <w:tab w:val="right" w:pos="9026"/>
      </w:tabs>
    </w:pPr>
  </w:style>
  <w:style w:type="character" w:customStyle="1" w:styleId="FooterChar">
    <w:name w:val="Footer Char"/>
    <w:basedOn w:val="DefaultParagraphFont"/>
    <w:link w:val="Footer"/>
    <w:uiPriority w:val="99"/>
    <w:rsid w:val="00C85429"/>
    <w:rPr>
      <w:rFonts w:ascii="Times New Roman" w:eastAsia="Times New Roman" w:hAnsi="Times New Roman" w:cs="Times New Roman"/>
      <w:sz w:val="20"/>
      <w:szCs w:val="20"/>
      <w:lang w:eastAsia="en-GB"/>
    </w:rPr>
  </w:style>
  <w:style w:type="paragraph" w:customStyle="1" w:styleId="Level2Number">
    <w:name w:val="Level 2 Number"/>
    <w:basedOn w:val="Normal"/>
    <w:rsid w:val="00516E50"/>
    <w:pPr>
      <w:tabs>
        <w:tab w:val="num" w:pos="360"/>
      </w:tabs>
      <w:spacing w:after="240"/>
    </w:pPr>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C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0ACF"/>
    <w:pPr>
      <w:tabs>
        <w:tab w:val="left" w:pos="1440"/>
        <w:tab w:val="left" w:pos="2160"/>
        <w:tab w:val="left" w:pos="2880"/>
        <w:tab w:val="left" w:pos="3600"/>
        <w:tab w:val="left" w:pos="4320"/>
      </w:tabs>
      <w:spacing w:line="238" w:lineRule="exact"/>
      <w:jc w:val="center"/>
    </w:pPr>
    <w:rPr>
      <w:rFonts w:ascii="Arial" w:hAnsi="Arial"/>
      <w:b/>
      <w:sz w:val="22"/>
    </w:rPr>
  </w:style>
  <w:style w:type="character" w:customStyle="1" w:styleId="TitleChar">
    <w:name w:val="Title Char"/>
    <w:basedOn w:val="DefaultParagraphFont"/>
    <w:link w:val="Title"/>
    <w:rsid w:val="006B0ACF"/>
    <w:rPr>
      <w:rFonts w:ascii="Arial" w:eastAsia="Times New Roman" w:hAnsi="Arial" w:cs="Times New Roman"/>
      <w:b/>
      <w:szCs w:val="20"/>
      <w:lang w:eastAsia="en-GB"/>
    </w:rPr>
  </w:style>
  <w:style w:type="paragraph" w:styleId="BodyTextIndent3">
    <w:name w:val="Body Text Indent 3"/>
    <w:basedOn w:val="Normal"/>
    <w:link w:val="BodyTextIndent3Char"/>
    <w:rsid w:val="006B0ACF"/>
    <w:pPr>
      <w:tabs>
        <w:tab w:val="left" w:pos="1260"/>
        <w:tab w:val="left" w:pos="1620"/>
        <w:tab w:val="left" w:pos="1980"/>
        <w:tab w:val="left" w:pos="2700"/>
        <w:tab w:val="left" w:pos="3420"/>
        <w:tab w:val="left" w:pos="4140"/>
      </w:tabs>
      <w:ind w:left="1620" w:hanging="1620"/>
      <w:jc w:val="both"/>
    </w:pPr>
    <w:rPr>
      <w:rFonts w:ascii="Arial" w:hAnsi="Arial"/>
      <w:sz w:val="22"/>
    </w:rPr>
  </w:style>
  <w:style w:type="character" w:customStyle="1" w:styleId="BodyTextIndent3Char">
    <w:name w:val="Body Text Indent 3 Char"/>
    <w:basedOn w:val="DefaultParagraphFont"/>
    <w:link w:val="BodyTextIndent3"/>
    <w:rsid w:val="006B0ACF"/>
    <w:rPr>
      <w:rFonts w:ascii="Arial" w:eastAsia="Times New Roman" w:hAnsi="Arial" w:cs="Times New Roman"/>
      <w:szCs w:val="20"/>
      <w:lang w:eastAsia="en-GB"/>
    </w:rPr>
  </w:style>
  <w:style w:type="paragraph" w:styleId="ListParagraph">
    <w:name w:val="List Paragraph"/>
    <w:basedOn w:val="Normal"/>
    <w:uiPriority w:val="34"/>
    <w:qFormat/>
    <w:rsid w:val="0099792B"/>
    <w:pPr>
      <w:ind w:left="720"/>
    </w:pPr>
    <w:rPr>
      <w:rFonts w:ascii="Arial" w:hAnsi="Arial"/>
      <w:sz w:val="24"/>
    </w:rPr>
  </w:style>
  <w:style w:type="character" w:customStyle="1" w:styleId="organisation-logo">
    <w:name w:val="organisation-logo"/>
    <w:rsid w:val="0099792B"/>
  </w:style>
  <w:style w:type="paragraph" w:styleId="Header">
    <w:name w:val="header"/>
    <w:basedOn w:val="Normal"/>
    <w:link w:val="HeaderChar"/>
    <w:uiPriority w:val="99"/>
    <w:unhideWhenUsed/>
    <w:rsid w:val="00C85429"/>
    <w:pPr>
      <w:tabs>
        <w:tab w:val="center" w:pos="4513"/>
        <w:tab w:val="right" w:pos="9026"/>
      </w:tabs>
    </w:pPr>
  </w:style>
  <w:style w:type="character" w:customStyle="1" w:styleId="HeaderChar">
    <w:name w:val="Header Char"/>
    <w:basedOn w:val="DefaultParagraphFont"/>
    <w:link w:val="Header"/>
    <w:uiPriority w:val="99"/>
    <w:rsid w:val="00C8542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85429"/>
    <w:pPr>
      <w:tabs>
        <w:tab w:val="center" w:pos="4513"/>
        <w:tab w:val="right" w:pos="9026"/>
      </w:tabs>
    </w:pPr>
  </w:style>
  <w:style w:type="character" w:customStyle="1" w:styleId="FooterChar">
    <w:name w:val="Footer Char"/>
    <w:basedOn w:val="DefaultParagraphFont"/>
    <w:link w:val="Footer"/>
    <w:uiPriority w:val="99"/>
    <w:rsid w:val="00C85429"/>
    <w:rPr>
      <w:rFonts w:ascii="Times New Roman" w:eastAsia="Times New Roman" w:hAnsi="Times New Roman" w:cs="Times New Roman"/>
      <w:sz w:val="20"/>
      <w:szCs w:val="20"/>
      <w:lang w:eastAsia="en-GB"/>
    </w:rPr>
  </w:style>
  <w:style w:type="paragraph" w:customStyle="1" w:styleId="Level2Number">
    <w:name w:val="Level 2 Number"/>
    <w:basedOn w:val="Normal"/>
    <w:rsid w:val="00516E50"/>
    <w:pPr>
      <w:tabs>
        <w:tab w:val="num" w:pos="360"/>
      </w:tabs>
      <w:spacing w:after="24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Wailling</dc:creator>
  <cp:lastModifiedBy>Sarah Haythorpe</cp:lastModifiedBy>
  <cp:revision>3</cp:revision>
  <cp:lastPrinted>2016-12-06T11:34:00Z</cp:lastPrinted>
  <dcterms:created xsi:type="dcterms:W3CDTF">2016-12-06T11:25:00Z</dcterms:created>
  <dcterms:modified xsi:type="dcterms:W3CDTF">2016-12-06T11:34:00Z</dcterms:modified>
</cp:coreProperties>
</file>