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CCA" w:rsidRDefault="00450CCA" w:rsidP="00450CCA">
      <w:pPr>
        <w:keepNext/>
        <w:keepLines/>
        <w:jc w:val="center"/>
        <w:rPr>
          <w:b/>
          <w:i/>
        </w:rPr>
      </w:pPr>
      <w:r>
        <w:rPr>
          <w:b/>
        </w:rPr>
        <w:fldChar w:fldCharType="begin"/>
      </w:r>
      <w:r>
        <w:rPr>
          <w:b/>
        </w:rPr>
        <w:instrText xml:space="preserve">  </w:instrText>
      </w:r>
      <w:r>
        <w:rPr>
          <w:b/>
        </w:rPr>
        <w:fldChar w:fldCharType="end"/>
      </w:r>
      <w:r>
        <w:rPr>
          <w:b/>
        </w:rPr>
        <w:fldChar w:fldCharType="begin"/>
      </w:r>
      <w:r>
        <w:rPr>
          <w:b/>
        </w:rPr>
        <w:instrText xml:space="preserve">  </w:instrText>
      </w:r>
      <w:r>
        <w:rPr>
          <w:b/>
        </w:rPr>
        <w:fldChar w:fldCharType="end"/>
      </w:r>
      <w:r w:rsidR="0027105E">
        <w:rPr>
          <w:b/>
        </w:rPr>
        <w:t>COUNCIL</w:t>
      </w:r>
      <w:r>
        <w:rPr>
          <w:b/>
        </w:rPr>
        <w:t xml:space="preserve"> – </w:t>
      </w:r>
      <w:r w:rsidR="0031005C">
        <w:rPr>
          <w:b/>
        </w:rPr>
        <w:t>13</w:t>
      </w:r>
      <w:r w:rsidR="00B71EBF">
        <w:rPr>
          <w:b/>
        </w:rPr>
        <w:t xml:space="preserve"> </w:t>
      </w:r>
      <w:r>
        <w:rPr>
          <w:b/>
        </w:rPr>
        <w:t>DECEMBER 20</w:t>
      </w:r>
      <w:r w:rsidR="00EC69E7">
        <w:rPr>
          <w:b/>
        </w:rPr>
        <w:t>1</w:t>
      </w:r>
      <w:r w:rsidR="0031005C">
        <w:rPr>
          <w:b/>
        </w:rPr>
        <w:t>6</w:t>
      </w:r>
      <w:r>
        <w:rPr>
          <w:b/>
        </w:rPr>
        <w:fldChar w:fldCharType="begin"/>
      </w:r>
      <w:r>
        <w:rPr>
          <w:b/>
        </w:rPr>
        <w:instrText xml:space="preserve">  </w:instrText>
      </w:r>
      <w:r>
        <w:rPr>
          <w:b/>
        </w:rPr>
        <w:fldChar w:fldCharType="end"/>
      </w:r>
    </w:p>
    <w:p w:rsidR="00450CCA" w:rsidRDefault="00450CCA" w:rsidP="00450CCA">
      <w:pPr>
        <w:keepNext/>
        <w:keepLines/>
        <w:jc w:val="center"/>
      </w:pPr>
    </w:p>
    <w:p w:rsidR="00450CCA" w:rsidRDefault="00450CCA" w:rsidP="00450CCA">
      <w:pPr>
        <w:keepNext/>
        <w:keepLines/>
      </w:pPr>
    </w:p>
    <w:p w:rsidR="00450CCA" w:rsidRDefault="007D39AD" w:rsidP="00450CCA">
      <w:pPr>
        <w:keepNext/>
        <w:keepLines/>
        <w:ind w:left="1267" w:hanging="1267"/>
        <w:rPr>
          <w:i/>
          <w:color w:val="FF0000"/>
        </w:rPr>
      </w:pPr>
      <w:r>
        <w:rPr>
          <w:b/>
        </w:rPr>
        <w:t>14.</w:t>
      </w:r>
      <w:r w:rsidR="00450CCA">
        <w:rPr>
          <w:b/>
        </w:rPr>
        <w:tab/>
      </w:r>
      <w:r w:rsidR="00450CCA">
        <w:rPr>
          <w:b/>
        </w:rPr>
        <w:fldChar w:fldCharType="begin"/>
      </w:r>
      <w:r w:rsidR="00450CCA">
        <w:rPr>
          <w:b/>
        </w:rPr>
        <w:instrText xml:space="preserve">  </w:instrText>
      </w:r>
      <w:r w:rsidR="00450CCA">
        <w:rPr>
          <w:b/>
        </w:rPr>
        <w:fldChar w:fldCharType="end"/>
      </w:r>
      <w:r w:rsidR="00450CCA">
        <w:rPr>
          <w:b/>
        </w:rPr>
        <w:t>SPECIAL EXPENSES</w:t>
      </w:r>
    </w:p>
    <w:p w:rsidR="00450CCA" w:rsidRDefault="00450CCA" w:rsidP="00450CCA">
      <w:pPr>
        <w:keepNext/>
        <w:keepLines/>
        <w:ind w:left="1267" w:hanging="1267"/>
      </w:pPr>
      <w:r>
        <w:rPr>
          <w:b/>
        </w:rPr>
        <w:tab/>
      </w:r>
      <w:r>
        <w:fldChar w:fldCharType="begin"/>
      </w:r>
      <w:r>
        <w:instrText xml:space="preserve">  </w:instrText>
      </w:r>
      <w:r>
        <w:fldChar w:fldCharType="end"/>
      </w:r>
      <w:r>
        <w:t>(</w:t>
      </w:r>
      <w:proofErr w:type="spellStart"/>
      <w:r>
        <w:t>D</w:t>
      </w:r>
      <w:r w:rsidR="002A1973">
        <w:t>o</w:t>
      </w:r>
      <w:r w:rsidR="00D97EAC">
        <w:t>F</w:t>
      </w:r>
      <w:proofErr w:type="spellEnd"/>
      <w:r>
        <w:t xml:space="preserve">) </w:t>
      </w:r>
    </w:p>
    <w:p w:rsidR="00450CCA" w:rsidRDefault="00450CCA" w:rsidP="00450CCA">
      <w:pPr>
        <w:keepNext/>
        <w:keepLines/>
        <w:ind w:left="1267" w:hanging="1267"/>
      </w:pPr>
    </w:p>
    <w:p w:rsidR="00450CCA" w:rsidRDefault="00450CCA" w:rsidP="00450CCA">
      <w:pPr>
        <w:keepNext/>
        <w:keepLines/>
        <w:ind w:left="1267" w:hanging="1267"/>
      </w:pPr>
      <w:r>
        <w:t>1.</w:t>
      </w:r>
      <w:r>
        <w:tab/>
      </w:r>
      <w:r>
        <w:rPr>
          <w:b/>
        </w:rPr>
        <w:t>Summary</w:t>
      </w:r>
    </w:p>
    <w:p w:rsidR="00450CCA" w:rsidRDefault="00450CCA" w:rsidP="00450CCA">
      <w:pPr>
        <w:keepNext/>
        <w:keepLines/>
        <w:ind w:left="1267" w:hanging="1267"/>
      </w:pPr>
    </w:p>
    <w:p w:rsidR="00450CCA" w:rsidRDefault="00450CCA" w:rsidP="00450CCA">
      <w:pPr>
        <w:keepNext/>
        <w:keepLines/>
        <w:ind w:left="1267" w:hanging="1267"/>
      </w:pPr>
      <w:r>
        <w:t>1.1</w:t>
      </w:r>
      <w:r>
        <w:tab/>
      </w:r>
      <w:r>
        <w:fldChar w:fldCharType="begin"/>
      </w:r>
      <w:r>
        <w:instrText xml:space="preserve">  </w:instrText>
      </w:r>
      <w:r>
        <w:fldChar w:fldCharType="end"/>
      </w:r>
      <w:r>
        <w:t>This report</w:t>
      </w:r>
      <w:r>
        <w:fldChar w:fldCharType="begin"/>
      </w:r>
      <w:r>
        <w:instrText xml:space="preserve">  </w:instrText>
      </w:r>
      <w:r>
        <w:fldChar w:fldCharType="end"/>
      </w:r>
      <w:r>
        <w:t xml:space="preserve"> reviews the Council’s general and special expenses.</w:t>
      </w:r>
    </w:p>
    <w:p w:rsidR="00450CCA" w:rsidRDefault="00450CCA" w:rsidP="00450CCA">
      <w:pPr>
        <w:keepNext/>
        <w:keepLines/>
        <w:ind w:left="1267" w:hanging="1267"/>
      </w:pPr>
    </w:p>
    <w:p w:rsidR="00450CCA" w:rsidRDefault="00450CCA" w:rsidP="00450CCA">
      <w:pPr>
        <w:keepNext/>
        <w:keepLines/>
        <w:ind w:left="1267" w:hanging="1267"/>
        <w:rPr>
          <w:b/>
        </w:rPr>
      </w:pPr>
      <w:r>
        <w:t>2.</w:t>
      </w:r>
      <w:r>
        <w:tab/>
      </w:r>
      <w:r>
        <w:rPr>
          <w:b/>
        </w:rPr>
        <w:t>Details</w:t>
      </w:r>
    </w:p>
    <w:p w:rsidR="00450CCA" w:rsidRDefault="00450CCA" w:rsidP="00450CCA">
      <w:pPr>
        <w:keepNext/>
        <w:keepLines/>
        <w:ind w:left="1267" w:hanging="1267"/>
      </w:pPr>
      <w:r>
        <w:tab/>
      </w:r>
    </w:p>
    <w:p w:rsidR="00450CCA" w:rsidRDefault="00450CCA" w:rsidP="00450CCA">
      <w:pPr>
        <w:keepNext/>
        <w:keepLines/>
        <w:ind w:left="1267" w:hanging="1267"/>
        <w:rPr>
          <w:b/>
          <w:i/>
        </w:rPr>
      </w:pPr>
      <w:r>
        <w:tab/>
      </w:r>
      <w:r>
        <w:rPr>
          <w:b/>
          <w:i/>
        </w:rPr>
        <w:t>Financial Arrangements with Parish Councils - The Principles</w:t>
      </w:r>
    </w:p>
    <w:p w:rsidR="00450CCA" w:rsidRDefault="00450CCA" w:rsidP="00450CCA">
      <w:pPr>
        <w:keepNext/>
        <w:keepLines/>
        <w:ind w:left="1267" w:hanging="1267"/>
      </w:pPr>
    </w:p>
    <w:p w:rsidR="00450CCA" w:rsidRDefault="00450CCA" w:rsidP="00450CCA">
      <w:pPr>
        <w:keepNext/>
        <w:keepLines/>
        <w:ind w:left="1267" w:hanging="1267"/>
      </w:pPr>
      <w:r>
        <w:t>2.1</w:t>
      </w:r>
      <w:r>
        <w:tab/>
        <w:t>Financial arrangements with parish councils are specifically aimed at avoiding ‘double taxation’ – the situation where the costs of certain services are charged twice to local taxpayers because the parish provides a service but the district council still charges taxpayers in the parish for the equivalent services it provides elsewhere.</w:t>
      </w:r>
    </w:p>
    <w:p w:rsidR="00450CCA" w:rsidRDefault="00450CCA" w:rsidP="00450CCA">
      <w:pPr>
        <w:keepNext/>
        <w:keepLines/>
        <w:ind w:left="1267" w:hanging="1267"/>
      </w:pPr>
    </w:p>
    <w:p w:rsidR="00450CCA" w:rsidRDefault="00450CCA" w:rsidP="00450CCA">
      <w:pPr>
        <w:keepNext/>
        <w:keepLines/>
        <w:ind w:left="1267" w:hanging="1267"/>
      </w:pPr>
      <w:r>
        <w:t>2.2</w:t>
      </w:r>
      <w:r>
        <w:tab/>
        <w:t xml:space="preserve">Double taxation might apply, for example, if the residents of Abbots Langley were to be charged via the Abbots Langley Parish Council precept, for the maintenance of playing fields in the parish (a function performed only by the parish council in that area and paid for only by Abbots Langley parishioners), and for a share of the cost of maintenance of playing fields in the remainder of the district (carried out by the district council elsewhere).  </w:t>
      </w:r>
    </w:p>
    <w:p w:rsidR="00450CCA" w:rsidRDefault="00450CCA" w:rsidP="00450CCA">
      <w:pPr>
        <w:keepNext/>
        <w:keepLines/>
        <w:ind w:left="1267" w:hanging="1267"/>
      </w:pPr>
    </w:p>
    <w:p w:rsidR="00450CCA" w:rsidRDefault="00450CCA" w:rsidP="00450CCA">
      <w:pPr>
        <w:keepNext/>
        <w:keepLines/>
        <w:tabs>
          <w:tab w:val="clear" w:pos="1980"/>
          <w:tab w:val="left" w:pos="1985"/>
        </w:tabs>
        <w:ind w:left="1267" w:hanging="1267"/>
      </w:pPr>
      <w:r>
        <w:t>2.3</w:t>
      </w:r>
      <w:r>
        <w:tab/>
        <w:t xml:space="preserve">Guidance provided by the </w:t>
      </w:r>
      <w:r w:rsidR="00A425B2">
        <w:t>D</w:t>
      </w:r>
      <w:r w:rsidR="00213820">
        <w:t xml:space="preserve">epartment for </w:t>
      </w:r>
      <w:r w:rsidR="00A425B2">
        <w:t>C</w:t>
      </w:r>
      <w:r w:rsidR="00213820">
        <w:t xml:space="preserve">ommunities &amp; </w:t>
      </w:r>
      <w:r w:rsidR="00A425B2">
        <w:t>L</w:t>
      </w:r>
      <w:r w:rsidR="00213820">
        <w:t xml:space="preserve">ocal </w:t>
      </w:r>
      <w:r w:rsidR="00A425B2">
        <w:t>G</w:t>
      </w:r>
      <w:r w:rsidR="00213820">
        <w:t>overnment</w:t>
      </w:r>
      <w:r>
        <w:t xml:space="preserve"> suggest</w:t>
      </w:r>
      <w:r w:rsidR="00A425B2">
        <w:t>s</w:t>
      </w:r>
      <w:r>
        <w:t xml:space="preserve"> that there should be five principles that should govern arrangements between district councils and parish councils:</w:t>
      </w:r>
    </w:p>
    <w:p w:rsidR="00450CCA" w:rsidRDefault="00450CCA" w:rsidP="00450CCA">
      <w:pPr>
        <w:keepNext/>
        <w:keepLines/>
        <w:tabs>
          <w:tab w:val="clear" w:pos="1980"/>
          <w:tab w:val="left" w:pos="1985"/>
        </w:tabs>
        <w:ind w:left="1267" w:hanging="1267"/>
      </w:pPr>
    </w:p>
    <w:p w:rsidR="00450CCA" w:rsidRDefault="00450CCA" w:rsidP="00450CCA">
      <w:pPr>
        <w:keepNext/>
        <w:keepLines/>
        <w:tabs>
          <w:tab w:val="clear" w:pos="1260"/>
          <w:tab w:val="clear" w:pos="1980"/>
          <w:tab w:val="clear" w:pos="2700"/>
          <w:tab w:val="left" w:pos="2268"/>
        </w:tabs>
        <w:ind w:left="2268" w:hanging="567"/>
      </w:pPr>
      <w:r>
        <w:t>1.</w:t>
      </w:r>
      <w:r>
        <w:tab/>
        <w:t>Fairness in the provision and access to services</w:t>
      </w:r>
    </w:p>
    <w:p w:rsidR="00450CCA" w:rsidRDefault="00450CCA" w:rsidP="00450CCA">
      <w:pPr>
        <w:keepNext/>
        <w:keepLines/>
        <w:tabs>
          <w:tab w:val="clear" w:pos="1260"/>
          <w:tab w:val="clear" w:pos="1980"/>
          <w:tab w:val="clear" w:pos="2700"/>
          <w:tab w:val="left" w:pos="2268"/>
        </w:tabs>
        <w:ind w:left="2268" w:hanging="567"/>
      </w:pPr>
      <w:r>
        <w:t>2.</w:t>
      </w:r>
      <w:r>
        <w:tab/>
        <w:t>Simplicity to keep operating costs to a minimum</w:t>
      </w:r>
    </w:p>
    <w:p w:rsidR="00450CCA" w:rsidRDefault="00450CCA" w:rsidP="00450CCA">
      <w:pPr>
        <w:keepNext/>
        <w:keepLines/>
        <w:tabs>
          <w:tab w:val="clear" w:pos="1260"/>
          <w:tab w:val="clear" w:pos="1980"/>
          <w:tab w:val="clear" w:pos="2700"/>
          <w:tab w:val="left" w:pos="2268"/>
        </w:tabs>
        <w:ind w:left="2268" w:hanging="567"/>
      </w:pPr>
      <w:r>
        <w:t>3.</w:t>
      </w:r>
      <w:r>
        <w:tab/>
        <w:t>Transparency to help understanding</w:t>
      </w:r>
    </w:p>
    <w:p w:rsidR="00450CCA" w:rsidRDefault="00450CCA" w:rsidP="00450CCA">
      <w:pPr>
        <w:keepNext/>
        <w:keepLines/>
        <w:tabs>
          <w:tab w:val="clear" w:pos="1260"/>
          <w:tab w:val="clear" w:pos="1980"/>
          <w:tab w:val="clear" w:pos="2700"/>
          <w:tab w:val="left" w:pos="2268"/>
        </w:tabs>
        <w:ind w:left="2268" w:hanging="567"/>
      </w:pPr>
      <w:r>
        <w:t>4.</w:t>
      </w:r>
      <w:r>
        <w:tab/>
        <w:t>Democratic control and accountability to distinguish between funding provided to a parish by the district for a service carried out by the parish and funding raised through the parish precept for services carried out by the parish.</w:t>
      </w:r>
    </w:p>
    <w:p w:rsidR="00450CCA" w:rsidRDefault="00450CCA" w:rsidP="00450CCA">
      <w:pPr>
        <w:keepNext/>
        <w:keepLines/>
        <w:tabs>
          <w:tab w:val="clear" w:pos="1260"/>
          <w:tab w:val="clear" w:pos="1980"/>
          <w:tab w:val="clear" w:pos="2700"/>
          <w:tab w:val="left" w:pos="2268"/>
        </w:tabs>
        <w:ind w:left="2268" w:hanging="567"/>
      </w:pPr>
      <w:r>
        <w:t>5.</w:t>
      </w:r>
      <w:r>
        <w:tab/>
        <w:t>Finance should follow function so that where service provision is devolved or transferred from the district to the parish council funding is also transferred with the amount agreed between the councils.</w:t>
      </w:r>
    </w:p>
    <w:p w:rsidR="00450CCA" w:rsidRDefault="00450CCA" w:rsidP="00450CCA">
      <w:pPr>
        <w:keepNext/>
        <w:keepLines/>
        <w:ind w:left="1267" w:hanging="1267"/>
      </w:pPr>
    </w:p>
    <w:p w:rsidR="00450CCA" w:rsidRDefault="00450CCA" w:rsidP="00450CCA">
      <w:pPr>
        <w:keepNext/>
        <w:keepLines/>
        <w:ind w:left="1267" w:hanging="1267"/>
      </w:pPr>
      <w:r>
        <w:t>2.4</w:t>
      </w:r>
      <w:r>
        <w:tab/>
        <w:t>Prior to the Local Government Finance Act 1992, the Council made grants to parish councils where they carried out a ‘concurrent’ function in their area that would normally have been performed by the district council.</w:t>
      </w:r>
    </w:p>
    <w:p w:rsidR="00450CCA" w:rsidRDefault="00450CCA" w:rsidP="00450CCA">
      <w:pPr>
        <w:keepNext/>
        <w:keepLines/>
        <w:ind w:left="1267" w:hanging="1267"/>
      </w:pPr>
    </w:p>
    <w:p w:rsidR="00450CCA" w:rsidRDefault="00450CCA" w:rsidP="00450CCA">
      <w:pPr>
        <w:keepNext/>
        <w:keepLines/>
        <w:ind w:left="1267" w:hanging="1267"/>
      </w:pPr>
      <w:r>
        <w:t>2.5</w:t>
      </w:r>
      <w:r>
        <w:tab/>
        <w:t>Other arrangements (that have not been used here) could be support in goods or in kind and agency agreements under S101 of the Local Government Act 1972 or S20 of the Local Government Act 2000 where a parish council acts as an agent for the district in carrying out a task for which it is paid an agreed rate.</w:t>
      </w:r>
    </w:p>
    <w:p w:rsidR="00450CCA" w:rsidRDefault="00450CCA" w:rsidP="00450CCA">
      <w:pPr>
        <w:keepNext/>
        <w:keepLines/>
        <w:ind w:left="1267" w:hanging="1267"/>
      </w:pPr>
    </w:p>
    <w:p w:rsidR="00450CCA" w:rsidRDefault="00450CCA" w:rsidP="00450CCA">
      <w:pPr>
        <w:keepNext/>
        <w:keepLines/>
        <w:ind w:left="1267" w:hanging="1267"/>
      </w:pPr>
      <w:r>
        <w:t>2.6</w:t>
      </w:r>
      <w:r>
        <w:tab/>
        <w:t xml:space="preserve">The Local Government Finance Act 1992 provided for different amounts of council tax to be calculated for different parts, e.g. </w:t>
      </w:r>
      <w:proofErr w:type="spellStart"/>
      <w:r>
        <w:t>parished</w:t>
      </w:r>
      <w:proofErr w:type="spellEnd"/>
      <w:r>
        <w:t xml:space="preserve"> and unparished areas, of a district, depending on what, if any, ‘special items’ relate to those parts.</w:t>
      </w:r>
    </w:p>
    <w:p w:rsidR="00450CCA" w:rsidRDefault="00450CCA" w:rsidP="00450CCA">
      <w:pPr>
        <w:keepNext/>
        <w:keepLines/>
        <w:ind w:left="1267" w:hanging="1267"/>
      </w:pPr>
    </w:p>
    <w:p w:rsidR="00450CCA" w:rsidRDefault="00450CCA" w:rsidP="00450CCA">
      <w:pPr>
        <w:keepNext/>
        <w:keepLines/>
        <w:ind w:left="1267" w:hanging="1267"/>
      </w:pPr>
      <w:r>
        <w:t>2.7</w:t>
      </w:r>
      <w:r>
        <w:tab/>
        <w:t>A special item is an item which relates to only part of a district council’s area. A parish precept is one special item. ‘Special expenses’ are another special item.</w:t>
      </w:r>
    </w:p>
    <w:p w:rsidR="00450CCA" w:rsidRDefault="00450CCA" w:rsidP="00450CCA">
      <w:pPr>
        <w:keepNext/>
        <w:keepLines/>
        <w:ind w:left="1267" w:hanging="1267"/>
      </w:pPr>
    </w:p>
    <w:p w:rsidR="00450CCA" w:rsidRDefault="00450CCA" w:rsidP="00450CCA">
      <w:pPr>
        <w:keepNext/>
        <w:keepLines/>
        <w:ind w:left="1267" w:hanging="1267"/>
      </w:pPr>
      <w:r>
        <w:lastRenderedPageBreak/>
        <w:t>2.8</w:t>
      </w:r>
      <w:r>
        <w:tab/>
        <w:t>There are five different types of special expense, but the one affecting this district is set out in Section 35(2</w:t>
      </w:r>
      <w:proofErr w:type="gramStart"/>
      <w:r>
        <w:t>)(</w:t>
      </w:r>
      <w:proofErr w:type="gramEnd"/>
      <w:r>
        <w:t>d) which provides that:</w:t>
      </w:r>
    </w:p>
    <w:p w:rsidR="00450CCA" w:rsidRDefault="00450CCA" w:rsidP="00450CCA">
      <w:pPr>
        <w:keepNext/>
        <w:keepLines/>
        <w:ind w:left="1267" w:hanging="1267"/>
      </w:pPr>
    </w:p>
    <w:p w:rsidR="00450CCA" w:rsidRDefault="00450CCA" w:rsidP="00450CCA">
      <w:pPr>
        <w:keepNext/>
        <w:keepLines/>
        <w:ind w:left="1267" w:hanging="1267"/>
      </w:pPr>
      <w:r>
        <w:tab/>
        <w:t>“any expenses incurred by a billing authority in performing in a part of its area a function preformed elsewhere in its area by the sub-treasurer of the Inner Temple, the under-treasurer of the Middle Temple, a parish or community council or the chairman of a parish meeting are the authority’s special expenses unless a resolution of the authority to the contrary effect is in force”.</w:t>
      </w:r>
    </w:p>
    <w:p w:rsidR="00450CCA" w:rsidRDefault="00450CCA" w:rsidP="00450CCA">
      <w:pPr>
        <w:keepNext/>
        <w:keepLines/>
        <w:ind w:left="1267" w:hanging="1267"/>
      </w:pPr>
    </w:p>
    <w:p w:rsidR="00450CCA" w:rsidRDefault="00450CCA" w:rsidP="00450CCA">
      <w:pPr>
        <w:keepNext/>
        <w:keepLines/>
        <w:ind w:left="1267" w:hanging="1267"/>
      </w:pPr>
      <w:r>
        <w:t>2.9</w:t>
      </w:r>
      <w:r>
        <w:tab/>
        <w:t>Three Rivers decided to use the special expenses arrangements because:-</w:t>
      </w:r>
    </w:p>
    <w:p w:rsidR="00450CCA" w:rsidRDefault="00450CCA" w:rsidP="00450CCA">
      <w:pPr>
        <w:keepNext/>
        <w:keepLines/>
        <w:ind w:left="1267" w:hanging="1267"/>
      </w:pPr>
    </w:p>
    <w:p w:rsidR="00450CCA" w:rsidRDefault="00450CCA" w:rsidP="00450CCA">
      <w:pPr>
        <w:keepNext/>
        <w:keepLines/>
        <w:tabs>
          <w:tab w:val="clear" w:pos="1260"/>
          <w:tab w:val="clear" w:pos="1980"/>
          <w:tab w:val="left" w:pos="1985"/>
        </w:tabs>
        <w:ind w:left="1985" w:hanging="709"/>
      </w:pPr>
      <w:r>
        <w:t>a)</w:t>
      </w:r>
      <w:r>
        <w:tab/>
      </w:r>
      <w:proofErr w:type="gramStart"/>
      <w:r>
        <w:t>they</w:t>
      </w:r>
      <w:proofErr w:type="gramEnd"/>
      <w:r>
        <w:t xml:space="preserve"> provided fairness, transparency and accountability, and,</w:t>
      </w:r>
    </w:p>
    <w:p w:rsidR="00450CCA" w:rsidRDefault="00450CCA" w:rsidP="00450CCA">
      <w:pPr>
        <w:keepNext/>
        <w:keepLines/>
        <w:ind w:left="1267" w:hanging="1267"/>
      </w:pPr>
    </w:p>
    <w:p w:rsidR="00450CCA" w:rsidRDefault="00450CCA" w:rsidP="00450CCA">
      <w:pPr>
        <w:keepNext/>
        <w:keepLines/>
        <w:tabs>
          <w:tab w:val="clear" w:pos="1260"/>
          <w:tab w:val="clear" w:pos="1980"/>
          <w:tab w:val="left" w:pos="1985"/>
        </w:tabs>
        <w:ind w:left="1985" w:hanging="709"/>
      </w:pPr>
      <w:r>
        <w:t>b)</w:t>
      </w:r>
      <w:r>
        <w:tab/>
      </w:r>
      <w:proofErr w:type="gramStart"/>
      <w:r>
        <w:t>by</w:t>
      </w:r>
      <w:proofErr w:type="gramEnd"/>
      <w:r>
        <w:t xml:space="preserve"> reducing the district’s expenditure on grants for ‘concurrent’ services and raising the funding via the parish precept, the district reduced the chances of it being ‘capped’. </w:t>
      </w:r>
    </w:p>
    <w:p w:rsidR="00294AAD" w:rsidRDefault="00294AAD" w:rsidP="00450CCA">
      <w:pPr>
        <w:keepNext/>
        <w:keepLines/>
        <w:tabs>
          <w:tab w:val="clear" w:pos="1260"/>
          <w:tab w:val="clear" w:pos="1980"/>
          <w:tab w:val="left" w:pos="1985"/>
        </w:tabs>
        <w:ind w:left="1985" w:hanging="709"/>
      </w:pPr>
    </w:p>
    <w:p w:rsidR="00721654" w:rsidRDefault="00294AAD" w:rsidP="00721654">
      <w:pPr>
        <w:ind w:left="1260" w:hanging="1260"/>
      </w:pPr>
      <w:r>
        <w:t>2.10</w:t>
      </w:r>
      <w:r>
        <w:tab/>
      </w:r>
      <w:r w:rsidR="00721654">
        <w:t>The formation of the</w:t>
      </w:r>
      <w:r>
        <w:t xml:space="preserve"> new </w:t>
      </w:r>
      <w:proofErr w:type="spellStart"/>
      <w:r>
        <w:t>Batchworth</w:t>
      </w:r>
      <w:proofErr w:type="spellEnd"/>
      <w:r>
        <w:t xml:space="preserve"> </w:t>
      </w:r>
      <w:r w:rsidR="005B5410">
        <w:t xml:space="preserve">Parish </w:t>
      </w:r>
      <w:r>
        <w:t xml:space="preserve">Council from 2017/18, </w:t>
      </w:r>
      <w:r w:rsidR="00721654">
        <w:t>gives the opportunity for a fundamental review of Special Expenses including what is included, how costs are apportioned between the parishes and whether the existing methodology is still fit for purpose</w:t>
      </w:r>
      <w:r w:rsidR="00721654" w:rsidRPr="00695EFF">
        <w:t xml:space="preserve"> </w:t>
      </w:r>
      <w:r w:rsidR="00721654">
        <w:t>and flexible enough to incorporate future changes.</w:t>
      </w:r>
    </w:p>
    <w:p w:rsidR="00294AAD" w:rsidRDefault="00294AAD" w:rsidP="00450CCA">
      <w:pPr>
        <w:keepNext/>
        <w:keepLines/>
        <w:tabs>
          <w:tab w:val="clear" w:pos="1260"/>
          <w:tab w:val="clear" w:pos="1980"/>
          <w:tab w:val="left" w:pos="1985"/>
        </w:tabs>
        <w:ind w:left="1985" w:hanging="709"/>
      </w:pPr>
    </w:p>
    <w:p w:rsidR="000412AE" w:rsidRDefault="002D78AC" w:rsidP="000412AE">
      <w:pPr>
        <w:rPr>
          <w:b/>
          <w:i/>
        </w:rPr>
      </w:pPr>
      <w:r>
        <w:rPr>
          <w:b/>
        </w:rPr>
        <w:tab/>
      </w:r>
      <w:r w:rsidR="000412AE" w:rsidRPr="002D78AC">
        <w:rPr>
          <w:b/>
          <w:i/>
        </w:rPr>
        <w:t>What Should Be Declared As A Special Expense?</w:t>
      </w:r>
    </w:p>
    <w:p w:rsidR="002D78AC" w:rsidRPr="002D78AC" w:rsidRDefault="002D78AC" w:rsidP="000412AE">
      <w:pPr>
        <w:rPr>
          <w:b/>
          <w:i/>
        </w:rPr>
      </w:pPr>
    </w:p>
    <w:p w:rsidR="000412AE" w:rsidRDefault="002D78AC" w:rsidP="002D78AC">
      <w:pPr>
        <w:ind w:left="1260" w:hanging="1260"/>
        <w:rPr>
          <w:rFonts w:cs="Arial"/>
        </w:rPr>
      </w:pPr>
      <w:r>
        <w:rPr>
          <w:rFonts w:cs="Arial"/>
        </w:rPr>
        <w:t>2.11</w:t>
      </w:r>
      <w:r>
        <w:rPr>
          <w:rFonts w:cs="Arial"/>
        </w:rPr>
        <w:tab/>
      </w:r>
      <w:r w:rsidR="000412AE" w:rsidRPr="002D78AC">
        <w:rPr>
          <w:rFonts w:cs="Arial"/>
        </w:rPr>
        <w:t>The parishes are asked each year to declare which services they carry out and a decision is taken on which services to include as concurrent expenditure.  The services provided by the parishes and the district do not vary significantly year on year, so the current categories declared as special expenses are still valid.</w:t>
      </w:r>
    </w:p>
    <w:p w:rsidR="002D78AC" w:rsidRPr="002D78AC" w:rsidRDefault="002D78AC" w:rsidP="002D78AC">
      <w:pPr>
        <w:ind w:left="720" w:hanging="720"/>
        <w:rPr>
          <w:rFonts w:cs="Arial"/>
        </w:rPr>
      </w:pPr>
    </w:p>
    <w:p w:rsidR="000412AE" w:rsidRDefault="002D78AC" w:rsidP="002D78AC">
      <w:pPr>
        <w:ind w:left="1260" w:hanging="1260"/>
        <w:rPr>
          <w:rFonts w:cs="Arial"/>
        </w:rPr>
      </w:pPr>
      <w:r>
        <w:rPr>
          <w:rFonts w:cs="Arial"/>
        </w:rPr>
        <w:t>2.12</w:t>
      </w:r>
      <w:r>
        <w:rPr>
          <w:rFonts w:cs="Arial"/>
        </w:rPr>
        <w:tab/>
      </w:r>
      <w:r w:rsidR="000412AE" w:rsidRPr="002D78AC">
        <w:rPr>
          <w:rFonts w:cs="Arial"/>
        </w:rPr>
        <w:t>The detailed analysis of each category will include an assessment of the services included in the calculation, whether they have changed over time, and whether those changes are correctly reflected in the apportionment of costs.</w:t>
      </w:r>
    </w:p>
    <w:p w:rsidR="00341CC4" w:rsidRDefault="00341CC4" w:rsidP="002D78AC">
      <w:pPr>
        <w:ind w:left="1260" w:hanging="1260"/>
        <w:rPr>
          <w:rFonts w:cs="Arial"/>
        </w:rPr>
      </w:pPr>
    </w:p>
    <w:p w:rsidR="00341CC4" w:rsidRDefault="00341CC4" w:rsidP="002D78AC">
      <w:pPr>
        <w:ind w:left="1260" w:hanging="1260"/>
        <w:rPr>
          <w:rFonts w:cs="Arial"/>
        </w:rPr>
      </w:pPr>
      <w:r>
        <w:rPr>
          <w:rFonts w:cs="Arial"/>
        </w:rPr>
        <w:t>2.13</w:t>
      </w:r>
      <w:r>
        <w:rPr>
          <w:rFonts w:cs="Arial"/>
        </w:rPr>
        <w:tab/>
        <w:t xml:space="preserve">The Council currently treats the following </w:t>
      </w:r>
      <w:r w:rsidR="003760A3">
        <w:rPr>
          <w:rFonts w:cs="Arial"/>
        </w:rPr>
        <w:t xml:space="preserve">services </w:t>
      </w:r>
      <w:r>
        <w:rPr>
          <w:rFonts w:cs="Arial"/>
        </w:rPr>
        <w:t>as a special expense;</w:t>
      </w:r>
    </w:p>
    <w:p w:rsidR="00341CC4" w:rsidRDefault="00341CC4" w:rsidP="002D78AC">
      <w:pPr>
        <w:ind w:left="1260" w:hanging="1260"/>
        <w:rPr>
          <w:rFonts w:cs="Arial"/>
        </w:rPr>
      </w:pPr>
    </w:p>
    <w:p w:rsidR="00341CC4" w:rsidRDefault="00341CC4" w:rsidP="00341CC4">
      <w:pPr>
        <w:pStyle w:val="ListParagraph"/>
        <w:numPr>
          <w:ilvl w:val="0"/>
          <w:numId w:val="4"/>
        </w:numPr>
        <w:ind w:firstLine="916"/>
        <w:jc w:val="both"/>
        <w:rPr>
          <w:rFonts w:ascii="Arial" w:hAnsi="Arial" w:cs="Arial"/>
        </w:rPr>
      </w:pPr>
      <w:r>
        <w:rPr>
          <w:rFonts w:ascii="Arial" w:hAnsi="Arial" w:cs="Arial"/>
        </w:rPr>
        <w:t>Woodlands</w:t>
      </w:r>
    </w:p>
    <w:p w:rsidR="00341CC4" w:rsidRDefault="00341CC4" w:rsidP="00341CC4">
      <w:pPr>
        <w:pStyle w:val="ListParagraph"/>
        <w:numPr>
          <w:ilvl w:val="0"/>
          <w:numId w:val="4"/>
        </w:numPr>
        <w:ind w:firstLine="916"/>
        <w:jc w:val="both"/>
        <w:rPr>
          <w:rFonts w:ascii="Arial" w:hAnsi="Arial" w:cs="Arial"/>
        </w:rPr>
      </w:pPr>
      <w:r>
        <w:rPr>
          <w:rFonts w:ascii="Arial" w:hAnsi="Arial" w:cs="Arial"/>
        </w:rPr>
        <w:t>Cemeteries</w:t>
      </w:r>
    </w:p>
    <w:p w:rsidR="00341CC4" w:rsidRDefault="00341CC4" w:rsidP="00341CC4">
      <w:pPr>
        <w:pStyle w:val="ListParagraph"/>
        <w:numPr>
          <w:ilvl w:val="0"/>
          <w:numId w:val="4"/>
        </w:numPr>
        <w:ind w:firstLine="916"/>
        <w:jc w:val="both"/>
        <w:rPr>
          <w:rFonts w:ascii="Arial" w:hAnsi="Arial" w:cs="Arial"/>
        </w:rPr>
      </w:pPr>
      <w:r>
        <w:rPr>
          <w:rFonts w:ascii="Arial" w:hAnsi="Arial" w:cs="Arial"/>
        </w:rPr>
        <w:t>Community Halls</w:t>
      </w:r>
    </w:p>
    <w:p w:rsidR="003760A3" w:rsidRDefault="003760A3" w:rsidP="00341CC4">
      <w:pPr>
        <w:pStyle w:val="ListParagraph"/>
        <w:numPr>
          <w:ilvl w:val="0"/>
          <w:numId w:val="4"/>
        </w:numPr>
        <w:ind w:firstLine="916"/>
        <w:jc w:val="both"/>
        <w:rPr>
          <w:rFonts w:ascii="Arial" w:hAnsi="Arial" w:cs="Arial"/>
        </w:rPr>
      </w:pPr>
      <w:r>
        <w:rPr>
          <w:rFonts w:ascii="Arial" w:hAnsi="Arial" w:cs="Arial"/>
        </w:rPr>
        <w:t>The Centre (South Oxhey)</w:t>
      </w:r>
    </w:p>
    <w:p w:rsidR="003760A3" w:rsidRDefault="003760A3" w:rsidP="00341CC4">
      <w:pPr>
        <w:pStyle w:val="ListParagraph"/>
        <w:numPr>
          <w:ilvl w:val="0"/>
          <w:numId w:val="4"/>
        </w:numPr>
        <w:ind w:firstLine="916"/>
        <w:jc w:val="both"/>
        <w:rPr>
          <w:rFonts w:ascii="Arial" w:hAnsi="Arial" w:cs="Arial"/>
        </w:rPr>
      </w:pPr>
      <w:r>
        <w:rPr>
          <w:rFonts w:ascii="Arial" w:hAnsi="Arial" w:cs="Arial"/>
        </w:rPr>
        <w:t>Watersmeet</w:t>
      </w:r>
    </w:p>
    <w:p w:rsidR="00341CC4" w:rsidRDefault="00341CC4" w:rsidP="00341CC4">
      <w:pPr>
        <w:pStyle w:val="ListParagraph"/>
        <w:numPr>
          <w:ilvl w:val="0"/>
          <w:numId w:val="4"/>
        </w:numPr>
        <w:ind w:firstLine="916"/>
        <w:jc w:val="both"/>
        <w:rPr>
          <w:rFonts w:ascii="Arial" w:hAnsi="Arial" w:cs="Arial"/>
        </w:rPr>
      </w:pPr>
      <w:r>
        <w:rPr>
          <w:rFonts w:ascii="Arial" w:hAnsi="Arial" w:cs="Arial"/>
        </w:rPr>
        <w:t xml:space="preserve">YMCA Building at </w:t>
      </w:r>
      <w:proofErr w:type="spellStart"/>
      <w:r>
        <w:rPr>
          <w:rFonts w:ascii="Arial" w:hAnsi="Arial" w:cs="Arial"/>
        </w:rPr>
        <w:t>Leav</w:t>
      </w:r>
      <w:r w:rsidR="00AF26D0">
        <w:rPr>
          <w:rFonts w:ascii="Arial" w:hAnsi="Arial" w:cs="Arial"/>
        </w:rPr>
        <w:t>e</w:t>
      </w:r>
      <w:r>
        <w:rPr>
          <w:rFonts w:ascii="Arial" w:hAnsi="Arial" w:cs="Arial"/>
        </w:rPr>
        <w:t>sden</w:t>
      </w:r>
      <w:proofErr w:type="spellEnd"/>
    </w:p>
    <w:p w:rsidR="003760A3" w:rsidRDefault="003760A3" w:rsidP="00341CC4">
      <w:pPr>
        <w:pStyle w:val="ListParagraph"/>
        <w:numPr>
          <w:ilvl w:val="0"/>
          <w:numId w:val="4"/>
        </w:numPr>
        <w:ind w:firstLine="916"/>
        <w:jc w:val="both"/>
        <w:rPr>
          <w:rFonts w:ascii="Arial" w:hAnsi="Arial" w:cs="Arial"/>
        </w:rPr>
      </w:pPr>
      <w:r>
        <w:rPr>
          <w:rFonts w:ascii="Arial" w:hAnsi="Arial" w:cs="Arial"/>
        </w:rPr>
        <w:t>Playing Fields &amp; Open Spaces</w:t>
      </w:r>
    </w:p>
    <w:p w:rsidR="003760A3" w:rsidRDefault="003760A3" w:rsidP="00341CC4">
      <w:pPr>
        <w:pStyle w:val="ListParagraph"/>
        <w:numPr>
          <w:ilvl w:val="0"/>
          <w:numId w:val="4"/>
        </w:numPr>
        <w:ind w:firstLine="916"/>
        <w:jc w:val="both"/>
        <w:rPr>
          <w:rFonts w:ascii="Arial" w:hAnsi="Arial" w:cs="Arial"/>
        </w:rPr>
      </w:pPr>
      <w:r>
        <w:rPr>
          <w:rFonts w:ascii="Arial" w:hAnsi="Arial" w:cs="Arial"/>
        </w:rPr>
        <w:t>The Aquadrome</w:t>
      </w:r>
    </w:p>
    <w:p w:rsidR="000412AE" w:rsidRDefault="002D78AC" w:rsidP="000412AE">
      <w:pPr>
        <w:rPr>
          <w:rFonts w:cs="Arial"/>
          <w:b/>
          <w:i/>
        </w:rPr>
      </w:pPr>
      <w:r>
        <w:rPr>
          <w:rFonts w:cs="Arial"/>
          <w:b/>
          <w:i/>
        </w:rPr>
        <w:tab/>
      </w:r>
      <w:r w:rsidR="000412AE" w:rsidRPr="002D78AC">
        <w:rPr>
          <w:rFonts w:cs="Arial"/>
          <w:b/>
          <w:i/>
        </w:rPr>
        <w:t xml:space="preserve">The Calculation </w:t>
      </w:r>
      <w:r w:rsidRPr="002D78AC">
        <w:rPr>
          <w:rFonts w:cs="Arial"/>
          <w:b/>
          <w:i/>
        </w:rPr>
        <w:t>and</w:t>
      </w:r>
      <w:r w:rsidR="000412AE" w:rsidRPr="002D78AC">
        <w:rPr>
          <w:rFonts w:cs="Arial"/>
          <w:b/>
          <w:i/>
        </w:rPr>
        <w:t xml:space="preserve"> Apportionment </w:t>
      </w:r>
      <w:r w:rsidR="003760A3" w:rsidRPr="002D78AC">
        <w:rPr>
          <w:rFonts w:cs="Arial"/>
          <w:b/>
          <w:i/>
        </w:rPr>
        <w:t>of</w:t>
      </w:r>
      <w:r w:rsidR="000412AE" w:rsidRPr="002D78AC">
        <w:rPr>
          <w:rFonts w:cs="Arial"/>
          <w:b/>
          <w:i/>
        </w:rPr>
        <w:t xml:space="preserve"> Special Expenses</w:t>
      </w:r>
    </w:p>
    <w:p w:rsidR="002D78AC" w:rsidRPr="002D78AC" w:rsidRDefault="002D78AC" w:rsidP="000412AE">
      <w:pPr>
        <w:rPr>
          <w:rFonts w:cs="Arial"/>
          <w:b/>
          <w:i/>
        </w:rPr>
      </w:pPr>
    </w:p>
    <w:p w:rsidR="000412AE" w:rsidRDefault="002D78AC" w:rsidP="002D78AC">
      <w:pPr>
        <w:ind w:left="1260" w:hanging="1260"/>
        <w:rPr>
          <w:rFonts w:cs="Arial"/>
        </w:rPr>
      </w:pPr>
      <w:r>
        <w:rPr>
          <w:rFonts w:cs="Arial"/>
        </w:rPr>
        <w:t>2.1</w:t>
      </w:r>
      <w:r w:rsidR="003760A3">
        <w:rPr>
          <w:rFonts w:cs="Arial"/>
        </w:rPr>
        <w:t>4</w:t>
      </w:r>
      <w:r>
        <w:rPr>
          <w:rFonts w:cs="Arial"/>
        </w:rPr>
        <w:tab/>
      </w:r>
      <w:r w:rsidR="000412AE" w:rsidRPr="002D78AC">
        <w:rPr>
          <w:rFonts w:cs="Arial"/>
        </w:rPr>
        <w:t xml:space="preserve">The mechanism for the apportionment of Special Expenses has not changed significantly for some years.  It is based on a </w:t>
      </w:r>
      <w:r w:rsidR="00AF26D0">
        <w:rPr>
          <w:rFonts w:cs="Arial"/>
        </w:rPr>
        <w:t>methodology</w:t>
      </w:r>
      <w:r w:rsidR="000412AE" w:rsidRPr="002D78AC">
        <w:rPr>
          <w:rFonts w:cs="Arial"/>
        </w:rPr>
        <w:t xml:space="preserve"> that has evolved incrementally over time to take account of changing circumstances such as:</w:t>
      </w:r>
    </w:p>
    <w:p w:rsidR="002D78AC" w:rsidRPr="002D78AC" w:rsidRDefault="002D78AC" w:rsidP="002D78AC">
      <w:pPr>
        <w:ind w:left="1260" w:hanging="1260"/>
        <w:rPr>
          <w:rFonts w:cs="Arial"/>
        </w:rPr>
      </w:pPr>
    </w:p>
    <w:p w:rsidR="000412AE" w:rsidRPr="002D78AC" w:rsidRDefault="000412AE" w:rsidP="002D78AC">
      <w:pPr>
        <w:pStyle w:val="ListParagraph"/>
        <w:numPr>
          <w:ilvl w:val="0"/>
          <w:numId w:val="4"/>
        </w:numPr>
        <w:ind w:firstLine="916"/>
        <w:jc w:val="both"/>
        <w:rPr>
          <w:rFonts w:ascii="Arial" w:hAnsi="Arial" w:cs="Arial"/>
        </w:rPr>
      </w:pPr>
      <w:r w:rsidRPr="002D78AC">
        <w:rPr>
          <w:rFonts w:ascii="Arial" w:hAnsi="Arial" w:cs="Arial"/>
        </w:rPr>
        <w:t>The implementation of new financial information systems</w:t>
      </w:r>
    </w:p>
    <w:p w:rsidR="000412AE" w:rsidRPr="002D78AC" w:rsidRDefault="000412AE" w:rsidP="002D78AC">
      <w:pPr>
        <w:pStyle w:val="ListParagraph"/>
        <w:numPr>
          <w:ilvl w:val="0"/>
          <w:numId w:val="4"/>
        </w:numPr>
        <w:ind w:left="1418" w:hanging="142"/>
        <w:jc w:val="both"/>
        <w:rPr>
          <w:rFonts w:ascii="Arial" w:hAnsi="Arial" w:cs="Arial"/>
        </w:rPr>
      </w:pPr>
      <w:r w:rsidRPr="002D78AC">
        <w:rPr>
          <w:rFonts w:ascii="Arial" w:hAnsi="Arial" w:cs="Arial"/>
        </w:rPr>
        <w:t xml:space="preserve">Organisational restructures within TRDC which affect the way support services are recharged to </w:t>
      </w:r>
      <w:r w:rsidR="002D78AC">
        <w:rPr>
          <w:rFonts w:ascii="Arial" w:hAnsi="Arial" w:cs="Arial"/>
        </w:rPr>
        <w:t>services.</w:t>
      </w:r>
    </w:p>
    <w:p w:rsidR="000412AE" w:rsidRPr="002D78AC" w:rsidRDefault="000412AE" w:rsidP="002D78AC">
      <w:pPr>
        <w:pStyle w:val="ListParagraph"/>
        <w:numPr>
          <w:ilvl w:val="0"/>
          <w:numId w:val="4"/>
        </w:numPr>
        <w:ind w:left="1418" w:hanging="142"/>
        <w:jc w:val="both"/>
        <w:rPr>
          <w:rFonts w:ascii="Arial" w:hAnsi="Arial" w:cs="Arial"/>
        </w:rPr>
      </w:pPr>
      <w:r w:rsidRPr="002D78AC">
        <w:rPr>
          <w:rFonts w:ascii="Arial" w:hAnsi="Arial" w:cs="Arial"/>
        </w:rPr>
        <w:t>The Grounds Maintenance contract being outsourced and coming back in</w:t>
      </w:r>
      <w:r w:rsidR="005B5410">
        <w:rPr>
          <w:rFonts w:ascii="Arial" w:hAnsi="Arial" w:cs="Arial"/>
        </w:rPr>
        <w:t>-</w:t>
      </w:r>
      <w:r w:rsidRPr="002D78AC">
        <w:rPr>
          <w:rFonts w:ascii="Arial" w:hAnsi="Arial" w:cs="Arial"/>
        </w:rPr>
        <w:t>house</w:t>
      </w:r>
    </w:p>
    <w:p w:rsidR="000412AE" w:rsidRPr="002D78AC" w:rsidRDefault="000412AE" w:rsidP="002D78AC">
      <w:pPr>
        <w:pStyle w:val="ListParagraph"/>
        <w:numPr>
          <w:ilvl w:val="0"/>
          <w:numId w:val="4"/>
        </w:numPr>
        <w:ind w:firstLine="916"/>
        <w:jc w:val="both"/>
        <w:rPr>
          <w:rFonts w:ascii="Arial" w:hAnsi="Arial" w:cs="Arial"/>
        </w:rPr>
      </w:pPr>
      <w:r w:rsidRPr="002D78AC">
        <w:rPr>
          <w:rFonts w:ascii="Arial" w:hAnsi="Arial" w:cs="Arial"/>
        </w:rPr>
        <w:t>The outsourcing of Leisure venues to Hertsmere Leisure</w:t>
      </w:r>
    </w:p>
    <w:p w:rsidR="000412AE" w:rsidRPr="002D78AC" w:rsidRDefault="000412AE" w:rsidP="002D78AC">
      <w:pPr>
        <w:pStyle w:val="ListParagraph"/>
        <w:numPr>
          <w:ilvl w:val="0"/>
          <w:numId w:val="4"/>
        </w:numPr>
        <w:ind w:firstLine="916"/>
        <w:jc w:val="both"/>
        <w:rPr>
          <w:rFonts w:ascii="Arial" w:hAnsi="Arial" w:cs="Arial"/>
        </w:rPr>
      </w:pPr>
      <w:r w:rsidRPr="002D78AC">
        <w:rPr>
          <w:rFonts w:ascii="Arial" w:hAnsi="Arial" w:cs="Arial"/>
        </w:rPr>
        <w:t>The outsourcing of Leavesden PDU to the YMCA</w:t>
      </w:r>
    </w:p>
    <w:p w:rsidR="000412AE" w:rsidRPr="002D78AC" w:rsidRDefault="000412AE" w:rsidP="002D78AC">
      <w:pPr>
        <w:pStyle w:val="ListParagraph"/>
        <w:numPr>
          <w:ilvl w:val="0"/>
          <w:numId w:val="4"/>
        </w:numPr>
        <w:ind w:firstLine="916"/>
        <w:jc w:val="both"/>
        <w:rPr>
          <w:rFonts w:ascii="Arial" w:hAnsi="Arial" w:cs="Arial"/>
        </w:rPr>
      </w:pPr>
      <w:r w:rsidRPr="002D78AC">
        <w:rPr>
          <w:rFonts w:ascii="Arial" w:hAnsi="Arial" w:cs="Arial"/>
        </w:rPr>
        <w:t>The treatment of Watersmeet as a community Hall</w:t>
      </w:r>
    </w:p>
    <w:p w:rsidR="000412AE" w:rsidRDefault="002D78AC" w:rsidP="002D78AC">
      <w:pPr>
        <w:ind w:left="1276" w:hanging="1276"/>
        <w:rPr>
          <w:rFonts w:cs="Arial"/>
        </w:rPr>
      </w:pPr>
      <w:r>
        <w:rPr>
          <w:rFonts w:cs="Arial"/>
        </w:rPr>
        <w:lastRenderedPageBreak/>
        <w:t>2.1</w:t>
      </w:r>
      <w:r w:rsidR="003760A3">
        <w:rPr>
          <w:rFonts w:cs="Arial"/>
        </w:rPr>
        <w:t>5</w:t>
      </w:r>
      <w:r>
        <w:rPr>
          <w:rFonts w:cs="Arial"/>
        </w:rPr>
        <w:tab/>
      </w:r>
      <w:r w:rsidR="000412AE" w:rsidRPr="002D78AC">
        <w:rPr>
          <w:rFonts w:cs="Arial"/>
        </w:rPr>
        <w:t xml:space="preserve">In the first instance, </w:t>
      </w:r>
      <w:r w:rsidR="003760A3">
        <w:rPr>
          <w:rFonts w:cs="Arial"/>
        </w:rPr>
        <w:t xml:space="preserve">the </w:t>
      </w:r>
      <w:r w:rsidR="003760A3" w:rsidRPr="002D78AC">
        <w:rPr>
          <w:rFonts w:cs="Arial"/>
        </w:rPr>
        <w:t xml:space="preserve">review </w:t>
      </w:r>
      <w:r w:rsidR="003760A3">
        <w:rPr>
          <w:rFonts w:cs="Arial"/>
        </w:rPr>
        <w:t>addressed</w:t>
      </w:r>
      <w:r w:rsidR="000412AE" w:rsidRPr="002D78AC">
        <w:rPr>
          <w:rFonts w:cs="Arial"/>
        </w:rPr>
        <w:t xml:space="preserve"> the following questions:</w:t>
      </w:r>
    </w:p>
    <w:p w:rsidR="000412AE" w:rsidRPr="00AF26D0" w:rsidRDefault="000412AE" w:rsidP="00AF26D0">
      <w:pPr>
        <w:rPr>
          <w:rFonts w:cs="Arial"/>
        </w:rPr>
      </w:pPr>
    </w:p>
    <w:p w:rsidR="000412AE" w:rsidRPr="002D78AC" w:rsidRDefault="000412AE" w:rsidP="002D78AC">
      <w:pPr>
        <w:pStyle w:val="ListParagraph"/>
        <w:numPr>
          <w:ilvl w:val="0"/>
          <w:numId w:val="3"/>
        </w:numPr>
        <w:ind w:left="1276" w:firstLine="0"/>
        <w:jc w:val="both"/>
        <w:rPr>
          <w:rFonts w:ascii="Arial" w:hAnsi="Arial" w:cs="Arial"/>
        </w:rPr>
      </w:pPr>
      <w:r w:rsidRPr="002D78AC">
        <w:rPr>
          <w:rFonts w:ascii="Arial" w:hAnsi="Arial" w:cs="Arial"/>
        </w:rPr>
        <w:t>Is the base data correct, showing the true costs of each Special Expense</w:t>
      </w:r>
      <w:r w:rsidR="005B5410">
        <w:rPr>
          <w:rFonts w:ascii="Arial" w:hAnsi="Arial" w:cs="Arial"/>
        </w:rPr>
        <w:t>?</w:t>
      </w:r>
    </w:p>
    <w:p w:rsidR="000412AE" w:rsidRPr="002D78AC" w:rsidRDefault="000412AE" w:rsidP="002D78AC">
      <w:pPr>
        <w:pStyle w:val="ListParagraph"/>
        <w:numPr>
          <w:ilvl w:val="0"/>
          <w:numId w:val="3"/>
        </w:numPr>
        <w:tabs>
          <w:tab w:val="left" w:pos="567"/>
          <w:tab w:val="left" w:pos="1276"/>
        </w:tabs>
        <w:ind w:left="1276" w:firstLine="0"/>
        <w:jc w:val="both"/>
        <w:rPr>
          <w:rFonts w:ascii="Arial" w:hAnsi="Arial" w:cs="Arial"/>
        </w:rPr>
      </w:pPr>
      <w:r w:rsidRPr="002D78AC">
        <w:rPr>
          <w:rFonts w:ascii="Arial" w:hAnsi="Arial" w:cs="Arial"/>
        </w:rPr>
        <w:t>Is the data used to calculate the apportionment percentages correc</w:t>
      </w:r>
      <w:r w:rsidR="002D78AC">
        <w:rPr>
          <w:rFonts w:ascii="Arial" w:hAnsi="Arial" w:cs="Arial"/>
        </w:rPr>
        <w:t>t</w:t>
      </w:r>
      <w:r w:rsidR="005B5410">
        <w:rPr>
          <w:rFonts w:ascii="Arial" w:hAnsi="Arial" w:cs="Arial"/>
        </w:rPr>
        <w:t>?</w:t>
      </w:r>
    </w:p>
    <w:p w:rsidR="000412AE" w:rsidRPr="002D78AC" w:rsidRDefault="000412AE" w:rsidP="002D78AC">
      <w:pPr>
        <w:pStyle w:val="ListParagraph"/>
        <w:numPr>
          <w:ilvl w:val="0"/>
          <w:numId w:val="3"/>
        </w:numPr>
        <w:ind w:firstLine="916"/>
        <w:jc w:val="both"/>
        <w:rPr>
          <w:rFonts w:ascii="Arial" w:hAnsi="Arial" w:cs="Arial"/>
        </w:rPr>
      </w:pPr>
      <w:r w:rsidRPr="002D78AC">
        <w:rPr>
          <w:rFonts w:ascii="Arial" w:hAnsi="Arial" w:cs="Arial"/>
        </w:rPr>
        <w:t>Are the apportionments being applied correctly between the parishes</w:t>
      </w:r>
      <w:r w:rsidR="005B5410">
        <w:rPr>
          <w:rFonts w:ascii="Arial" w:hAnsi="Arial" w:cs="Arial"/>
        </w:rPr>
        <w:t>?</w:t>
      </w:r>
    </w:p>
    <w:p w:rsidR="000412AE" w:rsidRPr="002D78AC" w:rsidRDefault="000412AE" w:rsidP="002D78AC">
      <w:pPr>
        <w:pStyle w:val="ListParagraph"/>
        <w:numPr>
          <w:ilvl w:val="0"/>
          <w:numId w:val="3"/>
        </w:numPr>
        <w:ind w:firstLine="916"/>
        <w:jc w:val="both"/>
        <w:rPr>
          <w:rFonts w:ascii="Arial" w:hAnsi="Arial" w:cs="Arial"/>
        </w:rPr>
      </w:pPr>
      <w:r w:rsidRPr="002D78AC">
        <w:rPr>
          <w:rFonts w:ascii="Arial" w:hAnsi="Arial" w:cs="Arial"/>
        </w:rPr>
        <w:t>How will they be affected by the addition of a new parish?</w:t>
      </w:r>
    </w:p>
    <w:p w:rsidR="000412AE" w:rsidRDefault="002D78AC" w:rsidP="002D78AC">
      <w:pPr>
        <w:ind w:left="1260" w:hanging="1260"/>
        <w:rPr>
          <w:rFonts w:cs="Arial"/>
        </w:rPr>
      </w:pPr>
      <w:r>
        <w:rPr>
          <w:rFonts w:cs="Arial"/>
        </w:rPr>
        <w:t>2.1</w:t>
      </w:r>
      <w:r w:rsidR="003760A3">
        <w:rPr>
          <w:rFonts w:cs="Arial"/>
        </w:rPr>
        <w:t>6</w:t>
      </w:r>
      <w:r>
        <w:rPr>
          <w:rFonts w:cs="Arial"/>
        </w:rPr>
        <w:tab/>
        <w:t>T</w:t>
      </w:r>
      <w:r w:rsidR="000412AE" w:rsidRPr="002D78AC">
        <w:rPr>
          <w:rFonts w:cs="Arial"/>
        </w:rPr>
        <w:t>h</w:t>
      </w:r>
      <w:r>
        <w:rPr>
          <w:rFonts w:cs="Arial"/>
        </w:rPr>
        <w:t xml:space="preserve">e </w:t>
      </w:r>
      <w:r w:rsidR="000412AE" w:rsidRPr="002D78AC">
        <w:rPr>
          <w:rFonts w:cs="Arial"/>
        </w:rPr>
        <w:t xml:space="preserve">review </w:t>
      </w:r>
      <w:r>
        <w:rPr>
          <w:rFonts w:cs="Arial"/>
        </w:rPr>
        <w:t xml:space="preserve">has </w:t>
      </w:r>
      <w:r w:rsidR="000412AE" w:rsidRPr="002D78AC">
        <w:rPr>
          <w:rFonts w:cs="Arial"/>
        </w:rPr>
        <w:t>result</w:t>
      </w:r>
      <w:r>
        <w:rPr>
          <w:rFonts w:cs="Arial"/>
        </w:rPr>
        <w:t>ed</w:t>
      </w:r>
      <w:r w:rsidR="000412AE" w:rsidRPr="002D78AC">
        <w:rPr>
          <w:rFonts w:cs="Arial"/>
        </w:rPr>
        <w:t xml:space="preserve"> in the creation of a new fit-for-purpose </w:t>
      </w:r>
      <w:r w:rsidR="00721654">
        <w:rPr>
          <w:rFonts w:cs="Arial"/>
        </w:rPr>
        <w:t>calculation</w:t>
      </w:r>
      <w:r w:rsidR="000412AE" w:rsidRPr="002D78AC">
        <w:rPr>
          <w:rFonts w:cs="Arial"/>
        </w:rPr>
        <w:t>, taking the best from the old, and reworking it into a more understandable and logical format.</w:t>
      </w:r>
      <w:r w:rsidR="003760A3">
        <w:rPr>
          <w:rFonts w:cs="Arial"/>
        </w:rPr>
        <w:t xml:space="preserve"> </w:t>
      </w:r>
      <w:r w:rsidR="003760A3" w:rsidRPr="003760A3">
        <w:rPr>
          <w:rFonts w:cs="Arial"/>
          <w:b/>
        </w:rPr>
        <w:t>Appendix 1</w:t>
      </w:r>
      <w:r w:rsidR="003760A3">
        <w:rPr>
          <w:rFonts w:cs="Arial"/>
        </w:rPr>
        <w:t xml:space="preserve"> shows a review </w:t>
      </w:r>
      <w:r w:rsidR="005B5410">
        <w:rPr>
          <w:rFonts w:cs="Arial"/>
        </w:rPr>
        <w:t xml:space="preserve">of </w:t>
      </w:r>
      <w:r w:rsidR="003760A3">
        <w:rPr>
          <w:rFonts w:cs="Arial"/>
        </w:rPr>
        <w:t>each of the services that are currently treated as a special expense.</w:t>
      </w:r>
    </w:p>
    <w:p w:rsidR="005B713A" w:rsidRDefault="005B713A" w:rsidP="002D78AC">
      <w:pPr>
        <w:ind w:left="1260" w:hanging="1260"/>
        <w:rPr>
          <w:rFonts w:cs="Arial"/>
        </w:rPr>
      </w:pPr>
    </w:p>
    <w:p w:rsidR="005B713A" w:rsidRDefault="005B713A" w:rsidP="002D78AC">
      <w:pPr>
        <w:ind w:left="1260" w:hanging="1260"/>
        <w:rPr>
          <w:rFonts w:cs="Arial"/>
          <w:b/>
          <w:i/>
        </w:rPr>
      </w:pPr>
      <w:r>
        <w:rPr>
          <w:rFonts w:cs="Arial"/>
        </w:rPr>
        <w:tab/>
      </w:r>
      <w:r w:rsidRPr="005B713A">
        <w:rPr>
          <w:rFonts w:cs="Arial"/>
          <w:b/>
          <w:i/>
        </w:rPr>
        <w:t>Conclusion</w:t>
      </w:r>
    </w:p>
    <w:p w:rsidR="005B713A" w:rsidRDefault="005B713A" w:rsidP="002D78AC">
      <w:pPr>
        <w:ind w:left="1260" w:hanging="1260"/>
        <w:rPr>
          <w:rFonts w:cs="Arial"/>
          <w:b/>
          <w:i/>
        </w:rPr>
      </w:pPr>
    </w:p>
    <w:p w:rsidR="00F03DBB" w:rsidRDefault="00F03DBB" w:rsidP="00F03DBB">
      <w:pPr>
        <w:ind w:left="1260" w:hanging="1260"/>
      </w:pPr>
      <w:r>
        <w:rPr>
          <w:rFonts w:cs="Arial"/>
        </w:rPr>
        <w:t>2.17</w:t>
      </w:r>
      <w:r>
        <w:rPr>
          <w:rFonts w:cs="Arial"/>
        </w:rPr>
        <w:tab/>
      </w:r>
      <w:r>
        <w:t>Special Expenses is the most appropriate method for avoiding double taxation in Three Rivers District. To abandon this method and replace with either grants or agency agreements would require a detailed review of what concurrent services parishes provide, their costs and levels of service.  Agreement would have to be reached between the parishes and the district on the level of service for which grant would be given or agency payments made.  It could compromise the parishes’ control over the quality of concurrent services they provide.</w:t>
      </w:r>
    </w:p>
    <w:p w:rsidR="00F03DBB" w:rsidRDefault="00F03DBB" w:rsidP="00F03DBB">
      <w:pPr>
        <w:ind w:left="1260" w:hanging="1260"/>
      </w:pPr>
    </w:p>
    <w:p w:rsidR="00F03DBB" w:rsidRDefault="00F03DBB" w:rsidP="00F03DBB">
      <w:pPr>
        <w:ind w:left="1260" w:hanging="1260"/>
      </w:pPr>
      <w:r>
        <w:t>2.18</w:t>
      </w:r>
      <w:r>
        <w:tab/>
        <w:t xml:space="preserve">The current method for calculating Special Expenses is basically sound.  Analysis of this methodology found that </w:t>
      </w:r>
    </w:p>
    <w:p w:rsidR="00F03DBB" w:rsidRDefault="00F03DBB" w:rsidP="00F03DBB">
      <w:pPr>
        <w:ind w:left="1260" w:hanging="1260"/>
      </w:pPr>
    </w:p>
    <w:p w:rsidR="00F03DBB" w:rsidRPr="00F03DBB" w:rsidRDefault="00F03DBB" w:rsidP="00AF26D0">
      <w:pPr>
        <w:pStyle w:val="ListParagraph"/>
        <w:numPr>
          <w:ilvl w:val="0"/>
          <w:numId w:val="3"/>
        </w:numPr>
        <w:ind w:left="1530" w:hanging="270"/>
        <w:jc w:val="both"/>
        <w:rPr>
          <w:rFonts w:ascii="Arial" w:hAnsi="Arial" w:cs="Arial"/>
        </w:rPr>
      </w:pPr>
      <w:r w:rsidRPr="00F03DBB">
        <w:rPr>
          <w:rFonts w:ascii="Arial" w:hAnsi="Arial" w:cs="Arial"/>
        </w:rPr>
        <w:t>Special Expenses are included in accordance with the declaration made to Members</w:t>
      </w:r>
      <w:r w:rsidR="00994D80">
        <w:rPr>
          <w:rFonts w:ascii="Arial" w:hAnsi="Arial" w:cs="Arial"/>
        </w:rPr>
        <w:t>.</w:t>
      </w:r>
    </w:p>
    <w:p w:rsidR="00F03DBB" w:rsidRPr="00F03DBB" w:rsidRDefault="00F03DBB" w:rsidP="00AF26D0">
      <w:pPr>
        <w:pStyle w:val="ListParagraph"/>
        <w:numPr>
          <w:ilvl w:val="0"/>
          <w:numId w:val="3"/>
        </w:numPr>
        <w:ind w:left="1530" w:hanging="270"/>
        <w:jc w:val="both"/>
        <w:rPr>
          <w:rFonts w:ascii="Arial" w:hAnsi="Arial" w:cs="Arial"/>
        </w:rPr>
      </w:pPr>
      <w:r w:rsidRPr="00F03DBB">
        <w:rPr>
          <w:rFonts w:ascii="Arial" w:hAnsi="Arial" w:cs="Arial"/>
        </w:rPr>
        <w:t>The base data was correct, showing the true costs of each Special Expense</w:t>
      </w:r>
      <w:r w:rsidR="00994D80">
        <w:rPr>
          <w:rFonts w:ascii="Arial" w:hAnsi="Arial" w:cs="Arial"/>
        </w:rPr>
        <w:t>.</w:t>
      </w:r>
    </w:p>
    <w:p w:rsidR="00F03DBB" w:rsidRPr="00F03DBB" w:rsidRDefault="00F03DBB" w:rsidP="00AF26D0">
      <w:pPr>
        <w:pStyle w:val="ListParagraph"/>
        <w:numPr>
          <w:ilvl w:val="0"/>
          <w:numId w:val="3"/>
        </w:numPr>
        <w:ind w:left="1530" w:hanging="270"/>
        <w:jc w:val="both"/>
        <w:rPr>
          <w:rFonts w:ascii="Arial" w:hAnsi="Arial" w:cs="Arial"/>
        </w:rPr>
      </w:pPr>
      <w:r w:rsidRPr="00F03DBB">
        <w:rPr>
          <w:rFonts w:ascii="Arial" w:hAnsi="Arial" w:cs="Arial"/>
        </w:rPr>
        <w:t>The criteria for the apportionments between parishes were valid, but in some cases over</w:t>
      </w:r>
      <w:r w:rsidR="005B5410">
        <w:rPr>
          <w:rFonts w:ascii="Arial" w:hAnsi="Arial" w:cs="Arial"/>
        </w:rPr>
        <w:t>-</w:t>
      </w:r>
      <w:r w:rsidRPr="00F03DBB">
        <w:rPr>
          <w:rFonts w:ascii="Arial" w:hAnsi="Arial" w:cs="Arial"/>
        </w:rPr>
        <w:t>complicated for little or no benefit</w:t>
      </w:r>
      <w:r w:rsidR="00994D80">
        <w:rPr>
          <w:rFonts w:ascii="Arial" w:hAnsi="Arial" w:cs="Arial"/>
        </w:rPr>
        <w:t>.</w:t>
      </w:r>
    </w:p>
    <w:p w:rsidR="00F03DBB" w:rsidRPr="00F03DBB" w:rsidRDefault="00F03DBB" w:rsidP="00AF26D0">
      <w:pPr>
        <w:pStyle w:val="ListParagraph"/>
        <w:numPr>
          <w:ilvl w:val="0"/>
          <w:numId w:val="3"/>
        </w:numPr>
        <w:ind w:left="1530" w:hanging="270"/>
        <w:jc w:val="both"/>
        <w:rPr>
          <w:rFonts w:ascii="Arial" w:hAnsi="Arial" w:cs="Arial"/>
        </w:rPr>
      </w:pPr>
      <w:r w:rsidRPr="00F03DBB">
        <w:rPr>
          <w:rFonts w:ascii="Arial" w:hAnsi="Arial" w:cs="Arial"/>
        </w:rPr>
        <w:t>The data used to calculate the apportionment percentages contained a few minor inaccuracies and had not always changed to reflect changing circumstances</w:t>
      </w:r>
      <w:r w:rsidR="00994D80">
        <w:rPr>
          <w:rFonts w:ascii="Arial" w:hAnsi="Arial" w:cs="Arial"/>
        </w:rPr>
        <w:t>.</w:t>
      </w:r>
    </w:p>
    <w:p w:rsidR="00F03DBB" w:rsidRPr="00F03DBB" w:rsidRDefault="00F03DBB" w:rsidP="00AF26D0">
      <w:pPr>
        <w:pStyle w:val="ListParagraph"/>
        <w:numPr>
          <w:ilvl w:val="0"/>
          <w:numId w:val="3"/>
        </w:numPr>
        <w:ind w:left="1530" w:hanging="270"/>
        <w:jc w:val="both"/>
        <w:rPr>
          <w:rFonts w:ascii="Arial" w:hAnsi="Arial" w:cs="Arial"/>
        </w:rPr>
      </w:pPr>
      <w:r w:rsidRPr="00F03DBB">
        <w:rPr>
          <w:rFonts w:ascii="Arial" w:hAnsi="Arial" w:cs="Arial"/>
        </w:rPr>
        <w:t>The apportionment percentages produced from the data were being applied correctly between the parishes</w:t>
      </w:r>
      <w:r w:rsidR="00994D80">
        <w:rPr>
          <w:rFonts w:ascii="Arial" w:hAnsi="Arial" w:cs="Arial"/>
        </w:rPr>
        <w:t>.</w:t>
      </w:r>
    </w:p>
    <w:p w:rsidR="00F03DBB" w:rsidRDefault="00F03DBB" w:rsidP="00AF26D0">
      <w:pPr>
        <w:pStyle w:val="ListParagraph"/>
        <w:numPr>
          <w:ilvl w:val="0"/>
          <w:numId w:val="3"/>
        </w:numPr>
        <w:ind w:left="1530" w:hanging="270"/>
        <w:jc w:val="both"/>
        <w:rPr>
          <w:rFonts w:ascii="Arial" w:hAnsi="Arial" w:cs="Arial"/>
        </w:rPr>
      </w:pPr>
      <w:r w:rsidRPr="00F03DBB">
        <w:rPr>
          <w:rFonts w:ascii="Arial" w:hAnsi="Arial" w:cs="Arial"/>
        </w:rPr>
        <w:t>The addition of a new parish should only affect the charge to the old unparished area, all else being equal.  However, simplifying some of the calculations will lead to minor changes</w:t>
      </w:r>
      <w:r w:rsidR="00994D80">
        <w:rPr>
          <w:rFonts w:ascii="Arial" w:hAnsi="Arial" w:cs="Arial"/>
        </w:rPr>
        <w:t>.</w:t>
      </w:r>
    </w:p>
    <w:p w:rsidR="003C092E" w:rsidRDefault="003C092E" w:rsidP="003C092E">
      <w:pPr>
        <w:pStyle w:val="ListParagraph"/>
        <w:ind w:left="1276"/>
        <w:jc w:val="both"/>
        <w:rPr>
          <w:rFonts w:ascii="Arial" w:hAnsi="Arial" w:cs="Arial"/>
        </w:rPr>
      </w:pPr>
    </w:p>
    <w:p w:rsidR="00163B26" w:rsidRPr="00163B26" w:rsidRDefault="00163B26" w:rsidP="00D867E4">
      <w:pPr>
        <w:pStyle w:val="ListParagraph"/>
        <w:keepNext/>
        <w:keepLines/>
        <w:ind w:left="1276" w:hanging="1276"/>
        <w:rPr>
          <w:rFonts w:ascii="Arial" w:hAnsi="Arial" w:cs="Arial"/>
        </w:rPr>
      </w:pPr>
      <w:r w:rsidRPr="00163B26">
        <w:rPr>
          <w:rFonts w:ascii="Arial" w:hAnsi="Arial" w:cs="Arial"/>
        </w:rPr>
        <w:t>2.19</w:t>
      </w:r>
      <w:r w:rsidRPr="00163B26">
        <w:rPr>
          <w:rFonts w:ascii="Arial" w:hAnsi="Arial" w:cs="Arial"/>
        </w:rPr>
        <w:tab/>
        <w:t xml:space="preserve">Having agreed the items that are “special expenses” and the areas to which they relate the calculation of the council tax is purely a mathematical exercise. This is set out at </w:t>
      </w:r>
      <w:r w:rsidRPr="00163B26">
        <w:rPr>
          <w:rFonts w:ascii="Arial" w:hAnsi="Arial" w:cs="Arial"/>
          <w:b/>
        </w:rPr>
        <w:t>Appendix 2.</w:t>
      </w:r>
      <w:r w:rsidRPr="00163B26">
        <w:rPr>
          <w:rFonts w:ascii="Arial" w:hAnsi="Arial" w:cs="Arial"/>
        </w:rPr>
        <w:t xml:space="preserve"> </w:t>
      </w:r>
    </w:p>
    <w:p w:rsidR="00163B26" w:rsidRPr="00163B26" w:rsidRDefault="00163B26" w:rsidP="00163B26">
      <w:pPr>
        <w:pStyle w:val="ListParagraph"/>
        <w:keepNext/>
        <w:keepLines/>
        <w:tabs>
          <w:tab w:val="left" w:pos="1985"/>
        </w:tabs>
        <w:ind w:left="360"/>
        <w:rPr>
          <w:rFonts w:ascii="Arial" w:hAnsi="Arial" w:cs="Arial"/>
        </w:rPr>
      </w:pPr>
    </w:p>
    <w:p w:rsidR="00163B26" w:rsidRPr="00163B26" w:rsidRDefault="00163B26" w:rsidP="00D867E4">
      <w:pPr>
        <w:pStyle w:val="ListParagraph"/>
        <w:keepNext/>
        <w:keepLines/>
        <w:tabs>
          <w:tab w:val="left" w:pos="0"/>
        </w:tabs>
        <w:ind w:left="1267" w:hanging="1267"/>
        <w:rPr>
          <w:rFonts w:ascii="Arial" w:hAnsi="Arial" w:cs="Arial"/>
        </w:rPr>
      </w:pPr>
      <w:r w:rsidRPr="00163B26">
        <w:rPr>
          <w:rFonts w:ascii="Arial" w:hAnsi="Arial" w:cs="Arial"/>
        </w:rPr>
        <w:t>2.</w:t>
      </w:r>
      <w:r w:rsidR="003C092E">
        <w:rPr>
          <w:rFonts w:ascii="Arial" w:hAnsi="Arial" w:cs="Arial"/>
        </w:rPr>
        <w:t>20</w:t>
      </w:r>
      <w:r w:rsidR="003C092E">
        <w:rPr>
          <w:rFonts w:ascii="Arial" w:hAnsi="Arial" w:cs="Arial"/>
        </w:rPr>
        <w:tab/>
      </w:r>
      <w:r w:rsidRPr="00163B26">
        <w:rPr>
          <w:rFonts w:ascii="Arial" w:hAnsi="Arial" w:cs="Arial"/>
        </w:rPr>
        <w:t xml:space="preserve">The Council has approached the parish clerks to ascertain whether the functions the parishes are performing have altered. Some changes have occurred, </w:t>
      </w:r>
      <w:r w:rsidR="005B5410">
        <w:rPr>
          <w:rFonts w:ascii="Arial" w:hAnsi="Arial" w:cs="Arial"/>
        </w:rPr>
        <w:t>but</w:t>
      </w:r>
      <w:r w:rsidR="005B5410" w:rsidRPr="00163B26">
        <w:rPr>
          <w:rFonts w:ascii="Arial" w:hAnsi="Arial" w:cs="Arial"/>
        </w:rPr>
        <w:t xml:space="preserve"> </w:t>
      </w:r>
      <w:r w:rsidRPr="00163B26">
        <w:rPr>
          <w:rFonts w:ascii="Arial" w:hAnsi="Arial" w:cs="Arial"/>
        </w:rPr>
        <w:t xml:space="preserve">none of these </w:t>
      </w:r>
      <w:r w:rsidR="005B5410">
        <w:rPr>
          <w:rFonts w:ascii="Arial" w:hAnsi="Arial" w:cs="Arial"/>
        </w:rPr>
        <w:t>a</w:t>
      </w:r>
      <w:r w:rsidR="005B5410" w:rsidRPr="00163B26">
        <w:rPr>
          <w:rFonts w:ascii="Arial" w:hAnsi="Arial" w:cs="Arial"/>
        </w:rPr>
        <w:t>ffect</w:t>
      </w:r>
      <w:r w:rsidR="005B5410">
        <w:rPr>
          <w:rFonts w:ascii="Arial" w:hAnsi="Arial" w:cs="Arial"/>
        </w:rPr>
        <w:t>s</w:t>
      </w:r>
      <w:r w:rsidR="005B5410" w:rsidRPr="00163B26">
        <w:rPr>
          <w:rFonts w:ascii="Arial" w:hAnsi="Arial" w:cs="Arial"/>
        </w:rPr>
        <w:t xml:space="preserve"> </w:t>
      </w:r>
      <w:r w:rsidRPr="00163B26">
        <w:rPr>
          <w:rFonts w:ascii="Arial" w:hAnsi="Arial" w:cs="Arial"/>
        </w:rPr>
        <w:t>the calculation of special expenses.</w:t>
      </w:r>
    </w:p>
    <w:p w:rsidR="00163B26" w:rsidRDefault="00163B26" w:rsidP="00163B26">
      <w:pPr>
        <w:pStyle w:val="ListParagraph"/>
        <w:keepNext/>
        <w:keepLines/>
        <w:tabs>
          <w:tab w:val="left" w:pos="1985"/>
        </w:tabs>
        <w:ind w:left="360"/>
      </w:pPr>
    </w:p>
    <w:p w:rsidR="00163B26" w:rsidRPr="00163B26" w:rsidRDefault="00163B26" w:rsidP="00163B26">
      <w:pPr>
        <w:rPr>
          <w:rFonts w:cs="Arial"/>
        </w:rPr>
      </w:pPr>
    </w:p>
    <w:p w:rsidR="00450CCA" w:rsidRDefault="00450CCA" w:rsidP="00450CCA">
      <w:pPr>
        <w:keepNext/>
        <w:keepLines/>
        <w:ind w:left="1264" w:hanging="1264"/>
      </w:pPr>
      <w:r>
        <w:lastRenderedPageBreak/>
        <w:t>3.</w:t>
      </w:r>
      <w:r>
        <w:tab/>
      </w:r>
      <w:r>
        <w:rPr>
          <w:b/>
        </w:rPr>
        <w:t>Options/Reasons for Recommendation</w:t>
      </w:r>
    </w:p>
    <w:p w:rsidR="00450CCA" w:rsidRDefault="00450CCA" w:rsidP="00450CCA">
      <w:pPr>
        <w:keepNext/>
        <w:keepLines/>
        <w:ind w:left="1264" w:hanging="1264"/>
      </w:pPr>
    </w:p>
    <w:p w:rsidR="00450CCA" w:rsidRDefault="00450CCA" w:rsidP="00450CCA">
      <w:pPr>
        <w:keepNext/>
        <w:keepLines/>
        <w:ind w:left="1267" w:hanging="1267"/>
      </w:pPr>
      <w:r>
        <w:t>3.1</w:t>
      </w:r>
      <w:r>
        <w:tab/>
        <w:t>The recommendation enables the Council to determine the calculation of special expenses.</w:t>
      </w:r>
    </w:p>
    <w:p w:rsidR="00450CCA" w:rsidRDefault="00450CCA" w:rsidP="00450CCA">
      <w:pPr>
        <w:keepNext/>
        <w:keepLines/>
        <w:ind w:left="1267" w:hanging="1267"/>
      </w:pPr>
    </w:p>
    <w:p w:rsidR="00450CCA" w:rsidRDefault="00450CCA" w:rsidP="00450CCA">
      <w:pPr>
        <w:keepNext/>
        <w:keepLines/>
        <w:ind w:left="1267" w:hanging="1267"/>
      </w:pPr>
      <w:r>
        <w:t>3.2</w:t>
      </w:r>
      <w:r>
        <w:tab/>
        <w:t>In the interests of fairness, the option to resolve that all of the district’s expenses be ‘general’ has been rejected.</w:t>
      </w:r>
    </w:p>
    <w:p w:rsidR="00450CCA" w:rsidRDefault="00450CCA" w:rsidP="00450CCA">
      <w:pPr>
        <w:keepNext/>
        <w:keepLines/>
        <w:ind w:left="1267" w:hanging="1267"/>
      </w:pPr>
    </w:p>
    <w:p w:rsidR="00450CCA" w:rsidRDefault="00450CCA" w:rsidP="00450CCA">
      <w:pPr>
        <w:keepNext/>
        <w:keepLines/>
        <w:ind w:left="1267" w:hanging="1267"/>
      </w:pPr>
      <w:r>
        <w:t>4.</w:t>
      </w:r>
      <w:r>
        <w:tab/>
      </w:r>
      <w:r>
        <w:rPr>
          <w:b/>
        </w:rPr>
        <w:t>Policy/Budget Reference and Implications</w:t>
      </w:r>
    </w:p>
    <w:p w:rsidR="00450CCA" w:rsidRDefault="00450CCA" w:rsidP="00450CCA">
      <w:pPr>
        <w:keepNext/>
        <w:keepLines/>
        <w:ind w:left="1267" w:hanging="1267"/>
      </w:pPr>
    </w:p>
    <w:p w:rsidR="00450CCA" w:rsidRDefault="00450CCA" w:rsidP="00450CCA">
      <w:pPr>
        <w:ind w:left="1267" w:hanging="1267"/>
      </w:pPr>
      <w:r>
        <w:t>4.1</w:t>
      </w:r>
      <w:r>
        <w:tab/>
        <w:t>The recommendations in this report are within the Council’s agreed policy and budgets.</w:t>
      </w:r>
      <w:r>
        <w:fldChar w:fldCharType="begin"/>
      </w:r>
      <w:r>
        <w:instrText xml:space="preserve">  </w:instrText>
      </w:r>
      <w:r>
        <w:fldChar w:fldCharType="end"/>
      </w:r>
      <w:r>
        <w:t xml:space="preserve">  </w:t>
      </w:r>
    </w:p>
    <w:p w:rsidR="00450CCA" w:rsidRDefault="00450CCA" w:rsidP="00450CCA">
      <w:pPr>
        <w:keepNext/>
        <w:keepLines/>
        <w:ind w:left="1267" w:hanging="1267"/>
      </w:pPr>
    </w:p>
    <w:p w:rsidR="00450CCA" w:rsidRDefault="00450CCA" w:rsidP="00450CCA">
      <w:pPr>
        <w:keepNext/>
        <w:keepLines/>
        <w:ind w:left="1267" w:hanging="1267"/>
      </w:pPr>
      <w:r>
        <w:t>5.</w:t>
      </w:r>
      <w:r>
        <w:fldChar w:fldCharType="begin"/>
      </w:r>
      <w:r>
        <w:instrText xml:space="preserve">  </w:instrText>
      </w:r>
      <w:r>
        <w:fldChar w:fldCharType="end"/>
      </w:r>
      <w:r>
        <w:tab/>
      </w:r>
      <w:r>
        <w:rPr>
          <w:b/>
        </w:rPr>
        <w:t>Legal,</w:t>
      </w:r>
      <w:r w:rsidR="00973331">
        <w:rPr>
          <w:b/>
        </w:rPr>
        <w:t xml:space="preserve"> </w:t>
      </w:r>
      <w:r>
        <w:rPr>
          <w:b/>
        </w:rPr>
        <w:t>Staffing, Environmental, Community Safety, Customer Services Centre, Communications &amp; Website Implications</w:t>
      </w:r>
    </w:p>
    <w:p w:rsidR="00450CCA" w:rsidRDefault="00450CCA" w:rsidP="00450CCA">
      <w:pPr>
        <w:keepNext/>
        <w:keepLines/>
        <w:ind w:left="1267" w:hanging="1267"/>
      </w:pPr>
    </w:p>
    <w:p w:rsidR="00450CCA" w:rsidRDefault="00450CCA" w:rsidP="00450CCA">
      <w:pPr>
        <w:keepNext/>
        <w:keepLines/>
        <w:ind w:left="1267" w:hanging="1267"/>
      </w:pPr>
      <w:r>
        <w:t>5.1</w:t>
      </w:r>
      <w:r>
        <w:fldChar w:fldCharType="begin"/>
      </w:r>
      <w:r>
        <w:instrText xml:space="preserve">  </w:instrText>
      </w:r>
      <w:r>
        <w:fldChar w:fldCharType="end"/>
      </w:r>
      <w:r>
        <w:tab/>
        <w:t>None specific.</w:t>
      </w:r>
    </w:p>
    <w:p w:rsidR="00450CCA" w:rsidRDefault="00450CCA" w:rsidP="00450CCA">
      <w:pPr>
        <w:keepNext/>
        <w:keepLines/>
        <w:ind w:left="1267" w:hanging="1267"/>
      </w:pPr>
    </w:p>
    <w:p w:rsidR="00450CCA" w:rsidRDefault="00450CCA" w:rsidP="00450CCA">
      <w:pPr>
        <w:keepNext/>
        <w:keepLines/>
        <w:ind w:left="1267" w:hanging="1267"/>
      </w:pPr>
      <w:r>
        <w:t>6.</w:t>
      </w:r>
      <w:r>
        <w:tab/>
      </w:r>
      <w:r>
        <w:rPr>
          <w:b/>
        </w:rPr>
        <w:t>Financial Implications</w:t>
      </w:r>
    </w:p>
    <w:p w:rsidR="00450CCA" w:rsidRDefault="00450CCA" w:rsidP="00450CCA">
      <w:pPr>
        <w:keepNext/>
        <w:ind w:left="1267" w:hanging="1267"/>
        <w:jc w:val="left"/>
      </w:pPr>
    </w:p>
    <w:p w:rsidR="00450CCA" w:rsidRDefault="00450CCA" w:rsidP="00450CCA">
      <w:pPr>
        <w:tabs>
          <w:tab w:val="left" w:pos="3330"/>
        </w:tabs>
        <w:ind w:left="1267" w:hanging="1267"/>
      </w:pPr>
      <w:r>
        <w:t>6.1</w:t>
      </w:r>
      <w:r>
        <w:rPr>
          <w:i/>
        </w:rPr>
        <w:tab/>
      </w:r>
      <w:r>
        <w:fldChar w:fldCharType="begin"/>
      </w:r>
      <w:r>
        <w:instrText xml:space="preserve">  </w:instrText>
      </w:r>
      <w:r>
        <w:fldChar w:fldCharType="end"/>
      </w:r>
      <w:r>
        <w:t xml:space="preserve">There are no changes to the budget already agreed by Members as a result of this report. </w:t>
      </w:r>
    </w:p>
    <w:p w:rsidR="00450CCA" w:rsidRDefault="00450CCA" w:rsidP="00450CCA">
      <w:pPr>
        <w:keepNext/>
        <w:keepLines/>
      </w:pPr>
    </w:p>
    <w:p w:rsidR="00450CCA" w:rsidRDefault="00450CCA" w:rsidP="00450CCA">
      <w:pPr>
        <w:keepNext/>
        <w:keepLines/>
        <w:ind w:left="1267" w:hanging="1267"/>
      </w:pPr>
      <w:r>
        <w:t>7.</w:t>
      </w:r>
      <w:r>
        <w:tab/>
      </w:r>
      <w:r>
        <w:rPr>
          <w:b/>
        </w:rPr>
        <w:t>Legal Implications</w:t>
      </w:r>
    </w:p>
    <w:p w:rsidR="00450CCA" w:rsidRDefault="00450CCA" w:rsidP="00450CCA">
      <w:pPr>
        <w:keepNext/>
        <w:ind w:left="1267" w:hanging="1267"/>
      </w:pPr>
    </w:p>
    <w:p w:rsidR="00450CCA" w:rsidRDefault="00450CCA" w:rsidP="00450CCA">
      <w:pPr>
        <w:ind w:left="1276" w:hanging="1276"/>
      </w:pPr>
      <w:r>
        <w:t>7.1</w:t>
      </w:r>
      <w:r>
        <w:tab/>
        <w:t>Contained in the report. There has been little case law resulting from the legislation. Any challenge to the Council’s interpretation of the law would be subject to judicial review. The Council would need to demonstrate that it had acted reasonably. This would particularly apply where apportionments are used. There are different bases for apportionments any one of which might be ‘reasonable’ but give a different answer.</w:t>
      </w:r>
      <w:r>
        <w:fldChar w:fldCharType="begin"/>
      </w:r>
      <w:r>
        <w:instrText xml:space="preserve">  </w:instrText>
      </w:r>
      <w:r>
        <w:fldChar w:fldCharType="end"/>
      </w:r>
    </w:p>
    <w:p w:rsidR="00450CCA" w:rsidRDefault="00450CCA" w:rsidP="00450CCA">
      <w:pPr>
        <w:pStyle w:val="Header"/>
        <w:keepNext/>
        <w:keepLines/>
        <w:tabs>
          <w:tab w:val="clear" w:pos="4153"/>
          <w:tab w:val="clear" w:pos="8306"/>
          <w:tab w:val="left" w:pos="1260"/>
          <w:tab w:val="left" w:pos="1980"/>
          <w:tab w:val="left" w:pos="2700"/>
          <w:tab w:val="left" w:pos="3420"/>
        </w:tabs>
      </w:pPr>
    </w:p>
    <w:p w:rsidR="00450CCA" w:rsidRDefault="00450CCA" w:rsidP="00450CCA">
      <w:pPr>
        <w:keepNext/>
        <w:keepLines/>
        <w:ind w:left="1267" w:hanging="1267"/>
        <w:rPr>
          <w:b/>
        </w:rPr>
      </w:pPr>
      <w:r>
        <w:t>9.</w:t>
      </w:r>
      <w:r>
        <w:tab/>
      </w:r>
      <w:r>
        <w:rPr>
          <w:b/>
        </w:rPr>
        <w:t>Risk Management and Health &amp; Safety Implications</w:t>
      </w:r>
    </w:p>
    <w:p w:rsidR="00450CCA" w:rsidRDefault="00450CCA" w:rsidP="00450CCA">
      <w:pPr>
        <w:keepNext/>
        <w:keepLines/>
        <w:ind w:left="1253" w:hanging="1253"/>
      </w:pPr>
    </w:p>
    <w:p w:rsidR="00450CCA" w:rsidRDefault="00450CCA" w:rsidP="00450CCA">
      <w:pPr>
        <w:keepNext/>
        <w:keepLines/>
        <w:ind w:left="1276" w:hanging="1276"/>
      </w:pPr>
      <w:r>
        <w:t>9.1</w:t>
      </w:r>
      <w:r>
        <w:tab/>
        <w:t xml:space="preserve">The Council has agreed its risk management strategy which can be found on the website at http://www.threerivers.gov.uk. </w:t>
      </w:r>
    </w:p>
    <w:p w:rsidR="00450CCA" w:rsidRDefault="00450CCA" w:rsidP="00450CCA">
      <w:pPr>
        <w:ind w:left="709" w:hanging="709"/>
      </w:pPr>
    </w:p>
    <w:p w:rsidR="00450CCA" w:rsidRDefault="00450CCA" w:rsidP="00450CCA">
      <w:pPr>
        <w:ind w:left="1276" w:hanging="1276"/>
      </w:pPr>
      <w:r>
        <w:t>9.</w:t>
      </w:r>
      <w:r w:rsidR="00785F97">
        <w:t>2</w:t>
      </w:r>
      <w:r>
        <w:tab/>
      </w:r>
      <w:r>
        <w:tab/>
        <w:t xml:space="preserve">The following table gives the risks if the recommendations are agreed, together with a scored assessment of their impact and likelihood: </w:t>
      </w:r>
    </w:p>
    <w:p w:rsidR="00450CCA" w:rsidRDefault="00450CCA" w:rsidP="00450CCA"/>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
        <w:gridCol w:w="4744"/>
        <w:gridCol w:w="1240"/>
        <w:gridCol w:w="1312"/>
      </w:tblGrid>
      <w:tr w:rsidR="00450CCA" w:rsidTr="00450CCA">
        <w:tc>
          <w:tcPr>
            <w:tcW w:w="5072" w:type="dxa"/>
            <w:gridSpan w:val="2"/>
          </w:tcPr>
          <w:p w:rsidR="00450CCA" w:rsidRDefault="00450CCA" w:rsidP="00450CCA">
            <w:pPr>
              <w:jc w:val="center"/>
              <w:rPr>
                <w:sz w:val="20"/>
              </w:rPr>
            </w:pPr>
            <w:r>
              <w:rPr>
                <w:sz w:val="20"/>
              </w:rPr>
              <w:t>Description of Risk</w:t>
            </w:r>
          </w:p>
        </w:tc>
        <w:tc>
          <w:tcPr>
            <w:tcW w:w="1240" w:type="dxa"/>
          </w:tcPr>
          <w:p w:rsidR="00450CCA" w:rsidRDefault="00450CCA" w:rsidP="00450CCA">
            <w:pPr>
              <w:jc w:val="center"/>
              <w:rPr>
                <w:sz w:val="20"/>
              </w:rPr>
            </w:pPr>
            <w:r>
              <w:rPr>
                <w:sz w:val="20"/>
              </w:rPr>
              <w:t>Impact</w:t>
            </w:r>
          </w:p>
        </w:tc>
        <w:tc>
          <w:tcPr>
            <w:tcW w:w="1312" w:type="dxa"/>
          </w:tcPr>
          <w:p w:rsidR="00450CCA" w:rsidRDefault="00450CCA" w:rsidP="00450CCA">
            <w:pPr>
              <w:ind w:left="34"/>
              <w:jc w:val="center"/>
              <w:rPr>
                <w:sz w:val="20"/>
              </w:rPr>
            </w:pPr>
            <w:r>
              <w:rPr>
                <w:sz w:val="20"/>
              </w:rPr>
              <w:t>Likelihood</w:t>
            </w:r>
          </w:p>
        </w:tc>
      </w:tr>
      <w:tr w:rsidR="00450CCA" w:rsidTr="00450CCA">
        <w:tc>
          <w:tcPr>
            <w:tcW w:w="328" w:type="dxa"/>
          </w:tcPr>
          <w:p w:rsidR="00450CCA" w:rsidRDefault="00450CCA" w:rsidP="00450CCA">
            <w:pPr>
              <w:rPr>
                <w:sz w:val="20"/>
              </w:rPr>
            </w:pPr>
            <w:r>
              <w:rPr>
                <w:sz w:val="20"/>
              </w:rPr>
              <w:t>1</w:t>
            </w:r>
          </w:p>
        </w:tc>
        <w:tc>
          <w:tcPr>
            <w:tcW w:w="4744" w:type="dxa"/>
          </w:tcPr>
          <w:p w:rsidR="00450CCA" w:rsidRDefault="00450CCA" w:rsidP="00450CCA">
            <w:pPr>
              <w:jc w:val="left"/>
              <w:rPr>
                <w:sz w:val="20"/>
              </w:rPr>
            </w:pPr>
            <w:r>
              <w:rPr>
                <w:sz w:val="20"/>
              </w:rPr>
              <w:t>There is a successful challenge to the Council’s application of the special expenses provisions of the Local Government Finance Act 1992.</w:t>
            </w:r>
          </w:p>
        </w:tc>
        <w:tc>
          <w:tcPr>
            <w:tcW w:w="1240" w:type="dxa"/>
          </w:tcPr>
          <w:p w:rsidR="00450CCA" w:rsidRDefault="00450CCA" w:rsidP="00450CCA">
            <w:pPr>
              <w:jc w:val="center"/>
              <w:rPr>
                <w:sz w:val="20"/>
              </w:rPr>
            </w:pPr>
          </w:p>
          <w:p w:rsidR="00450CCA" w:rsidRDefault="00450CCA" w:rsidP="00450CCA">
            <w:pPr>
              <w:jc w:val="center"/>
              <w:rPr>
                <w:sz w:val="20"/>
              </w:rPr>
            </w:pPr>
            <w:r>
              <w:rPr>
                <w:sz w:val="20"/>
              </w:rPr>
              <w:t>III</w:t>
            </w:r>
          </w:p>
        </w:tc>
        <w:tc>
          <w:tcPr>
            <w:tcW w:w="1312" w:type="dxa"/>
          </w:tcPr>
          <w:p w:rsidR="00450CCA" w:rsidRDefault="00450CCA" w:rsidP="00450CCA">
            <w:pPr>
              <w:jc w:val="center"/>
              <w:rPr>
                <w:sz w:val="20"/>
              </w:rPr>
            </w:pPr>
          </w:p>
          <w:p w:rsidR="00450CCA" w:rsidRDefault="00450CCA" w:rsidP="00450CCA">
            <w:pPr>
              <w:jc w:val="center"/>
              <w:rPr>
                <w:sz w:val="20"/>
              </w:rPr>
            </w:pPr>
            <w:r>
              <w:rPr>
                <w:sz w:val="20"/>
              </w:rPr>
              <w:t>F</w:t>
            </w:r>
          </w:p>
        </w:tc>
      </w:tr>
    </w:tbl>
    <w:p w:rsidR="00450CCA" w:rsidRDefault="00450CCA" w:rsidP="00450CCA"/>
    <w:p w:rsidR="00450CCA" w:rsidRDefault="00450CCA" w:rsidP="00450CCA">
      <w:pPr>
        <w:ind w:left="1276" w:hanging="1276"/>
      </w:pPr>
      <w:r>
        <w:t>9.</w:t>
      </w:r>
      <w:r w:rsidR="00455162">
        <w:t>3</w:t>
      </w:r>
      <w:r>
        <w:tab/>
      </w:r>
      <w:r>
        <w:tab/>
        <w:t>The following table gives the risks that would exist if the recommendation is rejected, together with a scored assessment of their impact and likelihood:</w:t>
      </w:r>
    </w:p>
    <w:p w:rsidR="00450CCA" w:rsidRDefault="00450CCA" w:rsidP="00450CCA">
      <w:pPr>
        <w:ind w:left="1276" w:hanging="709"/>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
        <w:gridCol w:w="4744"/>
        <w:gridCol w:w="1240"/>
        <w:gridCol w:w="1312"/>
      </w:tblGrid>
      <w:tr w:rsidR="00450CCA" w:rsidTr="00450CCA">
        <w:tc>
          <w:tcPr>
            <w:tcW w:w="5072" w:type="dxa"/>
            <w:gridSpan w:val="2"/>
          </w:tcPr>
          <w:p w:rsidR="00450CCA" w:rsidRDefault="00450CCA" w:rsidP="00450CCA">
            <w:pPr>
              <w:jc w:val="center"/>
              <w:rPr>
                <w:sz w:val="20"/>
              </w:rPr>
            </w:pPr>
            <w:r>
              <w:rPr>
                <w:sz w:val="20"/>
              </w:rPr>
              <w:t>Description of Risk</w:t>
            </w:r>
          </w:p>
        </w:tc>
        <w:tc>
          <w:tcPr>
            <w:tcW w:w="1240" w:type="dxa"/>
          </w:tcPr>
          <w:p w:rsidR="00450CCA" w:rsidRDefault="00450CCA" w:rsidP="00450CCA">
            <w:pPr>
              <w:jc w:val="center"/>
              <w:rPr>
                <w:sz w:val="20"/>
              </w:rPr>
            </w:pPr>
            <w:r>
              <w:rPr>
                <w:sz w:val="20"/>
              </w:rPr>
              <w:t>Impact</w:t>
            </w:r>
          </w:p>
        </w:tc>
        <w:tc>
          <w:tcPr>
            <w:tcW w:w="1312" w:type="dxa"/>
          </w:tcPr>
          <w:p w:rsidR="00450CCA" w:rsidRDefault="00450CCA" w:rsidP="00450CCA">
            <w:pPr>
              <w:ind w:left="34"/>
              <w:jc w:val="center"/>
              <w:rPr>
                <w:sz w:val="20"/>
              </w:rPr>
            </w:pPr>
            <w:r>
              <w:rPr>
                <w:sz w:val="20"/>
              </w:rPr>
              <w:t>Likelihood</w:t>
            </w:r>
          </w:p>
        </w:tc>
      </w:tr>
      <w:tr w:rsidR="00450CCA" w:rsidTr="00450CCA">
        <w:tc>
          <w:tcPr>
            <w:tcW w:w="328" w:type="dxa"/>
          </w:tcPr>
          <w:p w:rsidR="00450CCA" w:rsidRDefault="00450CCA" w:rsidP="00450CCA">
            <w:pPr>
              <w:rPr>
                <w:sz w:val="20"/>
              </w:rPr>
            </w:pPr>
            <w:r>
              <w:rPr>
                <w:sz w:val="20"/>
              </w:rPr>
              <w:t>2</w:t>
            </w:r>
          </w:p>
        </w:tc>
        <w:tc>
          <w:tcPr>
            <w:tcW w:w="4744" w:type="dxa"/>
          </w:tcPr>
          <w:p w:rsidR="00450CCA" w:rsidRDefault="00450CCA" w:rsidP="00450CCA">
            <w:pPr>
              <w:rPr>
                <w:sz w:val="20"/>
              </w:rPr>
            </w:pPr>
            <w:r>
              <w:rPr>
                <w:sz w:val="20"/>
              </w:rPr>
              <w:t>There is a successful challenge to the Council’s application of the special expenses provisions of the Local Government Finance Act 1992.</w:t>
            </w:r>
          </w:p>
        </w:tc>
        <w:tc>
          <w:tcPr>
            <w:tcW w:w="1240" w:type="dxa"/>
          </w:tcPr>
          <w:p w:rsidR="00450CCA" w:rsidRDefault="00450CCA" w:rsidP="00450CCA">
            <w:pPr>
              <w:jc w:val="center"/>
              <w:rPr>
                <w:sz w:val="20"/>
              </w:rPr>
            </w:pPr>
          </w:p>
          <w:p w:rsidR="00450CCA" w:rsidRDefault="00450CCA" w:rsidP="00450CCA">
            <w:pPr>
              <w:jc w:val="center"/>
              <w:rPr>
                <w:sz w:val="20"/>
              </w:rPr>
            </w:pPr>
            <w:r>
              <w:rPr>
                <w:sz w:val="20"/>
              </w:rPr>
              <w:t>III</w:t>
            </w:r>
          </w:p>
        </w:tc>
        <w:tc>
          <w:tcPr>
            <w:tcW w:w="1312" w:type="dxa"/>
          </w:tcPr>
          <w:p w:rsidR="00450CCA" w:rsidRDefault="00450CCA" w:rsidP="00450CCA">
            <w:pPr>
              <w:jc w:val="center"/>
              <w:rPr>
                <w:sz w:val="20"/>
              </w:rPr>
            </w:pPr>
          </w:p>
          <w:p w:rsidR="00450CCA" w:rsidRDefault="00450CCA" w:rsidP="00450CCA">
            <w:pPr>
              <w:jc w:val="center"/>
              <w:rPr>
                <w:sz w:val="20"/>
              </w:rPr>
            </w:pPr>
            <w:r>
              <w:rPr>
                <w:sz w:val="20"/>
              </w:rPr>
              <w:t>E</w:t>
            </w:r>
          </w:p>
        </w:tc>
      </w:tr>
    </w:tbl>
    <w:p w:rsidR="00450CCA" w:rsidRDefault="00450CCA" w:rsidP="00450CCA"/>
    <w:p w:rsidR="00450CCA" w:rsidRDefault="00455162" w:rsidP="00450CCA">
      <w:pPr>
        <w:ind w:left="1276" w:hanging="1276"/>
      </w:pPr>
      <w:r>
        <w:t>9.4</w:t>
      </w:r>
      <w:r w:rsidR="00450CCA">
        <w:tab/>
        <w:t xml:space="preserve">The Council has determined its aversion to risk and is prepared to tolerate risks where the combination of impact and likelihood are plotted in the shaded area of the matrix. The remaining risks require a treatment plan. </w:t>
      </w:r>
    </w:p>
    <w:p w:rsidR="00B442C1" w:rsidRDefault="00B442C1" w:rsidP="00450CCA">
      <w:pPr>
        <w:ind w:left="1276" w:hanging="1276"/>
      </w:pPr>
    </w:p>
    <w:p w:rsidR="00B442C1" w:rsidRDefault="00B442C1" w:rsidP="00450CCA">
      <w:pPr>
        <w:ind w:left="1276" w:hanging="1276"/>
      </w:pPr>
    </w:p>
    <w:p w:rsidR="00B442C1" w:rsidRDefault="00B442C1" w:rsidP="00450CCA">
      <w:pPr>
        <w:ind w:left="1276" w:hanging="1276"/>
      </w:pPr>
    </w:p>
    <w:p w:rsidR="00B442C1" w:rsidRDefault="00B442C1" w:rsidP="00450CCA">
      <w:pPr>
        <w:ind w:left="1276" w:hanging="1276"/>
      </w:pPr>
    </w:p>
    <w:p w:rsidR="00B442C1" w:rsidRDefault="00B442C1" w:rsidP="00450CCA">
      <w:pPr>
        <w:ind w:left="1276" w:hanging="1276"/>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2"/>
        <w:gridCol w:w="723"/>
        <w:gridCol w:w="723"/>
        <w:gridCol w:w="724"/>
        <w:gridCol w:w="723"/>
        <w:gridCol w:w="724"/>
        <w:gridCol w:w="1508"/>
        <w:gridCol w:w="1698"/>
      </w:tblGrid>
      <w:tr w:rsidR="00450CCA" w:rsidTr="00450CCA">
        <w:trPr>
          <w:cantSplit/>
        </w:trPr>
        <w:tc>
          <w:tcPr>
            <w:tcW w:w="645" w:type="dxa"/>
            <w:vMerge w:val="restart"/>
            <w:tcBorders>
              <w:top w:val="single" w:sz="4" w:space="0" w:color="auto"/>
              <w:left w:val="single" w:sz="4" w:space="0" w:color="auto"/>
              <w:bottom w:val="single" w:sz="4" w:space="0" w:color="auto"/>
              <w:right w:val="single" w:sz="4" w:space="0" w:color="auto"/>
            </w:tcBorders>
            <w:textDirection w:val="btLr"/>
          </w:tcPr>
          <w:p w:rsidR="00450CCA" w:rsidRDefault="00B442C1" w:rsidP="00450CCA">
            <w:pPr>
              <w:keepNext/>
              <w:keepLines/>
              <w:ind w:left="113" w:right="113"/>
              <w:jc w:val="center"/>
              <w:rPr>
                <w:b/>
                <w:sz w:val="20"/>
              </w:rPr>
            </w:pPr>
            <w:r>
              <w:rPr>
                <w:b/>
                <w:noProof/>
                <w:sz w:val="20"/>
              </w:rPr>
              <w:lastRenderedPageBreak/>
              <mc:AlternateContent>
                <mc:Choice Requires="wps">
                  <w:drawing>
                    <wp:anchor distT="0" distB="0" distL="114300" distR="114300" simplePos="0" relativeHeight="251657216" behindDoc="0" locked="0" layoutInCell="0" allowOverlap="1" wp14:anchorId="540E7473" wp14:editId="499642E8">
                      <wp:simplePos x="0" y="0"/>
                      <wp:positionH relativeFrom="column">
                        <wp:posOffset>1115695</wp:posOffset>
                      </wp:positionH>
                      <wp:positionV relativeFrom="paragraph">
                        <wp:posOffset>78105</wp:posOffset>
                      </wp:positionV>
                      <wp:extent cx="0" cy="1296670"/>
                      <wp:effectExtent l="76200" t="38100" r="57150" b="177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6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6.15pt" to="87.8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" o:allowincell="f">
                      <v:stroke endarrow="block"/>
                    </v:line>
                  </w:pict>
                </mc:Fallback>
              </mc:AlternateContent>
            </w:r>
            <w:r>
              <w:rPr>
                <w:noProof/>
              </w:rPr>
              <mc:AlternateContent>
                <mc:Choice Requires="wps">
                  <w:drawing>
                    <wp:anchor distT="0" distB="0" distL="114300" distR="114300" simplePos="0" relativeHeight="251658240" behindDoc="0" locked="0" layoutInCell="0" allowOverlap="1" wp14:anchorId="2491A409" wp14:editId="024EBA60">
                      <wp:simplePos x="0" y="0"/>
                      <wp:positionH relativeFrom="column">
                        <wp:posOffset>1240155</wp:posOffset>
                      </wp:positionH>
                      <wp:positionV relativeFrom="paragraph">
                        <wp:posOffset>1370965</wp:posOffset>
                      </wp:positionV>
                      <wp:extent cx="1228725" cy="0"/>
                      <wp:effectExtent l="0" t="76200" r="28575" b="952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65pt,107.95pt" to="194.4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" o:allowincell="f">
                      <v:stroke endarrow="block"/>
                    </v:line>
                  </w:pict>
                </mc:Fallback>
              </mc:AlternateContent>
            </w:r>
            <w:r w:rsidR="00450CCA">
              <w:rPr>
                <w:b/>
                <w:sz w:val="20"/>
              </w:rPr>
              <w:t>Likelihood</w:t>
            </w:r>
          </w:p>
        </w:tc>
        <w:tc>
          <w:tcPr>
            <w:tcW w:w="452" w:type="dxa"/>
            <w:tcBorders>
              <w:top w:val="single" w:sz="4" w:space="0" w:color="auto"/>
              <w:left w:val="single" w:sz="4" w:space="0" w:color="auto"/>
            </w:tcBorders>
          </w:tcPr>
          <w:p w:rsidR="00450CCA" w:rsidRDefault="00450CCA" w:rsidP="00450CCA">
            <w:pPr>
              <w:keepNext/>
              <w:keepLines/>
            </w:pPr>
            <w:r>
              <w:t>A</w:t>
            </w:r>
          </w:p>
        </w:tc>
        <w:tc>
          <w:tcPr>
            <w:tcW w:w="723" w:type="dxa"/>
            <w:tcBorders>
              <w:top w:val="single" w:sz="4" w:space="0" w:color="auto"/>
            </w:tcBorders>
            <w:shd w:val="pct15" w:color="auto" w:fill="FFFFFF"/>
          </w:tcPr>
          <w:p w:rsidR="00450CCA" w:rsidRDefault="00450CCA" w:rsidP="00450CCA">
            <w:pPr>
              <w:keepNext/>
              <w:keepLines/>
            </w:pPr>
          </w:p>
        </w:tc>
        <w:tc>
          <w:tcPr>
            <w:tcW w:w="723" w:type="dxa"/>
            <w:tcBorders>
              <w:top w:val="single" w:sz="4" w:space="0" w:color="auto"/>
            </w:tcBorders>
          </w:tcPr>
          <w:p w:rsidR="00450CCA" w:rsidRDefault="00450CCA" w:rsidP="00450CCA">
            <w:pPr>
              <w:keepNext/>
              <w:keepLines/>
            </w:pPr>
          </w:p>
        </w:tc>
        <w:tc>
          <w:tcPr>
            <w:tcW w:w="724" w:type="dxa"/>
            <w:tcBorders>
              <w:top w:val="single" w:sz="4" w:space="0" w:color="auto"/>
              <w:bottom w:val="single" w:sz="4" w:space="0" w:color="auto"/>
            </w:tcBorders>
          </w:tcPr>
          <w:p w:rsidR="00450CCA" w:rsidRDefault="00450CCA" w:rsidP="00450CCA">
            <w:pPr>
              <w:keepNext/>
              <w:keepLines/>
            </w:pPr>
          </w:p>
        </w:tc>
        <w:tc>
          <w:tcPr>
            <w:tcW w:w="723" w:type="dxa"/>
            <w:tcBorders>
              <w:top w:val="single" w:sz="4" w:space="0" w:color="auto"/>
              <w:bottom w:val="single" w:sz="4" w:space="0" w:color="auto"/>
              <w:right w:val="single" w:sz="4" w:space="0" w:color="auto"/>
            </w:tcBorders>
          </w:tcPr>
          <w:p w:rsidR="00450CCA" w:rsidRDefault="00450CCA" w:rsidP="00450CCA">
            <w:pPr>
              <w:keepNext/>
              <w:keepLines/>
              <w:jc w:val="center"/>
            </w:pPr>
          </w:p>
        </w:tc>
        <w:tc>
          <w:tcPr>
            <w:tcW w:w="724" w:type="dxa"/>
            <w:tcBorders>
              <w:top w:val="single" w:sz="4" w:space="0" w:color="auto"/>
              <w:bottom w:val="single" w:sz="4" w:space="0" w:color="auto"/>
              <w:right w:val="single" w:sz="4" w:space="0" w:color="auto"/>
            </w:tcBorders>
          </w:tcPr>
          <w:p w:rsidR="00450CCA" w:rsidRDefault="00450CCA" w:rsidP="00450CCA">
            <w:pPr>
              <w:keepNext/>
              <w:keepLines/>
              <w:jc w:val="center"/>
            </w:pPr>
          </w:p>
        </w:tc>
        <w:tc>
          <w:tcPr>
            <w:tcW w:w="1508" w:type="dxa"/>
            <w:tcBorders>
              <w:top w:val="nil"/>
              <w:left w:val="single" w:sz="4" w:space="0" w:color="auto"/>
              <w:bottom w:val="nil"/>
              <w:right w:val="nil"/>
            </w:tcBorders>
          </w:tcPr>
          <w:p w:rsidR="00450CCA" w:rsidRDefault="00450CCA" w:rsidP="00450CCA">
            <w:pPr>
              <w:keepNext/>
              <w:keepLines/>
              <w:rPr>
                <w:sz w:val="16"/>
              </w:rPr>
            </w:pPr>
            <w:r>
              <w:rPr>
                <w:sz w:val="16"/>
              </w:rPr>
              <w:t>Impact</w:t>
            </w:r>
          </w:p>
        </w:tc>
        <w:tc>
          <w:tcPr>
            <w:tcW w:w="1698" w:type="dxa"/>
            <w:tcBorders>
              <w:top w:val="nil"/>
              <w:left w:val="nil"/>
              <w:bottom w:val="nil"/>
              <w:right w:val="nil"/>
            </w:tcBorders>
          </w:tcPr>
          <w:p w:rsidR="00450CCA" w:rsidRDefault="00450CCA" w:rsidP="00450CCA">
            <w:pPr>
              <w:keepNext/>
              <w:keepLines/>
              <w:rPr>
                <w:sz w:val="16"/>
              </w:rPr>
            </w:pPr>
            <w:r>
              <w:rPr>
                <w:sz w:val="16"/>
              </w:rPr>
              <w:t>Likelihood</w:t>
            </w:r>
          </w:p>
        </w:tc>
      </w:tr>
      <w:tr w:rsidR="00450CCA" w:rsidTr="00450CCA">
        <w:trPr>
          <w:cantSplit/>
        </w:trPr>
        <w:tc>
          <w:tcPr>
            <w:tcW w:w="645" w:type="dxa"/>
            <w:vMerge/>
            <w:tcBorders>
              <w:left w:val="single" w:sz="4" w:space="0" w:color="auto"/>
              <w:bottom w:val="single" w:sz="4" w:space="0" w:color="auto"/>
              <w:right w:val="single" w:sz="4" w:space="0" w:color="auto"/>
            </w:tcBorders>
          </w:tcPr>
          <w:p w:rsidR="00450CCA" w:rsidRDefault="00450CCA" w:rsidP="00450CCA">
            <w:pPr>
              <w:keepNext/>
              <w:keepLines/>
            </w:pPr>
          </w:p>
        </w:tc>
        <w:tc>
          <w:tcPr>
            <w:tcW w:w="452" w:type="dxa"/>
            <w:tcBorders>
              <w:left w:val="single" w:sz="4" w:space="0" w:color="auto"/>
            </w:tcBorders>
          </w:tcPr>
          <w:p w:rsidR="00450CCA" w:rsidRDefault="00450CCA" w:rsidP="00450CCA">
            <w:pPr>
              <w:keepNext/>
              <w:keepLines/>
            </w:pPr>
            <w:r>
              <w:t>B</w:t>
            </w:r>
          </w:p>
        </w:tc>
        <w:tc>
          <w:tcPr>
            <w:tcW w:w="723" w:type="dxa"/>
            <w:shd w:val="pct15" w:color="auto" w:fill="FFFFFF"/>
          </w:tcPr>
          <w:p w:rsidR="00450CCA" w:rsidRDefault="00450CCA" w:rsidP="00450CCA">
            <w:pPr>
              <w:keepNext/>
              <w:keepLines/>
            </w:pPr>
          </w:p>
        </w:tc>
        <w:tc>
          <w:tcPr>
            <w:tcW w:w="723" w:type="dxa"/>
          </w:tcPr>
          <w:p w:rsidR="00450CCA" w:rsidRDefault="00450CCA" w:rsidP="00450CCA">
            <w:pPr>
              <w:keepNext/>
              <w:keepLines/>
            </w:pPr>
          </w:p>
        </w:tc>
        <w:tc>
          <w:tcPr>
            <w:tcW w:w="724" w:type="dxa"/>
            <w:tcBorders>
              <w:bottom w:val="single" w:sz="4" w:space="0" w:color="auto"/>
            </w:tcBorders>
          </w:tcPr>
          <w:p w:rsidR="00450CCA" w:rsidRDefault="00450CCA" w:rsidP="00450CCA">
            <w:pPr>
              <w:keepNext/>
              <w:keepLines/>
            </w:pPr>
          </w:p>
        </w:tc>
        <w:tc>
          <w:tcPr>
            <w:tcW w:w="723" w:type="dxa"/>
            <w:tcBorders>
              <w:right w:val="single" w:sz="4" w:space="0" w:color="auto"/>
            </w:tcBorders>
          </w:tcPr>
          <w:p w:rsidR="00450CCA" w:rsidRDefault="00450CCA" w:rsidP="00450CCA">
            <w:pPr>
              <w:keepNext/>
              <w:keepLines/>
              <w:jc w:val="center"/>
            </w:pPr>
          </w:p>
        </w:tc>
        <w:tc>
          <w:tcPr>
            <w:tcW w:w="724" w:type="dxa"/>
            <w:tcBorders>
              <w:right w:val="single" w:sz="4" w:space="0" w:color="auto"/>
            </w:tcBorders>
          </w:tcPr>
          <w:p w:rsidR="00450CCA" w:rsidRDefault="00450CCA" w:rsidP="00450CCA">
            <w:pPr>
              <w:keepNext/>
              <w:keepLines/>
              <w:jc w:val="center"/>
            </w:pPr>
          </w:p>
        </w:tc>
        <w:tc>
          <w:tcPr>
            <w:tcW w:w="1508" w:type="dxa"/>
            <w:tcBorders>
              <w:top w:val="nil"/>
              <w:left w:val="single" w:sz="4" w:space="0" w:color="auto"/>
              <w:bottom w:val="nil"/>
              <w:right w:val="nil"/>
            </w:tcBorders>
          </w:tcPr>
          <w:p w:rsidR="00450CCA" w:rsidRDefault="00450CCA" w:rsidP="00450CCA">
            <w:pPr>
              <w:keepNext/>
              <w:keepLines/>
              <w:rPr>
                <w:sz w:val="16"/>
              </w:rPr>
            </w:pPr>
            <w:r>
              <w:rPr>
                <w:sz w:val="16"/>
              </w:rPr>
              <w:t>V = Catastrophic</w:t>
            </w:r>
          </w:p>
        </w:tc>
        <w:tc>
          <w:tcPr>
            <w:tcW w:w="1698" w:type="dxa"/>
            <w:tcBorders>
              <w:top w:val="nil"/>
              <w:left w:val="nil"/>
              <w:bottom w:val="nil"/>
              <w:right w:val="nil"/>
            </w:tcBorders>
          </w:tcPr>
          <w:p w:rsidR="00450CCA" w:rsidRDefault="00450CCA" w:rsidP="00450CCA">
            <w:pPr>
              <w:keepNext/>
              <w:keepLines/>
              <w:rPr>
                <w:sz w:val="16"/>
              </w:rPr>
            </w:pPr>
            <w:r>
              <w:rPr>
                <w:sz w:val="16"/>
              </w:rPr>
              <w:t>A = &gt;98%</w:t>
            </w:r>
          </w:p>
        </w:tc>
      </w:tr>
      <w:tr w:rsidR="00450CCA" w:rsidTr="00450CCA">
        <w:trPr>
          <w:cantSplit/>
        </w:trPr>
        <w:tc>
          <w:tcPr>
            <w:tcW w:w="645" w:type="dxa"/>
            <w:vMerge/>
            <w:tcBorders>
              <w:left w:val="single" w:sz="4" w:space="0" w:color="auto"/>
              <w:bottom w:val="single" w:sz="4" w:space="0" w:color="auto"/>
              <w:right w:val="single" w:sz="4" w:space="0" w:color="auto"/>
            </w:tcBorders>
          </w:tcPr>
          <w:p w:rsidR="00450CCA" w:rsidRDefault="00450CCA" w:rsidP="00450CCA">
            <w:pPr>
              <w:keepNext/>
              <w:keepLines/>
            </w:pPr>
          </w:p>
        </w:tc>
        <w:tc>
          <w:tcPr>
            <w:tcW w:w="452" w:type="dxa"/>
            <w:tcBorders>
              <w:left w:val="single" w:sz="4" w:space="0" w:color="auto"/>
            </w:tcBorders>
          </w:tcPr>
          <w:p w:rsidR="00450CCA" w:rsidRDefault="00450CCA" w:rsidP="00450CCA">
            <w:pPr>
              <w:keepNext/>
              <w:keepLines/>
            </w:pPr>
            <w:r>
              <w:t>C</w:t>
            </w:r>
          </w:p>
        </w:tc>
        <w:tc>
          <w:tcPr>
            <w:tcW w:w="723" w:type="dxa"/>
            <w:shd w:val="pct15" w:color="auto" w:fill="FFFFFF"/>
          </w:tcPr>
          <w:p w:rsidR="00450CCA" w:rsidRDefault="00450CCA" w:rsidP="00450CCA">
            <w:pPr>
              <w:keepNext/>
              <w:keepLines/>
            </w:pPr>
          </w:p>
        </w:tc>
        <w:tc>
          <w:tcPr>
            <w:tcW w:w="723" w:type="dxa"/>
            <w:tcBorders>
              <w:top w:val="single" w:sz="4" w:space="0" w:color="auto"/>
              <w:bottom w:val="single" w:sz="4" w:space="0" w:color="auto"/>
            </w:tcBorders>
          </w:tcPr>
          <w:p w:rsidR="00450CCA" w:rsidRDefault="00450CCA" w:rsidP="00450CCA">
            <w:pPr>
              <w:keepNext/>
              <w:keepLines/>
            </w:pPr>
          </w:p>
        </w:tc>
        <w:tc>
          <w:tcPr>
            <w:tcW w:w="724" w:type="dxa"/>
            <w:tcBorders>
              <w:top w:val="single" w:sz="4" w:space="0" w:color="auto"/>
              <w:bottom w:val="single" w:sz="4" w:space="0" w:color="auto"/>
            </w:tcBorders>
          </w:tcPr>
          <w:p w:rsidR="00450CCA" w:rsidRDefault="00450CCA" w:rsidP="00450CCA">
            <w:pPr>
              <w:keepNext/>
              <w:keepLines/>
            </w:pPr>
          </w:p>
        </w:tc>
        <w:tc>
          <w:tcPr>
            <w:tcW w:w="723" w:type="dxa"/>
            <w:tcBorders>
              <w:top w:val="single" w:sz="4" w:space="0" w:color="auto"/>
              <w:bottom w:val="single" w:sz="4" w:space="0" w:color="auto"/>
              <w:right w:val="single" w:sz="4" w:space="0" w:color="auto"/>
            </w:tcBorders>
          </w:tcPr>
          <w:p w:rsidR="00450CCA" w:rsidRDefault="00450CCA" w:rsidP="00450CCA">
            <w:pPr>
              <w:keepNext/>
              <w:keepLines/>
              <w:jc w:val="center"/>
            </w:pPr>
          </w:p>
        </w:tc>
        <w:tc>
          <w:tcPr>
            <w:tcW w:w="724" w:type="dxa"/>
            <w:tcBorders>
              <w:right w:val="single" w:sz="4" w:space="0" w:color="auto"/>
            </w:tcBorders>
          </w:tcPr>
          <w:p w:rsidR="00450CCA" w:rsidRDefault="00450CCA" w:rsidP="00450CCA">
            <w:pPr>
              <w:keepNext/>
              <w:keepLines/>
              <w:jc w:val="center"/>
            </w:pPr>
          </w:p>
        </w:tc>
        <w:tc>
          <w:tcPr>
            <w:tcW w:w="1508" w:type="dxa"/>
            <w:tcBorders>
              <w:top w:val="nil"/>
              <w:left w:val="single" w:sz="4" w:space="0" w:color="auto"/>
              <w:bottom w:val="nil"/>
              <w:right w:val="nil"/>
            </w:tcBorders>
          </w:tcPr>
          <w:p w:rsidR="00450CCA" w:rsidRDefault="00450CCA" w:rsidP="00450CCA">
            <w:pPr>
              <w:keepNext/>
              <w:keepLines/>
              <w:rPr>
                <w:sz w:val="16"/>
              </w:rPr>
            </w:pPr>
            <w:r>
              <w:rPr>
                <w:sz w:val="16"/>
              </w:rPr>
              <w:t>IV = Critical</w:t>
            </w:r>
          </w:p>
        </w:tc>
        <w:tc>
          <w:tcPr>
            <w:tcW w:w="1698" w:type="dxa"/>
            <w:tcBorders>
              <w:top w:val="nil"/>
              <w:left w:val="nil"/>
              <w:bottom w:val="nil"/>
              <w:right w:val="nil"/>
            </w:tcBorders>
          </w:tcPr>
          <w:p w:rsidR="00450CCA" w:rsidRDefault="00450CCA" w:rsidP="00450CCA">
            <w:pPr>
              <w:keepNext/>
              <w:keepLines/>
              <w:rPr>
                <w:sz w:val="16"/>
              </w:rPr>
            </w:pPr>
            <w:r>
              <w:rPr>
                <w:sz w:val="16"/>
              </w:rPr>
              <w:t>B = 75% - 98%</w:t>
            </w:r>
          </w:p>
        </w:tc>
      </w:tr>
      <w:tr w:rsidR="00450CCA" w:rsidTr="00450CCA">
        <w:trPr>
          <w:cantSplit/>
        </w:trPr>
        <w:tc>
          <w:tcPr>
            <w:tcW w:w="645" w:type="dxa"/>
            <w:vMerge/>
            <w:tcBorders>
              <w:left w:val="single" w:sz="4" w:space="0" w:color="auto"/>
              <w:bottom w:val="single" w:sz="4" w:space="0" w:color="auto"/>
              <w:right w:val="single" w:sz="4" w:space="0" w:color="auto"/>
            </w:tcBorders>
          </w:tcPr>
          <w:p w:rsidR="00450CCA" w:rsidRDefault="00450CCA" w:rsidP="00450CCA">
            <w:pPr>
              <w:keepNext/>
              <w:keepLines/>
            </w:pPr>
          </w:p>
        </w:tc>
        <w:tc>
          <w:tcPr>
            <w:tcW w:w="452" w:type="dxa"/>
            <w:tcBorders>
              <w:left w:val="single" w:sz="4" w:space="0" w:color="auto"/>
            </w:tcBorders>
          </w:tcPr>
          <w:p w:rsidR="00450CCA" w:rsidRDefault="00450CCA" w:rsidP="00450CCA">
            <w:pPr>
              <w:keepNext/>
              <w:keepLines/>
            </w:pPr>
            <w:r>
              <w:t>D</w:t>
            </w:r>
          </w:p>
        </w:tc>
        <w:tc>
          <w:tcPr>
            <w:tcW w:w="723" w:type="dxa"/>
            <w:tcBorders>
              <w:bottom w:val="single" w:sz="4" w:space="0" w:color="auto"/>
            </w:tcBorders>
            <w:shd w:val="pct15" w:color="auto" w:fill="FFFFFF"/>
          </w:tcPr>
          <w:p w:rsidR="00450CCA" w:rsidRDefault="00450CCA" w:rsidP="00450CCA">
            <w:pPr>
              <w:keepNext/>
              <w:keepLines/>
            </w:pPr>
          </w:p>
        </w:tc>
        <w:tc>
          <w:tcPr>
            <w:tcW w:w="723" w:type="dxa"/>
            <w:tcBorders>
              <w:top w:val="single" w:sz="4" w:space="0" w:color="auto"/>
            </w:tcBorders>
            <w:shd w:val="pct15" w:color="auto" w:fill="FFFFFF"/>
          </w:tcPr>
          <w:p w:rsidR="00450CCA" w:rsidRDefault="00450CCA" w:rsidP="00450CCA">
            <w:pPr>
              <w:keepNext/>
              <w:keepLines/>
            </w:pPr>
          </w:p>
        </w:tc>
        <w:tc>
          <w:tcPr>
            <w:tcW w:w="724" w:type="dxa"/>
            <w:tcBorders>
              <w:top w:val="single" w:sz="4" w:space="0" w:color="auto"/>
              <w:bottom w:val="single" w:sz="4" w:space="0" w:color="auto"/>
            </w:tcBorders>
          </w:tcPr>
          <w:p w:rsidR="00450CCA" w:rsidRDefault="00450CCA" w:rsidP="00450CCA">
            <w:pPr>
              <w:keepNext/>
              <w:keepLines/>
            </w:pPr>
          </w:p>
        </w:tc>
        <w:tc>
          <w:tcPr>
            <w:tcW w:w="723" w:type="dxa"/>
            <w:tcBorders>
              <w:top w:val="single" w:sz="4" w:space="0" w:color="auto"/>
              <w:bottom w:val="single" w:sz="4" w:space="0" w:color="auto"/>
              <w:right w:val="single" w:sz="4" w:space="0" w:color="auto"/>
            </w:tcBorders>
          </w:tcPr>
          <w:p w:rsidR="00450CCA" w:rsidRDefault="00450CCA" w:rsidP="00450CCA">
            <w:pPr>
              <w:keepNext/>
              <w:keepLines/>
              <w:jc w:val="center"/>
            </w:pPr>
          </w:p>
        </w:tc>
        <w:tc>
          <w:tcPr>
            <w:tcW w:w="724" w:type="dxa"/>
            <w:tcBorders>
              <w:right w:val="single" w:sz="4" w:space="0" w:color="auto"/>
            </w:tcBorders>
          </w:tcPr>
          <w:p w:rsidR="00450CCA" w:rsidRDefault="00450CCA" w:rsidP="00450CCA">
            <w:pPr>
              <w:keepNext/>
              <w:keepLines/>
              <w:jc w:val="center"/>
            </w:pPr>
          </w:p>
        </w:tc>
        <w:tc>
          <w:tcPr>
            <w:tcW w:w="1508" w:type="dxa"/>
            <w:tcBorders>
              <w:top w:val="nil"/>
              <w:left w:val="single" w:sz="4" w:space="0" w:color="auto"/>
              <w:bottom w:val="nil"/>
              <w:right w:val="nil"/>
            </w:tcBorders>
          </w:tcPr>
          <w:p w:rsidR="00450CCA" w:rsidRDefault="00450CCA" w:rsidP="00450CCA">
            <w:pPr>
              <w:keepNext/>
              <w:keepLines/>
              <w:rPr>
                <w:sz w:val="16"/>
              </w:rPr>
            </w:pPr>
            <w:r>
              <w:rPr>
                <w:sz w:val="16"/>
              </w:rPr>
              <w:t>III = Significant</w:t>
            </w:r>
          </w:p>
        </w:tc>
        <w:tc>
          <w:tcPr>
            <w:tcW w:w="1698" w:type="dxa"/>
            <w:tcBorders>
              <w:top w:val="nil"/>
              <w:left w:val="nil"/>
              <w:bottom w:val="nil"/>
              <w:right w:val="nil"/>
            </w:tcBorders>
          </w:tcPr>
          <w:p w:rsidR="00450CCA" w:rsidRDefault="00450CCA" w:rsidP="00450CCA">
            <w:pPr>
              <w:keepNext/>
              <w:keepLines/>
              <w:rPr>
                <w:sz w:val="16"/>
              </w:rPr>
            </w:pPr>
            <w:r>
              <w:rPr>
                <w:sz w:val="16"/>
              </w:rPr>
              <w:t>C = 50% - 75%</w:t>
            </w:r>
          </w:p>
        </w:tc>
      </w:tr>
      <w:tr w:rsidR="00450CCA" w:rsidTr="00450CCA">
        <w:trPr>
          <w:cantSplit/>
        </w:trPr>
        <w:tc>
          <w:tcPr>
            <w:tcW w:w="645" w:type="dxa"/>
            <w:vMerge/>
            <w:tcBorders>
              <w:left w:val="single" w:sz="4" w:space="0" w:color="auto"/>
              <w:bottom w:val="single" w:sz="4" w:space="0" w:color="auto"/>
              <w:right w:val="single" w:sz="4" w:space="0" w:color="auto"/>
            </w:tcBorders>
          </w:tcPr>
          <w:p w:rsidR="00450CCA" w:rsidRDefault="00450CCA" w:rsidP="00450CCA">
            <w:pPr>
              <w:keepNext/>
              <w:keepLines/>
            </w:pPr>
          </w:p>
        </w:tc>
        <w:tc>
          <w:tcPr>
            <w:tcW w:w="452" w:type="dxa"/>
            <w:tcBorders>
              <w:left w:val="single" w:sz="4" w:space="0" w:color="auto"/>
            </w:tcBorders>
          </w:tcPr>
          <w:p w:rsidR="00450CCA" w:rsidRDefault="00450CCA" w:rsidP="00450CCA">
            <w:pPr>
              <w:keepNext/>
              <w:keepLines/>
            </w:pPr>
            <w:r>
              <w:t>E</w:t>
            </w:r>
          </w:p>
        </w:tc>
        <w:tc>
          <w:tcPr>
            <w:tcW w:w="723" w:type="dxa"/>
            <w:tcBorders>
              <w:bottom w:val="single" w:sz="4" w:space="0" w:color="auto"/>
            </w:tcBorders>
            <w:shd w:val="pct15" w:color="auto" w:fill="FFFFFF"/>
          </w:tcPr>
          <w:p w:rsidR="00450CCA" w:rsidRDefault="00450CCA" w:rsidP="00450CCA">
            <w:pPr>
              <w:keepNext/>
              <w:keepLines/>
            </w:pPr>
          </w:p>
        </w:tc>
        <w:tc>
          <w:tcPr>
            <w:tcW w:w="723" w:type="dxa"/>
            <w:shd w:val="pct15" w:color="auto" w:fill="FFFFFF"/>
          </w:tcPr>
          <w:p w:rsidR="00450CCA" w:rsidRDefault="00450CCA" w:rsidP="00450CCA">
            <w:pPr>
              <w:keepNext/>
              <w:keepLines/>
            </w:pPr>
          </w:p>
        </w:tc>
        <w:tc>
          <w:tcPr>
            <w:tcW w:w="724" w:type="dxa"/>
            <w:tcBorders>
              <w:bottom w:val="single" w:sz="4" w:space="0" w:color="auto"/>
            </w:tcBorders>
          </w:tcPr>
          <w:p w:rsidR="00450CCA" w:rsidRDefault="00450CCA" w:rsidP="00450CCA">
            <w:pPr>
              <w:keepNext/>
              <w:keepLines/>
              <w:jc w:val="center"/>
            </w:pPr>
            <w:r>
              <w:t>2</w:t>
            </w:r>
          </w:p>
        </w:tc>
        <w:tc>
          <w:tcPr>
            <w:tcW w:w="723" w:type="dxa"/>
            <w:tcBorders>
              <w:top w:val="single" w:sz="4" w:space="0" w:color="auto"/>
              <w:right w:val="single" w:sz="4" w:space="0" w:color="auto"/>
            </w:tcBorders>
          </w:tcPr>
          <w:p w:rsidR="00450CCA" w:rsidRDefault="00450CCA" w:rsidP="00450CCA">
            <w:pPr>
              <w:keepNext/>
              <w:keepLines/>
              <w:jc w:val="center"/>
            </w:pPr>
          </w:p>
        </w:tc>
        <w:tc>
          <w:tcPr>
            <w:tcW w:w="724" w:type="dxa"/>
            <w:tcBorders>
              <w:top w:val="single" w:sz="4" w:space="0" w:color="auto"/>
              <w:bottom w:val="single" w:sz="4" w:space="0" w:color="auto"/>
              <w:right w:val="single" w:sz="4" w:space="0" w:color="auto"/>
            </w:tcBorders>
          </w:tcPr>
          <w:p w:rsidR="00450CCA" w:rsidRDefault="00450CCA" w:rsidP="00450CCA">
            <w:pPr>
              <w:keepNext/>
              <w:keepLines/>
              <w:jc w:val="center"/>
            </w:pPr>
          </w:p>
        </w:tc>
        <w:tc>
          <w:tcPr>
            <w:tcW w:w="1508" w:type="dxa"/>
            <w:tcBorders>
              <w:top w:val="nil"/>
              <w:left w:val="single" w:sz="4" w:space="0" w:color="auto"/>
              <w:bottom w:val="nil"/>
              <w:right w:val="nil"/>
            </w:tcBorders>
          </w:tcPr>
          <w:p w:rsidR="00450CCA" w:rsidRDefault="00450CCA" w:rsidP="00450CCA">
            <w:pPr>
              <w:keepNext/>
              <w:keepLines/>
              <w:rPr>
                <w:sz w:val="16"/>
              </w:rPr>
            </w:pPr>
            <w:r>
              <w:rPr>
                <w:sz w:val="16"/>
              </w:rPr>
              <w:t>II = Marginal</w:t>
            </w:r>
          </w:p>
        </w:tc>
        <w:tc>
          <w:tcPr>
            <w:tcW w:w="1698" w:type="dxa"/>
            <w:tcBorders>
              <w:top w:val="nil"/>
              <w:left w:val="nil"/>
              <w:bottom w:val="nil"/>
              <w:right w:val="nil"/>
            </w:tcBorders>
          </w:tcPr>
          <w:p w:rsidR="00450CCA" w:rsidRDefault="00450CCA" w:rsidP="00450CCA">
            <w:pPr>
              <w:keepNext/>
              <w:keepLines/>
              <w:rPr>
                <w:sz w:val="16"/>
              </w:rPr>
            </w:pPr>
            <w:r>
              <w:rPr>
                <w:sz w:val="16"/>
              </w:rPr>
              <w:t>D = 25% - 50%</w:t>
            </w:r>
          </w:p>
        </w:tc>
      </w:tr>
      <w:tr w:rsidR="00450CCA" w:rsidTr="00450CCA">
        <w:trPr>
          <w:cantSplit/>
        </w:trPr>
        <w:tc>
          <w:tcPr>
            <w:tcW w:w="645" w:type="dxa"/>
            <w:vMerge/>
            <w:tcBorders>
              <w:left w:val="single" w:sz="4" w:space="0" w:color="auto"/>
              <w:bottom w:val="single" w:sz="4" w:space="0" w:color="auto"/>
              <w:right w:val="single" w:sz="4" w:space="0" w:color="auto"/>
            </w:tcBorders>
          </w:tcPr>
          <w:p w:rsidR="00450CCA" w:rsidRDefault="00450CCA" w:rsidP="00450CCA">
            <w:pPr>
              <w:keepNext/>
              <w:keepLines/>
            </w:pPr>
          </w:p>
        </w:tc>
        <w:tc>
          <w:tcPr>
            <w:tcW w:w="452" w:type="dxa"/>
            <w:tcBorders>
              <w:left w:val="single" w:sz="4" w:space="0" w:color="auto"/>
            </w:tcBorders>
          </w:tcPr>
          <w:p w:rsidR="00450CCA" w:rsidRDefault="00450CCA" w:rsidP="00450CCA">
            <w:pPr>
              <w:keepNext/>
              <w:keepLines/>
            </w:pPr>
            <w:r>
              <w:t>F</w:t>
            </w:r>
          </w:p>
        </w:tc>
        <w:tc>
          <w:tcPr>
            <w:tcW w:w="723" w:type="dxa"/>
            <w:shd w:val="pct15" w:color="auto" w:fill="FFFFFF"/>
          </w:tcPr>
          <w:p w:rsidR="00450CCA" w:rsidRDefault="00450CCA" w:rsidP="00450CCA">
            <w:pPr>
              <w:keepNext/>
              <w:keepLines/>
            </w:pPr>
          </w:p>
        </w:tc>
        <w:tc>
          <w:tcPr>
            <w:tcW w:w="723" w:type="dxa"/>
            <w:shd w:val="pct15" w:color="auto" w:fill="FFFFFF"/>
          </w:tcPr>
          <w:p w:rsidR="00450CCA" w:rsidRDefault="00450CCA" w:rsidP="00450CCA">
            <w:pPr>
              <w:keepNext/>
              <w:keepLines/>
            </w:pPr>
          </w:p>
        </w:tc>
        <w:tc>
          <w:tcPr>
            <w:tcW w:w="724" w:type="dxa"/>
            <w:tcBorders>
              <w:top w:val="single" w:sz="4" w:space="0" w:color="auto"/>
            </w:tcBorders>
            <w:shd w:val="pct15" w:color="auto" w:fill="FFFFFF"/>
          </w:tcPr>
          <w:p w:rsidR="00450CCA" w:rsidRDefault="00450CCA" w:rsidP="00450CCA">
            <w:pPr>
              <w:keepNext/>
              <w:keepLines/>
              <w:jc w:val="center"/>
            </w:pPr>
            <w:r>
              <w:t>1</w:t>
            </w:r>
          </w:p>
        </w:tc>
        <w:tc>
          <w:tcPr>
            <w:tcW w:w="723" w:type="dxa"/>
            <w:tcBorders>
              <w:right w:val="single" w:sz="4" w:space="0" w:color="auto"/>
            </w:tcBorders>
          </w:tcPr>
          <w:p w:rsidR="00450CCA" w:rsidRDefault="00450CCA" w:rsidP="00450CCA">
            <w:pPr>
              <w:keepNext/>
              <w:keepLines/>
              <w:jc w:val="center"/>
            </w:pPr>
          </w:p>
        </w:tc>
        <w:tc>
          <w:tcPr>
            <w:tcW w:w="724" w:type="dxa"/>
            <w:tcBorders>
              <w:right w:val="single" w:sz="4" w:space="0" w:color="auto"/>
            </w:tcBorders>
          </w:tcPr>
          <w:p w:rsidR="00450CCA" w:rsidRDefault="00450CCA" w:rsidP="00450CCA">
            <w:pPr>
              <w:keepNext/>
              <w:keepLines/>
              <w:jc w:val="center"/>
            </w:pPr>
          </w:p>
        </w:tc>
        <w:tc>
          <w:tcPr>
            <w:tcW w:w="1508" w:type="dxa"/>
            <w:tcBorders>
              <w:top w:val="nil"/>
              <w:left w:val="single" w:sz="4" w:space="0" w:color="auto"/>
              <w:bottom w:val="nil"/>
              <w:right w:val="nil"/>
            </w:tcBorders>
          </w:tcPr>
          <w:p w:rsidR="00450CCA" w:rsidRDefault="00450CCA" w:rsidP="00450CCA">
            <w:pPr>
              <w:keepNext/>
              <w:keepLines/>
              <w:rPr>
                <w:sz w:val="16"/>
              </w:rPr>
            </w:pPr>
            <w:r>
              <w:rPr>
                <w:sz w:val="16"/>
              </w:rPr>
              <w:t>I = Negligible</w:t>
            </w:r>
          </w:p>
        </w:tc>
        <w:tc>
          <w:tcPr>
            <w:tcW w:w="1698" w:type="dxa"/>
            <w:tcBorders>
              <w:top w:val="nil"/>
              <w:left w:val="nil"/>
              <w:bottom w:val="nil"/>
              <w:right w:val="nil"/>
            </w:tcBorders>
          </w:tcPr>
          <w:p w:rsidR="00450CCA" w:rsidRDefault="00450CCA" w:rsidP="00450CCA">
            <w:pPr>
              <w:keepNext/>
              <w:keepLines/>
              <w:rPr>
                <w:sz w:val="16"/>
              </w:rPr>
            </w:pPr>
            <w:r>
              <w:rPr>
                <w:sz w:val="16"/>
              </w:rPr>
              <w:t>E = 2% - 25%</w:t>
            </w:r>
          </w:p>
        </w:tc>
      </w:tr>
      <w:tr w:rsidR="00450CCA" w:rsidTr="00450CCA">
        <w:trPr>
          <w:cantSplit/>
        </w:trPr>
        <w:tc>
          <w:tcPr>
            <w:tcW w:w="645" w:type="dxa"/>
            <w:vMerge/>
            <w:tcBorders>
              <w:left w:val="single" w:sz="4" w:space="0" w:color="auto"/>
              <w:bottom w:val="single" w:sz="4" w:space="0" w:color="auto"/>
              <w:right w:val="single" w:sz="4" w:space="0" w:color="auto"/>
            </w:tcBorders>
          </w:tcPr>
          <w:p w:rsidR="00450CCA" w:rsidRDefault="00450CCA" w:rsidP="00450CCA">
            <w:pPr>
              <w:keepNext/>
              <w:keepLines/>
            </w:pPr>
          </w:p>
        </w:tc>
        <w:tc>
          <w:tcPr>
            <w:tcW w:w="452" w:type="dxa"/>
            <w:tcBorders>
              <w:left w:val="single" w:sz="4" w:space="0" w:color="auto"/>
              <w:bottom w:val="single" w:sz="4" w:space="0" w:color="auto"/>
            </w:tcBorders>
          </w:tcPr>
          <w:p w:rsidR="00450CCA" w:rsidRDefault="00450CCA" w:rsidP="00450CCA">
            <w:pPr>
              <w:keepNext/>
              <w:keepLines/>
            </w:pPr>
          </w:p>
        </w:tc>
        <w:tc>
          <w:tcPr>
            <w:tcW w:w="723" w:type="dxa"/>
            <w:tcBorders>
              <w:bottom w:val="single" w:sz="4" w:space="0" w:color="auto"/>
            </w:tcBorders>
          </w:tcPr>
          <w:p w:rsidR="00450CCA" w:rsidRDefault="00450CCA" w:rsidP="00450CCA">
            <w:pPr>
              <w:keepNext/>
              <w:keepLines/>
              <w:jc w:val="center"/>
            </w:pPr>
            <w:r>
              <w:t>I</w:t>
            </w:r>
          </w:p>
        </w:tc>
        <w:tc>
          <w:tcPr>
            <w:tcW w:w="723" w:type="dxa"/>
            <w:tcBorders>
              <w:bottom w:val="single" w:sz="4" w:space="0" w:color="auto"/>
            </w:tcBorders>
          </w:tcPr>
          <w:p w:rsidR="00450CCA" w:rsidRDefault="00450CCA" w:rsidP="00450CCA">
            <w:pPr>
              <w:keepNext/>
              <w:keepLines/>
              <w:jc w:val="center"/>
            </w:pPr>
            <w:r>
              <w:t>II</w:t>
            </w:r>
          </w:p>
        </w:tc>
        <w:tc>
          <w:tcPr>
            <w:tcW w:w="724" w:type="dxa"/>
            <w:tcBorders>
              <w:bottom w:val="single" w:sz="4" w:space="0" w:color="auto"/>
            </w:tcBorders>
          </w:tcPr>
          <w:p w:rsidR="00450CCA" w:rsidRDefault="00450CCA" w:rsidP="00450CCA">
            <w:pPr>
              <w:keepNext/>
              <w:keepLines/>
              <w:jc w:val="center"/>
            </w:pPr>
            <w:r>
              <w:t>III</w:t>
            </w:r>
          </w:p>
        </w:tc>
        <w:tc>
          <w:tcPr>
            <w:tcW w:w="723" w:type="dxa"/>
            <w:tcBorders>
              <w:bottom w:val="single" w:sz="4" w:space="0" w:color="auto"/>
              <w:right w:val="single" w:sz="4" w:space="0" w:color="auto"/>
            </w:tcBorders>
          </w:tcPr>
          <w:p w:rsidR="00450CCA" w:rsidRDefault="00450CCA" w:rsidP="00450CCA">
            <w:pPr>
              <w:keepNext/>
              <w:keepLines/>
              <w:jc w:val="center"/>
            </w:pPr>
            <w:r>
              <w:t>IV</w:t>
            </w:r>
          </w:p>
        </w:tc>
        <w:tc>
          <w:tcPr>
            <w:tcW w:w="724" w:type="dxa"/>
            <w:tcBorders>
              <w:bottom w:val="single" w:sz="4" w:space="0" w:color="auto"/>
              <w:right w:val="single" w:sz="4" w:space="0" w:color="auto"/>
            </w:tcBorders>
          </w:tcPr>
          <w:p w:rsidR="00450CCA" w:rsidRDefault="00450CCA" w:rsidP="00450CCA">
            <w:pPr>
              <w:keepNext/>
              <w:keepLines/>
              <w:jc w:val="center"/>
            </w:pPr>
            <w:r>
              <w:t>V</w:t>
            </w:r>
          </w:p>
        </w:tc>
        <w:tc>
          <w:tcPr>
            <w:tcW w:w="1508" w:type="dxa"/>
            <w:tcBorders>
              <w:top w:val="nil"/>
              <w:left w:val="single" w:sz="4" w:space="0" w:color="auto"/>
              <w:bottom w:val="nil"/>
              <w:right w:val="nil"/>
            </w:tcBorders>
          </w:tcPr>
          <w:p w:rsidR="00450CCA" w:rsidRDefault="00450CCA" w:rsidP="00450CCA">
            <w:pPr>
              <w:keepNext/>
              <w:keepLines/>
            </w:pPr>
          </w:p>
        </w:tc>
        <w:tc>
          <w:tcPr>
            <w:tcW w:w="1698" w:type="dxa"/>
            <w:tcBorders>
              <w:top w:val="nil"/>
              <w:left w:val="nil"/>
              <w:bottom w:val="nil"/>
              <w:right w:val="nil"/>
            </w:tcBorders>
          </w:tcPr>
          <w:p w:rsidR="00450CCA" w:rsidRDefault="00450CCA" w:rsidP="00450CCA">
            <w:pPr>
              <w:keepNext/>
              <w:keepLines/>
              <w:rPr>
                <w:sz w:val="16"/>
              </w:rPr>
            </w:pPr>
            <w:r>
              <w:rPr>
                <w:sz w:val="16"/>
              </w:rPr>
              <w:t xml:space="preserve">F = </w:t>
            </w:r>
            <w:r>
              <w:rPr>
                <w:spacing w:val="-8"/>
                <w:sz w:val="16"/>
              </w:rPr>
              <w:t xml:space="preserve"> &lt;2%</w:t>
            </w:r>
          </w:p>
        </w:tc>
      </w:tr>
      <w:tr w:rsidR="00450CCA" w:rsidTr="00450CCA">
        <w:trPr>
          <w:cantSplit/>
          <w:trHeight w:val="387"/>
        </w:trPr>
        <w:tc>
          <w:tcPr>
            <w:tcW w:w="645" w:type="dxa"/>
            <w:vMerge/>
            <w:tcBorders>
              <w:left w:val="single" w:sz="4" w:space="0" w:color="auto"/>
              <w:bottom w:val="single" w:sz="4" w:space="0" w:color="auto"/>
              <w:right w:val="single" w:sz="4" w:space="0" w:color="auto"/>
            </w:tcBorders>
          </w:tcPr>
          <w:p w:rsidR="00450CCA" w:rsidRDefault="00450CCA" w:rsidP="00450CCA">
            <w:pPr>
              <w:keepNext/>
              <w:keepLines/>
            </w:pPr>
          </w:p>
        </w:tc>
        <w:tc>
          <w:tcPr>
            <w:tcW w:w="4069" w:type="dxa"/>
            <w:gridSpan w:val="6"/>
            <w:tcBorders>
              <w:left w:val="single" w:sz="4" w:space="0" w:color="auto"/>
              <w:bottom w:val="single" w:sz="4" w:space="0" w:color="auto"/>
              <w:right w:val="single" w:sz="4" w:space="0" w:color="auto"/>
            </w:tcBorders>
          </w:tcPr>
          <w:p w:rsidR="00450CCA" w:rsidRDefault="00450CCA" w:rsidP="00450CCA">
            <w:pPr>
              <w:keepNext/>
              <w:keepLines/>
              <w:spacing w:before="40"/>
              <w:jc w:val="center"/>
              <w:rPr>
                <w:b/>
                <w:sz w:val="20"/>
              </w:rPr>
            </w:pPr>
            <w:r>
              <w:rPr>
                <w:b/>
                <w:sz w:val="20"/>
              </w:rPr>
              <w:t>Impact</w:t>
            </w:r>
          </w:p>
          <w:p w:rsidR="00450CCA" w:rsidRDefault="00450CCA" w:rsidP="00450CCA">
            <w:pPr>
              <w:keepNext/>
              <w:keepLines/>
              <w:rPr>
                <w:b/>
                <w:sz w:val="20"/>
              </w:rPr>
            </w:pPr>
          </w:p>
        </w:tc>
        <w:tc>
          <w:tcPr>
            <w:tcW w:w="1508" w:type="dxa"/>
            <w:tcBorders>
              <w:top w:val="nil"/>
              <w:left w:val="single" w:sz="4" w:space="0" w:color="auto"/>
              <w:bottom w:val="nil"/>
              <w:right w:val="nil"/>
            </w:tcBorders>
          </w:tcPr>
          <w:p w:rsidR="00450CCA" w:rsidRDefault="00450CCA" w:rsidP="00450CCA">
            <w:pPr>
              <w:keepNext/>
              <w:keepLines/>
            </w:pPr>
          </w:p>
        </w:tc>
        <w:tc>
          <w:tcPr>
            <w:tcW w:w="1698" w:type="dxa"/>
            <w:tcBorders>
              <w:top w:val="nil"/>
              <w:left w:val="nil"/>
              <w:bottom w:val="nil"/>
              <w:right w:val="nil"/>
            </w:tcBorders>
          </w:tcPr>
          <w:p w:rsidR="00450CCA" w:rsidRDefault="00450CCA" w:rsidP="00450CCA">
            <w:pPr>
              <w:keepNext/>
              <w:keepLines/>
            </w:pPr>
          </w:p>
        </w:tc>
      </w:tr>
    </w:tbl>
    <w:p w:rsidR="00450CCA" w:rsidRDefault="00450CCA" w:rsidP="00450CCA">
      <w:pPr>
        <w:rPr>
          <w:b/>
        </w:rPr>
      </w:pPr>
    </w:p>
    <w:p w:rsidR="00450CCA" w:rsidRDefault="00450CCA" w:rsidP="00450CCA">
      <w:pPr>
        <w:ind w:left="709" w:hanging="709"/>
      </w:pPr>
    </w:p>
    <w:p w:rsidR="00450CCA" w:rsidRDefault="00450CCA" w:rsidP="00450CCA">
      <w:pPr>
        <w:keepNext/>
        <w:keepLines/>
        <w:ind w:left="1267" w:hanging="1267"/>
      </w:pPr>
      <w:r>
        <w:t>10.</w:t>
      </w:r>
      <w:r>
        <w:fldChar w:fldCharType="begin"/>
      </w:r>
      <w:r>
        <w:instrText xml:space="preserve">  </w:instrText>
      </w:r>
      <w:r>
        <w:fldChar w:fldCharType="end"/>
      </w:r>
      <w:r>
        <w:tab/>
      </w:r>
      <w:r>
        <w:rPr>
          <w:b/>
        </w:rPr>
        <w:t>Recommendation</w:t>
      </w:r>
    </w:p>
    <w:p w:rsidR="00450CCA" w:rsidRDefault="00450CCA" w:rsidP="00450CCA">
      <w:pPr>
        <w:keepNext/>
        <w:ind w:left="1267" w:hanging="1267"/>
      </w:pPr>
    </w:p>
    <w:p w:rsidR="00450CCA" w:rsidRDefault="00450CCA" w:rsidP="00450CCA">
      <w:pPr>
        <w:keepNext/>
        <w:ind w:left="1267" w:hanging="1267"/>
      </w:pPr>
      <w:r>
        <w:tab/>
        <w:t>To Council</w:t>
      </w:r>
    </w:p>
    <w:p w:rsidR="00450CCA" w:rsidRDefault="00450CCA" w:rsidP="00450CCA">
      <w:pPr>
        <w:keepNext/>
        <w:ind w:left="1267" w:hanging="1267"/>
      </w:pPr>
    </w:p>
    <w:p w:rsidR="00450CCA" w:rsidRDefault="00450CCA" w:rsidP="00450CCA">
      <w:pPr>
        <w:ind w:left="1276" w:hanging="1276"/>
      </w:pPr>
      <w:r>
        <w:t>10.1</w:t>
      </w:r>
      <w:r>
        <w:tab/>
        <w:t xml:space="preserve">That the Council confirms that it will apply the following resolution for special and general expenses for </w:t>
      </w:r>
      <w:r w:rsidR="0031005C">
        <w:t>2017/18</w:t>
      </w:r>
      <w:r>
        <w:t xml:space="preserve">:- </w:t>
      </w:r>
    </w:p>
    <w:p w:rsidR="00450CCA" w:rsidRDefault="00450CCA" w:rsidP="00450CCA"/>
    <w:p w:rsidR="00450CCA" w:rsidRDefault="00450CCA" w:rsidP="00450CCA">
      <w:pPr>
        <w:pStyle w:val="BodyTextIndent"/>
      </w:pPr>
      <w:r>
        <w:tab/>
        <w:t>(1)</w:t>
      </w:r>
      <w:r>
        <w:tab/>
      </w:r>
      <w:proofErr w:type="gramStart"/>
      <w:r>
        <w:t>that</w:t>
      </w:r>
      <w:proofErr w:type="gramEnd"/>
      <w:r>
        <w:t xml:space="preserve"> the following functions</w:t>
      </w:r>
      <w:r w:rsidR="00972A21">
        <w:t xml:space="preserve"> being either those provided equally across the district or incurring minimal expenditure be declared</w:t>
      </w:r>
      <w:r>
        <w:t xml:space="preserve"> general expenses:- </w:t>
      </w:r>
    </w:p>
    <w:p w:rsidR="00450CCA" w:rsidRDefault="00450CCA" w:rsidP="00450CCA">
      <w:pPr>
        <w:ind w:left="1267" w:hanging="1267"/>
      </w:pPr>
    </w:p>
    <w:p w:rsidR="00450CCA" w:rsidRDefault="00450CCA" w:rsidP="00450CCA">
      <w:r>
        <w:tab/>
      </w:r>
      <w:r>
        <w:tab/>
      </w:r>
      <w:r>
        <w:tab/>
      </w:r>
      <w:proofErr w:type="gramStart"/>
      <w:r>
        <w:t>closed</w:t>
      </w:r>
      <w:proofErr w:type="gramEnd"/>
      <w:r>
        <w:t xml:space="preserve"> churchyards;</w:t>
      </w:r>
    </w:p>
    <w:p w:rsidR="00450CCA" w:rsidRDefault="00450CCA" w:rsidP="00450CCA">
      <w:r>
        <w:tab/>
      </w:r>
      <w:r>
        <w:tab/>
      </w:r>
      <w:r>
        <w:tab/>
      </w:r>
      <w:proofErr w:type="gramStart"/>
      <w:r>
        <w:t>allotments</w:t>
      </w:r>
      <w:proofErr w:type="gramEnd"/>
      <w:r>
        <w:t>;</w:t>
      </w:r>
    </w:p>
    <w:p w:rsidR="00450CCA" w:rsidRDefault="00450CCA" w:rsidP="00450CCA">
      <w:pPr>
        <w:pStyle w:val="Header"/>
        <w:tabs>
          <w:tab w:val="clear" w:pos="4153"/>
          <w:tab w:val="clear" w:pos="8306"/>
          <w:tab w:val="left" w:pos="1260"/>
          <w:tab w:val="left" w:pos="1980"/>
          <w:tab w:val="left" w:pos="2700"/>
        </w:tabs>
      </w:pPr>
      <w:r>
        <w:tab/>
      </w:r>
      <w:r>
        <w:tab/>
      </w:r>
      <w:r>
        <w:tab/>
      </w:r>
      <w:proofErr w:type="gramStart"/>
      <w:r>
        <w:t>litter</w:t>
      </w:r>
      <w:proofErr w:type="gramEnd"/>
      <w:r>
        <w:t xml:space="preserve"> bins;</w:t>
      </w:r>
    </w:p>
    <w:p w:rsidR="00450CCA" w:rsidRDefault="00450CCA" w:rsidP="00450CCA">
      <w:r>
        <w:tab/>
      </w:r>
      <w:r>
        <w:tab/>
      </w:r>
      <w:r>
        <w:tab/>
      </w:r>
      <w:proofErr w:type="gramStart"/>
      <w:r>
        <w:t>salt</w:t>
      </w:r>
      <w:proofErr w:type="gramEnd"/>
      <w:r>
        <w:t xml:space="preserve"> bins;</w:t>
      </w:r>
    </w:p>
    <w:p w:rsidR="00450CCA" w:rsidRDefault="00450CCA" w:rsidP="00450CCA">
      <w:r>
        <w:tab/>
      </w:r>
      <w:r>
        <w:tab/>
      </w:r>
      <w:r>
        <w:tab/>
      </w:r>
      <w:proofErr w:type="gramStart"/>
      <w:r>
        <w:t>dog</w:t>
      </w:r>
      <w:proofErr w:type="gramEnd"/>
      <w:r>
        <w:t xml:space="preserve"> bins;</w:t>
      </w:r>
    </w:p>
    <w:p w:rsidR="00450CCA" w:rsidRDefault="00450CCA" w:rsidP="00450CCA">
      <w:r>
        <w:tab/>
      </w:r>
      <w:r>
        <w:tab/>
      </w:r>
      <w:r>
        <w:tab/>
      </w:r>
      <w:proofErr w:type="gramStart"/>
      <w:r>
        <w:t>highways</w:t>
      </w:r>
      <w:proofErr w:type="gramEnd"/>
      <w:r>
        <w:t>, trees and roadside verges;</w:t>
      </w:r>
    </w:p>
    <w:p w:rsidR="00450CCA" w:rsidRDefault="00450CCA" w:rsidP="00450CCA">
      <w:r>
        <w:tab/>
      </w:r>
      <w:r>
        <w:tab/>
      </w:r>
      <w:r>
        <w:tab/>
      </w:r>
      <w:proofErr w:type="gramStart"/>
      <w:r>
        <w:t>seats</w:t>
      </w:r>
      <w:proofErr w:type="gramEnd"/>
      <w:r>
        <w:t xml:space="preserve"> and shelters;</w:t>
      </w:r>
    </w:p>
    <w:p w:rsidR="00450CCA" w:rsidRDefault="00450CCA" w:rsidP="00450CCA">
      <w:r>
        <w:tab/>
      </w:r>
      <w:r>
        <w:tab/>
      </w:r>
      <w:r>
        <w:tab/>
      </w:r>
      <w:proofErr w:type="gramStart"/>
      <w:r>
        <w:t>youth</w:t>
      </w:r>
      <w:proofErr w:type="gramEnd"/>
      <w:r>
        <w:t xml:space="preserve"> centres;</w:t>
      </w:r>
    </w:p>
    <w:p w:rsidR="00450CCA" w:rsidRDefault="00450CCA" w:rsidP="00450CCA">
      <w:r>
        <w:tab/>
      </w:r>
      <w:r>
        <w:tab/>
      </w:r>
      <w:r>
        <w:tab/>
      </w:r>
      <w:proofErr w:type="gramStart"/>
      <w:r>
        <w:t>crime</w:t>
      </w:r>
      <w:proofErr w:type="gramEnd"/>
      <w:r>
        <w:t xml:space="preserve"> prevention;</w:t>
      </w:r>
    </w:p>
    <w:p w:rsidR="00450CCA" w:rsidRDefault="00450CCA" w:rsidP="00450CCA">
      <w:r>
        <w:tab/>
      </w:r>
      <w:r>
        <w:tab/>
      </w:r>
      <w:r>
        <w:tab/>
      </w:r>
      <w:proofErr w:type="gramStart"/>
      <w:r>
        <w:t>land</w:t>
      </w:r>
      <w:proofErr w:type="gramEnd"/>
      <w:r>
        <w:t xml:space="preserve"> drainage;</w:t>
      </w:r>
    </w:p>
    <w:p w:rsidR="00450CCA" w:rsidRDefault="00450CCA" w:rsidP="00450CCA">
      <w:r>
        <w:tab/>
      </w:r>
      <w:r>
        <w:tab/>
      </w:r>
      <w:r>
        <w:tab/>
      </w:r>
      <w:proofErr w:type="gramStart"/>
      <w:r>
        <w:t>footpath</w:t>
      </w:r>
      <w:proofErr w:type="gramEnd"/>
      <w:r>
        <w:t xml:space="preserve"> maintenance;</w:t>
      </w:r>
    </w:p>
    <w:p w:rsidR="00450CCA" w:rsidRDefault="00450CCA" w:rsidP="00450CCA">
      <w:r>
        <w:tab/>
      </w:r>
      <w:r>
        <w:tab/>
      </w:r>
      <w:r>
        <w:tab/>
      </w:r>
      <w:proofErr w:type="gramStart"/>
      <w:r>
        <w:t>footpath</w:t>
      </w:r>
      <w:proofErr w:type="gramEnd"/>
      <w:r>
        <w:t xml:space="preserve"> lighting;</w:t>
      </w:r>
    </w:p>
    <w:p w:rsidR="00450CCA" w:rsidRDefault="00450CCA" w:rsidP="00450CCA">
      <w:r>
        <w:tab/>
      </w:r>
      <w:r>
        <w:tab/>
      </w:r>
      <w:r>
        <w:tab/>
      </w:r>
      <w:proofErr w:type="gramStart"/>
      <w:r>
        <w:t>community</w:t>
      </w:r>
      <w:proofErr w:type="gramEnd"/>
      <w:r>
        <w:t xml:space="preserve"> arts;</w:t>
      </w:r>
    </w:p>
    <w:p w:rsidR="00450CCA" w:rsidRDefault="00450CCA" w:rsidP="00450CCA">
      <w:r>
        <w:tab/>
      </w:r>
      <w:r>
        <w:tab/>
      </w:r>
      <w:r>
        <w:tab/>
      </w:r>
      <w:proofErr w:type="gramStart"/>
      <w:r>
        <w:t>off</w:t>
      </w:r>
      <w:r w:rsidR="005B5410">
        <w:t>-</w:t>
      </w:r>
      <w:r>
        <w:t>street</w:t>
      </w:r>
      <w:proofErr w:type="gramEnd"/>
      <w:r>
        <w:t xml:space="preserve"> car park maintenance;</w:t>
      </w:r>
    </w:p>
    <w:p w:rsidR="00450CCA" w:rsidRDefault="00450CCA" w:rsidP="00450CCA">
      <w:r>
        <w:tab/>
      </w:r>
      <w:r>
        <w:tab/>
      </w:r>
      <w:r>
        <w:tab/>
        <w:t>street naming;</w:t>
      </w:r>
    </w:p>
    <w:p w:rsidR="00450CCA" w:rsidRDefault="00450CCA" w:rsidP="00450CCA">
      <w:r>
        <w:tab/>
      </w:r>
      <w:r>
        <w:tab/>
      </w:r>
      <w:r>
        <w:tab/>
        <w:t>Dial-A-Ride;</w:t>
      </w:r>
    </w:p>
    <w:p w:rsidR="00450CCA" w:rsidRDefault="00450CCA" w:rsidP="00450CCA">
      <w:r>
        <w:tab/>
      </w:r>
      <w:r>
        <w:tab/>
      </w:r>
      <w:r>
        <w:tab/>
        <w:t>play-schemes</w:t>
      </w:r>
    </w:p>
    <w:p w:rsidR="00450CCA" w:rsidRDefault="00450CCA" w:rsidP="00450CCA">
      <w:r>
        <w:tab/>
      </w:r>
      <w:r>
        <w:tab/>
      </w:r>
      <w:r>
        <w:tab/>
        <w:t>award of grants under Section 137.</w:t>
      </w:r>
    </w:p>
    <w:p w:rsidR="003C092E" w:rsidRPr="003D6D08" w:rsidRDefault="003C092E" w:rsidP="00450CCA">
      <w:r>
        <w:tab/>
      </w:r>
      <w:r>
        <w:tab/>
      </w:r>
      <w:r>
        <w:tab/>
      </w:r>
      <w:r w:rsidR="003D6D08">
        <w:t>c</w:t>
      </w:r>
      <w:r w:rsidRPr="003D6D08">
        <w:t>emeteries</w:t>
      </w:r>
    </w:p>
    <w:p w:rsidR="003C092E" w:rsidRDefault="003C092E" w:rsidP="00450CCA">
      <w:r w:rsidRPr="003D6D08">
        <w:tab/>
      </w:r>
      <w:r w:rsidRPr="003D6D08">
        <w:tab/>
      </w:r>
      <w:r w:rsidRPr="003D6D08">
        <w:tab/>
        <w:t>YMCA Woodlands building in Abbots Langley</w:t>
      </w:r>
    </w:p>
    <w:p w:rsidR="00AF26D0" w:rsidRDefault="00AF26D0" w:rsidP="00450CCA">
      <w:r>
        <w:tab/>
      </w:r>
      <w:r>
        <w:tab/>
      </w:r>
      <w:r>
        <w:tab/>
        <w:t>The Centre, South Oxhey</w:t>
      </w:r>
    </w:p>
    <w:p w:rsidR="00450CCA" w:rsidRDefault="00450CCA" w:rsidP="00450CCA">
      <w:pPr>
        <w:pStyle w:val="BodyTextIndent"/>
        <w:ind w:left="1257" w:hanging="1257"/>
      </w:pPr>
    </w:p>
    <w:p w:rsidR="00450CCA" w:rsidRPr="003D6D08" w:rsidRDefault="00450CCA" w:rsidP="00450CCA">
      <w:pPr>
        <w:pStyle w:val="BodyTextIndent"/>
      </w:pPr>
      <w:r>
        <w:tab/>
      </w:r>
      <w:r w:rsidRPr="003D6D08">
        <w:t>(2)</w:t>
      </w:r>
      <w:r w:rsidRPr="003D6D08">
        <w:tab/>
        <w:t>that the following functions are declared special expenses:-</w:t>
      </w:r>
    </w:p>
    <w:p w:rsidR="003C092E" w:rsidRPr="003D6D08" w:rsidRDefault="003C092E" w:rsidP="00450CCA">
      <w:pPr>
        <w:pStyle w:val="BodyTextIndent"/>
      </w:pPr>
    </w:p>
    <w:p w:rsidR="003C092E" w:rsidRPr="003D6D08" w:rsidRDefault="003C092E" w:rsidP="00450CCA">
      <w:pPr>
        <w:pStyle w:val="BodyTextIndent"/>
      </w:pPr>
      <w:r w:rsidRPr="003D6D08">
        <w:tab/>
      </w:r>
      <w:r w:rsidRPr="003D6D08">
        <w:tab/>
      </w:r>
      <w:r w:rsidRPr="003D6D08">
        <w:tab/>
      </w:r>
      <w:r w:rsidRPr="003D6D08">
        <w:tab/>
      </w:r>
      <w:r w:rsidR="00D867E4" w:rsidRPr="003D6D08">
        <w:t>W</w:t>
      </w:r>
      <w:r w:rsidRPr="003D6D08">
        <w:t>oodlands (apportioned on the basis of acreage)</w:t>
      </w:r>
    </w:p>
    <w:p w:rsidR="003C092E" w:rsidRDefault="003C092E" w:rsidP="003C092E">
      <w:pPr>
        <w:ind w:left="2700"/>
        <w:rPr>
          <w:i/>
        </w:rPr>
      </w:pPr>
      <w:r w:rsidRPr="003C092E">
        <w:rPr>
          <w:i/>
        </w:rPr>
        <w:t>The ranger at Leavesden Open Space costs should no longer be treated as a general expense, and should remain within the Special Expenses calculation in future</w:t>
      </w:r>
      <w:r w:rsidR="003D6D08">
        <w:rPr>
          <w:i/>
        </w:rPr>
        <w:t xml:space="preserve">. </w:t>
      </w:r>
      <w:r w:rsidRPr="003C092E">
        <w:rPr>
          <w:i/>
        </w:rPr>
        <w:t>50% of the Arboriculture and Landscape Officers’ costs should be charged to general expenses</w:t>
      </w:r>
    </w:p>
    <w:p w:rsidR="003C092E" w:rsidRPr="003C092E" w:rsidRDefault="003C092E" w:rsidP="003C092E">
      <w:pPr>
        <w:ind w:left="2700"/>
        <w:rPr>
          <w:i/>
        </w:rPr>
      </w:pPr>
    </w:p>
    <w:p w:rsidR="003C092E" w:rsidRPr="003D6D08" w:rsidRDefault="003C092E" w:rsidP="003C092E">
      <w:pPr>
        <w:pStyle w:val="BodyTextIndent"/>
        <w:ind w:left="2700" w:hanging="2700"/>
      </w:pPr>
      <w:r w:rsidRPr="003D6D08">
        <w:tab/>
      </w:r>
      <w:r w:rsidRPr="003D6D08">
        <w:tab/>
      </w:r>
      <w:r w:rsidRPr="003D6D08">
        <w:tab/>
      </w:r>
      <w:r w:rsidR="00D867E4" w:rsidRPr="003D6D08">
        <w:t>C</w:t>
      </w:r>
      <w:r w:rsidRPr="003D6D08">
        <w:t>ommunity halls (including apportionment of Oxhey Hall);</w:t>
      </w:r>
    </w:p>
    <w:p w:rsidR="003C092E" w:rsidRDefault="003C092E" w:rsidP="00450CCA">
      <w:pPr>
        <w:pStyle w:val="BodyTextIndent"/>
        <w:rPr>
          <w:highlight w:val="yellow"/>
        </w:rPr>
      </w:pPr>
    </w:p>
    <w:p w:rsidR="00450CCA" w:rsidRPr="003D6D08" w:rsidRDefault="003C092E" w:rsidP="003C092E">
      <w:pPr>
        <w:pStyle w:val="BodyTextIndent"/>
        <w:tabs>
          <w:tab w:val="clear" w:pos="1260"/>
          <w:tab w:val="clear" w:pos="1980"/>
          <w:tab w:val="clear" w:pos="2700"/>
          <w:tab w:val="left" w:pos="2694"/>
        </w:tabs>
        <w:ind w:left="2694" w:hanging="2700"/>
      </w:pPr>
      <w:r w:rsidRPr="003D6D08">
        <w:tab/>
      </w:r>
      <w:r w:rsidR="00D867E4" w:rsidRPr="003D6D08">
        <w:t>P</w:t>
      </w:r>
      <w:r w:rsidR="00450CCA" w:rsidRPr="003D6D08">
        <w:t>laying fields and open spaces (excluding water</w:t>
      </w:r>
      <w:r w:rsidR="005B5410">
        <w:t>-</w:t>
      </w:r>
      <w:r w:rsidR="00450CCA" w:rsidRPr="003D6D08">
        <w:t>based activities and maintenance met from commuted sums);</w:t>
      </w:r>
    </w:p>
    <w:p w:rsidR="003C092E" w:rsidRPr="003C092E" w:rsidRDefault="003C092E" w:rsidP="003C092E">
      <w:pPr>
        <w:ind w:left="2694"/>
        <w:rPr>
          <w:i/>
        </w:rPr>
      </w:pPr>
      <w:r>
        <w:rPr>
          <w:i/>
        </w:rPr>
        <w:tab/>
      </w:r>
      <w:r w:rsidRPr="003C092E">
        <w:rPr>
          <w:i/>
        </w:rPr>
        <w:t>On the grounds of both materiality and simplicity, the current unwieldy calculation of special expenses should be replaced by a much simpler method based entirely on the Grounds Maintenance contract.</w:t>
      </w:r>
    </w:p>
    <w:p w:rsidR="003C092E" w:rsidRPr="003D6D08" w:rsidRDefault="00D867E4" w:rsidP="00450CCA">
      <w:pPr>
        <w:pStyle w:val="BodyTextIndent"/>
        <w:ind w:left="2700" w:hanging="2700"/>
      </w:pPr>
      <w:r w:rsidRPr="003D6D08">
        <w:lastRenderedPageBreak/>
        <w:tab/>
      </w:r>
      <w:r w:rsidRPr="003D6D08">
        <w:tab/>
      </w:r>
      <w:r w:rsidRPr="003D6D08">
        <w:tab/>
      </w:r>
    </w:p>
    <w:p w:rsidR="00D867E4" w:rsidRPr="003D6D08" w:rsidRDefault="00D867E4" w:rsidP="00450CCA">
      <w:pPr>
        <w:pStyle w:val="BodyTextIndent"/>
        <w:ind w:left="2700" w:hanging="2700"/>
      </w:pPr>
      <w:r w:rsidRPr="003D6D08">
        <w:tab/>
      </w:r>
      <w:r w:rsidRPr="003D6D08">
        <w:tab/>
      </w:r>
      <w:r w:rsidRPr="003D6D08">
        <w:tab/>
        <w:t>Aquadrome</w:t>
      </w:r>
      <w:r w:rsidRPr="003D6D08">
        <w:tab/>
      </w:r>
      <w:r w:rsidRPr="003D6D08">
        <w:tab/>
      </w:r>
      <w:r w:rsidRPr="003D6D08">
        <w:tab/>
      </w:r>
    </w:p>
    <w:p w:rsidR="00D867E4" w:rsidRPr="00D867E4" w:rsidRDefault="00D867E4" w:rsidP="00D867E4">
      <w:pPr>
        <w:ind w:left="2694"/>
        <w:rPr>
          <w:i/>
        </w:rPr>
      </w:pPr>
      <w:r w:rsidRPr="003D6D08">
        <w:rPr>
          <w:i/>
        </w:rPr>
        <w:t>should be treate</w:t>
      </w:r>
      <w:r w:rsidRPr="00D867E4">
        <w:rPr>
          <w:i/>
        </w:rPr>
        <w:t>d as 50% general expense and 50% special expense apportioned to the new Batchworth Parish.</w:t>
      </w:r>
    </w:p>
    <w:p w:rsidR="00450CCA" w:rsidRPr="00455162" w:rsidRDefault="00450CCA" w:rsidP="00450CCA">
      <w:pPr>
        <w:pStyle w:val="BodyTextIndent"/>
        <w:ind w:left="2700" w:hanging="2700"/>
        <w:rPr>
          <w:highlight w:val="yellow"/>
        </w:rPr>
      </w:pPr>
    </w:p>
    <w:p w:rsidR="00D867E4" w:rsidRDefault="00450CCA" w:rsidP="003D6D08">
      <w:pPr>
        <w:pStyle w:val="BodyTextIndent"/>
        <w:ind w:left="2700" w:hanging="2700"/>
      </w:pPr>
      <w:r w:rsidRPr="003D6D08">
        <w:tab/>
      </w:r>
      <w:r w:rsidRPr="003D6D08">
        <w:tab/>
      </w:r>
      <w:r w:rsidRPr="003D6D08">
        <w:tab/>
      </w:r>
      <w:r w:rsidR="00D867E4" w:rsidRPr="003D6D08">
        <w:t>Wa</w:t>
      </w:r>
      <w:r w:rsidRPr="003D6D08">
        <w:t>tersmeet (</w:t>
      </w:r>
      <w:r w:rsidR="00D961CB" w:rsidRPr="003D6D08">
        <w:t xml:space="preserve">all costs except the pantomime charged to the unparished area </w:t>
      </w:r>
      <w:r w:rsidR="00AF26D0" w:rsidRPr="003D6D08">
        <w:t xml:space="preserve">and Batchworth Parish </w:t>
      </w:r>
      <w:r w:rsidR="00D961CB" w:rsidRPr="003D6D08">
        <w:t>as a c</w:t>
      </w:r>
      <w:r w:rsidRPr="003D6D08">
        <w:t>ommunity hall</w:t>
      </w:r>
      <w:r w:rsidR="00D961CB" w:rsidRPr="003D6D08">
        <w:t>. The pantomime is treated as a general expense)</w:t>
      </w:r>
      <w:r w:rsidR="003D6D08">
        <w:t>.</w:t>
      </w:r>
      <w:r w:rsidR="005B5410">
        <w:t xml:space="preserve"> </w:t>
      </w:r>
      <w:r w:rsidR="00D867E4" w:rsidRPr="00D867E4">
        <w:rPr>
          <w:i/>
        </w:rPr>
        <w:t>The costs of Watersmeet should continue to be apportioned to both Batchworth and the new unparished area on the basis of population</w:t>
      </w:r>
      <w:r w:rsidR="00D867E4">
        <w:t>.</w:t>
      </w:r>
    </w:p>
    <w:p w:rsidR="00450CCA" w:rsidRDefault="00450CCA" w:rsidP="00450CCA">
      <w:pPr>
        <w:pStyle w:val="BodyTextIndent"/>
      </w:pPr>
    </w:p>
    <w:p w:rsidR="00450CCA" w:rsidRDefault="00450CCA" w:rsidP="00A44650">
      <w:r>
        <w:tab/>
      </w:r>
    </w:p>
    <w:p w:rsidR="00D867E4" w:rsidRDefault="00450CCA" w:rsidP="00450CCA">
      <w:pPr>
        <w:keepNext/>
        <w:keepLines/>
      </w:pPr>
      <w:r>
        <w:tab/>
        <w:t>Report prepared by:</w:t>
      </w:r>
    </w:p>
    <w:p w:rsidR="00450CCA" w:rsidRDefault="00450CCA" w:rsidP="00450CCA">
      <w:pPr>
        <w:keepNext/>
        <w:keepLines/>
      </w:pPr>
      <w:r>
        <w:tab/>
      </w:r>
    </w:p>
    <w:p w:rsidR="00450CCA" w:rsidRDefault="00450CCA" w:rsidP="00450CCA">
      <w:pPr>
        <w:keepNext/>
        <w:keepLines/>
      </w:pPr>
      <w:r>
        <w:tab/>
      </w:r>
      <w:r w:rsidR="003853E6" w:rsidRPr="00D867E4">
        <w:t>Nigel Pollard</w:t>
      </w:r>
      <w:r w:rsidRPr="00D867E4">
        <w:t xml:space="preserve"> – </w:t>
      </w:r>
      <w:r w:rsidR="00D867E4">
        <w:t>Section Head - Accountancy</w:t>
      </w:r>
    </w:p>
    <w:p w:rsidR="006441B7" w:rsidRDefault="006441B7" w:rsidP="00450CCA">
      <w:pPr>
        <w:keepNext/>
        <w:keepLines/>
      </w:pPr>
    </w:p>
    <w:p w:rsidR="00D867E4" w:rsidRDefault="00D867E4" w:rsidP="006441B7">
      <w:pPr>
        <w:keepNext/>
        <w:spacing w:line="240" w:lineRule="exact"/>
        <w:ind w:left="1267" w:hanging="1267"/>
        <w:outlineLvl w:val="0"/>
        <w:rPr>
          <w:b/>
        </w:rPr>
      </w:pPr>
    </w:p>
    <w:p w:rsidR="006441B7" w:rsidRDefault="006441B7" w:rsidP="006441B7">
      <w:pPr>
        <w:keepNext/>
        <w:spacing w:line="240" w:lineRule="exact"/>
        <w:ind w:left="1267" w:hanging="1267"/>
        <w:outlineLvl w:val="0"/>
        <w:rPr>
          <w:b/>
        </w:rPr>
      </w:pPr>
      <w:r>
        <w:rPr>
          <w:b/>
        </w:rPr>
        <w:t>Data Quality</w:t>
      </w:r>
    </w:p>
    <w:p w:rsidR="006441B7" w:rsidRDefault="006441B7" w:rsidP="006441B7">
      <w:pPr>
        <w:keepNext/>
        <w:spacing w:line="240" w:lineRule="exact"/>
        <w:ind w:left="1267" w:hanging="1267"/>
      </w:pPr>
      <w:r>
        <w:rPr>
          <w:b/>
        </w:rPr>
        <w:tab/>
      </w:r>
      <w:r>
        <w:t>Data sources:</w:t>
      </w:r>
    </w:p>
    <w:p w:rsidR="006441B7" w:rsidRDefault="006441B7" w:rsidP="006441B7">
      <w:pPr>
        <w:keepNext/>
        <w:spacing w:line="240" w:lineRule="exact"/>
        <w:ind w:left="1267" w:hanging="1267"/>
      </w:pPr>
      <w:r>
        <w:tab/>
        <w:t>Financial Information System</w:t>
      </w:r>
    </w:p>
    <w:p w:rsidR="006441B7" w:rsidRPr="00D867E4" w:rsidRDefault="006441B7" w:rsidP="006441B7">
      <w:pPr>
        <w:spacing w:line="240" w:lineRule="exact"/>
        <w:ind w:left="1253" w:hanging="1253"/>
      </w:pPr>
      <w:r>
        <w:rPr>
          <w:i/>
        </w:rPr>
        <w:tab/>
      </w:r>
      <w:r>
        <w:rPr>
          <w:i/>
        </w:rPr>
        <w:tab/>
      </w:r>
      <w:r>
        <w:t>Data checked by</w:t>
      </w:r>
      <w:r w:rsidRPr="00D867E4">
        <w:t xml:space="preserve">: </w:t>
      </w:r>
      <w:r w:rsidR="00D867E4" w:rsidRPr="00D867E4">
        <w:t xml:space="preserve">Bob Watson – Head of </w:t>
      </w:r>
      <w:r w:rsidRPr="00D867E4">
        <w:t xml:space="preserve">Finance </w:t>
      </w:r>
    </w:p>
    <w:p w:rsidR="006441B7" w:rsidRDefault="006441B7" w:rsidP="006441B7">
      <w:pPr>
        <w:spacing w:line="240" w:lineRule="exact"/>
        <w:ind w:left="1260" w:hanging="1260"/>
        <w:rPr>
          <w:b/>
          <w:i/>
          <w:color w:val="008000"/>
        </w:rPr>
      </w:pPr>
      <w:r w:rsidRPr="00D867E4">
        <w:tab/>
        <w:t>Data rating:</w:t>
      </w:r>
      <w:r>
        <w:t xml:space="preserve"> </w:t>
      </w:r>
    </w:p>
    <w:p w:rsidR="006441B7" w:rsidRDefault="006441B7" w:rsidP="006441B7">
      <w:pPr>
        <w:spacing w:line="240" w:lineRule="exact"/>
        <w:ind w:left="1253" w:hanging="1253"/>
      </w:pPr>
    </w:p>
    <w:tbl>
      <w:tblPr>
        <w:tblStyle w:val="TableGrid"/>
        <w:tblW w:w="0" w:type="auto"/>
        <w:tblInd w:w="1458" w:type="dxa"/>
        <w:tblLook w:val="01E0" w:firstRow="1" w:lastRow="1" w:firstColumn="1" w:lastColumn="1" w:noHBand="0" w:noVBand="0"/>
      </w:tblPr>
      <w:tblGrid>
        <w:gridCol w:w="392"/>
        <w:gridCol w:w="1276"/>
        <w:gridCol w:w="492"/>
      </w:tblGrid>
      <w:tr w:rsidR="006441B7" w:rsidTr="006441B7">
        <w:trPr>
          <w:trHeight w:hRule="exact" w:val="346"/>
        </w:trPr>
        <w:tc>
          <w:tcPr>
            <w:tcW w:w="392" w:type="dxa"/>
            <w:vAlign w:val="center"/>
          </w:tcPr>
          <w:p w:rsidR="006441B7" w:rsidRDefault="006441B7" w:rsidP="006441B7">
            <w:pPr>
              <w:keepNext/>
              <w:keepLines/>
              <w:spacing w:line="240" w:lineRule="exact"/>
            </w:pPr>
            <w:r>
              <w:t>1</w:t>
            </w:r>
          </w:p>
        </w:tc>
        <w:tc>
          <w:tcPr>
            <w:tcW w:w="1276" w:type="dxa"/>
            <w:vAlign w:val="center"/>
          </w:tcPr>
          <w:p w:rsidR="006441B7" w:rsidRDefault="006441B7" w:rsidP="006441B7">
            <w:pPr>
              <w:keepNext/>
              <w:keepLines/>
              <w:spacing w:line="240" w:lineRule="exact"/>
            </w:pPr>
            <w:r>
              <w:t>Poor</w:t>
            </w:r>
          </w:p>
        </w:tc>
        <w:tc>
          <w:tcPr>
            <w:tcW w:w="492" w:type="dxa"/>
            <w:vAlign w:val="center"/>
          </w:tcPr>
          <w:p w:rsidR="006441B7" w:rsidRDefault="006441B7" w:rsidP="006441B7">
            <w:pPr>
              <w:keepNext/>
              <w:keepLines/>
              <w:spacing w:line="240" w:lineRule="exact"/>
              <w:jc w:val="center"/>
            </w:pPr>
          </w:p>
        </w:tc>
      </w:tr>
      <w:tr w:rsidR="006441B7" w:rsidTr="006441B7">
        <w:trPr>
          <w:trHeight w:hRule="exact" w:val="346"/>
        </w:trPr>
        <w:tc>
          <w:tcPr>
            <w:tcW w:w="392" w:type="dxa"/>
            <w:vAlign w:val="center"/>
          </w:tcPr>
          <w:p w:rsidR="006441B7" w:rsidRDefault="006441B7" w:rsidP="006441B7">
            <w:pPr>
              <w:keepNext/>
              <w:keepLines/>
              <w:spacing w:line="240" w:lineRule="exact"/>
            </w:pPr>
            <w:r>
              <w:t>2</w:t>
            </w:r>
          </w:p>
        </w:tc>
        <w:tc>
          <w:tcPr>
            <w:tcW w:w="1276" w:type="dxa"/>
            <w:vAlign w:val="center"/>
          </w:tcPr>
          <w:p w:rsidR="006441B7" w:rsidRDefault="006441B7" w:rsidP="006441B7">
            <w:pPr>
              <w:keepNext/>
              <w:keepLines/>
              <w:spacing w:line="240" w:lineRule="exact"/>
            </w:pPr>
            <w:r>
              <w:t>Sufficient</w:t>
            </w:r>
          </w:p>
        </w:tc>
        <w:tc>
          <w:tcPr>
            <w:tcW w:w="492" w:type="dxa"/>
            <w:vAlign w:val="center"/>
          </w:tcPr>
          <w:p w:rsidR="006441B7" w:rsidRDefault="006441B7" w:rsidP="006441B7">
            <w:pPr>
              <w:keepNext/>
              <w:keepLines/>
              <w:spacing w:line="240" w:lineRule="exact"/>
              <w:jc w:val="center"/>
            </w:pPr>
            <w:r>
              <w:sym w:font="Wingdings 2" w:char="F050"/>
            </w:r>
          </w:p>
        </w:tc>
      </w:tr>
      <w:tr w:rsidR="006441B7" w:rsidTr="006441B7">
        <w:trPr>
          <w:trHeight w:hRule="exact" w:val="346"/>
        </w:trPr>
        <w:tc>
          <w:tcPr>
            <w:tcW w:w="392" w:type="dxa"/>
            <w:vAlign w:val="center"/>
          </w:tcPr>
          <w:p w:rsidR="006441B7" w:rsidRDefault="006441B7" w:rsidP="006441B7">
            <w:pPr>
              <w:keepNext/>
              <w:keepLines/>
              <w:spacing w:line="240" w:lineRule="exact"/>
            </w:pPr>
            <w:r>
              <w:t>3</w:t>
            </w:r>
          </w:p>
        </w:tc>
        <w:tc>
          <w:tcPr>
            <w:tcW w:w="1276" w:type="dxa"/>
            <w:vAlign w:val="center"/>
          </w:tcPr>
          <w:p w:rsidR="006441B7" w:rsidRDefault="006441B7" w:rsidP="006441B7">
            <w:pPr>
              <w:keepNext/>
              <w:keepLines/>
              <w:spacing w:line="240" w:lineRule="exact"/>
            </w:pPr>
            <w:r>
              <w:t>High</w:t>
            </w:r>
          </w:p>
        </w:tc>
        <w:tc>
          <w:tcPr>
            <w:tcW w:w="492" w:type="dxa"/>
            <w:vAlign w:val="center"/>
          </w:tcPr>
          <w:p w:rsidR="006441B7" w:rsidRDefault="006441B7" w:rsidP="006441B7">
            <w:pPr>
              <w:keepNext/>
              <w:keepLines/>
              <w:spacing w:line="240" w:lineRule="exact"/>
              <w:jc w:val="center"/>
            </w:pPr>
          </w:p>
        </w:tc>
      </w:tr>
    </w:tbl>
    <w:p w:rsidR="006441B7" w:rsidRDefault="006441B7" w:rsidP="006441B7">
      <w:pPr>
        <w:spacing w:line="240" w:lineRule="exact"/>
        <w:ind w:left="1253" w:hanging="1253"/>
      </w:pPr>
    </w:p>
    <w:p w:rsidR="006441B7" w:rsidRDefault="006441B7" w:rsidP="00450CCA">
      <w:pPr>
        <w:keepNext/>
        <w:keepLines/>
      </w:pPr>
    </w:p>
    <w:p w:rsidR="00450CCA" w:rsidRDefault="00450CCA" w:rsidP="00450CCA">
      <w:pPr>
        <w:keepNext/>
        <w:keepLines/>
        <w:ind w:left="1267" w:hanging="1267"/>
        <w:rPr>
          <w:b/>
        </w:rPr>
      </w:pPr>
      <w:r>
        <w:tab/>
      </w:r>
      <w:r>
        <w:rPr>
          <w:b/>
        </w:rPr>
        <w:t>Background Papers</w:t>
      </w:r>
    </w:p>
    <w:p w:rsidR="00450CCA" w:rsidRDefault="00450CCA" w:rsidP="00450CCA">
      <w:pPr>
        <w:tabs>
          <w:tab w:val="clear" w:pos="1980"/>
          <w:tab w:val="left" w:pos="1985"/>
        </w:tabs>
        <w:ind w:left="1267" w:hanging="1267"/>
      </w:pPr>
      <w:r>
        <w:tab/>
      </w:r>
      <w:r>
        <w:fldChar w:fldCharType="begin"/>
      </w:r>
      <w:r>
        <w:instrText xml:space="preserve">  </w:instrText>
      </w:r>
      <w:r>
        <w:fldChar w:fldCharType="end"/>
      </w:r>
      <w:r>
        <w:tab/>
      </w:r>
    </w:p>
    <w:p w:rsidR="00450CCA" w:rsidRDefault="00450CCA" w:rsidP="00450CCA">
      <w:pPr>
        <w:tabs>
          <w:tab w:val="clear" w:pos="1980"/>
          <w:tab w:val="left" w:pos="1985"/>
        </w:tabs>
        <w:ind w:left="1267" w:hanging="1267"/>
      </w:pPr>
      <w:r>
        <w:tab/>
      </w:r>
      <w:r>
        <w:fldChar w:fldCharType="begin"/>
      </w:r>
      <w:r>
        <w:instrText xml:space="preserve">  </w:instrText>
      </w:r>
      <w:r>
        <w:fldChar w:fldCharType="end"/>
      </w:r>
      <w:proofErr w:type="gramStart"/>
      <w:r w:rsidR="00EA6803">
        <w:t>Questionnaires to Parish Councils.</w:t>
      </w:r>
      <w:proofErr w:type="gramEnd"/>
    </w:p>
    <w:p w:rsidR="003D6D08" w:rsidRDefault="003D6D08" w:rsidP="00450CCA">
      <w:pPr>
        <w:tabs>
          <w:tab w:val="clear" w:pos="1980"/>
          <w:tab w:val="left" w:pos="1985"/>
        </w:tabs>
        <w:ind w:left="1267" w:hanging="1267"/>
      </w:pPr>
      <w:r>
        <w:tab/>
      </w:r>
      <w:r w:rsidR="00B442C1">
        <w:t>2016/17 Special expenses calculation</w:t>
      </w:r>
    </w:p>
    <w:p w:rsidR="00B442C1" w:rsidRDefault="00B442C1" w:rsidP="00450CCA">
      <w:pPr>
        <w:tabs>
          <w:tab w:val="clear" w:pos="1980"/>
          <w:tab w:val="left" w:pos="1985"/>
        </w:tabs>
        <w:ind w:left="1267" w:hanging="1267"/>
      </w:pPr>
      <w:r>
        <w:tab/>
        <w:t>Grounds Maintenance Contract</w:t>
      </w:r>
    </w:p>
    <w:p w:rsidR="00450CCA" w:rsidRDefault="00450CCA" w:rsidP="00450CCA"/>
    <w:p w:rsidR="00450CCA" w:rsidRDefault="00450CCA" w:rsidP="00450CCA">
      <w:pPr>
        <w:keepNext/>
        <w:keepLines/>
        <w:ind w:left="1260" w:hanging="1260"/>
        <w:rPr>
          <w:i/>
        </w:rPr>
      </w:pPr>
    </w:p>
    <w:p w:rsidR="00450CCA" w:rsidRDefault="00450CCA" w:rsidP="00450CCA">
      <w:pPr>
        <w:keepNext/>
        <w:keepLines/>
        <w:ind w:left="1260" w:hanging="1260"/>
      </w:pPr>
      <w:r>
        <w:rPr>
          <w:b/>
          <w:i/>
          <w:sz w:val="26"/>
        </w:rPr>
        <w:tab/>
        <w:t>The recommendations contained in this report DO NOT constitute a KEY DECISION.</w:t>
      </w:r>
      <w:r>
        <w:rPr>
          <w:i/>
          <w:color w:val="FF0000"/>
        </w:rPr>
        <w:t xml:space="preserve"> </w:t>
      </w:r>
    </w:p>
    <w:p w:rsidR="00450CCA" w:rsidRDefault="00450CCA" w:rsidP="00450CCA">
      <w:pPr>
        <w:keepNext/>
        <w:keepLines/>
      </w:pPr>
    </w:p>
    <w:p w:rsidR="00450CCA" w:rsidRDefault="00450CCA" w:rsidP="00450CCA">
      <w:pPr>
        <w:keepNext/>
        <w:keepLines/>
        <w:ind w:left="1259" w:hanging="1259"/>
      </w:pPr>
      <w:r>
        <w:tab/>
      </w:r>
      <w:r>
        <w:rPr>
          <w:b/>
        </w:rPr>
        <w:t>APPENDICES / ATTACHMENTS</w:t>
      </w:r>
    </w:p>
    <w:p w:rsidR="00450CCA" w:rsidRDefault="00450CCA" w:rsidP="00450CCA">
      <w:pPr>
        <w:keepNext/>
        <w:keepLines/>
        <w:ind w:left="1259" w:hanging="1259"/>
      </w:pPr>
    </w:p>
    <w:p w:rsidR="00994D80" w:rsidRDefault="00994D80" w:rsidP="00450CCA">
      <w:pPr>
        <w:keepNext/>
        <w:keepLines/>
        <w:numPr>
          <w:ilvl w:val="0"/>
          <w:numId w:val="1"/>
        </w:numPr>
      </w:pPr>
      <w:r>
        <w:t>Review of the methodology of charging Special Expenses</w:t>
      </w:r>
    </w:p>
    <w:p w:rsidR="00450CCA" w:rsidRDefault="00450CCA" w:rsidP="00450CCA">
      <w:pPr>
        <w:keepNext/>
        <w:keepLines/>
        <w:numPr>
          <w:ilvl w:val="0"/>
          <w:numId w:val="1"/>
        </w:numPr>
      </w:pPr>
      <w:r>
        <w:t>Extract from the Local Government Finance Act 1992</w:t>
      </w:r>
    </w:p>
    <w:p w:rsidR="004C37A2" w:rsidRDefault="004C37A2" w:rsidP="00450CCA">
      <w:pPr>
        <w:jc w:val="right"/>
        <w:rPr>
          <w:b/>
        </w:rPr>
      </w:pPr>
    </w:p>
    <w:p w:rsidR="004C37A2" w:rsidRDefault="004C37A2" w:rsidP="00450CCA">
      <w:pPr>
        <w:jc w:val="right"/>
        <w:rPr>
          <w:b/>
        </w:rPr>
      </w:pPr>
    </w:p>
    <w:p w:rsidR="004C37A2" w:rsidRDefault="004C37A2" w:rsidP="00450CCA">
      <w:pPr>
        <w:jc w:val="right"/>
        <w:rPr>
          <w:b/>
        </w:rPr>
      </w:pPr>
    </w:p>
    <w:p w:rsidR="004C37A2" w:rsidRDefault="004C37A2" w:rsidP="00450CCA">
      <w:pPr>
        <w:jc w:val="right"/>
        <w:rPr>
          <w:b/>
        </w:rPr>
      </w:pPr>
    </w:p>
    <w:p w:rsidR="004C37A2" w:rsidRDefault="004C37A2" w:rsidP="00450CCA">
      <w:pPr>
        <w:jc w:val="right"/>
        <w:rPr>
          <w:b/>
        </w:rPr>
      </w:pPr>
    </w:p>
    <w:p w:rsidR="004C37A2" w:rsidRDefault="004C37A2" w:rsidP="00450CCA">
      <w:pPr>
        <w:jc w:val="right"/>
        <w:rPr>
          <w:b/>
        </w:rPr>
      </w:pPr>
    </w:p>
    <w:p w:rsidR="00994D80" w:rsidRDefault="00994D80" w:rsidP="00450CCA">
      <w:pPr>
        <w:jc w:val="right"/>
        <w:rPr>
          <w:b/>
        </w:rPr>
      </w:pPr>
    </w:p>
    <w:p w:rsidR="00994D80" w:rsidRDefault="00994D80" w:rsidP="00450CCA">
      <w:pPr>
        <w:jc w:val="right"/>
        <w:rPr>
          <w:b/>
        </w:rPr>
      </w:pPr>
    </w:p>
    <w:p w:rsidR="00994D80" w:rsidRDefault="00994D80" w:rsidP="00450CCA">
      <w:pPr>
        <w:jc w:val="right"/>
        <w:rPr>
          <w:b/>
        </w:rPr>
      </w:pPr>
    </w:p>
    <w:p w:rsidR="00994D80" w:rsidRDefault="00994D80" w:rsidP="00450CCA">
      <w:pPr>
        <w:jc w:val="right"/>
        <w:rPr>
          <w:b/>
        </w:rPr>
      </w:pPr>
    </w:p>
    <w:p w:rsidR="00994D80" w:rsidRDefault="00994D80" w:rsidP="00450CCA">
      <w:pPr>
        <w:jc w:val="right"/>
        <w:rPr>
          <w:b/>
        </w:rPr>
      </w:pPr>
    </w:p>
    <w:p w:rsidR="00994D80" w:rsidRDefault="00994D80" w:rsidP="00450CCA">
      <w:pPr>
        <w:jc w:val="right"/>
        <w:rPr>
          <w:b/>
        </w:rPr>
      </w:pPr>
    </w:p>
    <w:p w:rsidR="00994D80" w:rsidRDefault="00994D80" w:rsidP="00450CCA">
      <w:pPr>
        <w:jc w:val="right"/>
        <w:rPr>
          <w:b/>
        </w:rPr>
      </w:pPr>
    </w:p>
    <w:p w:rsidR="00994D80" w:rsidRDefault="00994D80" w:rsidP="00450CCA">
      <w:pPr>
        <w:jc w:val="right"/>
        <w:rPr>
          <w:b/>
        </w:rPr>
      </w:pPr>
    </w:p>
    <w:p w:rsidR="00994D80" w:rsidRDefault="00994D80" w:rsidP="00450CCA">
      <w:pPr>
        <w:jc w:val="right"/>
        <w:rPr>
          <w:b/>
        </w:rPr>
      </w:pPr>
    </w:p>
    <w:p w:rsidR="003D6D08" w:rsidRDefault="003D6D08" w:rsidP="00450CCA">
      <w:pPr>
        <w:jc w:val="right"/>
        <w:rPr>
          <w:b/>
        </w:rPr>
      </w:pPr>
    </w:p>
    <w:p w:rsidR="003D6D08" w:rsidRDefault="003D6D08" w:rsidP="00450CCA">
      <w:pPr>
        <w:jc w:val="right"/>
        <w:rPr>
          <w:b/>
        </w:rPr>
      </w:pPr>
    </w:p>
    <w:p w:rsidR="004C37A2" w:rsidRDefault="003760A3" w:rsidP="00450CCA">
      <w:pPr>
        <w:jc w:val="right"/>
        <w:rPr>
          <w:b/>
        </w:rPr>
      </w:pPr>
      <w:r>
        <w:rPr>
          <w:b/>
        </w:rPr>
        <w:t>APPENDIX 1</w:t>
      </w:r>
    </w:p>
    <w:p w:rsidR="004C37A2" w:rsidRDefault="004C37A2" w:rsidP="00450CCA">
      <w:pPr>
        <w:jc w:val="right"/>
        <w:rPr>
          <w:b/>
        </w:rPr>
      </w:pPr>
    </w:p>
    <w:p w:rsidR="003760A3" w:rsidRPr="003760A3" w:rsidRDefault="003760A3" w:rsidP="003760A3">
      <w:pPr>
        <w:pStyle w:val="ListParagraph"/>
        <w:numPr>
          <w:ilvl w:val="0"/>
          <w:numId w:val="8"/>
        </w:numPr>
        <w:ind w:left="0" w:hanging="270"/>
        <w:jc w:val="both"/>
        <w:rPr>
          <w:rFonts w:ascii="Arial" w:hAnsi="Arial" w:cs="Arial"/>
          <w:b/>
        </w:rPr>
      </w:pPr>
      <w:r w:rsidRPr="003760A3">
        <w:rPr>
          <w:rFonts w:ascii="Arial" w:hAnsi="Arial" w:cs="Arial"/>
          <w:b/>
        </w:rPr>
        <w:t>WOODLANDS</w:t>
      </w:r>
    </w:p>
    <w:p w:rsidR="003760A3" w:rsidRDefault="003760A3" w:rsidP="003760A3">
      <w:pPr>
        <w:rPr>
          <w:rFonts w:cs="Arial"/>
          <w:szCs w:val="22"/>
        </w:rPr>
      </w:pPr>
      <w:r w:rsidRPr="003760A3">
        <w:rPr>
          <w:rFonts w:cs="Arial"/>
          <w:szCs w:val="22"/>
        </w:rPr>
        <w:t>Apportioning woodlands costs by the area of TRDC</w:t>
      </w:r>
      <w:r w:rsidR="005B5410">
        <w:rPr>
          <w:rFonts w:cs="Arial"/>
          <w:szCs w:val="22"/>
        </w:rPr>
        <w:t>-</w:t>
      </w:r>
      <w:r w:rsidRPr="003760A3">
        <w:rPr>
          <w:rFonts w:cs="Arial"/>
          <w:szCs w:val="22"/>
        </w:rPr>
        <w:t xml:space="preserve">run woodland in each parish is probably the most equitable solution.  All areas, with the exception of </w:t>
      </w:r>
      <w:proofErr w:type="spellStart"/>
      <w:r w:rsidRPr="003760A3">
        <w:rPr>
          <w:rFonts w:cs="Arial"/>
          <w:szCs w:val="22"/>
        </w:rPr>
        <w:t>Sarratt</w:t>
      </w:r>
      <w:proofErr w:type="spellEnd"/>
      <w:r w:rsidR="005B5410">
        <w:rPr>
          <w:rFonts w:cs="Arial"/>
          <w:szCs w:val="22"/>
        </w:rPr>
        <w:t>,</w:t>
      </w:r>
      <w:r w:rsidRPr="003760A3">
        <w:rPr>
          <w:rFonts w:cs="Arial"/>
          <w:szCs w:val="22"/>
        </w:rPr>
        <w:t xml:space="preserve"> contain TRDC woodlands.  Currently, the costs allocated are the net costs in the Trees and Landscapes Cost Centre, after removal of the costs of the Leavesden Ranger, which are treated as a general expense (see below).</w:t>
      </w:r>
    </w:p>
    <w:p w:rsidR="003760A3" w:rsidRPr="003760A3" w:rsidRDefault="003760A3" w:rsidP="003760A3">
      <w:pPr>
        <w:rPr>
          <w:rFonts w:cs="Arial"/>
          <w:szCs w:val="22"/>
        </w:rPr>
      </w:pPr>
    </w:p>
    <w:p w:rsidR="003760A3" w:rsidRDefault="003760A3" w:rsidP="003760A3">
      <w:pPr>
        <w:rPr>
          <w:rFonts w:cs="Arial"/>
          <w:szCs w:val="22"/>
        </w:rPr>
      </w:pPr>
      <w:r w:rsidRPr="003760A3">
        <w:rPr>
          <w:rFonts w:cs="Arial"/>
          <w:szCs w:val="22"/>
        </w:rPr>
        <w:t>Analysis of the current allocations found the following:</w:t>
      </w:r>
    </w:p>
    <w:p w:rsidR="003760A3" w:rsidRPr="003760A3" w:rsidRDefault="003760A3" w:rsidP="003760A3">
      <w:pPr>
        <w:rPr>
          <w:rFonts w:cs="Arial"/>
          <w:szCs w:val="22"/>
        </w:rPr>
      </w:pPr>
    </w:p>
    <w:p w:rsidR="003760A3" w:rsidRPr="003760A3" w:rsidRDefault="003760A3" w:rsidP="003760A3">
      <w:pPr>
        <w:pStyle w:val="ListParagraph"/>
        <w:numPr>
          <w:ilvl w:val="0"/>
          <w:numId w:val="5"/>
        </w:numPr>
        <w:jc w:val="both"/>
        <w:rPr>
          <w:rFonts w:ascii="Arial" w:hAnsi="Arial" w:cs="Arial"/>
        </w:rPr>
      </w:pPr>
      <w:r w:rsidRPr="003760A3">
        <w:rPr>
          <w:rFonts w:ascii="Arial" w:hAnsi="Arial" w:cs="Arial"/>
        </w:rPr>
        <w:t>The table of woodland sizes used to do the calculation was slightly different from the sizes given in the Woodlands Management Plans published in 2012.  On the advice of the Principal Landscapes Officer, the more accurate Management Plan figures should be used in future.</w:t>
      </w:r>
    </w:p>
    <w:p w:rsidR="003760A3" w:rsidRPr="003760A3" w:rsidRDefault="003760A3" w:rsidP="003760A3">
      <w:pPr>
        <w:pStyle w:val="ListParagraph"/>
        <w:numPr>
          <w:ilvl w:val="0"/>
          <w:numId w:val="5"/>
        </w:numPr>
        <w:jc w:val="both"/>
        <w:rPr>
          <w:rFonts w:ascii="Arial" w:hAnsi="Arial" w:cs="Arial"/>
        </w:rPr>
      </w:pPr>
      <w:r w:rsidRPr="003760A3">
        <w:rPr>
          <w:rFonts w:ascii="Arial" w:hAnsi="Arial" w:cs="Arial"/>
        </w:rPr>
        <w:t>A small wood which, although in a Rickmansworth Town ward of TRDC, is actually within the boundaries of Chorleywood Parish, was wrongly apportioned to the unparished area.  This has now been corrected.</w:t>
      </w:r>
    </w:p>
    <w:p w:rsidR="003760A3" w:rsidRPr="003760A3" w:rsidRDefault="003760A3" w:rsidP="003760A3">
      <w:pPr>
        <w:pStyle w:val="ListParagraph"/>
        <w:numPr>
          <w:ilvl w:val="0"/>
          <w:numId w:val="5"/>
        </w:numPr>
        <w:jc w:val="both"/>
        <w:rPr>
          <w:rFonts w:ascii="Arial" w:hAnsi="Arial" w:cs="Arial"/>
        </w:rPr>
      </w:pPr>
      <w:r w:rsidRPr="003760A3">
        <w:rPr>
          <w:rFonts w:ascii="Arial" w:hAnsi="Arial" w:cs="Arial"/>
        </w:rPr>
        <w:t>The ranger at Leavesden Open Space is charged to the Trees and Landscapes cost centre.  His costs are currently treated as a general expense, as they were initially funded from the S106 monies, but this is no longer the case, and the post has responsibilities for other areas such as The Aquadrome.  It is recommended that these costs are no longer treated as a general expense, and should remain within the Special Expenses calculation in future.</w:t>
      </w:r>
    </w:p>
    <w:p w:rsidR="003760A3" w:rsidRPr="003760A3" w:rsidRDefault="003760A3" w:rsidP="003760A3">
      <w:pPr>
        <w:pStyle w:val="ListParagraph"/>
        <w:numPr>
          <w:ilvl w:val="0"/>
          <w:numId w:val="5"/>
        </w:numPr>
        <w:jc w:val="both"/>
        <w:rPr>
          <w:rFonts w:ascii="Arial" w:hAnsi="Arial" w:cs="Arial"/>
        </w:rPr>
      </w:pPr>
      <w:r w:rsidRPr="003760A3">
        <w:rPr>
          <w:rFonts w:ascii="Arial" w:hAnsi="Arial" w:cs="Arial"/>
        </w:rPr>
        <w:t xml:space="preserve">Two Arboriculture and Landscape Officers within the Trees and Landscapes cost centre spend 50% of their time on Tree Preservation Orders and Planning issues.  These are not tasks carried out by the parishes and are not, therefore a special expense.  It is recommended that these costs should be charged to general expenses. </w:t>
      </w:r>
    </w:p>
    <w:p w:rsidR="003760A3" w:rsidRPr="003760A3" w:rsidRDefault="003760A3" w:rsidP="003760A3">
      <w:pPr>
        <w:pStyle w:val="ListParagraph"/>
        <w:numPr>
          <w:ilvl w:val="0"/>
          <w:numId w:val="5"/>
        </w:numPr>
        <w:jc w:val="both"/>
        <w:rPr>
          <w:rFonts w:ascii="Arial" w:hAnsi="Arial" w:cs="Arial"/>
        </w:rPr>
      </w:pPr>
      <w:r w:rsidRPr="003760A3">
        <w:rPr>
          <w:rFonts w:ascii="Arial" w:hAnsi="Arial" w:cs="Arial"/>
        </w:rPr>
        <w:t>The Aquadrome and several playing fields are included in the woodland table used to allocate net costs in the Special Expenses calculation.  The Trees and Landscapes cost centre also has a direct internal recharge to The Aquadrome, and Playing Fields and Open Spaces. This was investigated for potential double counting, but was not a material issue.</w:t>
      </w:r>
    </w:p>
    <w:p w:rsidR="003760A3" w:rsidRPr="003760A3" w:rsidRDefault="003760A3" w:rsidP="003760A3">
      <w:pPr>
        <w:rPr>
          <w:rFonts w:cs="Arial"/>
          <w:szCs w:val="22"/>
        </w:rPr>
      </w:pPr>
      <w:r w:rsidRPr="003760A3">
        <w:rPr>
          <w:rFonts w:cs="Arial"/>
          <w:szCs w:val="22"/>
        </w:rPr>
        <w:t>The figures have been updated to take account of the recommended changes above, and the old unparished area costs have been split to take account of the new parish.</w:t>
      </w:r>
    </w:p>
    <w:p w:rsidR="0068126B" w:rsidRDefault="0068126B" w:rsidP="003760A3">
      <w:pPr>
        <w:rPr>
          <w:rFonts w:cs="Arial"/>
          <w:szCs w:val="22"/>
        </w:rPr>
      </w:pPr>
    </w:p>
    <w:p w:rsidR="003760A3" w:rsidRPr="003760A3" w:rsidRDefault="003760A3" w:rsidP="003760A3">
      <w:pPr>
        <w:rPr>
          <w:rFonts w:cs="Arial"/>
          <w:szCs w:val="22"/>
        </w:rPr>
      </w:pPr>
      <w:r w:rsidRPr="003760A3">
        <w:rPr>
          <w:rFonts w:cs="Arial"/>
          <w:szCs w:val="22"/>
        </w:rPr>
        <w:t>The effect is minimal in all but the old unparished area where, as most of the woodland lies within the new parish, Batchworth picks up a considerably higher proportion of woodlands costs.  This is mitigated by the extra costs being spread over a larger council tax base.</w:t>
      </w:r>
    </w:p>
    <w:p w:rsidR="003760A3" w:rsidRDefault="003760A3" w:rsidP="003760A3">
      <w:pPr>
        <w:pStyle w:val="ListParagraph"/>
        <w:ind w:left="0"/>
        <w:jc w:val="both"/>
        <w:rPr>
          <w:rFonts w:ascii="Arial" w:hAnsi="Arial" w:cs="Arial"/>
          <w:b/>
        </w:rPr>
      </w:pPr>
    </w:p>
    <w:p w:rsidR="003760A3" w:rsidRPr="003D6D08" w:rsidRDefault="003760A3" w:rsidP="003760A3">
      <w:pPr>
        <w:pStyle w:val="ListParagraph"/>
        <w:numPr>
          <w:ilvl w:val="0"/>
          <w:numId w:val="8"/>
        </w:numPr>
        <w:ind w:left="0" w:hanging="270"/>
        <w:jc w:val="both"/>
        <w:rPr>
          <w:rFonts w:ascii="Arial" w:hAnsi="Arial" w:cs="Arial"/>
          <w:b/>
        </w:rPr>
      </w:pPr>
      <w:r w:rsidRPr="003D6D08">
        <w:rPr>
          <w:rFonts w:ascii="Arial" w:hAnsi="Arial" w:cs="Arial"/>
          <w:b/>
        </w:rPr>
        <w:t>CEMETERIES</w:t>
      </w:r>
    </w:p>
    <w:p w:rsidR="00AF26D0" w:rsidRPr="003D6D08" w:rsidRDefault="003760A3" w:rsidP="003760A3">
      <w:pPr>
        <w:rPr>
          <w:rFonts w:cs="Arial"/>
          <w:szCs w:val="22"/>
        </w:rPr>
      </w:pPr>
      <w:r w:rsidRPr="003D6D08">
        <w:rPr>
          <w:rFonts w:cs="Arial"/>
          <w:szCs w:val="22"/>
        </w:rPr>
        <w:t xml:space="preserve">Currently, cemeteries are only charged to the unparished area and Croxley Green, apportioned on the basis of population.  </w:t>
      </w:r>
    </w:p>
    <w:p w:rsidR="00AF26D0" w:rsidRPr="003D6D08" w:rsidRDefault="00AF26D0" w:rsidP="003760A3">
      <w:pPr>
        <w:rPr>
          <w:rFonts w:cs="Arial"/>
          <w:szCs w:val="22"/>
        </w:rPr>
      </w:pPr>
    </w:p>
    <w:p w:rsidR="003760A3" w:rsidRDefault="0068126B" w:rsidP="003760A3">
      <w:pPr>
        <w:rPr>
          <w:rFonts w:cs="Arial"/>
          <w:szCs w:val="22"/>
        </w:rPr>
      </w:pPr>
      <w:r w:rsidRPr="003D6D08">
        <w:rPr>
          <w:rFonts w:cs="Arial"/>
          <w:szCs w:val="22"/>
        </w:rPr>
        <w:t>The expenditure on C</w:t>
      </w:r>
      <w:r w:rsidR="00AF26D0" w:rsidRPr="003D6D08">
        <w:rPr>
          <w:rFonts w:cs="Arial"/>
          <w:szCs w:val="22"/>
        </w:rPr>
        <w:t xml:space="preserve">emeteries by the District Council is </w:t>
      </w:r>
      <w:r w:rsidRPr="003D6D08">
        <w:rPr>
          <w:rFonts w:cs="Arial"/>
          <w:szCs w:val="22"/>
        </w:rPr>
        <w:t xml:space="preserve">now at a de </w:t>
      </w:r>
      <w:proofErr w:type="spellStart"/>
      <w:r w:rsidRPr="003D6D08">
        <w:rPr>
          <w:rFonts w:cs="Arial"/>
          <w:szCs w:val="22"/>
        </w:rPr>
        <w:t>minimus</w:t>
      </w:r>
      <w:proofErr w:type="spellEnd"/>
      <w:r w:rsidRPr="003D6D08">
        <w:rPr>
          <w:rFonts w:cs="Arial"/>
          <w:szCs w:val="22"/>
        </w:rPr>
        <w:t xml:space="preserve"> level.  It is therefore recommended that Cemeteries be declared a General Expense.</w:t>
      </w:r>
    </w:p>
    <w:p w:rsidR="00D867E4" w:rsidRPr="003760A3" w:rsidRDefault="00D867E4" w:rsidP="003760A3">
      <w:pPr>
        <w:rPr>
          <w:rFonts w:cs="Arial"/>
          <w:szCs w:val="22"/>
        </w:rPr>
      </w:pPr>
    </w:p>
    <w:p w:rsidR="003760A3" w:rsidRPr="00994D80" w:rsidRDefault="003760A3" w:rsidP="0068126B">
      <w:pPr>
        <w:pStyle w:val="ListParagraph"/>
        <w:numPr>
          <w:ilvl w:val="0"/>
          <w:numId w:val="8"/>
        </w:numPr>
        <w:ind w:left="0" w:hanging="284"/>
        <w:rPr>
          <w:rFonts w:ascii="Arial" w:hAnsi="Arial" w:cs="Arial"/>
          <w:b/>
        </w:rPr>
      </w:pPr>
      <w:r w:rsidRPr="00994D80">
        <w:rPr>
          <w:rFonts w:ascii="Arial" w:hAnsi="Arial" w:cs="Arial"/>
          <w:b/>
        </w:rPr>
        <w:t>COMMUNITY HALLS INCLUDING THE CENTRE, WATERSMEET, THE YMCA AND OXHEY HALL</w:t>
      </w:r>
    </w:p>
    <w:p w:rsidR="003760A3" w:rsidRDefault="003760A3" w:rsidP="003760A3">
      <w:pPr>
        <w:rPr>
          <w:rFonts w:cs="Arial"/>
          <w:szCs w:val="22"/>
        </w:rPr>
      </w:pPr>
      <w:r w:rsidRPr="003760A3">
        <w:rPr>
          <w:rFonts w:cs="Arial"/>
          <w:szCs w:val="22"/>
        </w:rPr>
        <w:t>All the original parishes own, or contribute to a community hall.  The old unparished area, however, has no such facility, other than Watersmeet.</w:t>
      </w:r>
    </w:p>
    <w:p w:rsidR="00173E87" w:rsidRPr="003760A3" w:rsidRDefault="00173E87" w:rsidP="003760A3">
      <w:pPr>
        <w:rPr>
          <w:rFonts w:cs="Arial"/>
          <w:szCs w:val="22"/>
        </w:rPr>
      </w:pPr>
    </w:p>
    <w:p w:rsidR="003760A3" w:rsidRDefault="003760A3" w:rsidP="003760A3">
      <w:pPr>
        <w:rPr>
          <w:rFonts w:cs="Arial"/>
          <w:szCs w:val="22"/>
        </w:rPr>
      </w:pPr>
      <w:r w:rsidRPr="003760A3">
        <w:rPr>
          <w:rFonts w:cs="Arial"/>
          <w:szCs w:val="22"/>
        </w:rPr>
        <w:t xml:space="preserve">Watford Rural and Abbots Langley currently benefit from the net income from Oxhey Hall and the YMCA Building at Leavesden Country Park respectively, which are treated 100% as a Special Expense. Watford Rural also </w:t>
      </w:r>
      <w:r w:rsidR="00173E87" w:rsidRPr="003760A3">
        <w:rPr>
          <w:rFonts w:cs="Arial"/>
          <w:szCs w:val="22"/>
        </w:rPr>
        <w:t>pays</w:t>
      </w:r>
      <w:r w:rsidRPr="003760A3">
        <w:rPr>
          <w:rFonts w:cs="Arial"/>
          <w:szCs w:val="22"/>
        </w:rPr>
        <w:t xml:space="preserve"> a 6.4% contribution towards the costs of The Centre at South Oxhey.</w:t>
      </w:r>
    </w:p>
    <w:p w:rsidR="00173E87" w:rsidRDefault="00173E87" w:rsidP="003760A3">
      <w:pPr>
        <w:rPr>
          <w:rFonts w:cs="Arial"/>
          <w:szCs w:val="22"/>
        </w:rPr>
      </w:pPr>
    </w:p>
    <w:p w:rsidR="00D867E4" w:rsidRPr="003760A3" w:rsidRDefault="00D867E4" w:rsidP="003760A3">
      <w:pPr>
        <w:rPr>
          <w:rFonts w:cs="Arial"/>
          <w:szCs w:val="22"/>
        </w:rPr>
      </w:pPr>
    </w:p>
    <w:p w:rsidR="003760A3" w:rsidRPr="003760A3" w:rsidRDefault="003760A3" w:rsidP="003760A3">
      <w:pPr>
        <w:rPr>
          <w:rFonts w:cs="Arial"/>
          <w:szCs w:val="22"/>
        </w:rPr>
      </w:pPr>
      <w:r w:rsidRPr="003760A3">
        <w:rPr>
          <w:rFonts w:cs="Arial"/>
          <w:b/>
          <w:szCs w:val="22"/>
        </w:rPr>
        <w:t>The Centre</w:t>
      </w:r>
      <w:r w:rsidRPr="003760A3">
        <w:rPr>
          <w:rFonts w:cs="Arial"/>
          <w:szCs w:val="22"/>
        </w:rPr>
        <w:t xml:space="preserve"> </w:t>
      </w:r>
    </w:p>
    <w:p w:rsidR="00173E87" w:rsidRPr="003D6D08" w:rsidRDefault="003760A3" w:rsidP="003760A3">
      <w:pPr>
        <w:rPr>
          <w:rFonts w:cs="Arial"/>
          <w:b/>
          <w:szCs w:val="22"/>
        </w:rPr>
      </w:pPr>
      <w:r w:rsidRPr="003D6D08">
        <w:rPr>
          <w:rFonts w:cs="Arial"/>
          <w:szCs w:val="22"/>
        </w:rPr>
        <w:t>The Centre at South Oxhey is</w:t>
      </w:r>
      <w:r w:rsidR="0068126B" w:rsidRPr="003D6D08">
        <w:rPr>
          <w:rFonts w:cs="Arial"/>
          <w:szCs w:val="22"/>
        </w:rPr>
        <w:t xml:space="preserve"> currently</w:t>
      </w:r>
      <w:r w:rsidRPr="003D6D08">
        <w:rPr>
          <w:rFonts w:cs="Arial"/>
          <w:szCs w:val="22"/>
        </w:rPr>
        <w:t xml:space="preserve"> apportioned 93.6% General expense and 6.4% Special Expense charged to Watford Rural based </w:t>
      </w:r>
      <w:r w:rsidR="005B5410">
        <w:rPr>
          <w:rFonts w:cs="Arial"/>
          <w:szCs w:val="22"/>
        </w:rPr>
        <w:t xml:space="preserve">on </w:t>
      </w:r>
      <w:r w:rsidR="0068126B" w:rsidRPr="003D6D08">
        <w:rPr>
          <w:rFonts w:cs="Arial"/>
          <w:szCs w:val="22"/>
        </w:rPr>
        <w:t>a historic apportionment.</w:t>
      </w:r>
    </w:p>
    <w:p w:rsidR="003760A3" w:rsidRPr="003D6D08" w:rsidRDefault="003760A3" w:rsidP="003760A3">
      <w:pPr>
        <w:rPr>
          <w:rFonts w:cs="Arial"/>
          <w:szCs w:val="22"/>
        </w:rPr>
      </w:pPr>
    </w:p>
    <w:p w:rsidR="003760A3" w:rsidRPr="003D6D08" w:rsidRDefault="003760A3" w:rsidP="003760A3">
      <w:pPr>
        <w:rPr>
          <w:rFonts w:cs="Arial"/>
          <w:szCs w:val="22"/>
        </w:rPr>
      </w:pPr>
      <w:r w:rsidRPr="003D6D08">
        <w:rPr>
          <w:rFonts w:cs="Arial"/>
          <w:szCs w:val="22"/>
        </w:rPr>
        <w:t>The Centre is now run as part of the leisure venues contract with Hertsmere Leisure, so cannot be split into</w:t>
      </w:r>
      <w:r w:rsidR="0068126B" w:rsidRPr="003D6D08">
        <w:rPr>
          <w:rFonts w:cs="Arial"/>
          <w:szCs w:val="22"/>
        </w:rPr>
        <w:t xml:space="preserve"> the historic component parts. </w:t>
      </w:r>
      <w:r w:rsidRPr="003D6D08">
        <w:rPr>
          <w:rFonts w:cs="Arial"/>
          <w:szCs w:val="22"/>
        </w:rPr>
        <w:t>The current contract is up for renewal and the status of The Centre in its present form is under review.</w:t>
      </w:r>
    </w:p>
    <w:p w:rsidR="00173E87" w:rsidRPr="003D6D08" w:rsidRDefault="00173E87" w:rsidP="003760A3">
      <w:pPr>
        <w:rPr>
          <w:rFonts w:cs="Arial"/>
          <w:szCs w:val="22"/>
        </w:rPr>
      </w:pPr>
    </w:p>
    <w:p w:rsidR="003760A3" w:rsidRDefault="0068126B" w:rsidP="003760A3">
      <w:pPr>
        <w:rPr>
          <w:rFonts w:cs="Arial"/>
          <w:szCs w:val="22"/>
        </w:rPr>
      </w:pPr>
      <w:r w:rsidRPr="003D6D08">
        <w:rPr>
          <w:rFonts w:cs="Arial"/>
          <w:szCs w:val="22"/>
        </w:rPr>
        <w:t>I</w:t>
      </w:r>
      <w:r w:rsidR="003760A3" w:rsidRPr="003D6D08">
        <w:rPr>
          <w:rFonts w:cs="Arial"/>
          <w:szCs w:val="22"/>
        </w:rPr>
        <w:t>f the centre is rebuilt, the new facility will be directly comparable with the William Penn Leisure Centre, which is treated as a general expense.</w:t>
      </w:r>
      <w:r w:rsidRPr="003D6D08">
        <w:rPr>
          <w:rFonts w:cs="Arial"/>
          <w:szCs w:val="22"/>
        </w:rPr>
        <w:t xml:space="preserve">  6.4% of the current costs is considered to be de</w:t>
      </w:r>
      <w:r w:rsidR="00A15BFE" w:rsidRPr="003D6D08">
        <w:rPr>
          <w:rFonts w:cs="Arial"/>
          <w:szCs w:val="22"/>
        </w:rPr>
        <w:t xml:space="preserve"> </w:t>
      </w:r>
      <w:proofErr w:type="spellStart"/>
      <w:r w:rsidRPr="003D6D08">
        <w:rPr>
          <w:rFonts w:cs="Arial"/>
          <w:szCs w:val="22"/>
        </w:rPr>
        <w:t>minimus</w:t>
      </w:r>
      <w:proofErr w:type="spellEnd"/>
      <w:r w:rsidRPr="003D6D08">
        <w:rPr>
          <w:rFonts w:cs="Arial"/>
          <w:szCs w:val="22"/>
        </w:rPr>
        <w:t>.</w:t>
      </w:r>
      <w:r w:rsidR="00A15BFE" w:rsidRPr="003D6D08">
        <w:rPr>
          <w:rFonts w:cs="Arial"/>
          <w:szCs w:val="22"/>
        </w:rPr>
        <w:t xml:space="preserve">   It is recommended that The Centre be treated as 100% general expense.</w:t>
      </w:r>
    </w:p>
    <w:p w:rsidR="00173E87" w:rsidRPr="003760A3" w:rsidRDefault="00173E87" w:rsidP="003760A3">
      <w:pPr>
        <w:rPr>
          <w:rFonts w:cs="Arial"/>
          <w:szCs w:val="22"/>
        </w:rPr>
      </w:pPr>
    </w:p>
    <w:p w:rsidR="003760A3" w:rsidRPr="003760A3" w:rsidRDefault="003760A3" w:rsidP="003760A3">
      <w:pPr>
        <w:rPr>
          <w:rFonts w:cs="Arial"/>
          <w:szCs w:val="22"/>
        </w:rPr>
      </w:pPr>
      <w:r w:rsidRPr="003760A3">
        <w:rPr>
          <w:rFonts w:cs="Arial"/>
          <w:b/>
          <w:szCs w:val="22"/>
        </w:rPr>
        <w:t>Watersmeet</w:t>
      </w:r>
    </w:p>
    <w:p w:rsidR="003760A3" w:rsidRDefault="003760A3" w:rsidP="003760A3">
      <w:pPr>
        <w:rPr>
          <w:rFonts w:cs="Arial"/>
          <w:szCs w:val="22"/>
        </w:rPr>
      </w:pPr>
      <w:r w:rsidRPr="003760A3">
        <w:rPr>
          <w:rFonts w:cs="Arial"/>
          <w:szCs w:val="22"/>
        </w:rPr>
        <w:t>With the exception of the costs and income for the Pantomime, which is a general expense, Watersmeet is currently charged as a Special Expense in the old unparished area.  Previously, when Croxley Green did not contribute to a community hall, they also received a charge for Watersmeet.  The charges were apportioned by population in each area.</w:t>
      </w:r>
    </w:p>
    <w:p w:rsidR="00173E87" w:rsidRPr="003760A3" w:rsidRDefault="00173E87" w:rsidP="003760A3">
      <w:pPr>
        <w:rPr>
          <w:rFonts w:cs="Arial"/>
          <w:szCs w:val="22"/>
        </w:rPr>
      </w:pPr>
    </w:p>
    <w:p w:rsidR="003760A3" w:rsidRDefault="003760A3" w:rsidP="003760A3">
      <w:pPr>
        <w:rPr>
          <w:rFonts w:cs="Arial"/>
          <w:szCs w:val="22"/>
        </w:rPr>
      </w:pPr>
      <w:r w:rsidRPr="003760A3">
        <w:rPr>
          <w:rFonts w:cs="Arial"/>
          <w:szCs w:val="22"/>
        </w:rPr>
        <w:t>Geographically Watersmeet sits in the new Batchworth parish.  Whilst being run by the District Council, it would be equitable to continue to charge the costs to both Batchworth and the new unparished area apportioned by population.  The situation should be reviewed if the new parish were to take over Watersmeet, as the District would then have minimal involvement with Community Halls, and might wish to re-designate them as a General Expense.</w:t>
      </w:r>
    </w:p>
    <w:p w:rsidR="00173E87" w:rsidRPr="003760A3" w:rsidRDefault="00173E87" w:rsidP="003760A3">
      <w:pPr>
        <w:rPr>
          <w:rFonts w:cs="Arial"/>
          <w:szCs w:val="22"/>
        </w:rPr>
      </w:pPr>
    </w:p>
    <w:p w:rsidR="003760A3" w:rsidRPr="003760A3" w:rsidRDefault="003760A3" w:rsidP="003760A3">
      <w:pPr>
        <w:rPr>
          <w:rFonts w:cs="Arial"/>
          <w:b/>
          <w:szCs w:val="22"/>
        </w:rPr>
      </w:pPr>
      <w:r w:rsidRPr="003760A3">
        <w:rPr>
          <w:rFonts w:cs="Arial"/>
          <w:b/>
          <w:szCs w:val="22"/>
        </w:rPr>
        <w:t>The YMCA (PDU Building)</w:t>
      </w:r>
    </w:p>
    <w:p w:rsidR="003760A3" w:rsidRPr="003760A3" w:rsidRDefault="003760A3" w:rsidP="003760A3">
      <w:pPr>
        <w:rPr>
          <w:rFonts w:cs="Arial"/>
          <w:szCs w:val="22"/>
        </w:rPr>
      </w:pPr>
      <w:r w:rsidRPr="003760A3">
        <w:rPr>
          <w:rFonts w:cs="Arial"/>
          <w:szCs w:val="22"/>
        </w:rPr>
        <w:t>This building was transferred to the Council as part of the Leavesden Country Park arrangements.  It was originally intended to be a community facility for the benefit of local people, and was, therefore, treated as a community hall in the special expenses calculations.</w:t>
      </w:r>
    </w:p>
    <w:p w:rsidR="00A15BFE" w:rsidRDefault="00A15BFE" w:rsidP="003760A3">
      <w:pPr>
        <w:rPr>
          <w:rFonts w:cs="Arial"/>
          <w:szCs w:val="22"/>
        </w:rPr>
      </w:pPr>
    </w:p>
    <w:p w:rsidR="003760A3" w:rsidRDefault="003760A3" w:rsidP="003760A3">
      <w:pPr>
        <w:rPr>
          <w:rFonts w:cs="Arial"/>
          <w:szCs w:val="22"/>
        </w:rPr>
      </w:pPr>
      <w:r w:rsidRPr="003760A3">
        <w:rPr>
          <w:rFonts w:cs="Arial"/>
          <w:szCs w:val="22"/>
        </w:rPr>
        <w:t xml:space="preserve">The building sat unused for several years, until it was leased to the YMCA, who have created a fitness facility and a commercial children’s nursery.  The activities within the building do not fulfil the criteria for a community hall, and are more directly comparable with the dry-side of William Penn.  It is not run or used by the </w:t>
      </w:r>
      <w:r w:rsidR="005B5410">
        <w:rPr>
          <w:rFonts w:cs="Arial"/>
          <w:szCs w:val="22"/>
        </w:rPr>
        <w:t>C</w:t>
      </w:r>
      <w:r w:rsidRPr="003760A3">
        <w:rPr>
          <w:rFonts w:cs="Arial"/>
          <w:szCs w:val="22"/>
        </w:rPr>
        <w:t>ouncil, but is now a commercially let building.  On this basis, it is recommended that the income from it should no longer be treated as a special expense.</w:t>
      </w:r>
    </w:p>
    <w:p w:rsidR="00173E87" w:rsidRPr="003760A3" w:rsidRDefault="00173E87" w:rsidP="003760A3">
      <w:pPr>
        <w:rPr>
          <w:rFonts w:cs="Arial"/>
          <w:szCs w:val="22"/>
        </w:rPr>
      </w:pPr>
    </w:p>
    <w:p w:rsidR="003760A3" w:rsidRPr="003760A3" w:rsidRDefault="003760A3" w:rsidP="003760A3">
      <w:pPr>
        <w:rPr>
          <w:rFonts w:cs="Arial"/>
          <w:b/>
          <w:szCs w:val="22"/>
        </w:rPr>
      </w:pPr>
      <w:r w:rsidRPr="003760A3">
        <w:rPr>
          <w:rFonts w:cs="Arial"/>
          <w:b/>
          <w:szCs w:val="22"/>
        </w:rPr>
        <w:t xml:space="preserve">Oxhey Hall </w:t>
      </w:r>
    </w:p>
    <w:p w:rsidR="003760A3" w:rsidRPr="003760A3" w:rsidRDefault="003760A3" w:rsidP="003760A3">
      <w:pPr>
        <w:rPr>
          <w:rFonts w:cs="Arial"/>
          <w:szCs w:val="22"/>
        </w:rPr>
      </w:pPr>
      <w:r w:rsidRPr="003760A3">
        <w:rPr>
          <w:rFonts w:cs="Arial"/>
          <w:szCs w:val="22"/>
        </w:rPr>
        <w:t>This is a Community Hall, owned by the District, within the Watford Rural parish.  The income from the hall is treated as a special expense 100% to Watford rural.</w:t>
      </w:r>
    </w:p>
    <w:p w:rsidR="00D867E4" w:rsidRDefault="00D867E4" w:rsidP="00D867E4">
      <w:pPr>
        <w:pStyle w:val="ListParagraph"/>
        <w:ind w:left="0"/>
        <w:jc w:val="both"/>
        <w:rPr>
          <w:rFonts w:ascii="Arial" w:hAnsi="Arial" w:cs="Arial"/>
          <w:b/>
        </w:rPr>
      </w:pPr>
    </w:p>
    <w:p w:rsidR="00D867E4" w:rsidRDefault="00D867E4" w:rsidP="00D867E4">
      <w:pPr>
        <w:pStyle w:val="ListParagraph"/>
        <w:ind w:left="0"/>
        <w:jc w:val="both"/>
        <w:rPr>
          <w:rFonts w:ascii="Arial" w:hAnsi="Arial" w:cs="Arial"/>
          <w:b/>
        </w:rPr>
      </w:pPr>
    </w:p>
    <w:p w:rsidR="003760A3" w:rsidRPr="003760A3" w:rsidRDefault="003760A3" w:rsidP="003760A3">
      <w:pPr>
        <w:pStyle w:val="ListParagraph"/>
        <w:numPr>
          <w:ilvl w:val="0"/>
          <w:numId w:val="8"/>
        </w:numPr>
        <w:ind w:left="0" w:hanging="270"/>
        <w:jc w:val="both"/>
        <w:rPr>
          <w:rFonts w:ascii="Arial" w:hAnsi="Arial" w:cs="Arial"/>
          <w:b/>
        </w:rPr>
      </w:pPr>
      <w:r w:rsidRPr="003760A3">
        <w:rPr>
          <w:rFonts w:ascii="Arial" w:hAnsi="Arial" w:cs="Arial"/>
          <w:b/>
        </w:rPr>
        <w:t>PLAYING FIELDS AND OPEN SPACES</w:t>
      </w:r>
    </w:p>
    <w:p w:rsidR="003760A3" w:rsidRDefault="003760A3" w:rsidP="003760A3">
      <w:pPr>
        <w:rPr>
          <w:rFonts w:cs="Arial"/>
          <w:szCs w:val="22"/>
        </w:rPr>
      </w:pPr>
      <w:r w:rsidRPr="003760A3">
        <w:rPr>
          <w:rFonts w:cs="Arial"/>
          <w:szCs w:val="22"/>
        </w:rPr>
        <w:t>The apportionment of Playing Fields and Open Spaces is quite complicated.  It falls into five parts:</w:t>
      </w:r>
    </w:p>
    <w:p w:rsidR="00D867E4" w:rsidRDefault="00D867E4" w:rsidP="003760A3">
      <w:pPr>
        <w:rPr>
          <w:rFonts w:cs="Arial"/>
          <w:szCs w:val="22"/>
        </w:rPr>
      </w:pPr>
    </w:p>
    <w:p w:rsidR="003760A3" w:rsidRPr="003760A3" w:rsidRDefault="003760A3" w:rsidP="003760A3">
      <w:pPr>
        <w:pStyle w:val="ListParagraph"/>
        <w:numPr>
          <w:ilvl w:val="0"/>
          <w:numId w:val="6"/>
        </w:numPr>
        <w:spacing w:after="0"/>
        <w:jc w:val="both"/>
        <w:rPr>
          <w:rFonts w:ascii="Arial" w:hAnsi="Arial" w:cs="Arial"/>
          <w:b/>
        </w:rPr>
      </w:pPr>
      <w:r w:rsidRPr="003760A3">
        <w:rPr>
          <w:rFonts w:ascii="Arial" w:hAnsi="Arial" w:cs="Arial"/>
          <w:b/>
        </w:rPr>
        <w:t>General expenditure</w:t>
      </w:r>
    </w:p>
    <w:p w:rsidR="003760A3" w:rsidRDefault="003760A3" w:rsidP="003760A3">
      <w:pPr>
        <w:ind w:left="360"/>
        <w:contextualSpacing/>
        <w:rPr>
          <w:rFonts w:cs="Arial"/>
          <w:szCs w:val="22"/>
        </w:rPr>
      </w:pPr>
      <w:r w:rsidRPr="003760A3">
        <w:rPr>
          <w:rFonts w:cs="Arial"/>
          <w:szCs w:val="22"/>
        </w:rPr>
        <w:t>The majority of the expenditure, including the Grounds Maintenance recharge, is apportioned on the basis of land area in hectares in Appendix C of the 2009 Grounds Maintenance contract (the list and details of locations)</w:t>
      </w:r>
    </w:p>
    <w:p w:rsidR="00994D80" w:rsidRPr="003760A3" w:rsidRDefault="00994D80" w:rsidP="003760A3">
      <w:pPr>
        <w:ind w:left="360"/>
        <w:contextualSpacing/>
        <w:rPr>
          <w:rFonts w:cs="Arial"/>
          <w:szCs w:val="22"/>
        </w:rPr>
      </w:pPr>
    </w:p>
    <w:p w:rsidR="003760A3" w:rsidRPr="003760A3" w:rsidRDefault="003760A3" w:rsidP="003760A3">
      <w:pPr>
        <w:pStyle w:val="ListParagraph"/>
        <w:numPr>
          <w:ilvl w:val="0"/>
          <w:numId w:val="6"/>
        </w:numPr>
        <w:spacing w:after="0"/>
        <w:jc w:val="both"/>
        <w:rPr>
          <w:rFonts w:ascii="Arial" w:hAnsi="Arial" w:cs="Arial"/>
          <w:b/>
        </w:rPr>
      </w:pPr>
      <w:r w:rsidRPr="003760A3">
        <w:rPr>
          <w:rFonts w:ascii="Arial" w:hAnsi="Arial" w:cs="Arial"/>
          <w:b/>
        </w:rPr>
        <w:t xml:space="preserve">Premises expenditure </w:t>
      </w:r>
    </w:p>
    <w:p w:rsidR="003760A3" w:rsidRDefault="003760A3" w:rsidP="003760A3">
      <w:pPr>
        <w:ind w:left="360"/>
        <w:contextualSpacing/>
        <w:rPr>
          <w:rFonts w:cs="Arial"/>
          <w:szCs w:val="22"/>
        </w:rPr>
      </w:pPr>
      <w:r w:rsidRPr="003760A3">
        <w:rPr>
          <w:rFonts w:cs="Arial"/>
          <w:szCs w:val="22"/>
        </w:rPr>
        <w:t>Premises expenditure is apportioned on the basis of number of pavilions, acknowledging the fact that not all sites have pavilions.</w:t>
      </w:r>
    </w:p>
    <w:p w:rsidR="00994D80" w:rsidRPr="003760A3" w:rsidRDefault="00994D80" w:rsidP="003760A3">
      <w:pPr>
        <w:ind w:left="360"/>
        <w:contextualSpacing/>
        <w:rPr>
          <w:rFonts w:cs="Arial"/>
          <w:szCs w:val="22"/>
        </w:rPr>
      </w:pPr>
    </w:p>
    <w:p w:rsidR="003760A3" w:rsidRPr="003760A3" w:rsidRDefault="003760A3" w:rsidP="003760A3">
      <w:pPr>
        <w:pStyle w:val="ListParagraph"/>
        <w:numPr>
          <w:ilvl w:val="0"/>
          <w:numId w:val="6"/>
        </w:numPr>
        <w:spacing w:after="0"/>
        <w:jc w:val="both"/>
        <w:rPr>
          <w:rFonts w:ascii="Arial" w:hAnsi="Arial" w:cs="Arial"/>
          <w:b/>
        </w:rPr>
      </w:pPr>
      <w:r w:rsidRPr="003760A3">
        <w:rPr>
          <w:rFonts w:ascii="Arial" w:hAnsi="Arial" w:cs="Arial"/>
          <w:b/>
        </w:rPr>
        <w:t>Tennis Court Expenditure</w:t>
      </w:r>
    </w:p>
    <w:p w:rsidR="003760A3" w:rsidRDefault="003760A3" w:rsidP="003760A3">
      <w:pPr>
        <w:ind w:left="360"/>
        <w:contextualSpacing/>
        <w:rPr>
          <w:rFonts w:cs="Arial"/>
          <w:szCs w:val="22"/>
        </w:rPr>
      </w:pPr>
      <w:r w:rsidRPr="003760A3">
        <w:rPr>
          <w:rFonts w:cs="Arial"/>
          <w:szCs w:val="22"/>
        </w:rPr>
        <w:t>This expenditure is only allocated to the areas that contain tennis courts.</w:t>
      </w:r>
    </w:p>
    <w:p w:rsidR="00994D80" w:rsidRPr="003760A3" w:rsidRDefault="00994D80" w:rsidP="003760A3">
      <w:pPr>
        <w:ind w:left="360"/>
        <w:contextualSpacing/>
        <w:rPr>
          <w:rFonts w:cs="Arial"/>
          <w:szCs w:val="22"/>
        </w:rPr>
      </w:pPr>
    </w:p>
    <w:p w:rsidR="003760A3" w:rsidRPr="003760A3" w:rsidRDefault="003760A3" w:rsidP="003760A3">
      <w:pPr>
        <w:pStyle w:val="ListParagraph"/>
        <w:numPr>
          <w:ilvl w:val="0"/>
          <w:numId w:val="6"/>
        </w:numPr>
        <w:spacing w:after="0"/>
        <w:jc w:val="both"/>
        <w:rPr>
          <w:rFonts w:ascii="Arial" w:hAnsi="Arial" w:cs="Arial"/>
          <w:b/>
        </w:rPr>
      </w:pPr>
      <w:r w:rsidRPr="003760A3">
        <w:rPr>
          <w:rFonts w:ascii="Arial" w:hAnsi="Arial" w:cs="Arial"/>
          <w:b/>
        </w:rPr>
        <w:lastRenderedPageBreak/>
        <w:t>Pitch/Court Hire Income</w:t>
      </w:r>
    </w:p>
    <w:p w:rsidR="003760A3" w:rsidRDefault="003760A3" w:rsidP="003760A3">
      <w:pPr>
        <w:ind w:left="360"/>
        <w:contextualSpacing/>
        <w:rPr>
          <w:rFonts w:cs="Arial"/>
          <w:szCs w:val="22"/>
        </w:rPr>
      </w:pPr>
      <w:r w:rsidRPr="003760A3">
        <w:rPr>
          <w:rFonts w:cs="Arial"/>
          <w:szCs w:val="22"/>
        </w:rPr>
        <w:t xml:space="preserve">The income is only apportioned to the sites that have pitches and courts for hire, on the basis of </w:t>
      </w:r>
      <w:r w:rsidR="005B5410">
        <w:rPr>
          <w:rFonts w:cs="Arial"/>
          <w:szCs w:val="22"/>
        </w:rPr>
        <w:t xml:space="preserve">the </w:t>
      </w:r>
      <w:r w:rsidRPr="003760A3">
        <w:rPr>
          <w:rFonts w:cs="Arial"/>
          <w:szCs w:val="22"/>
        </w:rPr>
        <w:t>number of pitches/courts.</w:t>
      </w:r>
    </w:p>
    <w:p w:rsidR="00994D80" w:rsidRPr="003760A3" w:rsidRDefault="00994D80" w:rsidP="003760A3">
      <w:pPr>
        <w:ind w:left="360"/>
        <w:contextualSpacing/>
        <w:rPr>
          <w:rFonts w:cs="Arial"/>
          <w:szCs w:val="22"/>
        </w:rPr>
      </w:pPr>
    </w:p>
    <w:p w:rsidR="003760A3" w:rsidRPr="003760A3" w:rsidRDefault="003760A3" w:rsidP="003760A3">
      <w:pPr>
        <w:pStyle w:val="ListParagraph"/>
        <w:numPr>
          <w:ilvl w:val="0"/>
          <w:numId w:val="6"/>
        </w:numPr>
        <w:spacing w:after="0"/>
        <w:jc w:val="both"/>
        <w:rPr>
          <w:rFonts w:ascii="Arial" w:hAnsi="Arial" w:cs="Arial"/>
          <w:b/>
        </w:rPr>
      </w:pPr>
      <w:r w:rsidRPr="003760A3">
        <w:rPr>
          <w:rFonts w:ascii="Arial" w:hAnsi="Arial" w:cs="Arial"/>
          <w:b/>
        </w:rPr>
        <w:t>Overheads (internal recharges for support services)</w:t>
      </w:r>
    </w:p>
    <w:p w:rsidR="003760A3" w:rsidRPr="003760A3" w:rsidRDefault="003760A3" w:rsidP="003760A3">
      <w:pPr>
        <w:spacing w:after="120"/>
        <w:ind w:left="360"/>
        <w:rPr>
          <w:rFonts w:cs="Arial"/>
          <w:szCs w:val="22"/>
        </w:rPr>
      </w:pPr>
      <w:r w:rsidRPr="003760A3">
        <w:rPr>
          <w:rFonts w:cs="Arial"/>
          <w:szCs w:val="22"/>
        </w:rPr>
        <w:t>Internal recharges are apportioned 72% on the GM contract and 28% on pitch income to reflect the nature of the recharge.</w:t>
      </w:r>
    </w:p>
    <w:p w:rsidR="003760A3" w:rsidRDefault="003760A3" w:rsidP="003760A3">
      <w:pPr>
        <w:rPr>
          <w:rFonts w:cs="Arial"/>
          <w:szCs w:val="22"/>
        </w:rPr>
      </w:pPr>
      <w:r w:rsidRPr="003760A3">
        <w:rPr>
          <w:rFonts w:cs="Arial"/>
          <w:szCs w:val="22"/>
        </w:rPr>
        <w:t>Analysis of the current allocations found the following:</w:t>
      </w:r>
    </w:p>
    <w:p w:rsidR="00994D80" w:rsidRPr="003760A3" w:rsidRDefault="00994D80" w:rsidP="003760A3">
      <w:pPr>
        <w:rPr>
          <w:rFonts w:cs="Arial"/>
          <w:szCs w:val="22"/>
        </w:rPr>
      </w:pPr>
    </w:p>
    <w:p w:rsidR="003760A3" w:rsidRPr="003D6D08" w:rsidRDefault="003760A3" w:rsidP="003760A3">
      <w:pPr>
        <w:pStyle w:val="ListParagraph"/>
        <w:numPr>
          <w:ilvl w:val="0"/>
          <w:numId w:val="7"/>
        </w:numPr>
        <w:jc w:val="both"/>
        <w:rPr>
          <w:rFonts w:ascii="Arial" w:hAnsi="Arial" w:cs="Arial"/>
        </w:rPr>
      </w:pPr>
      <w:r w:rsidRPr="003760A3">
        <w:rPr>
          <w:rFonts w:ascii="Arial" w:hAnsi="Arial" w:cs="Arial"/>
        </w:rPr>
        <w:t xml:space="preserve">The grounds maintenance percentages had been created using the full contract and stripping out Cemeteries and The Aquadrome from the old unparished area.  As a </w:t>
      </w:r>
      <w:r w:rsidRPr="003D6D08">
        <w:rPr>
          <w:rFonts w:ascii="Arial" w:hAnsi="Arial" w:cs="Arial"/>
        </w:rPr>
        <w:t xml:space="preserve">result of </w:t>
      </w:r>
      <w:r w:rsidR="00A15BFE" w:rsidRPr="003D6D08">
        <w:rPr>
          <w:rFonts w:ascii="Arial" w:hAnsi="Arial" w:cs="Arial"/>
        </w:rPr>
        <w:t>changes</w:t>
      </w:r>
      <w:r w:rsidRPr="003D6D08">
        <w:rPr>
          <w:rFonts w:ascii="Arial" w:hAnsi="Arial" w:cs="Arial"/>
        </w:rPr>
        <w:t xml:space="preserve"> in this calculation, the old unparished area </w:t>
      </w:r>
      <w:r w:rsidR="00676C77" w:rsidRPr="003D6D08">
        <w:rPr>
          <w:rFonts w:ascii="Arial" w:hAnsi="Arial" w:cs="Arial"/>
        </w:rPr>
        <w:t>would bear to</w:t>
      </w:r>
      <w:r w:rsidRPr="003D6D08">
        <w:rPr>
          <w:rFonts w:ascii="Arial" w:hAnsi="Arial" w:cs="Arial"/>
        </w:rPr>
        <w:t>o high a percentage of the costs.</w:t>
      </w:r>
    </w:p>
    <w:p w:rsidR="003760A3" w:rsidRPr="003760A3" w:rsidRDefault="003760A3" w:rsidP="003760A3">
      <w:pPr>
        <w:pStyle w:val="ListParagraph"/>
        <w:numPr>
          <w:ilvl w:val="0"/>
          <w:numId w:val="7"/>
        </w:numPr>
        <w:jc w:val="both"/>
        <w:rPr>
          <w:rFonts w:ascii="Arial" w:hAnsi="Arial" w:cs="Arial"/>
        </w:rPr>
      </w:pPr>
      <w:r w:rsidRPr="003760A3">
        <w:rPr>
          <w:rFonts w:ascii="Arial" w:hAnsi="Arial" w:cs="Arial"/>
        </w:rPr>
        <w:t>Additional items mentioned in the text and other appendices did not include measurements.  These inconsistencies led to Watford Rural picking up too large a proportion of costs for Oxhey Playing Fields, and other areas, including Chorleywood House Grounds and Leavesden Country Park, picking up too small a charge in comparison to their overall size.</w:t>
      </w:r>
    </w:p>
    <w:p w:rsidR="003760A3" w:rsidRPr="003760A3" w:rsidRDefault="003760A3" w:rsidP="003760A3">
      <w:pPr>
        <w:pStyle w:val="ListParagraph"/>
        <w:numPr>
          <w:ilvl w:val="0"/>
          <w:numId w:val="7"/>
        </w:numPr>
        <w:jc w:val="both"/>
        <w:rPr>
          <w:rFonts w:ascii="Arial" w:hAnsi="Arial" w:cs="Arial"/>
        </w:rPr>
      </w:pPr>
      <w:r w:rsidRPr="003760A3">
        <w:rPr>
          <w:rFonts w:ascii="Arial" w:hAnsi="Arial" w:cs="Arial"/>
        </w:rPr>
        <w:t>Additional sites have been added to the GM schedule since 2009 (eg The Horse Field funded from S106 monies).</w:t>
      </w:r>
    </w:p>
    <w:p w:rsidR="003760A3" w:rsidRPr="003760A3" w:rsidRDefault="003760A3" w:rsidP="003760A3">
      <w:pPr>
        <w:pStyle w:val="ListParagraph"/>
        <w:numPr>
          <w:ilvl w:val="0"/>
          <w:numId w:val="7"/>
        </w:numPr>
        <w:jc w:val="both"/>
        <w:rPr>
          <w:rFonts w:ascii="Arial" w:hAnsi="Arial" w:cs="Arial"/>
        </w:rPr>
      </w:pPr>
      <w:r w:rsidRPr="003760A3">
        <w:rPr>
          <w:rFonts w:ascii="Arial" w:hAnsi="Arial" w:cs="Arial"/>
        </w:rPr>
        <w:t>Premises expenditure was not apportioned to Leavesden Country Park, which does have a pavilion.</w:t>
      </w:r>
    </w:p>
    <w:p w:rsidR="003760A3" w:rsidRPr="003760A3" w:rsidRDefault="003760A3" w:rsidP="003760A3">
      <w:pPr>
        <w:pStyle w:val="ListParagraph"/>
        <w:numPr>
          <w:ilvl w:val="0"/>
          <w:numId w:val="7"/>
        </w:numPr>
        <w:jc w:val="both"/>
        <w:rPr>
          <w:rFonts w:ascii="Arial" w:hAnsi="Arial" w:cs="Arial"/>
        </w:rPr>
      </w:pPr>
      <w:r w:rsidRPr="003760A3">
        <w:rPr>
          <w:rFonts w:ascii="Arial" w:hAnsi="Arial" w:cs="Arial"/>
        </w:rPr>
        <w:t>Changes in pitch numbers and locations have not been reflected in the calculations</w:t>
      </w:r>
    </w:p>
    <w:p w:rsidR="00D867E4" w:rsidRDefault="003760A3" w:rsidP="003760A3">
      <w:pPr>
        <w:rPr>
          <w:rFonts w:cs="Arial"/>
          <w:szCs w:val="22"/>
        </w:rPr>
      </w:pPr>
      <w:r w:rsidRPr="003760A3">
        <w:rPr>
          <w:rFonts w:cs="Arial"/>
          <w:szCs w:val="22"/>
        </w:rPr>
        <w:t xml:space="preserve">The percentages have been recalculated using the original table, adjusted for </w:t>
      </w:r>
      <w:r w:rsidR="00676C77" w:rsidRPr="003D6D08">
        <w:rPr>
          <w:rFonts w:cs="Arial"/>
          <w:szCs w:val="22"/>
        </w:rPr>
        <w:t>changes since 2009</w:t>
      </w:r>
      <w:r w:rsidRPr="003D6D08">
        <w:rPr>
          <w:rFonts w:cs="Arial"/>
          <w:szCs w:val="22"/>
        </w:rPr>
        <w:t>.</w:t>
      </w:r>
      <w:r w:rsidRPr="003760A3">
        <w:rPr>
          <w:rFonts w:cs="Arial"/>
          <w:szCs w:val="22"/>
        </w:rPr>
        <w:t xml:space="preserve">  In addition, as part of the review, the complicated criteria for the apportionment of costs were compared to apportioning the whole cost centre on the basis of the new Grounds Maintenance percentages alone.  Using this simpler method made no material difference to the allocation of the expenses.  On the grounds of both materiality and simplicity, it is recommended that the current unwieldy calculation be replaced by this much simpler method.</w:t>
      </w:r>
    </w:p>
    <w:p w:rsidR="003760A3" w:rsidRPr="003760A3" w:rsidRDefault="003760A3" w:rsidP="003760A3">
      <w:pPr>
        <w:rPr>
          <w:rFonts w:cs="Arial"/>
          <w:b/>
          <w:szCs w:val="22"/>
        </w:rPr>
      </w:pPr>
    </w:p>
    <w:p w:rsidR="00173E87" w:rsidRPr="003760A3" w:rsidRDefault="003760A3" w:rsidP="003760A3">
      <w:pPr>
        <w:rPr>
          <w:rFonts w:cs="Arial"/>
          <w:szCs w:val="22"/>
        </w:rPr>
      </w:pPr>
      <w:r w:rsidRPr="003760A3">
        <w:rPr>
          <w:rFonts w:cs="Arial"/>
          <w:b/>
          <w:szCs w:val="22"/>
        </w:rPr>
        <w:t>Leavesden Country Park</w:t>
      </w:r>
    </w:p>
    <w:p w:rsidR="003760A3" w:rsidRDefault="003760A3" w:rsidP="003760A3">
      <w:pPr>
        <w:rPr>
          <w:rFonts w:cs="Arial"/>
          <w:szCs w:val="22"/>
        </w:rPr>
      </w:pPr>
      <w:r w:rsidRPr="003760A3">
        <w:rPr>
          <w:rFonts w:cs="Arial"/>
          <w:szCs w:val="22"/>
        </w:rPr>
        <w:t xml:space="preserve">Leavesden Country Park is part of the calculations above but is treated as a General Expense because S106 monies were given specifically for its upkeep when it was transferred from the Department of Health, so it is not funded from council tax.  Currently, there is no problem with this treatment but, if expenditure was not fully funded from the S106 monies, the </w:t>
      </w:r>
      <w:r w:rsidR="005B5410">
        <w:rPr>
          <w:rFonts w:cs="Arial"/>
          <w:szCs w:val="22"/>
        </w:rPr>
        <w:t>C</w:t>
      </w:r>
      <w:r w:rsidRPr="003760A3">
        <w:rPr>
          <w:rFonts w:cs="Arial"/>
          <w:szCs w:val="22"/>
        </w:rPr>
        <w:t>ouncil should consider whether all or part of any shortfall should be a Special Expense, charged to Abbots Langley.</w:t>
      </w:r>
    </w:p>
    <w:p w:rsidR="00173E87" w:rsidRPr="003760A3" w:rsidRDefault="00173E87" w:rsidP="003760A3">
      <w:pPr>
        <w:rPr>
          <w:rFonts w:cs="Arial"/>
          <w:szCs w:val="22"/>
        </w:rPr>
      </w:pPr>
    </w:p>
    <w:p w:rsidR="00173E87" w:rsidRPr="003760A3" w:rsidRDefault="003760A3" w:rsidP="003760A3">
      <w:pPr>
        <w:rPr>
          <w:rFonts w:cs="Arial"/>
          <w:szCs w:val="22"/>
        </w:rPr>
      </w:pPr>
      <w:r w:rsidRPr="003760A3">
        <w:rPr>
          <w:rFonts w:cs="Arial"/>
          <w:b/>
          <w:szCs w:val="22"/>
        </w:rPr>
        <w:t>The Aquadrome</w:t>
      </w:r>
    </w:p>
    <w:p w:rsidR="003760A3" w:rsidRDefault="003760A3" w:rsidP="003760A3">
      <w:pPr>
        <w:rPr>
          <w:rFonts w:cs="Arial"/>
          <w:szCs w:val="22"/>
        </w:rPr>
      </w:pPr>
      <w:r w:rsidRPr="003760A3">
        <w:rPr>
          <w:rFonts w:cs="Arial"/>
          <w:szCs w:val="22"/>
        </w:rPr>
        <w:t>The Aquadrome is a separate cost centre within TRDC accounts and is treated differently for the purposes of special Expenses.  Currently, 30% is deemed a General Expense and 70% is charged to the old unparished area.  This is a historic split, the basis of which is unclear.  It is probably based on a combination of usage figures from a survey many years ago, and a split between wet and dry activities, as water-based activities are specifically excluded from Special Expenses.  It needs to be revisited, as The Aquadrome falls entirely within Batchworth Parish.  The Ebury recreation ground on Riverside Drive is not part of The Aquadrome, but included within the general Playing Fields and Open Spaces budgets.</w:t>
      </w:r>
    </w:p>
    <w:p w:rsidR="00173E87" w:rsidRPr="003760A3" w:rsidRDefault="00173E87" w:rsidP="003760A3">
      <w:pPr>
        <w:rPr>
          <w:rFonts w:cs="Arial"/>
          <w:szCs w:val="22"/>
        </w:rPr>
      </w:pPr>
    </w:p>
    <w:p w:rsidR="003760A3" w:rsidRPr="003760A3" w:rsidRDefault="003760A3" w:rsidP="00173E87">
      <w:pPr>
        <w:rPr>
          <w:rFonts w:cs="Arial"/>
          <w:b/>
          <w:szCs w:val="22"/>
        </w:rPr>
      </w:pPr>
      <w:r w:rsidRPr="003760A3">
        <w:rPr>
          <w:rFonts w:cs="Arial"/>
          <w:szCs w:val="22"/>
        </w:rPr>
        <w:t>Officers have observed that The Aquadrome usage has widened beyond the district boundaries over recent years, as demonstrated by the much higher carpark usage.  As a unique facility within the district, it is unreasonable for the old unparished area (or the new Batchworth Parish) to bear 70% of the costs.  It is recommended that the charge to the new Batchworth Parish be reduced to 50%.</w:t>
      </w:r>
    </w:p>
    <w:p w:rsidR="003760A3" w:rsidRPr="003760A3" w:rsidRDefault="003760A3" w:rsidP="00450CCA">
      <w:pPr>
        <w:jc w:val="right"/>
        <w:rPr>
          <w:rFonts w:cs="Arial"/>
          <w:b/>
          <w:szCs w:val="22"/>
        </w:rPr>
      </w:pPr>
    </w:p>
    <w:p w:rsidR="003760A3" w:rsidRPr="003760A3" w:rsidRDefault="003760A3" w:rsidP="00450CCA">
      <w:pPr>
        <w:jc w:val="right"/>
        <w:rPr>
          <w:rFonts w:cs="Arial"/>
          <w:b/>
          <w:szCs w:val="22"/>
        </w:rPr>
      </w:pPr>
    </w:p>
    <w:p w:rsidR="00A15BFE" w:rsidRDefault="00A15BFE">
      <w:pPr>
        <w:tabs>
          <w:tab w:val="clear" w:pos="1260"/>
          <w:tab w:val="clear" w:pos="1980"/>
          <w:tab w:val="clear" w:pos="2700"/>
          <w:tab w:val="clear" w:pos="3420"/>
        </w:tabs>
        <w:jc w:val="left"/>
        <w:rPr>
          <w:rFonts w:cs="Arial"/>
          <w:b/>
          <w:szCs w:val="22"/>
        </w:rPr>
      </w:pPr>
      <w:r>
        <w:rPr>
          <w:rFonts w:cs="Arial"/>
          <w:b/>
          <w:szCs w:val="22"/>
        </w:rPr>
        <w:br w:type="page"/>
      </w:r>
    </w:p>
    <w:p w:rsidR="00450CCA" w:rsidRDefault="00450CCA" w:rsidP="00450CCA">
      <w:pPr>
        <w:jc w:val="right"/>
        <w:rPr>
          <w:rFonts w:cs="Arial"/>
          <w:b/>
          <w:szCs w:val="22"/>
        </w:rPr>
      </w:pPr>
      <w:r w:rsidRPr="003760A3">
        <w:rPr>
          <w:rFonts w:cs="Arial"/>
          <w:b/>
          <w:szCs w:val="22"/>
        </w:rPr>
        <w:lastRenderedPageBreak/>
        <w:t xml:space="preserve">APPENDIX </w:t>
      </w:r>
      <w:r w:rsidR="00173E87">
        <w:rPr>
          <w:rFonts w:cs="Arial"/>
          <w:b/>
          <w:szCs w:val="22"/>
        </w:rPr>
        <w:t>2</w:t>
      </w:r>
    </w:p>
    <w:p w:rsidR="00173E87" w:rsidRPr="003760A3" w:rsidRDefault="00173E87" w:rsidP="00450CCA">
      <w:pPr>
        <w:jc w:val="right"/>
        <w:rPr>
          <w:rFonts w:cs="Arial"/>
          <w:szCs w:val="22"/>
        </w:rPr>
      </w:pPr>
    </w:p>
    <w:p w:rsidR="00450CCA" w:rsidRPr="003760A3" w:rsidRDefault="00450CCA" w:rsidP="00450CCA">
      <w:pPr>
        <w:keepNext/>
        <w:ind w:left="1267" w:hanging="1267"/>
        <w:jc w:val="left"/>
        <w:rPr>
          <w:rFonts w:cs="Arial"/>
          <w:szCs w:val="22"/>
        </w:rPr>
      </w:pPr>
      <w:r w:rsidRPr="003760A3">
        <w:rPr>
          <w:rFonts w:cs="Arial"/>
          <w:b/>
          <w:szCs w:val="22"/>
        </w:rPr>
        <w:t>LOCAL GOVERNMENT FINANCE ACT 1992</w:t>
      </w:r>
      <w:r w:rsidRPr="003760A3">
        <w:rPr>
          <w:rFonts w:cs="Arial"/>
          <w:szCs w:val="22"/>
        </w:rPr>
        <w:tab/>
      </w:r>
    </w:p>
    <w:p w:rsidR="00450CCA" w:rsidRPr="003760A3" w:rsidRDefault="00450CCA" w:rsidP="00450CCA">
      <w:pPr>
        <w:keepNext/>
        <w:ind w:left="1267" w:hanging="1267"/>
        <w:rPr>
          <w:rFonts w:cs="Arial"/>
          <w:szCs w:val="22"/>
        </w:rPr>
      </w:pPr>
    </w:p>
    <w:p w:rsidR="00450CCA" w:rsidRPr="003760A3" w:rsidRDefault="00450CCA" w:rsidP="00EA6803">
      <w:pPr>
        <w:ind w:left="1980" w:hanging="1267"/>
        <w:rPr>
          <w:rFonts w:cs="Arial"/>
          <w:szCs w:val="22"/>
        </w:rPr>
      </w:pPr>
      <w:r w:rsidRPr="003760A3">
        <w:rPr>
          <w:rFonts w:cs="Arial"/>
          <w:szCs w:val="22"/>
        </w:rPr>
        <w:tab/>
      </w:r>
      <w:r w:rsidRPr="003760A3">
        <w:rPr>
          <w:rFonts w:cs="Arial"/>
          <w:b/>
          <w:szCs w:val="22"/>
        </w:rPr>
        <w:t xml:space="preserve">34. </w:t>
      </w:r>
      <w:r w:rsidRPr="003760A3">
        <w:rPr>
          <w:rFonts w:cs="Arial"/>
          <w:szCs w:val="22"/>
        </w:rPr>
        <w:t>– (1) This section applies where for any financial year an item mentioned in section 35(1) below relates to a part only of a billing authority’s area; and in this section “special item” means any such item which so relates and “the relevant part”, in relation to such an item, means the part concerned.</w:t>
      </w:r>
    </w:p>
    <w:p w:rsidR="00450CCA" w:rsidRPr="003760A3" w:rsidRDefault="00450CCA" w:rsidP="00450CCA">
      <w:pPr>
        <w:ind w:left="1267" w:hanging="1267"/>
        <w:rPr>
          <w:rFonts w:cs="Arial"/>
          <w:szCs w:val="22"/>
        </w:rPr>
      </w:pPr>
    </w:p>
    <w:p w:rsidR="00450CCA" w:rsidRPr="003760A3" w:rsidRDefault="00450CCA" w:rsidP="00EA6803">
      <w:pPr>
        <w:ind w:left="1980" w:hanging="1267"/>
        <w:rPr>
          <w:rFonts w:cs="Arial"/>
          <w:szCs w:val="22"/>
        </w:rPr>
      </w:pPr>
      <w:r w:rsidRPr="003760A3">
        <w:rPr>
          <w:rFonts w:cs="Arial"/>
          <w:szCs w:val="22"/>
        </w:rPr>
        <w:tab/>
      </w:r>
      <w:r w:rsidR="00EA6803" w:rsidRPr="003760A3">
        <w:rPr>
          <w:rFonts w:cs="Arial"/>
          <w:szCs w:val="22"/>
        </w:rPr>
        <w:tab/>
      </w:r>
      <w:r w:rsidRPr="003760A3">
        <w:rPr>
          <w:rFonts w:cs="Arial"/>
          <w:szCs w:val="22"/>
        </w:rPr>
        <w:t xml:space="preserve">(2) The authority shall calculate the basic amount of its council tax for dwellings in a part of its area to which no special item relates by applying the formula – </w:t>
      </w:r>
    </w:p>
    <w:p w:rsidR="00450CCA" w:rsidRPr="003760A3" w:rsidRDefault="00450CCA" w:rsidP="00450CCA">
      <w:pPr>
        <w:ind w:left="1267" w:hanging="1267"/>
        <w:rPr>
          <w:rFonts w:cs="Arial"/>
          <w:szCs w:val="22"/>
        </w:rPr>
      </w:pPr>
    </w:p>
    <w:p w:rsidR="00450CCA" w:rsidRPr="003760A3" w:rsidRDefault="00450CCA" w:rsidP="00450CCA">
      <w:pPr>
        <w:ind w:left="1267" w:hanging="1267"/>
        <w:rPr>
          <w:rFonts w:cs="Arial"/>
          <w:szCs w:val="22"/>
          <w:u w:val="single"/>
        </w:rPr>
      </w:pPr>
      <w:r w:rsidRPr="003760A3">
        <w:rPr>
          <w:rFonts w:cs="Arial"/>
          <w:szCs w:val="22"/>
        </w:rPr>
        <w:tab/>
      </w:r>
      <w:r w:rsidRPr="003760A3">
        <w:rPr>
          <w:rFonts w:cs="Arial"/>
          <w:szCs w:val="22"/>
        </w:rPr>
        <w:tab/>
      </w:r>
      <w:r w:rsidRPr="003760A3">
        <w:rPr>
          <w:rFonts w:cs="Arial"/>
          <w:szCs w:val="22"/>
        </w:rPr>
        <w:tab/>
      </w:r>
      <w:r w:rsidRPr="003760A3">
        <w:rPr>
          <w:rFonts w:cs="Arial"/>
          <w:szCs w:val="22"/>
        </w:rPr>
        <w:tab/>
      </w:r>
      <w:r w:rsidRPr="003760A3">
        <w:rPr>
          <w:rFonts w:cs="Arial"/>
          <w:szCs w:val="22"/>
        </w:rPr>
        <w:tab/>
        <w:t>B     –</w:t>
      </w:r>
      <w:r w:rsidRPr="003760A3">
        <w:rPr>
          <w:rFonts w:cs="Arial"/>
          <w:szCs w:val="22"/>
        </w:rPr>
        <w:tab/>
      </w:r>
      <w:r w:rsidRPr="003760A3">
        <w:rPr>
          <w:rFonts w:cs="Arial"/>
          <w:szCs w:val="22"/>
          <w:u w:val="single"/>
        </w:rPr>
        <w:t xml:space="preserve">A </w:t>
      </w:r>
    </w:p>
    <w:p w:rsidR="00450CCA" w:rsidRPr="003760A3" w:rsidRDefault="00450CCA" w:rsidP="00450CCA">
      <w:pPr>
        <w:ind w:left="1267" w:hanging="1267"/>
        <w:rPr>
          <w:rFonts w:cs="Arial"/>
          <w:szCs w:val="22"/>
        </w:rPr>
      </w:pPr>
      <w:r w:rsidRPr="003760A3">
        <w:rPr>
          <w:rFonts w:cs="Arial"/>
          <w:szCs w:val="22"/>
        </w:rPr>
        <w:tab/>
      </w:r>
      <w:r w:rsidRPr="003760A3">
        <w:rPr>
          <w:rFonts w:cs="Arial"/>
          <w:szCs w:val="22"/>
        </w:rPr>
        <w:tab/>
      </w:r>
      <w:r w:rsidRPr="003760A3">
        <w:rPr>
          <w:rFonts w:cs="Arial"/>
          <w:szCs w:val="22"/>
        </w:rPr>
        <w:tab/>
      </w:r>
      <w:r w:rsidRPr="003760A3">
        <w:rPr>
          <w:rFonts w:cs="Arial"/>
          <w:szCs w:val="22"/>
        </w:rPr>
        <w:tab/>
      </w:r>
      <w:r w:rsidRPr="003760A3">
        <w:rPr>
          <w:rFonts w:cs="Arial"/>
          <w:szCs w:val="22"/>
        </w:rPr>
        <w:tab/>
      </w:r>
      <w:r w:rsidRPr="003760A3">
        <w:rPr>
          <w:rFonts w:cs="Arial"/>
          <w:szCs w:val="22"/>
        </w:rPr>
        <w:tab/>
      </w:r>
      <w:r w:rsidRPr="003760A3">
        <w:rPr>
          <w:rFonts w:cs="Arial"/>
          <w:szCs w:val="22"/>
        </w:rPr>
        <w:tab/>
        <w:t>T</w:t>
      </w:r>
    </w:p>
    <w:p w:rsidR="00450CCA" w:rsidRPr="003760A3" w:rsidRDefault="00450CCA" w:rsidP="00450CCA">
      <w:pPr>
        <w:ind w:left="1267" w:hanging="1267"/>
        <w:rPr>
          <w:rFonts w:cs="Arial"/>
          <w:szCs w:val="22"/>
        </w:rPr>
      </w:pPr>
      <w:r w:rsidRPr="003760A3">
        <w:rPr>
          <w:rFonts w:cs="Arial"/>
          <w:szCs w:val="22"/>
        </w:rPr>
        <w:tab/>
        <w:t xml:space="preserve">where – </w:t>
      </w:r>
    </w:p>
    <w:p w:rsidR="00450CCA" w:rsidRPr="003760A3" w:rsidRDefault="00450CCA" w:rsidP="00450CCA">
      <w:pPr>
        <w:ind w:left="1267" w:hanging="1267"/>
        <w:rPr>
          <w:rFonts w:cs="Arial"/>
          <w:szCs w:val="22"/>
        </w:rPr>
      </w:pPr>
    </w:p>
    <w:p w:rsidR="00450CCA" w:rsidRPr="003760A3" w:rsidRDefault="00450CCA" w:rsidP="00450CCA">
      <w:pPr>
        <w:tabs>
          <w:tab w:val="clear" w:pos="1260"/>
          <w:tab w:val="clear" w:pos="1980"/>
          <w:tab w:val="left" w:pos="1985"/>
        </w:tabs>
        <w:ind w:left="1985" w:hanging="1267"/>
        <w:rPr>
          <w:rFonts w:cs="Arial"/>
          <w:szCs w:val="22"/>
        </w:rPr>
      </w:pPr>
      <w:r w:rsidRPr="003760A3">
        <w:rPr>
          <w:rFonts w:cs="Arial"/>
          <w:szCs w:val="22"/>
        </w:rPr>
        <w:tab/>
        <w:t xml:space="preserve">B is the amount calculated (or last calculated) by the authority under section 33(1) above as the basic amount of its council tax: </w:t>
      </w:r>
    </w:p>
    <w:p w:rsidR="00450CCA" w:rsidRPr="003760A3" w:rsidRDefault="00450CCA" w:rsidP="00450CCA">
      <w:pPr>
        <w:tabs>
          <w:tab w:val="clear" w:pos="1260"/>
          <w:tab w:val="clear" w:pos="1980"/>
          <w:tab w:val="left" w:pos="1985"/>
        </w:tabs>
        <w:ind w:left="1985" w:hanging="1267"/>
        <w:rPr>
          <w:rFonts w:cs="Arial"/>
          <w:szCs w:val="22"/>
        </w:rPr>
      </w:pPr>
    </w:p>
    <w:p w:rsidR="00450CCA" w:rsidRPr="003760A3" w:rsidRDefault="00450CCA" w:rsidP="00450CCA">
      <w:pPr>
        <w:tabs>
          <w:tab w:val="clear" w:pos="1260"/>
          <w:tab w:val="clear" w:pos="1980"/>
          <w:tab w:val="left" w:pos="1985"/>
        </w:tabs>
        <w:ind w:left="1985" w:hanging="1267"/>
        <w:rPr>
          <w:rFonts w:cs="Arial"/>
          <w:szCs w:val="22"/>
        </w:rPr>
      </w:pPr>
      <w:r w:rsidRPr="003760A3">
        <w:rPr>
          <w:rFonts w:cs="Arial"/>
          <w:szCs w:val="22"/>
        </w:rPr>
        <w:tab/>
        <w:t>A is the aggregate amount of all special items;</w:t>
      </w:r>
    </w:p>
    <w:p w:rsidR="00450CCA" w:rsidRPr="003760A3" w:rsidRDefault="00450CCA" w:rsidP="00450CCA">
      <w:pPr>
        <w:tabs>
          <w:tab w:val="clear" w:pos="1260"/>
          <w:tab w:val="clear" w:pos="1980"/>
          <w:tab w:val="left" w:pos="1985"/>
        </w:tabs>
        <w:ind w:left="1985" w:hanging="1267"/>
        <w:rPr>
          <w:rFonts w:cs="Arial"/>
          <w:szCs w:val="22"/>
        </w:rPr>
      </w:pPr>
    </w:p>
    <w:p w:rsidR="00450CCA" w:rsidRPr="003760A3" w:rsidRDefault="00450CCA" w:rsidP="00450CCA">
      <w:pPr>
        <w:tabs>
          <w:tab w:val="clear" w:pos="1260"/>
          <w:tab w:val="clear" w:pos="1980"/>
          <w:tab w:val="left" w:pos="1985"/>
        </w:tabs>
        <w:ind w:left="1985" w:hanging="1267"/>
        <w:rPr>
          <w:rFonts w:cs="Arial"/>
          <w:szCs w:val="22"/>
        </w:rPr>
      </w:pPr>
      <w:r w:rsidRPr="003760A3">
        <w:rPr>
          <w:rFonts w:cs="Arial"/>
          <w:szCs w:val="22"/>
        </w:rPr>
        <w:tab/>
        <w:t>T is the amount determined for item T in section 33(1) above.</w:t>
      </w:r>
    </w:p>
    <w:p w:rsidR="00450CCA" w:rsidRPr="003760A3" w:rsidRDefault="00450CCA" w:rsidP="00450CCA">
      <w:pPr>
        <w:tabs>
          <w:tab w:val="clear" w:pos="1260"/>
          <w:tab w:val="clear" w:pos="1980"/>
          <w:tab w:val="left" w:pos="1985"/>
        </w:tabs>
        <w:ind w:left="1985" w:hanging="1267"/>
        <w:rPr>
          <w:rFonts w:cs="Arial"/>
          <w:szCs w:val="22"/>
        </w:rPr>
      </w:pPr>
    </w:p>
    <w:p w:rsidR="00450CCA" w:rsidRPr="003760A3" w:rsidRDefault="00450CCA" w:rsidP="00EA6803">
      <w:pPr>
        <w:tabs>
          <w:tab w:val="clear" w:pos="1980"/>
          <w:tab w:val="left" w:pos="1985"/>
        </w:tabs>
        <w:ind w:left="1985" w:hanging="1267"/>
        <w:rPr>
          <w:rFonts w:cs="Arial"/>
          <w:szCs w:val="22"/>
        </w:rPr>
      </w:pPr>
      <w:r w:rsidRPr="003760A3">
        <w:rPr>
          <w:rFonts w:cs="Arial"/>
          <w:szCs w:val="22"/>
        </w:rPr>
        <w:tab/>
      </w:r>
      <w:r w:rsidR="00EA6803" w:rsidRPr="003760A3">
        <w:rPr>
          <w:rFonts w:cs="Arial"/>
          <w:szCs w:val="22"/>
        </w:rPr>
        <w:tab/>
      </w:r>
      <w:r w:rsidRPr="003760A3">
        <w:rPr>
          <w:rFonts w:cs="Arial"/>
          <w:szCs w:val="22"/>
        </w:rPr>
        <w:t xml:space="preserve">(3) The authority shall calculate the basic amount of its council tax for dwellings in a part of its area to which one or more special items relate by adding to the amount given by the formula in subsection (2) above the aggregate of the amounts which, in relation to each of those special items, are given by the formula –  </w:t>
      </w:r>
    </w:p>
    <w:tbl>
      <w:tblPr>
        <w:tblW w:w="0" w:type="auto"/>
        <w:tblInd w:w="1267" w:type="dxa"/>
        <w:tblLayout w:type="fixed"/>
        <w:tblLook w:val="01E0" w:firstRow="1" w:lastRow="1" w:firstColumn="1" w:lastColumn="1" w:noHBand="0" w:noVBand="0"/>
      </w:tblPr>
      <w:tblGrid>
        <w:gridCol w:w="1080"/>
        <w:gridCol w:w="638"/>
        <w:gridCol w:w="630"/>
        <w:gridCol w:w="888"/>
        <w:gridCol w:w="708"/>
        <w:gridCol w:w="1588"/>
        <w:gridCol w:w="1252"/>
        <w:gridCol w:w="1252"/>
      </w:tblGrid>
      <w:tr w:rsidR="00450CCA" w:rsidRPr="003760A3" w:rsidTr="00450CCA">
        <w:tc>
          <w:tcPr>
            <w:tcW w:w="1080" w:type="dxa"/>
          </w:tcPr>
          <w:p w:rsidR="00450CCA" w:rsidRPr="003760A3" w:rsidRDefault="00450CCA" w:rsidP="00450CCA">
            <w:pPr>
              <w:tabs>
                <w:tab w:val="clear" w:pos="1260"/>
                <w:tab w:val="clear" w:pos="1980"/>
                <w:tab w:val="clear" w:pos="2700"/>
                <w:tab w:val="clear" w:pos="3420"/>
              </w:tabs>
              <w:rPr>
                <w:rFonts w:cs="Arial"/>
                <w:szCs w:val="22"/>
              </w:rPr>
            </w:pPr>
          </w:p>
        </w:tc>
        <w:tc>
          <w:tcPr>
            <w:tcW w:w="638" w:type="dxa"/>
          </w:tcPr>
          <w:p w:rsidR="00450CCA" w:rsidRPr="003760A3" w:rsidRDefault="00450CCA" w:rsidP="00450CCA">
            <w:pPr>
              <w:tabs>
                <w:tab w:val="clear" w:pos="1260"/>
                <w:tab w:val="clear" w:pos="1980"/>
                <w:tab w:val="clear" w:pos="2700"/>
                <w:tab w:val="clear" w:pos="3420"/>
              </w:tabs>
              <w:rPr>
                <w:rFonts w:cs="Arial"/>
                <w:szCs w:val="22"/>
              </w:rPr>
            </w:pPr>
          </w:p>
        </w:tc>
        <w:tc>
          <w:tcPr>
            <w:tcW w:w="630" w:type="dxa"/>
          </w:tcPr>
          <w:p w:rsidR="00450CCA" w:rsidRPr="003760A3" w:rsidRDefault="00450CCA" w:rsidP="00450CCA">
            <w:pPr>
              <w:tabs>
                <w:tab w:val="clear" w:pos="1260"/>
                <w:tab w:val="clear" w:pos="1980"/>
                <w:tab w:val="clear" w:pos="2700"/>
                <w:tab w:val="clear" w:pos="3420"/>
              </w:tabs>
              <w:rPr>
                <w:rFonts w:cs="Arial"/>
                <w:szCs w:val="22"/>
              </w:rPr>
            </w:pPr>
          </w:p>
        </w:tc>
        <w:tc>
          <w:tcPr>
            <w:tcW w:w="888" w:type="dxa"/>
          </w:tcPr>
          <w:p w:rsidR="00450CCA" w:rsidRPr="003760A3" w:rsidRDefault="00450CCA" w:rsidP="00450CCA">
            <w:pPr>
              <w:tabs>
                <w:tab w:val="clear" w:pos="1260"/>
                <w:tab w:val="clear" w:pos="1980"/>
                <w:tab w:val="clear" w:pos="2700"/>
                <w:tab w:val="clear" w:pos="3420"/>
              </w:tabs>
              <w:rPr>
                <w:rFonts w:cs="Arial"/>
                <w:szCs w:val="22"/>
              </w:rPr>
            </w:pPr>
          </w:p>
        </w:tc>
        <w:tc>
          <w:tcPr>
            <w:tcW w:w="708" w:type="dxa"/>
            <w:tcBorders>
              <w:bottom w:val="single" w:sz="4" w:space="0" w:color="auto"/>
            </w:tcBorders>
          </w:tcPr>
          <w:p w:rsidR="00450CCA" w:rsidRPr="003760A3" w:rsidRDefault="00450CCA" w:rsidP="00450CCA">
            <w:pPr>
              <w:tabs>
                <w:tab w:val="clear" w:pos="1260"/>
                <w:tab w:val="clear" w:pos="1980"/>
                <w:tab w:val="clear" w:pos="2700"/>
                <w:tab w:val="clear" w:pos="3420"/>
              </w:tabs>
              <w:jc w:val="center"/>
              <w:rPr>
                <w:rFonts w:cs="Arial"/>
                <w:szCs w:val="22"/>
              </w:rPr>
            </w:pPr>
            <w:r w:rsidRPr="003760A3">
              <w:rPr>
                <w:rFonts w:cs="Arial"/>
                <w:szCs w:val="22"/>
              </w:rPr>
              <w:t>S</w:t>
            </w:r>
          </w:p>
        </w:tc>
        <w:tc>
          <w:tcPr>
            <w:tcW w:w="1588" w:type="dxa"/>
          </w:tcPr>
          <w:p w:rsidR="00450CCA" w:rsidRPr="003760A3" w:rsidRDefault="00450CCA" w:rsidP="00450CCA">
            <w:pPr>
              <w:tabs>
                <w:tab w:val="clear" w:pos="1260"/>
                <w:tab w:val="clear" w:pos="1980"/>
                <w:tab w:val="clear" w:pos="2700"/>
                <w:tab w:val="clear" w:pos="3420"/>
              </w:tabs>
              <w:rPr>
                <w:rFonts w:cs="Arial"/>
                <w:szCs w:val="22"/>
              </w:rPr>
            </w:pPr>
          </w:p>
        </w:tc>
        <w:tc>
          <w:tcPr>
            <w:tcW w:w="1252" w:type="dxa"/>
          </w:tcPr>
          <w:p w:rsidR="00450CCA" w:rsidRPr="003760A3" w:rsidRDefault="00450CCA" w:rsidP="00450CCA">
            <w:pPr>
              <w:tabs>
                <w:tab w:val="clear" w:pos="1260"/>
                <w:tab w:val="clear" w:pos="1980"/>
                <w:tab w:val="clear" w:pos="2700"/>
                <w:tab w:val="clear" w:pos="3420"/>
              </w:tabs>
              <w:rPr>
                <w:rFonts w:cs="Arial"/>
                <w:szCs w:val="22"/>
              </w:rPr>
            </w:pPr>
          </w:p>
        </w:tc>
        <w:tc>
          <w:tcPr>
            <w:tcW w:w="1252" w:type="dxa"/>
          </w:tcPr>
          <w:p w:rsidR="00450CCA" w:rsidRPr="003760A3" w:rsidRDefault="00450CCA" w:rsidP="00450CCA">
            <w:pPr>
              <w:tabs>
                <w:tab w:val="clear" w:pos="1260"/>
                <w:tab w:val="clear" w:pos="1980"/>
                <w:tab w:val="clear" w:pos="2700"/>
                <w:tab w:val="clear" w:pos="3420"/>
              </w:tabs>
              <w:rPr>
                <w:rFonts w:cs="Arial"/>
                <w:szCs w:val="22"/>
                <w:u w:val="single"/>
              </w:rPr>
            </w:pPr>
            <w:r w:rsidRPr="003760A3">
              <w:rPr>
                <w:rFonts w:cs="Arial"/>
                <w:szCs w:val="22"/>
                <w:u w:val="single"/>
              </w:rPr>
              <w:t xml:space="preserve"> </w:t>
            </w:r>
          </w:p>
        </w:tc>
      </w:tr>
      <w:tr w:rsidR="00450CCA" w:rsidRPr="003760A3" w:rsidTr="00450CCA">
        <w:tc>
          <w:tcPr>
            <w:tcW w:w="1080" w:type="dxa"/>
          </w:tcPr>
          <w:p w:rsidR="00450CCA" w:rsidRPr="003760A3" w:rsidRDefault="00450CCA" w:rsidP="00450CCA">
            <w:pPr>
              <w:tabs>
                <w:tab w:val="clear" w:pos="1260"/>
                <w:tab w:val="clear" w:pos="1980"/>
                <w:tab w:val="clear" w:pos="2700"/>
                <w:tab w:val="clear" w:pos="3420"/>
              </w:tabs>
              <w:rPr>
                <w:rFonts w:cs="Arial"/>
                <w:szCs w:val="22"/>
              </w:rPr>
            </w:pPr>
          </w:p>
        </w:tc>
        <w:tc>
          <w:tcPr>
            <w:tcW w:w="638" w:type="dxa"/>
          </w:tcPr>
          <w:p w:rsidR="00450CCA" w:rsidRPr="003760A3" w:rsidRDefault="00450CCA" w:rsidP="00450CCA">
            <w:pPr>
              <w:tabs>
                <w:tab w:val="clear" w:pos="1260"/>
                <w:tab w:val="clear" w:pos="1980"/>
                <w:tab w:val="clear" w:pos="2700"/>
                <w:tab w:val="clear" w:pos="3420"/>
              </w:tabs>
              <w:rPr>
                <w:rFonts w:cs="Arial"/>
                <w:szCs w:val="22"/>
              </w:rPr>
            </w:pPr>
          </w:p>
        </w:tc>
        <w:tc>
          <w:tcPr>
            <w:tcW w:w="630" w:type="dxa"/>
          </w:tcPr>
          <w:p w:rsidR="00450CCA" w:rsidRPr="003760A3" w:rsidRDefault="00450CCA" w:rsidP="00450CCA">
            <w:pPr>
              <w:tabs>
                <w:tab w:val="clear" w:pos="1260"/>
                <w:tab w:val="clear" w:pos="1980"/>
                <w:tab w:val="clear" w:pos="2700"/>
                <w:tab w:val="clear" w:pos="3420"/>
              </w:tabs>
              <w:rPr>
                <w:rFonts w:cs="Arial"/>
                <w:szCs w:val="22"/>
              </w:rPr>
            </w:pPr>
          </w:p>
        </w:tc>
        <w:tc>
          <w:tcPr>
            <w:tcW w:w="888" w:type="dxa"/>
          </w:tcPr>
          <w:p w:rsidR="00450CCA" w:rsidRPr="003760A3" w:rsidRDefault="00450CCA" w:rsidP="00450CCA">
            <w:pPr>
              <w:tabs>
                <w:tab w:val="clear" w:pos="1260"/>
                <w:tab w:val="clear" w:pos="1980"/>
                <w:tab w:val="clear" w:pos="2700"/>
                <w:tab w:val="clear" w:pos="3420"/>
              </w:tabs>
              <w:rPr>
                <w:rFonts w:cs="Arial"/>
                <w:szCs w:val="22"/>
              </w:rPr>
            </w:pPr>
          </w:p>
        </w:tc>
        <w:tc>
          <w:tcPr>
            <w:tcW w:w="708" w:type="dxa"/>
            <w:tcBorders>
              <w:top w:val="single" w:sz="4" w:space="0" w:color="auto"/>
            </w:tcBorders>
          </w:tcPr>
          <w:p w:rsidR="00450CCA" w:rsidRPr="003760A3" w:rsidRDefault="00450CCA" w:rsidP="00450CCA">
            <w:pPr>
              <w:tabs>
                <w:tab w:val="clear" w:pos="1260"/>
                <w:tab w:val="clear" w:pos="1980"/>
                <w:tab w:val="clear" w:pos="2700"/>
                <w:tab w:val="clear" w:pos="3420"/>
              </w:tabs>
              <w:jc w:val="center"/>
              <w:rPr>
                <w:rFonts w:cs="Arial"/>
                <w:szCs w:val="22"/>
              </w:rPr>
            </w:pPr>
            <w:r w:rsidRPr="003760A3">
              <w:rPr>
                <w:rFonts w:cs="Arial"/>
                <w:szCs w:val="22"/>
              </w:rPr>
              <w:t>TP</w:t>
            </w:r>
          </w:p>
        </w:tc>
        <w:tc>
          <w:tcPr>
            <w:tcW w:w="1588" w:type="dxa"/>
          </w:tcPr>
          <w:p w:rsidR="00450CCA" w:rsidRPr="003760A3" w:rsidRDefault="00450CCA" w:rsidP="00450CCA">
            <w:pPr>
              <w:tabs>
                <w:tab w:val="clear" w:pos="1260"/>
                <w:tab w:val="clear" w:pos="1980"/>
                <w:tab w:val="clear" w:pos="2700"/>
                <w:tab w:val="clear" w:pos="3420"/>
              </w:tabs>
              <w:rPr>
                <w:rFonts w:cs="Arial"/>
                <w:szCs w:val="22"/>
              </w:rPr>
            </w:pPr>
          </w:p>
        </w:tc>
        <w:tc>
          <w:tcPr>
            <w:tcW w:w="1252" w:type="dxa"/>
          </w:tcPr>
          <w:p w:rsidR="00450CCA" w:rsidRPr="003760A3" w:rsidRDefault="00450CCA" w:rsidP="00450CCA">
            <w:pPr>
              <w:tabs>
                <w:tab w:val="clear" w:pos="1260"/>
                <w:tab w:val="clear" w:pos="1980"/>
                <w:tab w:val="clear" w:pos="2700"/>
                <w:tab w:val="clear" w:pos="3420"/>
              </w:tabs>
              <w:rPr>
                <w:rFonts w:cs="Arial"/>
                <w:szCs w:val="22"/>
              </w:rPr>
            </w:pPr>
          </w:p>
        </w:tc>
        <w:tc>
          <w:tcPr>
            <w:tcW w:w="1252" w:type="dxa"/>
          </w:tcPr>
          <w:p w:rsidR="00450CCA" w:rsidRPr="003760A3" w:rsidRDefault="00450CCA" w:rsidP="00450CCA">
            <w:pPr>
              <w:tabs>
                <w:tab w:val="clear" w:pos="1260"/>
                <w:tab w:val="clear" w:pos="1980"/>
                <w:tab w:val="clear" w:pos="2700"/>
                <w:tab w:val="clear" w:pos="3420"/>
              </w:tabs>
              <w:rPr>
                <w:rFonts w:cs="Arial"/>
                <w:szCs w:val="22"/>
                <w:u w:val="single"/>
              </w:rPr>
            </w:pPr>
          </w:p>
        </w:tc>
      </w:tr>
    </w:tbl>
    <w:p w:rsidR="00450CCA" w:rsidRPr="003760A3" w:rsidRDefault="00450CCA" w:rsidP="00450CCA">
      <w:pPr>
        <w:ind w:left="1267" w:hanging="1267"/>
        <w:rPr>
          <w:rFonts w:cs="Arial"/>
          <w:szCs w:val="22"/>
        </w:rPr>
      </w:pPr>
      <w:r w:rsidRPr="003760A3">
        <w:rPr>
          <w:rFonts w:cs="Arial"/>
          <w:szCs w:val="22"/>
        </w:rPr>
        <w:tab/>
        <w:t xml:space="preserve">where – </w:t>
      </w:r>
    </w:p>
    <w:p w:rsidR="00450CCA" w:rsidRPr="003760A3" w:rsidRDefault="00450CCA" w:rsidP="00450CCA">
      <w:pPr>
        <w:ind w:left="1267" w:hanging="1267"/>
        <w:rPr>
          <w:rFonts w:cs="Arial"/>
          <w:szCs w:val="22"/>
        </w:rPr>
      </w:pPr>
    </w:p>
    <w:p w:rsidR="00450CCA" w:rsidRPr="003760A3" w:rsidRDefault="00450CCA" w:rsidP="00450CCA">
      <w:pPr>
        <w:tabs>
          <w:tab w:val="clear" w:pos="1260"/>
          <w:tab w:val="clear" w:pos="1980"/>
          <w:tab w:val="left" w:pos="1985"/>
        </w:tabs>
        <w:ind w:left="1985" w:hanging="1267"/>
        <w:rPr>
          <w:rFonts w:cs="Arial"/>
          <w:szCs w:val="22"/>
        </w:rPr>
      </w:pPr>
      <w:r w:rsidRPr="003760A3">
        <w:rPr>
          <w:rFonts w:cs="Arial"/>
          <w:szCs w:val="22"/>
        </w:rPr>
        <w:tab/>
        <w:t xml:space="preserve">S is (in each case) the amount of the special item; </w:t>
      </w:r>
    </w:p>
    <w:p w:rsidR="00450CCA" w:rsidRPr="003760A3" w:rsidRDefault="00450CCA" w:rsidP="00450CCA">
      <w:pPr>
        <w:tabs>
          <w:tab w:val="clear" w:pos="1260"/>
          <w:tab w:val="clear" w:pos="1980"/>
          <w:tab w:val="left" w:pos="1985"/>
        </w:tabs>
        <w:ind w:left="1985" w:hanging="1267"/>
        <w:rPr>
          <w:rFonts w:cs="Arial"/>
          <w:szCs w:val="22"/>
        </w:rPr>
      </w:pPr>
    </w:p>
    <w:p w:rsidR="00450CCA" w:rsidRPr="003760A3" w:rsidRDefault="00450CCA" w:rsidP="00450CCA">
      <w:pPr>
        <w:tabs>
          <w:tab w:val="clear" w:pos="1260"/>
          <w:tab w:val="clear" w:pos="1980"/>
          <w:tab w:val="left" w:pos="1985"/>
        </w:tabs>
        <w:ind w:left="1985" w:hanging="1267"/>
        <w:rPr>
          <w:rFonts w:cs="Arial"/>
          <w:szCs w:val="22"/>
        </w:rPr>
      </w:pPr>
      <w:r w:rsidRPr="003760A3">
        <w:rPr>
          <w:rFonts w:cs="Arial"/>
          <w:szCs w:val="22"/>
        </w:rPr>
        <w:tab/>
        <w:t>TP is (in each case) the amount of the authority’s council tax base for the relevant part as calculated by it for the year.</w:t>
      </w:r>
    </w:p>
    <w:p w:rsidR="00450CCA" w:rsidRPr="003760A3" w:rsidRDefault="00450CCA" w:rsidP="00450CCA">
      <w:pPr>
        <w:tabs>
          <w:tab w:val="clear" w:pos="1260"/>
          <w:tab w:val="clear" w:pos="1980"/>
          <w:tab w:val="left" w:pos="1985"/>
        </w:tabs>
        <w:ind w:left="1985" w:hanging="1267"/>
        <w:rPr>
          <w:rFonts w:cs="Arial"/>
          <w:szCs w:val="22"/>
        </w:rPr>
      </w:pPr>
    </w:p>
    <w:p w:rsidR="00450CCA" w:rsidRPr="003760A3" w:rsidRDefault="00450CCA" w:rsidP="00450CCA">
      <w:pPr>
        <w:tabs>
          <w:tab w:val="clear" w:pos="1980"/>
          <w:tab w:val="left" w:pos="1985"/>
        </w:tabs>
        <w:ind w:left="1267" w:hanging="1267"/>
        <w:rPr>
          <w:rFonts w:cs="Arial"/>
          <w:szCs w:val="22"/>
        </w:rPr>
      </w:pPr>
      <w:r w:rsidRPr="003760A3">
        <w:rPr>
          <w:rFonts w:cs="Arial"/>
          <w:szCs w:val="22"/>
        </w:rPr>
        <w:tab/>
        <w:t>And</w:t>
      </w:r>
    </w:p>
    <w:p w:rsidR="00450CCA" w:rsidRPr="003760A3" w:rsidRDefault="00450CCA" w:rsidP="00450CCA">
      <w:pPr>
        <w:tabs>
          <w:tab w:val="clear" w:pos="1980"/>
          <w:tab w:val="left" w:pos="1985"/>
        </w:tabs>
        <w:ind w:left="1267" w:hanging="1267"/>
        <w:rPr>
          <w:rFonts w:cs="Arial"/>
          <w:szCs w:val="22"/>
        </w:rPr>
      </w:pPr>
    </w:p>
    <w:p w:rsidR="00450CCA" w:rsidRPr="003760A3" w:rsidRDefault="00450CCA" w:rsidP="00B71EBF">
      <w:pPr>
        <w:tabs>
          <w:tab w:val="clear" w:pos="1980"/>
          <w:tab w:val="clear" w:pos="2700"/>
          <w:tab w:val="left" w:pos="1985"/>
        </w:tabs>
        <w:ind w:left="1267" w:hanging="1267"/>
        <w:rPr>
          <w:rFonts w:cs="Arial"/>
          <w:szCs w:val="22"/>
        </w:rPr>
      </w:pPr>
      <w:r w:rsidRPr="003760A3">
        <w:rPr>
          <w:rFonts w:cs="Arial"/>
          <w:szCs w:val="22"/>
        </w:rPr>
        <w:tab/>
      </w:r>
      <w:r w:rsidRPr="003760A3">
        <w:rPr>
          <w:rFonts w:cs="Arial"/>
          <w:b/>
          <w:szCs w:val="22"/>
        </w:rPr>
        <w:t xml:space="preserve">35. </w:t>
      </w:r>
      <w:r w:rsidR="00B71EBF" w:rsidRPr="003760A3">
        <w:rPr>
          <w:rFonts w:cs="Arial"/>
          <w:szCs w:val="22"/>
        </w:rPr>
        <w:t>–</w:t>
      </w:r>
      <w:r w:rsidR="00B71EBF" w:rsidRPr="003760A3">
        <w:rPr>
          <w:rFonts w:cs="Arial"/>
          <w:b/>
          <w:szCs w:val="22"/>
        </w:rPr>
        <w:t xml:space="preserve"> </w:t>
      </w:r>
      <w:r w:rsidR="00B71EBF" w:rsidRPr="003760A3">
        <w:rPr>
          <w:rFonts w:cs="Arial"/>
          <w:szCs w:val="22"/>
        </w:rPr>
        <w:t>(</w:t>
      </w:r>
      <w:r w:rsidRPr="003760A3">
        <w:rPr>
          <w:rFonts w:cs="Arial"/>
          <w:szCs w:val="22"/>
        </w:rPr>
        <w:t>1)</w:t>
      </w:r>
      <w:r w:rsidRPr="003760A3">
        <w:rPr>
          <w:rFonts w:cs="Arial"/>
          <w:b/>
          <w:szCs w:val="22"/>
        </w:rPr>
        <w:t xml:space="preserve"> </w:t>
      </w:r>
      <w:r w:rsidRPr="003760A3">
        <w:rPr>
          <w:rFonts w:cs="Arial"/>
          <w:szCs w:val="22"/>
        </w:rPr>
        <w:t>The items</w:t>
      </w:r>
      <w:r w:rsidRPr="003760A3">
        <w:rPr>
          <w:rFonts w:cs="Arial"/>
          <w:b/>
          <w:szCs w:val="22"/>
        </w:rPr>
        <w:t xml:space="preserve"> </w:t>
      </w:r>
      <w:r w:rsidRPr="003760A3">
        <w:rPr>
          <w:rFonts w:cs="Arial"/>
          <w:szCs w:val="22"/>
        </w:rPr>
        <w:t xml:space="preserve">referred to in Section 34(1) above are – </w:t>
      </w:r>
    </w:p>
    <w:p w:rsidR="00450CCA" w:rsidRPr="003760A3" w:rsidRDefault="00450CCA" w:rsidP="00450CCA">
      <w:pPr>
        <w:tabs>
          <w:tab w:val="clear" w:pos="1980"/>
          <w:tab w:val="left" w:pos="1985"/>
        </w:tabs>
        <w:ind w:left="1267" w:hanging="1267"/>
        <w:rPr>
          <w:rFonts w:cs="Arial"/>
          <w:szCs w:val="22"/>
        </w:rPr>
      </w:pPr>
    </w:p>
    <w:p w:rsidR="00450CCA" w:rsidRPr="003760A3" w:rsidRDefault="00450CCA" w:rsidP="00450CCA">
      <w:pPr>
        <w:tabs>
          <w:tab w:val="clear" w:pos="1260"/>
          <w:tab w:val="clear" w:pos="1980"/>
          <w:tab w:val="left" w:pos="2552"/>
        </w:tabs>
        <w:ind w:left="2552" w:hanging="567"/>
        <w:rPr>
          <w:rFonts w:cs="Arial"/>
          <w:szCs w:val="22"/>
        </w:rPr>
      </w:pPr>
      <w:r w:rsidRPr="003760A3">
        <w:rPr>
          <w:rFonts w:cs="Arial"/>
          <w:szCs w:val="22"/>
        </w:rPr>
        <w:t>(a)</w:t>
      </w:r>
      <w:r w:rsidRPr="003760A3">
        <w:rPr>
          <w:rFonts w:cs="Arial"/>
          <w:szCs w:val="22"/>
        </w:rPr>
        <w:tab/>
        <w:t>any precept issued to or anticipated by the authority which is or is believed to be applicable to part of its area and was taken into account by it in making the calculation (or last calculation) in relation to the year under section 32(2) above; and</w:t>
      </w:r>
    </w:p>
    <w:p w:rsidR="00450CCA" w:rsidRPr="003760A3" w:rsidRDefault="00450CCA" w:rsidP="00450CCA">
      <w:pPr>
        <w:tabs>
          <w:tab w:val="clear" w:pos="1260"/>
          <w:tab w:val="clear" w:pos="1980"/>
          <w:tab w:val="left" w:pos="2552"/>
        </w:tabs>
        <w:ind w:left="2552" w:hanging="567"/>
        <w:rPr>
          <w:rFonts w:cs="Arial"/>
          <w:szCs w:val="22"/>
        </w:rPr>
      </w:pPr>
    </w:p>
    <w:p w:rsidR="00450CCA" w:rsidRPr="003760A3" w:rsidRDefault="00450CCA" w:rsidP="00450CCA">
      <w:pPr>
        <w:tabs>
          <w:tab w:val="clear" w:pos="1260"/>
          <w:tab w:val="clear" w:pos="1980"/>
          <w:tab w:val="left" w:pos="2552"/>
        </w:tabs>
        <w:ind w:left="2552" w:hanging="567"/>
        <w:rPr>
          <w:rFonts w:cs="Arial"/>
          <w:szCs w:val="22"/>
        </w:rPr>
      </w:pPr>
      <w:r w:rsidRPr="003760A3">
        <w:rPr>
          <w:rFonts w:cs="Arial"/>
          <w:szCs w:val="22"/>
        </w:rPr>
        <w:t>(b)</w:t>
      </w:r>
      <w:r w:rsidRPr="003760A3">
        <w:rPr>
          <w:rFonts w:cs="Arial"/>
          <w:szCs w:val="22"/>
        </w:rPr>
        <w:tab/>
        <w:t xml:space="preserve">any expenses of the authority which are its special expenses and were taken into account by it when making that calculation </w:t>
      </w:r>
    </w:p>
    <w:p w:rsidR="00450CCA" w:rsidRPr="003760A3" w:rsidRDefault="00450CCA" w:rsidP="00450CCA">
      <w:pPr>
        <w:tabs>
          <w:tab w:val="clear" w:pos="1260"/>
          <w:tab w:val="clear" w:pos="1980"/>
          <w:tab w:val="left" w:pos="2552"/>
        </w:tabs>
        <w:ind w:left="2552" w:hanging="567"/>
        <w:rPr>
          <w:rFonts w:cs="Arial"/>
          <w:szCs w:val="22"/>
        </w:rPr>
      </w:pPr>
    </w:p>
    <w:p w:rsidR="00450CCA" w:rsidRPr="003760A3" w:rsidRDefault="00450CCA" w:rsidP="00450CCA">
      <w:pPr>
        <w:tabs>
          <w:tab w:val="clear" w:pos="1980"/>
          <w:tab w:val="left" w:pos="1985"/>
        </w:tabs>
        <w:ind w:left="1267" w:hanging="1267"/>
        <w:rPr>
          <w:rFonts w:cs="Arial"/>
          <w:szCs w:val="22"/>
        </w:rPr>
      </w:pPr>
      <w:r w:rsidRPr="003760A3">
        <w:rPr>
          <w:rFonts w:cs="Arial"/>
          <w:szCs w:val="22"/>
        </w:rPr>
        <w:tab/>
      </w:r>
      <w:r w:rsidR="00EA6803" w:rsidRPr="003760A3">
        <w:rPr>
          <w:rFonts w:cs="Arial"/>
          <w:szCs w:val="22"/>
        </w:rPr>
        <w:tab/>
      </w:r>
      <w:r w:rsidR="00EA6803" w:rsidRPr="003760A3">
        <w:rPr>
          <w:rFonts w:cs="Arial"/>
          <w:szCs w:val="22"/>
        </w:rPr>
        <w:tab/>
      </w:r>
      <w:r w:rsidRPr="003760A3">
        <w:rPr>
          <w:rFonts w:cs="Arial"/>
          <w:szCs w:val="22"/>
        </w:rPr>
        <w:t>(2)</w:t>
      </w:r>
      <w:r w:rsidRPr="003760A3">
        <w:rPr>
          <w:rFonts w:cs="Arial"/>
          <w:szCs w:val="22"/>
        </w:rPr>
        <w:tab/>
        <w:t xml:space="preserve">For the purposes of subsection (1) above – </w:t>
      </w:r>
    </w:p>
    <w:p w:rsidR="00450CCA" w:rsidRPr="003760A3" w:rsidRDefault="00450CCA" w:rsidP="00450CCA">
      <w:pPr>
        <w:tabs>
          <w:tab w:val="clear" w:pos="1980"/>
          <w:tab w:val="left" w:pos="1985"/>
        </w:tabs>
        <w:ind w:left="1267" w:hanging="1267"/>
        <w:rPr>
          <w:rFonts w:cs="Arial"/>
          <w:szCs w:val="22"/>
        </w:rPr>
      </w:pPr>
      <w:r w:rsidRPr="003760A3">
        <w:rPr>
          <w:rFonts w:cs="Arial"/>
          <w:szCs w:val="22"/>
        </w:rPr>
        <w:tab/>
      </w:r>
    </w:p>
    <w:p w:rsidR="00450CCA" w:rsidRDefault="00450CCA" w:rsidP="00173E87">
      <w:pPr>
        <w:tabs>
          <w:tab w:val="clear" w:pos="1260"/>
          <w:tab w:val="clear" w:pos="1980"/>
          <w:tab w:val="left" w:pos="2552"/>
        </w:tabs>
        <w:ind w:left="2552" w:hanging="567"/>
      </w:pPr>
      <w:r w:rsidRPr="003760A3">
        <w:rPr>
          <w:rFonts w:cs="Arial"/>
          <w:szCs w:val="22"/>
        </w:rPr>
        <w:t>(d)</w:t>
      </w:r>
      <w:r w:rsidRPr="003760A3">
        <w:rPr>
          <w:rFonts w:cs="Arial"/>
          <w:szCs w:val="22"/>
        </w:rPr>
        <w:tab/>
        <w:t>any expenses incurred by a billing authority in performing in a part of its area a function preformed elsewhere in its area by the sub-treasurer of the Inner Temple, the under-treasurer of the Middle Temple, a parish or community council or the chairman of a parish meeting are the authority’s special expenses unless a resolution of the authority to the contrary effect is in force.</w:t>
      </w:r>
      <w:bookmarkStart w:id="0" w:name="_GoBack"/>
      <w:bookmarkEnd w:id="0"/>
    </w:p>
    <w:sectPr w:rsidR="00450CCA" w:rsidSect="005B713A">
      <w:footerReference w:type="default" r:id="rId9"/>
      <w:pgSz w:w="11909" w:h="16834" w:code="9"/>
      <w:pgMar w:top="737" w:right="1077" w:bottom="454" w:left="107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BEB" w:rsidRDefault="00D54BEB">
      <w:r>
        <w:separator/>
      </w:r>
    </w:p>
  </w:endnote>
  <w:endnote w:type="continuationSeparator" w:id="0">
    <w:p w:rsidR="00D54BEB" w:rsidRDefault="00D5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77603"/>
      <w:docPartObj>
        <w:docPartGallery w:val="Page Numbers (Bottom of Page)"/>
        <w:docPartUnique/>
      </w:docPartObj>
    </w:sdtPr>
    <w:sdtEndPr>
      <w:rPr>
        <w:noProof/>
      </w:rPr>
    </w:sdtEndPr>
    <w:sdtContent>
      <w:p w:rsidR="002A1973" w:rsidRDefault="002A1973" w:rsidP="002A1973">
        <w:pPr>
          <w:pStyle w:val="Footer"/>
          <w:jc w:val="center"/>
        </w:pPr>
        <w:r>
          <w:t>F</w:t>
        </w:r>
        <w:r>
          <w:fldChar w:fldCharType="begin"/>
        </w:r>
        <w:r>
          <w:instrText xml:space="preserve"> PAGE   \* MERGEFORMAT </w:instrText>
        </w:r>
        <w:r>
          <w:fldChar w:fldCharType="separate"/>
        </w:r>
        <w:r>
          <w:rPr>
            <w:noProof/>
          </w:rPr>
          <w:t>10</w:t>
        </w:r>
        <w:r>
          <w:rPr>
            <w:noProof/>
          </w:rPr>
          <w:fldChar w:fldCharType="end"/>
        </w:r>
      </w:p>
    </w:sdtContent>
  </w:sdt>
  <w:p w:rsidR="00AF7765" w:rsidRDefault="00AF7765" w:rsidP="00450CCA">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BEB" w:rsidRDefault="00D54BEB">
      <w:r>
        <w:separator/>
      </w:r>
    </w:p>
  </w:footnote>
  <w:footnote w:type="continuationSeparator" w:id="0">
    <w:p w:rsidR="00D54BEB" w:rsidRDefault="00D54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72CD"/>
    <w:multiLevelType w:val="hybridMultilevel"/>
    <w:tmpl w:val="CC349A52"/>
    <w:lvl w:ilvl="0" w:tplc="4D24D188">
      <w:start w:val="4"/>
      <w:numFmt w:val="decimal"/>
      <w:lvlText w:val="%1."/>
      <w:lvlJc w:val="left"/>
      <w:pPr>
        <w:tabs>
          <w:tab w:val="num" w:pos="502"/>
        </w:tabs>
        <w:ind w:left="502" w:hanging="360"/>
      </w:pPr>
      <w:rPr>
        <w:rFonts w:hint="default"/>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1">
    <w:nsid w:val="0D4D001E"/>
    <w:multiLevelType w:val="hybridMultilevel"/>
    <w:tmpl w:val="CA84E6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DF163DD"/>
    <w:multiLevelType w:val="hybridMultilevel"/>
    <w:tmpl w:val="D908A3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85A4CF4"/>
    <w:multiLevelType w:val="hybridMultilevel"/>
    <w:tmpl w:val="DA0A521E"/>
    <w:lvl w:ilvl="0" w:tplc="DA7E920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23048B3"/>
    <w:multiLevelType w:val="hybridMultilevel"/>
    <w:tmpl w:val="95AC51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1A5059F"/>
    <w:multiLevelType w:val="hybridMultilevel"/>
    <w:tmpl w:val="CCF458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72F57AE5"/>
    <w:multiLevelType w:val="hybridMultilevel"/>
    <w:tmpl w:val="8DC2B1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755B01F6"/>
    <w:multiLevelType w:val="hybridMultilevel"/>
    <w:tmpl w:val="18864252"/>
    <w:lvl w:ilvl="0" w:tplc="94E20BC0">
      <w:start w:val="1"/>
      <w:numFmt w:val="decimal"/>
      <w:lvlText w:val="%1"/>
      <w:lvlJc w:val="left"/>
      <w:pPr>
        <w:tabs>
          <w:tab w:val="num" w:pos="1980"/>
        </w:tabs>
        <w:ind w:left="1980" w:hanging="720"/>
      </w:pPr>
      <w:rPr>
        <w:rFonts w:hint="default"/>
      </w:rPr>
    </w:lvl>
    <w:lvl w:ilvl="1" w:tplc="08090019" w:tentative="1">
      <w:start w:val="1"/>
      <w:numFmt w:val="lowerLetter"/>
      <w:lvlText w:val="%2."/>
      <w:lvlJc w:val="left"/>
      <w:pPr>
        <w:tabs>
          <w:tab w:val="num" w:pos="2340"/>
        </w:tabs>
        <w:ind w:left="2340" w:hanging="360"/>
      </w:pPr>
    </w:lvl>
    <w:lvl w:ilvl="2" w:tplc="0809001B" w:tentative="1">
      <w:start w:val="1"/>
      <w:numFmt w:val="lowerRoman"/>
      <w:lvlText w:val="%3."/>
      <w:lvlJc w:val="right"/>
      <w:pPr>
        <w:tabs>
          <w:tab w:val="num" w:pos="3060"/>
        </w:tabs>
        <w:ind w:left="3060" w:hanging="180"/>
      </w:pPr>
    </w:lvl>
    <w:lvl w:ilvl="3" w:tplc="0809000F" w:tentative="1">
      <w:start w:val="1"/>
      <w:numFmt w:val="decimal"/>
      <w:lvlText w:val="%4."/>
      <w:lvlJc w:val="left"/>
      <w:pPr>
        <w:tabs>
          <w:tab w:val="num" w:pos="3780"/>
        </w:tabs>
        <w:ind w:left="3780" w:hanging="360"/>
      </w:pPr>
    </w:lvl>
    <w:lvl w:ilvl="4" w:tplc="08090019" w:tentative="1">
      <w:start w:val="1"/>
      <w:numFmt w:val="lowerLetter"/>
      <w:lvlText w:val="%5."/>
      <w:lvlJc w:val="left"/>
      <w:pPr>
        <w:tabs>
          <w:tab w:val="num" w:pos="4500"/>
        </w:tabs>
        <w:ind w:left="4500" w:hanging="360"/>
      </w:pPr>
    </w:lvl>
    <w:lvl w:ilvl="5" w:tplc="0809001B" w:tentative="1">
      <w:start w:val="1"/>
      <w:numFmt w:val="lowerRoman"/>
      <w:lvlText w:val="%6."/>
      <w:lvlJc w:val="right"/>
      <w:pPr>
        <w:tabs>
          <w:tab w:val="num" w:pos="5220"/>
        </w:tabs>
        <w:ind w:left="5220" w:hanging="180"/>
      </w:pPr>
    </w:lvl>
    <w:lvl w:ilvl="6" w:tplc="0809000F" w:tentative="1">
      <w:start w:val="1"/>
      <w:numFmt w:val="decimal"/>
      <w:lvlText w:val="%7."/>
      <w:lvlJc w:val="left"/>
      <w:pPr>
        <w:tabs>
          <w:tab w:val="num" w:pos="5940"/>
        </w:tabs>
        <w:ind w:left="5940" w:hanging="360"/>
      </w:pPr>
    </w:lvl>
    <w:lvl w:ilvl="7" w:tplc="08090019" w:tentative="1">
      <w:start w:val="1"/>
      <w:numFmt w:val="lowerLetter"/>
      <w:lvlText w:val="%8."/>
      <w:lvlJc w:val="left"/>
      <w:pPr>
        <w:tabs>
          <w:tab w:val="num" w:pos="6660"/>
        </w:tabs>
        <w:ind w:left="6660" w:hanging="360"/>
      </w:pPr>
    </w:lvl>
    <w:lvl w:ilvl="8" w:tplc="0809001B" w:tentative="1">
      <w:start w:val="1"/>
      <w:numFmt w:val="lowerRoman"/>
      <w:lvlText w:val="%9."/>
      <w:lvlJc w:val="right"/>
      <w:pPr>
        <w:tabs>
          <w:tab w:val="num" w:pos="7380"/>
        </w:tabs>
        <w:ind w:left="7380" w:hanging="180"/>
      </w:pPr>
    </w:lvl>
  </w:abstractNum>
  <w:num w:numId="1">
    <w:abstractNumId w:val="7"/>
  </w:num>
  <w:num w:numId="2">
    <w:abstractNumId w:val="0"/>
  </w:num>
  <w:num w:numId="3">
    <w:abstractNumId w:val="4"/>
  </w:num>
  <w:num w:numId="4">
    <w:abstractNumId w:val="2"/>
  </w:num>
  <w:num w:numId="5">
    <w:abstractNumId w:val="5"/>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CCA"/>
    <w:rsid w:val="00016F60"/>
    <w:rsid w:val="00030CA7"/>
    <w:rsid w:val="000412AE"/>
    <w:rsid w:val="0004250F"/>
    <w:rsid w:val="000C4D0A"/>
    <w:rsid w:val="000C6392"/>
    <w:rsid w:val="000E140F"/>
    <w:rsid w:val="00163B26"/>
    <w:rsid w:val="00173E87"/>
    <w:rsid w:val="001A0EFF"/>
    <w:rsid w:val="00213820"/>
    <w:rsid w:val="00263935"/>
    <w:rsid w:val="0027105E"/>
    <w:rsid w:val="00294AAD"/>
    <w:rsid w:val="002A1973"/>
    <w:rsid w:val="002D78AC"/>
    <w:rsid w:val="0031005C"/>
    <w:rsid w:val="00315F6F"/>
    <w:rsid w:val="00341CC4"/>
    <w:rsid w:val="003760A3"/>
    <w:rsid w:val="003853E6"/>
    <w:rsid w:val="003B2CA4"/>
    <w:rsid w:val="003C092E"/>
    <w:rsid w:val="003D6D08"/>
    <w:rsid w:val="003E0491"/>
    <w:rsid w:val="003E0CAB"/>
    <w:rsid w:val="00401D1E"/>
    <w:rsid w:val="00450CCA"/>
    <w:rsid w:val="00455162"/>
    <w:rsid w:val="00485871"/>
    <w:rsid w:val="00497F70"/>
    <w:rsid w:val="004A66FE"/>
    <w:rsid w:val="004C37A2"/>
    <w:rsid w:val="004D6B7C"/>
    <w:rsid w:val="005B0530"/>
    <w:rsid w:val="005B5410"/>
    <w:rsid w:val="005B713A"/>
    <w:rsid w:val="005E2CEB"/>
    <w:rsid w:val="00632CC4"/>
    <w:rsid w:val="006441B7"/>
    <w:rsid w:val="00676C77"/>
    <w:rsid w:val="0068126B"/>
    <w:rsid w:val="006E1ADF"/>
    <w:rsid w:val="006F7054"/>
    <w:rsid w:val="00721654"/>
    <w:rsid w:val="00722E57"/>
    <w:rsid w:val="00744A59"/>
    <w:rsid w:val="00785F97"/>
    <w:rsid w:val="00786301"/>
    <w:rsid w:val="007C134E"/>
    <w:rsid w:val="007C3EF4"/>
    <w:rsid w:val="007D39AD"/>
    <w:rsid w:val="00846CC8"/>
    <w:rsid w:val="00895320"/>
    <w:rsid w:val="008B66FC"/>
    <w:rsid w:val="0090270A"/>
    <w:rsid w:val="00972A21"/>
    <w:rsid w:val="00973331"/>
    <w:rsid w:val="00994D80"/>
    <w:rsid w:val="009E624C"/>
    <w:rsid w:val="009F3BBD"/>
    <w:rsid w:val="00A05AA3"/>
    <w:rsid w:val="00A13011"/>
    <w:rsid w:val="00A15BFE"/>
    <w:rsid w:val="00A425B2"/>
    <w:rsid w:val="00A42A0B"/>
    <w:rsid w:val="00A43B11"/>
    <w:rsid w:val="00A44650"/>
    <w:rsid w:val="00A71926"/>
    <w:rsid w:val="00A731C1"/>
    <w:rsid w:val="00A82095"/>
    <w:rsid w:val="00AF26D0"/>
    <w:rsid w:val="00AF7765"/>
    <w:rsid w:val="00B01516"/>
    <w:rsid w:val="00B158AA"/>
    <w:rsid w:val="00B442C1"/>
    <w:rsid w:val="00B71EBF"/>
    <w:rsid w:val="00BD31E9"/>
    <w:rsid w:val="00BF6973"/>
    <w:rsid w:val="00C53273"/>
    <w:rsid w:val="00C67EC2"/>
    <w:rsid w:val="00C7078E"/>
    <w:rsid w:val="00C76597"/>
    <w:rsid w:val="00C879E8"/>
    <w:rsid w:val="00CA5278"/>
    <w:rsid w:val="00CA7C6C"/>
    <w:rsid w:val="00CE10A1"/>
    <w:rsid w:val="00CF31D5"/>
    <w:rsid w:val="00D54BEB"/>
    <w:rsid w:val="00D867E4"/>
    <w:rsid w:val="00D961CB"/>
    <w:rsid w:val="00D97EAC"/>
    <w:rsid w:val="00DA49A4"/>
    <w:rsid w:val="00DE3EE7"/>
    <w:rsid w:val="00E10761"/>
    <w:rsid w:val="00E77920"/>
    <w:rsid w:val="00EA6803"/>
    <w:rsid w:val="00EB125D"/>
    <w:rsid w:val="00EC69E7"/>
    <w:rsid w:val="00F03DBB"/>
    <w:rsid w:val="00F2746E"/>
    <w:rsid w:val="00F51F9A"/>
    <w:rsid w:val="00F6394C"/>
    <w:rsid w:val="00FB2112"/>
    <w:rsid w:val="00FE57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CCA"/>
    <w:pPr>
      <w:tabs>
        <w:tab w:val="left" w:pos="1260"/>
        <w:tab w:val="left" w:pos="1980"/>
        <w:tab w:val="left" w:pos="2700"/>
        <w:tab w:val="left" w:pos="3420"/>
      </w:tabs>
      <w:jc w:val="both"/>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0CCA"/>
    <w:pPr>
      <w:tabs>
        <w:tab w:val="clear" w:pos="1260"/>
        <w:tab w:val="clear" w:pos="1980"/>
        <w:tab w:val="clear" w:pos="2700"/>
        <w:tab w:val="clear" w:pos="3420"/>
        <w:tab w:val="center" w:pos="4153"/>
        <w:tab w:val="right" w:pos="8306"/>
      </w:tabs>
    </w:pPr>
  </w:style>
  <w:style w:type="paragraph" w:styleId="Footer">
    <w:name w:val="footer"/>
    <w:basedOn w:val="Normal"/>
    <w:link w:val="FooterChar"/>
    <w:uiPriority w:val="99"/>
    <w:rsid w:val="00450CCA"/>
    <w:pPr>
      <w:tabs>
        <w:tab w:val="center" w:pos="4153"/>
        <w:tab w:val="right" w:pos="8306"/>
      </w:tabs>
    </w:pPr>
  </w:style>
  <w:style w:type="paragraph" w:styleId="BodyTextIndent">
    <w:name w:val="Body Text Indent"/>
    <w:basedOn w:val="Normal"/>
    <w:rsid w:val="00450CCA"/>
    <w:pPr>
      <w:ind w:left="1276" w:hanging="1276"/>
    </w:pPr>
  </w:style>
  <w:style w:type="table" w:styleId="TableGrid">
    <w:name w:val="Table Grid"/>
    <w:basedOn w:val="TableNormal"/>
    <w:uiPriority w:val="39"/>
    <w:rsid w:val="00644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E1ADF"/>
    <w:rPr>
      <w:rFonts w:ascii="Tahoma" w:hAnsi="Tahoma" w:cs="Tahoma"/>
      <w:sz w:val="16"/>
      <w:szCs w:val="16"/>
    </w:rPr>
  </w:style>
  <w:style w:type="paragraph" w:styleId="ListParagraph">
    <w:name w:val="List Paragraph"/>
    <w:basedOn w:val="Normal"/>
    <w:uiPriority w:val="34"/>
    <w:qFormat/>
    <w:rsid w:val="000412AE"/>
    <w:pPr>
      <w:tabs>
        <w:tab w:val="clear" w:pos="1260"/>
        <w:tab w:val="clear" w:pos="1980"/>
        <w:tab w:val="clear" w:pos="2700"/>
        <w:tab w:val="clear" w:pos="3420"/>
      </w:tabs>
      <w:spacing w:after="160" w:line="259" w:lineRule="auto"/>
      <w:ind w:left="720"/>
      <w:contextualSpacing/>
      <w:jc w:val="left"/>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2A1973"/>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CCA"/>
    <w:pPr>
      <w:tabs>
        <w:tab w:val="left" w:pos="1260"/>
        <w:tab w:val="left" w:pos="1980"/>
        <w:tab w:val="left" w:pos="2700"/>
        <w:tab w:val="left" w:pos="3420"/>
      </w:tabs>
      <w:jc w:val="both"/>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0CCA"/>
    <w:pPr>
      <w:tabs>
        <w:tab w:val="clear" w:pos="1260"/>
        <w:tab w:val="clear" w:pos="1980"/>
        <w:tab w:val="clear" w:pos="2700"/>
        <w:tab w:val="clear" w:pos="3420"/>
        <w:tab w:val="center" w:pos="4153"/>
        <w:tab w:val="right" w:pos="8306"/>
      </w:tabs>
    </w:pPr>
  </w:style>
  <w:style w:type="paragraph" w:styleId="Footer">
    <w:name w:val="footer"/>
    <w:basedOn w:val="Normal"/>
    <w:link w:val="FooterChar"/>
    <w:uiPriority w:val="99"/>
    <w:rsid w:val="00450CCA"/>
    <w:pPr>
      <w:tabs>
        <w:tab w:val="center" w:pos="4153"/>
        <w:tab w:val="right" w:pos="8306"/>
      </w:tabs>
    </w:pPr>
  </w:style>
  <w:style w:type="paragraph" w:styleId="BodyTextIndent">
    <w:name w:val="Body Text Indent"/>
    <w:basedOn w:val="Normal"/>
    <w:rsid w:val="00450CCA"/>
    <w:pPr>
      <w:ind w:left="1276" w:hanging="1276"/>
    </w:pPr>
  </w:style>
  <w:style w:type="table" w:styleId="TableGrid">
    <w:name w:val="Table Grid"/>
    <w:basedOn w:val="TableNormal"/>
    <w:uiPriority w:val="39"/>
    <w:rsid w:val="00644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E1ADF"/>
    <w:rPr>
      <w:rFonts w:ascii="Tahoma" w:hAnsi="Tahoma" w:cs="Tahoma"/>
      <w:sz w:val="16"/>
      <w:szCs w:val="16"/>
    </w:rPr>
  </w:style>
  <w:style w:type="paragraph" w:styleId="ListParagraph">
    <w:name w:val="List Paragraph"/>
    <w:basedOn w:val="Normal"/>
    <w:uiPriority w:val="34"/>
    <w:qFormat/>
    <w:rsid w:val="000412AE"/>
    <w:pPr>
      <w:tabs>
        <w:tab w:val="clear" w:pos="1260"/>
        <w:tab w:val="clear" w:pos="1980"/>
        <w:tab w:val="clear" w:pos="2700"/>
        <w:tab w:val="clear" w:pos="3420"/>
      </w:tabs>
      <w:spacing w:after="160" w:line="259" w:lineRule="auto"/>
      <w:ind w:left="720"/>
      <w:contextualSpacing/>
      <w:jc w:val="left"/>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2A197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5CDB7-F2BE-4918-8D27-E2CFABE7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3988</Words>
  <Characters>21096</Characters>
  <Application>Microsoft Office Word</Application>
  <DocSecurity>0</DocSecurity>
  <Lines>175</Lines>
  <Paragraphs>50</Paragraphs>
  <ScaleCrop>false</ScaleCrop>
  <HeadingPairs>
    <vt:vector size="2" baseType="variant">
      <vt:variant>
        <vt:lpstr>Title</vt:lpstr>
      </vt:variant>
      <vt:variant>
        <vt:i4>1</vt:i4>
      </vt:variant>
    </vt:vector>
  </HeadingPairs>
  <TitlesOfParts>
    <vt:vector size="1" baseType="lpstr">
      <vt:lpstr>EXECUTIVE COMMITTEE – 1 DECEMBER 2008</vt:lpstr>
    </vt:vector>
  </TitlesOfParts>
  <Company>Three Rivers District Council</Company>
  <LinksUpToDate>false</LinksUpToDate>
  <CharactersWithSpaces>25034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COMMITTEE – 1 DECEMBER 2008</dc:title>
  <dc:creator>Nigel Pollard</dc:creator>
  <cp:lastModifiedBy>Sarah Haythorpe</cp:lastModifiedBy>
  <cp:revision>3</cp:revision>
  <cp:lastPrinted>2015-11-05T17:17:00Z</cp:lastPrinted>
  <dcterms:created xsi:type="dcterms:W3CDTF">2016-12-05T18:38:00Z</dcterms:created>
  <dcterms:modified xsi:type="dcterms:W3CDTF">2016-12-05T19:07:00Z</dcterms:modified>
</cp:coreProperties>
</file>