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4AB" w:rsidRPr="00A72612" w:rsidRDefault="001404AB">
      <w:pPr>
        <w:jc w:val="center"/>
        <w:rPr>
          <w:b/>
        </w:rPr>
      </w:pPr>
      <w:r w:rsidRPr="00A72612">
        <w:rPr>
          <w:b/>
        </w:rPr>
        <w:fldChar w:fldCharType="begin"/>
      </w:r>
      <w:r w:rsidRPr="00A72612">
        <w:rPr>
          <w:b/>
        </w:rPr>
        <w:instrText xml:space="preserve">  </w:instrText>
      </w:r>
      <w:r w:rsidRPr="00A72612">
        <w:rPr>
          <w:b/>
        </w:rPr>
        <w:fldChar w:fldCharType="end"/>
      </w:r>
      <w:r w:rsidRPr="00A72612">
        <w:rPr>
          <w:b/>
        </w:rPr>
        <w:fldChar w:fldCharType="begin"/>
      </w:r>
      <w:r w:rsidRPr="00A72612">
        <w:rPr>
          <w:b/>
        </w:rPr>
        <w:instrText xml:space="preserve">  </w:instrText>
      </w:r>
      <w:r w:rsidRPr="00A72612">
        <w:rPr>
          <w:b/>
        </w:rPr>
        <w:fldChar w:fldCharType="end"/>
      </w:r>
      <w:r w:rsidRPr="00A72612">
        <w:rPr>
          <w:b/>
        </w:rPr>
        <w:t xml:space="preserve">COUNCIL – </w:t>
      </w:r>
      <w:r w:rsidR="000F5919">
        <w:rPr>
          <w:b/>
        </w:rPr>
        <w:t>13</w:t>
      </w:r>
      <w:r w:rsidR="00032ACE">
        <w:rPr>
          <w:b/>
        </w:rPr>
        <w:t xml:space="preserve"> </w:t>
      </w:r>
      <w:r w:rsidR="00166401">
        <w:rPr>
          <w:b/>
        </w:rPr>
        <w:t>DECEMBER</w:t>
      </w:r>
      <w:r w:rsidRPr="00A72612">
        <w:rPr>
          <w:b/>
        </w:rPr>
        <w:t xml:space="preserve"> 201</w:t>
      </w:r>
      <w:r w:rsidR="000F5919">
        <w:rPr>
          <w:b/>
        </w:rPr>
        <w:t>6</w:t>
      </w:r>
    </w:p>
    <w:p w:rsidR="00F54037" w:rsidRPr="00A72612" w:rsidRDefault="00F54037">
      <w:pPr>
        <w:jc w:val="center"/>
        <w:rPr>
          <w:b/>
        </w:rPr>
      </w:pPr>
    </w:p>
    <w:p w:rsidR="001404AB" w:rsidRPr="00A72612" w:rsidRDefault="006B7ED2">
      <w:pPr>
        <w:keepNext/>
        <w:ind w:left="1267" w:hanging="1267"/>
        <w:rPr>
          <w:i/>
        </w:rPr>
      </w:pPr>
      <w:r>
        <w:rPr>
          <w:b/>
        </w:rPr>
        <w:t>1</w:t>
      </w:r>
      <w:r w:rsidR="00DE0DBE">
        <w:rPr>
          <w:b/>
        </w:rPr>
        <w:t>5</w:t>
      </w:r>
      <w:r w:rsidR="001404AB" w:rsidRPr="00A72612">
        <w:rPr>
          <w:b/>
        </w:rPr>
        <w:t>.</w:t>
      </w:r>
      <w:r w:rsidR="001404AB" w:rsidRPr="00A72612">
        <w:rPr>
          <w:b/>
        </w:rPr>
        <w:fldChar w:fldCharType="begin"/>
      </w:r>
      <w:r w:rsidR="001404AB" w:rsidRPr="00A72612">
        <w:rPr>
          <w:b/>
        </w:rPr>
        <w:instrText xml:space="preserve">  </w:instrText>
      </w:r>
      <w:r w:rsidR="001404AB" w:rsidRPr="00A72612">
        <w:rPr>
          <w:b/>
        </w:rPr>
        <w:fldChar w:fldCharType="end"/>
      </w:r>
      <w:r w:rsidR="001404AB" w:rsidRPr="00A72612">
        <w:rPr>
          <w:b/>
        </w:rPr>
        <w:tab/>
      </w:r>
      <w:r w:rsidR="001404AB" w:rsidRPr="00A72612">
        <w:rPr>
          <w:b/>
        </w:rPr>
        <w:fldChar w:fldCharType="begin"/>
      </w:r>
      <w:r w:rsidR="001404AB" w:rsidRPr="00A72612">
        <w:rPr>
          <w:b/>
        </w:rPr>
        <w:instrText xml:space="preserve">  </w:instrText>
      </w:r>
      <w:r w:rsidR="001404AB" w:rsidRPr="00A72612">
        <w:rPr>
          <w:b/>
        </w:rPr>
        <w:fldChar w:fldCharType="end"/>
      </w:r>
      <w:r w:rsidR="001404AB" w:rsidRPr="00A72612">
        <w:rPr>
          <w:b/>
        </w:rPr>
        <w:t>COUNCIL TAX BASE FINANCIAL YEAR 201</w:t>
      </w:r>
      <w:r w:rsidR="000F5919">
        <w:rPr>
          <w:b/>
        </w:rPr>
        <w:t>7</w:t>
      </w:r>
      <w:r w:rsidR="001404AB" w:rsidRPr="00A72612">
        <w:rPr>
          <w:b/>
        </w:rPr>
        <w:t>/201</w:t>
      </w:r>
      <w:r w:rsidR="000F5919">
        <w:rPr>
          <w:b/>
        </w:rPr>
        <w:t>8</w:t>
      </w:r>
    </w:p>
    <w:p w:rsidR="001404AB" w:rsidRPr="00A72612" w:rsidRDefault="001404AB">
      <w:pPr>
        <w:keepNext/>
        <w:ind w:left="1267" w:hanging="1267"/>
        <w:rPr>
          <w:i/>
        </w:rPr>
      </w:pPr>
      <w:r w:rsidRPr="00A72612">
        <w:rPr>
          <w:b/>
        </w:rPr>
        <w:tab/>
      </w:r>
      <w:r w:rsidRPr="00A72612">
        <w:t>(</w:t>
      </w:r>
      <w:proofErr w:type="spellStart"/>
      <w:r w:rsidRPr="00A72612">
        <w:fldChar w:fldCharType="begin"/>
      </w:r>
      <w:r w:rsidRPr="00A72612">
        <w:instrText xml:space="preserve">  </w:instrText>
      </w:r>
      <w:r w:rsidRPr="00A72612">
        <w:fldChar w:fldCharType="end"/>
      </w:r>
      <w:r w:rsidRPr="00A72612">
        <w:t>D</w:t>
      </w:r>
      <w:r w:rsidR="0044777F">
        <w:t>o</w:t>
      </w:r>
      <w:r w:rsidR="00A72612">
        <w:t>F</w:t>
      </w:r>
      <w:proofErr w:type="spellEnd"/>
      <w:r w:rsidR="00A72612">
        <w:t>)</w:t>
      </w:r>
    </w:p>
    <w:p w:rsidR="001404AB" w:rsidRPr="00A72612" w:rsidRDefault="001404AB">
      <w:pPr>
        <w:keepNext/>
        <w:ind w:left="1267" w:hanging="1267"/>
      </w:pPr>
    </w:p>
    <w:p w:rsidR="001404AB" w:rsidRPr="00A72612" w:rsidRDefault="001404AB">
      <w:pPr>
        <w:keepNext/>
        <w:ind w:left="1267" w:hanging="1267"/>
      </w:pPr>
      <w:r w:rsidRPr="00A72612">
        <w:t>1.</w:t>
      </w:r>
      <w:r w:rsidRPr="00A72612">
        <w:tab/>
      </w:r>
      <w:r w:rsidRPr="00A72612">
        <w:rPr>
          <w:b/>
        </w:rPr>
        <w:t>Summary</w:t>
      </w:r>
    </w:p>
    <w:p w:rsidR="001404AB" w:rsidRPr="00A72612" w:rsidRDefault="001404AB">
      <w:pPr>
        <w:keepNext/>
        <w:ind w:left="1267" w:hanging="1267"/>
      </w:pPr>
    </w:p>
    <w:p w:rsidR="001404AB" w:rsidRPr="00A72612" w:rsidRDefault="001404AB">
      <w:pPr>
        <w:ind w:left="1267" w:hanging="1267"/>
      </w:pPr>
      <w:r w:rsidRPr="00A72612">
        <w:t>1.1</w:t>
      </w:r>
      <w:r w:rsidRPr="00A72612">
        <w:tab/>
      </w:r>
      <w:r w:rsidRPr="00A72612">
        <w:fldChar w:fldCharType="begin"/>
      </w:r>
      <w:r w:rsidRPr="00A72612">
        <w:instrText xml:space="preserve">  </w:instrText>
      </w:r>
      <w:r w:rsidRPr="00A72612">
        <w:fldChar w:fldCharType="end"/>
      </w:r>
      <w:r w:rsidRPr="00A72612">
        <w:t xml:space="preserve">This report details the Authority’s </w:t>
      </w:r>
      <w:r w:rsidR="00ED73BA">
        <w:t>C</w:t>
      </w:r>
      <w:r w:rsidRPr="00A72612">
        <w:t xml:space="preserve">ouncil tax base for </w:t>
      </w:r>
      <w:r w:rsidR="000F5919">
        <w:t>2017/2018</w:t>
      </w:r>
      <w:r w:rsidRPr="00A72612">
        <w:t xml:space="preserve"> which must be approved between 1 December 201</w:t>
      </w:r>
      <w:r w:rsidR="000F5919">
        <w:t>6</w:t>
      </w:r>
      <w:r w:rsidRPr="00A72612">
        <w:t xml:space="preserve"> and 31 January 201</w:t>
      </w:r>
      <w:r w:rsidR="000F5919">
        <w:t>7</w:t>
      </w:r>
      <w:r w:rsidRPr="00A72612">
        <w:t>.</w:t>
      </w:r>
    </w:p>
    <w:p w:rsidR="001404AB" w:rsidRPr="00A72612" w:rsidRDefault="001404AB">
      <w:pPr>
        <w:ind w:left="1267" w:hanging="1267"/>
      </w:pPr>
    </w:p>
    <w:p w:rsidR="001404AB" w:rsidRPr="00A72612" w:rsidRDefault="001404AB">
      <w:pPr>
        <w:keepNext/>
        <w:ind w:left="1267" w:hanging="1267"/>
        <w:rPr>
          <w:b/>
        </w:rPr>
      </w:pPr>
      <w:r w:rsidRPr="00A72612">
        <w:t>2.</w:t>
      </w:r>
      <w:r w:rsidRPr="00A72612">
        <w:tab/>
      </w:r>
      <w:r w:rsidRPr="00A72612">
        <w:rPr>
          <w:b/>
        </w:rPr>
        <w:t>Details</w:t>
      </w:r>
    </w:p>
    <w:p w:rsidR="001404AB" w:rsidRPr="00A72612" w:rsidRDefault="001404AB">
      <w:pPr>
        <w:keepNext/>
        <w:ind w:left="1267" w:hanging="1267"/>
        <w:rPr>
          <w:b/>
          <w:u w:val="single"/>
        </w:rPr>
      </w:pPr>
    </w:p>
    <w:p w:rsidR="001404AB" w:rsidRPr="00A72612" w:rsidRDefault="001404AB">
      <w:pPr>
        <w:pStyle w:val="BodyTextIndent2"/>
        <w:ind w:left="1260" w:hanging="1260"/>
      </w:pPr>
      <w:r w:rsidRPr="00A72612">
        <w:t>2.1</w:t>
      </w:r>
      <w:r w:rsidRPr="00A72612">
        <w:tab/>
        <w:t>The Local Government Finance Act 1992 Section </w:t>
      </w:r>
      <w:r w:rsidR="00622C12" w:rsidRPr="00A72612">
        <w:t>31B (</w:t>
      </w:r>
      <w:r w:rsidRPr="00A72612">
        <w:t>1) - (the Act), requires a billing authority to calculate a base which it, and the major precepting authority, can use in the formula for setting their respective council tax charges.</w:t>
      </w:r>
    </w:p>
    <w:p w:rsidR="001404AB" w:rsidRPr="00A72612" w:rsidRDefault="001404AB">
      <w:pPr>
        <w:ind w:left="1980" w:hanging="1980"/>
      </w:pPr>
    </w:p>
    <w:p w:rsidR="001404AB" w:rsidRPr="00A72612" w:rsidRDefault="001404AB">
      <w:pPr>
        <w:ind w:left="1260" w:hanging="1260"/>
      </w:pPr>
      <w:r w:rsidRPr="00A72612">
        <w:t>2.2</w:t>
      </w:r>
      <w:r w:rsidRPr="00A72612">
        <w:tab/>
        <w:t>Section 34(3) requires the billing authority to calculate the base for a part, or parts, of its area to which special items apply.</w:t>
      </w:r>
    </w:p>
    <w:p w:rsidR="001404AB" w:rsidRPr="00A72612" w:rsidRDefault="001404AB"/>
    <w:p w:rsidR="001404AB" w:rsidRPr="00A72612" w:rsidRDefault="001404AB">
      <w:pPr>
        <w:ind w:left="1260" w:hanging="1260"/>
      </w:pPr>
      <w:r w:rsidRPr="00A72612">
        <w:t>2.3</w:t>
      </w:r>
      <w:r w:rsidRPr="00A72612">
        <w:tab/>
        <w:t>The methodology to be employed is contained within The Local Authorities (Calculation of Council Tax Base)</w:t>
      </w:r>
      <w:r w:rsidR="008F012A" w:rsidRPr="00A72612">
        <w:t xml:space="preserve"> </w:t>
      </w:r>
      <w:r w:rsidRPr="00A72612">
        <w:t>(</w:t>
      </w:r>
      <w:smartTag w:uri="urn:schemas-microsoft-com:office:smarttags" w:element="country-region">
        <w:smartTag w:uri="urn:schemas-microsoft-com:office:smarttags" w:element="place">
          <w:r w:rsidRPr="00A72612">
            <w:t>England</w:t>
          </w:r>
        </w:smartTag>
      </w:smartTag>
      <w:r w:rsidRPr="00A72612">
        <w:t>) Regulations 20</w:t>
      </w:r>
      <w:r w:rsidR="008F012A" w:rsidRPr="00A72612">
        <w:t>12</w:t>
      </w:r>
      <w:r w:rsidRPr="00A72612">
        <w:t>, Statutory Instrument No </w:t>
      </w:r>
      <w:r w:rsidR="008F012A" w:rsidRPr="00A72612">
        <w:t>2914/2</w:t>
      </w:r>
      <w:r w:rsidRPr="00A72612">
        <w:t>012 – (the Regulations)</w:t>
      </w:r>
    </w:p>
    <w:p w:rsidR="001404AB" w:rsidRPr="00A72612" w:rsidRDefault="001404AB"/>
    <w:p w:rsidR="001404AB" w:rsidRPr="00A72612" w:rsidRDefault="001404AB">
      <w:pPr>
        <w:ind w:left="1260" w:hanging="1260"/>
      </w:pPr>
      <w:r w:rsidRPr="00A72612">
        <w:t>2.4</w:t>
      </w:r>
      <w:r w:rsidRPr="00A72612">
        <w:tab/>
        <w:t xml:space="preserve">The calculation is made by applying the following formula:- </w:t>
      </w:r>
    </w:p>
    <w:p w:rsidR="001404AB" w:rsidRPr="00A72612" w:rsidRDefault="001404AB"/>
    <w:p w:rsidR="001404AB" w:rsidRPr="00A72612" w:rsidRDefault="001404AB">
      <w:pPr>
        <w:outlineLvl w:val="0"/>
      </w:pPr>
      <w:r w:rsidRPr="00A72612">
        <w:tab/>
      </w:r>
      <w:r w:rsidRPr="00A72612">
        <w:tab/>
      </w:r>
      <w:r w:rsidRPr="00A72612">
        <w:tab/>
      </w:r>
      <w:proofErr w:type="gramStart"/>
      <w:r w:rsidRPr="00A72612">
        <w:t>A  x</w:t>
      </w:r>
      <w:proofErr w:type="gramEnd"/>
      <w:r w:rsidRPr="00A72612">
        <w:t xml:space="preserve">  B</w:t>
      </w:r>
    </w:p>
    <w:p w:rsidR="001404AB" w:rsidRPr="00A72612" w:rsidRDefault="001404AB"/>
    <w:p w:rsidR="001404AB" w:rsidRPr="00A72612" w:rsidRDefault="001404AB">
      <w:r w:rsidRPr="00A72612">
        <w:tab/>
      </w:r>
      <w:proofErr w:type="gramStart"/>
      <w:r w:rsidRPr="00A72612">
        <w:t>where</w:t>
      </w:r>
      <w:proofErr w:type="gramEnd"/>
      <w:r w:rsidRPr="00A72612">
        <w:t xml:space="preserve"> -</w:t>
      </w:r>
    </w:p>
    <w:p w:rsidR="001404AB" w:rsidRPr="00A72612" w:rsidRDefault="001404AB"/>
    <w:p w:rsidR="001404AB" w:rsidRPr="00A72612" w:rsidRDefault="001404AB">
      <w:pPr>
        <w:pStyle w:val="BodyTextIndent"/>
      </w:pPr>
      <w:r w:rsidRPr="00A72612">
        <w:tab/>
        <w:t>A</w:t>
      </w:r>
      <w:r w:rsidRPr="00A72612">
        <w:tab/>
        <w:t>is the total of the “relevant amounts” for that year for each of the valuation bands shown in the billing authority’s valuation list as applicable to one or more dwellings situated in its area;</w:t>
      </w:r>
    </w:p>
    <w:p w:rsidR="001404AB" w:rsidRPr="00A72612" w:rsidRDefault="001404AB">
      <w:pPr>
        <w:tabs>
          <w:tab w:val="left" w:pos="1620"/>
        </w:tabs>
      </w:pPr>
    </w:p>
    <w:p w:rsidR="001404AB" w:rsidRPr="00A72612" w:rsidRDefault="001404AB">
      <w:pPr>
        <w:tabs>
          <w:tab w:val="clear" w:pos="1980"/>
          <w:tab w:val="left" w:pos="1985"/>
        </w:tabs>
        <w:ind w:left="1980" w:hanging="1980"/>
      </w:pPr>
      <w:r w:rsidRPr="00A72612">
        <w:tab/>
        <w:t>B</w:t>
      </w:r>
      <w:r w:rsidRPr="00A72612">
        <w:tab/>
        <w:t>is the authority’s estimate of its collection rate for that year.</w:t>
      </w:r>
    </w:p>
    <w:p w:rsidR="001404AB" w:rsidRPr="00A72612" w:rsidRDefault="001404AB">
      <w:pPr>
        <w:tabs>
          <w:tab w:val="left" w:pos="1620"/>
        </w:tabs>
      </w:pPr>
    </w:p>
    <w:p w:rsidR="001404AB" w:rsidRPr="00A72612" w:rsidRDefault="001404AB">
      <w:pPr>
        <w:ind w:left="1260" w:hanging="1260"/>
      </w:pPr>
      <w:r w:rsidRPr="00A72612">
        <w:t>2.5</w:t>
      </w:r>
      <w:r w:rsidRPr="00A72612">
        <w:tab/>
        <w:t>The “relevant amounts” in ‘</w:t>
      </w:r>
      <w:proofErr w:type="gramStart"/>
      <w:r w:rsidRPr="00A72612">
        <w:t>A</w:t>
      </w:r>
      <w:proofErr w:type="gramEnd"/>
      <w:r w:rsidRPr="00A72612">
        <w:t xml:space="preserve">’ above are calculated in accordance with the formula:- </w:t>
      </w:r>
    </w:p>
    <w:p w:rsidR="008F012A" w:rsidRPr="00A72612" w:rsidRDefault="008F012A">
      <w:pPr>
        <w:tabs>
          <w:tab w:val="left" w:pos="1620"/>
          <w:tab w:val="left" w:pos="4680"/>
        </w:tabs>
        <w:ind w:left="1260" w:hanging="1260"/>
      </w:pPr>
    </w:p>
    <w:tbl>
      <w:tblPr>
        <w:tblStyle w:val="TableGrid"/>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10"/>
        <w:gridCol w:w="425"/>
      </w:tblGrid>
      <w:tr w:rsidR="003779D4" w:rsidRPr="00A72612" w:rsidTr="003779D4">
        <w:tc>
          <w:tcPr>
            <w:tcW w:w="2410" w:type="dxa"/>
          </w:tcPr>
          <w:p w:rsidR="003779D4" w:rsidRPr="00A72612" w:rsidRDefault="003779D4">
            <w:pPr>
              <w:tabs>
                <w:tab w:val="left" w:pos="1620"/>
                <w:tab w:val="left" w:pos="4680"/>
              </w:tabs>
            </w:pPr>
            <w:r w:rsidRPr="00A72612">
              <w:t>((H – Q</w:t>
            </w:r>
            <w:r w:rsidR="009A70F4">
              <w:t xml:space="preserve"> </w:t>
            </w:r>
            <w:r w:rsidRPr="00A72612">
              <w:t>+</w:t>
            </w:r>
            <w:r w:rsidR="009A70F4">
              <w:t xml:space="preserve"> </w:t>
            </w:r>
            <w:r w:rsidRPr="00A72612">
              <w:t>J) – Z)  x</w:t>
            </w:r>
          </w:p>
        </w:tc>
        <w:tc>
          <w:tcPr>
            <w:tcW w:w="425" w:type="dxa"/>
            <w:tcBorders>
              <w:bottom w:val="single" w:sz="4" w:space="0" w:color="auto"/>
            </w:tcBorders>
          </w:tcPr>
          <w:p w:rsidR="003779D4" w:rsidRPr="00A72612" w:rsidRDefault="003779D4" w:rsidP="003779D4">
            <w:pPr>
              <w:tabs>
                <w:tab w:val="left" w:pos="1620"/>
                <w:tab w:val="left" w:pos="4680"/>
              </w:tabs>
              <w:jc w:val="center"/>
            </w:pPr>
            <w:r w:rsidRPr="00A72612">
              <w:t>F</w:t>
            </w:r>
          </w:p>
        </w:tc>
      </w:tr>
      <w:tr w:rsidR="003779D4" w:rsidRPr="00A72612" w:rsidTr="003779D4">
        <w:tc>
          <w:tcPr>
            <w:tcW w:w="2410" w:type="dxa"/>
          </w:tcPr>
          <w:p w:rsidR="003779D4" w:rsidRPr="00A72612" w:rsidRDefault="003779D4">
            <w:pPr>
              <w:tabs>
                <w:tab w:val="left" w:pos="1620"/>
                <w:tab w:val="left" w:pos="4680"/>
              </w:tabs>
            </w:pPr>
          </w:p>
        </w:tc>
        <w:tc>
          <w:tcPr>
            <w:tcW w:w="425" w:type="dxa"/>
            <w:tcBorders>
              <w:top w:val="single" w:sz="4" w:space="0" w:color="auto"/>
            </w:tcBorders>
          </w:tcPr>
          <w:p w:rsidR="003779D4" w:rsidRPr="00A72612" w:rsidRDefault="003779D4" w:rsidP="003779D4">
            <w:pPr>
              <w:tabs>
                <w:tab w:val="left" w:pos="1620"/>
                <w:tab w:val="left" w:pos="4680"/>
              </w:tabs>
              <w:jc w:val="center"/>
            </w:pPr>
            <w:r w:rsidRPr="00A72612">
              <w:t>G</w:t>
            </w:r>
          </w:p>
        </w:tc>
      </w:tr>
    </w:tbl>
    <w:p w:rsidR="008F012A" w:rsidRPr="00A72612" w:rsidRDefault="008F012A">
      <w:pPr>
        <w:tabs>
          <w:tab w:val="left" w:pos="1620"/>
          <w:tab w:val="left" w:pos="4680"/>
        </w:tabs>
        <w:ind w:left="1260" w:hanging="1260"/>
      </w:pPr>
    </w:p>
    <w:p w:rsidR="001404AB" w:rsidRPr="00A72612" w:rsidRDefault="001404AB">
      <w:pPr>
        <w:tabs>
          <w:tab w:val="left" w:pos="1620"/>
          <w:tab w:val="left" w:pos="4680"/>
        </w:tabs>
        <w:ind w:left="1260" w:hanging="1260"/>
      </w:pPr>
      <w:r w:rsidRPr="00A72612">
        <w:tab/>
      </w:r>
      <w:proofErr w:type="gramStart"/>
      <w:r w:rsidRPr="00A72612">
        <w:t>where</w:t>
      </w:r>
      <w:proofErr w:type="gramEnd"/>
      <w:r w:rsidRPr="00A72612">
        <w:t xml:space="preserve"> -</w:t>
      </w:r>
    </w:p>
    <w:p w:rsidR="001404AB" w:rsidRPr="00A72612" w:rsidRDefault="001404AB">
      <w:pPr>
        <w:ind w:left="1980" w:hanging="1980"/>
      </w:pPr>
    </w:p>
    <w:p w:rsidR="001404AB" w:rsidRPr="00A72612" w:rsidRDefault="001404AB">
      <w:pPr>
        <w:tabs>
          <w:tab w:val="left" w:pos="2160"/>
          <w:tab w:val="left" w:pos="4140"/>
        </w:tabs>
        <w:ind w:left="4140" w:hanging="4140"/>
      </w:pPr>
      <w:r w:rsidRPr="00A72612">
        <w:tab/>
        <w:t>H is</w:t>
      </w:r>
      <w:r w:rsidRPr="00A72612">
        <w:tab/>
      </w:r>
      <w:r w:rsidRPr="00A72612">
        <w:tab/>
      </w:r>
      <w:r w:rsidRPr="00A72612">
        <w:tab/>
      </w:r>
      <w:r w:rsidRPr="00A72612">
        <w:tab/>
      </w:r>
      <w:r w:rsidRPr="00A72612">
        <w:tab/>
        <w:t xml:space="preserve">the number of chargeable dwellings in the area listed in the band </w:t>
      </w:r>
      <w:r w:rsidR="006356AE">
        <w:t>at</w:t>
      </w:r>
      <w:r w:rsidRPr="00A72612">
        <w:t xml:space="preserve"> </w:t>
      </w:r>
      <w:r w:rsidRPr="009512D0">
        <w:t>November 201</w:t>
      </w:r>
      <w:r w:rsidR="00354DA5">
        <w:t>6</w:t>
      </w:r>
      <w:r w:rsidRPr="00A72612">
        <w:t xml:space="preserve"> (described as ‘Dwellings’ in the Appendices); </w:t>
      </w:r>
      <w:r w:rsidRPr="00A72612">
        <w:rPr>
          <w:u w:val="single"/>
        </w:rPr>
        <w:t>less</w:t>
      </w:r>
      <w:r w:rsidRPr="00A72612">
        <w:t xml:space="preserve"> the number of dwellings which were exempt on that day; </w:t>
      </w:r>
      <w:r w:rsidRPr="00A72612">
        <w:rPr>
          <w:u w:val="single"/>
        </w:rPr>
        <w:t>plus</w:t>
      </w:r>
      <w:r w:rsidRPr="00A72612">
        <w:t xml:space="preserve"> or </w:t>
      </w:r>
      <w:r w:rsidRPr="00A72612">
        <w:rPr>
          <w:u w:val="single"/>
        </w:rPr>
        <w:t xml:space="preserve">less </w:t>
      </w:r>
      <w:r w:rsidRPr="00A72612">
        <w:t>the net number of full-year equivalent dwellings in each band resulting from properties being placed in a lower valuation band reflecting reductions for disabled persons under Section 13 of the Act (described as “Disabled Relief” in the Appendices)</w:t>
      </w:r>
    </w:p>
    <w:p w:rsidR="001404AB" w:rsidRPr="00A72612" w:rsidRDefault="001404AB">
      <w:pPr>
        <w:ind w:left="1980" w:hanging="1980"/>
      </w:pPr>
      <w:r w:rsidRPr="00A72612">
        <w:br w:type="page"/>
      </w:r>
    </w:p>
    <w:p w:rsidR="007F7068" w:rsidRDefault="001404AB">
      <w:pPr>
        <w:tabs>
          <w:tab w:val="left" w:pos="2160"/>
          <w:tab w:val="left" w:pos="4140"/>
        </w:tabs>
        <w:ind w:left="4140" w:hanging="4140"/>
      </w:pPr>
      <w:r w:rsidRPr="00A72612">
        <w:lastRenderedPageBreak/>
        <w:tab/>
        <w:t>Q is</w:t>
      </w:r>
      <w:r w:rsidRPr="00A72612">
        <w:tab/>
      </w:r>
      <w:r w:rsidRPr="00A72612">
        <w:tab/>
      </w:r>
      <w:r w:rsidRPr="00A72612">
        <w:tab/>
      </w:r>
      <w:r w:rsidRPr="00A72612">
        <w:tab/>
      </w:r>
      <w:r w:rsidRPr="00A72612">
        <w:tab/>
        <w:t>a factor to take into account the amount of discounts of council tax payable and is calculated by multiplying the number of dwellings affected by the relevant percentage discount</w:t>
      </w:r>
    </w:p>
    <w:p w:rsidR="001404AB" w:rsidRPr="00A72612" w:rsidRDefault="007F7068" w:rsidP="004F366B">
      <w:pPr>
        <w:tabs>
          <w:tab w:val="left" w:pos="2160"/>
          <w:tab w:val="left" w:pos="4140"/>
        </w:tabs>
        <w:ind w:left="4140" w:hanging="4140"/>
      </w:pPr>
      <w:r>
        <w:tab/>
      </w:r>
    </w:p>
    <w:p w:rsidR="001404AB" w:rsidRPr="00A72612" w:rsidRDefault="001404AB">
      <w:pPr>
        <w:tabs>
          <w:tab w:val="left" w:pos="2160"/>
          <w:tab w:val="left" w:pos="4140"/>
        </w:tabs>
        <w:ind w:left="4140" w:hanging="4140"/>
      </w:pPr>
      <w:r w:rsidRPr="00A72612">
        <w:tab/>
        <w:t>J is</w:t>
      </w:r>
      <w:r w:rsidRPr="00A72612">
        <w:tab/>
      </w:r>
      <w:r w:rsidRPr="00A72612">
        <w:tab/>
      </w:r>
      <w:r w:rsidRPr="00A72612">
        <w:tab/>
      </w:r>
      <w:r w:rsidRPr="00A72612">
        <w:tab/>
      </w:r>
      <w:r w:rsidRPr="00A72612">
        <w:tab/>
        <w:t>the amount of any adjustment in respect of changes in the number of chargeable dwellings (described as “Additions and Reductions” in the Appendices).</w:t>
      </w:r>
    </w:p>
    <w:p w:rsidR="001404AB" w:rsidRPr="00A72612" w:rsidRDefault="001404AB">
      <w:pPr>
        <w:ind w:left="1980" w:hanging="1980"/>
      </w:pPr>
    </w:p>
    <w:p w:rsidR="003779D4" w:rsidRPr="00A72612" w:rsidRDefault="003779D4" w:rsidP="003779D4">
      <w:pPr>
        <w:tabs>
          <w:tab w:val="left" w:pos="2160"/>
          <w:tab w:val="left" w:pos="4140"/>
        </w:tabs>
        <w:ind w:left="4140" w:hanging="4140"/>
      </w:pPr>
      <w:r w:rsidRPr="00A72612">
        <w:tab/>
        <w:t>Z is</w:t>
      </w:r>
      <w:r w:rsidRPr="00A72612">
        <w:tab/>
      </w:r>
      <w:r w:rsidRPr="00A72612">
        <w:tab/>
      </w:r>
      <w:r w:rsidRPr="00A72612">
        <w:tab/>
      </w:r>
      <w:r w:rsidRPr="00A72612">
        <w:tab/>
      </w:r>
      <w:r w:rsidRPr="00A72612">
        <w:tab/>
        <w:t>the total amount that will be applied in accordance with the Council’s council tax reduction scheme in relation to the band expressed as an equivalent number of chargeable dwellings in that band.</w:t>
      </w:r>
      <w:r w:rsidRPr="00A72612">
        <w:tab/>
      </w:r>
    </w:p>
    <w:p w:rsidR="003779D4" w:rsidRPr="00A72612" w:rsidRDefault="003779D4">
      <w:pPr>
        <w:ind w:left="1980" w:hanging="1980"/>
      </w:pPr>
      <w:r w:rsidRPr="00A72612">
        <w:tab/>
      </w:r>
    </w:p>
    <w:p w:rsidR="001404AB" w:rsidRPr="00A72612" w:rsidRDefault="001404AB" w:rsidP="006356AE">
      <w:pPr>
        <w:tabs>
          <w:tab w:val="left" w:pos="2160"/>
          <w:tab w:val="left" w:pos="4140"/>
        </w:tabs>
        <w:ind w:left="4140" w:hanging="4140"/>
        <w:jc w:val="left"/>
      </w:pPr>
      <w:r w:rsidRPr="00A72612">
        <w:tab/>
        <w:t>F is</w:t>
      </w:r>
      <w:r w:rsidRPr="00A72612">
        <w:tab/>
      </w:r>
      <w:r w:rsidRPr="00A72612">
        <w:tab/>
      </w:r>
      <w:r w:rsidRPr="00A72612">
        <w:tab/>
      </w:r>
      <w:r w:rsidRPr="00A72612">
        <w:tab/>
      </w:r>
      <w:r w:rsidRPr="00A72612">
        <w:tab/>
        <w:t>the</w:t>
      </w:r>
      <w:r w:rsidR="006356AE">
        <w:t xml:space="preserve"> </w:t>
      </w:r>
      <w:r w:rsidRPr="00A72612">
        <w:t>number in the proportions 5:6:7:8:9:11:13:15:18 applicable to properties in Bands </w:t>
      </w:r>
      <w:proofErr w:type="gramStart"/>
      <w:r w:rsidRPr="00A72612">
        <w:t>A</w:t>
      </w:r>
      <w:proofErr w:type="gramEnd"/>
      <w:r w:rsidRPr="00A72612">
        <w:t xml:space="preserve"> Disabled to H respectively.</w:t>
      </w:r>
    </w:p>
    <w:p w:rsidR="001404AB" w:rsidRPr="00A72612" w:rsidRDefault="001404AB">
      <w:pPr>
        <w:ind w:left="1980" w:hanging="1980"/>
      </w:pPr>
    </w:p>
    <w:p w:rsidR="001404AB" w:rsidRPr="00A72612" w:rsidRDefault="001404AB">
      <w:pPr>
        <w:tabs>
          <w:tab w:val="left" w:pos="2160"/>
          <w:tab w:val="left" w:pos="4140"/>
        </w:tabs>
        <w:ind w:left="4140" w:hanging="4140"/>
      </w:pPr>
      <w:r w:rsidRPr="00A72612">
        <w:tab/>
        <w:t>G is</w:t>
      </w:r>
      <w:r w:rsidRPr="00A72612">
        <w:tab/>
      </w:r>
      <w:r w:rsidRPr="00A72612">
        <w:tab/>
      </w:r>
      <w:r w:rsidRPr="00A72612">
        <w:tab/>
      </w:r>
      <w:r w:rsidRPr="00A72612">
        <w:tab/>
      </w:r>
      <w:r w:rsidRPr="00A72612">
        <w:tab/>
        <w:t>the number, which, in that proportion, is applicable to dwellings in valuation Band D (i.e. 9).</w:t>
      </w:r>
    </w:p>
    <w:p w:rsidR="001404AB" w:rsidRPr="00A72612" w:rsidRDefault="001404AB">
      <w:pPr>
        <w:ind w:left="1260" w:hanging="1260"/>
      </w:pPr>
    </w:p>
    <w:p w:rsidR="006310F9" w:rsidRPr="00A72612" w:rsidRDefault="006310F9" w:rsidP="006310F9">
      <w:pPr>
        <w:numPr>
          <w:ilvl w:val="1"/>
          <w:numId w:val="4"/>
        </w:numPr>
      </w:pPr>
      <w:r w:rsidRPr="00A72612">
        <w:t>The</w:t>
      </w:r>
      <w:r w:rsidR="001404AB" w:rsidRPr="00A72612">
        <w:t xml:space="preserve"> </w:t>
      </w:r>
      <w:r w:rsidRPr="00A72612">
        <w:t>a</w:t>
      </w:r>
      <w:r w:rsidR="001404AB" w:rsidRPr="00A72612">
        <w:t>ppendices</w:t>
      </w:r>
      <w:r w:rsidRPr="00A72612">
        <w:t xml:space="preserve"> to this report show the relevant calculations.</w:t>
      </w:r>
    </w:p>
    <w:p w:rsidR="006310F9" w:rsidRPr="00A72612" w:rsidRDefault="006310F9" w:rsidP="006310F9">
      <w:pPr>
        <w:tabs>
          <w:tab w:val="clear" w:pos="1260"/>
        </w:tabs>
        <w:rPr>
          <w:color w:val="3366FF"/>
        </w:rPr>
      </w:pPr>
    </w:p>
    <w:p w:rsidR="00134A88" w:rsidRDefault="001404AB" w:rsidP="0085129F">
      <w:pPr>
        <w:pStyle w:val="ListParagraph"/>
        <w:numPr>
          <w:ilvl w:val="1"/>
          <w:numId w:val="4"/>
        </w:numPr>
        <w:tabs>
          <w:tab w:val="left" w:pos="1260"/>
        </w:tabs>
      </w:pPr>
      <w:r w:rsidRPr="00A72612">
        <w:t>The Council must estimate the amounts of council tax that are likely to be paid to the Authority against the amount of council tax payable. It is important to set the estimate of the collection rate at a reali</w:t>
      </w:r>
      <w:r w:rsidR="006310F9" w:rsidRPr="00A72612">
        <w:t xml:space="preserve">stic level.  </w:t>
      </w:r>
      <w:r w:rsidR="006310F9" w:rsidRPr="00502B61">
        <w:t xml:space="preserve">It is recommended </w:t>
      </w:r>
      <w:r w:rsidRPr="00502B61">
        <w:t xml:space="preserve">that the collection rate for the District and each part thereof, be set </w:t>
      </w:r>
      <w:r w:rsidRPr="00B15536">
        <w:t>at 99</w:t>
      </w:r>
      <w:r w:rsidR="001276C5" w:rsidRPr="00B15536">
        <w:t>.</w:t>
      </w:r>
      <w:r w:rsidR="00283585" w:rsidRPr="00B15536">
        <w:t>00</w:t>
      </w:r>
      <w:r w:rsidR="006310F9" w:rsidRPr="00B15536">
        <w:t>%</w:t>
      </w:r>
      <w:r w:rsidR="00134A88" w:rsidRPr="00B15536">
        <w:t>.</w:t>
      </w:r>
    </w:p>
    <w:p w:rsidR="0085129F" w:rsidRDefault="0085129F" w:rsidP="0085129F">
      <w:pPr>
        <w:pStyle w:val="ListParagraph"/>
      </w:pPr>
    </w:p>
    <w:p w:rsidR="0085129F" w:rsidRDefault="0085129F" w:rsidP="0085129F">
      <w:pPr>
        <w:pStyle w:val="ListParagraph"/>
        <w:numPr>
          <w:ilvl w:val="1"/>
          <w:numId w:val="4"/>
        </w:numPr>
        <w:tabs>
          <w:tab w:val="left" w:pos="1260"/>
        </w:tabs>
      </w:pPr>
      <w:r>
        <w:t xml:space="preserve">The council tax base </w:t>
      </w:r>
      <w:r w:rsidR="00F03910">
        <w:t xml:space="preserve">takes into account </w:t>
      </w:r>
      <w:r>
        <w:t>the establishment of the new parish Council called ‘</w:t>
      </w:r>
      <w:proofErr w:type="spellStart"/>
      <w:r>
        <w:t>Batchworth</w:t>
      </w:r>
      <w:proofErr w:type="spellEnd"/>
      <w:r>
        <w:t>’ wh</w:t>
      </w:r>
      <w:r w:rsidR="00F03910">
        <w:t>o</w:t>
      </w:r>
      <w:r>
        <w:t xml:space="preserve"> will be issuing a precept to its charge payers in 2017/18. </w:t>
      </w:r>
    </w:p>
    <w:p w:rsidR="00EF3C91" w:rsidRPr="00A72612" w:rsidRDefault="001404AB">
      <w:pPr>
        <w:ind w:left="1260" w:hanging="1260"/>
      </w:pPr>
      <w:r w:rsidRPr="00502B61">
        <w:t xml:space="preserve"> </w:t>
      </w:r>
    </w:p>
    <w:p w:rsidR="001404AB" w:rsidRPr="00A72612" w:rsidRDefault="001404AB">
      <w:pPr>
        <w:ind w:left="1260" w:hanging="1260"/>
      </w:pPr>
      <w:r w:rsidRPr="00A72612">
        <w:t>2.</w:t>
      </w:r>
      <w:r w:rsidR="0085129F">
        <w:t>9</w:t>
      </w:r>
      <w:r w:rsidRPr="00A72612">
        <w:tab/>
        <w:t>“Contributions in Lieu” are amounts paid to this Authority by the Secretary of State for Defence.  They are paid in respect of certain dwellings used for the purposes of home forces’ accommodation which are exempt for the purposes of council tax.</w:t>
      </w:r>
    </w:p>
    <w:p w:rsidR="001404AB" w:rsidRPr="00A72612" w:rsidRDefault="001404AB">
      <w:pPr>
        <w:ind w:left="1267" w:hanging="1267"/>
        <w:rPr>
          <w:color w:val="3366FF"/>
        </w:rPr>
      </w:pPr>
    </w:p>
    <w:p w:rsidR="001404AB" w:rsidRPr="00A72612" w:rsidRDefault="001404AB">
      <w:pPr>
        <w:keepNext/>
        <w:ind w:left="1267" w:hanging="1267"/>
      </w:pPr>
      <w:r w:rsidRPr="00A72612">
        <w:t>3.</w:t>
      </w:r>
      <w:r w:rsidRPr="00A72612">
        <w:tab/>
      </w:r>
      <w:r w:rsidRPr="00A72612">
        <w:rPr>
          <w:b/>
        </w:rPr>
        <w:t>Options/Reasons for Recommendation</w:t>
      </w:r>
    </w:p>
    <w:p w:rsidR="001404AB" w:rsidRPr="00A72612" w:rsidRDefault="001404AB">
      <w:pPr>
        <w:keepNext/>
        <w:ind w:left="1267" w:hanging="1267"/>
      </w:pPr>
    </w:p>
    <w:p w:rsidR="001404AB" w:rsidRPr="00A72612" w:rsidRDefault="001404AB">
      <w:pPr>
        <w:ind w:left="1267" w:hanging="1267"/>
      </w:pPr>
      <w:r w:rsidRPr="00A72612">
        <w:t>3.1</w:t>
      </w:r>
      <w:r w:rsidRPr="00A72612">
        <w:tab/>
      </w:r>
      <w:r w:rsidRPr="00A72612">
        <w:fldChar w:fldCharType="begin"/>
      </w:r>
      <w:r w:rsidRPr="00A72612">
        <w:instrText xml:space="preserve">  </w:instrText>
      </w:r>
      <w:r w:rsidRPr="00A72612">
        <w:fldChar w:fldCharType="end"/>
      </w:r>
      <w:r w:rsidRPr="00A72612">
        <w:t xml:space="preserve">The recommendation is made in order </w:t>
      </w:r>
      <w:smartTag w:uri="urn:schemas-microsoft-com:office:smarttags" w:element="PersonName">
        <w:r w:rsidRPr="00A72612">
          <w:t>to</w:t>
        </w:r>
      </w:smartTag>
      <w:r w:rsidRPr="00A72612">
        <w:t xml:space="preserve"> determine the council tax base for </w:t>
      </w:r>
      <w:r w:rsidR="000F5919">
        <w:t>2017/2018</w:t>
      </w:r>
      <w:r w:rsidRPr="00A72612">
        <w:t>.</w:t>
      </w:r>
    </w:p>
    <w:p w:rsidR="001404AB" w:rsidRPr="00A72612" w:rsidRDefault="001404AB">
      <w:pPr>
        <w:ind w:left="1267" w:hanging="1267"/>
      </w:pPr>
    </w:p>
    <w:p w:rsidR="001404AB" w:rsidRPr="00A72612" w:rsidRDefault="001404AB">
      <w:pPr>
        <w:keepNext/>
        <w:ind w:left="1267" w:hanging="1267"/>
      </w:pPr>
      <w:r w:rsidRPr="00A72612">
        <w:t>4.</w:t>
      </w:r>
      <w:r w:rsidRPr="00A72612">
        <w:tab/>
      </w:r>
      <w:r w:rsidRPr="00A72612">
        <w:rPr>
          <w:b/>
        </w:rPr>
        <w:t>Policy/Budget Reference and Implications</w:t>
      </w:r>
    </w:p>
    <w:p w:rsidR="001404AB" w:rsidRPr="00A72612" w:rsidRDefault="001404AB">
      <w:pPr>
        <w:keepNext/>
        <w:ind w:left="1267" w:hanging="1267"/>
      </w:pPr>
    </w:p>
    <w:p w:rsidR="001404AB" w:rsidRPr="00A72612" w:rsidRDefault="001404AB">
      <w:pPr>
        <w:ind w:left="1267" w:hanging="1267"/>
      </w:pPr>
      <w:r w:rsidRPr="00A72612">
        <w:t>4.1</w:t>
      </w:r>
      <w:r w:rsidRPr="00A72612">
        <w:tab/>
        <w:t xml:space="preserve">The recommendations in this report are within the Council’s agreed policies </w:t>
      </w:r>
      <w:proofErr w:type="gramStart"/>
      <w:r w:rsidRPr="00A72612">
        <w:t>relating</w:t>
      </w:r>
      <w:proofErr w:type="gramEnd"/>
      <w:r w:rsidRPr="00A72612">
        <w:t xml:space="preserve"> to the tax base.</w:t>
      </w:r>
      <w:r w:rsidRPr="00A72612">
        <w:fldChar w:fldCharType="begin"/>
      </w:r>
      <w:r w:rsidRPr="00A72612">
        <w:instrText xml:space="preserve">  </w:instrText>
      </w:r>
      <w:r w:rsidRPr="00A72612">
        <w:fldChar w:fldCharType="end"/>
      </w:r>
    </w:p>
    <w:p w:rsidR="001404AB" w:rsidRPr="00A72612" w:rsidRDefault="001404AB">
      <w:pPr>
        <w:ind w:left="1267" w:hanging="1267"/>
        <w:rPr>
          <w:color w:val="3366FF"/>
        </w:rPr>
      </w:pPr>
    </w:p>
    <w:p w:rsidR="001404AB" w:rsidRPr="00A72612" w:rsidRDefault="001404AB">
      <w:pPr>
        <w:keepNext/>
        <w:ind w:left="1267" w:hanging="1267"/>
      </w:pPr>
      <w:r w:rsidRPr="00A72612">
        <w:t>5.</w:t>
      </w:r>
      <w:r w:rsidRPr="00A72612">
        <w:tab/>
      </w:r>
      <w:r w:rsidRPr="00A72612">
        <w:rPr>
          <w:b/>
        </w:rPr>
        <w:t>Financial Implications</w:t>
      </w:r>
    </w:p>
    <w:p w:rsidR="001404AB" w:rsidRPr="00A72612" w:rsidRDefault="001404AB">
      <w:pPr>
        <w:keepNext/>
        <w:ind w:left="1267" w:hanging="1267"/>
        <w:rPr>
          <w:color w:val="3366FF"/>
        </w:rPr>
      </w:pPr>
    </w:p>
    <w:p w:rsidR="006310F9" w:rsidRPr="00502B61" w:rsidRDefault="001404AB" w:rsidP="00F30C34">
      <w:pPr>
        <w:ind w:left="1267" w:hanging="1267"/>
      </w:pPr>
      <w:r w:rsidRPr="00502B61">
        <w:t>5.1</w:t>
      </w:r>
      <w:r w:rsidRPr="00502B61">
        <w:rPr>
          <w:i/>
        </w:rPr>
        <w:tab/>
      </w:r>
      <w:r w:rsidRPr="00F27602">
        <w:fldChar w:fldCharType="begin"/>
      </w:r>
      <w:r w:rsidRPr="00F27602">
        <w:instrText xml:space="preserve">  </w:instrText>
      </w:r>
      <w:r w:rsidRPr="00F27602">
        <w:fldChar w:fldCharType="end"/>
      </w:r>
      <w:r w:rsidR="006310F9" w:rsidRPr="00F27602">
        <w:t xml:space="preserve">The Council Tax </w:t>
      </w:r>
      <w:r w:rsidR="006310F9" w:rsidRPr="007C661E">
        <w:t>Base</w:t>
      </w:r>
      <w:r w:rsidR="002D31B7" w:rsidRPr="007C661E">
        <w:t xml:space="preserve"> shows an increase from </w:t>
      </w:r>
      <w:r w:rsidR="00166401" w:rsidRPr="007C661E">
        <w:t>last year</w:t>
      </w:r>
      <w:r w:rsidR="006356AE" w:rsidRPr="007C661E">
        <w:t>.</w:t>
      </w:r>
    </w:p>
    <w:p w:rsidR="006310F9" w:rsidRPr="00502B61" w:rsidRDefault="006310F9"/>
    <w:p w:rsidR="001404AB" w:rsidRPr="00A72612" w:rsidRDefault="001404AB">
      <w:pPr>
        <w:keepNext/>
        <w:ind w:left="1267" w:hanging="1267"/>
      </w:pPr>
      <w:r w:rsidRPr="00502B61">
        <w:t>6.</w:t>
      </w:r>
      <w:r w:rsidRPr="00502B61">
        <w:tab/>
      </w:r>
      <w:r w:rsidRPr="00502B61">
        <w:rPr>
          <w:b/>
        </w:rPr>
        <w:t>Legal Implicati</w:t>
      </w:r>
      <w:r w:rsidRPr="00A72612">
        <w:rPr>
          <w:b/>
        </w:rPr>
        <w:t>ons</w:t>
      </w:r>
    </w:p>
    <w:p w:rsidR="001404AB" w:rsidRPr="00A72612" w:rsidRDefault="001404AB">
      <w:pPr>
        <w:keepNext/>
        <w:ind w:left="1267" w:hanging="1267"/>
      </w:pPr>
    </w:p>
    <w:p w:rsidR="001404AB" w:rsidRPr="00A72612" w:rsidRDefault="001404AB">
      <w:r w:rsidRPr="00A72612">
        <w:t>6.1</w:t>
      </w:r>
      <w:r w:rsidRPr="00A72612">
        <w:tab/>
      </w:r>
      <w:r w:rsidRPr="00A72612">
        <w:fldChar w:fldCharType="begin"/>
      </w:r>
      <w:r w:rsidRPr="00A72612">
        <w:instrText xml:space="preserve">  </w:instrText>
      </w:r>
      <w:r w:rsidRPr="00A72612">
        <w:fldChar w:fldCharType="end"/>
      </w:r>
      <w:r w:rsidRPr="00A72612">
        <w:t>Included in the report.</w:t>
      </w:r>
    </w:p>
    <w:p w:rsidR="001404AB" w:rsidRPr="00A72612" w:rsidRDefault="001404AB"/>
    <w:p w:rsidR="001404AB" w:rsidRPr="00A72612" w:rsidRDefault="00221178">
      <w:pPr>
        <w:keepNext/>
        <w:ind w:left="1267" w:hanging="1267"/>
        <w:rPr>
          <w:b/>
        </w:rPr>
      </w:pPr>
      <w:r>
        <w:lastRenderedPageBreak/>
        <w:t>7</w:t>
      </w:r>
      <w:r w:rsidR="001404AB" w:rsidRPr="00A72612">
        <w:t>.</w:t>
      </w:r>
      <w:r w:rsidR="001404AB" w:rsidRPr="00A72612">
        <w:tab/>
      </w:r>
      <w:r w:rsidR="001404AB" w:rsidRPr="00A72612">
        <w:rPr>
          <w:b/>
        </w:rPr>
        <w:t>Risk Management and Health &amp; Safety Implications</w:t>
      </w:r>
    </w:p>
    <w:p w:rsidR="001404AB" w:rsidRPr="00A72612" w:rsidRDefault="001404AB">
      <w:pPr>
        <w:keepNext/>
        <w:ind w:left="1267" w:hanging="1267"/>
      </w:pPr>
    </w:p>
    <w:p w:rsidR="001404AB" w:rsidRPr="00A72612" w:rsidRDefault="00221178">
      <w:pPr>
        <w:ind w:left="1276" w:hanging="1276"/>
      </w:pPr>
      <w:r>
        <w:t>7</w:t>
      </w:r>
      <w:r w:rsidR="001404AB" w:rsidRPr="00A72612">
        <w:t>.1</w:t>
      </w:r>
      <w:r w:rsidR="001404AB" w:rsidRPr="00A72612">
        <w:tab/>
        <w:t xml:space="preserve">The Council has agreed its risk management strategy which can be found on the website at http://www.threerivers.gov.uk. </w:t>
      </w:r>
    </w:p>
    <w:p w:rsidR="001404AB" w:rsidRPr="00A72612" w:rsidRDefault="001404AB"/>
    <w:p w:rsidR="001404AB" w:rsidRPr="00A72612" w:rsidRDefault="00221178" w:rsidP="00CE5CBE">
      <w:pPr>
        <w:tabs>
          <w:tab w:val="clear" w:pos="1260"/>
          <w:tab w:val="left" w:pos="1276"/>
        </w:tabs>
        <w:ind w:left="1276" w:hanging="1276"/>
      </w:pPr>
      <w:r>
        <w:t>7</w:t>
      </w:r>
      <w:r w:rsidR="001404AB" w:rsidRPr="00A72612">
        <w:t>.2</w:t>
      </w:r>
      <w:r w:rsidR="001404AB" w:rsidRPr="00A72612">
        <w:tab/>
        <w:t xml:space="preserve">The subject of this report is covered by the </w:t>
      </w:r>
      <w:r w:rsidR="001404AB" w:rsidRPr="00A72612">
        <w:fldChar w:fldCharType="begin"/>
      </w:r>
      <w:r w:rsidR="001404AB" w:rsidRPr="00A72612">
        <w:instrText xml:space="preserve"> ASK   \* MERGEFORMAT </w:instrText>
      </w:r>
      <w:r w:rsidR="001404AB" w:rsidRPr="00A72612">
        <w:fldChar w:fldCharType="end"/>
      </w:r>
      <w:r w:rsidR="001404AB" w:rsidRPr="00A72612">
        <w:t>Revenues and Benefits shared service plan. Any risks resulting from this report will be included in the risk register and, if necessary, managed within this plan.</w:t>
      </w:r>
    </w:p>
    <w:p w:rsidR="001404AB" w:rsidRPr="00A72612" w:rsidRDefault="001404AB"/>
    <w:p w:rsidR="001404AB" w:rsidRPr="00A72612" w:rsidRDefault="00221178">
      <w:pPr>
        <w:ind w:left="1260" w:hanging="1260"/>
      </w:pPr>
      <w:r>
        <w:t>7</w:t>
      </w:r>
      <w:r w:rsidR="001404AB" w:rsidRPr="00A72612">
        <w:t>.3</w:t>
      </w:r>
      <w:r w:rsidR="001404AB" w:rsidRPr="00A72612">
        <w:tab/>
        <w:t xml:space="preserve">The following table gives the risks if the recommendations are agreed, together with a scored assessment of their impact and likelihood: </w:t>
      </w:r>
    </w:p>
    <w:p w:rsidR="001404AB" w:rsidRPr="00A72612" w:rsidRDefault="001404AB">
      <w:pPr>
        <w:pStyle w:val="Header"/>
        <w:tabs>
          <w:tab w:val="clear" w:pos="4153"/>
          <w:tab w:val="clear" w:pos="8306"/>
          <w:tab w:val="left" w:pos="1260"/>
          <w:tab w:val="left" w:pos="1980"/>
          <w:tab w:val="left" w:pos="2700"/>
          <w:tab w:val="left" w:pos="3420"/>
        </w:tabs>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
        <w:gridCol w:w="5056"/>
        <w:gridCol w:w="1170"/>
        <w:gridCol w:w="1350"/>
      </w:tblGrid>
      <w:tr w:rsidR="001404AB" w:rsidRPr="00A72612">
        <w:tc>
          <w:tcPr>
            <w:tcW w:w="5384" w:type="dxa"/>
            <w:gridSpan w:val="2"/>
          </w:tcPr>
          <w:p w:rsidR="001404AB" w:rsidRPr="00A72612" w:rsidRDefault="001404AB">
            <w:pPr>
              <w:jc w:val="center"/>
              <w:rPr>
                <w:sz w:val="20"/>
              </w:rPr>
            </w:pPr>
            <w:r w:rsidRPr="00A72612">
              <w:rPr>
                <w:sz w:val="20"/>
              </w:rPr>
              <w:t>Description of Risk</w:t>
            </w:r>
          </w:p>
        </w:tc>
        <w:tc>
          <w:tcPr>
            <w:tcW w:w="1170" w:type="dxa"/>
          </w:tcPr>
          <w:p w:rsidR="001404AB" w:rsidRPr="00A72612" w:rsidRDefault="001404AB">
            <w:pPr>
              <w:jc w:val="center"/>
              <w:rPr>
                <w:sz w:val="20"/>
              </w:rPr>
            </w:pPr>
            <w:r w:rsidRPr="00A72612">
              <w:rPr>
                <w:sz w:val="20"/>
              </w:rPr>
              <w:t>Impact</w:t>
            </w:r>
          </w:p>
        </w:tc>
        <w:tc>
          <w:tcPr>
            <w:tcW w:w="1350" w:type="dxa"/>
          </w:tcPr>
          <w:p w:rsidR="001404AB" w:rsidRPr="00A72612" w:rsidRDefault="001404AB">
            <w:pPr>
              <w:ind w:left="34"/>
              <w:jc w:val="center"/>
              <w:rPr>
                <w:sz w:val="20"/>
              </w:rPr>
            </w:pPr>
            <w:r w:rsidRPr="00A72612">
              <w:rPr>
                <w:sz w:val="20"/>
              </w:rPr>
              <w:t>Likelihood</w:t>
            </w:r>
          </w:p>
        </w:tc>
      </w:tr>
      <w:tr w:rsidR="001404AB" w:rsidRPr="00A72612">
        <w:tc>
          <w:tcPr>
            <w:tcW w:w="328" w:type="dxa"/>
          </w:tcPr>
          <w:p w:rsidR="001404AB" w:rsidRPr="00A72612" w:rsidRDefault="001404AB">
            <w:pPr>
              <w:jc w:val="left"/>
              <w:rPr>
                <w:sz w:val="20"/>
              </w:rPr>
            </w:pPr>
            <w:r w:rsidRPr="00A72612">
              <w:rPr>
                <w:sz w:val="20"/>
              </w:rPr>
              <w:t>1</w:t>
            </w:r>
          </w:p>
        </w:tc>
        <w:tc>
          <w:tcPr>
            <w:tcW w:w="5056" w:type="dxa"/>
          </w:tcPr>
          <w:p w:rsidR="001404AB" w:rsidRPr="00A72612" w:rsidRDefault="001404AB">
            <w:pPr>
              <w:jc w:val="left"/>
              <w:rPr>
                <w:sz w:val="20"/>
              </w:rPr>
            </w:pPr>
            <w:r w:rsidRPr="00A72612">
              <w:rPr>
                <w:sz w:val="20"/>
              </w:rPr>
              <w:t>Incorrect forecast of the council tax base</w:t>
            </w:r>
          </w:p>
        </w:tc>
        <w:tc>
          <w:tcPr>
            <w:tcW w:w="1170" w:type="dxa"/>
          </w:tcPr>
          <w:p w:rsidR="001404AB" w:rsidRPr="00A72612" w:rsidRDefault="001404AB">
            <w:pPr>
              <w:jc w:val="center"/>
              <w:rPr>
                <w:sz w:val="20"/>
              </w:rPr>
            </w:pPr>
            <w:r w:rsidRPr="00A72612">
              <w:rPr>
                <w:sz w:val="20"/>
              </w:rPr>
              <w:t>III</w:t>
            </w:r>
          </w:p>
        </w:tc>
        <w:tc>
          <w:tcPr>
            <w:tcW w:w="1350" w:type="dxa"/>
          </w:tcPr>
          <w:p w:rsidR="001404AB" w:rsidRPr="00A72612" w:rsidRDefault="00FF57A8">
            <w:pPr>
              <w:jc w:val="center"/>
              <w:rPr>
                <w:sz w:val="20"/>
              </w:rPr>
            </w:pPr>
            <w:r w:rsidRPr="00A72612">
              <w:rPr>
                <w:sz w:val="20"/>
              </w:rPr>
              <w:t>E</w:t>
            </w:r>
          </w:p>
        </w:tc>
      </w:tr>
    </w:tbl>
    <w:p w:rsidR="001404AB" w:rsidRPr="00A72612" w:rsidRDefault="001404AB">
      <w:pPr>
        <w:rPr>
          <w:color w:val="3366FF"/>
        </w:rPr>
      </w:pPr>
    </w:p>
    <w:p w:rsidR="001404AB" w:rsidRPr="00A72612" w:rsidRDefault="00221178">
      <w:pPr>
        <w:ind w:left="1276" w:hanging="1276"/>
      </w:pPr>
      <w:r>
        <w:t>7</w:t>
      </w:r>
      <w:r w:rsidR="001404AB" w:rsidRPr="00CE5CBE">
        <w:t>.</w:t>
      </w:r>
      <w:r w:rsidR="001404AB" w:rsidRPr="00A72612">
        <w:t>4</w:t>
      </w:r>
      <w:r w:rsidR="001404AB" w:rsidRPr="00A72612">
        <w:tab/>
        <w:t>The following table gives the risks that would exist if the recommendation is rejected, together with a scored assessment of their impact and likelihood:</w:t>
      </w:r>
    </w:p>
    <w:p w:rsidR="001404AB" w:rsidRPr="00A72612" w:rsidRDefault="001404AB"/>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
        <w:gridCol w:w="5056"/>
        <w:gridCol w:w="1170"/>
        <w:gridCol w:w="1350"/>
      </w:tblGrid>
      <w:tr w:rsidR="001404AB" w:rsidRPr="00A72612">
        <w:trPr>
          <w:trHeight w:val="152"/>
        </w:trPr>
        <w:tc>
          <w:tcPr>
            <w:tcW w:w="5384" w:type="dxa"/>
            <w:gridSpan w:val="2"/>
          </w:tcPr>
          <w:p w:rsidR="001404AB" w:rsidRPr="00A72612" w:rsidRDefault="001404AB">
            <w:pPr>
              <w:jc w:val="center"/>
              <w:rPr>
                <w:sz w:val="20"/>
              </w:rPr>
            </w:pPr>
            <w:r w:rsidRPr="00A72612">
              <w:rPr>
                <w:sz w:val="20"/>
              </w:rPr>
              <w:t>Description of Risk</w:t>
            </w:r>
          </w:p>
        </w:tc>
        <w:tc>
          <w:tcPr>
            <w:tcW w:w="1170" w:type="dxa"/>
          </w:tcPr>
          <w:p w:rsidR="001404AB" w:rsidRPr="00A72612" w:rsidRDefault="001404AB">
            <w:pPr>
              <w:jc w:val="center"/>
              <w:rPr>
                <w:sz w:val="20"/>
              </w:rPr>
            </w:pPr>
            <w:r w:rsidRPr="00A72612">
              <w:rPr>
                <w:sz w:val="20"/>
              </w:rPr>
              <w:t>Impact</w:t>
            </w:r>
          </w:p>
        </w:tc>
        <w:tc>
          <w:tcPr>
            <w:tcW w:w="1350" w:type="dxa"/>
          </w:tcPr>
          <w:p w:rsidR="001404AB" w:rsidRPr="00A72612" w:rsidRDefault="001404AB">
            <w:pPr>
              <w:ind w:left="34"/>
              <w:jc w:val="center"/>
              <w:rPr>
                <w:sz w:val="20"/>
              </w:rPr>
            </w:pPr>
            <w:r w:rsidRPr="00A72612">
              <w:rPr>
                <w:sz w:val="20"/>
              </w:rPr>
              <w:t>Likelihood</w:t>
            </w:r>
          </w:p>
        </w:tc>
      </w:tr>
      <w:tr w:rsidR="001404AB" w:rsidRPr="00A72612">
        <w:tc>
          <w:tcPr>
            <w:tcW w:w="328" w:type="dxa"/>
          </w:tcPr>
          <w:p w:rsidR="001404AB" w:rsidRPr="00A72612" w:rsidRDefault="001404AB">
            <w:pPr>
              <w:jc w:val="left"/>
              <w:rPr>
                <w:sz w:val="20"/>
              </w:rPr>
            </w:pPr>
            <w:r w:rsidRPr="00A72612">
              <w:rPr>
                <w:sz w:val="20"/>
              </w:rPr>
              <w:t>2</w:t>
            </w:r>
          </w:p>
        </w:tc>
        <w:tc>
          <w:tcPr>
            <w:tcW w:w="5056" w:type="dxa"/>
          </w:tcPr>
          <w:p w:rsidR="001404AB" w:rsidRPr="00A72612" w:rsidRDefault="001404AB">
            <w:pPr>
              <w:jc w:val="left"/>
              <w:rPr>
                <w:sz w:val="20"/>
              </w:rPr>
            </w:pPr>
            <w:r w:rsidRPr="00A72612">
              <w:rPr>
                <w:sz w:val="20"/>
              </w:rPr>
              <w:t xml:space="preserve">Failure </w:t>
            </w:r>
            <w:smartTag w:uri="urn:schemas-microsoft-com:office:smarttags" w:element="PersonName">
              <w:r w:rsidRPr="00A72612">
                <w:rPr>
                  <w:sz w:val="20"/>
                </w:rPr>
                <w:t>to</w:t>
              </w:r>
            </w:smartTag>
            <w:r w:rsidRPr="00A72612">
              <w:rPr>
                <w:sz w:val="20"/>
              </w:rPr>
              <w:t xml:space="preserve"> meet the statu</w:t>
            </w:r>
            <w:smartTag w:uri="urn:schemas-microsoft-com:office:smarttags" w:element="PersonName">
              <w:r w:rsidRPr="00A72612">
                <w:rPr>
                  <w:sz w:val="20"/>
                </w:rPr>
                <w:t>to</w:t>
              </w:r>
            </w:smartTag>
            <w:r w:rsidRPr="00A72612">
              <w:rPr>
                <w:sz w:val="20"/>
              </w:rPr>
              <w:t xml:space="preserve">ry requirement </w:t>
            </w:r>
            <w:smartTag w:uri="urn:schemas-microsoft-com:office:smarttags" w:element="PersonName">
              <w:r w:rsidRPr="00A72612">
                <w:rPr>
                  <w:sz w:val="20"/>
                </w:rPr>
                <w:t>to</w:t>
              </w:r>
            </w:smartTag>
            <w:r w:rsidRPr="00A72612">
              <w:rPr>
                <w:sz w:val="20"/>
              </w:rPr>
              <w:t xml:space="preserve"> set the council tax base</w:t>
            </w:r>
          </w:p>
        </w:tc>
        <w:tc>
          <w:tcPr>
            <w:tcW w:w="1170" w:type="dxa"/>
          </w:tcPr>
          <w:p w:rsidR="001404AB" w:rsidRPr="00A72612" w:rsidRDefault="001404AB">
            <w:pPr>
              <w:jc w:val="center"/>
              <w:rPr>
                <w:sz w:val="20"/>
              </w:rPr>
            </w:pPr>
            <w:r w:rsidRPr="00A72612">
              <w:rPr>
                <w:sz w:val="20"/>
              </w:rPr>
              <w:t>IV</w:t>
            </w:r>
          </w:p>
        </w:tc>
        <w:tc>
          <w:tcPr>
            <w:tcW w:w="1350" w:type="dxa"/>
          </w:tcPr>
          <w:p w:rsidR="001404AB" w:rsidRPr="00A72612" w:rsidRDefault="001404AB">
            <w:pPr>
              <w:jc w:val="center"/>
              <w:rPr>
                <w:sz w:val="20"/>
              </w:rPr>
            </w:pPr>
            <w:r w:rsidRPr="00A72612">
              <w:rPr>
                <w:sz w:val="20"/>
              </w:rPr>
              <w:t>A</w:t>
            </w:r>
          </w:p>
        </w:tc>
      </w:tr>
    </w:tbl>
    <w:p w:rsidR="001404AB" w:rsidRDefault="000F5919">
      <w:pPr>
        <w:pStyle w:val="Header"/>
        <w:tabs>
          <w:tab w:val="clear" w:pos="4153"/>
          <w:tab w:val="clear" w:pos="8306"/>
          <w:tab w:val="left" w:pos="1260"/>
          <w:tab w:val="left" w:pos="1980"/>
          <w:tab w:val="left" w:pos="2700"/>
          <w:tab w:val="left" w:pos="3420"/>
        </w:tabs>
      </w:pPr>
      <w:r>
        <w:tab/>
      </w:r>
    </w:p>
    <w:p w:rsidR="001404AB" w:rsidRDefault="00221178" w:rsidP="000F5919">
      <w:pPr>
        <w:pStyle w:val="Header"/>
        <w:tabs>
          <w:tab w:val="clear" w:pos="4153"/>
          <w:tab w:val="clear" w:pos="8306"/>
          <w:tab w:val="left" w:pos="1260"/>
          <w:tab w:val="left" w:pos="1980"/>
          <w:tab w:val="left" w:pos="2700"/>
          <w:tab w:val="left" w:pos="3420"/>
        </w:tabs>
        <w:ind w:left="1260" w:hanging="1260"/>
      </w:pPr>
      <w:r>
        <w:t>7</w:t>
      </w:r>
      <w:r w:rsidR="000F5919">
        <w:t>.5</w:t>
      </w:r>
      <w:r w:rsidR="000F5919">
        <w:tab/>
      </w:r>
      <w:r w:rsidR="001404AB" w:rsidRPr="00A72612">
        <w:t xml:space="preserve">The above risks are plotted on the matrix below depending on the scored assessments of impact and likelihood, detailed definitions of which are included in the risk management strategy. The Council has determined its aversion to risk and is prepared to tolerate risks where the combination of impact and likelihood are plotted in the shaded area of the matrix. The remaining risks require a treatment plan. </w:t>
      </w:r>
    </w:p>
    <w:p w:rsidR="000F5919" w:rsidRPr="00A72612" w:rsidRDefault="000F5919" w:rsidP="000F5919">
      <w:pPr>
        <w:pStyle w:val="Header"/>
        <w:tabs>
          <w:tab w:val="clear" w:pos="4153"/>
          <w:tab w:val="clear" w:pos="8306"/>
          <w:tab w:val="left" w:pos="1260"/>
          <w:tab w:val="left" w:pos="1980"/>
          <w:tab w:val="left" w:pos="2700"/>
          <w:tab w:val="left" w:pos="3420"/>
        </w:tabs>
        <w:ind w:left="1260" w:hanging="1260"/>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52"/>
        <w:gridCol w:w="723"/>
        <w:gridCol w:w="723"/>
        <w:gridCol w:w="724"/>
        <w:gridCol w:w="723"/>
        <w:gridCol w:w="724"/>
        <w:gridCol w:w="1508"/>
        <w:gridCol w:w="1608"/>
      </w:tblGrid>
      <w:tr w:rsidR="001404AB" w:rsidRPr="00A72612">
        <w:trPr>
          <w:cantSplit/>
        </w:trPr>
        <w:tc>
          <w:tcPr>
            <w:tcW w:w="645" w:type="dxa"/>
            <w:vMerge w:val="restart"/>
            <w:tcBorders>
              <w:top w:val="single" w:sz="4" w:space="0" w:color="auto"/>
              <w:left w:val="single" w:sz="4" w:space="0" w:color="auto"/>
              <w:bottom w:val="single" w:sz="4" w:space="0" w:color="auto"/>
              <w:right w:val="single" w:sz="4" w:space="0" w:color="auto"/>
            </w:tcBorders>
            <w:textDirection w:val="btLr"/>
          </w:tcPr>
          <w:p w:rsidR="001404AB" w:rsidRPr="00A72612" w:rsidRDefault="007008FE">
            <w:pPr>
              <w:keepNext/>
              <w:keepLines/>
              <w:ind w:left="113" w:right="113"/>
              <w:jc w:val="center"/>
              <w:rPr>
                <w:b/>
                <w:szCs w:val="22"/>
              </w:rPr>
            </w:pPr>
            <w:r>
              <w:rPr>
                <w:b/>
                <w:noProof/>
                <w:szCs w:val="22"/>
              </w:rPr>
              <mc:AlternateContent>
                <mc:Choice Requires="wps">
                  <w:drawing>
                    <wp:anchor distT="0" distB="0" distL="114300" distR="114300" simplePos="0" relativeHeight="251657216" behindDoc="0" locked="0" layoutInCell="0" allowOverlap="1">
                      <wp:simplePos x="0" y="0"/>
                      <wp:positionH relativeFrom="column">
                        <wp:posOffset>1115695</wp:posOffset>
                      </wp:positionH>
                      <wp:positionV relativeFrom="paragraph">
                        <wp:posOffset>107950</wp:posOffset>
                      </wp:positionV>
                      <wp:extent cx="0" cy="1296670"/>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6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5pt,8.5pt" to="87.85pt,1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" o:allowincell="f">
                      <v:stroke endarrow="block"/>
                    </v:line>
                  </w:pict>
                </mc:Fallback>
              </mc:AlternateContent>
            </w:r>
            <w:r>
              <w:rPr>
                <w:noProof/>
                <w:szCs w:val="22"/>
              </w:rPr>
              <mc:AlternateContent>
                <mc:Choice Requires="wps">
                  <w:drawing>
                    <wp:anchor distT="0" distB="0" distL="114300" distR="114300" simplePos="0" relativeHeight="251658240" behindDoc="0" locked="0" layoutInCell="0" allowOverlap="1">
                      <wp:simplePos x="0" y="0"/>
                      <wp:positionH relativeFrom="column">
                        <wp:posOffset>1298575</wp:posOffset>
                      </wp:positionH>
                      <wp:positionV relativeFrom="paragraph">
                        <wp:posOffset>1388110</wp:posOffset>
                      </wp:positionV>
                      <wp:extent cx="2286000" cy="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25pt,109.3pt" to="282.25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" o:allowincell="f">
                      <v:stroke endarrow="block"/>
                    </v:line>
                  </w:pict>
                </mc:Fallback>
              </mc:AlternateContent>
            </w:r>
            <w:r w:rsidR="001404AB" w:rsidRPr="00A72612">
              <w:rPr>
                <w:b/>
                <w:szCs w:val="22"/>
              </w:rPr>
              <w:t>Likelihood</w:t>
            </w:r>
          </w:p>
        </w:tc>
        <w:tc>
          <w:tcPr>
            <w:tcW w:w="452" w:type="dxa"/>
            <w:tcBorders>
              <w:top w:val="single" w:sz="4" w:space="0" w:color="auto"/>
              <w:left w:val="single" w:sz="4" w:space="0" w:color="auto"/>
            </w:tcBorders>
          </w:tcPr>
          <w:p w:rsidR="001404AB" w:rsidRPr="00A72612" w:rsidRDefault="001404AB">
            <w:pPr>
              <w:keepNext/>
              <w:keepLines/>
            </w:pPr>
            <w:r w:rsidRPr="00A72612">
              <w:t>A</w:t>
            </w:r>
          </w:p>
        </w:tc>
        <w:tc>
          <w:tcPr>
            <w:tcW w:w="723" w:type="dxa"/>
            <w:tcBorders>
              <w:top w:val="single" w:sz="4" w:space="0" w:color="auto"/>
            </w:tcBorders>
            <w:shd w:val="pct15" w:color="auto" w:fill="FFFFFF"/>
          </w:tcPr>
          <w:p w:rsidR="001404AB" w:rsidRPr="00A72612" w:rsidRDefault="001404AB">
            <w:pPr>
              <w:keepNext/>
              <w:keepLines/>
            </w:pPr>
          </w:p>
        </w:tc>
        <w:tc>
          <w:tcPr>
            <w:tcW w:w="723" w:type="dxa"/>
            <w:tcBorders>
              <w:top w:val="single" w:sz="4" w:space="0" w:color="auto"/>
            </w:tcBorders>
          </w:tcPr>
          <w:p w:rsidR="001404AB" w:rsidRPr="00A72612" w:rsidRDefault="001404AB">
            <w:pPr>
              <w:keepNext/>
              <w:keepLines/>
            </w:pPr>
          </w:p>
        </w:tc>
        <w:tc>
          <w:tcPr>
            <w:tcW w:w="724" w:type="dxa"/>
            <w:tcBorders>
              <w:top w:val="single" w:sz="4" w:space="0" w:color="auto"/>
              <w:bottom w:val="single" w:sz="4" w:space="0" w:color="auto"/>
            </w:tcBorders>
          </w:tcPr>
          <w:p w:rsidR="001404AB" w:rsidRPr="00A72612" w:rsidRDefault="001404AB">
            <w:pPr>
              <w:keepNext/>
              <w:keepLines/>
            </w:pPr>
          </w:p>
        </w:tc>
        <w:tc>
          <w:tcPr>
            <w:tcW w:w="723" w:type="dxa"/>
            <w:tcBorders>
              <w:top w:val="single" w:sz="4" w:space="0" w:color="auto"/>
              <w:bottom w:val="single" w:sz="4" w:space="0" w:color="auto"/>
              <w:right w:val="single" w:sz="4" w:space="0" w:color="auto"/>
            </w:tcBorders>
          </w:tcPr>
          <w:p w:rsidR="001404AB" w:rsidRPr="00A72612" w:rsidRDefault="001404AB">
            <w:pPr>
              <w:keepNext/>
              <w:keepLines/>
              <w:jc w:val="center"/>
            </w:pPr>
            <w:r w:rsidRPr="00A72612">
              <w:t>2</w:t>
            </w:r>
          </w:p>
        </w:tc>
        <w:tc>
          <w:tcPr>
            <w:tcW w:w="724" w:type="dxa"/>
            <w:tcBorders>
              <w:top w:val="single" w:sz="4" w:space="0" w:color="auto"/>
              <w:bottom w:val="single" w:sz="4" w:space="0" w:color="auto"/>
              <w:right w:val="single" w:sz="4" w:space="0" w:color="auto"/>
            </w:tcBorders>
          </w:tcPr>
          <w:p w:rsidR="001404AB" w:rsidRPr="00A72612" w:rsidRDefault="001404AB">
            <w:pPr>
              <w:keepNext/>
              <w:keepLines/>
              <w:jc w:val="center"/>
            </w:pPr>
          </w:p>
        </w:tc>
        <w:tc>
          <w:tcPr>
            <w:tcW w:w="1508" w:type="dxa"/>
            <w:tcBorders>
              <w:top w:val="nil"/>
              <w:left w:val="single" w:sz="4" w:space="0" w:color="auto"/>
              <w:bottom w:val="nil"/>
              <w:right w:val="nil"/>
            </w:tcBorders>
          </w:tcPr>
          <w:p w:rsidR="001404AB" w:rsidRPr="00A72612" w:rsidRDefault="001404AB">
            <w:pPr>
              <w:keepNext/>
              <w:keepLines/>
              <w:rPr>
                <w:sz w:val="16"/>
              </w:rPr>
            </w:pPr>
            <w:r w:rsidRPr="00A72612">
              <w:rPr>
                <w:sz w:val="16"/>
              </w:rPr>
              <w:t>Impact</w:t>
            </w:r>
          </w:p>
        </w:tc>
        <w:tc>
          <w:tcPr>
            <w:tcW w:w="1608" w:type="dxa"/>
            <w:tcBorders>
              <w:top w:val="nil"/>
              <w:left w:val="nil"/>
              <w:bottom w:val="nil"/>
              <w:right w:val="nil"/>
            </w:tcBorders>
          </w:tcPr>
          <w:p w:rsidR="001404AB" w:rsidRPr="00A72612" w:rsidRDefault="001404AB">
            <w:pPr>
              <w:keepNext/>
              <w:keepLines/>
              <w:rPr>
                <w:sz w:val="16"/>
              </w:rPr>
            </w:pPr>
            <w:r w:rsidRPr="00A72612">
              <w:rPr>
                <w:sz w:val="16"/>
              </w:rPr>
              <w:t>Likelihood</w:t>
            </w:r>
          </w:p>
        </w:tc>
      </w:tr>
      <w:tr w:rsidR="001404AB" w:rsidRPr="00A72612">
        <w:trPr>
          <w:cantSplit/>
        </w:trPr>
        <w:tc>
          <w:tcPr>
            <w:tcW w:w="645" w:type="dxa"/>
            <w:vMerge/>
            <w:tcBorders>
              <w:left w:val="single" w:sz="4" w:space="0" w:color="auto"/>
              <w:bottom w:val="single" w:sz="4" w:space="0" w:color="auto"/>
              <w:right w:val="single" w:sz="4" w:space="0" w:color="auto"/>
            </w:tcBorders>
          </w:tcPr>
          <w:p w:rsidR="001404AB" w:rsidRPr="00A72612" w:rsidRDefault="001404AB">
            <w:pPr>
              <w:keepNext/>
              <w:keepLines/>
            </w:pPr>
          </w:p>
        </w:tc>
        <w:tc>
          <w:tcPr>
            <w:tcW w:w="452" w:type="dxa"/>
            <w:tcBorders>
              <w:left w:val="single" w:sz="4" w:space="0" w:color="auto"/>
            </w:tcBorders>
          </w:tcPr>
          <w:p w:rsidR="001404AB" w:rsidRPr="00A72612" w:rsidRDefault="001404AB">
            <w:pPr>
              <w:keepNext/>
              <w:keepLines/>
            </w:pPr>
            <w:r w:rsidRPr="00A72612">
              <w:t>B</w:t>
            </w:r>
          </w:p>
        </w:tc>
        <w:tc>
          <w:tcPr>
            <w:tcW w:w="723" w:type="dxa"/>
            <w:shd w:val="pct15" w:color="auto" w:fill="FFFFFF"/>
          </w:tcPr>
          <w:p w:rsidR="001404AB" w:rsidRPr="00A72612" w:rsidRDefault="001404AB">
            <w:pPr>
              <w:keepNext/>
              <w:keepLines/>
            </w:pPr>
          </w:p>
        </w:tc>
        <w:tc>
          <w:tcPr>
            <w:tcW w:w="723" w:type="dxa"/>
          </w:tcPr>
          <w:p w:rsidR="001404AB" w:rsidRPr="00A72612" w:rsidRDefault="001404AB">
            <w:pPr>
              <w:keepNext/>
              <w:keepLines/>
            </w:pPr>
          </w:p>
        </w:tc>
        <w:tc>
          <w:tcPr>
            <w:tcW w:w="724" w:type="dxa"/>
            <w:tcBorders>
              <w:bottom w:val="single" w:sz="4" w:space="0" w:color="auto"/>
            </w:tcBorders>
          </w:tcPr>
          <w:p w:rsidR="001404AB" w:rsidRPr="00A72612" w:rsidRDefault="001404AB">
            <w:pPr>
              <w:keepNext/>
              <w:keepLines/>
            </w:pPr>
          </w:p>
        </w:tc>
        <w:tc>
          <w:tcPr>
            <w:tcW w:w="723" w:type="dxa"/>
            <w:tcBorders>
              <w:right w:val="single" w:sz="4" w:space="0" w:color="auto"/>
            </w:tcBorders>
          </w:tcPr>
          <w:p w:rsidR="001404AB" w:rsidRPr="00A72612" w:rsidRDefault="001404AB">
            <w:pPr>
              <w:keepNext/>
              <w:keepLines/>
              <w:jc w:val="center"/>
            </w:pPr>
          </w:p>
        </w:tc>
        <w:tc>
          <w:tcPr>
            <w:tcW w:w="724" w:type="dxa"/>
            <w:tcBorders>
              <w:right w:val="single" w:sz="4" w:space="0" w:color="auto"/>
            </w:tcBorders>
          </w:tcPr>
          <w:p w:rsidR="001404AB" w:rsidRPr="00A72612" w:rsidRDefault="001404AB">
            <w:pPr>
              <w:keepNext/>
              <w:keepLines/>
              <w:jc w:val="center"/>
            </w:pPr>
          </w:p>
        </w:tc>
        <w:tc>
          <w:tcPr>
            <w:tcW w:w="1508" w:type="dxa"/>
            <w:tcBorders>
              <w:top w:val="nil"/>
              <w:left w:val="single" w:sz="4" w:space="0" w:color="auto"/>
              <w:bottom w:val="nil"/>
              <w:right w:val="nil"/>
            </w:tcBorders>
          </w:tcPr>
          <w:p w:rsidR="001404AB" w:rsidRPr="00A72612" w:rsidRDefault="001404AB">
            <w:pPr>
              <w:keepNext/>
              <w:keepLines/>
              <w:rPr>
                <w:sz w:val="16"/>
              </w:rPr>
            </w:pPr>
            <w:r w:rsidRPr="00A72612">
              <w:rPr>
                <w:sz w:val="16"/>
              </w:rPr>
              <w:t>V = Catastrophic</w:t>
            </w:r>
          </w:p>
        </w:tc>
        <w:tc>
          <w:tcPr>
            <w:tcW w:w="1608" w:type="dxa"/>
            <w:tcBorders>
              <w:top w:val="nil"/>
              <w:left w:val="nil"/>
              <w:bottom w:val="nil"/>
              <w:right w:val="nil"/>
            </w:tcBorders>
          </w:tcPr>
          <w:p w:rsidR="001404AB" w:rsidRPr="00A72612" w:rsidRDefault="001404AB">
            <w:pPr>
              <w:keepNext/>
              <w:keepLines/>
              <w:rPr>
                <w:sz w:val="16"/>
              </w:rPr>
            </w:pPr>
            <w:r w:rsidRPr="00A72612">
              <w:rPr>
                <w:sz w:val="16"/>
              </w:rPr>
              <w:t>A = &gt;98%</w:t>
            </w:r>
          </w:p>
        </w:tc>
      </w:tr>
      <w:tr w:rsidR="001404AB" w:rsidRPr="00A72612">
        <w:trPr>
          <w:cantSplit/>
        </w:trPr>
        <w:tc>
          <w:tcPr>
            <w:tcW w:w="645" w:type="dxa"/>
            <w:vMerge/>
            <w:tcBorders>
              <w:left w:val="single" w:sz="4" w:space="0" w:color="auto"/>
              <w:bottom w:val="single" w:sz="4" w:space="0" w:color="auto"/>
              <w:right w:val="single" w:sz="4" w:space="0" w:color="auto"/>
            </w:tcBorders>
          </w:tcPr>
          <w:p w:rsidR="001404AB" w:rsidRPr="00A72612" w:rsidRDefault="001404AB">
            <w:pPr>
              <w:keepNext/>
              <w:keepLines/>
            </w:pPr>
          </w:p>
        </w:tc>
        <w:tc>
          <w:tcPr>
            <w:tcW w:w="452" w:type="dxa"/>
            <w:tcBorders>
              <w:left w:val="single" w:sz="4" w:space="0" w:color="auto"/>
            </w:tcBorders>
          </w:tcPr>
          <w:p w:rsidR="001404AB" w:rsidRPr="00A72612" w:rsidRDefault="001404AB">
            <w:pPr>
              <w:keepNext/>
              <w:keepLines/>
            </w:pPr>
            <w:r w:rsidRPr="00A72612">
              <w:t>C</w:t>
            </w:r>
          </w:p>
        </w:tc>
        <w:tc>
          <w:tcPr>
            <w:tcW w:w="723" w:type="dxa"/>
            <w:shd w:val="pct15" w:color="auto" w:fill="FFFFFF"/>
          </w:tcPr>
          <w:p w:rsidR="001404AB" w:rsidRPr="00A72612" w:rsidRDefault="001404AB">
            <w:pPr>
              <w:keepNext/>
              <w:keepLines/>
            </w:pPr>
          </w:p>
        </w:tc>
        <w:tc>
          <w:tcPr>
            <w:tcW w:w="723" w:type="dxa"/>
            <w:tcBorders>
              <w:top w:val="single" w:sz="4" w:space="0" w:color="auto"/>
              <w:bottom w:val="single" w:sz="4" w:space="0" w:color="auto"/>
            </w:tcBorders>
          </w:tcPr>
          <w:p w:rsidR="001404AB" w:rsidRPr="00A72612" w:rsidRDefault="001404AB">
            <w:pPr>
              <w:keepNext/>
              <w:keepLines/>
            </w:pPr>
          </w:p>
        </w:tc>
        <w:tc>
          <w:tcPr>
            <w:tcW w:w="724" w:type="dxa"/>
            <w:tcBorders>
              <w:top w:val="single" w:sz="4" w:space="0" w:color="auto"/>
              <w:bottom w:val="single" w:sz="4" w:space="0" w:color="auto"/>
            </w:tcBorders>
          </w:tcPr>
          <w:p w:rsidR="001404AB" w:rsidRPr="00A72612" w:rsidRDefault="001404AB">
            <w:pPr>
              <w:keepNext/>
              <w:keepLines/>
            </w:pPr>
          </w:p>
        </w:tc>
        <w:tc>
          <w:tcPr>
            <w:tcW w:w="723" w:type="dxa"/>
            <w:tcBorders>
              <w:top w:val="single" w:sz="4" w:space="0" w:color="auto"/>
              <w:bottom w:val="single" w:sz="4" w:space="0" w:color="auto"/>
              <w:right w:val="single" w:sz="4" w:space="0" w:color="auto"/>
            </w:tcBorders>
          </w:tcPr>
          <w:p w:rsidR="001404AB" w:rsidRPr="00A72612" w:rsidRDefault="001404AB">
            <w:pPr>
              <w:keepNext/>
              <w:keepLines/>
              <w:jc w:val="center"/>
            </w:pPr>
          </w:p>
        </w:tc>
        <w:tc>
          <w:tcPr>
            <w:tcW w:w="724" w:type="dxa"/>
            <w:tcBorders>
              <w:right w:val="single" w:sz="4" w:space="0" w:color="auto"/>
            </w:tcBorders>
          </w:tcPr>
          <w:p w:rsidR="001404AB" w:rsidRPr="00A72612" w:rsidRDefault="001404AB">
            <w:pPr>
              <w:keepNext/>
              <w:keepLines/>
              <w:jc w:val="center"/>
            </w:pPr>
          </w:p>
        </w:tc>
        <w:tc>
          <w:tcPr>
            <w:tcW w:w="1508" w:type="dxa"/>
            <w:tcBorders>
              <w:top w:val="nil"/>
              <w:left w:val="single" w:sz="4" w:space="0" w:color="auto"/>
              <w:bottom w:val="nil"/>
              <w:right w:val="nil"/>
            </w:tcBorders>
          </w:tcPr>
          <w:p w:rsidR="001404AB" w:rsidRPr="00A72612" w:rsidRDefault="001404AB">
            <w:pPr>
              <w:keepNext/>
              <w:keepLines/>
              <w:rPr>
                <w:sz w:val="16"/>
              </w:rPr>
            </w:pPr>
            <w:r w:rsidRPr="00A72612">
              <w:rPr>
                <w:sz w:val="16"/>
              </w:rPr>
              <w:t>IV = Critical</w:t>
            </w:r>
          </w:p>
        </w:tc>
        <w:tc>
          <w:tcPr>
            <w:tcW w:w="1608" w:type="dxa"/>
            <w:tcBorders>
              <w:top w:val="nil"/>
              <w:left w:val="nil"/>
              <w:bottom w:val="nil"/>
              <w:right w:val="nil"/>
            </w:tcBorders>
          </w:tcPr>
          <w:p w:rsidR="001404AB" w:rsidRPr="00A72612" w:rsidRDefault="001404AB">
            <w:pPr>
              <w:keepNext/>
              <w:keepLines/>
              <w:rPr>
                <w:sz w:val="16"/>
              </w:rPr>
            </w:pPr>
            <w:r w:rsidRPr="00A72612">
              <w:rPr>
                <w:sz w:val="16"/>
              </w:rPr>
              <w:t>B = 75% - 97%</w:t>
            </w:r>
          </w:p>
        </w:tc>
      </w:tr>
      <w:tr w:rsidR="001404AB" w:rsidRPr="00A72612">
        <w:trPr>
          <w:cantSplit/>
        </w:trPr>
        <w:tc>
          <w:tcPr>
            <w:tcW w:w="645" w:type="dxa"/>
            <w:vMerge/>
            <w:tcBorders>
              <w:left w:val="single" w:sz="4" w:space="0" w:color="auto"/>
              <w:bottom w:val="single" w:sz="4" w:space="0" w:color="auto"/>
              <w:right w:val="single" w:sz="4" w:space="0" w:color="auto"/>
            </w:tcBorders>
          </w:tcPr>
          <w:p w:rsidR="001404AB" w:rsidRPr="00A72612" w:rsidRDefault="001404AB">
            <w:pPr>
              <w:keepNext/>
              <w:keepLines/>
            </w:pPr>
          </w:p>
        </w:tc>
        <w:tc>
          <w:tcPr>
            <w:tcW w:w="452" w:type="dxa"/>
            <w:tcBorders>
              <w:left w:val="single" w:sz="4" w:space="0" w:color="auto"/>
            </w:tcBorders>
          </w:tcPr>
          <w:p w:rsidR="001404AB" w:rsidRPr="00A72612" w:rsidRDefault="001404AB">
            <w:pPr>
              <w:keepNext/>
              <w:keepLines/>
            </w:pPr>
            <w:r w:rsidRPr="00A72612">
              <w:t>D</w:t>
            </w:r>
          </w:p>
        </w:tc>
        <w:tc>
          <w:tcPr>
            <w:tcW w:w="723" w:type="dxa"/>
            <w:tcBorders>
              <w:bottom w:val="single" w:sz="4" w:space="0" w:color="auto"/>
            </w:tcBorders>
            <w:shd w:val="pct15" w:color="auto" w:fill="FFFFFF"/>
          </w:tcPr>
          <w:p w:rsidR="001404AB" w:rsidRPr="00A72612" w:rsidRDefault="001404AB">
            <w:pPr>
              <w:keepNext/>
              <w:keepLines/>
            </w:pPr>
          </w:p>
        </w:tc>
        <w:tc>
          <w:tcPr>
            <w:tcW w:w="723" w:type="dxa"/>
            <w:tcBorders>
              <w:top w:val="single" w:sz="4" w:space="0" w:color="auto"/>
            </w:tcBorders>
            <w:shd w:val="pct15" w:color="auto" w:fill="FFFFFF"/>
          </w:tcPr>
          <w:p w:rsidR="001404AB" w:rsidRPr="00A72612" w:rsidRDefault="001404AB">
            <w:pPr>
              <w:keepNext/>
              <w:keepLines/>
            </w:pPr>
          </w:p>
        </w:tc>
        <w:tc>
          <w:tcPr>
            <w:tcW w:w="724" w:type="dxa"/>
            <w:tcBorders>
              <w:top w:val="single" w:sz="4" w:space="0" w:color="auto"/>
              <w:bottom w:val="single" w:sz="4" w:space="0" w:color="auto"/>
            </w:tcBorders>
          </w:tcPr>
          <w:p w:rsidR="001404AB" w:rsidRPr="00A72612" w:rsidRDefault="001404AB">
            <w:pPr>
              <w:keepNext/>
              <w:keepLines/>
            </w:pPr>
          </w:p>
        </w:tc>
        <w:tc>
          <w:tcPr>
            <w:tcW w:w="723" w:type="dxa"/>
            <w:tcBorders>
              <w:top w:val="single" w:sz="4" w:space="0" w:color="auto"/>
              <w:bottom w:val="single" w:sz="4" w:space="0" w:color="auto"/>
              <w:right w:val="single" w:sz="4" w:space="0" w:color="auto"/>
            </w:tcBorders>
          </w:tcPr>
          <w:p w:rsidR="001404AB" w:rsidRPr="00A72612" w:rsidRDefault="001404AB">
            <w:pPr>
              <w:keepNext/>
              <w:keepLines/>
              <w:jc w:val="center"/>
            </w:pPr>
          </w:p>
        </w:tc>
        <w:tc>
          <w:tcPr>
            <w:tcW w:w="724" w:type="dxa"/>
            <w:tcBorders>
              <w:right w:val="single" w:sz="4" w:space="0" w:color="auto"/>
            </w:tcBorders>
          </w:tcPr>
          <w:p w:rsidR="001404AB" w:rsidRPr="00A72612" w:rsidRDefault="001404AB">
            <w:pPr>
              <w:keepNext/>
              <w:keepLines/>
              <w:jc w:val="center"/>
            </w:pPr>
          </w:p>
        </w:tc>
        <w:tc>
          <w:tcPr>
            <w:tcW w:w="1508" w:type="dxa"/>
            <w:tcBorders>
              <w:top w:val="nil"/>
              <w:left w:val="single" w:sz="4" w:space="0" w:color="auto"/>
              <w:bottom w:val="nil"/>
              <w:right w:val="nil"/>
            </w:tcBorders>
          </w:tcPr>
          <w:p w:rsidR="001404AB" w:rsidRPr="00A72612" w:rsidRDefault="001404AB">
            <w:pPr>
              <w:keepNext/>
              <w:keepLines/>
              <w:rPr>
                <w:sz w:val="16"/>
              </w:rPr>
            </w:pPr>
            <w:r w:rsidRPr="00A72612">
              <w:rPr>
                <w:sz w:val="16"/>
              </w:rPr>
              <w:t>III = Significant</w:t>
            </w:r>
          </w:p>
        </w:tc>
        <w:tc>
          <w:tcPr>
            <w:tcW w:w="1608" w:type="dxa"/>
            <w:tcBorders>
              <w:top w:val="nil"/>
              <w:left w:val="nil"/>
              <w:bottom w:val="nil"/>
              <w:right w:val="nil"/>
            </w:tcBorders>
          </w:tcPr>
          <w:p w:rsidR="001404AB" w:rsidRPr="00A72612" w:rsidRDefault="001404AB">
            <w:pPr>
              <w:keepNext/>
              <w:keepLines/>
              <w:rPr>
                <w:sz w:val="16"/>
              </w:rPr>
            </w:pPr>
            <w:r w:rsidRPr="00A72612">
              <w:rPr>
                <w:sz w:val="16"/>
              </w:rPr>
              <w:t>C = 50% - 74%</w:t>
            </w:r>
          </w:p>
        </w:tc>
      </w:tr>
      <w:tr w:rsidR="001404AB" w:rsidRPr="00A72612">
        <w:trPr>
          <w:cantSplit/>
        </w:trPr>
        <w:tc>
          <w:tcPr>
            <w:tcW w:w="645" w:type="dxa"/>
            <w:vMerge/>
            <w:tcBorders>
              <w:left w:val="single" w:sz="4" w:space="0" w:color="auto"/>
              <w:bottom w:val="single" w:sz="4" w:space="0" w:color="auto"/>
              <w:right w:val="single" w:sz="4" w:space="0" w:color="auto"/>
            </w:tcBorders>
          </w:tcPr>
          <w:p w:rsidR="001404AB" w:rsidRPr="00A72612" w:rsidRDefault="001404AB">
            <w:pPr>
              <w:keepNext/>
              <w:keepLines/>
            </w:pPr>
          </w:p>
        </w:tc>
        <w:tc>
          <w:tcPr>
            <w:tcW w:w="452" w:type="dxa"/>
            <w:tcBorders>
              <w:left w:val="single" w:sz="4" w:space="0" w:color="auto"/>
            </w:tcBorders>
          </w:tcPr>
          <w:p w:rsidR="001404AB" w:rsidRPr="00A72612" w:rsidRDefault="001404AB">
            <w:pPr>
              <w:keepNext/>
              <w:keepLines/>
            </w:pPr>
            <w:r w:rsidRPr="00A72612">
              <w:t>E</w:t>
            </w:r>
          </w:p>
        </w:tc>
        <w:tc>
          <w:tcPr>
            <w:tcW w:w="723" w:type="dxa"/>
            <w:tcBorders>
              <w:bottom w:val="single" w:sz="4" w:space="0" w:color="auto"/>
            </w:tcBorders>
            <w:shd w:val="pct15" w:color="auto" w:fill="FFFFFF"/>
          </w:tcPr>
          <w:p w:rsidR="001404AB" w:rsidRPr="00A72612" w:rsidRDefault="001404AB">
            <w:pPr>
              <w:keepNext/>
              <w:keepLines/>
            </w:pPr>
          </w:p>
        </w:tc>
        <w:tc>
          <w:tcPr>
            <w:tcW w:w="723" w:type="dxa"/>
            <w:shd w:val="pct15" w:color="auto" w:fill="FFFFFF"/>
          </w:tcPr>
          <w:p w:rsidR="001404AB" w:rsidRPr="00A72612" w:rsidRDefault="001404AB">
            <w:pPr>
              <w:keepNext/>
              <w:keepLines/>
            </w:pPr>
          </w:p>
        </w:tc>
        <w:tc>
          <w:tcPr>
            <w:tcW w:w="724" w:type="dxa"/>
            <w:tcBorders>
              <w:bottom w:val="single" w:sz="4" w:space="0" w:color="auto"/>
            </w:tcBorders>
          </w:tcPr>
          <w:p w:rsidR="001404AB" w:rsidRPr="00A72612" w:rsidRDefault="00FF57A8">
            <w:pPr>
              <w:keepNext/>
              <w:keepLines/>
            </w:pPr>
            <w:r w:rsidRPr="00A72612">
              <w:t>1</w:t>
            </w:r>
          </w:p>
        </w:tc>
        <w:tc>
          <w:tcPr>
            <w:tcW w:w="723" w:type="dxa"/>
            <w:tcBorders>
              <w:top w:val="single" w:sz="4" w:space="0" w:color="auto"/>
              <w:right w:val="single" w:sz="4" w:space="0" w:color="auto"/>
            </w:tcBorders>
          </w:tcPr>
          <w:p w:rsidR="001404AB" w:rsidRPr="00A72612" w:rsidRDefault="001404AB">
            <w:pPr>
              <w:keepNext/>
              <w:keepLines/>
              <w:jc w:val="center"/>
            </w:pPr>
          </w:p>
        </w:tc>
        <w:tc>
          <w:tcPr>
            <w:tcW w:w="724" w:type="dxa"/>
            <w:tcBorders>
              <w:top w:val="single" w:sz="4" w:space="0" w:color="auto"/>
              <w:bottom w:val="single" w:sz="4" w:space="0" w:color="auto"/>
              <w:right w:val="single" w:sz="4" w:space="0" w:color="auto"/>
            </w:tcBorders>
          </w:tcPr>
          <w:p w:rsidR="001404AB" w:rsidRPr="00A72612" w:rsidRDefault="001404AB">
            <w:pPr>
              <w:keepNext/>
              <w:keepLines/>
              <w:jc w:val="center"/>
            </w:pPr>
          </w:p>
        </w:tc>
        <w:tc>
          <w:tcPr>
            <w:tcW w:w="1508" w:type="dxa"/>
            <w:tcBorders>
              <w:top w:val="nil"/>
              <w:left w:val="single" w:sz="4" w:space="0" w:color="auto"/>
              <w:bottom w:val="nil"/>
              <w:right w:val="nil"/>
            </w:tcBorders>
          </w:tcPr>
          <w:p w:rsidR="001404AB" w:rsidRPr="00A72612" w:rsidRDefault="001404AB">
            <w:pPr>
              <w:keepNext/>
              <w:keepLines/>
              <w:rPr>
                <w:sz w:val="16"/>
              </w:rPr>
            </w:pPr>
            <w:r w:rsidRPr="00A72612">
              <w:rPr>
                <w:sz w:val="16"/>
              </w:rPr>
              <w:t>II = Marginal</w:t>
            </w:r>
          </w:p>
        </w:tc>
        <w:tc>
          <w:tcPr>
            <w:tcW w:w="1608" w:type="dxa"/>
            <w:tcBorders>
              <w:top w:val="nil"/>
              <w:left w:val="nil"/>
              <w:bottom w:val="nil"/>
              <w:right w:val="nil"/>
            </w:tcBorders>
          </w:tcPr>
          <w:p w:rsidR="001404AB" w:rsidRPr="00A72612" w:rsidRDefault="001404AB">
            <w:pPr>
              <w:keepNext/>
              <w:keepLines/>
              <w:rPr>
                <w:sz w:val="16"/>
              </w:rPr>
            </w:pPr>
            <w:r w:rsidRPr="00A72612">
              <w:rPr>
                <w:sz w:val="16"/>
              </w:rPr>
              <w:t>D = 25% - 49%</w:t>
            </w:r>
          </w:p>
        </w:tc>
      </w:tr>
      <w:tr w:rsidR="001404AB" w:rsidRPr="00A72612">
        <w:trPr>
          <w:cantSplit/>
        </w:trPr>
        <w:tc>
          <w:tcPr>
            <w:tcW w:w="645" w:type="dxa"/>
            <w:vMerge/>
            <w:tcBorders>
              <w:left w:val="single" w:sz="4" w:space="0" w:color="auto"/>
              <w:bottom w:val="single" w:sz="4" w:space="0" w:color="auto"/>
              <w:right w:val="single" w:sz="4" w:space="0" w:color="auto"/>
            </w:tcBorders>
          </w:tcPr>
          <w:p w:rsidR="001404AB" w:rsidRPr="00A72612" w:rsidRDefault="001404AB">
            <w:pPr>
              <w:keepNext/>
              <w:keepLines/>
            </w:pPr>
          </w:p>
        </w:tc>
        <w:tc>
          <w:tcPr>
            <w:tcW w:w="452" w:type="dxa"/>
            <w:tcBorders>
              <w:left w:val="single" w:sz="4" w:space="0" w:color="auto"/>
            </w:tcBorders>
          </w:tcPr>
          <w:p w:rsidR="001404AB" w:rsidRPr="00A72612" w:rsidRDefault="001404AB">
            <w:pPr>
              <w:keepNext/>
              <w:keepLines/>
            </w:pPr>
            <w:r w:rsidRPr="00A72612">
              <w:t>F</w:t>
            </w:r>
          </w:p>
        </w:tc>
        <w:tc>
          <w:tcPr>
            <w:tcW w:w="723" w:type="dxa"/>
            <w:shd w:val="pct15" w:color="auto" w:fill="FFFFFF"/>
          </w:tcPr>
          <w:p w:rsidR="001404AB" w:rsidRPr="00A72612" w:rsidRDefault="001404AB">
            <w:pPr>
              <w:keepNext/>
              <w:keepLines/>
            </w:pPr>
          </w:p>
        </w:tc>
        <w:tc>
          <w:tcPr>
            <w:tcW w:w="723" w:type="dxa"/>
            <w:shd w:val="pct15" w:color="auto" w:fill="FFFFFF"/>
          </w:tcPr>
          <w:p w:rsidR="001404AB" w:rsidRPr="00A72612" w:rsidRDefault="001404AB">
            <w:pPr>
              <w:keepNext/>
              <w:keepLines/>
            </w:pPr>
          </w:p>
        </w:tc>
        <w:tc>
          <w:tcPr>
            <w:tcW w:w="724" w:type="dxa"/>
            <w:tcBorders>
              <w:top w:val="single" w:sz="4" w:space="0" w:color="auto"/>
            </w:tcBorders>
            <w:shd w:val="pct15" w:color="auto" w:fill="FFFFFF"/>
          </w:tcPr>
          <w:p w:rsidR="001404AB" w:rsidRPr="00A72612" w:rsidRDefault="001404AB">
            <w:pPr>
              <w:keepNext/>
              <w:keepLines/>
            </w:pPr>
          </w:p>
        </w:tc>
        <w:tc>
          <w:tcPr>
            <w:tcW w:w="723" w:type="dxa"/>
            <w:tcBorders>
              <w:right w:val="single" w:sz="4" w:space="0" w:color="auto"/>
            </w:tcBorders>
          </w:tcPr>
          <w:p w:rsidR="001404AB" w:rsidRPr="00A72612" w:rsidRDefault="001404AB">
            <w:pPr>
              <w:keepNext/>
              <w:keepLines/>
              <w:jc w:val="center"/>
            </w:pPr>
          </w:p>
        </w:tc>
        <w:tc>
          <w:tcPr>
            <w:tcW w:w="724" w:type="dxa"/>
            <w:tcBorders>
              <w:right w:val="single" w:sz="4" w:space="0" w:color="auto"/>
            </w:tcBorders>
          </w:tcPr>
          <w:p w:rsidR="001404AB" w:rsidRPr="00A72612" w:rsidRDefault="001404AB">
            <w:pPr>
              <w:keepNext/>
              <w:keepLines/>
              <w:jc w:val="center"/>
            </w:pPr>
          </w:p>
        </w:tc>
        <w:tc>
          <w:tcPr>
            <w:tcW w:w="1508" w:type="dxa"/>
            <w:tcBorders>
              <w:top w:val="nil"/>
              <w:left w:val="single" w:sz="4" w:space="0" w:color="auto"/>
              <w:bottom w:val="nil"/>
              <w:right w:val="nil"/>
            </w:tcBorders>
          </w:tcPr>
          <w:p w:rsidR="001404AB" w:rsidRPr="00A72612" w:rsidRDefault="001404AB">
            <w:pPr>
              <w:keepNext/>
              <w:keepLines/>
              <w:rPr>
                <w:sz w:val="16"/>
              </w:rPr>
            </w:pPr>
            <w:r w:rsidRPr="00A72612">
              <w:rPr>
                <w:sz w:val="16"/>
              </w:rPr>
              <w:t>I = Negligible</w:t>
            </w:r>
          </w:p>
        </w:tc>
        <w:tc>
          <w:tcPr>
            <w:tcW w:w="1608" w:type="dxa"/>
            <w:tcBorders>
              <w:top w:val="nil"/>
              <w:left w:val="nil"/>
              <w:bottom w:val="nil"/>
              <w:right w:val="nil"/>
            </w:tcBorders>
          </w:tcPr>
          <w:p w:rsidR="001404AB" w:rsidRPr="00A72612" w:rsidRDefault="001404AB">
            <w:pPr>
              <w:keepNext/>
              <w:keepLines/>
              <w:rPr>
                <w:sz w:val="16"/>
              </w:rPr>
            </w:pPr>
            <w:r w:rsidRPr="00A72612">
              <w:rPr>
                <w:sz w:val="16"/>
              </w:rPr>
              <w:t>E = 3% - 24%</w:t>
            </w:r>
          </w:p>
        </w:tc>
      </w:tr>
      <w:tr w:rsidR="001404AB" w:rsidRPr="00A72612">
        <w:trPr>
          <w:cantSplit/>
        </w:trPr>
        <w:tc>
          <w:tcPr>
            <w:tcW w:w="645" w:type="dxa"/>
            <w:vMerge/>
            <w:tcBorders>
              <w:left w:val="single" w:sz="4" w:space="0" w:color="auto"/>
              <w:bottom w:val="single" w:sz="4" w:space="0" w:color="auto"/>
              <w:right w:val="single" w:sz="4" w:space="0" w:color="auto"/>
            </w:tcBorders>
          </w:tcPr>
          <w:p w:rsidR="001404AB" w:rsidRPr="00A72612" w:rsidRDefault="001404AB">
            <w:pPr>
              <w:keepNext/>
              <w:keepLines/>
            </w:pPr>
          </w:p>
        </w:tc>
        <w:tc>
          <w:tcPr>
            <w:tcW w:w="452" w:type="dxa"/>
            <w:tcBorders>
              <w:left w:val="single" w:sz="4" w:space="0" w:color="auto"/>
              <w:bottom w:val="single" w:sz="4" w:space="0" w:color="auto"/>
            </w:tcBorders>
          </w:tcPr>
          <w:p w:rsidR="001404AB" w:rsidRPr="00A72612" w:rsidRDefault="001404AB">
            <w:pPr>
              <w:keepNext/>
              <w:keepLines/>
            </w:pPr>
          </w:p>
        </w:tc>
        <w:tc>
          <w:tcPr>
            <w:tcW w:w="723" w:type="dxa"/>
            <w:tcBorders>
              <w:bottom w:val="single" w:sz="4" w:space="0" w:color="auto"/>
            </w:tcBorders>
          </w:tcPr>
          <w:p w:rsidR="001404AB" w:rsidRPr="00A72612" w:rsidRDefault="001404AB">
            <w:pPr>
              <w:keepNext/>
              <w:keepLines/>
              <w:jc w:val="center"/>
            </w:pPr>
            <w:r w:rsidRPr="00A72612">
              <w:t>I</w:t>
            </w:r>
          </w:p>
        </w:tc>
        <w:tc>
          <w:tcPr>
            <w:tcW w:w="723" w:type="dxa"/>
            <w:tcBorders>
              <w:bottom w:val="single" w:sz="4" w:space="0" w:color="auto"/>
            </w:tcBorders>
          </w:tcPr>
          <w:p w:rsidR="001404AB" w:rsidRPr="00A72612" w:rsidRDefault="001404AB">
            <w:pPr>
              <w:keepNext/>
              <w:keepLines/>
              <w:jc w:val="center"/>
            </w:pPr>
            <w:r w:rsidRPr="00A72612">
              <w:t>II</w:t>
            </w:r>
          </w:p>
        </w:tc>
        <w:tc>
          <w:tcPr>
            <w:tcW w:w="724" w:type="dxa"/>
            <w:tcBorders>
              <w:bottom w:val="single" w:sz="4" w:space="0" w:color="auto"/>
            </w:tcBorders>
          </w:tcPr>
          <w:p w:rsidR="001404AB" w:rsidRPr="00A72612" w:rsidRDefault="001404AB">
            <w:pPr>
              <w:keepNext/>
              <w:keepLines/>
              <w:jc w:val="center"/>
            </w:pPr>
            <w:r w:rsidRPr="00A72612">
              <w:t>III</w:t>
            </w:r>
          </w:p>
        </w:tc>
        <w:tc>
          <w:tcPr>
            <w:tcW w:w="723" w:type="dxa"/>
            <w:tcBorders>
              <w:bottom w:val="single" w:sz="4" w:space="0" w:color="auto"/>
              <w:right w:val="single" w:sz="4" w:space="0" w:color="auto"/>
            </w:tcBorders>
          </w:tcPr>
          <w:p w:rsidR="001404AB" w:rsidRPr="00A72612" w:rsidRDefault="001404AB">
            <w:pPr>
              <w:keepNext/>
              <w:keepLines/>
              <w:jc w:val="center"/>
            </w:pPr>
            <w:r w:rsidRPr="00A72612">
              <w:t>IV</w:t>
            </w:r>
          </w:p>
        </w:tc>
        <w:tc>
          <w:tcPr>
            <w:tcW w:w="724" w:type="dxa"/>
            <w:tcBorders>
              <w:bottom w:val="single" w:sz="4" w:space="0" w:color="auto"/>
              <w:right w:val="single" w:sz="4" w:space="0" w:color="auto"/>
            </w:tcBorders>
          </w:tcPr>
          <w:p w:rsidR="001404AB" w:rsidRPr="00A72612" w:rsidRDefault="001404AB">
            <w:pPr>
              <w:keepNext/>
              <w:keepLines/>
              <w:jc w:val="center"/>
            </w:pPr>
            <w:r w:rsidRPr="00A72612">
              <w:t>V</w:t>
            </w:r>
          </w:p>
        </w:tc>
        <w:tc>
          <w:tcPr>
            <w:tcW w:w="1508" w:type="dxa"/>
            <w:tcBorders>
              <w:top w:val="nil"/>
              <w:left w:val="single" w:sz="4" w:space="0" w:color="auto"/>
              <w:bottom w:val="nil"/>
              <w:right w:val="nil"/>
            </w:tcBorders>
          </w:tcPr>
          <w:p w:rsidR="001404AB" w:rsidRPr="00A72612" w:rsidRDefault="001404AB">
            <w:pPr>
              <w:keepNext/>
              <w:keepLines/>
            </w:pPr>
          </w:p>
        </w:tc>
        <w:tc>
          <w:tcPr>
            <w:tcW w:w="1608" w:type="dxa"/>
            <w:tcBorders>
              <w:top w:val="nil"/>
              <w:left w:val="nil"/>
              <w:bottom w:val="nil"/>
              <w:right w:val="nil"/>
            </w:tcBorders>
          </w:tcPr>
          <w:p w:rsidR="001404AB" w:rsidRPr="00A72612" w:rsidRDefault="001404AB">
            <w:pPr>
              <w:keepNext/>
              <w:keepLines/>
              <w:rPr>
                <w:sz w:val="16"/>
              </w:rPr>
            </w:pPr>
            <w:r w:rsidRPr="00A72612">
              <w:rPr>
                <w:sz w:val="16"/>
              </w:rPr>
              <w:t xml:space="preserve">F = </w:t>
            </w:r>
            <w:r w:rsidRPr="00A72612">
              <w:rPr>
                <w:spacing w:val="-8"/>
                <w:sz w:val="16"/>
              </w:rPr>
              <w:t xml:space="preserve"> &lt;2%</w:t>
            </w:r>
          </w:p>
        </w:tc>
      </w:tr>
      <w:tr w:rsidR="001404AB" w:rsidRPr="00A72612">
        <w:trPr>
          <w:cantSplit/>
          <w:trHeight w:val="387"/>
        </w:trPr>
        <w:tc>
          <w:tcPr>
            <w:tcW w:w="645" w:type="dxa"/>
            <w:vMerge/>
            <w:tcBorders>
              <w:left w:val="single" w:sz="4" w:space="0" w:color="auto"/>
              <w:bottom w:val="single" w:sz="4" w:space="0" w:color="auto"/>
              <w:right w:val="single" w:sz="4" w:space="0" w:color="auto"/>
            </w:tcBorders>
          </w:tcPr>
          <w:p w:rsidR="001404AB" w:rsidRPr="00A72612" w:rsidRDefault="001404AB">
            <w:pPr>
              <w:keepNext/>
              <w:keepLines/>
            </w:pPr>
          </w:p>
        </w:tc>
        <w:tc>
          <w:tcPr>
            <w:tcW w:w="4069" w:type="dxa"/>
            <w:gridSpan w:val="6"/>
            <w:tcBorders>
              <w:left w:val="single" w:sz="4" w:space="0" w:color="auto"/>
              <w:bottom w:val="single" w:sz="4" w:space="0" w:color="auto"/>
              <w:right w:val="single" w:sz="4" w:space="0" w:color="auto"/>
            </w:tcBorders>
          </w:tcPr>
          <w:p w:rsidR="001404AB" w:rsidRPr="00A72612" w:rsidRDefault="001404AB">
            <w:pPr>
              <w:keepNext/>
              <w:keepLines/>
              <w:spacing w:before="40"/>
              <w:jc w:val="center"/>
              <w:rPr>
                <w:b/>
                <w:szCs w:val="22"/>
              </w:rPr>
            </w:pPr>
            <w:r w:rsidRPr="00A72612">
              <w:rPr>
                <w:b/>
                <w:szCs w:val="22"/>
              </w:rPr>
              <w:t>Impact</w:t>
            </w:r>
          </w:p>
          <w:p w:rsidR="001404AB" w:rsidRPr="00A72612" w:rsidRDefault="001404AB">
            <w:pPr>
              <w:keepNext/>
              <w:keepLines/>
              <w:rPr>
                <w:b/>
                <w:sz w:val="20"/>
              </w:rPr>
            </w:pPr>
          </w:p>
        </w:tc>
        <w:tc>
          <w:tcPr>
            <w:tcW w:w="1508" w:type="dxa"/>
            <w:tcBorders>
              <w:top w:val="nil"/>
              <w:left w:val="single" w:sz="4" w:space="0" w:color="auto"/>
              <w:bottom w:val="nil"/>
              <w:right w:val="nil"/>
            </w:tcBorders>
          </w:tcPr>
          <w:p w:rsidR="001404AB" w:rsidRPr="00A72612" w:rsidRDefault="001404AB">
            <w:pPr>
              <w:keepNext/>
              <w:keepLines/>
            </w:pPr>
          </w:p>
        </w:tc>
        <w:tc>
          <w:tcPr>
            <w:tcW w:w="1608" w:type="dxa"/>
            <w:tcBorders>
              <w:top w:val="nil"/>
              <w:left w:val="nil"/>
              <w:bottom w:val="nil"/>
              <w:right w:val="nil"/>
            </w:tcBorders>
          </w:tcPr>
          <w:p w:rsidR="001404AB" w:rsidRPr="00A72612" w:rsidRDefault="001404AB">
            <w:pPr>
              <w:keepNext/>
              <w:keepLines/>
            </w:pPr>
          </w:p>
        </w:tc>
      </w:tr>
    </w:tbl>
    <w:p w:rsidR="001404AB" w:rsidRPr="00A72612" w:rsidRDefault="001404AB">
      <w:pPr>
        <w:pStyle w:val="Header"/>
        <w:tabs>
          <w:tab w:val="clear" w:pos="4153"/>
          <w:tab w:val="clear" w:pos="8306"/>
          <w:tab w:val="left" w:pos="1260"/>
          <w:tab w:val="left" w:pos="1980"/>
          <w:tab w:val="left" w:pos="2700"/>
          <w:tab w:val="left" w:pos="3420"/>
        </w:tabs>
      </w:pPr>
    </w:p>
    <w:p w:rsidR="001404AB" w:rsidRPr="00A72612" w:rsidRDefault="00221178">
      <w:pPr>
        <w:keepNext/>
        <w:ind w:left="1267" w:hanging="1267"/>
      </w:pPr>
      <w:r>
        <w:t>8.</w:t>
      </w:r>
      <w:r w:rsidR="001404AB" w:rsidRPr="00A72612">
        <w:rPr>
          <w:b/>
        </w:rPr>
        <w:tab/>
        <w:t>Staffing, Environmental, Community Safety, Customer Services Centre, Communications &amp; Website and Health &amp; Safety Implications</w:t>
      </w:r>
    </w:p>
    <w:p w:rsidR="001404AB" w:rsidRPr="00A72612" w:rsidRDefault="001404AB">
      <w:pPr>
        <w:keepNext/>
        <w:ind w:left="1267" w:hanging="1267"/>
      </w:pPr>
    </w:p>
    <w:p w:rsidR="001404AB" w:rsidRPr="00A72612" w:rsidRDefault="001404AB">
      <w:pPr>
        <w:ind w:left="1276" w:hanging="1276"/>
      </w:pPr>
      <w:r w:rsidRPr="00A72612">
        <w:fldChar w:fldCharType="begin"/>
      </w:r>
      <w:r w:rsidRPr="00A72612">
        <w:instrText xml:space="preserve">  </w:instrText>
      </w:r>
      <w:r w:rsidRPr="00A72612">
        <w:fldChar w:fldCharType="end"/>
      </w:r>
      <w:r w:rsidR="00221178">
        <w:t>8</w:t>
      </w:r>
      <w:r w:rsidRPr="00A72612">
        <w:t>.1</w:t>
      </w:r>
      <w:r w:rsidRPr="00A72612">
        <w:tab/>
        <w:t>None specific.</w:t>
      </w:r>
    </w:p>
    <w:p w:rsidR="001404AB" w:rsidRPr="00A72612" w:rsidRDefault="001404AB">
      <w:pPr>
        <w:pStyle w:val="BodyTextIndent"/>
      </w:pPr>
    </w:p>
    <w:p w:rsidR="001404AB" w:rsidRPr="00A72612" w:rsidRDefault="00221178">
      <w:pPr>
        <w:keepNext/>
        <w:ind w:left="1267" w:hanging="1267"/>
      </w:pPr>
      <w:r>
        <w:t>9</w:t>
      </w:r>
      <w:r w:rsidR="001404AB" w:rsidRPr="00A72612">
        <w:t>.</w:t>
      </w:r>
      <w:r w:rsidR="001404AB" w:rsidRPr="00A72612">
        <w:fldChar w:fldCharType="begin"/>
      </w:r>
      <w:r w:rsidR="001404AB" w:rsidRPr="00A72612">
        <w:instrText xml:space="preserve">  </w:instrText>
      </w:r>
      <w:r w:rsidR="001404AB" w:rsidRPr="00A72612">
        <w:fldChar w:fldCharType="end"/>
      </w:r>
      <w:r w:rsidR="001404AB" w:rsidRPr="00A72612">
        <w:tab/>
      </w:r>
      <w:r w:rsidR="001404AB" w:rsidRPr="00A72612">
        <w:rPr>
          <w:b/>
        </w:rPr>
        <w:t>Recommendation</w:t>
      </w:r>
    </w:p>
    <w:p w:rsidR="001404AB" w:rsidRPr="00A72612" w:rsidRDefault="001404AB">
      <w:pPr>
        <w:keepNext/>
        <w:ind w:left="1267" w:hanging="1267"/>
      </w:pPr>
    </w:p>
    <w:p w:rsidR="001404AB" w:rsidRPr="00A72612" w:rsidRDefault="00221178">
      <w:pPr>
        <w:ind w:left="1260" w:hanging="1260"/>
      </w:pPr>
      <w:r>
        <w:t>9</w:t>
      </w:r>
      <w:r w:rsidR="001404AB" w:rsidRPr="00A72612">
        <w:t>.1</w:t>
      </w:r>
      <w:r w:rsidR="001404AB" w:rsidRPr="00A72612">
        <w:tab/>
        <w:t xml:space="preserve">That the calculation of the Council’s tax base for the year </w:t>
      </w:r>
      <w:r w:rsidR="000F5919">
        <w:t>2017/2018</w:t>
      </w:r>
      <w:r w:rsidR="001404AB" w:rsidRPr="00A72612">
        <w:t xml:space="preserve"> be approved.</w:t>
      </w:r>
    </w:p>
    <w:p w:rsidR="001404AB" w:rsidRPr="00A72612" w:rsidRDefault="001404AB">
      <w:pPr>
        <w:ind w:left="1260" w:hanging="1260"/>
      </w:pPr>
    </w:p>
    <w:p w:rsidR="001404AB" w:rsidRPr="009D32DE" w:rsidRDefault="00221178">
      <w:pPr>
        <w:ind w:left="1260" w:hanging="1260"/>
      </w:pPr>
      <w:r>
        <w:t>9</w:t>
      </w:r>
      <w:r w:rsidR="001404AB" w:rsidRPr="009D32DE">
        <w:t>.2</w:t>
      </w:r>
      <w:r w:rsidR="001404AB" w:rsidRPr="009D32DE">
        <w:tab/>
        <w:t xml:space="preserve">That in accordance with the Local Authorities (Calculation of Tax Base) </w:t>
      </w:r>
      <w:r w:rsidR="001C09BA" w:rsidRPr="009D32DE">
        <w:t xml:space="preserve">(England) </w:t>
      </w:r>
      <w:r w:rsidR="001404AB" w:rsidRPr="009D32DE">
        <w:t xml:space="preserve">Regulations </w:t>
      </w:r>
      <w:r w:rsidR="001C09BA" w:rsidRPr="009D32DE">
        <w:t>2012</w:t>
      </w:r>
      <w:r w:rsidR="001404AB" w:rsidRPr="009D32DE">
        <w:t xml:space="preserve">, the amount calculated by the Three Rivers District Council as its </w:t>
      </w:r>
      <w:r w:rsidR="00ED73BA">
        <w:t>C</w:t>
      </w:r>
      <w:r w:rsidR="001404AB" w:rsidRPr="009D32DE">
        <w:t xml:space="preserve">ouncil tax base for the year </w:t>
      </w:r>
      <w:r w:rsidR="000F5919">
        <w:t>2017/2018</w:t>
      </w:r>
      <w:r w:rsidR="001404AB" w:rsidRPr="009D32DE">
        <w:t xml:space="preserve"> shall be:-</w:t>
      </w:r>
    </w:p>
    <w:p w:rsidR="001404AB" w:rsidRPr="00A72612" w:rsidRDefault="001404AB">
      <w:pPr>
        <w:ind w:left="1260" w:hanging="1260"/>
        <w:rPr>
          <w:color w:val="3366FF"/>
        </w:rPr>
      </w:pPr>
    </w:p>
    <w:tbl>
      <w:tblPr>
        <w:tblW w:w="0" w:type="auto"/>
        <w:tblInd w:w="1908" w:type="dxa"/>
        <w:tblLayout w:type="fixed"/>
        <w:tblLook w:val="0000" w:firstRow="0" w:lastRow="0" w:firstColumn="0" w:lastColumn="0" w:noHBand="0" w:noVBand="0"/>
      </w:tblPr>
      <w:tblGrid>
        <w:gridCol w:w="2070"/>
        <w:gridCol w:w="2340"/>
      </w:tblGrid>
      <w:tr w:rsidR="001404AB" w:rsidRPr="00A72612">
        <w:tc>
          <w:tcPr>
            <w:tcW w:w="2070" w:type="dxa"/>
          </w:tcPr>
          <w:p w:rsidR="001404AB" w:rsidRPr="009D32DE" w:rsidRDefault="001404AB">
            <w:pPr>
              <w:keepNext/>
              <w:tabs>
                <w:tab w:val="left" w:pos="1710"/>
              </w:tabs>
            </w:pPr>
          </w:p>
        </w:tc>
        <w:tc>
          <w:tcPr>
            <w:tcW w:w="2340" w:type="dxa"/>
          </w:tcPr>
          <w:p w:rsidR="001404AB" w:rsidRPr="009D32DE" w:rsidRDefault="001404AB">
            <w:pPr>
              <w:keepNext/>
            </w:pPr>
            <w:r w:rsidRPr="009D32DE">
              <w:t>Band D Equivalents</w:t>
            </w:r>
          </w:p>
        </w:tc>
      </w:tr>
      <w:tr w:rsidR="001404AB" w:rsidRPr="00A72612">
        <w:tc>
          <w:tcPr>
            <w:tcW w:w="2070" w:type="dxa"/>
          </w:tcPr>
          <w:p w:rsidR="001404AB" w:rsidRPr="00A72612" w:rsidRDefault="001404AB">
            <w:pPr>
              <w:keepNext/>
              <w:tabs>
                <w:tab w:val="left" w:pos="1710"/>
              </w:tabs>
              <w:rPr>
                <w:color w:val="3366FF"/>
              </w:rPr>
            </w:pPr>
          </w:p>
        </w:tc>
        <w:tc>
          <w:tcPr>
            <w:tcW w:w="2340" w:type="dxa"/>
          </w:tcPr>
          <w:p w:rsidR="001404AB" w:rsidRPr="00D34EB6" w:rsidRDefault="001404AB">
            <w:pPr>
              <w:keepNext/>
              <w:tabs>
                <w:tab w:val="decimal" w:pos="882"/>
              </w:tabs>
              <w:rPr>
                <w:color w:val="3366FF"/>
              </w:rPr>
            </w:pPr>
          </w:p>
        </w:tc>
      </w:tr>
      <w:tr w:rsidR="001404AB" w:rsidRPr="00A72612">
        <w:tc>
          <w:tcPr>
            <w:tcW w:w="2070" w:type="dxa"/>
          </w:tcPr>
          <w:p w:rsidR="001404AB" w:rsidRDefault="001404AB">
            <w:pPr>
              <w:keepNext/>
              <w:tabs>
                <w:tab w:val="left" w:pos="1710"/>
              </w:tabs>
            </w:pPr>
            <w:r w:rsidRPr="009D32DE">
              <w:t>Abbots Langley</w:t>
            </w:r>
          </w:p>
          <w:p w:rsidR="0085129F" w:rsidRPr="009D32DE" w:rsidRDefault="0085129F">
            <w:pPr>
              <w:keepNext/>
              <w:tabs>
                <w:tab w:val="left" w:pos="1710"/>
              </w:tabs>
            </w:pPr>
            <w:proofErr w:type="spellStart"/>
            <w:r>
              <w:t>Batchworth</w:t>
            </w:r>
            <w:proofErr w:type="spellEnd"/>
          </w:p>
        </w:tc>
        <w:tc>
          <w:tcPr>
            <w:tcW w:w="2340" w:type="dxa"/>
          </w:tcPr>
          <w:p w:rsidR="001404AB" w:rsidRPr="00D34EB6" w:rsidRDefault="00F27602" w:rsidP="008C5D87">
            <w:pPr>
              <w:keepNext/>
              <w:tabs>
                <w:tab w:val="decimal" w:pos="1152"/>
              </w:tabs>
              <w:jc w:val="right"/>
            </w:pPr>
            <w:r w:rsidRPr="00D34EB6">
              <w:t>8,</w:t>
            </w:r>
            <w:r w:rsidR="008C5D87" w:rsidRPr="00D34EB6">
              <w:t>227.5</w:t>
            </w:r>
          </w:p>
          <w:p w:rsidR="008C5D87" w:rsidRPr="00D34EB6" w:rsidRDefault="008C5D87" w:rsidP="008C5D87">
            <w:pPr>
              <w:keepNext/>
              <w:tabs>
                <w:tab w:val="decimal" w:pos="1152"/>
              </w:tabs>
              <w:jc w:val="right"/>
            </w:pPr>
            <w:r w:rsidRPr="00D34EB6">
              <w:t>6,140.9</w:t>
            </w:r>
          </w:p>
        </w:tc>
      </w:tr>
      <w:tr w:rsidR="001404AB" w:rsidRPr="00A72612">
        <w:tc>
          <w:tcPr>
            <w:tcW w:w="2070" w:type="dxa"/>
          </w:tcPr>
          <w:p w:rsidR="001404AB" w:rsidRPr="009D32DE" w:rsidRDefault="001404AB">
            <w:pPr>
              <w:keepNext/>
              <w:tabs>
                <w:tab w:val="left" w:pos="1710"/>
              </w:tabs>
            </w:pPr>
            <w:r w:rsidRPr="009D32DE">
              <w:t>Chorleywood</w:t>
            </w:r>
          </w:p>
        </w:tc>
        <w:tc>
          <w:tcPr>
            <w:tcW w:w="2340" w:type="dxa"/>
          </w:tcPr>
          <w:p w:rsidR="001404AB" w:rsidRPr="00D34EB6" w:rsidRDefault="00F27602" w:rsidP="00D34EB6">
            <w:pPr>
              <w:keepNext/>
              <w:tabs>
                <w:tab w:val="decimal" w:pos="1152"/>
              </w:tabs>
              <w:jc w:val="right"/>
            </w:pPr>
            <w:r w:rsidRPr="00D34EB6">
              <w:t>6,1</w:t>
            </w:r>
            <w:r w:rsidR="00D34EB6" w:rsidRPr="00D34EB6">
              <w:t>85.1</w:t>
            </w:r>
          </w:p>
        </w:tc>
      </w:tr>
      <w:tr w:rsidR="001404AB" w:rsidRPr="00A72612">
        <w:tc>
          <w:tcPr>
            <w:tcW w:w="2070" w:type="dxa"/>
          </w:tcPr>
          <w:p w:rsidR="001404AB" w:rsidRPr="009D32DE" w:rsidRDefault="001404AB">
            <w:pPr>
              <w:keepNext/>
              <w:tabs>
                <w:tab w:val="left" w:pos="1710"/>
              </w:tabs>
            </w:pPr>
            <w:r w:rsidRPr="009D32DE">
              <w:t>Croxley Green</w:t>
            </w:r>
          </w:p>
        </w:tc>
        <w:tc>
          <w:tcPr>
            <w:tcW w:w="2340" w:type="dxa"/>
          </w:tcPr>
          <w:p w:rsidR="001404AB" w:rsidRPr="00D34EB6" w:rsidRDefault="00F27602" w:rsidP="00D34EB6">
            <w:pPr>
              <w:keepNext/>
              <w:tabs>
                <w:tab w:val="decimal" w:pos="1152"/>
              </w:tabs>
              <w:jc w:val="right"/>
            </w:pPr>
            <w:r w:rsidRPr="00D34EB6">
              <w:t>5,</w:t>
            </w:r>
            <w:r w:rsidR="00D34EB6" w:rsidRPr="00D34EB6">
              <w:t>492.5</w:t>
            </w:r>
          </w:p>
        </w:tc>
      </w:tr>
      <w:tr w:rsidR="001404AB" w:rsidRPr="00A72612">
        <w:tc>
          <w:tcPr>
            <w:tcW w:w="2070" w:type="dxa"/>
          </w:tcPr>
          <w:p w:rsidR="001404AB" w:rsidRPr="009D32DE" w:rsidRDefault="001404AB">
            <w:pPr>
              <w:keepNext/>
              <w:tabs>
                <w:tab w:val="left" w:pos="1710"/>
              </w:tabs>
            </w:pPr>
            <w:proofErr w:type="spellStart"/>
            <w:r w:rsidRPr="009D32DE">
              <w:t>Sarratt</w:t>
            </w:r>
            <w:proofErr w:type="spellEnd"/>
          </w:p>
        </w:tc>
        <w:tc>
          <w:tcPr>
            <w:tcW w:w="2340" w:type="dxa"/>
          </w:tcPr>
          <w:p w:rsidR="001404AB" w:rsidRPr="00D34EB6" w:rsidRDefault="00F27602" w:rsidP="00D34EB6">
            <w:pPr>
              <w:keepNext/>
              <w:tabs>
                <w:tab w:val="decimal" w:pos="1152"/>
              </w:tabs>
              <w:jc w:val="right"/>
            </w:pPr>
            <w:r w:rsidRPr="00D34EB6">
              <w:t>1,0</w:t>
            </w:r>
            <w:r w:rsidR="00D34EB6" w:rsidRPr="00D34EB6">
              <w:t>80.7</w:t>
            </w:r>
          </w:p>
        </w:tc>
      </w:tr>
      <w:tr w:rsidR="001404AB" w:rsidRPr="00A72612">
        <w:tc>
          <w:tcPr>
            <w:tcW w:w="2070" w:type="dxa"/>
          </w:tcPr>
          <w:p w:rsidR="001404AB" w:rsidRPr="009D32DE" w:rsidRDefault="001404AB">
            <w:pPr>
              <w:keepNext/>
              <w:tabs>
                <w:tab w:val="left" w:pos="1710"/>
              </w:tabs>
            </w:pPr>
            <w:smartTag w:uri="urn:schemas-microsoft-com:office:smarttags" w:element="place">
              <w:r w:rsidRPr="009D32DE">
                <w:t>Watford</w:t>
              </w:r>
            </w:smartTag>
            <w:r w:rsidRPr="009D32DE">
              <w:t xml:space="preserve"> Rural</w:t>
            </w:r>
          </w:p>
        </w:tc>
        <w:tc>
          <w:tcPr>
            <w:tcW w:w="2340" w:type="dxa"/>
          </w:tcPr>
          <w:p w:rsidR="001404AB" w:rsidRPr="00D34EB6" w:rsidRDefault="00D34EB6">
            <w:pPr>
              <w:keepNext/>
              <w:tabs>
                <w:tab w:val="decimal" w:pos="1152"/>
              </w:tabs>
              <w:jc w:val="right"/>
            </w:pPr>
            <w:r w:rsidRPr="00D34EB6">
              <w:t>6,915.2</w:t>
            </w:r>
          </w:p>
        </w:tc>
      </w:tr>
      <w:tr w:rsidR="001404AB" w:rsidRPr="00A72612">
        <w:tc>
          <w:tcPr>
            <w:tcW w:w="2070" w:type="dxa"/>
          </w:tcPr>
          <w:p w:rsidR="001404AB" w:rsidRPr="009D32DE" w:rsidRDefault="001404AB">
            <w:pPr>
              <w:keepNext/>
              <w:tabs>
                <w:tab w:val="left" w:pos="1710"/>
              </w:tabs>
            </w:pPr>
            <w:r w:rsidRPr="009D32DE">
              <w:t>Unparished Area</w:t>
            </w:r>
          </w:p>
        </w:tc>
        <w:tc>
          <w:tcPr>
            <w:tcW w:w="2340" w:type="dxa"/>
          </w:tcPr>
          <w:p w:rsidR="001404AB" w:rsidRPr="00D34EB6" w:rsidRDefault="00D34EB6">
            <w:pPr>
              <w:keepNext/>
              <w:tabs>
                <w:tab w:val="decimal" w:pos="1152"/>
              </w:tabs>
              <w:jc w:val="right"/>
            </w:pPr>
            <w:r w:rsidRPr="00D34EB6">
              <w:t>3,770.2</w:t>
            </w:r>
          </w:p>
        </w:tc>
      </w:tr>
      <w:tr w:rsidR="001404AB" w:rsidRPr="00A72612">
        <w:tc>
          <w:tcPr>
            <w:tcW w:w="2070" w:type="dxa"/>
          </w:tcPr>
          <w:p w:rsidR="001404AB" w:rsidRPr="009D32DE" w:rsidRDefault="001404AB">
            <w:pPr>
              <w:keepNext/>
              <w:tabs>
                <w:tab w:val="left" w:pos="1710"/>
              </w:tabs>
              <w:spacing w:before="80" w:after="80"/>
            </w:pPr>
            <w:r w:rsidRPr="009D32DE">
              <w:t>Total District</w:t>
            </w:r>
          </w:p>
        </w:tc>
        <w:tc>
          <w:tcPr>
            <w:tcW w:w="2340" w:type="dxa"/>
            <w:tcBorders>
              <w:top w:val="single" w:sz="6" w:space="0" w:color="auto"/>
              <w:bottom w:val="single" w:sz="6" w:space="0" w:color="auto"/>
            </w:tcBorders>
          </w:tcPr>
          <w:p w:rsidR="001404AB" w:rsidRPr="00D34EB6" w:rsidRDefault="00D34EB6">
            <w:pPr>
              <w:keepNext/>
              <w:tabs>
                <w:tab w:val="decimal" w:pos="1152"/>
              </w:tabs>
              <w:spacing w:before="80" w:after="80"/>
              <w:jc w:val="right"/>
            </w:pPr>
            <w:r w:rsidRPr="00D34EB6">
              <w:t>37,812.1</w:t>
            </w:r>
          </w:p>
        </w:tc>
      </w:tr>
    </w:tbl>
    <w:p w:rsidR="00FF57A8" w:rsidRPr="00A72612" w:rsidRDefault="00FF57A8">
      <w:pPr>
        <w:rPr>
          <w:color w:val="3366FF"/>
        </w:rPr>
      </w:pPr>
    </w:p>
    <w:p w:rsidR="001404AB" w:rsidRPr="009D32DE" w:rsidRDefault="001404AB">
      <w:pPr>
        <w:keepNext/>
        <w:ind w:left="1267" w:hanging="1267"/>
        <w:rPr>
          <w:b/>
        </w:rPr>
      </w:pPr>
      <w:r w:rsidRPr="00A72612">
        <w:rPr>
          <w:color w:val="3366FF"/>
        </w:rPr>
        <w:tab/>
      </w:r>
      <w:r w:rsidRPr="009D32DE">
        <w:rPr>
          <w:b/>
        </w:rPr>
        <w:t>Background Papers</w:t>
      </w:r>
    </w:p>
    <w:p w:rsidR="001404AB" w:rsidRPr="009D32DE" w:rsidRDefault="001404AB">
      <w:pPr>
        <w:keepNext/>
        <w:ind w:left="1267" w:hanging="1267"/>
      </w:pPr>
    </w:p>
    <w:p w:rsidR="00F75C23" w:rsidRPr="009D32DE" w:rsidRDefault="001404AB" w:rsidP="000F5919">
      <w:pPr>
        <w:ind w:left="1267" w:hanging="1267"/>
      </w:pPr>
      <w:r w:rsidRPr="009D32DE">
        <w:tab/>
      </w:r>
      <w:r w:rsidRPr="009D32DE">
        <w:tab/>
      </w:r>
      <w:proofErr w:type="gramStart"/>
      <w:r w:rsidRPr="009D32DE">
        <w:t>L</w:t>
      </w:r>
      <w:r w:rsidR="000F5919">
        <w:t>ocal Government Finance Act.</w:t>
      </w:r>
      <w:proofErr w:type="gramEnd"/>
    </w:p>
    <w:p w:rsidR="001404AB" w:rsidRPr="002C418C" w:rsidRDefault="001404AB">
      <w:pPr>
        <w:ind w:left="1267" w:hanging="1267"/>
      </w:pPr>
      <w:r w:rsidRPr="00A72612">
        <w:rPr>
          <w:color w:val="3366FF"/>
        </w:rPr>
        <w:tab/>
      </w:r>
      <w:proofErr w:type="gramStart"/>
      <w:r w:rsidRPr="002C418C">
        <w:t xml:space="preserve">Statutory Instrument No </w:t>
      </w:r>
      <w:r w:rsidR="001C09BA" w:rsidRPr="002C418C">
        <w:t>2914</w:t>
      </w:r>
      <w:r w:rsidRPr="002C418C">
        <w:t xml:space="preserve"> of </w:t>
      </w:r>
      <w:r w:rsidR="001C09BA" w:rsidRPr="002C418C">
        <w:t>2012</w:t>
      </w:r>
      <w:r w:rsidRPr="002C418C">
        <w:t>.</w:t>
      </w:r>
      <w:proofErr w:type="gramEnd"/>
    </w:p>
    <w:p w:rsidR="001404AB" w:rsidRPr="00A72612" w:rsidRDefault="001404AB">
      <w:pPr>
        <w:ind w:left="1267" w:hanging="1267"/>
        <w:rPr>
          <w:color w:val="3366FF"/>
        </w:rPr>
      </w:pPr>
      <w:r w:rsidRPr="00A72612">
        <w:rPr>
          <w:color w:val="3366FF"/>
        </w:rPr>
        <w:tab/>
      </w:r>
    </w:p>
    <w:p w:rsidR="000F5919" w:rsidRDefault="001404AB">
      <w:pPr>
        <w:ind w:left="1267" w:hanging="1267"/>
        <w:outlineLvl w:val="0"/>
      </w:pPr>
      <w:r w:rsidRPr="00A72612">
        <w:rPr>
          <w:color w:val="3366FF"/>
        </w:rPr>
        <w:tab/>
      </w:r>
      <w:r w:rsidRPr="009D32DE">
        <w:t xml:space="preserve">Report prepared by: </w:t>
      </w:r>
    </w:p>
    <w:p w:rsidR="001404AB" w:rsidRPr="009D32DE" w:rsidRDefault="001404AB">
      <w:pPr>
        <w:ind w:left="1267" w:hanging="1267"/>
        <w:outlineLvl w:val="0"/>
      </w:pPr>
      <w:r w:rsidRPr="009D32DE">
        <w:tab/>
      </w:r>
    </w:p>
    <w:p w:rsidR="001404AB" w:rsidRPr="009D32DE" w:rsidRDefault="001404AB" w:rsidP="007C661E">
      <w:pPr>
        <w:ind w:left="1267" w:hanging="1267"/>
        <w:outlineLvl w:val="0"/>
      </w:pPr>
      <w:r w:rsidRPr="009D32DE">
        <w:tab/>
      </w:r>
      <w:r w:rsidRPr="009D32DE">
        <w:tab/>
      </w:r>
      <w:r w:rsidR="00D34EB6">
        <w:t>Nick Smith</w:t>
      </w:r>
      <w:r w:rsidR="009D32DE" w:rsidRPr="009D32DE">
        <w:t xml:space="preserve">, </w:t>
      </w:r>
      <w:r w:rsidRPr="009D32DE">
        <w:t xml:space="preserve">Revenues </w:t>
      </w:r>
      <w:r w:rsidR="00D34EB6">
        <w:t>Manager</w:t>
      </w:r>
    </w:p>
    <w:p w:rsidR="001404AB" w:rsidRPr="009D32DE" w:rsidRDefault="001404AB">
      <w:pPr>
        <w:ind w:left="1267" w:hanging="1267"/>
      </w:pPr>
      <w:r w:rsidRPr="009D32DE">
        <w:tab/>
      </w:r>
      <w:r w:rsidR="009D32DE" w:rsidRPr="009D32DE">
        <w:t xml:space="preserve">Nigel Pollard, </w:t>
      </w:r>
      <w:r w:rsidR="000F5919">
        <w:t xml:space="preserve">Section </w:t>
      </w:r>
      <w:r w:rsidR="00166401">
        <w:t xml:space="preserve">Head </w:t>
      </w:r>
      <w:r w:rsidR="00166401" w:rsidRPr="009D32DE">
        <w:t>(</w:t>
      </w:r>
      <w:r w:rsidR="000F5919">
        <w:t>Accountancy</w:t>
      </w:r>
      <w:r w:rsidRPr="009D32DE">
        <w:t>)</w:t>
      </w:r>
    </w:p>
    <w:p w:rsidR="001404AB" w:rsidRPr="00A72612" w:rsidRDefault="001404AB">
      <w:pPr>
        <w:pStyle w:val="Title"/>
        <w:keepNext/>
        <w:tabs>
          <w:tab w:val="left" w:pos="1260"/>
          <w:tab w:val="left" w:pos="1980"/>
          <w:tab w:val="left" w:pos="2700"/>
          <w:tab w:val="left" w:pos="3420"/>
        </w:tabs>
        <w:jc w:val="both"/>
        <w:rPr>
          <w:b/>
          <w:color w:val="3366FF"/>
          <w:sz w:val="22"/>
        </w:rPr>
      </w:pPr>
    </w:p>
    <w:p w:rsidR="001404AB" w:rsidRPr="00A72612" w:rsidRDefault="001404AB">
      <w:pPr>
        <w:pStyle w:val="Title"/>
        <w:keepNext/>
        <w:tabs>
          <w:tab w:val="left" w:pos="1260"/>
          <w:tab w:val="left" w:pos="1980"/>
          <w:tab w:val="left" w:pos="2700"/>
          <w:tab w:val="left" w:pos="3420"/>
        </w:tabs>
        <w:jc w:val="both"/>
        <w:rPr>
          <w:b/>
          <w:color w:val="3366FF"/>
          <w:sz w:val="22"/>
        </w:rPr>
      </w:pPr>
    </w:p>
    <w:p w:rsidR="001404AB" w:rsidRDefault="001404AB">
      <w:pPr>
        <w:pStyle w:val="Title"/>
        <w:keepNext/>
        <w:tabs>
          <w:tab w:val="left" w:pos="1260"/>
          <w:tab w:val="left" w:pos="1980"/>
          <w:tab w:val="left" w:pos="2700"/>
          <w:tab w:val="left" w:pos="3420"/>
        </w:tabs>
        <w:jc w:val="both"/>
        <w:rPr>
          <w:b/>
          <w:sz w:val="22"/>
        </w:rPr>
      </w:pPr>
      <w:r w:rsidRPr="00A72612">
        <w:rPr>
          <w:b/>
          <w:color w:val="3366FF"/>
          <w:sz w:val="22"/>
        </w:rPr>
        <w:tab/>
      </w:r>
      <w:r w:rsidRPr="0095124C">
        <w:rPr>
          <w:b/>
          <w:sz w:val="22"/>
        </w:rPr>
        <w:t>APPENDICES</w:t>
      </w:r>
    </w:p>
    <w:p w:rsidR="00283585" w:rsidRPr="0095124C" w:rsidRDefault="00283585">
      <w:pPr>
        <w:pStyle w:val="Title"/>
        <w:keepNext/>
        <w:tabs>
          <w:tab w:val="left" w:pos="1260"/>
          <w:tab w:val="left" w:pos="1980"/>
          <w:tab w:val="left" w:pos="2700"/>
          <w:tab w:val="left" w:pos="3420"/>
        </w:tabs>
        <w:jc w:val="both"/>
        <w:rPr>
          <w:bCs/>
          <w:sz w:val="22"/>
        </w:rPr>
      </w:pPr>
    </w:p>
    <w:p w:rsidR="001404AB" w:rsidRPr="0095124C" w:rsidRDefault="001404AB">
      <w:pPr>
        <w:ind w:left="1267" w:hanging="1267"/>
        <w:outlineLvl w:val="0"/>
      </w:pPr>
      <w:r w:rsidRPr="0095124C">
        <w:tab/>
        <w:t>Appendix 1:</w:t>
      </w:r>
      <w:r w:rsidRPr="0095124C">
        <w:tab/>
        <w:t>Tax base calculations for each Parish/Unparished area</w:t>
      </w:r>
    </w:p>
    <w:p w:rsidR="00E3477B" w:rsidRPr="009512D0" w:rsidRDefault="001404AB" w:rsidP="00333EFA">
      <w:pPr>
        <w:ind w:left="1267" w:hanging="1267"/>
        <w:outlineLvl w:val="0"/>
      </w:pPr>
      <w:r w:rsidRPr="00A72612">
        <w:rPr>
          <w:color w:val="3366FF"/>
        </w:rPr>
        <w:tab/>
      </w:r>
    </w:p>
    <w:p w:rsidR="001212C9" w:rsidRPr="00A72612" w:rsidRDefault="001212C9" w:rsidP="008C5D87">
      <w:pPr>
        <w:tabs>
          <w:tab w:val="left" w:pos="4395"/>
        </w:tabs>
        <w:rPr>
          <w:color w:val="3366FF"/>
        </w:rPr>
        <w:sectPr w:rsidR="001212C9" w:rsidRPr="00A72612" w:rsidSect="00F22F79">
          <w:headerReference w:type="even" r:id="rId9"/>
          <w:headerReference w:type="default" r:id="rId10"/>
          <w:footerReference w:type="even" r:id="rId11"/>
          <w:footerReference w:type="default" r:id="rId12"/>
          <w:headerReference w:type="first" r:id="rId13"/>
          <w:footerReference w:type="first" r:id="rId14"/>
          <w:pgSz w:w="11909" w:h="16834" w:code="9"/>
          <w:pgMar w:top="720" w:right="1411" w:bottom="403" w:left="1411" w:header="706" w:footer="706" w:gutter="0"/>
          <w:pgNumType w:start="1" w:chapStyle="1"/>
          <w:cols w:space="720"/>
        </w:sectPr>
      </w:pPr>
    </w:p>
    <w:p w:rsidR="005673F8" w:rsidRDefault="00E3477B" w:rsidP="008C5D87">
      <w:pPr>
        <w:ind w:left="340" w:right="567"/>
        <w:jc w:val="right"/>
      </w:pPr>
      <w:r w:rsidRPr="00502B61">
        <w:rPr>
          <w:b/>
        </w:rPr>
        <w:lastRenderedPageBreak/>
        <w:t>APPENDIX 1</w:t>
      </w:r>
    </w:p>
    <w:p w:rsidR="007A65A2" w:rsidRPr="0082502C" w:rsidRDefault="007A65A2" w:rsidP="0082502C">
      <w:pPr>
        <w:ind w:left="-426" w:right="-696"/>
        <w:jc w:val="left"/>
        <w:rPr>
          <w:b/>
          <w:color w:val="3366FF"/>
        </w:rPr>
      </w:pPr>
    </w:p>
    <w:p w:rsidR="00E3477B" w:rsidRPr="00E46721" w:rsidRDefault="00E3477B" w:rsidP="00DF7CB9">
      <w:pPr>
        <w:ind w:left="567"/>
        <w:jc w:val="left"/>
        <w:rPr>
          <w:b/>
          <w:color w:val="3366FF"/>
        </w:rPr>
      </w:pPr>
    </w:p>
    <w:p w:rsidR="007A65A2" w:rsidRPr="00F27602" w:rsidRDefault="008C5D87" w:rsidP="008C5D87">
      <w:pPr>
        <w:tabs>
          <w:tab w:val="left" w:pos="14884"/>
        </w:tabs>
        <w:ind w:left="851"/>
        <w:jc w:val="left"/>
        <w:rPr>
          <w:b/>
          <w:color w:val="3366FF"/>
        </w:rPr>
      </w:pPr>
      <w:r w:rsidRPr="008C5D87">
        <w:rPr>
          <w:noProof/>
        </w:rPr>
        <w:drawing>
          <wp:inline distT="0" distB="0" distL="0" distR="0">
            <wp:extent cx="8582025" cy="49625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82025" cy="4962525"/>
                    </a:xfrm>
                    <a:prstGeom prst="rect">
                      <a:avLst/>
                    </a:prstGeom>
                    <a:noFill/>
                    <a:ln>
                      <a:noFill/>
                    </a:ln>
                  </pic:spPr>
                </pic:pic>
              </a:graphicData>
            </a:graphic>
          </wp:inline>
        </w:drawing>
      </w:r>
    </w:p>
    <w:p w:rsidR="00E3477B" w:rsidRDefault="008C5D87" w:rsidP="008C5D87">
      <w:pPr>
        <w:tabs>
          <w:tab w:val="left" w:pos="14742"/>
        </w:tabs>
        <w:ind w:left="-426" w:right="969"/>
        <w:jc w:val="right"/>
      </w:pPr>
      <w:r w:rsidRPr="008C5D87">
        <w:rPr>
          <w:noProof/>
        </w:rPr>
        <w:lastRenderedPageBreak/>
        <w:drawing>
          <wp:inline distT="0" distB="0" distL="0" distR="0">
            <wp:extent cx="8801100" cy="5343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01100" cy="5343525"/>
                    </a:xfrm>
                    <a:prstGeom prst="rect">
                      <a:avLst/>
                    </a:prstGeom>
                    <a:noFill/>
                    <a:ln>
                      <a:noFill/>
                    </a:ln>
                  </pic:spPr>
                </pic:pic>
              </a:graphicData>
            </a:graphic>
          </wp:inline>
        </w:drawing>
      </w:r>
    </w:p>
    <w:p w:rsidR="007A65A2" w:rsidRDefault="007A65A2" w:rsidP="00E3477B">
      <w:pPr>
        <w:ind w:left="-426"/>
        <w:jc w:val="right"/>
      </w:pPr>
    </w:p>
    <w:p w:rsidR="00DF7CB9" w:rsidRDefault="00DF7CB9" w:rsidP="00E3477B">
      <w:pPr>
        <w:ind w:left="-426"/>
        <w:jc w:val="right"/>
      </w:pPr>
    </w:p>
    <w:p w:rsidR="00DF7CB9" w:rsidRDefault="008C5D87" w:rsidP="008C5D87">
      <w:pPr>
        <w:ind w:left="-426" w:right="969"/>
        <w:jc w:val="right"/>
      </w:pPr>
      <w:r w:rsidRPr="008C5D87">
        <w:rPr>
          <w:noProof/>
        </w:rPr>
        <w:lastRenderedPageBreak/>
        <w:drawing>
          <wp:inline distT="0" distB="0" distL="0" distR="0">
            <wp:extent cx="8801100" cy="53435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01100" cy="5343525"/>
                    </a:xfrm>
                    <a:prstGeom prst="rect">
                      <a:avLst/>
                    </a:prstGeom>
                    <a:noFill/>
                    <a:ln>
                      <a:noFill/>
                    </a:ln>
                  </pic:spPr>
                </pic:pic>
              </a:graphicData>
            </a:graphic>
          </wp:inline>
        </w:drawing>
      </w:r>
    </w:p>
    <w:p w:rsidR="00DF7CB9" w:rsidRDefault="00DF7CB9" w:rsidP="00E3477B">
      <w:pPr>
        <w:ind w:left="-426"/>
        <w:jc w:val="right"/>
      </w:pPr>
    </w:p>
    <w:p w:rsidR="00DF7CB9" w:rsidRDefault="00DF7CB9" w:rsidP="00E3477B">
      <w:pPr>
        <w:ind w:left="-426"/>
        <w:jc w:val="right"/>
      </w:pPr>
    </w:p>
    <w:p w:rsidR="00DF7CB9" w:rsidRDefault="008C5D87" w:rsidP="008C5D87">
      <w:pPr>
        <w:ind w:left="-426" w:right="969"/>
        <w:jc w:val="right"/>
      </w:pPr>
      <w:r w:rsidRPr="008C5D87">
        <w:rPr>
          <w:noProof/>
        </w:rPr>
        <w:lastRenderedPageBreak/>
        <w:drawing>
          <wp:inline distT="0" distB="0" distL="0" distR="0">
            <wp:extent cx="8801100" cy="5343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01100" cy="5343525"/>
                    </a:xfrm>
                    <a:prstGeom prst="rect">
                      <a:avLst/>
                    </a:prstGeom>
                    <a:noFill/>
                    <a:ln>
                      <a:noFill/>
                    </a:ln>
                  </pic:spPr>
                </pic:pic>
              </a:graphicData>
            </a:graphic>
          </wp:inline>
        </w:drawing>
      </w:r>
    </w:p>
    <w:p w:rsidR="007A65A2" w:rsidRPr="00F27602" w:rsidRDefault="007A65A2" w:rsidP="00E3477B">
      <w:pPr>
        <w:ind w:left="-426"/>
        <w:jc w:val="right"/>
      </w:pPr>
    </w:p>
    <w:p w:rsidR="007A65A2" w:rsidRPr="00E46721" w:rsidRDefault="007A65A2" w:rsidP="00E3477B">
      <w:pPr>
        <w:ind w:left="-426"/>
        <w:jc w:val="right"/>
      </w:pPr>
    </w:p>
    <w:p w:rsidR="007A65A2" w:rsidRDefault="008C5D87" w:rsidP="008C5D87">
      <w:pPr>
        <w:ind w:left="-426" w:right="969"/>
        <w:jc w:val="right"/>
      </w:pPr>
      <w:r w:rsidRPr="008C5D87">
        <w:rPr>
          <w:noProof/>
        </w:rPr>
        <w:lastRenderedPageBreak/>
        <w:drawing>
          <wp:inline distT="0" distB="0" distL="0" distR="0">
            <wp:extent cx="8801100" cy="53435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01100" cy="5343525"/>
                    </a:xfrm>
                    <a:prstGeom prst="rect">
                      <a:avLst/>
                    </a:prstGeom>
                    <a:noFill/>
                    <a:ln>
                      <a:noFill/>
                    </a:ln>
                  </pic:spPr>
                </pic:pic>
              </a:graphicData>
            </a:graphic>
          </wp:inline>
        </w:drawing>
      </w:r>
    </w:p>
    <w:p w:rsidR="007A65A2" w:rsidRDefault="007A65A2" w:rsidP="00E3477B">
      <w:pPr>
        <w:ind w:left="-426"/>
        <w:jc w:val="right"/>
      </w:pPr>
    </w:p>
    <w:p w:rsidR="007A65A2" w:rsidRPr="00F27602" w:rsidRDefault="007A65A2" w:rsidP="00E3477B">
      <w:pPr>
        <w:ind w:left="-426"/>
        <w:jc w:val="right"/>
      </w:pPr>
    </w:p>
    <w:p w:rsidR="007A65A2" w:rsidRDefault="008C5D87" w:rsidP="008C5D87">
      <w:pPr>
        <w:ind w:left="-426" w:right="969"/>
        <w:jc w:val="right"/>
        <w:rPr>
          <w:b/>
          <w:color w:val="3366FF"/>
        </w:rPr>
      </w:pPr>
      <w:r w:rsidRPr="008C5D87">
        <w:rPr>
          <w:noProof/>
        </w:rPr>
        <w:lastRenderedPageBreak/>
        <w:drawing>
          <wp:inline distT="0" distB="0" distL="0" distR="0">
            <wp:extent cx="8801100" cy="53435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01100" cy="5343525"/>
                    </a:xfrm>
                    <a:prstGeom prst="rect">
                      <a:avLst/>
                    </a:prstGeom>
                    <a:noFill/>
                    <a:ln>
                      <a:noFill/>
                    </a:ln>
                  </pic:spPr>
                </pic:pic>
              </a:graphicData>
            </a:graphic>
          </wp:inline>
        </w:drawing>
      </w:r>
    </w:p>
    <w:p w:rsidR="00F27602" w:rsidRDefault="00F27602" w:rsidP="00E3477B">
      <w:pPr>
        <w:ind w:left="-426"/>
        <w:jc w:val="right"/>
        <w:rPr>
          <w:b/>
          <w:color w:val="3366FF"/>
        </w:rPr>
      </w:pPr>
    </w:p>
    <w:p w:rsidR="00F27602" w:rsidRDefault="00F27602" w:rsidP="00E3477B">
      <w:pPr>
        <w:ind w:left="-426"/>
        <w:jc w:val="right"/>
        <w:rPr>
          <w:b/>
          <w:color w:val="3366FF"/>
        </w:rPr>
      </w:pPr>
    </w:p>
    <w:p w:rsidR="00F27602" w:rsidRDefault="008C5D87" w:rsidP="008C5D87">
      <w:pPr>
        <w:ind w:left="-426" w:right="969"/>
        <w:jc w:val="right"/>
        <w:rPr>
          <w:b/>
          <w:color w:val="3366FF"/>
        </w:rPr>
      </w:pPr>
      <w:r w:rsidRPr="008C5D87">
        <w:rPr>
          <w:noProof/>
        </w:rPr>
        <w:lastRenderedPageBreak/>
        <w:drawing>
          <wp:inline distT="0" distB="0" distL="0" distR="0">
            <wp:extent cx="8801100" cy="53435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01100" cy="5343525"/>
                    </a:xfrm>
                    <a:prstGeom prst="rect">
                      <a:avLst/>
                    </a:prstGeom>
                    <a:noFill/>
                    <a:ln>
                      <a:noFill/>
                    </a:ln>
                  </pic:spPr>
                </pic:pic>
              </a:graphicData>
            </a:graphic>
          </wp:inline>
        </w:drawing>
      </w:r>
    </w:p>
    <w:p w:rsidR="00F27602" w:rsidRPr="00F27602" w:rsidRDefault="00F27602" w:rsidP="00E3477B">
      <w:pPr>
        <w:ind w:left="-426"/>
        <w:jc w:val="right"/>
        <w:rPr>
          <w:b/>
          <w:color w:val="3366FF"/>
        </w:rPr>
        <w:sectPr w:rsidR="00F27602" w:rsidRPr="00F27602" w:rsidSect="00DF7CB9">
          <w:pgSz w:w="16834" w:h="11909" w:orient="landscape" w:code="9"/>
          <w:pgMar w:top="1412" w:right="720" w:bottom="1412" w:left="403" w:header="709" w:footer="709" w:gutter="0"/>
          <w:cols w:space="720"/>
          <w:docGrid w:linePitch="299"/>
        </w:sectPr>
      </w:pPr>
    </w:p>
    <w:p w:rsidR="00DF7CB9" w:rsidRDefault="008C5D87" w:rsidP="007C661E">
      <w:pPr>
        <w:ind w:left="851" w:right="-554"/>
      </w:pPr>
      <w:r w:rsidRPr="008C5D87">
        <w:rPr>
          <w:noProof/>
        </w:rPr>
        <w:lastRenderedPageBreak/>
        <w:drawing>
          <wp:inline distT="0" distB="0" distL="0" distR="0" wp14:anchorId="1C7F475E" wp14:editId="59E1B464">
            <wp:extent cx="8801100" cy="53435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01100" cy="5343525"/>
                    </a:xfrm>
                    <a:prstGeom prst="rect">
                      <a:avLst/>
                    </a:prstGeom>
                    <a:noFill/>
                    <a:ln>
                      <a:noFill/>
                    </a:ln>
                  </pic:spPr>
                </pic:pic>
              </a:graphicData>
            </a:graphic>
          </wp:inline>
        </w:drawing>
      </w:r>
    </w:p>
    <w:p w:rsidR="00DF7CB9" w:rsidRDefault="00DF7CB9" w:rsidP="009512D0"/>
    <w:sectPr w:rsidR="00DF7CB9" w:rsidSect="00DF7CB9">
      <w:pgSz w:w="16834" w:h="11909" w:orient="landscape" w:code="9"/>
      <w:pgMar w:top="1412" w:right="720" w:bottom="1412" w:left="403"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857" w:rsidRDefault="00587857">
      <w:r>
        <w:separator/>
      </w:r>
    </w:p>
  </w:endnote>
  <w:endnote w:type="continuationSeparator" w:id="0">
    <w:p w:rsidR="00587857" w:rsidRDefault="0058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A11" w:rsidRDefault="00D30A11" w:rsidP="00626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E522D">
      <w:rPr>
        <w:rStyle w:val="PageNumber"/>
        <w:noProof/>
      </w:rPr>
      <w:t>10</w:t>
    </w:r>
    <w:r>
      <w:rPr>
        <w:rStyle w:val="PageNumber"/>
      </w:rPr>
      <w:fldChar w:fldCharType="end"/>
    </w:r>
  </w:p>
  <w:p w:rsidR="00D30A11" w:rsidRDefault="00D30A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3BA" w:rsidRDefault="00ED73BA" w:rsidP="00ED73BA">
    <w:pPr>
      <w:pStyle w:val="Footer"/>
      <w:jc w:val="center"/>
    </w:pPr>
    <w:bookmarkStart w:id="0" w:name="_GoBack"/>
    <w:bookmarkEnd w:id="0"/>
    <w:r>
      <w:t>G</w:t>
    </w:r>
    <w:r>
      <w:fldChar w:fldCharType="begin"/>
    </w:r>
    <w:r>
      <w:instrText xml:space="preserve"> PAGE   \* MERGEFORMAT </w:instrText>
    </w:r>
    <w:r>
      <w:fldChar w:fldCharType="separate"/>
    </w:r>
    <w:r>
      <w:rPr>
        <w:noProof/>
      </w:rPr>
      <w:t>1</w:t>
    </w:r>
    <w:r>
      <w:rPr>
        <w:noProof/>
      </w:rPr>
      <w:fldChar w:fldCharType="end"/>
    </w:r>
  </w:p>
  <w:p w:rsidR="00D30A11" w:rsidRDefault="00D30A11" w:rsidP="00281F74">
    <w:pPr>
      <w:pStyle w:val="Footer"/>
      <w:rPr>
        <w:snapToGrid w:val="0"/>
        <w:sz w:val="16"/>
        <w:lang w:eastAsia="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3BA" w:rsidRDefault="00ED73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857" w:rsidRDefault="00587857">
      <w:r>
        <w:separator/>
      </w:r>
    </w:p>
  </w:footnote>
  <w:footnote w:type="continuationSeparator" w:id="0">
    <w:p w:rsidR="00587857" w:rsidRDefault="00587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3BA" w:rsidRDefault="00ED73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3BA" w:rsidRDefault="00ED73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3BA" w:rsidRDefault="00ED73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20D17"/>
    <w:multiLevelType w:val="hybridMultilevel"/>
    <w:tmpl w:val="C678622A"/>
    <w:lvl w:ilvl="0" w:tplc="A80C5744">
      <w:start w:val="1"/>
      <w:numFmt w:val="bullet"/>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94E693C"/>
    <w:multiLevelType w:val="multilevel"/>
    <w:tmpl w:val="F10AC694"/>
    <w:lvl w:ilvl="0">
      <w:start w:val="8"/>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D8365B0"/>
    <w:multiLevelType w:val="hybridMultilevel"/>
    <w:tmpl w:val="B6E87A5E"/>
    <w:lvl w:ilvl="0" w:tplc="A80C5744">
      <w:start w:val="1"/>
      <w:numFmt w:val="bullet"/>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F673753"/>
    <w:multiLevelType w:val="multilevel"/>
    <w:tmpl w:val="4D7AD07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C1215DA"/>
    <w:multiLevelType w:val="multilevel"/>
    <w:tmpl w:val="0A0CCC5C"/>
    <w:lvl w:ilvl="0">
      <w:start w:val="2"/>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F382ECC"/>
    <w:multiLevelType w:val="multilevel"/>
    <w:tmpl w:val="21A8B040"/>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0723A67"/>
    <w:multiLevelType w:val="multilevel"/>
    <w:tmpl w:val="6778E224"/>
    <w:lvl w:ilvl="0">
      <w:start w:val="8"/>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0F43DE3"/>
    <w:multiLevelType w:val="multilevel"/>
    <w:tmpl w:val="F10C2238"/>
    <w:lvl w:ilvl="0">
      <w:start w:val="7"/>
      <w:numFmt w:val="decimal"/>
      <w:lvlText w:val="%1"/>
      <w:lvlJc w:val="left"/>
      <w:pPr>
        <w:tabs>
          <w:tab w:val="num" w:pos="1260"/>
        </w:tabs>
        <w:ind w:left="1260" w:hanging="1260"/>
      </w:pPr>
      <w:rPr>
        <w:rFonts w:hint="default"/>
        <w:b w:val="0"/>
      </w:rPr>
    </w:lvl>
    <w:lvl w:ilvl="1">
      <w:start w:val="1"/>
      <w:numFmt w:val="decimal"/>
      <w:lvlText w:val="%1.%2"/>
      <w:lvlJc w:val="left"/>
      <w:pPr>
        <w:tabs>
          <w:tab w:val="num" w:pos="1260"/>
        </w:tabs>
        <w:ind w:left="1260" w:hanging="1260"/>
      </w:pPr>
      <w:rPr>
        <w:rFonts w:hint="default"/>
        <w:b w:val="0"/>
      </w:rPr>
    </w:lvl>
    <w:lvl w:ilvl="2">
      <w:start w:val="1"/>
      <w:numFmt w:val="decimal"/>
      <w:lvlText w:val="%1.%2.%3"/>
      <w:lvlJc w:val="left"/>
      <w:pPr>
        <w:tabs>
          <w:tab w:val="num" w:pos="1260"/>
        </w:tabs>
        <w:ind w:left="1260" w:hanging="1260"/>
      </w:pPr>
      <w:rPr>
        <w:rFonts w:hint="default"/>
        <w:b w:val="0"/>
      </w:rPr>
    </w:lvl>
    <w:lvl w:ilvl="3">
      <w:start w:val="1"/>
      <w:numFmt w:val="decimal"/>
      <w:lvlText w:val="%1.%2.%3.%4"/>
      <w:lvlJc w:val="left"/>
      <w:pPr>
        <w:tabs>
          <w:tab w:val="num" w:pos="1260"/>
        </w:tabs>
        <w:ind w:left="1260" w:hanging="1260"/>
      </w:pPr>
      <w:rPr>
        <w:rFonts w:hint="default"/>
        <w:b w:val="0"/>
      </w:rPr>
    </w:lvl>
    <w:lvl w:ilvl="4">
      <w:start w:val="1"/>
      <w:numFmt w:val="decimal"/>
      <w:lvlText w:val="%1.%2.%3.%4.%5"/>
      <w:lvlJc w:val="left"/>
      <w:pPr>
        <w:tabs>
          <w:tab w:val="num" w:pos="1260"/>
        </w:tabs>
        <w:ind w:left="1260" w:hanging="1260"/>
      </w:pPr>
      <w:rPr>
        <w:rFonts w:hint="default"/>
        <w:b w:val="0"/>
      </w:rPr>
    </w:lvl>
    <w:lvl w:ilvl="5">
      <w:start w:val="1"/>
      <w:numFmt w:val="decimal"/>
      <w:lvlText w:val="%1.%2.%3.%4.%5.%6"/>
      <w:lvlJc w:val="left"/>
      <w:pPr>
        <w:tabs>
          <w:tab w:val="num" w:pos="1260"/>
        </w:tabs>
        <w:ind w:left="1260" w:hanging="126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abstractNumId w:val="7"/>
  </w:num>
  <w:num w:numId="2">
    <w:abstractNumId w:val="3"/>
  </w:num>
  <w:num w:numId="3">
    <w:abstractNumId w:val="5"/>
  </w:num>
  <w:num w:numId="4">
    <w:abstractNumId w:val="4"/>
  </w:num>
  <w:num w:numId="5">
    <w:abstractNumId w:val="0"/>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4AB"/>
    <w:rsid w:val="00032ACE"/>
    <w:rsid w:val="00047A7E"/>
    <w:rsid w:val="00061E17"/>
    <w:rsid w:val="000D1609"/>
    <w:rsid w:val="000D2099"/>
    <w:rsid w:val="000F5919"/>
    <w:rsid w:val="001212C9"/>
    <w:rsid w:val="001276C5"/>
    <w:rsid w:val="001333DC"/>
    <w:rsid w:val="00134A88"/>
    <w:rsid w:val="001404AB"/>
    <w:rsid w:val="00156C5B"/>
    <w:rsid w:val="001659CE"/>
    <w:rsid w:val="00166401"/>
    <w:rsid w:val="00187771"/>
    <w:rsid w:val="00197791"/>
    <w:rsid w:val="001C09BA"/>
    <w:rsid w:val="001C2BD5"/>
    <w:rsid w:val="00221178"/>
    <w:rsid w:val="002563DE"/>
    <w:rsid w:val="00281F74"/>
    <w:rsid w:val="00283585"/>
    <w:rsid w:val="002A2A5A"/>
    <w:rsid w:val="002C418C"/>
    <w:rsid w:val="002D31B7"/>
    <w:rsid w:val="002D40B3"/>
    <w:rsid w:val="002E0DC3"/>
    <w:rsid w:val="00302B0F"/>
    <w:rsid w:val="00333EFA"/>
    <w:rsid w:val="0034759E"/>
    <w:rsid w:val="00354DA5"/>
    <w:rsid w:val="00363A7A"/>
    <w:rsid w:val="00370E03"/>
    <w:rsid w:val="003779D4"/>
    <w:rsid w:val="00386E27"/>
    <w:rsid w:val="003A462C"/>
    <w:rsid w:val="003F2B91"/>
    <w:rsid w:val="00402F18"/>
    <w:rsid w:val="004245E8"/>
    <w:rsid w:val="0044777F"/>
    <w:rsid w:val="004744B4"/>
    <w:rsid w:val="004F366B"/>
    <w:rsid w:val="004F3F56"/>
    <w:rsid w:val="00502B61"/>
    <w:rsid w:val="005075C7"/>
    <w:rsid w:val="0055740C"/>
    <w:rsid w:val="005673F8"/>
    <w:rsid w:val="00570882"/>
    <w:rsid w:val="00572BBC"/>
    <w:rsid w:val="00587857"/>
    <w:rsid w:val="005A5AE3"/>
    <w:rsid w:val="005C490B"/>
    <w:rsid w:val="005E522D"/>
    <w:rsid w:val="005E5535"/>
    <w:rsid w:val="00622C12"/>
    <w:rsid w:val="00626A3D"/>
    <w:rsid w:val="006310F9"/>
    <w:rsid w:val="006356AE"/>
    <w:rsid w:val="00646D2C"/>
    <w:rsid w:val="00680B25"/>
    <w:rsid w:val="006B7ED2"/>
    <w:rsid w:val="006D5E18"/>
    <w:rsid w:val="006D67DC"/>
    <w:rsid w:val="006E384C"/>
    <w:rsid w:val="006E7A73"/>
    <w:rsid w:val="007008FE"/>
    <w:rsid w:val="007A65A2"/>
    <w:rsid w:val="007C661E"/>
    <w:rsid w:val="007D33DD"/>
    <w:rsid w:val="007F7068"/>
    <w:rsid w:val="00824994"/>
    <w:rsid w:val="0082502C"/>
    <w:rsid w:val="008401D4"/>
    <w:rsid w:val="00841128"/>
    <w:rsid w:val="0085129F"/>
    <w:rsid w:val="008675BC"/>
    <w:rsid w:val="0088106F"/>
    <w:rsid w:val="008C5D87"/>
    <w:rsid w:val="008D1B27"/>
    <w:rsid w:val="008F012A"/>
    <w:rsid w:val="008F247C"/>
    <w:rsid w:val="008F6F4F"/>
    <w:rsid w:val="00935F42"/>
    <w:rsid w:val="0094099D"/>
    <w:rsid w:val="00942377"/>
    <w:rsid w:val="0095124C"/>
    <w:rsid w:val="009512D0"/>
    <w:rsid w:val="009537CF"/>
    <w:rsid w:val="00962AC9"/>
    <w:rsid w:val="00976D1D"/>
    <w:rsid w:val="0098007A"/>
    <w:rsid w:val="009A70F4"/>
    <w:rsid w:val="009D32DE"/>
    <w:rsid w:val="009D47BB"/>
    <w:rsid w:val="00A135F0"/>
    <w:rsid w:val="00A4277C"/>
    <w:rsid w:val="00A72612"/>
    <w:rsid w:val="00A97E2F"/>
    <w:rsid w:val="00AE0F55"/>
    <w:rsid w:val="00B15536"/>
    <w:rsid w:val="00B53FEB"/>
    <w:rsid w:val="00B641F5"/>
    <w:rsid w:val="00BB458D"/>
    <w:rsid w:val="00BD340C"/>
    <w:rsid w:val="00C6199C"/>
    <w:rsid w:val="00C70DF9"/>
    <w:rsid w:val="00C760B0"/>
    <w:rsid w:val="00CA1A7E"/>
    <w:rsid w:val="00CA5579"/>
    <w:rsid w:val="00CE5CBE"/>
    <w:rsid w:val="00D0090E"/>
    <w:rsid w:val="00D30A11"/>
    <w:rsid w:val="00D34EB6"/>
    <w:rsid w:val="00D6292E"/>
    <w:rsid w:val="00D91C09"/>
    <w:rsid w:val="00D963EC"/>
    <w:rsid w:val="00DA2EC6"/>
    <w:rsid w:val="00DB0C67"/>
    <w:rsid w:val="00DB1F27"/>
    <w:rsid w:val="00DB6F84"/>
    <w:rsid w:val="00DC16ED"/>
    <w:rsid w:val="00DC23C1"/>
    <w:rsid w:val="00DD0CC7"/>
    <w:rsid w:val="00DE0DBE"/>
    <w:rsid w:val="00DF7CB9"/>
    <w:rsid w:val="00E04F69"/>
    <w:rsid w:val="00E06D25"/>
    <w:rsid w:val="00E33E41"/>
    <w:rsid w:val="00E3477B"/>
    <w:rsid w:val="00E417DA"/>
    <w:rsid w:val="00E45D1E"/>
    <w:rsid w:val="00E46721"/>
    <w:rsid w:val="00E70662"/>
    <w:rsid w:val="00E955F4"/>
    <w:rsid w:val="00EA3F99"/>
    <w:rsid w:val="00EB2CC4"/>
    <w:rsid w:val="00ED73BA"/>
    <w:rsid w:val="00EF267D"/>
    <w:rsid w:val="00EF3C91"/>
    <w:rsid w:val="00EF5E1B"/>
    <w:rsid w:val="00F03910"/>
    <w:rsid w:val="00F22F79"/>
    <w:rsid w:val="00F24357"/>
    <w:rsid w:val="00F27602"/>
    <w:rsid w:val="00F30C34"/>
    <w:rsid w:val="00F54037"/>
    <w:rsid w:val="00F75C23"/>
    <w:rsid w:val="00FF5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qFormat/>
    <w:pPr>
      <w:keepNext/>
      <w:ind w:left="1276" w:hanging="1276"/>
      <w:outlineLvl w:val="3"/>
    </w:pPr>
    <w:rPr>
      <w:i/>
      <w:color w:val="FF0000"/>
    </w:r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paragraph" w:styleId="BodyTextIndent3">
    <w:name w:val="Body Text Indent 3"/>
    <w:basedOn w:val="Normal"/>
    <w:pPr>
      <w:ind w:left="1276" w:hanging="1276"/>
    </w:pPr>
    <w:rPr>
      <w:i/>
      <w:color w:val="FF0000"/>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tabs>
        <w:tab w:val="clear" w:pos="1260"/>
        <w:tab w:val="clear" w:pos="1980"/>
        <w:tab w:val="clear" w:pos="2700"/>
        <w:tab w:val="clear" w:pos="3420"/>
      </w:tabs>
      <w:jc w:val="center"/>
    </w:pPr>
    <w:rPr>
      <w:sz w:val="32"/>
      <w:lang w:eastAsia="en-US"/>
    </w:rPr>
  </w:style>
  <w:style w:type="paragraph" w:styleId="DocumentMap">
    <w:name w:val="Document Map"/>
    <w:basedOn w:val="Normal"/>
    <w:semiHidden/>
    <w:pPr>
      <w:shd w:val="clear" w:color="auto" w:fill="000080"/>
    </w:pPr>
    <w:rPr>
      <w:rFonts w:ascii="Tahoma" w:hAnsi="Tahoma" w:cs="Tahoma"/>
      <w:sz w:val="20"/>
    </w:rPr>
  </w:style>
  <w:style w:type="table" w:styleId="TableGrid">
    <w:name w:val="Table Grid"/>
    <w:basedOn w:val="TableNormal"/>
    <w:rsid w:val="003779D4"/>
    <w:pPr>
      <w:tabs>
        <w:tab w:val="left" w:pos="1260"/>
        <w:tab w:val="left" w:pos="1980"/>
        <w:tab w:val="left" w:pos="2700"/>
        <w:tab w:val="left" w:pos="342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129F"/>
    <w:pPr>
      <w:ind w:left="720"/>
      <w:contextualSpacing/>
    </w:pPr>
  </w:style>
  <w:style w:type="character" w:customStyle="1" w:styleId="FooterChar">
    <w:name w:val="Footer Char"/>
    <w:basedOn w:val="DefaultParagraphFont"/>
    <w:link w:val="Footer"/>
    <w:uiPriority w:val="99"/>
    <w:rsid w:val="00ED73BA"/>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qFormat/>
    <w:pPr>
      <w:keepNext/>
      <w:ind w:left="1276" w:hanging="1276"/>
      <w:outlineLvl w:val="3"/>
    </w:pPr>
    <w:rPr>
      <w:i/>
      <w:color w:val="FF0000"/>
    </w:r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paragraph" w:styleId="BodyTextIndent3">
    <w:name w:val="Body Text Indent 3"/>
    <w:basedOn w:val="Normal"/>
    <w:pPr>
      <w:ind w:left="1276" w:hanging="1276"/>
    </w:pPr>
    <w:rPr>
      <w:i/>
      <w:color w:val="FF0000"/>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tabs>
        <w:tab w:val="clear" w:pos="1260"/>
        <w:tab w:val="clear" w:pos="1980"/>
        <w:tab w:val="clear" w:pos="2700"/>
        <w:tab w:val="clear" w:pos="3420"/>
      </w:tabs>
      <w:jc w:val="center"/>
    </w:pPr>
    <w:rPr>
      <w:sz w:val="32"/>
      <w:lang w:eastAsia="en-US"/>
    </w:rPr>
  </w:style>
  <w:style w:type="paragraph" w:styleId="DocumentMap">
    <w:name w:val="Document Map"/>
    <w:basedOn w:val="Normal"/>
    <w:semiHidden/>
    <w:pPr>
      <w:shd w:val="clear" w:color="auto" w:fill="000080"/>
    </w:pPr>
    <w:rPr>
      <w:rFonts w:ascii="Tahoma" w:hAnsi="Tahoma" w:cs="Tahoma"/>
      <w:sz w:val="20"/>
    </w:rPr>
  </w:style>
  <w:style w:type="table" w:styleId="TableGrid">
    <w:name w:val="Table Grid"/>
    <w:basedOn w:val="TableNormal"/>
    <w:rsid w:val="003779D4"/>
    <w:pPr>
      <w:tabs>
        <w:tab w:val="left" w:pos="1260"/>
        <w:tab w:val="left" w:pos="1980"/>
        <w:tab w:val="left" w:pos="2700"/>
        <w:tab w:val="left" w:pos="342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129F"/>
    <w:pPr>
      <w:ind w:left="720"/>
      <w:contextualSpacing/>
    </w:pPr>
  </w:style>
  <w:style w:type="character" w:customStyle="1" w:styleId="FooterChar">
    <w:name w:val="Footer Char"/>
    <w:basedOn w:val="DefaultParagraphFont"/>
    <w:link w:val="Footer"/>
    <w:uiPriority w:val="99"/>
    <w:rsid w:val="00ED73B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01492">
      <w:bodyDiv w:val="1"/>
      <w:marLeft w:val="0"/>
      <w:marRight w:val="0"/>
      <w:marTop w:val="0"/>
      <w:marBottom w:val="0"/>
      <w:divBdr>
        <w:top w:val="none" w:sz="0" w:space="0" w:color="auto"/>
        <w:left w:val="none" w:sz="0" w:space="0" w:color="auto"/>
        <w:bottom w:val="none" w:sz="0" w:space="0" w:color="auto"/>
        <w:right w:val="none" w:sz="0" w:space="0" w:color="auto"/>
      </w:divBdr>
    </w:div>
    <w:div w:id="425004575">
      <w:bodyDiv w:val="1"/>
      <w:marLeft w:val="0"/>
      <w:marRight w:val="0"/>
      <w:marTop w:val="0"/>
      <w:marBottom w:val="0"/>
      <w:divBdr>
        <w:top w:val="none" w:sz="0" w:space="0" w:color="auto"/>
        <w:left w:val="none" w:sz="0" w:space="0" w:color="auto"/>
        <w:bottom w:val="none" w:sz="0" w:space="0" w:color="auto"/>
        <w:right w:val="none" w:sz="0" w:space="0" w:color="auto"/>
      </w:divBdr>
    </w:div>
    <w:div w:id="1802261209">
      <w:bodyDiv w:val="1"/>
      <w:marLeft w:val="0"/>
      <w:marRight w:val="0"/>
      <w:marTop w:val="0"/>
      <w:marBottom w:val="0"/>
      <w:divBdr>
        <w:top w:val="none" w:sz="0" w:space="0" w:color="auto"/>
        <w:left w:val="none" w:sz="0" w:space="0" w:color="auto"/>
        <w:bottom w:val="none" w:sz="0" w:space="0" w:color="auto"/>
        <w:right w:val="none" w:sz="0" w:space="0" w:color="auto"/>
      </w:divBdr>
    </w:div>
    <w:div w:id="184774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D87A6-B6D8-43F1-9D55-215669E4B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1019</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Report: Council 08.01.13: part i - (04) council tax base revised</vt:lpstr>
    </vt:vector>
  </TitlesOfParts>
  <Company>Pre-installed Company</Company>
  <LinksUpToDate>false</LinksUpToDate>
  <CharactersWithSpaces>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Council 08.01.13: part i - (04) council tax base revised</dc:title>
  <dc:creator>Townshs</dc:creator>
  <cp:lastModifiedBy>Sarah Haythorpe</cp:lastModifiedBy>
  <cp:revision>8</cp:revision>
  <cp:lastPrinted>2015-11-23T12:45:00Z</cp:lastPrinted>
  <dcterms:created xsi:type="dcterms:W3CDTF">2016-12-02T14:15:00Z</dcterms:created>
  <dcterms:modified xsi:type="dcterms:W3CDTF">2016-12-05T16:39:00Z</dcterms:modified>
</cp:coreProperties>
</file>